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B45963F">
      <w:pPr>
        <w:wordWrap w:val="0"/>
        <w:spacing w:line="360" w:lineRule="auto"/>
        <w:jc w:val="right"/>
        <w:rPr>
          <w:rFonts w:hint="eastAsia" w:ascii="宋体" w:hAnsi="宋体" w:eastAsia="宋体" w:cs="宋体"/>
          <w:b/>
          <w:color w:val="auto"/>
          <w:sz w:val="28"/>
          <w:szCs w:val="28"/>
        </w:rPr>
      </w:pPr>
      <w:r>
        <w:rPr>
          <w:rFonts w:hint="eastAsia" w:ascii="宋体" w:hAnsi="宋体" w:eastAsia="宋体" w:cs="宋体"/>
          <w:color w:val="auto"/>
          <w:sz w:val="36"/>
        </w:rPr>
        <mc:AlternateContent>
          <mc:Choice Requires="wps">
            <w:drawing>
              <wp:anchor distT="0" distB="0" distL="114300" distR="114300" simplePos="0" relativeHeight="251659264" behindDoc="0" locked="0" layoutInCell="1" allowOverlap="1">
                <wp:simplePos x="0" y="0"/>
                <wp:positionH relativeFrom="column">
                  <wp:posOffset>3073400</wp:posOffset>
                </wp:positionH>
                <wp:positionV relativeFrom="paragraph">
                  <wp:posOffset>-86360</wp:posOffset>
                </wp:positionV>
                <wp:extent cx="1667510" cy="452755"/>
                <wp:effectExtent l="7620" t="7620" r="20320" b="15875"/>
                <wp:wrapNone/>
                <wp:docPr id="1" name="圆角矩形 1"/>
                <wp:cNvGraphicFramePr/>
                <a:graphic xmlns:a="http://schemas.openxmlformats.org/drawingml/2006/main">
                  <a:graphicData uri="http://schemas.microsoft.com/office/word/2010/wordprocessingShape">
                    <wps:wsp>
                      <wps:cNvSpPr/>
                      <wps:spPr>
                        <a:xfrm>
                          <a:off x="0" y="0"/>
                          <a:ext cx="1667510" cy="452755"/>
                        </a:xfrm>
                        <a:prstGeom prst="roundRect">
                          <a:avLst>
                            <a:gd name="adj" fmla="val 16667"/>
                          </a:avLst>
                        </a:prstGeom>
                        <a:solidFill>
                          <a:srgbClr val="EEECE1"/>
                        </a:solidFill>
                        <a:ln w="15875" cap="flat" cmpd="sng">
                          <a:solidFill>
                            <a:srgbClr val="000000"/>
                          </a:solidFill>
                          <a:prstDash val="solid"/>
                          <a:headEnd type="none" w="med" len="med"/>
                          <a:tailEnd type="none" w="med" len="med"/>
                        </a:ln>
                      </wps:spPr>
                      <wps:txbx>
                        <w:txbxContent>
                          <w:p w14:paraId="10D94783">
                            <w:pPr>
                              <w:rPr>
                                <w:rFonts w:hint="eastAsia" w:ascii="华文中宋" w:hAnsi="华文中宋" w:eastAsia="华文中宋" w:cs="华文中宋"/>
                                <w:b/>
                                <w:bCs/>
                                <w:sz w:val="36"/>
                                <w:szCs w:val="36"/>
                              </w:rPr>
                            </w:pPr>
                            <w:r>
                              <w:rPr>
                                <w:rFonts w:hint="eastAsia" w:ascii="华文中宋" w:hAnsi="华文中宋" w:eastAsia="华文中宋" w:cs="华文中宋"/>
                                <w:b/>
                                <w:bCs/>
                                <w:sz w:val="36"/>
                                <w:szCs w:val="36"/>
                              </w:rPr>
                              <w:t>政府采购项目</w:t>
                            </w:r>
                          </w:p>
                        </w:txbxContent>
                      </wps:txbx>
                      <wps:bodyPr upright="1"/>
                    </wps:wsp>
                  </a:graphicData>
                </a:graphic>
              </wp:anchor>
            </w:drawing>
          </mc:Choice>
          <mc:Fallback>
            <w:pict>
              <v:roundrect id="_x0000_s1026" o:spid="_x0000_s1026" o:spt="2" style="position:absolute;left:0pt;margin-left:242pt;margin-top:-6.8pt;height:35.65pt;width:131.3pt;z-index:251659264;mso-width-relative:page;mso-height-relative:page;" fillcolor="#EEECE1" filled="t" stroked="t" coordsize="21600,21600" arcsize="0.166666666666667" o:gfxdata="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kJJt12QAAAAoBAAAPAAAAAAAAAAEAIAAAACIAAABkcnMvZG93bnJldi54bWxQSwECFAAUAAAA&#10;CACHTuJApYdrdyYCAABXBAAADgAAAAAAAAABACAAAAAoAQAAZHJzL2Uyb0RvYy54bWxQSwUGAAAA&#10;AAYABgBZAQAAwAUAAAAA&#10;">
                <v:fill on="t" focussize="0,0"/>
                <v:stroke weight="1.25pt" color="#000000" joinstyle="round"/>
                <v:imagedata o:title=""/>
                <o:lock v:ext="edit" aspectratio="f"/>
                <v:textbox>
                  <w:txbxContent>
                    <w:p w14:paraId="10D94783">
                      <w:pPr>
                        <w:rPr>
                          <w:rFonts w:hint="eastAsia" w:ascii="华文中宋" w:hAnsi="华文中宋" w:eastAsia="华文中宋" w:cs="华文中宋"/>
                          <w:b/>
                          <w:bCs/>
                          <w:sz w:val="36"/>
                          <w:szCs w:val="36"/>
                        </w:rPr>
                      </w:pPr>
                      <w:r>
                        <w:rPr>
                          <w:rFonts w:hint="eastAsia" w:ascii="华文中宋" w:hAnsi="华文中宋" w:eastAsia="华文中宋" w:cs="华文中宋"/>
                          <w:b/>
                          <w:bCs/>
                          <w:sz w:val="36"/>
                          <w:szCs w:val="36"/>
                        </w:rPr>
                        <w:t>政府采购项目</w:t>
                      </w:r>
                    </w:p>
                  </w:txbxContent>
                </v:textbox>
              </v:roundrect>
            </w:pict>
          </mc:Fallback>
        </mc:AlternateContent>
      </w:r>
      <w:r>
        <w:rPr>
          <w:rFonts w:hint="eastAsia" w:ascii="宋体" w:hAnsi="宋体" w:eastAsia="宋体" w:cs="宋体"/>
          <w:b/>
          <w:bCs/>
          <w:color w:val="auto"/>
          <w:sz w:val="32"/>
          <w:szCs w:val="32"/>
          <w:lang w:val="es-ES" w:eastAsia="zh-CN"/>
        </w:rPr>
        <w:drawing>
          <wp:anchor distT="0" distB="0" distL="114300" distR="114300" simplePos="0" relativeHeight="251660288" behindDoc="0" locked="0" layoutInCell="1" allowOverlap="1">
            <wp:simplePos x="0" y="0"/>
            <wp:positionH relativeFrom="column">
              <wp:posOffset>-319405</wp:posOffset>
            </wp:positionH>
            <wp:positionV relativeFrom="paragraph">
              <wp:posOffset>-340995</wp:posOffset>
            </wp:positionV>
            <wp:extent cx="1199515" cy="1204595"/>
            <wp:effectExtent l="0" t="0" r="635" b="14605"/>
            <wp:wrapSquare wrapText="bothSides"/>
            <wp:docPr id="18" name="图片 3" descr="c4c5640da0eb339f4c6f8ae6f6a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c4c5640da0eb339f4c6f8ae6f6a9363"/>
                    <pic:cNvPicPr>
                      <a:picLocks noChangeAspect="1"/>
                    </pic:cNvPicPr>
                  </pic:nvPicPr>
                  <pic:blipFill>
                    <a:blip r:embed="rId17"/>
                    <a:stretch>
                      <a:fillRect/>
                    </a:stretch>
                  </pic:blipFill>
                  <pic:spPr>
                    <a:xfrm>
                      <a:off x="0" y="0"/>
                      <a:ext cx="1199515" cy="1204595"/>
                    </a:xfrm>
                    <a:prstGeom prst="rect">
                      <a:avLst/>
                    </a:prstGeom>
                    <a:noFill/>
                    <a:ln>
                      <a:noFill/>
                    </a:ln>
                  </pic:spPr>
                </pic:pic>
              </a:graphicData>
            </a:graphic>
          </wp:anchor>
        </w:drawing>
      </w:r>
      <w:r>
        <w:rPr>
          <w:rFonts w:hint="eastAsia" w:ascii="宋体" w:hAnsi="宋体" w:eastAsia="宋体" w:cs="宋体"/>
          <w:b/>
          <w:color w:val="auto"/>
          <w:sz w:val="28"/>
          <w:szCs w:val="28"/>
          <w:lang w:val="en-US" w:eastAsia="zh-CN"/>
        </w:rPr>
        <w:t xml:space="preserve">  </w:t>
      </w:r>
      <w:r>
        <w:rPr>
          <w:rFonts w:hint="eastAsia" w:ascii="宋体" w:hAnsi="宋体" w:eastAsia="宋体" w:cs="宋体"/>
          <w:b/>
          <w:color w:val="auto"/>
          <w:sz w:val="28"/>
          <w:szCs w:val="28"/>
        </w:rPr>
        <w:t xml:space="preserve">   </w:t>
      </w:r>
    </w:p>
    <w:p w14:paraId="003D3CB5">
      <w:pPr>
        <w:spacing w:line="360" w:lineRule="auto"/>
        <w:jc w:val="center"/>
        <w:rPr>
          <w:rFonts w:hint="eastAsia" w:ascii="宋体" w:hAnsi="宋体" w:eastAsia="宋体" w:cs="宋体"/>
          <w:b/>
          <w:color w:val="auto"/>
          <w:sz w:val="44"/>
          <w:szCs w:val="44"/>
        </w:rPr>
      </w:pPr>
    </w:p>
    <w:p w14:paraId="10191101">
      <w:pPr>
        <w:spacing w:line="360" w:lineRule="auto"/>
        <w:rPr>
          <w:rFonts w:hint="eastAsia" w:ascii="宋体" w:hAnsi="宋体" w:eastAsia="宋体" w:cs="宋体"/>
          <w:b/>
          <w:color w:val="auto"/>
          <w:sz w:val="44"/>
          <w:szCs w:val="44"/>
          <w:lang w:val="en-US" w:eastAsia="zh-CN"/>
        </w:rPr>
      </w:pPr>
      <w:r>
        <w:rPr>
          <w:rFonts w:hint="eastAsia" w:ascii="宋体" w:hAnsi="宋体" w:eastAsia="宋体" w:cs="宋体"/>
          <w:b/>
          <w:color w:val="auto"/>
          <w:sz w:val="44"/>
          <w:szCs w:val="44"/>
        </w:rPr>
        <w:t xml:space="preserve"> </w:t>
      </w:r>
      <w:r>
        <w:rPr>
          <w:rFonts w:hint="eastAsia" w:ascii="宋体" w:hAnsi="宋体" w:eastAsia="宋体" w:cs="宋体"/>
          <w:b/>
          <w:color w:val="auto"/>
          <w:sz w:val="44"/>
          <w:szCs w:val="44"/>
          <w:lang w:val="en-US" w:eastAsia="zh-CN"/>
        </w:rPr>
        <w:t xml:space="preserve"> </w:t>
      </w:r>
    </w:p>
    <w:p w14:paraId="6114002A">
      <w:pPr>
        <w:pStyle w:val="23"/>
        <w:spacing w:line="360" w:lineRule="auto"/>
        <w:jc w:val="center"/>
        <w:rPr>
          <w:rFonts w:hint="eastAsia" w:ascii="宋体" w:hAnsi="宋体" w:eastAsia="宋体" w:cs="宋体"/>
          <w:b/>
          <w:bCs/>
          <w:color w:val="auto"/>
          <w:sz w:val="72"/>
          <w:szCs w:val="72"/>
          <w:lang w:val="en-US" w:eastAsia="zh-CN"/>
        </w:rPr>
      </w:pPr>
      <w:r>
        <w:rPr>
          <w:rFonts w:hint="eastAsia" w:ascii="宋体" w:hAnsi="宋体" w:eastAsia="宋体" w:cs="宋体"/>
          <w:b/>
          <w:bCs/>
          <w:color w:val="auto"/>
          <w:sz w:val="72"/>
          <w:szCs w:val="72"/>
          <w:lang w:val="en-US" w:eastAsia="zh-CN"/>
        </w:rPr>
        <w:t>凤县黄牛铺幼儿园校舍维修项目</w:t>
      </w:r>
    </w:p>
    <w:p w14:paraId="7EA9915D">
      <w:pPr>
        <w:pStyle w:val="23"/>
        <w:jc w:val="both"/>
        <w:rPr>
          <w:rFonts w:hint="eastAsia" w:ascii="宋体" w:hAnsi="宋体" w:eastAsia="宋体" w:cs="宋体"/>
          <w:b/>
          <w:bCs/>
          <w:color w:val="auto"/>
          <w:sz w:val="44"/>
          <w:szCs w:val="44"/>
          <w:lang w:val="en-US" w:eastAsia="zh-CN"/>
        </w:rPr>
      </w:pPr>
    </w:p>
    <w:p w14:paraId="3A667E88">
      <w:pPr>
        <w:pStyle w:val="23"/>
        <w:jc w:val="both"/>
        <w:rPr>
          <w:rFonts w:hint="eastAsia" w:ascii="宋体" w:hAnsi="宋体" w:eastAsia="宋体" w:cs="宋体"/>
          <w:b/>
          <w:bCs/>
          <w:color w:val="auto"/>
          <w:sz w:val="44"/>
          <w:szCs w:val="44"/>
          <w:lang w:val="en-US" w:eastAsia="zh-CN"/>
        </w:rPr>
      </w:pPr>
    </w:p>
    <w:p w14:paraId="4BEC0828">
      <w:pPr>
        <w:autoSpaceDE w:val="0"/>
        <w:autoSpaceDN w:val="0"/>
        <w:adjustRightInd w:val="0"/>
        <w:jc w:val="center"/>
        <w:outlineLvl w:val="0"/>
        <w:rPr>
          <w:rFonts w:hint="eastAsia" w:ascii="宋体" w:hAnsi="宋体" w:eastAsia="宋体" w:cs="宋体"/>
          <w:b/>
          <w:color w:val="auto"/>
          <w:spacing w:val="66"/>
          <w:kern w:val="0"/>
          <w:sz w:val="72"/>
          <w:szCs w:val="112"/>
        </w:rPr>
      </w:pPr>
      <w:bookmarkStart w:id="0" w:name="_Toc2069"/>
      <w:bookmarkStart w:id="1" w:name="_Toc16229"/>
      <w:bookmarkStart w:id="2" w:name="_Toc21437"/>
      <w:bookmarkStart w:id="3" w:name="_Toc10471"/>
      <w:bookmarkStart w:id="4" w:name="_Toc23193"/>
      <w:r>
        <w:rPr>
          <w:rFonts w:hint="eastAsia" w:ascii="宋体" w:hAnsi="宋体" w:eastAsia="宋体" w:cs="宋体"/>
          <w:b/>
          <w:color w:val="auto"/>
          <w:spacing w:val="66"/>
          <w:kern w:val="0"/>
          <w:sz w:val="72"/>
          <w:szCs w:val="112"/>
        </w:rPr>
        <w:t>竞争性</w:t>
      </w:r>
      <w:r>
        <w:rPr>
          <w:rFonts w:hint="eastAsia" w:ascii="宋体" w:hAnsi="宋体" w:eastAsia="宋体" w:cs="宋体"/>
          <w:b/>
          <w:color w:val="auto"/>
          <w:spacing w:val="66"/>
          <w:kern w:val="0"/>
          <w:sz w:val="72"/>
          <w:szCs w:val="112"/>
          <w:lang w:eastAsia="zh-CN"/>
        </w:rPr>
        <w:t>磋商</w:t>
      </w:r>
      <w:r>
        <w:rPr>
          <w:rFonts w:hint="eastAsia" w:ascii="宋体" w:hAnsi="宋体" w:eastAsia="宋体" w:cs="宋体"/>
          <w:b/>
          <w:color w:val="auto"/>
          <w:spacing w:val="66"/>
          <w:kern w:val="0"/>
          <w:sz w:val="72"/>
          <w:szCs w:val="112"/>
        </w:rPr>
        <w:t>文件</w:t>
      </w:r>
      <w:bookmarkEnd w:id="0"/>
      <w:bookmarkEnd w:id="1"/>
      <w:bookmarkEnd w:id="2"/>
      <w:bookmarkEnd w:id="3"/>
    </w:p>
    <w:p w14:paraId="45E26A9D">
      <w:pPr>
        <w:autoSpaceDE w:val="0"/>
        <w:autoSpaceDN w:val="0"/>
        <w:adjustRightInd w:val="0"/>
        <w:jc w:val="center"/>
        <w:outlineLvl w:val="0"/>
        <w:rPr>
          <w:rFonts w:hint="eastAsia" w:ascii="宋体" w:hAnsi="宋体" w:eastAsia="宋体" w:cs="宋体"/>
          <w:color w:val="auto"/>
          <w:sz w:val="40"/>
          <w:szCs w:val="40"/>
        </w:rPr>
      </w:pPr>
      <w:bookmarkStart w:id="5" w:name="_Toc27356"/>
      <w:bookmarkStart w:id="6" w:name="_Toc5244"/>
      <w:bookmarkStart w:id="7" w:name="_Toc27619"/>
      <w:bookmarkStart w:id="8" w:name="_Toc8425"/>
      <w:r>
        <w:rPr>
          <w:rFonts w:hint="eastAsia" w:ascii="宋体" w:hAnsi="宋体" w:eastAsia="宋体" w:cs="宋体"/>
          <w:color w:val="auto"/>
          <w:sz w:val="40"/>
          <w:szCs w:val="40"/>
        </w:rPr>
        <w:t>（</w:t>
      </w:r>
      <w:r>
        <w:rPr>
          <w:rFonts w:hint="eastAsia" w:ascii="宋体" w:hAnsi="宋体" w:eastAsia="宋体" w:cs="宋体"/>
          <w:b/>
          <w:bCs/>
          <w:color w:val="auto"/>
          <w:sz w:val="40"/>
          <w:szCs w:val="40"/>
        </w:rPr>
        <w:t>项目编号：DXY202</w:t>
      </w:r>
      <w:r>
        <w:rPr>
          <w:rFonts w:hint="eastAsia" w:ascii="宋体" w:hAnsi="宋体" w:eastAsia="宋体" w:cs="宋体"/>
          <w:b/>
          <w:bCs/>
          <w:color w:val="auto"/>
          <w:sz w:val="40"/>
          <w:szCs w:val="40"/>
          <w:lang w:val="en-US" w:eastAsia="zh-CN"/>
        </w:rPr>
        <w:t>5</w:t>
      </w:r>
      <w:r>
        <w:rPr>
          <w:rFonts w:hint="eastAsia" w:ascii="宋体" w:hAnsi="宋体" w:eastAsia="宋体" w:cs="宋体"/>
          <w:b/>
          <w:bCs/>
          <w:color w:val="auto"/>
          <w:sz w:val="40"/>
          <w:szCs w:val="40"/>
        </w:rPr>
        <w:t>-</w:t>
      </w:r>
      <w:r>
        <w:rPr>
          <w:rFonts w:hint="eastAsia" w:ascii="宋体" w:hAnsi="宋体" w:eastAsia="宋体" w:cs="宋体"/>
          <w:b/>
          <w:bCs/>
          <w:color w:val="auto"/>
          <w:sz w:val="40"/>
          <w:szCs w:val="40"/>
          <w:lang w:val="en-US" w:eastAsia="zh-CN"/>
        </w:rPr>
        <w:t>008</w:t>
      </w:r>
      <w:r>
        <w:rPr>
          <w:rFonts w:hint="eastAsia" w:ascii="宋体" w:hAnsi="宋体" w:eastAsia="宋体" w:cs="宋体"/>
          <w:color w:val="auto"/>
          <w:sz w:val="40"/>
          <w:szCs w:val="40"/>
        </w:rPr>
        <w:t>）</w:t>
      </w:r>
      <w:bookmarkEnd w:id="4"/>
      <w:bookmarkEnd w:id="5"/>
      <w:bookmarkEnd w:id="6"/>
      <w:bookmarkEnd w:id="7"/>
      <w:bookmarkEnd w:id="8"/>
    </w:p>
    <w:p w14:paraId="72B5EFC9">
      <w:pPr>
        <w:pStyle w:val="148"/>
        <w:ind w:left="0" w:leftChars="0" w:firstLine="0" w:firstLineChars="0"/>
        <w:rPr>
          <w:rFonts w:hint="eastAsia" w:ascii="宋体" w:hAnsi="宋体" w:eastAsia="宋体" w:cs="宋体"/>
          <w:b/>
          <w:bCs/>
          <w:color w:val="auto"/>
          <w:kern w:val="2"/>
          <w:sz w:val="32"/>
          <w:szCs w:val="32"/>
          <w:lang w:val="es-ES" w:eastAsia="zh-CN" w:bidi="ar-SA"/>
        </w:rPr>
      </w:pPr>
    </w:p>
    <w:p w14:paraId="6AE00077">
      <w:pPr>
        <w:pStyle w:val="148"/>
        <w:ind w:left="0" w:leftChars="0" w:firstLine="0" w:firstLineChars="0"/>
        <w:rPr>
          <w:rFonts w:hint="eastAsia" w:ascii="宋体" w:hAnsi="宋体" w:eastAsia="宋体" w:cs="宋体"/>
          <w:b/>
          <w:bCs/>
          <w:color w:val="auto"/>
          <w:kern w:val="2"/>
          <w:sz w:val="32"/>
          <w:szCs w:val="32"/>
          <w:lang w:val="es-ES" w:eastAsia="zh-CN" w:bidi="ar-SA"/>
        </w:rPr>
      </w:pPr>
    </w:p>
    <w:p w14:paraId="04058039">
      <w:pPr>
        <w:pStyle w:val="148"/>
        <w:ind w:left="0" w:leftChars="0" w:firstLine="0" w:firstLineChars="0"/>
        <w:rPr>
          <w:rFonts w:hint="eastAsia" w:ascii="宋体" w:hAnsi="宋体" w:eastAsia="宋体" w:cs="宋体"/>
          <w:b/>
          <w:bCs/>
          <w:color w:val="auto"/>
          <w:kern w:val="2"/>
          <w:sz w:val="32"/>
          <w:szCs w:val="32"/>
          <w:lang w:val="es-ES" w:eastAsia="zh-CN" w:bidi="ar-SA"/>
        </w:rPr>
      </w:pPr>
    </w:p>
    <w:p w14:paraId="36D4F279">
      <w:pPr>
        <w:pStyle w:val="148"/>
        <w:ind w:left="0" w:leftChars="0" w:firstLine="0" w:firstLineChars="0"/>
        <w:rPr>
          <w:rFonts w:hint="eastAsia" w:ascii="宋体" w:hAnsi="宋体" w:eastAsia="宋体" w:cs="宋体"/>
          <w:b/>
          <w:bCs/>
          <w:color w:val="auto"/>
          <w:kern w:val="2"/>
          <w:sz w:val="32"/>
          <w:szCs w:val="32"/>
          <w:lang w:val="es-ES" w:eastAsia="zh-CN" w:bidi="ar-SA"/>
        </w:rPr>
      </w:pPr>
    </w:p>
    <w:p w14:paraId="34143E3E">
      <w:pPr>
        <w:pStyle w:val="148"/>
        <w:ind w:left="0" w:leftChars="0" w:firstLine="0" w:firstLineChars="0"/>
        <w:jc w:val="center"/>
        <w:rPr>
          <w:rFonts w:hint="eastAsia" w:ascii="宋体" w:hAnsi="宋体" w:eastAsia="宋体" w:cs="宋体"/>
          <w:b/>
          <w:bCs/>
          <w:color w:val="auto"/>
          <w:kern w:val="2"/>
          <w:sz w:val="32"/>
          <w:szCs w:val="32"/>
          <w:lang w:val="es-ES" w:eastAsia="zh-CN" w:bidi="ar-SA"/>
        </w:rPr>
      </w:pPr>
      <w:r>
        <w:rPr>
          <w:rFonts w:hint="eastAsia" w:ascii="宋体" w:hAnsi="宋体" w:eastAsia="宋体" w:cs="宋体"/>
          <w:b/>
          <w:bCs/>
          <w:color w:val="auto"/>
          <w:kern w:val="2"/>
          <w:sz w:val="32"/>
          <w:szCs w:val="32"/>
          <w:lang w:val="es-ES" w:eastAsia="zh-CN" w:bidi="ar-SA"/>
        </w:rPr>
        <w:t>采购人：凤县黄牛铺镇中心幼儿园</w:t>
      </w:r>
    </w:p>
    <w:p w14:paraId="3EF182F6">
      <w:pPr>
        <w:pStyle w:val="148"/>
        <w:ind w:left="0" w:leftChars="0" w:firstLine="0" w:firstLineChars="0"/>
        <w:jc w:val="both"/>
        <w:rPr>
          <w:rFonts w:hint="eastAsia" w:ascii="宋体" w:hAnsi="宋体" w:eastAsia="宋体" w:cs="宋体"/>
          <w:b/>
          <w:bCs/>
          <w:color w:val="auto"/>
          <w:kern w:val="2"/>
          <w:sz w:val="32"/>
          <w:szCs w:val="32"/>
          <w:lang w:val="es-ES" w:eastAsia="zh-CN" w:bidi="ar-SA"/>
        </w:rPr>
      </w:pPr>
    </w:p>
    <w:p w14:paraId="4944BABD">
      <w:pPr>
        <w:spacing w:before="120" w:beforeLines="50" w:after="120" w:afterLines="50" w:line="600" w:lineRule="exact"/>
        <w:jc w:val="center"/>
        <w:outlineLvl w:val="0"/>
        <w:rPr>
          <w:rFonts w:hint="eastAsia" w:ascii="宋体" w:hAnsi="宋体" w:eastAsia="宋体" w:cs="宋体"/>
          <w:b/>
          <w:bCs/>
          <w:color w:val="auto"/>
          <w:sz w:val="32"/>
          <w:szCs w:val="32"/>
          <w:lang w:val="es-ES" w:eastAsia="zh-CN"/>
        </w:rPr>
      </w:pPr>
      <w:bookmarkStart w:id="9" w:name="_Toc10937"/>
      <w:r>
        <w:rPr>
          <w:rFonts w:hint="eastAsia" w:ascii="宋体" w:hAnsi="宋体" w:eastAsia="宋体" w:cs="宋体"/>
          <w:b/>
          <w:bCs/>
          <w:color w:val="auto"/>
          <w:sz w:val="32"/>
          <w:szCs w:val="32"/>
          <w:lang w:val="es-ES"/>
        </w:rPr>
        <w:t>采购代理机构：</w:t>
      </w:r>
      <w:r>
        <w:rPr>
          <w:rFonts w:hint="eastAsia" w:ascii="宋体" w:hAnsi="宋体" w:eastAsia="宋体" w:cs="宋体"/>
          <w:b/>
          <w:bCs/>
          <w:color w:val="auto"/>
          <w:sz w:val="32"/>
          <w:szCs w:val="32"/>
          <w:lang w:val="es-ES" w:eastAsia="zh-CN"/>
        </w:rPr>
        <w:t>陕西鼎祥越工程造价咨询有限公司</w:t>
      </w:r>
      <w:bookmarkEnd w:id="9"/>
    </w:p>
    <w:p w14:paraId="011358D3">
      <w:pPr>
        <w:pStyle w:val="2"/>
        <w:numPr>
          <w:ilvl w:val="0"/>
          <w:numId w:val="0"/>
        </w:numPr>
        <w:ind w:leftChars="0"/>
        <w:jc w:val="both"/>
        <w:rPr>
          <w:rFonts w:hint="eastAsia"/>
          <w:lang w:val="es-ES" w:eastAsia="zh-CN"/>
        </w:rPr>
      </w:pPr>
    </w:p>
    <w:p w14:paraId="580C8CB3">
      <w:pPr>
        <w:spacing w:before="120" w:beforeLines="50" w:after="120" w:afterLines="50" w:line="600" w:lineRule="exact"/>
        <w:ind w:firstLine="2570" w:firstLineChars="800"/>
        <w:jc w:val="both"/>
        <w:rPr>
          <w:rFonts w:hint="eastAsia" w:ascii="宋体" w:hAnsi="宋体" w:eastAsia="宋体" w:cs="宋体"/>
          <w:color w:val="auto"/>
          <w:sz w:val="30"/>
          <w:szCs w:val="30"/>
        </w:rPr>
        <w:sectPr>
          <w:headerReference r:id="rId5" w:type="first"/>
          <w:footerReference r:id="rId8" w:type="first"/>
          <w:headerReference r:id="rId3" w:type="default"/>
          <w:footerReference r:id="rId6" w:type="default"/>
          <w:headerReference r:id="rId4" w:type="even"/>
          <w:footerReference r:id="rId7" w:type="even"/>
          <w:pgSz w:w="11900" w:h="16838"/>
          <w:pgMar w:top="850" w:right="1344" w:bottom="850" w:left="1344" w:header="1134" w:footer="1134" w:gutter="0"/>
          <w:pgBorders>
            <w:top w:val="none" w:sz="0" w:space="0"/>
            <w:left w:val="none" w:sz="0" w:space="0"/>
            <w:bottom w:val="none" w:sz="0" w:space="0"/>
            <w:right w:val="none" w:sz="0" w:space="0"/>
          </w:pgBorders>
          <w:cols w:space="720" w:num="1"/>
          <w:rtlGutter w:val="0"/>
          <w:docGrid w:linePitch="312" w:charSpace="0"/>
        </w:sectPr>
      </w:pPr>
      <w:r>
        <w:rPr>
          <w:rFonts w:hint="eastAsia" w:ascii="宋体" w:hAnsi="宋体" w:eastAsia="宋体" w:cs="宋体"/>
          <w:b/>
          <w:bCs/>
          <w:color w:val="auto"/>
          <w:sz w:val="32"/>
          <w:szCs w:val="32"/>
          <w:lang w:val="es-ES"/>
        </w:rPr>
        <w:t>发布日期：二〇二</w:t>
      </w:r>
      <w:r>
        <w:rPr>
          <w:rFonts w:hint="eastAsia" w:ascii="宋体" w:hAnsi="宋体" w:eastAsia="宋体" w:cs="宋体"/>
          <w:b/>
          <w:bCs/>
          <w:color w:val="auto"/>
          <w:sz w:val="32"/>
          <w:szCs w:val="32"/>
          <w:lang w:val="es-ES" w:eastAsia="zh-CN"/>
        </w:rPr>
        <w:t>五</w:t>
      </w:r>
      <w:r>
        <w:rPr>
          <w:rFonts w:hint="eastAsia" w:ascii="宋体" w:hAnsi="宋体" w:eastAsia="宋体" w:cs="宋体"/>
          <w:b/>
          <w:bCs/>
          <w:color w:val="auto"/>
          <w:sz w:val="32"/>
          <w:szCs w:val="32"/>
          <w:lang w:val="es-ES"/>
        </w:rPr>
        <w:t>年</w:t>
      </w:r>
      <w:r>
        <w:rPr>
          <w:rFonts w:hint="eastAsia" w:ascii="宋体" w:hAnsi="宋体" w:eastAsia="宋体" w:cs="宋体"/>
          <w:b/>
          <w:bCs/>
          <w:color w:val="auto"/>
          <w:sz w:val="32"/>
          <w:szCs w:val="32"/>
          <w:lang w:val="es-ES" w:eastAsia="zh-CN"/>
        </w:rPr>
        <w:t>七</w:t>
      </w:r>
      <w:r>
        <w:rPr>
          <w:rFonts w:hint="eastAsia" w:ascii="宋体" w:hAnsi="宋体" w:eastAsia="宋体" w:cs="宋体"/>
          <w:b/>
          <w:bCs/>
          <w:color w:val="auto"/>
          <w:sz w:val="32"/>
          <w:szCs w:val="32"/>
          <w:lang w:val="es-ES"/>
        </w:rPr>
        <w:t>月</w:t>
      </w:r>
    </w:p>
    <w:p w14:paraId="6C7548F7">
      <w:pPr>
        <w:shd w:val="clear"/>
        <w:spacing w:after="156" w:afterLines="50"/>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特别提示</w:t>
      </w:r>
    </w:p>
    <w:p w14:paraId="45DFE803">
      <w:pPr>
        <w:shd w:val="clear"/>
        <w:spacing w:line="480" w:lineRule="exact"/>
        <w:ind w:left="204" w:hanging="204" w:hangingChars="85"/>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w:t>
      </w:r>
      <w:r>
        <w:rPr>
          <w:rFonts w:hint="eastAsia" w:ascii="宋体" w:hAnsi="宋体" w:eastAsia="宋体" w:cs="宋体"/>
          <w:sz w:val="24"/>
          <w:szCs w:val="24"/>
          <w:highlight w:val="none"/>
          <w:lang w:val="en-US" w:eastAsia="zh-CN"/>
        </w:rPr>
        <w:t>供应商</w:t>
      </w:r>
      <w:r>
        <w:rPr>
          <w:rFonts w:hint="eastAsia" w:ascii="宋体" w:hAnsi="宋体" w:eastAsia="宋体" w:cs="宋体"/>
          <w:sz w:val="24"/>
          <w:szCs w:val="24"/>
          <w:highlight w:val="none"/>
        </w:rPr>
        <w:t>，在此我们特别提醒您注意以下事项：</w:t>
      </w:r>
    </w:p>
    <w:p w14:paraId="3D7941F9">
      <w:pPr>
        <w:shd w:val="clear"/>
        <w:spacing w:line="48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一、有关磋商响应文件：</w:t>
      </w:r>
    </w:p>
    <w:p w14:paraId="0208F06E">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1、请您仔细阅读磋商文件并正确理解磋商文件中各项具体要求。如您对磋商文件有疑问，请在磋商文件规定的时间内以书面形式提出，逾期将被拒绝受理。</w:t>
      </w:r>
    </w:p>
    <w:p w14:paraId="03609E27">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2、请您严格按照磋商文件载明的磋商响应文件的格式要求编制磋商响应文件，磋商响应文件须胶装成册。</w:t>
      </w:r>
    </w:p>
    <w:p w14:paraId="0FF8BB3E">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请您仔细核对您的磋商响应文件是否已按照磋商文件的要求签字、签章和加盖单位公章，您的实质性条款是否满足磋商文件要求，您的磋商响应文件中所附资格证明等资料是否齐全、有效且是否满足磋商文件要求。</w:t>
      </w:r>
    </w:p>
    <w:p w14:paraId="32A3E3AA">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4、请您按照磋商文件要求密封磋商响应文件，并正确标记。</w:t>
      </w:r>
    </w:p>
    <w:p w14:paraId="74D1E968">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提示：您的磋商响应文件若不满足以上条件将有被否决的风险。</w:t>
      </w:r>
    </w:p>
    <w:p w14:paraId="0CFC1E87">
      <w:pPr>
        <w:shd w:val="clear"/>
        <w:spacing w:line="48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二、有关磋商：</w:t>
      </w:r>
    </w:p>
    <w:p w14:paraId="7D1EDBB4">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1、除磋商文件要求递交的文件和资料外，请您随身携带磋商文件要求提供的其他备查文件原件（如有）。</w:t>
      </w:r>
    </w:p>
    <w:p w14:paraId="155C9689">
      <w:pPr>
        <w:shd w:val="clear"/>
        <w:spacing w:line="480" w:lineRule="exact"/>
        <w:rPr>
          <w:rFonts w:hint="eastAsia" w:ascii="宋体" w:hAnsi="宋体" w:eastAsia="宋体" w:cs="宋体"/>
          <w:sz w:val="24"/>
          <w:szCs w:val="24"/>
          <w:highlight w:val="none"/>
        </w:rPr>
      </w:pPr>
      <w:r>
        <w:rPr>
          <w:rFonts w:hint="eastAsia" w:ascii="宋体" w:hAnsi="宋体" w:eastAsia="宋体" w:cs="宋体"/>
          <w:sz w:val="24"/>
          <w:szCs w:val="24"/>
          <w:highlight w:val="none"/>
        </w:rPr>
        <w:t>三、关于弃标的说明：</w:t>
      </w:r>
    </w:p>
    <w:p w14:paraId="7BCA50DE">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若您因为一些特殊原因不能参加本次磋商活动，请您务必以书面形式告知我们，以便我们正常开展后期工作，同时也避免再次打扰您，感谢您的配合。</w:t>
      </w:r>
    </w:p>
    <w:p w14:paraId="09F047F6">
      <w:pPr>
        <w:shd w:val="clear"/>
        <w:spacing w:line="48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请各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仔细阅读上述提示。如需帮助，请您与我们的工作人员联系（</w:t>
      </w:r>
      <w:r>
        <w:rPr>
          <w:rFonts w:hint="eastAsia" w:ascii="宋体" w:hAnsi="宋体" w:cs="宋体"/>
          <w:sz w:val="24"/>
          <w:szCs w:val="24"/>
          <w:highlight w:val="none"/>
          <w:lang w:val="en-US" w:eastAsia="zh-CN"/>
        </w:rPr>
        <w:t>邹</w:t>
      </w:r>
      <w:r>
        <w:rPr>
          <w:rFonts w:hint="eastAsia" w:ascii="宋体" w:hAnsi="宋体" w:eastAsia="宋体" w:cs="宋体"/>
          <w:sz w:val="24"/>
          <w:szCs w:val="24"/>
          <w:highlight w:val="none"/>
          <w:lang w:eastAsia="zh-CN"/>
        </w:rPr>
        <w:t>工</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0917-3807560</w:t>
      </w:r>
      <w:r>
        <w:rPr>
          <w:rFonts w:hint="eastAsia" w:ascii="宋体" w:hAnsi="宋体" w:eastAsia="宋体" w:cs="宋体"/>
          <w:sz w:val="24"/>
          <w:szCs w:val="24"/>
          <w:highlight w:val="none"/>
        </w:rPr>
        <w:t>），我们将非常高兴地为您服务。</w:t>
      </w:r>
    </w:p>
    <w:p w14:paraId="5247E1F2">
      <w:pPr>
        <w:shd w:val="clear"/>
        <w:spacing w:line="360" w:lineRule="auto"/>
        <w:jc w:val="center"/>
        <w:rPr>
          <w:rFonts w:hint="eastAsia" w:ascii="宋体" w:hAnsi="宋体" w:eastAsia="宋体" w:cs="宋体"/>
          <w:b/>
          <w:bCs/>
          <w:sz w:val="28"/>
          <w:szCs w:val="28"/>
          <w:highlight w:val="none"/>
        </w:rPr>
        <w:sectPr>
          <w:headerReference r:id="rId10" w:type="first"/>
          <w:footerReference r:id="rId12" w:type="first"/>
          <w:headerReference r:id="rId9" w:type="default"/>
          <w:footerReference r:id="rId11" w:type="default"/>
          <w:pgSz w:w="11906" w:h="16838"/>
          <w:pgMar w:top="1440" w:right="1253" w:bottom="1440" w:left="1253" w:header="907" w:footer="907" w:gutter="0"/>
          <w:pgBorders>
            <w:top w:val="none" w:sz="0" w:space="0"/>
            <w:left w:val="none" w:sz="0" w:space="0"/>
            <w:bottom w:val="none" w:sz="0" w:space="0"/>
            <w:right w:val="none" w:sz="0" w:space="0"/>
          </w:pgBorders>
          <w:pgNumType w:fmt="decimal" w:start="1"/>
          <w:cols w:space="0" w:num="1"/>
          <w:rtlGutter w:val="0"/>
          <w:docGrid w:type="lines" w:linePitch="312" w:charSpace="0"/>
        </w:sectPr>
      </w:pPr>
    </w:p>
    <w:p w14:paraId="373C4292">
      <w:pPr>
        <w:shd w:val="clear"/>
        <w:spacing w:line="360" w:lineRule="auto"/>
        <w:jc w:val="center"/>
        <w:rPr>
          <w:rFonts w:hint="eastAsia" w:ascii="宋体" w:hAnsi="宋体" w:eastAsia="宋体" w:cs="宋体"/>
          <w:b/>
          <w:bCs/>
          <w:sz w:val="36"/>
          <w:szCs w:val="36"/>
          <w:highlight w:val="none"/>
        </w:rPr>
      </w:pPr>
      <w:r>
        <w:rPr>
          <w:rFonts w:hint="eastAsia" w:ascii="宋体" w:hAnsi="宋体" w:eastAsia="宋体" w:cs="宋体"/>
          <w:b/>
          <w:bCs/>
          <w:sz w:val="36"/>
          <w:szCs w:val="36"/>
          <w:highlight w:val="none"/>
        </w:rPr>
        <w:t>目  录</w:t>
      </w:r>
    </w:p>
    <w:sdt>
      <w:sdtPr>
        <w:rPr>
          <w:rFonts w:hint="eastAsia" w:ascii="宋体" w:hAnsi="宋体" w:eastAsia="宋体" w:cs="宋体"/>
          <w:kern w:val="2"/>
          <w:sz w:val="21"/>
          <w:szCs w:val="21"/>
          <w:lang w:val="en-US" w:eastAsia="zh-CN" w:bidi="ar-SA"/>
        </w:rPr>
        <w:id w:val="147467133"/>
        <w15:color w:val="DBDBDB"/>
        <w:docPartObj>
          <w:docPartGallery w:val="Table of Contents"/>
          <w:docPartUnique/>
        </w:docPartObj>
      </w:sdtPr>
      <w:sdtEndPr>
        <w:rPr>
          <w:rFonts w:hint="eastAsia" w:ascii="宋体" w:hAnsi="宋体" w:eastAsia="宋体" w:cs="宋体"/>
          <w:kern w:val="2"/>
          <w:sz w:val="21"/>
          <w:szCs w:val="21"/>
          <w:lang w:val="en-US" w:eastAsia="zh-CN" w:bidi="ar-SA"/>
        </w:rPr>
      </w:sdtEndPr>
      <w:sdtContent>
        <w:p w14:paraId="141DAE13">
          <w:pPr>
            <w:shd w:val="clear"/>
            <w:spacing w:before="0" w:beforeLines="0" w:after="0" w:afterLines="0" w:line="240" w:lineRule="auto"/>
            <w:ind w:left="0" w:leftChars="0" w:right="0" w:rightChars="0" w:firstLine="0" w:firstLineChars="0"/>
            <w:jc w:val="center"/>
            <w:rPr>
              <w:rFonts w:hint="eastAsia" w:ascii="宋体" w:hAnsi="宋体" w:eastAsia="宋体" w:cs="宋体"/>
            </w:rPr>
          </w:pPr>
        </w:p>
        <w:p w14:paraId="51A47FE1">
          <w:pPr>
            <w:pStyle w:val="25"/>
            <w:tabs>
              <w:tab w:val="right" w:leader="underscore" w:pos="9400"/>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TOC \o "1-1" \h \u </w:instrText>
          </w:r>
          <w:r>
            <w:rPr>
              <w:rFonts w:hint="eastAsia" w:ascii="宋体" w:hAnsi="宋体" w:eastAsia="宋体" w:cs="宋体"/>
            </w:rPr>
            <w:fldChar w:fldCharType="separate"/>
          </w:r>
        </w:p>
        <w:p w14:paraId="6AD0682F">
          <w:pPr>
            <w:pStyle w:val="25"/>
            <w:tabs>
              <w:tab w:val="right" w:leader="underscore" w:pos="940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_Toc32396 </w:instrText>
          </w:r>
          <w:r>
            <w:rPr>
              <w:rFonts w:hint="eastAsia" w:ascii="宋体" w:hAnsi="宋体" w:eastAsia="宋体" w:cs="宋体"/>
            </w:rPr>
            <w:fldChar w:fldCharType="separate"/>
          </w:r>
          <w:r>
            <w:rPr>
              <w:rFonts w:hint="eastAsia" w:ascii="宋体" w:hAnsi="宋体" w:eastAsia="宋体" w:cs="宋体"/>
              <w:lang w:val="en-US" w:eastAsia="zh-CN"/>
            </w:rPr>
            <w:t xml:space="preserve">第一章 </w:t>
          </w:r>
          <w:r>
            <w:rPr>
              <w:rFonts w:hint="eastAsia" w:ascii="宋体" w:hAnsi="宋体" w:eastAsia="宋体" w:cs="宋体"/>
              <w:highlight w:val="none"/>
              <w:lang w:val="en-US" w:eastAsia="zh-CN"/>
            </w:rPr>
            <w:t>竞争性磋商公告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_Toc32396 \h </w:instrText>
          </w:r>
          <w:r>
            <w:rPr>
              <w:rFonts w:hint="eastAsia" w:ascii="宋体" w:hAnsi="宋体" w:eastAsia="宋体" w:cs="宋体"/>
            </w:rPr>
            <w:fldChar w:fldCharType="separate"/>
          </w:r>
          <w:r>
            <w:rPr>
              <w:rFonts w:hint="eastAsia" w:ascii="宋体" w:hAnsi="宋体" w:eastAsia="宋体" w:cs="宋体"/>
            </w:rPr>
            <w:t>3</w:t>
          </w:r>
          <w:r>
            <w:rPr>
              <w:rFonts w:hint="eastAsia" w:ascii="宋体" w:hAnsi="宋体" w:eastAsia="宋体" w:cs="宋体"/>
            </w:rPr>
            <w:fldChar w:fldCharType="end"/>
          </w:r>
          <w:r>
            <w:rPr>
              <w:rFonts w:hint="eastAsia" w:ascii="宋体" w:hAnsi="宋体" w:eastAsia="宋体" w:cs="宋体"/>
            </w:rPr>
            <w:fldChar w:fldCharType="end"/>
          </w:r>
        </w:p>
        <w:p w14:paraId="35EA0006">
          <w:pPr>
            <w:pStyle w:val="25"/>
            <w:tabs>
              <w:tab w:val="right" w:leader="underscore" w:pos="940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_Toc15104 </w:instrText>
          </w:r>
          <w:r>
            <w:rPr>
              <w:rFonts w:hint="eastAsia" w:ascii="宋体" w:hAnsi="宋体" w:eastAsia="宋体" w:cs="宋体"/>
            </w:rPr>
            <w:fldChar w:fldCharType="separate"/>
          </w:r>
          <w:r>
            <w:rPr>
              <w:rFonts w:hint="eastAsia" w:ascii="宋体" w:hAnsi="宋体" w:eastAsia="宋体" w:cs="宋体"/>
              <w:highlight w:val="none"/>
            </w:rPr>
            <w:t>第二章</w:t>
          </w:r>
          <w:r>
            <w:rPr>
              <w:rFonts w:hint="eastAsia" w:ascii="宋体" w:hAnsi="宋体" w:eastAsia="宋体" w:cs="宋体"/>
              <w:highlight w:val="none"/>
              <w:lang w:val="en-US" w:eastAsia="zh-CN"/>
            </w:rPr>
            <w:t xml:space="preserve"> </w:t>
          </w:r>
          <w:r>
            <w:rPr>
              <w:rFonts w:hint="eastAsia" w:ascii="宋体" w:hAnsi="宋体" w:eastAsia="宋体" w:cs="宋体"/>
              <w:highlight w:val="none"/>
              <w:lang w:eastAsia="zh-CN"/>
            </w:rPr>
            <w:t>投标供应商</w:t>
          </w:r>
          <w:r>
            <w:rPr>
              <w:rFonts w:hint="eastAsia" w:ascii="宋体" w:hAnsi="宋体" w:eastAsia="宋体" w:cs="宋体"/>
              <w:highlight w:val="none"/>
            </w:rPr>
            <w:t>须知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_Toc15104 \h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14:paraId="7A15EDC7">
          <w:pPr>
            <w:pStyle w:val="25"/>
            <w:tabs>
              <w:tab w:val="right" w:leader="underscore" w:pos="940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_Toc9854 </w:instrText>
          </w:r>
          <w:r>
            <w:rPr>
              <w:rFonts w:hint="eastAsia" w:ascii="宋体" w:hAnsi="宋体" w:eastAsia="宋体" w:cs="宋体"/>
            </w:rPr>
            <w:fldChar w:fldCharType="separate"/>
          </w:r>
          <w:r>
            <w:rPr>
              <w:rFonts w:hint="eastAsia" w:ascii="宋体" w:hAnsi="宋体" w:eastAsia="宋体" w:cs="宋体"/>
              <w:bCs/>
              <w:szCs w:val="32"/>
              <w:highlight w:val="none"/>
            </w:rPr>
            <w:t>第三章</w:t>
          </w:r>
          <w:r>
            <w:rPr>
              <w:rFonts w:hint="eastAsia" w:ascii="宋体" w:hAnsi="宋体" w:eastAsia="宋体" w:cs="宋体"/>
              <w:bCs/>
              <w:szCs w:val="32"/>
              <w:highlight w:val="none"/>
              <w:lang w:val="en-US" w:eastAsia="zh-CN"/>
            </w:rPr>
            <w:t xml:space="preserve"> </w:t>
          </w:r>
          <w:r>
            <w:rPr>
              <w:rFonts w:hint="eastAsia" w:ascii="宋体" w:hAnsi="宋体" w:eastAsia="宋体" w:cs="宋体"/>
              <w:bCs/>
              <w:szCs w:val="32"/>
              <w:highlight w:val="none"/>
            </w:rPr>
            <w:t>评审方法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_Toc9854 \h </w:instrText>
          </w:r>
          <w:r>
            <w:rPr>
              <w:rFonts w:hint="eastAsia" w:ascii="宋体" w:hAnsi="宋体" w:eastAsia="宋体" w:cs="宋体"/>
            </w:rPr>
            <w:fldChar w:fldCharType="separate"/>
          </w:r>
          <w:r>
            <w:rPr>
              <w:rFonts w:hint="eastAsia" w:ascii="宋体" w:hAnsi="宋体" w:eastAsia="宋体" w:cs="宋体"/>
            </w:rPr>
            <w:t>23</w:t>
          </w:r>
          <w:r>
            <w:rPr>
              <w:rFonts w:hint="eastAsia" w:ascii="宋体" w:hAnsi="宋体" w:eastAsia="宋体" w:cs="宋体"/>
            </w:rPr>
            <w:fldChar w:fldCharType="end"/>
          </w:r>
          <w:r>
            <w:rPr>
              <w:rFonts w:hint="eastAsia" w:ascii="宋体" w:hAnsi="宋体" w:eastAsia="宋体" w:cs="宋体"/>
            </w:rPr>
            <w:fldChar w:fldCharType="end"/>
          </w:r>
        </w:p>
        <w:p w14:paraId="4A97BF08">
          <w:pPr>
            <w:pStyle w:val="25"/>
            <w:tabs>
              <w:tab w:val="right" w:leader="underscore" w:pos="940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_Toc10559 </w:instrText>
          </w:r>
          <w:r>
            <w:rPr>
              <w:rFonts w:hint="eastAsia" w:ascii="宋体" w:hAnsi="宋体" w:eastAsia="宋体" w:cs="宋体"/>
            </w:rPr>
            <w:fldChar w:fldCharType="separate"/>
          </w:r>
          <w:r>
            <w:rPr>
              <w:rFonts w:hint="eastAsia" w:ascii="宋体" w:hAnsi="宋体" w:eastAsia="宋体" w:cs="宋体"/>
            </w:rPr>
            <w:t xml:space="preserve">第四章 </w:t>
          </w:r>
          <w:r>
            <w:rPr>
              <w:rFonts w:hint="eastAsia" w:ascii="宋体" w:hAnsi="宋体" w:eastAsia="宋体" w:cs="宋体"/>
              <w:highlight w:val="none"/>
            </w:rPr>
            <w:t>合同主要条款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_Toc10559 \h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14:paraId="0B66F71F">
          <w:pPr>
            <w:pStyle w:val="25"/>
            <w:tabs>
              <w:tab w:val="right" w:leader="underscore" w:pos="940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_Toc17835 </w:instrText>
          </w:r>
          <w:r>
            <w:rPr>
              <w:rFonts w:hint="eastAsia" w:ascii="宋体" w:hAnsi="宋体" w:eastAsia="宋体" w:cs="宋体"/>
            </w:rPr>
            <w:fldChar w:fldCharType="separate"/>
          </w:r>
          <w:r>
            <w:rPr>
              <w:rFonts w:hint="eastAsia" w:ascii="宋体" w:hAnsi="宋体" w:eastAsia="宋体" w:cs="宋体"/>
              <w:bCs/>
              <w:szCs w:val="32"/>
              <w:lang w:eastAsia="zh-CN"/>
            </w:rPr>
            <w:t xml:space="preserve">第五章 </w:t>
          </w:r>
          <w:r>
            <w:rPr>
              <w:rFonts w:hint="eastAsia" w:ascii="宋体" w:hAnsi="宋体" w:eastAsia="宋体" w:cs="宋体"/>
              <w:bCs/>
              <w:szCs w:val="32"/>
              <w:highlight w:val="none"/>
              <w:lang w:eastAsia="zh-CN"/>
            </w:rPr>
            <w:t>工程量清单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_Toc17835 \h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rPr>
            <w:fldChar w:fldCharType="end"/>
          </w:r>
        </w:p>
        <w:p w14:paraId="023FCF3C">
          <w:pPr>
            <w:pStyle w:val="25"/>
            <w:tabs>
              <w:tab w:val="right" w:leader="underscore" w:pos="9400"/>
            </w:tabs>
            <w:spacing w:line="480" w:lineRule="auto"/>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_Toc24493 </w:instrText>
          </w:r>
          <w:r>
            <w:rPr>
              <w:rFonts w:hint="eastAsia" w:ascii="宋体" w:hAnsi="宋体" w:eastAsia="宋体" w:cs="宋体"/>
            </w:rPr>
            <w:fldChar w:fldCharType="separate"/>
          </w:r>
          <w:r>
            <w:rPr>
              <w:rFonts w:hint="eastAsia" w:ascii="宋体" w:hAnsi="宋体" w:eastAsia="宋体" w:cs="宋体"/>
              <w:highlight w:val="none"/>
            </w:rPr>
            <w:t>第六章</w:t>
          </w:r>
          <w:r>
            <w:rPr>
              <w:rFonts w:hint="eastAsia" w:ascii="宋体" w:hAnsi="宋体" w:eastAsia="宋体" w:cs="宋体"/>
              <w:highlight w:val="none"/>
              <w:lang w:val="en-US" w:eastAsia="zh-CN"/>
            </w:rPr>
            <w:t xml:space="preserve"> </w:t>
          </w:r>
          <w:r>
            <w:rPr>
              <w:rFonts w:hint="eastAsia" w:ascii="宋体" w:hAnsi="宋体" w:eastAsia="宋体" w:cs="宋体"/>
              <w:highlight w:val="none"/>
            </w:rPr>
            <w:t>竞争性磋商响应文件构成及格式</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_Toc24493 \h </w:instrText>
          </w:r>
          <w:r>
            <w:rPr>
              <w:rFonts w:hint="eastAsia" w:ascii="宋体" w:hAnsi="宋体" w:eastAsia="宋体" w:cs="宋体"/>
            </w:rPr>
            <w:fldChar w:fldCharType="separate"/>
          </w:r>
          <w:r>
            <w:rPr>
              <w:rFonts w:hint="eastAsia" w:ascii="宋体" w:hAnsi="宋体" w:eastAsia="宋体" w:cs="宋体"/>
            </w:rPr>
            <w:t>36</w:t>
          </w:r>
          <w:r>
            <w:rPr>
              <w:rFonts w:hint="eastAsia" w:ascii="宋体" w:hAnsi="宋体" w:eastAsia="宋体" w:cs="宋体"/>
            </w:rPr>
            <w:fldChar w:fldCharType="end"/>
          </w:r>
          <w:r>
            <w:rPr>
              <w:rFonts w:hint="eastAsia" w:ascii="宋体" w:hAnsi="宋体" w:eastAsia="宋体" w:cs="宋体"/>
            </w:rPr>
            <w:fldChar w:fldCharType="end"/>
          </w:r>
        </w:p>
        <w:p w14:paraId="2D949CE9">
          <w:pPr>
            <w:pStyle w:val="25"/>
            <w:tabs>
              <w:tab w:val="right" w:leader="underscore" w:pos="9400"/>
            </w:tabs>
            <w:rPr>
              <w:rFonts w:hint="eastAsia" w:ascii="宋体" w:hAnsi="宋体" w:eastAsia="宋体" w:cs="宋体"/>
            </w:rPr>
          </w:pPr>
        </w:p>
        <w:p w14:paraId="1381CA6B">
          <w:pPr>
            <w:shd w:val="clear"/>
            <w:rPr>
              <w:rFonts w:hint="eastAsia" w:ascii="宋体" w:hAnsi="宋体" w:eastAsia="宋体" w:cs="宋体"/>
            </w:rPr>
          </w:pPr>
          <w:r>
            <w:rPr>
              <w:rFonts w:hint="eastAsia" w:ascii="宋体" w:hAnsi="宋体" w:eastAsia="宋体" w:cs="宋体"/>
            </w:rPr>
            <w:fldChar w:fldCharType="end"/>
          </w:r>
        </w:p>
      </w:sdtContent>
    </w:sdt>
    <w:p w14:paraId="1C303664">
      <w:pPr>
        <w:shd w:val="clear"/>
        <w:tabs>
          <w:tab w:val="left" w:pos="2199"/>
        </w:tabs>
        <w:rPr>
          <w:rFonts w:hint="eastAsia" w:ascii="宋体" w:hAnsi="宋体" w:eastAsia="宋体" w:cs="宋体"/>
          <w:highlight w:val="none"/>
        </w:rPr>
      </w:pPr>
      <w:r>
        <w:rPr>
          <w:rFonts w:hint="eastAsia" w:ascii="宋体" w:hAnsi="宋体" w:eastAsia="宋体" w:cs="宋体"/>
          <w:highlight w:val="none"/>
        </w:rPr>
        <w:tab/>
      </w:r>
    </w:p>
    <w:p w14:paraId="4CD10D7D">
      <w:pPr>
        <w:shd w:val="clear"/>
        <w:rPr>
          <w:rFonts w:hint="eastAsia" w:ascii="宋体" w:hAnsi="宋体" w:eastAsia="宋体" w:cs="宋体"/>
          <w:sz w:val="36"/>
          <w:szCs w:val="36"/>
          <w:highlight w:val="none"/>
        </w:rPr>
      </w:pPr>
    </w:p>
    <w:p w14:paraId="3CA6896B">
      <w:pPr>
        <w:shd w:val="clear"/>
        <w:rPr>
          <w:rFonts w:hint="eastAsia" w:ascii="宋体" w:hAnsi="宋体" w:eastAsia="宋体" w:cs="宋体"/>
          <w:sz w:val="36"/>
          <w:szCs w:val="36"/>
          <w:highlight w:val="none"/>
        </w:rPr>
      </w:pPr>
    </w:p>
    <w:p w14:paraId="426D0CBE">
      <w:pPr>
        <w:shd w:val="clear"/>
        <w:rPr>
          <w:rFonts w:hint="eastAsia" w:ascii="宋体" w:hAnsi="宋体" w:eastAsia="宋体" w:cs="宋体"/>
          <w:sz w:val="36"/>
          <w:szCs w:val="36"/>
          <w:highlight w:val="none"/>
        </w:rPr>
      </w:pPr>
    </w:p>
    <w:p w14:paraId="601333ED">
      <w:pPr>
        <w:shd w:val="clear"/>
        <w:jc w:val="center"/>
        <w:rPr>
          <w:rFonts w:hint="eastAsia" w:ascii="宋体" w:hAnsi="宋体" w:eastAsia="宋体" w:cs="宋体"/>
          <w:sz w:val="36"/>
          <w:szCs w:val="36"/>
          <w:highlight w:val="none"/>
        </w:rPr>
      </w:pPr>
    </w:p>
    <w:p w14:paraId="01965B31">
      <w:pPr>
        <w:shd w:val="clear"/>
        <w:rPr>
          <w:rFonts w:hint="eastAsia" w:ascii="宋体" w:hAnsi="宋体" w:eastAsia="宋体" w:cs="宋体"/>
          <w:sz w:val="36"/>
          <w:szCs w:val="36"/>
          <w:highlight w:val="none"/>
        </w:rPr>
      </w:pPr>
    </w:p>
    <w:p w14:paraId="2D973E52">
      <w:pPr>
        <w:shd w:val="clear"/>
        <w:rPr>
          <w:rFonts w:hint="eastAsia" w:ascii="宋体" w:hAnsi="宋体" w:eastAsia="宋体" w:cs="宋体"/>
          <w:sz w:val="36"/>
          <w:szCs w:val="36"/>
          <w:highlight w:val="none"/>
        </w:rPr>
      </w:pPr>
    </w:p>
    <w:p w14:paraId="40A6F8F7">
      <w:pPr>
        <w:shd w:val="clear"/>
        <w:rPr>
          <w:rFonts w:hint="eastAsia" w:ascii="宋体" w:hAnsi="宋体" w:eastAsia="宋体" w:cs="宋体"/>
          <w:sz w:val="36"/>
          <w:szCs w:val="36"/>
          <w:highlight w:val="none"/>
        </w:rPr>
      </w:pPr>
    </w:p>
    <w:p w14:paraId="66CC77D9">
      <w:pPr>
        <w:widowControl/>
        <w:shd w:val="clear"/>
        <w:spacing w:line="360" w:lineRule="auto"/>
        <w:ind w:firstLine="482" w:firstLineChars="150"/>
        <w:jc w:val="center"/>
        <w:outlineLvl w:val="9"/>
        <w:rPr>
          <w:rFonts w:hint="eastAsia" w:ascii="宋体" w:hAnsi="宋体" w:eastAsia="宋体" w:cs="宋体"/>
          <w:b/>
          <w:bCs/>
          <w:sz w:val="32"/>
          <w:szCs w:val="32"/>
          <w:highlight w:val="none"/>
        </w:rPr>
        <w:sectPr>
          <w:footerReference r:id="rId13" w:type="first"/>
          <w:pgSz w:w="11906" w:h="16838"/>
          <w:pgMar w:top="1440" w:right="1253" w:bottom="1440" w:left="1253" w:header="907" w:footer="907"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10" w:name="_Toc452384741"/>
    </w:p>
    <w:bookmarkEnd w:id="10"/>
    <w:p w14:paraId="168B8431">
      <w:pPr>
        <w:pStyle w:val="2"/>
        <w:keepNext w:val="0"/>
        <w:pageBreakBefore/>
        <w:numPr>
          <w:ilvl w:val="0"/>
          <w:numId w:val="1"/>
        </w:numPr>
        <w:shd w:val="clear"/>
        <w:spacing w:line="240" w:lineRule="auto"/>
        <w:jc w:val="center"/>
        <w:outlineLvl w:val="0"/>
        <w:rPr>
          <w:rFonts w:hint="eastAsia" w:ascii="宋体" w:hAnsi="宋体" w:eastAsia="宋体" w:cs="宋体"/>
          <w:color w:val="auto"/>
          <w:highlight w:val="none"/>
          <w:lang w:val="en-US" w:eastAsia="zh-CN"/>
        </w:rPr>
      </w:pPr>
      <w:bookmarkStart w:id="11" w:name="_Toc32622"/>
      <w:bookmarkStart w:id="12" w:name="_Toc32396"/>
      <w:bookmarkStart w:id="13" w:name="_Toc421778363"/>
      <w:bookmarkStart w:id="14" w:name="_Toc15168"/>
      <w:r>
        <w:rPr>
          <w:rFonts w:hint="eastAsia" w:ascii="宋体" w:hAnsi="宋体" w:eastAsia="宋体" w:cs="宋体"/>
          <w:highlight w:val="none"/>
          <w:lang w:val="en-US" w:eastAsia="zh-CN"/>
        </w:rPr>
        <w:t>竞争性磋</w:t>
      </w:r>
      <w:r>
        <w:rPr>
          <w:rFonts w:hint="eastAsia" w:ascii="宋体" w:hAnsi="宋体" w:eastAsia="宋体" w:cs="宋体"/>
          <w:color w:val="auto"/>
          <w:highlight w:val="none"/>
          <w:lang w:val="en-US" w:eastAsia="zh-CN"/>
        </w:rPr>
        <w:t>商公告</w:t>
      </w:r>
      <w:bookmarkEnd w:id="11"/>
      <w:bookmarkEnd w:id="12"/>
    </w:p>
    <w:p w14:paraId="6ED73D7A">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新宋体" w:hAnsi="新宋体" w:eastAsia="新宋体" w:cs="新宋体"/>
          <w:b w:val="0"/>
          <w:bCs w:val="0"/>
          <w:sz w:val="21"/>
          <w:szCs w:val="21"/>
        </w:rPr>
      </w:pPr>
      <w:r>
        <w:rPr>
          <w:rStyle w:val="40"/>
          <w:rFonts w:hint="eastAsia" w:ascii="新宋体" w:hAnsi="新宋体" w:eastAsia="新宋体" w:cs="新宋体"/>
          <w:b/>
          <w:bCs/>
          <w:i w:val="0"/>
          <w:iCs w:val="0"/>
          <w:caps w:val="0"/>
          <w:color w:val="333333"/>
          <w:spacing w:val="0"/>
          <w:sz w:val="21"/>
          <w:szCs w:val="21"/>
          <w:shd w:val="clear" w:fill="FFFFFF"/>
          <w:vertAlign w:val="baseline"/>
        </w:rPr>
        <w:t>项目概况</w:t>
      </w:r>
    </w:p>
    <w:p w14:paraId="02B608D2">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凤县黄牛铺幼儿园校舍维修项目采购项目的潜在供应商应在宝鸡市金台区行政大道海棠风尚1510室获取采购文件，并于2025年07月24日14时30分（北京时间）前提交响应文件。</w:t>
      </w:r>
    </w:p>
    <w:p w14:paraId="346FD37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一、项目基本情况</w:t>
      </w:r>
    </w:p>
    <w:p w14:paraId="367D902C">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项目编号：DXY2025-008</w:t>
      </w:r>
    </w:p>
    <w:p w14:paraId="7F700D55">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项目名称：凤县黄牛铺幼儿园校舍维修项目</w:t>
      </w:r>
    </w:p>
    <w:p w14:paraId="71E2967A">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采购方式：竞争性磋商</w:t>
      </w:r>
    </w:p>
    <w:p w14:paraId="093ACBDD">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预算金额：140,000.00元</w:t>
      </w:r>
    </w:p>
    <w:p w14:paraId="17F0D890">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采购需求：</w:t>
      </w:r>
    </w:p>
    <w:p w14:paraId="3A578926">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合同包1(凤县黄牛铺幼儿园校舍维修项目):</w:t>
      </w:r>
    </w:p>
    <w:p w14:paraId="301F719F">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合同包预算金额：140,000.00元</w:t>
      </w:r>
    </w:p>
    <w:p w14:paraId="2CF59FD7">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合同包最高限价：139,773.43元</w:t>
      </w:r>
    </w:p>
    <w:tbl>
      <w:tblPr>
        <w:tblStyle w:val="37"/>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8"/>
        <w:gridCol w:w="2519"/>
        <w:gridCol w:w="2211"/>
        <w:gridCol w:w="1199"/>
        <w:gridCol w:w="1717"/>
        <w:gridCol w:w="1290"/>
      </w:tblGrid>
      <w:tr w14:paraId="460FB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8" w:hRule="atLeast"/>
          <w:tblHeader/>
        </w:trPr>
        <w:tc>
          <w:tcPr>
            <w:tcW w:w="3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3B3F638">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品目号</w:t>
            </w:r>
          </w:p>
        </w:tc>
        <w:tc>
          <w:tcPr>
            <w:tcW w:w="130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0596EF">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品目名称</w:t>
            </w:r>
          </w:p>
        </w:tc>
        <w:tc>
          <w:tcPr>
            <w:tcW w:w="114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69C3C5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采购标的</w:t>
            </w:r>
          </w:p>
        </w:tc>
        <w:tc>
          <w:tcPr>
            <w:tcW w:w="6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E88A385">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数量（单位）</w:t>
            </w:r>
          </w:p>
        </w:tc>
        <w:tc>
          <w:tcPr>
            <w:tcW w:w="8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9E3386E">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技术规格、参数及要求</w:t>
            </w:r>
          </w:p>
        </w:tc>
        <w:tc>
          <w:tcPr>
            <w:tcW w:w="66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E64D71">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新宋体" w:hAnsi="新宋体" w:eastAsia="新宋体" w:cs="新宋体"/>
                <w:b/>
                <w:bCs/>
                <w:sz w:val="21"/>
                <w:szCs w:val="21"/>
              </w:rPr>
            </w:pPr>
            <w:r>
              <w:rPr>
                <w:rFonts w:hint="eastAsia" w:ascii="新宋体" w:hAnsi="新宋体" w:eastAsia="新宋体" w:cs="新宋体"/>
                <w:b/>
                <w:bCs/>
                <w:kern w:val="0"/>
                <w:sz w:val="21"/>
                <w:szCs w:val="21"/>
                <w:lang w:val="en-US" w:eastAsia="zh-CN" w:bidi="ar"/>
              </w:rPr>
              <w:t>品目预算(元)</w:t>
            </w:r>
          </w:p>
        </w:tc>
      </w:tr>
      <w:tr w14:paraId="2B00A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80" w:hRule="atLeast"/>
        </w:trPr>
        <w:tc>
          <w:tcPr>
            <w:tcW w:w="36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30C0FD">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1-1</w:t>
            </w:r>
          </w:p>
        </w:tc>
        <w:tc>
          <w:tcPr>
            <w:tcW w:w="130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E2BD07A">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其他建筑工程</w:t>
            </w:r>
          </w:p>
        </w:tc>
        <w:tc>
          <w:tcPr>
            <w:tcW w:w="1147"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54DAC4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校舍维修项目</w:t>
            </w:r>
          </w:p>
        </w:tc>
        <w:tc>
          <w:tcPr>
            <w:tcW w:w="622"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D548ABC">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1(项)</w:t>
            </w:r>
          </w:p>
        </w:tc>
        <w:tc>
          <w:tcPr>
            <w:tcW w:w="891"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17F75B">
            <w:pPr>
              <w:keepNext w:val="0"/>
              <w:keepLines w:val="0"/>
              <w:pageBreakBefore w:val="0"/>
              <w:widowControl/>
              <w:suppressLineNumbers w:val="0"/>
              <w:kinsoku/>
              <w:wordWrap w:val="0"/>
              <w:overflowPunct/>
              <w:topLinePunct w:val="0"/>
              <w:autoSpaceDE/>
              <w:autoSpaceDN/>
              <w:bidi w:val="0"/>
              <w:adjustRightInd/>
              <w:snapToGrid/>
              <w:spacing w:beforeAutospacing="0" w:afterAutospacing="0" w:line="360" w:lineRule="auto"/>
              <w:ind w:left="0" w:right="0"/>
              <w:jc w:val="center"/>
              <w:textAlignment w:val="center"/>
              <w:rPr>
                <w:rFonts w:hint="eastAsia" w:ascii="新宋体" w:hAnsi="新宋体" w:eastAsia="新宋体" w:cs="新宋体"/>
                <w:sz w:val="21"/>
                <w:szCs w:val="21"/>
              </w:rPr>
            </w:pPr>
            <w:r>
              <w:rPr>
                <w:rFonts w:hint="eastAsia" w:ascii="新宋体" w:hAnsi="新宋体" w:eastAsia="新宋体" w:cs="新宋体"/>
                <w:kern w:val="0"/>
                <w:sz w:val="21"/>
                <w:szCs w:val="21"/>
                <w:lang w:val="en-US" w:eastAsia="zh-CN" w:bidi="ar"/>
              </w:rPr>
              <w:t>详见采购文件</w:t>
            </w:r>
          </w:p>
        </w:tc>
        <w:tc>
          <w:tcPr>
            <w:tcW w:w="669" w:type="pct"/>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1E3F702">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right="0"/>
              <w:jc w:val="right"/>
              <w:textAlignment w:val="center"/>
              <w:rPr>
                <w:rFonts w:hint="eastAsia" w:ascii="新宋体" w:hAnsi="新宋体" w:eastAsia="新宋体" w:cs="新宋体"/>
                <w:sz w:val="21"/>
                <w:szCs w:val="21"/>
              </w:rPr>
            </w:pPr>
            <w:r>
              <w:rPr>
                <w:rFonts w:hint="eastAsia" w:ascii="新宋体" w:hAnsi="新宋体" w:eastAsia="新宋体" w:cs="新宋体"/>
                <w:kern w:val="0"/>
                <w:sz w:val="21"/>
                <w:szCs w:val="21"/>
                <w:vertAlign w:val="baseline"/>
                <w:lang w:val="en-US" w:eastAsia="zh-CN" w:bidi="ar"/>
              </w:rPr>
              <w:t>140,000.00</w:t>
            </w:r>
          </w:p>
        </w:tc>
      </w:tr>
    </w:tbl>
    <w:p w14:paraId="5DA32DDC">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本合同包不接受联合体投标</w:t>
      </w:r>
    </w:p>
    <w:p w14:paraId="0D01A0C9">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63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合同履行期限：30日历日</w:t>
      </w:r>
    </w:p>
    <w:p w14:paraId="70B38E2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二、申请人的资格要求：</w:t>
      </w:r>
    </w:p>
    <w:p w14:paraId="456599A3">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1.满足《中华人民共和国政府采购法》第二十二条规定;</w:t>
      </w:r>
    </w:p>
    <w:p w14:paraId="5E2C93C2">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2.落实政府采购政策需满足的资格要求：</w:t>
      </w:r>
    </w:p>
    <w:p w14:paraId="7AF2F797">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合同包1(凤县黄牛铺幼儿园校舍维修项目)落实政府采购政策需满足的资格要求如下:</w:t>
      </w:r>
    </w:p>
    <w:p w14:paraId="24FFB547">
      <w:pPr>
        <w:pStyle w:val="3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《政府采购促进中小企业发展管理办法》（财库〔2020〕46号）；</w:t>
      </w:r>
    </w:p>
    <w:p w14:paraId="2B69676B">
      <w:pPr>
        <w:pStyle w:val="3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《财政部司法部关于政府采购支持监狱企业发展有关问题的通知》（财库〔2014〕68号）</w:t>
      </w:r>
    </w:p>
    <w:p w14:paraId="6359A974">
      <w:pPr>
        <w:pStyle w:val="3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《国务院办公厅关于建立政府强制采购节能产品制度的通知》（国发办〔2007〕51号）；</w:t>
      </w:r>
    </w:p>
    <w:p w14:paraId="50264C1E">
      <w:pPr>
        <w:pStyle w:val="3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《环境标志产品政府采购实施的意见》（财库〔2006〕90号）；</w:t>
      </w:r>
    </w:p>
    <w:p w14:paraId="1AA69941">
      <w:pPr>
        <w:pStyle w:val="3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《节能产品政府采购实施意见》（财库〔2004〕185号）；</w:t>
      </w:r>
    </w:p>
    <w:p w14:paraId="1E3330BF">
      <w:pPr>
        <w:pStyle w:val="3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《三部门联合发布关于促进残疾人就业政府采购政策的通知》（财库〔2017〕141号）；</w:t>
      </w:r>
    </w:p>
    <w:p w14:paraId="24D6A122">
      <w:pPr>
        <w:pStyle w:val="3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《财政部发展改革委生态环境部市场监管总局关于调整优化节能产品、环境标志产品政府采购执行机制的通知》（财库〔2019〕9号）；</w:t>
      </w:r>
    </w:p>
    <w:p w14:paraId="02805EF9">
      <w:pPr>
        <w:pStyle w:val="3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《陕西省中小企业政府采购信用融资办法》（陕财办采〔2018〕23号）；</w:t>
      </w:r>
    </w:p>
    <w:p w14:paraId="3B531689">
      <w:pPr>
        <w:pStyle w:val="3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《陕西省财政厅关于加快推进我省中小企业政府采购信用融资工作的通知》（陕财办采〔2020〕15号文件）；</w:t>
      </w:r>
    </w:p>
    <w:p w14:paraId="76676CB2">
      <w:pPr>
        <w:pStyle w:val="3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《关于进一步加大政府采购支持中小企业力度的通知》（财库〔2022〕19号）；</w:t>
      </w:r>
    </w:p>
    <w:p w14:paraId="4E68F284">
      <w:pPr>
        <w:pStyle w:val="33"/>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其他需要落实的政府采购政策；如有最新颁布的政府采购政策，按最新的文件执行。</w:t>
      </w:r>
    </w:p>
    <w:p w14:paraId="19F04ACA">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3.本项目的特定资格要求：</w:t>
      </w:r>
    </w:p>
    <w:p w14:paraId="243EAC56">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合同包1(凤县黄牛铺幼儿园校舍维修项目)特定资格要求如下:</w:t>
      </w:r>
    </w:p>
    <w:p w14:paraId="38892369">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3-1.供应商具有独立承担民事责任能力的法人、其他组织或自然人，并出具合法有效的统一社会信用代码的营业执照或事业单位法人证书等国家规定的相关证明，自然人参与的提供其身份证明；</w:t>
      </w:r>
    </w:p>
    <w:p w14:paraId="67392DB4">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3-2.供应商须具有建筑工程施工总承包三级及以上施工资质，具有有效的安全生产许可证，并在人员、设备、资金等方面具有相应的施工能力；</w:t>
      </w:r>
    </w:p>
    <w:p w14:paraId="544B12AE">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3-3.项目经理须具有建筑工程二级及以上注册建造师资格，具有安全生产考核合格证，且无在建工程（提供无在建承诺书）；</w:t>
      </w:r>
    </w:p>
    <w:p w14:paraId="033C3FAB">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3-4.供应商应授权合法的人员参加磋商全过程，其中法定代表人直接参加磋商的，须出具法定代表人身份证，并与营业执照上信息一致；法定代表人授权代表参加磋商的，须出具法定代表人授权书及授权代表身份证；</w:t>
      </w:r>
    </w:p>
    <w:p w14:paraId="380FBF88">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3-5.供应商提供2024年度的财务报表（至少包括资产负债表和利润表，成立时间至提交竞争性磋商响应文件截止时间不足一年的可提供成立后任意时段的资产负债表），或其开标前半年内基本存款账户开户银行出具的资信证明（附开户许可证或开户备案证明）；</w:t>
      </w:r>
    </w:p>
    <w:p w14:paraId="4E46BB9E">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3-6.供应商提供2024年06月至今已缴纳的至少任意连续三个月的纳税证明或完税证明，依法免税的单位应提供相关证明材料；</w:t>
      </w:r>
    </w:p>
    <w:p w14:paraId="62A5088F">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3-7.供应商提供2024年06月至今已缴纳的至少任意连续三个月的社会保障资金缴存单据或社保机构开具的社会保险参保缴费情况证明，依法不需要缴纳社会保障资金的单位应提供相关证明材料；</w:t>
      </w:r>
    </w:p>
    <w:p w14:paraId="041CF36B">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3-8.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p>
    <w:p w14:paraId="00357289">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3-9.供应商负责人为同一人或者存在直接控股、管理关系的不同供应商，不得同时参加本项目磋商，提供承诺书；</w:t>
      </w:r>
    </w:p>
    <w:p w14:paraId="06667394">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3-10.供应商须具有履行合同所必需的设备和专业技术能力的承诺书；</w:t>
      </w:r>
    </w:p>
    <w:p w14:paraId="0C672D64">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3-11.参加政府采购活动前三年内，在经营活动中没有重大违法记录的书面声明；</w:t>
      </w:r>
    </w:p>
    <w:p w14:paraId="17387786">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3-12.本项目专门面向中小企业采购（提供中小企业声明函）。  </w:t>
      </w:r>
    </w:p>
    <w:p w14:paraId="3D132032">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三、获取采购文件</w:t>
      </w:r>
    </w:p>
    <w:p w14:paraId="0483F5A5">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时间：2025年07月11日至2025年07月18日，每天上午09:00:00至12:00:00，下午14:00:00至17:00:00（北京时间）</w:t>
      </w:r>
    </w:p>
    <w:p w14:paraId="75AE7FB8">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途径：宝鸡市金台区行政大道海棠风尚1510室</w:t>
      </w:r>
    </w:p>
    <w:p w14:paraId="1B927F7D">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方式：现场获取</w:t>
      </w:r>
    </w:p>
    <w:p w14:paraId="03143CC3">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售价：0元</w:t>
      </w:r>
    </w:p>
    <w:p w14:paraId="136E1D3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四、响应文件提交</w:t>
      </w:r>
    </w:p>
    <w:p w14:paraId="22DAB910">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截止时间：2025年07月24日14时30分00秒（北京时间）</w:t>
      </w:r>
    </w:p>
    <w:p w14:paraId="5D1288B3">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地点：宝鸡市金台区行政大道海棠风尚1406室</w:t>
      </w:r>
    </w:p>
    <w:p w14:paraId="103C84F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五、开启</w:t>
      </w:r>
    </w:p>
    <w:p w14:paraId="3C3D2AA0">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时间：2025年07月24日 14时30分00秒（北京时间）</w:t>
      </w:r>
    </w:p>
    <w:p w14:paraId="0E101FBB">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地点：宝鸡市金台区行政大道海棠风尚1406室</w:t>
      </w:r>
    </w:p>
    <w:p w14:paraId="774CB0B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六、公告期限</w:t>
      </w:r>
    </w:p>
    <w:p w14:paraId="64CEC9BB">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自本公告发布之日起3个工作日。</w:t>
      </w:r>
    </w:p>
    <w:p w14:paraId="44FE221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七、其他补充事宜</w:t>
      </w:r>
    </w:p>
    <w:p w14:paraId="364E7A04">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2"/>
        <w:jc w:val="both"/>
        <w:textAlignment w:val="baseline"/>
        <w:rPr>
          <w:rFonts w:hint="eastAsia" w:ascii="新宋体" w:hAnsi="新宋体" w:eastAsia="新宋体" w:cs="新宋体"/>
          <w:sz w:val="21"/>
          <w:szCs w:val="21"/>
        </w:rPr>
      </w:pPr>
      <w:r>
        <w:rPr>
          <w:rStyle w:val="40"/>
          <w:rFonts w:hint="eastAsia" w:ascii="新宋体" w:hAnsi="新宋体" w:eastAsia="新宋体" w:cs="新宋体"/>
          <w:b/>
          <w:bCs/>
          <w:i w:val="0"/>
          <w:iCs w:val="0"/>
          <w:caps w:val="0"/>
          <w:color w:val="333333"/>
          <w:spacing w:val="0"/>
          <w:sz w:val="21"/>
          <w:szCs w:val="21"/>
          <w:shd w:val="clear" w:fill="FFFFFF"/>
          <w:vertAlign w:val="baseline"/>
        </w:rPr>
        <w:t>注：获取竞争性磋商文件需携带单位介绍信、法定代表人授权委托书、被授权人身份证（法定代表人前来只需携带身份证原件及加盖公章的复印件），不接受邮寄。</w:t>
      </w:r>
    </w:p>
    <w:p w14:paraId="11D872D1">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Style w:val="40"/>
          <w:rFonts w:hint="eastAsia" w:ascii="新宋体" w:hAnsi="新宋体" w:eastAsia="新宋体" w:cs="新宋体"/>
          <w:b/>
          <w:bCs/>
          <w:i w:val="0"/>
          <w:iCs w:val="0"/>
          <w:caps w:val="0"/>
          <w:color w:val="333333"/>
          <w:spacing w:val="0"/>
          <w:sz w:val="21"/>
          <w:szCs w:val="21"/>
          <w:shd w:val="clear" w:fill="FFFFFF"/>
          <w:vertAlign w:val="baseline"/>
        </w:rPr>
      </w:pPr>
      <w:r>
        <w:rPr>
          <w:rStyle w:val="40"/>
          <w:rFonts w:hint="eastAsia" w:ascii="新宋体" w:hAnsi="新宋体" w:eastAsia="新宋体" w:cs="新宋体"/>
          <w:b/>
          <w:bCs/>
          <w:i w:val="0"/>
          <w:iCs w:val="0"/>
          <w:caps w:val="0"/>
          <w:color w:val="333333"/>
          <w:spacing w:val="0"/>
          <w:sz w:val="21"/>
          <w:szCs w:val="21"/>
          <w:shd w:val="clear" w:fill="FFFFFF"/>
          <w:vertAlign w:val="baseline"/>
        </w:rPr>
        <w:t>八、对本次招标提出询问，请按以下方式联系。</w:t>
      </w:r>
    </w:p>
    <w:p w14:paraId="6D399D09">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新宋体" w:hAnsi="新宋体" w:eastAsia="新宋体" w:cs="新宋体"/>
          <w:b w:val="0"/>
          <w:bCs w:val="0"/>
          <w:sz w:val="21"/>
          <w:szCs w:val="21"/>
        </w:rPr>
      </w:pPr>
      <w:r>
        <w:rPr>
          <w:rFonts w:hint="eastAsia" w:ascii="新宋体" w:hAnsi="新宋体" w:eastAsia="新宋体" w:cs="新宋体"/>
          <w:b w:val="0"/>
          <w:bCs w:val="0"/>
          <w:i w:val="0"/>
          <w:iCs w:val="0"/>
          <w:caps w:val="0"/>
          <w:color w:val="333333"/>
          <w:spacing w:val="0"/>
          <w:sz w:val="21"/>
          <w:szCs w:val="21"/>
          <w:shd w:val="clear" w:fill="FFFFFF"/>
          <w:vertAlign w:val="baseline"/>
        </w:rPr>
        <w:t>1.采购人信息</w:t>
      </w:r>
    </w:p>
    <w:p w14:paraId="0FBF228E">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名称：凤县教育体育局</w:t>
      </w:r>
    </w:p>
    <w:p w14:paraId="32C71484">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地址：陕西省宝鸡市凤县新建路西段</w:t>
      </w:r>
    </w:p>
    <w:p w14:paraId="2084B8E7">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联系方式：0917-4717005</w:t>
      </w:r>
    </w:p>
    <w:p w14:paraId="54B39C0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新宋体" w:hAnsi="新宋体" w:eastAsia="新宋体" w:cs="新宋体"/>
          <w:b w:val="0"/>
          <w:bCs w:val="0"/>
          <w:sz w:val="21"/>
          <w:szCs w:val="21"/>
        </w:rPr>
      </w:pPr>
      <w:r>
        <w:rPr>
          <w:rFonts w:hint="eastAsia" w:ascii="新宋体" w:hAnsi="新宋体" w:eastAsia="新宋体" w:cs="新宋体"/>
          <w:b w:val="0"/>
          <w:bCs w:val="0"/>
          <w:i w:val="0"/>
          <w:iCs w:val="0"/>
          <w:caps w:val="0"/>
          <w:color w:val="333333"/>
          <w:spacing w:val="0"/>
          <w:sz w:val="21"/>
          <w:szCs w:val="21"/>
          <w:shd w:val="clear" w:fill="FFFFFF"/>
          <w:vertAlign w:val="baseline"/>
        </w:rPr>
        <w:t>2.采购代理机构信息</w:t>
      </w:r>
    </w:p>
    <w:p w14:paraId="4826386C">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名称：陕西鼎祥越工程造价咨询有限公司</w:t>
      </w:r>
    </w:p>
    <w:p w14:paraId="36F3E8D4">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地址：宝鸡市金台区行政大道海棠风尚1510室</w:t>
      </w:r>
    </w:p>
    <w:p w14:paraId="57231C1E">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联系方式：0917-3807560</w:t>
      </w:r>
    </w:p>
    <w:p w14:paraId="31DFF3A3">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jc w:val="left"/>
        <w:textAlignment w:val="baseline"/>
        <w:rPr>
          <w:rFonts w:hint="eastAsia" w:ascii="新宋体" w:hAnsi="新宋体" w:eastAsia="新宋体" w:cs="新宋体"/>
          <w:b w:val="0"/>
          <w:bCs w:val="0"/>
          <w:sz w:val="21"/>
          <w:szCs w:val="21"/>
        </w:rPr>
      </w:pPr>
      <w:r>
        <w:rPr>
          <w:rFonts w:hint="eastAsia" w:ascii="新宋体" w:hAnsi="新宋体" w:eastAsia="新宋体" w:cs="新宋体"/>
          <w:b w:val="0"/>
          <w:bCs w:val="0"/>
          <w:i w:val="0"/>
          <w:iCs w:val="0"/>
          <w:caps w:val="0"/>
          <w:color w:val="333333"/>
          <w:spacing w:val="0"/>
          <w:sz w:val="21"/>
          <w:szCs w:val="21"/>
          <w:shd w:val="clear" w:fill="FFFFFF"/>
          <w:vertAlign w:val="baseline"/>
        </w:rPr>
        <w:t>3.项目联系方式</w:t>
      </w:r>
    </w:p>
    <w:p w14:paraId="284612EB">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项目联系人：邹工</w:t>
      </w:r>
    </w:p>
    <w:p w14:paraId="72762AB1">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kinsoku/>
        <w:overflowPunct/>
        <w:topLinePunct w:val="0"/>
        <w:autoSpaceDE/>
        <w:autoSpaceDN/>
        <w:bidi w:val="0"/>
        <w:adjustRightInd/>
        <w:snapToGrid/>
        <w:spacing w:before="0" w:beforeAutospacing="0" w:after="0" w:afterAutospacing="0" w:line="360" w:lineRule="auto"/>
        <w:ind w:left="0" w:right="0" w:firstLine="480"/>
        <w:jc w:val="both"/>
        <w:textAlignment w:val="baseline"/>
        <w:rPr>
          <w:rFonts w:hint="eastAsia" w:ascii="新宋体" w:hAnsi="新宋体" w:eastAsia="新宋体" w:cs="新宋体"/>
          <w:sz w:val="21"/>
          <w:szCs w:val="21"/>
        </w:rPr>
      </w:pPr>
      <w:r>
        <w:rPr>
          <w:rFonts w:hint="eastAsia" w:ascii="新宋体" w:hAnsi="新宋体" w:eastAsia="新宋体" w:cs="新宋体"/>
          <w:i w:val="0"/>
          <w:iCs w:val="0"/>
          <w:caps w:val="0"/>
          <w:color w:val="333333"/>
          <w:spacing w:val="0"/>
          <w:sz w:val="21"/>
          <w:szCs w:val="21"/>
          <w:shd w:val="clear" w:fill="FFFFFF"/>
          <w:vertAlign w:val="baseline"/>
        </w:rPr>
        <w:t>电话：0917-3807560</w:t>
      </w:r>
    </w:p>
    <w:p w14:paraId="1760DEAE">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5724" w:firstLineChars="2726"/>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陕西鼎祥越工程造价咨询有限公司</w:t>
      </w:r>
    </w:p>
    <w:p w14:paraId="1FC7DAAD">
      <w:pPr>
        <w:pStyle w:val="3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firstLine="6354" w:firstLineChars="3026"/>
        <w:jc w:val="both"/>
        <w:textAlignment w:val="baseline"/>
        <w:rPr>
          <w:rFonts w:hint="eastAsia" w:ascii="新宋体" w:hAnsi="新宋体" w:eastAsia="新宋体" w:cs="新宋体"/>
          <w:i w:val="0"/>
          <w:iCs w:val="0"/>
          <w:caps w:val="0"/>
          <w:color w:val="333333"/>
          <w:spacing w:val="0"/>
          <w:sz w:val="21"/>
          <w:szCs w:val="21"/>
          <w:shd w:val="clear" w:fill="FFFFFF"/>
          <w:vertAlign w:val="baseline"/>
        </w:rPr>
      </w:pPr>
      <w:r>
        <w:rPr>
          <w:rFonts w:hint="eastAsia" w:ascii="新宋体" w:hAnsi="新宋体" w:eastAsia="新宋体" w:cs="新宋体"/>
          <w:i w:val="0"/>
          <w:iCs w:val="0"/>
          <w:caps w:val="0"/>
          <w:color w:val="333333"/>
          <w:spacing w:val="0"/>
          <w:sz w:val="21"/>
          <w:szCs w:val="21"/>
          <w:shd w:val="clear" w:fill="FFFFFF"/>
          <w:vertAlign w:val="baseline"/>
        </w:rPr>
        <w:t>2025年07月11日</w:t>
      </w:r>
    </w:p>
    <w:p w14:paraId="50EFB7EF">
      <w:pPr>
        <w:pStyle w:val="33"/>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360" w:lineRule="auto"/>
        <w:ind w:right="0"/>
        <w:textAlignment w:val="auto"/>
        <w:rPr>
          <w:rFonts w:hint="eastAsia" w:ascii="宋体" w:hAnsi="宋体" w:eastAsia="宋体" w:cs="宋体"/>
          <w:i w:val="0"/>
          <w:iCs w:val="0"/>
          <w:caps w:val="0"/>
          <w:color w:val="auto"/>
          <w:spacing w:val="0"/>
          <w:sz w:val="24"/>
          <w:szCs w:val="24"/>
          <w:shd w:val="clear" w:fill="FFFFFF"/>
          <w:lang w:val="en-US" w:eastAsia="zh-CN"/>
        </w:rPr>
      </w:pPr>
    </w:p>
    <w:p w14:paraId="22259E7B">
      <w:pPr>
        <w:pStyle w:val="2"/>
        <w:keepNext w:val="0"/>
        <w:pageBreakBefore/>
        <w:shd w:val="clear"/>
        <w:spacing w:line="240" w:lineRule="auto"/>
        <w:jc w:val="center"/>
        <w:outlineLvl w:val="0"/>
        <w:rPr>
          <w:rFonts w:hint="eastAsia" w:ascii="宋体" w:hAnsi="宋体" w:eastAsia="宋体" w:cs="宋体"/>
          <w:highlight w:val="none"/>
        </w:rPr>
      </w:pPr>
      <w:bookmarkStart w:id="15" w:name="_Toc6590"/>
      <w:bookmarkStart w:id="16" w:name="_Toc15104"/>
      <w:r>
        <w:rPr>
          <w:rFonts w:hint="eastAsia" w:ascii="宋体" w:hAnsi="宋体" w:eastAsia="宋体" w:cs="宋体"/>
          <w:highlight w:val="none"/>
        </w:rPr>
        <w:t>第二章</w:t>
      </w:r>
      <w:bookmarkEnd w:id="13"/>
      <w:r>
        <w:rPr>
          <w:rFonts w:hint="eastAsia" w:ascii="宋体" w:hAnsi="宋体" w:eastAsia="宋体" w:cs="宋体"/>
          <w:highlight w:val="none"/>
          <w:lang w:val="en-US" w:eastAsia="zh-CN"/>
        </w:rPr>
        <w:t xml:space="preserve"> </w:t>
      </w:r>
      <w:r>
        <w:rPr>
          <w:rFonts w:hint="eastAsia" w:ascii="宋体" w:hAnsi="宋体" w:eastAsia="宋体" w:cs="宋体"/>
          <w:highlight w:val="none"/>
          <w:lang w:eastAsia="zh-CN"/>
        </w:rPr>
        <w:t>投标供应商</w:t>
      </w:r>
      <w:r>
        <w:rPr>
          <w:rFonts w:hint="eastAsia" w:ascii="宋体" w:hAnsi="宋体" w:eastAsia="宋体" w:cs="宋体"/>
          <w:highlight w:val="none"/>
        </w:rPr>
        <w:t>须知</w:t>
      </w:r>
      <w:bookmarkEnd w:id="14"/>
      <w:bookmarkEnd w:id="15"/>
      <w:bookmarkEnd w:id="16"/>
    </w:p>
    <w:p w14:paraId="1505D9CC">
      <w:pPr>
        <w:shd w:val="clear"/>
        <w:spacing w:line="240" w:lineRule="auto"/>
        <w:jc w:val="center"/>
        <w:outlineLvl w:val="1"/>
        <w:rPr>
          <w:rFonts w:hint="eastAsia" w:ascii="宋体" w:hAnsi="宋体" w:eastAsia="宋体" w:cs="宋体"/>
          <w:b/>
          <w:bCs/>
          <w:sz w:val="28"/>
          <w:szCs w:val="28"/>
          <w:highlight w:val="none"/>
        </w:rPr>
      </w:pPr>
      <w:bookmarkStart w:id="17" w:name="_Toc420591642"/>
      <w:bookmarkStart w:id="18" w:name="_Toc25670"/>
      <w:bookmarkStart w:id="19" w:name="_Toc421778364"/>
      <w:r>
        <w:rPr>
          <w:rFonts w:hint="eastAsia" w:ascii="宋体" w:hAnsi="宋体" w:eastAsia="宋体" w:cs="宋体"/>
          <w:b/>
          <w:bCs/>
          <w:sz w:val="28"/>
          <w:szCs w:val="28"/>
          <w:highlight w:val="none"/>
          <w:lang w:eastAsia="zh-CN"/>
        </w:rPr>
        <w:t>投标供应商</w:t>
      </w:r>
      <w:r>
        <w:rPr>
          <w:rFonts w:hint="eastAsia" w:ascii="宋体" w:hAnsi="宋体" w:eastAsia="宋体" w:cs="宋体"/>
          <w:b/>
          <w:bCs/>
          <w:sz w:val="28"/>
          <w:szCs w:val="28"/>
          <w:highlight w:val="none"/>
        </w:rPr>
        <w:t>须知前附表</w:t>
      </w:r>
      <w:bookmarkEnd w:id="17"/>
      <w:bookmarkEnd w:id="18"/>
      <w:bookmarkEnd w:id="19"/>
    </w:p>
    <w:tbl>
      <w:tblPr>
        <w:tblStyle w:val="37"/>
        <w:tblW w:w="970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962"/>
        <w:gridCol w:w="6785"/>
      </w:tblGrid>
      <w:tr w14:paraId="61087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962" w:type="dxa"/>
            <w:tcBorders>
              <w:tl2br w:val="nil"/>
              <w:tr2bl w:val="nil"/>
            </w:tcBorders>
            <w:noWrap w:val="0"/>
            <w:vAlign w:val="center"/>
          </w:tcPr>
          <w:p w14:paraId="66B8D1ED">
            <w:pPr>
              <w:shd w:val="clear"/>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条款号</w:t>
            </w:r>
          </w:p>
        </w:tc>
        <w:tc>
          <w:tcPr>
            <w:tcW w:w="1962" w:type="dxa"/>
            <w:tcBorders>
              <w:tl2br w:val="nil"/>
              <w:tr2bl w:val="nil"/>
            </w:tcBorders>
            <w:noWrap w:val="0"/>
            <w:vAlign w:val="center"/>
          </w:tcPr>
          <w:p w14:paraId="2C937AD4">
            <w:pPr>
              <w:shd w:val="clear"/>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条款名称</w:t>
            </w:r>
          </w:p>
        </w:tc>
        <w:tc>
          <w:tcPr>
            <w:tcW w:w="6785" w:type="dxa"/>
            <w:tcBorders>
              <w:tl2br w:val="nil"/>
              <w:tr2bl w:val="nil"/>
            </w:tcBorders>
            <w:noWrap w:val="0"/>
            <w:vAlign w:val="center"/>
          </w:tcPr>
          <w:p w14:paraId="3C9DD028">
            <w:pPr>
              <w:shd w:val="clear"/>
              <w:spacing w:line="240" w:lineRule="auto"/>
              <w:jc w:val="center"/>
              <w:rPr>
                <w:rFonts w:hint="eastAsia" w:ascii="宋体" w:hAnsi="宋体" w:eastAsia="宋体" w:cs="宋体"/>
                <w:b/>
                <w:bCs/>
                <w:sz w:val="24"/>
                <w:szCs w:val="24"/>
              </w:rPr>
            </w:pPr>
            <w:r>
              <w:rPr>
                <w:rFonts w:hint="eastAsia" w:ascii="宋体" w:hAnsi="宋体" w:eastAsia="宋体" w:cs="宋体"/>
                <w:b/>
                <w:bCs/>
                <w:sz w:val="24"/>
                <w:szCs w:val="24"/>
              </w:rPr>
              <w:t>编列内容</w:t>
            </w:r>
          </w:p>
        </w:tc>
      </w:tr>
      <w:tr w14:paraId="6538B9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962" w:type="dxa"/>
            <w:tcBorders>
              <w:tl2br w:val="nil"/>
              <w:tr2bl w:val="nil"/>
            </w:tcBorders>
            <w:noWrap w:val="0"/>
            <w:vAlign w:val="center"/>
          </w:tcPr>
          <w:p w14:paraId="374B64BA">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1.1.2</w:t>
            </w:r>
          </w:p>
        </w:tc>
        <w:tc>
          <w:tcPr>
            <w:tcW w:w="1962" w:type="dxa"/>
            <w:tcBorders>
              <w:tl2br w:val="nil"/>
              <w:tr2bl w:val="nil"/>
            </w:tcBorders>
            <w:noWrap w:val="0"/>
            <w:vAlign w:val="center"/>
          </w:tcPr>
          <w:p w14:paraId="24C05BCA">
            <w:pPr>
              <w:shd w:val="clea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采购人</w:t>
            </w:r>
          </w:p>
        </w:tc>
        <w:tc>
          <w:tcPr>
            <w:tcW w:w="6785" w:type="dxa"/>
            <w:tcBorders>
              <w:tl2br w:val="nil"/>
              <w:tr2bl w:val="nil"/>
            </w:tcBorders>
            <w:noWrap w:val="0"/>
            <w:vAlign w:val="center"/>
          </w:tcPr>
          <w:p w14:paraId="6C1DAAD2">
            <w:pPr>
              <w:shd w:val="clea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名    称：凤县黄牛铺镇中心幼儿园</w:t>
            </w:r>
          </w:p>
          <w:p w14:paraId="63F704B9">
            <w:pPr>
              <w:shd w:val="clea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地    址：凤县黄牛铺镇黄牛铺村</w:t>
            </w:r>
          </w:p>
          <w:p w14:paraId="10DAB1D9">
            <w:pPr>
              <w:shd w:val="clea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联 系 人：</w:t>
            </w:r>
            <w:r>
              <w:rPr>
                <w:rFonts w:hint="eastAsia" w:ascii="宋体" w:hAnsi="宋体" w:cs="宋体"/>
                <w:sz w:val="24"/>
                <w:szCs w:val="24"/>
                <w:highlight w:val="none"/>
                <w:lang w:val="en-US" w:eastAsia="zh-CN"/>
              </w:rPr>
              <w:t>徐女士</w:t>
            </w:r>
          </w:p>
          <w:p w14:paraId="04CD5E2E">
            <w:pPr>
              <w:shd w:val="clea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电    话：0917-4717005</w:t>
            </w:r>
          </w:p>
        </w:tc>
      </w:tr>
      <w:tr w14:paraId="43524C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57" w:hRule="atLeast"/>
          <w:jc w:val="center"/>
        </w:trPr>
        <w:tc>
          <w:tcPr>
            <w:tcW w:w="962" w:type="dxa"/>
            <w:tcBorders>
              <w:tl2br w:val="nil"/>
              <w:tr2bl w:val="nil"/>
            </w:tcBorders>
            <w:noWrap w:val="0"/>
            <w:vAlign w:val="center"/>
          </w:tcPr>
          <w:p w14:paraId="6D2F0BD5">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1.1.3</w:t>
            </w:r>
          </w:p>
        </w:tc>
        <w:tc>
          <w:tcPr>
            <w:tcW w:w="1962" w:type="dxa"/>
            <w:tcBorders>
              <w:tl2br w:val="nil"/>
              <w:tr2bl w:val="nil"/>
            </w:tcBorders>
            <w:noWrap w:val="0"/>
            <w:vAlign w:val="center"/>
          </w:tcPr>
          <w:p w14:paraId="358785DC">
            <w:pPr>
              <w:shd w:val="clea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采购代理机构</w:t>
            </w:r>
          </w:p>
        </w:tc>
        <w:tc>
          <w:tcPr>
            <w:tcW w:w="6785" w:type="dxa"/>
            <w:tcBorders>
              <w:tl2br w:val="nil"/>
              <w:tr2bl w:val="nil"/>
            </w:tcBorders>
            <w:noWrap w:val="0"/>
            <w:vAlign w:val="center"/>
          </w:tcPr>
          <w:p w14:paraId="3B05E773">
            <w:pPr>
              <w:shd w:val="clea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    称：陕西鼎祥越工程造价咨询有限公司</w:t>
            </w:r>
          </w:p>
          <w:p w14:paraId="75F9DF34">
            <w:pPr>
              <w:shd w:val="clea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地    址：宝鸡市金台区行政大道海棠风尚</w:t>
            </w:r>
            <w:r>
              <w:rPr>
                <w:rFonts w:hint="eastAsia" w:ascii="宋体" w:hAnsi="宋体" w:cs="宋体"/>
                <w:sz w:val="24"/>
                <w:szCs w:val="24"/>
                <w:lang w:val="en-US" w:eastAsia="zh-CN"/>
              </w:rPr>
              <w:t>1510</w:t>
            </w:r>
            <w:r>
              <w:rPr>
                <w:rFonts w:hint="eastAsia" w:ascii="宋体" w:hAnsi="宋体" w:eastAsia="宋体" w:cs="宋体"/>
                <w:sz w:val="24"/>
                <w:szCs w:val="24"/>
                <w:lang w:val="en-US" w:eastAsia="zh-CN"/>
              </w:rPr>
              <w:t>室</w:t>
            </w:r>
          </w:p>
          <w:p w14:paraId="2446ABE7">
            <w:pPr>
              <w:shd w:val="clea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 系 人：</w:t>
            </w:r>
            <w:r>
              <w:rPr>
                <w:rFonts w:hint="eastAsia" w:ascii="宋体" w:hAnsi="宋体" w:cs="宋体"/>
                <w:sz w:val="24"/>
                <w:szCs w:val="24"/>
                <w:lang w:val="en-US" w:eastAsia="zh-CN"/>
              </w:rPr>
              <w:t>邹  工</w:t>
            </w:r>
          </w:p>
          <w:p w14:paraId="024D3B08">
            <w:pPr>
              <w:shd w:val="clear"/>
              <w:spacing w:line="360" w:lineRule="auto"/>
              <w:rPr>
                <w:rFonts w:hint="default" w:ascii="宋体" w:hAnsi="宋体" w:eastAsia="宋体" w:cs="宋体"/>
                <w:sz w:val="24"/>
                <w:szCs w:val="24"/>
                <w:lang w:val="en-US"/>
              </w:rPr>
            </w:pPr>
            <w:r>
              <w:rPr>
                <w:rFonts w:hint="eastAsia" w:ascii="宋体" w:hAnsi="宋体" w:eastAsia="宋体" w:cs="宋体"/>
                <w:sz w:val="24"/>
                <w:szCs w:val="24"/>
                <w:lang w:val="en-US" w:eastAsia="zh-CN"/>
              </w:rPr>
              <w:t>电    话：0917-3807560</w:t>
            </w:r>
          </w:p>
        </w:tc>
      </w:tr>
      <w:tr w14:paraId="68F79F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307AE12E">
            <w:pPr>
              <w:shd w:val="clear"/>
              <w:spacing w:line="480" w:lineRule="auto"/>
              <w:jc w:val="center"/>
              <w:rPr>
                <w:rFonts w:hint="eastAsia" w:ascii="宋体" w:hAnsi="宋体" w:eastAsia="宋体" w:cs="宋体"/>
                <w:sz w:val="24"/>
                <w:szCs w:val="24"/>
                <w:lang w:eastAsia="zh-CN"/>
              </w:rPr>
            </w:pPr>
            <w:r>
              <w:rPr>
                <w:rFonts w:hint="eastAsia" w:ascii="宋体" w:hAnsi="宋体" w:eastAsia="宋体" w:cs="宋体"/>
                <w:sz w:val="24"/>
                <w:szCs w:val="24"/>
              </w:rPr>
              <w:t>1.1.</w:t>
            </w:r>
            <w:r>
              <w:rPr>
                <w:rFonts w:hint="eastAsia" w:ascii="宋体" w:hAnsi="宋体" w:eastAsia="宋体" w:cs="宋体"/>
                <w:sz w:val="24"/>
                <w:szCs w:val="24"/>
                <w:lang w:val="en-US" w:eastAsia="zh-CN"/>
              </w:rPr>
              <w:t>4</w:t>
            </w:r>
          </w:p>
        </w:tc>
        <w:tc>
          <w:tcPr>
            <w:tcW w:w="1962" w:type="dxa"/>
            <w:tcBorders>
              <w:tl2br w:val="nil"/>
              <w:tr2bl w:val="nil"/>
            </w:tcBorders>
            <w:noWrap w:val="0"/>
            <w:vAlign w:val="center"/>
          </w:tcPr>
          <w:p w14:paraId="596D0B59">
            <w:pPr>
              <w:shd w:val="clear"/>
              <w:spacing w:line="48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建设地点</w:t>
            </w:r>
          </w:p>
        </w:tc>
        <w:tc>
          <w:tcPr>
            <w:tcW w:w="6785" w:type="dxa"/>
            <w:tcBorders>
              <w:tl2br w:val="nil"/>
              <w:tr2bl w:val="nil"/>
            </w:tcBorders>
            <w:noWrap w:val="0"/>
            <w:vAlign w:val="center"/>
          </w:tcPr>
          <w:p w14:paraId="5FD260BD">
            <w:pPr>
              <w:shd w:val="clear"/>
              <w:spacing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凤县黄牛铺镇中心幼儿园</w:t>
            </w:r>
          </w:p>
        </w:tc>
      </w:tr>
      <w:tr w14:paraId="029671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1A1BD0B4">
            <w:pPr>
              <w:shd w:val="clear"/>
              <w:spacing w:line="480" w:lineRule="auto"/>
              <w:jc w:val="center"/>
              <w:rPr>
                <w:rFonts w:hint="eastAsia" w:ascii="宋体" w:hAnsi="宋体" w:eastAsia="宋体" w:cs="宋体"/>
                <w:sz w:val="24"/>
                <w:szCs w:val="24"/>
              </w:rPr>
            </w:pPr>
            <w:r>
              <w:rPr>
                <w:rFonts w:hint="eastAsia" w:ascii="宋体" w:hAnsi="宋体" w:eastAsia="宋体" w:cs="宋体"/>
                <w:sz w:val="24"/>
                <w:szCs w:val="24"/>
              </w:rPr>
              <w:t>1.2.1</w:t>
            </w:r>
          </w:p>
        </w:tc>
        <w:tc>
          <w:tcPr>
            <w:tcW w:w="1962" w:type="dxa"/>
            <w:tcBorders>
              <w:tl2br w:val="nil"/>
              <w:tr2bl w:val="nil"/>
            </w:tcBorders>
            <w:noWrap w:val="0"/>
            <w:vAlign w:val="center"/>
          </w:tcPr>
          <w:p w14:paraId="3B0304FE">
            <w:pPr>
              <w:shd w:val="clear"/>
              <w:spacing w:line="48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资金来源</w:t>
            </w:r>
          </w:p>
        </w:tc>
        <w:tc>
          <w:tcPr>
            <w:tcW w:w="6785" w:type="dxa"/>
            <w:tcBorders>
              <w:tl2br w:val="nil"/>
              <w:tr2bl w:val="nil"/>
            </w:tcBorders>
            <w:noWrap w:val="0"/>
            <w:vAlign w:val="center"/>
          </w:tcPr>
          <w:p w14:paraId="4C63A467">
            <w:pPr>
              <w:shd w:val="clear"/>
              <w:spacing w:line="360" w:lineRule="auto"/>
              <w:rPr>
                <w:rFonts w:hint="eastAsia" w:ascii="宋体" w:hAnsi="宋体" w:eastAsia="宋体" w:cs="宋体"/>
                <w:color w:val="auto"/>
                <w:sz w:val="24"/>
                <w:szCs w:val="24"/>
                <w:lang w:eastAsia="zh-CN"/>
              </w:rPr>
            </w:pPr>
            <w:r>
              <w:rPr>
                <w:rFonts w:hint="eastAsia" w:ascii="宋体" w:hAnsi="宋体" w:cs="宋体"/>
                <w:color w:val="auto"/>
                <w:sz w:val="24"/>
                <w:szCs w:val="24"/>
                <w:lang w:val="en-US" w:eastAsia="zh-CN"/>
              </w:rPr>
              <w:t>其他</w:t>
            </w:r>
            <w:r>
              <w:rPr>
                <w:rFonts w:hint="eastAsia" w:ascii="宋体" w:hAnsi="宋体" w:eastAsia="宋体" w:cs="宋体"/>
                <w:color w:val="auto"/>
                <w:sz w:val="24"/>
                <w:szCs w:val="24"/>
                <w:lang w:val="en-US" w:eastAsia="zh-CN"/>
              </w:rPr>
              <w:t>财政资金</w:t>
            </w:r>
          </w:p>
        </w:tc>
      </w:tr>
      <w:tr w14:paraId="51198E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471D2D4B">
            <w:pPr>
              <w:shd w:val="clear"/>
              <w:spacing w:line="480" w:lineRule="auto"/>
              <w:jc w:val="center"/>
              <w:rPr>
                <w:rFonts w:hint="eastAsia" w:ascii="宋体" w:hAnsi="宋体" w:eastAsia="宋体" w:cs="宋体"/>
                <w:sz w:val="24"/>
                <w:szCs w:val="24"/>
              </w:rPr>
            </w:pPr>
            <w:r>
              <w:rPr>
                <w:rFonts w:hint="eastAsia" w:ascii="宋体" w:hAnsi="宋体" w:eastAsia="宋体" w:cs="宋体"/>
                <w:sz w:val="24"/>
                <w:szCs w:val="24"/>
              </w:rPr>
              <w:t>1.2.2</w:t>
            </w:r>
          </w:p>
        </w:tc>
        <w:tc>
          <w:tcPr>
            <w:tcW w:w="1962" w:type="dxa"/>
            <w:tcBorders>
              <w:tl2br w:val="nil"/>
              <w:tr2bl w:val="nil"/>
            </w:tcBorders>
            <w:noWrap w:val="0"/>
            <w:vAlign w:val="center"/>
          </w:tcPr>
          <w:p w14:paraId="6670F51C">
            <w:pPr>
              <w:shd w:val="clear"/>
              <w:spacing w:line="480"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资金落实情况</w:t>
            </w:r>
          </w:p>
        </w:tc>
        <w:tc>
          <w:tcPr>
            <w:tcW w:w="6785" w:type="dxa"/>
            <w:tcBorders>
              <w:tl2br w:val="nil"/>
              <w:tr2bl w:val="nil"/>
            </w:tcBorders>
            <w:noWrap w:val="0"/>
            <w:vAlign w:val="center"/>
          </w:tcPr>
          <w:p w14:paraId="24A4A63E">
            <w:pPr>
              <w:shd w:val="clear"/>
              <w:spacing w:line="360" w:lineRule="auto"/>
              <w:rPr>
                <w:rFonts w:hint="eastAsia" w:ascii="宋体" w:hAnsi="宋体" w:eastAsia="宋体" w:cs="宋体"/>
                <w:sz w:val="24"/>
                <w:szCs w:val="24"/>
              </w:rPr>
            </w:pPr>
            <w:r>
              <w:rPr>
                <w:rFonts w:hint="eastAsia" w:ascii="宋体" w:hAnsi="宋体" w:eastAsia="宋体" w:cs="宋体"/>
                <w:sz w:val="24"/>
                <w:szCs w:val="24"/>
              </w:rPr>
              <w:t>已落实到位</w:t>
            </w:r>
          </w:p>
        </w:tc>
      </w:tr>
      <w:tr w14:paraId="1FD36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962" w:type="dxa"/>
            <w:tcBorders>
              <w:tl2br w:val="nil"/>
              <w:tr2bl w:val="nil"/>
            </w:tcBorders>
            <w:noWrap w:val="0"/>
            <w:vAlign w:val="center"/>
          </w:tcPr>
          <w:p w14:paraId="642EE024">
            <w:pPr>
              <w:shd w:val="clear"/>
              <w:spacing w:line="480" w:lineRule="auto"/>
              <w:jc w:val="center"/>
              <w:rPr>
                <w:rFonts w:hint="eastAsia" w:ascii="宋体" w:hAnsi="宋体" w:eastAsia="宋体" w:cs="宋体"/>
                <w:sz w:val="24"/>
                <w:szCs w:val="24"/>
              </w:rPr>
            </w:pPr>
            <w:r>
              <w:rPr>
                <w:rFonts w:hint="eastAsia" w:ascii="宋体" w:hAnsi="宋体" w:eastAsia="宋体" w:cs="宋体"/>
                <w:sz w:val="24"/>
                <w:szCs w:val="24"/>
              </w:rPr>
              <w:t>1.3.1</w:t>
            </w:r>
          </w:p>
        </w:tc>
        <w:tc>
          <w:tcPr>
            <w:tcW w:w="1962" w:type="dxa"/>
            <w:tcBorders>
              <w:tl2br w:val="nil"/>
              <w:tr2bl w:val="nil"/>
            </w:tcBorders>
            <w:noWrap w:val="0"/>
            <w:vAlign w:val="center"/>
          </w:tcPr>
          <w:p w14:paraId="19393B93">
            <w:pPr>
              <w:shd w:val="clear"/>
              <w:spacing w:line="48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磋商范围</w:t>
            </w:r>
          </w:p>
        </w:tc>
        <w:tc>
          <w:tcPr>
            <w:tcW w:w="6785" w:type="dxa"/>
            <w:tcBorders>
              <w:tl2br w:val="nil"/>
              <w:tr2bl w:val="nil"/>
            </w:tcBorders>
            <w:noWrap w:val="0"/>
            <w:vAlign w:val="center"/>
          </w:tcPr>
          <w:p w14:paraId="65A04C4A">
            <w:pPr>
              <w:pStyle w:val="33"/>
              <w:shd w:val="clear"/>
              <w:spacing w:before="0" w:beforeAutospacing="0" w:after="0" w:afterAutospacing="0" w:line="360" w:lineRule="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凤县黄牛铺幼儿园校舍维修项目，具体详见工程量清单。</w:t>
            </w:r>
          </w:p>
        </w:tc>
      </w:tr>
      <w:tr w14:paraId="13FA6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4FCC0648">
            <w:pPr>
              <w:shd w:val="clear"/>
              <w:spacing w:line="480" w:lineRule="auto"/>
              <w:jc w:val="center"/>
              <w:rPr>
                <w:rFonts w:hint="eastAsia" w:ascii="宋体" w:hAnsi="宋体" w:eastAsia="宋体" w:cs="宋体"/>
                <w:sz w:val="24"/>
                <w:szCs w:val="24"/>
              </w:rPr>
            </w:pPr>
            <w:r>
              <w:rPr>
                <w:rFonts w:hint="eastAsia" w:ascii="宋体" w:hAnsi="宋体" w:eastAsia="宋体" w:cs="宋体"/>
                <w:sz w:val="24"/>
                <w:szCs w:val="24"/>
              </w:rPr>
              <w:t>1.3.2</w:t>
            </w:r>
          </w:p>
        </w:tc>
        <w:tc>
          <w:tcPr>
            <w:tcW w:w="1962" w:type="dxa"/>
            <w:tcBorders>
              <w:tl2br w:val="nil"/>
              <w:tr2bl w:val="nil"/>
            </w:tcBorders>
            <w:noWrap w:val="0"/>
            <w:vAlign w:val="center"/>
          </w:tcPr>
          <w:p w14:paraId="79913A53">
            <w:pPr>
              <w:shd w:val="clear"/>
              <w:spacing w:line="480" w:lineRule="auto"/>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工</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期</w:t>
            </w:r>
          </w:p>
        </w:tc>
        <w:tc>
          <w:tcPr>
            <w:tcW w:w="6785" w:type="dxa"/>
            <w:tcBorders>
              <w:tl2br w:val="nil"/>
              <w:tr2bl w:val="nil"/>
            </w:tcBorders>
            <w:noWrap w:val="0"/>
            <w:vAlign w:val="center"/>
          </w:tcPr>
          <w:p w14:paraId="2C45B0D2">
            <w:pPr>
              <w:pStyle w:val="12"/>
              <w:shd w:val="clea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30日历</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日</w:t>
            </w:r>
          </w:p>
        </w:tc>
      </w:tr>
      <w:tr w14:paraId="4E368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6F9CB67D">
            <w:pPr>
              <w:shd w:val="clear"/>
              <w:spacing w:line="480" w:lineRule="auto"/>
              <w:jc w:val="center"/>
              <w:rPr>
                <w:rFonts w:hint="eastAsia" w:ascii="宋体" w:hAnsi="宋体" w:eastAsia="宋体" w:cs="宋体"/>
                <w:sz w:val="24"/>
                <w:szCs w:val="24"/>
              </w:rPr>
            </w:pPr>
            <w:r>
              <w:rPr>
                <w:rFonts w:hint="eastAsia" w:ascii="宋体" w:hAnsi="宋体" w:eastAsia="宋体" w:cs="宋体"/>
                <w:sz w:val="24"/>
                <w:szCs w:val="24"/>
              </w:rPr>
              <w:t>1.3.3</w:t>
            </w:r>
          </w:p>
        </w:tc>
        <w:tc>
          <w:tcPr>
            <w:tcW w:w="1962" w:type="dxa"/>
            <w:tcBorders>
              <w:tl2br w:val="nil"/>
              <w:tr2bl w:val="nil"/>
            </w:tcBorders>
            <w:noWrap w:val="0"/>
            <w:vAlign w:val="center"/>
          </w:tcPr>
          <w:p w14:paraId="05B44313">
            <w:pPr>
              <w:shd w:val="clear"/>
              <w:spacing w:line="48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质量标准</w:t>
            </w:r>
          </w:p>
        </w:tc>
        <w:tc>
          <w:tcPr>
            <w:tcW w:w="6785" w:type="dxa"/>
            <w:tcBorders>
              <w:tl2br w:val="nil"/>
              <w:tr2bl w:val="nil"/>
            </w:tcBorders>
            <w:noWrap w:val="0"/>
            <w:vAlign w:val="center"/>
          </w:tcPr>
          <w:p w14:paraId="11907DC6">
            <w:pPr>
              <w:shd w:val="clear"/>
              <w:spacing w:line="360" w:lineRule="auto"/>
              <w:rPr>
                <w:rFonts w:hint="eastAsia" w:ascii="宋体" w:hAnsi="宋体" w:eastAsia="宋体" w:cs="宋体"/>
                <w:color w:val="auto"/>
                <w:sz w:val="24"/>
                <w:szCs w:val="24"/>
              </w:rPr>
            </w:pPr>
            <w:bookmarkStart w:id="20" w:name="OLE_LINK34"/>
            <w:bookmarkStart w:id="21" w:name="OLE_LINK18"/>
            <w:r>
              <w:rPr>
                <w:rFonts w:hint="eastAsia" w:ascii="宋体" w:hAnsi="宋体" w:eastAsia="宋体" w:cs="宋体"/>
                <w:kern w:val="0"/>
                <w:sz w:val="24"/>
                <w:szCs w:val="24"/>
              </w:rPr>
              <w:t>符合国家现行质量验收规范“合格”要求。</w:t>
            </w:r>
            <w:bookmarkEnd w:id="20"/>
            <w:bookmarkEnd w:id="21"/>
          </w:p>
        </w:tc>
      </w:tr>
      <w:tr w14:paraId="33E23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tcBorders>
              <w:tl2br w:val="nil"/>
              <w:tr2bl w:val="nil"/>
            </w:tcBorders>
            <w:noWrap w:val="0"/>
            <w:vAlign w:val="center"/>
          </w:tcPr>
          <w:p w14:paraId="304CA876">
            <w:pPr>
              <w:shd w:val="clea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1.4.1</w:t>
            </w:r>
          </w:p>
        </w:tc>
        <w:tc>
          <w:tcPr>
            <w:tcW w:w="1962" w:type="dxa"/>
            <w:tcBorders>
              <w:tl2br w:val="nil"/>
              <w:tr2bl w:val="nil"/>
            </w:tcBorders>
            <w:noWrap w:val="0"/>
            <w:vAlign w:val="center"/>
          </w:tcPr>
          <w:p w14:paraId="2BF27D82">
            <w:pPr>
              <w:shd w:val="clear"/>
              <w:spacing w:line="240" w:lineRule="auto"/>
              <w:jc w:val="center"/>
              <w:rPr>
                <w:rFonts w:hint="eastAsia" w:ascii="宋体" w:hAnsi="宋体" w:eastAsia="宋体" w:cs="宋体"/>
                <w:color w:val="auto"/>
                <w:kern w:val="2"/>
                <w:sz w:val="24"/>
                <w:szCs w:val="24"/>
                <w:lang w:val="en-US" w:eastAsia="zh-CN" w:bidi="ar-SA"/>
              </w:rPr>
            </w:pPr>
            <w:r>
              <w:rPr>
                <w:rFonts w:hint="eastAsia" w:ascii="宋体" w:hAnsi="宋体" w:eastAsia="宋体" w:cs="宋体"/>
                <w:sz w:val="24"/>
                <w:szCs w:val="24"/>
                <w:lang w:eastAsia="zh-CN"/>
              </w:rPr>
              <w:t>资格要求</w:t>
            </w:r>
          </w:p>
        </w:tc>
        <w:tc>
          <w:tcPr>
            <w:tcW w:w="6785" w:type="dxa"/>
            <w:tcBorders>
              <w:tl2br w:val="nil"/>
              <w:tr2bl w:val="nil"/>
            </w:tcBorders>
            <w:noWrap w:val="0"/>
            <w:vAlign w:val="center"/>
          </w:tcPr>
          <w:p w14:paraId="0ADAECEC">
            <w:pPr>
              <w:pStyle w:val="12"/>
              <w:numPr>
                <w:ilvl w:val="0"/>
                <w:numId w:val="3"/>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供应商具有独立承担民事责任能力的法人、其他组织或自然人，并出具合法有效的统一社会信用代码的营业执照或事业单位法人证书等国家规定的相关证明，自然人参与的提供其身份证明；</w:t>
            </w:r>
          </w:p>
          <w:p w14:paraId="6B3B8AA0">
            <w:pPr>
              <w:pStyle w:val="12"/>
              <w:numPr>
                <w:ilvl w:val="0"/>
                <w:numId w:val="3"/>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供应商须具有建筑工程施工总承包三级及以上施工资质，具有有效的安全生产许可证，并在人员、设备、资金等方面具有相应的施工能力；</w:t>
            </w:r>
          </w:p>
          <w:p w14:paraId="6AB7A72C">
            <w:pPr>
              <w:pStyle w:val="12"/>
              <w:numPr>
                <w:ilvl w:val="0"/>
                <w:numId w:val="3"/>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项目经理须具有建筑工程二级及以上注册建造师资格，具有安全生产考核合格证，且无在建工程（提供无在建承诺书）；</w:t>
            </w:r>
          </w:p>
          <w:p w14:paraId="2EF238FD">
            <w:pPr>
              <w:pStyle w:val="12"/>
              <w:numPr>
                <w:ilvl w:val="0"/>
                <w:numId w:val="3"/>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供应商应授权合法的人员参加磋商全过程，其中法定代表人直接参加磋商的，须出具法定代表人身份证，并与营业执照上信息一致；法定代表人授权代表参加磋商的，须出具法定代表人授权书及授权代表身份证；</w:t>
            </w:r>
          </w:p>
          <w:p w14:paraId="03C975BD">
            <w:pPr>
              <w:pStyle w:val="12"/>
              <w:numPr>
                <w:ilvl w:val="0"/>
                <w:numId w:val="3"/>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提供2024年度的财务报表（至少包括资产负债表和利润表，成立时间至提交竞争性磋商响应文件截止时间不足一年的可提供成立后任意时段的资产负债表），或其开标前半年内基本存款账户开户银行出具的资信证明（附开户许可证或开户备案证明）；</w:t>
            </w:r>
          </w:p>
          <w:p w14:paraId="57274379">
            <w:pPr>
              <w:pStyle w:val="12"/>
              <w:numPr>
                <w:ilvl w:val="0"/>
                <w:numId w:val="3"/>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供应商提供 2024年06月至今已缴纳的至少任意连续三个月的纳税证明或完税证明，依法免税的单位应提供相关证明材料；</w:t>
            </w:r>
          </w:p>
          <w:p w14:paraId="6E29BA3D">
            <w:pPr>
              <w:pStyle w:val="12"/>
              <w:numPr>
                <w:ilvl w:val="0"/>
                <w:numId w:val="3"/>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供应商提供2024年06月至今已缴纳的至少任意连续三个月的社会保障资金缴存单据或社保机构开具的社会保险参保缴费情况证明，依法不需要缴纳社会保障资金的单位应提供相关证明材料；</w:t>
            </w:r>
          </w:p>
          <w:p w14:paraId="0A0DEEB6">
            <w:pPr>
              <w:pStyle w:val="12"/>
              <w:numPr>
                <w:ilvl w:val="0"/>
                <w:numId w:val="3"/>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p>
          <w:p w14:paraId="3D0C175B">
            <w:pPr>
              <w:pStyle w:val="12"/>
              <w:numPr>
                <w:ilvl w:val="0"/>
                <w:numId w:val="3"/>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供应商负责人为同一人或者存在直接控股、管理关系的不同供应商，不得同时参加本项目磋商，提供承诺书；</w:t>
            </w:r>
          </w:p>
          <w:p w14:paraId="7B6246E9">
            <w:pPr>
              <w:pStyle w:val="12"/>
              <w:numPr>
                <w:ilvl w:val="0"/>
                <w:numId w:val="3"/>
              </w:numPr>
              <w:shd w:val="clear"/>
              <w:spacing w:line="360" w:lineRule="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供应商须具有履行合同所必需的设备和专业技术能力的承诺书；</w:t>
            </w:r>
          </w:p>
          <w:p w14:paraId="2ED51792">
            <w:pPr>
              <w:pStyle w:val="12"/>
              <w:numPr>
                <w:ilvl w:val="0"/>
                <w:numId w:val="3"/>
              </w:numPr>
              <w:shd w:val="clear"/>
              <w:spacing w:line="360" w:lineRule="auto"/>
              <w:ind w:left="0" w:leftChars="0" w:firstLine="0" w:firstLineChars="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参加政府采购活动前三年内，在经营活动中没有重大违法记录的书面声明；</w:t>
            </w:r>
          </w:p>
          <w:p w14:paraId="7EEA5598">
            <w:pPr>
              <w:pStyle w:val="12"/>
              <w:numPr>
                <w:ilvl w:val="0"/>
                <w:numId w:val="0"/>
              </w:numPr>
              <w:shd w:val="clear"/>
              <w:spacing w:line="360" w:lineRule="auto"/>
              <w:ind w:leftChars="0"/>
              <w:rPr>
                <w:rFonts w:hint="eastAsia" w:ascii="宋体" w:hAnsi="宋体" w:eastAsia="宋体" w:cs="宋体"/>
                <w:b/>
                <w:bCs/>
                <w:color w:val="auto"/>
                <w:sz w:val="24"/>
                <w:szCs w:val="24"/>
                <w:lang w:val="en-US" w:eastAsia="zh-CN"/>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（12）本项目专门面向中小企业采购（提供中小企业声明函）。  </w:t>
            </w:r>
          </w:p>
          <w:p w14:paraId="23F59211">
            <w:pPr>
              <w:keepNext w:val="0"/>
              <w:keepLines w:val="0"/>
              <w:pageBreakBefore w:val="0"/>
              <w:widowControl w:val="0"/>
              <w:shd w:val="clear"/>
              <w:kinsoku/>
              <w:wordWrap/>
              <w:overflowPunct/>
              <w:topLinePunct w:val="0"/>
              <w:autoSpaceDE/>
              <w:autoSpaceDN/>
              <w:bidi w:val="0"/>
              <w:adjustRightInd/>
              <w:snapToGrid/>
              <w:spacing w:line="288" w:lineRule="auto"/>
              <w:textAlignment w:val="auto"/>
              <w:rPr>
                <w:rFonts w:hint="eastAsia" w:ascii="宋体" w:hAnsi="宋体" w:eastAsia="宋体" w:cs="宋体"/>
                <w:color w:val="auto"/>
                <w:sz w:val="24"/>
                <w:szCs w:val="24"/>
                <w:lang w:val="en-US" w:eastAsia="zh-CN"/>
              </w:rPr>
            </w:pPr>
            <w:r>
              <w:rPr>
                <w:rFonts w:hint="eastAsia" w:ascii="宋体" w:hAnsi="宋体" w:eastAsia="宋体" w:cs="宋体"/>
                <w:b/>
                <w:bCs/>
                <w:color w:val="auto"/>
                <w:sz w:val="24"/>
                <w:szCs w:val="24"/>
                <w:lang w:val="en-US" w:eastAsia="zh-CN"/>
              </w:rPr>
              <w:t>注：上述资格证明文件为必备资质，欠缺其中任何一项或某项达不到要求，按无效竞争性磋商响应文件处理。</w:t>
            </w:r>
          </w:p>
        </w:tc>
      </w:tr>
      <w:tr w14:paraId="078C82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962" w:type="dxa"/>
            <w:tcBorders>
              <w:tl2br w:val="nil"/>
              <w:tr2bl w:val="nil"/>
            </w:tcBorders>
            <w:noWrap w:val="0"/>
            <w:vAlign w:val="center"/>
          </w:tcPr>
          <w:p w14:paraId="48C8A781">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1.4.2</w:t>
            </w:r>
          </w:p>
        </w:tc>
        <w:tc>
          <w:tcPr>
            <w:tcW w:w="1962" w:type="dxa"/>
            <w:tcBorders>
              <w:tl2br w:val="nil"/>
              <w:tr2bl w:val="nil"/>
            </w:tcBorders>
            <w:noWrap w:val="0"/>
            <w:vAlign w:val="center"/>
          </w:tcPr>
          <w:p w14:paraId="10BB2791">
            <w:pPr>
              <w:shd w:val="clear"/>
              <w:spacing w:line="240"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竞争性磋商</w:t>
            </w:r>
          </w:p>
          <w:p w14:paraId="05D5A523">
            <w:pPr>
              <w:shd w:val="clear"/>
              <w:spacing w:line="240" w:lineRule="auto"/>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文件</w:t>
            </w:r>
            <w:r>
              <w:rPr>
                <w:rFonts w:hint="eastAsia" w:ascii="宋体" w:hAnsi="宋体" w:eastAsia="宋体" w:cs="宋体"/>
                <w:color w:val="auto"/>
                <w:kern w:val="2"/>
                <w:sz w:val="24"/>
                <w:szCs w:val="24"/>
                <w:highlight w:val="none"/>
                <w:lang w:val="en-US" w:eastAsia="zh-CN" w:bidi="ar-SA"/>
              </w:rPr>
              <w:t>获取</w:t>
            </w:r>
            <w:r>
              <w:rPr>
                <w:rFonts w:hint="eastAsia" w:ascii="宋体" w:hAnsi="宋体" w:eastAsia="宋体" w:cs="宋体"/>
                <w:color w:val="auto"/>
                <w:kern w:val="2"/>
                <w:sz w:val="24"/>
                <w:szCs w:val="24"/>
                <w:highlight w:val="none"/>
                <w:lang w:val="zh-CN" w:eastAsia="zh-CN" w:bidi="ar-SA"/>
              </w:rPr>
              <w:t>时间</w:t>
            </w:r>
          </w:p>
        </w:tc>
        <w:tc>
          <w:tcPr>
            <w:tcW w:w="6785" w:type="dxa"/>
            <w:tcBorders>
              <w:tl2br w:val="nil"/>
              <w:tr2bl w:val="nil"/>
            </w:tcBorders>
            <w:noWrap w:val="0"/>
            <w:vAlign w:val="center"/>
          </w:tcPr>
          <w:p w14:paraId="28A924AE">
            <w:pPr>
              <w:pStyle w:val="33"/>
              <w:shd w:val="clear"/>
              <w:spacing w:before="0" w:beforeAutospacing="0" w:after="0" w:afterAutospacing="0" w:line="360" w:lineRule="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获取时间：2025年07月11日至2025年07月18日，每天上午 09:00:00至12:00:00，下午14:00:00至17:00:00 （北京时间）</w:t>
            </w:r>
          </w:p>
          <w:p w14:paraId="37DFB5CC">
            <w:pPr>
              <w:pStyle w:val="33"/>
              <w:shd w:val="clear"/>
              <w:spacing w:before="0" w:beforeAutospacing="0" w:after="0" w:afterAutospacing="0" w:line="360" w:lineRule="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sz w:val="24"/>
                <w:szCs w:val="24"/>
                <w:highlight w:val="none"/>
                <w:lang w:val="en-US" w:eastAsia="zh-CN"/>
              </w:rPr>
              <w:t>获取地点：</w:t>
            </w:r>
            <w:r>
              <w:rPr>
                <w:rFonts w:hint="eastAsia" w:ascii="宋体" w:hAnsi="宋体" w:eastAsia="宋体" w:cs="宋体"/>
                <w:sz w:val="24"/>
                <w:szCs w:val="24"/>
                <w:highlight w:val="none"/>
                <w:lang w:eastAsia="zh-CN"/>
              </w:rPr>
              <w:t>宝鸡市金台区行政大道海棠风尚</w:t>
            </w:r>
            <w:r>
              <w:rPr>
                <w:rFonts w:hint="eastAsia" w:ascii="宋体" w:hAnsi="宋体" w:eastAsia="宋体" w:cs="宋体"/>
                <w:sz w:val="24"/>
                <w:szCs w:val="24"/>
                <w:highlight w:val="none"/>
                <w:lang w:val="en-US" w:eastAsia="zh-CN"/>
              </w:rPr>
              <w:t>1510</w:t>
            </w:r>
            <w:r>
              <w:rPr>
                <w:rFonts w:hint="eastAsia" w:ascii="宋体" w:hAnsi="宋体" w:eastAsia="宋体" w:cs="宋体"/>
                <w:sz w:val="24"/>
                <w:szCs w:val="24"/>
                <w:highlight w:val="none"/>
                <w:lang w:eastAsia="zh-CN"/>
              </w:rPr>
              <w:t>室</w:t>
            </w:r>
          </w:p>
        </w:tc>
      </w:tr>
      <w:tr w14:paraId="56C38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962" w:type="dxa"/>
            <w:tcBorders>
              <w:tl2br w:val="nil"/>
              <w:tr2bl w:val="nil"/>
            </w:tcBorders>
            <w:noWrap w:val="0"/>
            <w:vAlign w:val="center"/>
          </w:tcPr>
          <w:p w14:paraId="2ED5A985">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1.9</w:t>
            </w:r>
          </w:p>
        </w:tc>
        <w:tc>
          <w:tcPr>
            <w:tcW w:w="1962" w:type="dxa"/>
            <w:tcBorders>
              <w:tl2br w:val="nil"/>
              <w:tr2bl w:val="nil"/>
            </w:tcBorders>
            <w:noWrap w:val="0"/>
            <w:vAlign w:val="center"/>
          </w:tcPr>
          <w:p w14:paraId="00C8C328">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踏勘现场</w:t>
            </w:r>
          </w:p>
        </w:tc>
        <w:tc>
          <w:tcPr>
            <w:tcW w:w="6785" w:type="dxa"/>
            <w:tcBorders>
              <w:tl2br w:val="nil"/>
              <w:tr2bl w:val="nil"/>
            </w:tcBorders>
            <w:noWrap w:val="0"/>
            <w:vAlign w:val="center"/>
          </w:tcPr>
          <w:p w14:paraId="7E8A2A77">
            <w:pPr>
              <w:pStyle w:val="33"/>
              <w:shd w:val="clear"/>
              <w:spacing w:before="0" w:beforeAutospacing="0" w:after="0" w:afterAutospacing="0" w:line="360" w:lineRule="auto"/>
              <w:rPr>
                <w:rFonts w:hint="eastAsia" w:ascii="宋体" w:hAnsi="宋体" w:eastAsia="宋体" w:cs="宋体"/>
                <w:color w:val="auto"/>
                <w:sz w:val="24"/>
                <w:szCs w:val="24"/>
              </w:rPr>
            </w:pPr>
            <w:r>
              <w:rPr>
                <w:rFonts w:hint="eastAsia" w:ascii="宋体" w:hAnsi="宋体" w:eastAsia="宋体" w:cs="宋体"/>
                <w:sz w:val="24"/>
                <w:szCs w:val="24"/>
                <w:highlight w:val="none"/>
                <w:lang w:val="en-US" w:eastAsia="zh-CN"/>
              </w:rPr>
              <w:t>采购代理机构不组织统一踏勘，各投标供应商自行踏勘，相关费用及安全由投标供应商自行承担，踏勘时不得扰民，如有疑问请以书面的形式提交给采购代理机构。</w:t>
            </w:r>
          </w:p>
        </w:tc>
      </w:tr>
      <w:tr w14:paraId="0B8405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2" w:type="dxa"/>
            <w:tcBorders>
              <w:tl2br w:val="nil"/>
              <w:tr2bl w:val="nil"/>
            </w:tcBorders>
            <w:noWrap w:val="0"/>
            <w:vAlign w:val="center"/>
          </w:tcPr>
          <w:p w14:paraId="7A01D25B">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1.10</w:t>
            </w:r>
          </w:p>
        </w:tc>
        <w:tc>
          <w:tcPr>
            <w:tcW w:w="1962" w:type="dxa"/>
            <w:tcBorders>
              <w:tl2br w:val="nil"/>
              <w:tr2bl w:val="nil"/>
            </w:tcBorders>
            <w:noWrap w:val="0"/>
            <w:vAlign w:val="center"/>
          </w:tcPr>
          <w:p w14:paraId="00262EF0">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磋商答疑会</w:t>
            </w:r>
          </w:p>
        </w:tc>
        <w:tc>
          <w:tcPr>
            <w:tcW w:w="6785" w:type="dxa"/>
            <w:tcBorders>
              <w:tl2br w:val="nil"/>
              <w:tr2bl w:val="nil"/>
            </w:tcBorders>
            <w:noWrap w:val="0"/>
            <w:vAlign w:val="center"/>
          </w:tcPr>
          <w:p w14:paraId="17494AB5">
            <w:pPr>
              <w:pStyle w:val="33"/>
              <w:shd w:val="clear"/>
              <w:spacing w:before="0" w:beforeAutospacing="0" w:after="0" w:afterAutospacing="0" w:line="360" w:lineRule="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不召开；若有疑问，均应在磋商响应文件递交截止时间3日前以书面形式向采购代理机构提出。</w:t>
            </w:r>
          </w:p>
        </w:tc>
      </w:tr>
      <w:tr w14:paraId="2882ED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962" w:type="dxa"/>
            <w:tcBorders>
              <w:tl2br w:val="nil"/>
              <w:tr2bl w:val="nil"/>
            </w:tcBorders>
            <w:noWrap w:val="0"/>
            <w:vAlign w:val="center"/>
          </w:tcPr>
          <w:p w14:paraId="2A61CD66">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1.11</w:t>
            </w:r>
          </w:p>
        </w:tc>
        <w:tc>
          <w:tcPr>
            <w:tcW w:w="1962" w:type="dxa"/>
            <w:tcBorders>
              <w:tl2br w:val="nil"/>
              <w:tr2bl w:val="nil"/>
            </w:tcBorders>
            <w:noWrap w:val="0"/>
            <w:vAlign w:val="center"/>
          </w:tcPr>
          <w:p w14:paraId="733D7C11">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分包</w:t>
            </w:r>
          </w:p>
        </w:tc>
        <w:tc>
          <w:tcPr>
            <w:tcW w:w="6785" w:type="dxa"/>
            <w:tcBorders>
              <w:tl2br w:val="nil"/>
              <w:tr2bl w:val="nil"/>
            </w:tcBorders>
            <w:noWrap w:val="0"/>
            <w:vAlign w:val="center"/>
          </w:tcPr>
          <w:p w14:paraId="1AF3DB36">
            <w:pPr>
              <w:keepNext w:val="0"/>
              <w:keepLines w:val="0"/>
              <w:pageBreakBefore w:val="0"/>
              <w:widowControl w:val="0"/>
              <w:shd w:val="clear"/>
              <w:tabs>
                <w:tab w:val="left" w:pos="5040"/>
              </w:tabs>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不允许</w:t>
            </w:r>
          </w:p>
        </w:tc>
      </w:tr>
      <w:tr w14:paraId="2191DD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962" w:type="dxa"/>
            <w:tcBorders>
              <w:tl2br w:val="nil"/>
              <w:tr2bl w:val="nil"/>
            </w:tcBorders>
            <w:noWrap w:val="0"/>
            <w:vAlign w:val="center"/>
          </w:tcPr>
          <w:p w14:paraId="5B7C4D6B">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2.1</w:t>
            </w:r>
          </w:p>
        </w:tc>
        <w:tc>
          <w:tcPr>
            <w:tcW w:w="1962" w:type="dxa"/>
            <w:tcBorders>
              <w:tl2br w:val="nil"/>
              <w:tr2bl w:val="nil"/>
            </w:tcBorders>
            <w:noWrap w:val="0"/>
            <w:vAlign w:val="center"/>
          </w:tcPr>
          <w:p w14:paraId="3D9F0919">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构成竞争性磋商文件的其他材料</w:t>
            </w:r>
          </w:p>
        </w:tc>
        <w:tc>
          <w:tcPr>
            <w:tcW w:w="6785" w:type="dxa"/>
            <w:tcBorders>
              <w:tl2br w:val="nil"/>
              <w:tr2bl w:val="nil"/>
            </w:tcBorders>
            <w:noWrap w:val="0"/>
            <w:vAlign w:val="center"/>
          </w:tcPr>
          <w:p w14:paraId="0FE13263">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澄清、修改、答疑文件、工程量清单等相关材料。</w:t>
            </w:r>
          </w:p>
        </w:tc>
      </w:tr>
      <w:tr w14:paraId="0765D7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962" w:type="dxa"/>
            <w:tcBorders>
              <w:tl2br w:val="nil"/>
              <w:tr2bl w:val="nil"/>
            </w:tcBorders>
            <w:noWrap w:val="0"/>
            <w:vAlign w:val="center"/>
          </w:tcPr>
          <w:p w14:paraId="63FB1843">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2.2.1</w:t>
            </w:r>
          </w:p>
        </w:tc>
        <w:tc>
          <w:tcPr>
            <w:tcW w:w="1962" w:type="dxa"/>
            <w:tcBorders>
              <w:tl2br w:val="nil"/>
              <w:tr2bl w:val="nil"/>
            </w:tcBorders>
            <w:noWrap w:val="0"/>
            <w:vAlign w:val="center"/>
          </w:tcPr>
          <w:p w14:paraId="2ABFB4A6">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投标供应商</w:t>
            </w:r>
            <w:r>
              <w:rPr>
                <w:rFonts w:hint="eastAsia" w:ascii="宋体" w:hAnsi="宋体" w:eastAsia="宋体" w:cs="宋体"/>
                <w:sz w:val="24"/>
                <w:szCs w:val="24"/>
              </w:rPr>
              <w:t>对竞争性磋商文件的疑问</w:t>
            </w:r>
          </w:p>
        </w:tc>
        <w:tc>
          <w:tcPr>
            <w:tcW w:w="6785" w:type="dxa"/>
            <w:tcBorders>
              <w:tl2br w:val="nil"/>
              <w:tr2bl w:val="nil"/>
            </w:tcBorders>
            <w:noWrap w:val="0"/>
            <w:vAlign w:val="center"/>
          </w:tcPr>
          <w:p w14:paraId="7EF74C9D">
            <w:pPr>
              <w:pStyle w:val="12"/>
              <w:shd w:val="clear"/>
              <w:spacing w:line="240" w:lineRule="auto"/>
              <w:rPr>
                <w:rFonts w:hint="eastAsia" w:ascii="宋体" w:hAnsi="宋体" w:eastAsia="宋体" w:cs="宋体"/>
                <w:sz w:val="24"/>
                <w:szCs w:val="24"/>
              </w:rPr>
            </w:pPr>
            <w:r>
              <w:rPr>
                <w:rFonts w:hint="eastAsia" w:ascii="宋体" w:hAnsi="宋体" w:eastAsia="宋体" w:cs="宋体"/>
                <w:sz w:val="24"/>
                <w:szCs w:val="24"/>
              </w:rPr>
              <w:t>磋商响应文件递交截止时间3日前。</w:t>
            </w:r>
          </w:p>
        </w:tc>
      </w:tr>
      <w:tr w14:paraId="5F770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962" w:type="dxa"/>
            <w:tcBorders>
              <w:tl2br w:val="nil"/>
              <w:tr2bl w:val="nil"/>
            </w:tcBorders>
            <w:noWrap w:val="0"/>
            <w:vAlign w:val="center"/>
          </w:tcPr>
          <w:p w14:paraId="38661661">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2.2.2</w:t>
            </w:r>
          </w:p>
        </w:tc>
        <w:tc>
          <w:tcPr>
            <w:tcW w:w="1962" w:type="dxa"/>
            <w:tcBorders>
              <w:tl2br w:val="nil"/>
              <w:tr2bl w:val="nil"/>
            </w:tcBorders>
            <w:noWrap w:val="0"/>
            <w:vAlign w:val="center"/>
          </w:tcPr>
          <w:p w14:paraId="3744D2C8">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lang w:eastAsia="zh-CN"/>
              </w:rPr>
              <w:t>采购人</w:t>
            </w:r>
            <w:r>
              <w:rPr>
                <w:rFonts w:hint="eastAsia" w:ascii="宋体" w:hAnsi="宋体" w:eastAsia="宋体" w:cs="宋体"/>
                <w:sz w:val="24"/>
                <w:szCs w:val="24"/>
              </w:rPr>
              <w:t>澄清竞争性磋商文件的截止时间</w:t>
            </w:r>
          </w:p>
        </w:tc>
        <w:tc>
          <w:tcPr>
            <w:tcW w:w="6785" w:type="dxa"/>
            <w:tcBorders>
              <w:tl2br w:val="nil"/>
              <w:tr2bl w:val="nil"/>
            </w:tcBorders>
            <w:noWrap w:val="0"/>
            <w:vAlign w:val="center"/>
          </w:tcPr>
          <w:p w14:paraId="18FDBB4C">
            <w:pPr>
              <w:shd w:val="clear"/>
              <w:spacing w:line="240" w:lineRule="auto"/>
              <w:rPr>
                <w:rFonts w:hint="eastAsia" w:ascii="宋体" w:hAnsi="宋体" w:eastAsia="宋体" w:cs="宋体"/>
                <w:sz w:val="24"/>
                <w:szCs w:val="24"/>
              </w:rPr>
            </w:pPr>
            <w:r>
              <w:rPr>
                <w:rFonts w:hint="eastAsia" w:ascii="宋体" w:hAnsi="宋体" w:eastAsia="宋体" w:cs="宋体"/>
                <w:sz w:val="24"/>
                <w:szCs w:val="24"/>
              </w:rPr>
              <w:t>磋商响应文件递交截止时间5日前。</w:t>
            </w:r>
          </w:p>
        </w:tc>
      </w:tr>
      <w:tr w14:paraId="764B3B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2" w:type="dxa"/>
            <w:tcBorders>
              <w:tl2br w:val="nil"/>
              <w:tr2bl w:val="nil"/>
            </w:tcBorders>
            <w:noWrap w:val="0"/>
            <w:vAlign w:val="center"/>
          </w:tcPr>
          <w:p w14:paraId="37B3070B">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3.1.1</w:t>
            </w:r>
          </w:p>
        </w:tc>
        <w:tc>
          <w:tcPr>
            <w:tcW w:w="1962" w:type="dxa"/>
            <w:tcBorders>
              <w:tl2br w:val="nil"/>
              <w:tr2bl w:val="nil"/>
            </w:tcBorders>
            <w:noWrap w:val="0"/>
            <w:vAlign w:val="center"/>
          </w:tcPr>
          <w:p w14:paraId="6A1D64BF">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构成竞争性磋商响应文件的其他材料</w:t>
            </w:r>
          </w:p>
        </w:tc>
        <w:tc>
          <w:tcPr>
            <w:tcW w:w="6785" w:type="dxa"/>
            <w:tcBorders>
              <w:tl2br w:val="nil"/>
              <w:tr2bl w:val="nil"/>
            </w:tcBorders>
            <w:noWrap w:val="0"/>
            <w:vAlign w:val="center"/>
          </w:tcPr>
          <w:p w14:paraId="36871EA8">
            <w:pPr>
              <w:shd w:val="clear"/>
              <w:spacing w:line="240" w:lineRule="auto"/>
              <w:rPr>
                <w:rFonts w:hint="eastAsia"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按照竞争性磋商文件的要求认为有利于磋商的材料。</w:t>
            </w:r>
          </w:p>
        </w:tc>
      </w:tr>
      <w:tr w14:paraId="44EAA8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l2br w:val="nil"/>
              <w:tr2bl w:val="nil"/>
            </w:tcBorders>
            <w:noWrap w:val="0"/>
            <w:vAlign w:val="center"/>
          </w:tcPr>
          <w:p w14:paraId="53FA8A44">
            <w:pPr>
              <w:shd w:val="clea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3.2.10</w:t>
            </w:r>
          </w:p>
        </w:tc>
        <w:tc>
          <w:tcPr>
            <w:tcW w:w="1962" w:type="dxa"/>
            <w:tcBorders>
              <w:tl2br w:val="nil"/>
              <w:tr2bl w:val="nil"/>
            </w:tcBorders>
            <w:noWrap w:val="0"/>
            <w:vAlign w:val="center"/>
          </w:tcPr>
          <w:p w14:paraId="1ABF8289">
            <w:pPr>
              <w:shd w:val="clear"/>
              <w:spacing w:line="240" w:lineRule="auto"/>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项目最高限价</w:t>
            </w:r>
          </w:p>
        </w:tc>
        <w:tc>
          <w:tcPr>
            <w:tcW w:w="6785" w:type="dxa"/>
            <w:tcBorders>
              <w:tl2br w:val="nil"/>
              <w:tr2bl w:val="nil"/>
            </w:tcBorders>
            <w:noWrap w:val="0"/>
            <w:vAlign w:val="center"/>
          </w:tcPr>
          <w:p w14:paraId="1AAA08CC">
            <w:pPr>
              <w:pStyle w:val="23"/>
              <w:shd w:val="clea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139,773.43元（超过此限价按无效标处理）</w:t>
            </w:r>
          </w:p>
        </w:tc>
      </w:tr>
      <w:tr w14:paraId="00A10E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62" w:type="dxa"/>
            <w:tcBorders>
              <w:tl2br w:val="nil"/>
              <w:tr2bl w:val="nil"/>
            </w:tcBorders>
            <w:noWrap w:val="0"/>
            <w:vAlign w:val="center"/>
          </w:tcPr>
          <w:p w14:paraId="4A62AD41">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3.3.1</w:t>
            </w:r>
          </w:p>
        </w:tc>
        <w:tc>
          <w:tcPr>
            <w:tcW w:w="1962" w:type="dxa"/>
            <w:tcBorders>
              <w:tl2br w:val="nil"/>
              <w:tr2bl w:val="nil"/>
            </w:tcBorders>
            <w:noWrap w:val="0"/>
            <w:vAlign w:val="center"/>
          </w:tcPr>
          <w:p w14:paraId="3C1C6837">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磋商有效期</w:t>
            </w:r>
          </w:p>
        </w:tc>
        <w:tc>
          <w:tcPr>
            <w:tcW w:w="6785" w:type="dxa"/>
            <w:tcBorders>
              <w:tl2br w:val="nil"/>
              <w:tr2bl w:val="nil"/>
            </w:tcBorders>
            <w:noWrap w:val="0"/>
            <w:vAlign w:val="center"/>
          </w:tcPr>
          <w:p w14:paraId="40EF97C2">
            <w:pPr>
              <w:shd w:val="clear"/>
              <w:spacing w:line="240" w:lineRule="auto"/>
              <w:jc w:val="left"/>
              <w:rPr>
                <w:rFonts w:hint="eastAsia" w:ascii="宋体" w:hAnsi="宋体" w:eastAsia="宋体" w:cs="宋体"/>
                <w:sz w:val="24"/>
                <w:szCs w:val="24"/>
              </w:rPr>
            </w:pPr>
            <w:r>
              <w:rPr>
                <w:rFonts w:hint="eastAsia" w:ascii="宋体" w:hAnsi="宋体" w:eastAsia="宋体" w:cs="宋体"/>
                <w:sz w:val="24"/>
                <w:szCs w:val="24"/>
              </w:rPr>
              <w:t>90日历天（从磋商截止之日算起）</w:t>
            </w:r>
          </w:p>
        </w:tc>
      </w:tr>
      <w:tr w14:paraId="0210E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l2br w:val="nil"/>
              <w:tr2bl w:val="nil"/>
            </w:tcBorders>
            <w:noWrap w:val="0"/>
            <w:vAlign w:val="center"/>
          </w:tcPr>
          <w:p w14:paraId="79F62D89">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3.4.1</w:t>
            </w:r>
          </w:p>
        </w:tc>
        <w:tc>
          <w:tcPr>
            <w:tcW w:w="1962" w:type="dxa"/>
            <w:tcBorders>
              <w:tl2br w:val="nil"/>
              <w:tr2bl w:val="nil"/>
            </w:tcBorders>
            <w:noWrap w:val="0"/>
            <w:vAlign w:val="center"/>
          </w:tcPr>
          <w:p w14:paraId="3A0D3FE3">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磋商保证金</w:t>
            </w:r>
          </w:p>
        </w:tc>
        <w:tc>
          <w:tcPr>
            <w:tcW w:w="6785" w:type="dxa"/>
            <w:tcBorders>
              <w:tl2br w:val="nil"/>
              <w:tr2bl w:val="nil"/>
            </w:tcBorders>
            <w:noWrap w:val="0"/>
            <w:vAlign w:val="center"/>
          </w:tcPr>
          <w:p w14:paraId="52E22EDA">
            <w:pPr>
              <w:shd w:val="clear"/>
              <w:spacing w:line="24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本项目不收取磋商保证金。</w:t>
            </w:r>
          </w:p>
        </w:tc>
      </w:tr>
      <w:tr w14:paraId="5D2041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962" w:type="dxa"/>
            <w:tcBorders>
              <w:tl2br w:val="nil"/>
              <w:tr2bl w:val="nil"/>
            </w:tcBorders>
            <w:noWrap w:val="0"/>
            <w:vAlign w:val="center"/>
          </w:tcPr>
          <w:p w14:paraId="4B7BA2EC">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3.5</w:t>
            </w:r>
          </w:p>
        </w:tc>
        <w:tc>
          <w:tcPr>
            <w:tcW w:w="1962" w:type="dxa"/>
            <w:tcBorders>
              <w:tl2br w:val="nil"/>
              <w:tr2bl w:val="nil"/>
            </w:tcBorders>
            <w:noWrap w:val="0"/>
            <w:vAlign w:val="center"/>
          </w:tcPr>
          <w:p w14:paraId="123521D3">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是否允许递交</w:t>
            </w:r>
          </w:p>
          <w:p w14:paraId="7910BDCB">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备选磋商方案</w:t>
            </w:r>
          </w:p>
        </w:tc>
        <w:tc>
          <w:tcPr>
            <w:tcW w:w="6785" w:type="dxa"/>
            <w:tcBorders>
              <w:tl2br w:val="nil"/>
              <w:tr2bl w:val="nil"/>
            </w:tcBorders>
            <w:noWrap w:val="0"/>
            <w:vAlign w:val="center"/>
          </w:tcPr>
          <w:p w14:paraId="22801EBB">
            <w:pPr>
              <w:shd w:val="clear"/>
              <w:spacing w:line="240" w:lineRule="auto"/>
              <w:rPr>
                <w:rFonts w:hint="eastAsia" w:ascii="宋体" w:hAnsi="宋体" w:eastAsia="宋体" w:cs="宋体"/>
                <w:sz w:val="24"/>
                <w:szCs w:val="24"/>
              </w:rPr>
            </w:pPr>
            <w:r>
              <w:rPr>
                <w:rFonts w:hint="eastAsia" w:ascii="宋体" w:hAnsi="宋体" w:eastAsia="宋体" w:cs="宋体"/>
                <w:sz w:val="24"/>
                <w:szCs w:val="24"/>
              </w:rPr>
              <w:t>不允许</w:t>
            </w:r>
          </w:p>
        </w:tc>
      </w:tr>
      <w:tr w14:paraId="025D8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962" w:type="dxa"/>
            <w:tcBorders>
              <w:tl2br w:val="nil"/>
              <w:tr2bl w:val="nil"/>
            </w:tcBorders>
            <w:noWrap w:val="0"/>
            <w:vAlign w:val="center"/>
          </w:tcPr>
          <w:p w14:paraId="40282A77">
            <w:pPr>
              <w:shd w:val="clea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3.6.3</w:t>
            </w:r>
          </w:p>
        </w:tc>
        <w:tc>
          <w:tcPr>
            <w:tcW w:w="1962" w:type="dxa"/>
            <w:tcBorders>
              <w:tl2br w:val="nil"/>
              <w:tr2bl w:val="nil"/>
            </w:tcBorders>
            <w:noWrap w:val="0"/>
            <w:vAlign w:val="center"/>
          </w:tcPr>
          <w:p w14:paraId="3CA72A0E">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签字或盖章</w:t>
            </w:r>
          </w:p>
          <w:p w14:paraId="2171C9AE">
            <w:pPr>
              <w:shd w:val="clea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要求</w:t>
            </w:r>
          </w:p>
        </w:tc>
        <w:tc>
          <w:tcPr>
            <w:tcW w:w="6785" w:type="dxa"/>
            <w:tcBorders>
              <w:tl2br w:val="nil"/>
              <w:tr2bl w:val="nil"/>
            </w:tcBorders>
            <w:noWrap w:val="0"/>
            <w:vAlign w:val="center"/>
          </w:tcPr>
          <w:p w14:paraId="32D0FFD5">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竞争性磋商响应文件封面、磋商响应函及其它有要求处必须加盖</w:t>
            </w:r>
            <w:r>
              <w:rPr>
                <w:rFonts w:hint="eastAsia" w:ascii="宋体" w:hAnsi="宋体" w:eastAsia="宋体" w:cs="宋体"/>
                <w:sz w:val="24"/>
                <w:szCs w:val="24"/>
                <w:lang w:eastAsia="zh-CN"/>
              </w:rPr>
              <w:t>投标供应商</w:t>
            </w:r>
            <w:r>
              <w:rPr>
                <w:rFonts w:hint="eastAsia" w:ascii="宋体" w:hAnsi="宋体" w:eastAsia="宋体" w:cs="宋体"/>
                <w:sz w:val="24"/>
                <w:szCs w:val="24"/>
              </w:rPr>
              <w:t>公章并经法定代表人或其委托代理人签字或盖章。</w:t>
            </w:r>
          </w:p>
          <w:p w14:paraId="346A5929">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竞争性磋商响应文件应无涂改或行间插字和增删。如确需修改，修改处必须由</w:t>
            </w:r>
            <w:r>
              <w:rPr>
                <w:rFonts w:hint="eastAsia" w:ascii="宋体" w:hAnsi="宋体" w:eastAsia="宋体" w:cs="宋体"/>
                <w:sz w:val="24"/>
                <w:szCs w:val="24"/>
                <w:lang w:eastAsia="zh-CN"/>
              </w:rPr>
              <w:t>投标供应商</w:t>
            </w:r>
            <w:r>
              <w:rPr>
                <w:rFonts w:hint="eastAsia" w:ascii="宋体" w:hAnsi="宋体" w:eastAsia="宋体" w:cs="宋体"/>
                <w:sz w:val="24"/>
                <w:szCs w:val="24"/>
              </w:rPr>
              <w:t>加盖</w:t>
            </w:r>
            <w:r>
              <w:rPr>
                <w:rFonts w:hint="eastAsia" w:ascii="宋体" w:hAnsi="宋体" w:eastAsia="宋体" w:cs="宋体"/>
                <w:sz w:val="24"/>
                <w:szCs w:val="24"/>
                <w:lang w:eastAsia="zh-CN"/>
              </w:rPr>
              <w:t>投标供应商</w:t>
            </w:r>
            <w:r>
              <w:rPr>
                <w:rFonts w:hint="eastAsia" w:ascii="宋体" w:hAnsi="宋体" w:eastAsia="宋体" w:cs="宋体"/>
                <w:sz w:val="24"/>
                <w:szCs w:val="24"/>
              </w:rPr>
              <w:t>公章并经法定代表人或其委托代理人签字或盖章。</w:t>
            </w:r>
          </w:p>
        </w:tc>
      </w:tr>
      <w:tr w14:paraId="292DBB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962" w:type="dxa"/>
            <w:tcBorders>
              <w:tl2br w:val="nil"/>
              <w:tr2bl w:val="nil"/>
            </w:tcBorders>
            <w:noWrap w:val="0"/>
            <w:vAlign w:val="center"/>
          </w:tcPr>
          <w:p w14:paraId="491E4696">
            <w:pPr>
              <w:shd w:val="clea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3.6.4</w:t>
            </w:r>
          </w:p>
        </w:tc>
        <w:tc>
          <w:tcPr>
            <w:tcW w:w="1962" w:type="dxa"/>
            <w:tcBorders>
              <w:tl2br w:val="nil"/>
              <w:tr2bl w:val="nil"/>
            </w:tcBorders>
            <w:noWrap w:val="0"/>
            <w:vAlign w:val="center"/>
          </w:tcPr>
          <w:p w14:paraId="5F67C528">
            <w:pPr>
              <w:shd w:val="clear"/>
              <w:spacing w:line="240" w:lineRule="auto"/>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竞争性磋商响应文件份数</w:t>
            </w:r>
          </w:p>
        </w:tc>
        <w:tc>
          <w:tcPr>
            <w:tcW w:w="6785" w:type="dxa"/>
            <w:tcBorders>
              <w:tl2br w:val="nil"/>
              <w:tr2bl w:val="nil"/>
            </w:tcBorders>
            <w:noWrap w:val="0"/>
            <w:vAlign w:val="center"/>
          </w:tcPr>
          <w:p w14:paraId="2B10F046">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正本的份数：</w:t>
            </w:r>
            <w:r>
              <w:rPr>
                <w:rFonts w:hint="eastAsia" w:ascii="宋体" w:hAnsi="宋体" w:eastAsia="宋体" w:cs="宋体"/>
                <w:b/>
                <w:bCs/>
                <w:sz w:val="24"/>
                <w:szCs w:val="24"/>
              </w:rPr>
              <w:t>壹份</w:t>
            </w:r>
            <w:r>
              <w:rPr>
                <w:rFonts w:hint="eastAsia" w:ascii="宋体" w:hAnsi="宋体" w:eastAsia="宋体" w:cs="宋体"/>
                <w:sz w:val="24"/>
                <w:szCs w:val="24"/>
              </w:rPr>
              <w:t>；副本的份数：</w:t>
            </w:r>
            <w:r>
              <w:rPr>
                <w:rFonts w:hint="eastAsia" w:ascii="宋体" w:hAnsi="宋体" w:eastAsia="宋体" w:cs="宋体"/>
                <w:b/>
                <w:bCs/>
                <w:sz w:val="24"/>
                <w:szCs w:val="24"/>
              </w:rPr>
              <w:t>贰份</w:t>
            </w:r>
            <w:r>
              <w:rPr>
                <w:rFonts w:hint="eastAsia" w:ascii="宋体" w:hAnsi="宋体" w:eastAsia="宋体" w:cs="宋体"/>
                <w:sz w:val="24"/>
                <w:szCs w:val="24"/>
              </w:rPr>
              <w:t>；电子版：</w:t>
            </w:r>
            <w:r>
              <w:rPr>
                <w:rFonts w:hint="eastAsia" w:ascii="宋体" w:hAnsi="宋体" w:eastAsia="宋体" w:cs="宋体"/>
                <w:b/>
                <w:bCs/>
                <w:sz w:val="24"/>
                <w:szCs w:val="24"/>
              </w:rPr>
              <w:t>壹份</w:t>
            </w:r>
            <w:r>
              <w:rPr>
                <w:rFonts w:hint="eastAsia" w:ascii="宋体" w:hAnsi="宋体" w:eastAsia="宋体" w:cs="宋体"/>
                <w:sz w:val="24"/>
                <w:szCs w:val="24"/>
              </w:rPr>
              <w:t>，需在盘面上标注</w:t>
            </w:r>
            <w:r>
              <w:rPr>
                <w:rFonts w:hint="eastAsia" w:ascii="宋体" w:hAnsi="宋体" w:eastAsia="宋体" w:cs="宋体"/>
                <w:sz w:val="24"/>
                <w:szCs w:val="24"/>
                <w:lang w:eastAsia="zh-CN"/>
              </w:rPr>
              <w:t>供应商</w:t>
            </w:r>
            <w:r>
              <w:rPr>
                <w:rFonts w:hint="eastAsia" w:ascii="宋体" w:hAnsi="宋体" w:eastAsia="宋体" w:cs="宋体"/>
                <w:sz w:val="24"/>
                <w:szCs w:val="24"/>
              </w:rPr>
              <w:t>全称。</w:t>
            </w:r>
          </w:p>
        </w:tc>
      </w:tr>
      <w:tr w14:paraId="57F9CB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2" w:type="dxa"/>
            <w:tcBorders>
              <w:tl2br w:val="nil"/>
              <w:tr2bl w:val="nil"/>
            </w:tcBorders>
            <w:noWrap w:val="0"/>
            <w:vAlign w:val="center"/>
          </w:tcPr>
          <w:p w14:paraId="119FF1D2">
            <w:pPr>
              <w:shd w:val="clear"/>
              <w:jc w:val="center"/>
              <w:rPr>
                <w:rFonts w:hint="eastAsia" w:ascii="宋体" w:hAnsi="宋体" w:eastAsia="宋体" w:cs="宋体"/>
                <w:sz w:val="24"/>
                <w:szCs w:val="24"/>
                <w:lang w:eastAsia="zh-CN"/>
              </w:rPr>
            </w:pPr>
            <w:r>
              <w:rPr>
                <w:rFonts w:hint="eastAsia" w:ascii="宋体" w:hAnsi="宋体" w:eastAsia="宋体" w:cs="宋体"/>
                <w:sz w:val="24"/>
                <w:szCs w:val="24"/>
              </w:rPr>
              <w:t>4.1.</w:t>
            </w:r>
            <w:r>
              <w:rPr>
                <w:rFonts w:hint="eastAsia" w:ascii="宋体" w:hAnsi="宋体" w:eastAsia="宋体" w:cs="宋体"/>
                <w:sz w:val="24"/>
                <w:szCs w:val="24"/>
                <w:lang w:val="en-US" w:eastAsia="zh-CN"/>
              </w:rPr>
              <w:t>3</w:t>
            </w:r>
          </w:p>
        </w:tc>
        <w:tc>
          <w:tcPr>
            <w:tcW w:w="1962" w:type="dxa"/>
            <w:tcBorders>
              <w:tl2br w:val="nil"/>
              <w:tr2bl w:val="nil"/>
            </w:tcBorders>
            <w:noWrap w:val="0"/>
            <w:vAlign w:val="center"/>
          </w:tcPr>
          <w:p w14:paraId="51DA9B0E">
            <w:pPr>
              <w:shd w:val="clear"/>
              <w:jc w:val="center"/>
              <w:rPr>
                <w:rFonts w:hint="eastAsia" w:ascii="宋体" w:hAnsi="宋体" w:eastAsia="宋体" w:cs="宋体"/>
                <w:sz w:val="24"/>
                <w:szCs w:val="24"/>
              </w:rPr>
            </w:pPr>
            <w:r>
              <w:rPr>
                <w:rFonts w:hint="eastAsia" w:ascii="宋体" w:hAnsi="宋体" w:eastAsia="宋体" w:cs="宋体"/>
                <w:sz w:val="24"/>
                <w:szCs w:val="24"/>
                <w:highlight w:val="none"/>
              </w:rPr>
              <w:t>封套上写明</w:t>
            </w:r>
          </w:p>
        </w:tc>
        <w:tc>
          <w:tcPr>
            <w:tcW w:w="6785" w:type="dxa"/>
            <w:tcBorders>
              <w:tl2br w:val="nil"/>
              <w:tr2bl w:val="nil"/>
            </w:tcBorders>
            <w:noWrap w:val="0"/>
            <w:vAlign w:val="center"/>
          </w:tcPr>
          <w:p w14:paraId="17E9B40E">
            <w:pPr>
              <w:keepNext w:val="0"/>
              <w:keepLines w:val="0"/>
              <w:pageBreakBefore w:val="0"/>
              <w:widowControl w:val="0"/>
              <w:numPr>
                <w:ilvl w:val="0"/>
                <w:numId w:val="4"/>
              </w:numPr>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采购人名称：</w:t>
            </w:r>
          </w:p>
          <w:p w14:paraId="0CE0ABEA">
            <w:pPr>
              <w:keepNext w:val="0"/>
              <w:keepLines w:val="0"/>
              <w:pageBreakBefore w:val="0"/>
              <w:widowControl w:val="0"/>
              <w:numPr>
                <w:ilvl w:val="0"/>
                <w:numId w:val="4"/>
              </w:numPr>
              <w:shd w:val="clea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名称以及标注“正本”、“副本”、“电子版”字样，并在封套的封口处加盖供应商公章和法定代表人章（或委托代理人签字）。</w:t>
            </w:r>
          </w:p>
          <w:p w14:paraId="6AB4033F">
            <w:pPr>
              <w:keepNext w:val="0"/>
              <w:keepLines w:val="0"/>
              <w:pageBreakBefore w:val="0"/>
              <w:widowControl w:val="0"/>
              <w:numPr>
                <w:ilvl w:val="0"/>
                <w:numId w:val="4"/>
              </w:numPr>
              <w:shd w:val="clea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sz w:val="24"/>
                <w:szCs w:val="24"/>
                <w:highlight w:val="none"/>
              </w:rPr>
              <w:t>（项目名称）竞争性磋商响应文件在</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日</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时</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分前不得开启。</w:t>
            </w:r>
          </w:p>
        </w:tc>
      </w:tr>
      <w:tr w14:paraId="1C972B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962" w:type="dxa"/>
            <w:tcBorders>
              <w:tl2br w:val="nil"/>
              <w:tr2bl w:val="nil"/>
            </w:tcBorders>
            <w:noWrap w:val="0"/>
            <w:vAlign w:val="center"/>
          </w:tcPr>
          <w:p w14:paraId="6712A908">
            <w:pPr>
              <w:shd w:val="clear"/>
              <w:jc w:val="center"/>
              <w:rPr>
                <w:rFonts w:hint="eastAsia" w:ascii="宋体" w:hAnsi="宋体" w:eastAsia="宋体" w:cs="宋体"/>
                <w:sz w:val="24"/>
                <w:szCs w:val="24"/>
              </w:rPr>
            </w:pPr>
            <w:r>
              <w:rPr>
                <w:rFonts w:hint="eastAsia" w:ascii="宋体" w:hAnsi="宋体" w:eastAsia="宋体" w:cs="宋体"/>
                <w:sz w:val="24"/>
                <w:szCs w:val="24"/>
              </w:rPr>
              <w:t>4.2.2</w:t>
            </w:r>
          </w:p>
        </w:tc>
        <w:tc>
          <w:tcPr>
            <w:tcW w:w="1962" w:type="dxa"/>
            <w:tcBorders>
              <w:tl2br w:val="nil"/>
              <w:tr2bl w:val="nil"/>
            </w:tcBorders>
            <w:noWrap w:val="0"/>
            <w:vAlign w:val="center"/>
          </w:tcPr>
          <w:p w14:paraId="49266C5C">
            <w:pPr>
              <w:shd w:val="clea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递交竞争性磋商响应文件截止时间、地点</w:t>
            </w:r>
          </w:p>
        </w:tc>
        <w:tc>
          <w:tcPr>
            <w:tcW w:w="6785" w:type="dxa"/>
            <w:tcBorders>
              <w:tl2br w:val="nil"/>
              <w:tr2bl w:val="nil"/>
            </w:tcBorders>
            <w:noWrap w:val="0"/>
            <w:vAlign w:val="center"/>
          </w:tcPr>
          <w:p w14:paraId="6EDC81EF">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时间：2025年07月24日14时30分00秒（北京时间）</w:t>
            </w:r>
          </w:p>
          <w:p w14:paraId="35F4C346">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地点：</w:t>
            </w:r>
            <w:r>
              <w:rPr>
                <w:rFonts w:hint="eastAsia" w:ascii="宋体" w:hAnsi="宋体" w:eastAsia="宋体" w:cs="宋体"/>
                <w:color w:val="000000" w:themeColor="text1"/>
                <w:sz w:val="24"/>
                <w:szCs w:val="24"/>
                <w:highlight w:val="none"/>
                <w:lang w:eastAsia="zh-CN"/>
                <w14:textFill>
                  <w14:solidFill>
                    <w14:schemeClr w14:val="tx1"/>
                  </w14:solidFill>
                </w14:textFill>
              </w:rPr>
              <w:t>宝鸡市金台区行政大道海棠风尚</w:t>
            </w:r>
            <w:r>
              <w:rPr>
                <w:rFonts w:hint="eastAsia" w:ascii="宋体" w:hAnsi="宋体" w:cs="宋体"/>
                <w:color w:val="000000" w:themeColor="text1"/>
                <w:sz w:val="24"/>
                <w:szCs w:val="24"/>
                <w:highlight w:val="none"/>
                <w:lang w:val="en-US" w:eastAsia="zh-CN"/>
                <w14:textFill>
                  <w14:solidFill>
                    <w14:schemeClr w14:val="tx1"/>
                  </w14:solidFill>
                </w14:textFill>
              </w:rPr>
              <w:t>1406</w:t>
            </w:r>
            <w:r>
              <w:rPr>
                <w:rFonts w:hint="eastAsia" w:ascii="宋体" w:hAnsi="宋体" w:eastAsia="宋体" w:cs="宋体"/>
                <w:color w:val="000000" w:themeColor="text1"/>
                <w:sz w:val="24"/>
                <w:szCs w:val="24"/>
                <w:highlight w:val="none"/>
                <w:lang w:eastAsia="zh-CN"/>
                <w14:textFill>
                  <w14:solidFill>
                    <w14:schemeClr w14:val="tx1"/>
                  </w14:solidFill>
                </w14:textFill>
              </w:rPr>
              <w:t>室</w:t>
            </w:r>
          </w:p>
        </w:tc>
      </w:tr>
      <w:tr w14:paraId="658B85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962" w:type="dxa"/>
            <w:tcBorders>
              <w:tl2br w:val="nil"/>
              <w:tr2bl w:val="nil"/>
            </w:tcBorders>
            <w:noWrap w:val="0"/>
            <w:vAlign w:val="center"/>
          </w:tcPr>
          <w:p w14:paraId="4CD26732">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4.2.3</w:t>
            </w:r>
          </w:p>
        </w:tc>
        <w:tc>
          <w:tcPr>
            <w:tcW w:w="1962" w:type="dxa"/>
            <w:tcBorders>
              <w:tl2br w:val="nil"/>
              <w:tr2bl w:val="nil"/>
            </w:tcBorders>
            <w:noWrap w:val="0"/>
            <w:vAlign w:val="center"/>
          </w:tcPr>
          <w:p w14:paraId="71DD713D">
            <w:pPr>
              <w:shd w:val="clear"/>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是否退还竞争性磋商响应文件</w:t>
            </w:r>
          </w:p>
        </w:tc>
        <w:tc>
          <w:tcPr>
            <w:tcW w:w="6785" w:type="dxa"/>
            <w:tcBorders>
              <w:tl2br w:val="nil"/>
              <w:tr2bl w:val="nil"/>
            </w:tcBorders>
            <w:noWrap w:val="0"/>
            <w:vAlign w:val="center"/>
          </w:tcPr>
          <w:p w14:paraId="3B10B32F">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否</w:t>
            </w:r>
          </w:p>
        </w:tc>
      </w:tr>
      <w:tr w14:paraId="579198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962" w:type="dxa"/>
            <w:tcBorders>
              <w:tl2br w:val="nil"/>
              <w:tr2bl w:val="nil"/>
            </w:tcBorders>
            <w:noWrap w:val="0"/>
            <w:vAlign w:val="center"/>
          </w:tcPr>
          <w:p w14:paraId="58271527">
            <w:pPr>
              <w:shd w:val="clear"/>
              <w:jc w:val="center"/>
              <w:rPr>
                <w:rFonts w:hint="eastAsia" w:ascii="宋体" w:hAnsi="宋体" w:eastAsia="宋体" w:cs="宋体"/>
                <w:sz w:val="24"/>
                <w:szCs w:val="24"/>
              </w:rPr>
            </w:pPr>
            <w:r>
              <w:rPr>
                <w:rFonts w:hint="eastAsia" w:ascii="宋体" w:hAnsi="宋体" w:eastAsia="宋体" w:cs="宋体"/>
                <w:sz w:val="24"/>
                <w:szCs w:val="24"/>
              </w:rPr>
              <w:t>5.1</w:t>
            </w:r>
          </w:p>
        </w:tc>
        <w:tc>
          <w:tcPr>
            <w:tcW w:w="1962" w:type="dxa"/>
            <w:tcBorders>
              <w:tl2br w:val="nil"/>
              <w:tr2bl w:val="nil"/>
            </w:tcBorders>
            <w:noWrap w:val="0"/>
            <w:vAlign w:val="center"/>
          </w:tcPr>
          <w:p w14:paraId="50E7705F">
            <w:pPr>
              <w:shd w:val="clea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磋商时间</w:t>
            </w:r>
          </w:p>
          <w:p w14:paraId="05B32BD8">
            <w:pPr>
              <w:shd w:val="clear"/>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和地点</w:t>
            </w:r>
          </w:p>
        </w:tc>
        <w:tc>
          <w:tcPr>
            <w:tcW w:w="6785" w:type="dxa"/>
            <w:tcBorders>
              <w:tl2br w:val="nil"/>
              <w:tr2bl w:val="nil"/>
            </w:tcBorders>
            <w:noWrap w:val="0"/>
            <w:vAlign w:val="center"/>
          </w:tcPr>
          <w:p w14:paraId="14942203">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时间：2025年07月24日14时30分00秒（北京时间）</w:t>
            </w:r>
          </w:p>
          <w:p w14:paraId="692D2318">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地点：</w:t>
            </w:r>
            <w:r>
              <w:rPr>
                <w:rFonts w:hint="eastAsia" w:ascii="宋体" w:hAnsi="宋体" w:eastAsia="宋体" w:cs="宋体"/>
                <w:color w:val="000000" w:themeColor="text1"/>
                <w:sz w:val="24"/>
                <w:szCs w:val="24"/>
                <w:highlight w:val="none"/>
                <w:lang w:eastAsia="zh-CN"/>
                <w14:textFill>
                  <w14:solidFill>
                    <w14:schemeClr w14:val="tx1"/>
                  </w14:solidFill>
                </w14:textFill>
              </w:rPr>
              <w:t>宝鸡市金台区行政大道海棠风尚</w:t>
            </w:r>
            <w:r>
              <w:rPr>
                <w:rFonts w:hint="eastAsia" w:ascii="宋体" w:hAnsi="宋体" w:cs="宋体"/>
                <w:color w:val="000000" w:themeColor="text1"/>
                <w:sz w:val="24"/>
                <w:szCs w:val="24"/>
                <w:highlight w:val="none"/>
                <w:lang w:val="en-US" w:eastAsia="zh-CN"/>
                <w14:textFill>
                  <w14:solidFill>
                    <w14:schemeClr w14:val="tx1"/>
                  </w14:solidFill>
                </w14:textFill>
              </w:rPr>
              <w:t>1406</w:t>
            </w:r>
            <w:r>
              <w:rPr>
                <w:rFonts w:hint="eastAsia" w:ascii="宋体" w:hAnsi="宋体" w:eastAsia="宋体" w:cs="宋体"/>
                <w:color w:val="000000" w:themeColor="text1"/>
                <w:sz w:val="24"/>
                <w:szCs w:val="24"/>
                <w:highlight w:val="none"/>
                <w:lang w:eastAsia="zh-CN"/>
                <w14:textFill>
                  <w14:solidFill>
                    <w14:schemeClr w14:val="tx1"/>
                  </w14:solidFill>
                </w14:textFill>
              </w:rPr>
              <w:t>室</w:t>
            </w:r>
          </w:p>
        </w:tc>
      </w:tr>
      <w:tr w14:paraId="01B88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962" w:type="dxa"/>
            <w:tcBorders>
              <w:tl2br w:val="nil"/>
              <w:tr2bl w:val="nil"/>
            </w:tcBorders>
            <w:noWrap w:val="0"/>
            <w:vAlign w:val="center"/>
          </w:tcPr>
          <w:p w14:paraId="0562B932">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7.1</w:t>
            </w:r>
          </w:p>
        </w:tc>
        <w:tc>
          <w:tcPr>
            <w:tcW w:w="1962" w:type="dxa"/>
            <w:tcBorders>
              <w:tl2br w:val="nil"/>
              <w:tr2bl w:val="nil"/>
            </w:tcBorders>
            <w:noWrap w:val="0"/>
            <w:vAlign w:val="center"/>
          </w:tcPr>
          <w:p w14:paraId="1BDEDAA9">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是否授权磋商</w:t>
            </w:r>
          </w:p>
          <w:p w14:paraId="3C31F5A2">
            <w:pPr>
              <w:shd w:val="clear"/>
              <w:spacing w:line="240" w:lineRule="auto"/>
              <w:jc w:val="center"/>
              <w:rPr>
                <w:rFonts w:hint="eastAsia" w:ascii="宋体" w:hAnsi="宋体" w:eastAsia="宋体" w:cs="宋体"/>
                <w:sz w:val="24"/>
                <w:szCs w:val="24"/>
              </w:rPr>
            </w:pPr>
            <w:r>
              <w:rPr>
                <w:rFonts w:hint="eastAsia" w:ascii="宋体" w:hAnsi="宋体" w:eastAsia="宋体" w:cs="宋体"/>
                <w:sz w:val="24"/>
                <w:szCs w:val="24"/>
              </w:rPr>
              <w:t>小组确定成交人</w:t>
            </w:r>
          </w:p>
        </w:tc>
        <w:tc>
          <w:tcPr>
            <w:tcW w:w="6785" w:type="dxa"/>
            <w:tcBorders>
              <w:tl2br w:val="nil"/>
              <w:tr2bl w:val="nil"/>
            </w:tcBorders>
            <w:noWrap w:val="0"/>
            <w:vAlign w:val="center"/>
          </w:tcPr>
          <w:p w14:paraId="19756E8A">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否,</w:t>
            </w:r>
            <w:bookmarkStart w:id="22" w:name="OLE_LINK6"/>
            <w:r>
              <w:rPr>
                <w:rFonts w:hint="eastAsia" w:ascii="宋体" w:hAnsi="宋体" w:eastAsia="宋体" w:cs="宋体"/>
                <w:sz w:val="24"/>
                <w:szCs w:val="24"/>
              </w:rPr>
              <w:t>推荐3名成交候选人</w:t>
            </w:r>
            <w:bookmarkEnd w:id="22"/>
          </w:p>
        </w:tc>
      </w:tr>
      <w:tr w14:paraId="76645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2" w:type="dxa"/>
            <w:tcBorders>
              <w:tl2br w:val="nil"/>
              <w:tr2bl w:val="nil"/>
            </w:tcBorders>
            <w:noWrap w:val="0"/>
            <w:vAlign w:val="center"/>
          </w:tcPr>
          <w:p w14:paraId="47C47A9E">
            <w:pPr>
              <w:shd w:val="clea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962" w:type="dxa"/>
            <w:tcBorders>
              <w:tl2br w:val="nil"/>
              <w:tr2bl w:val="nil"/>
            </w:tcBorders>
            <w:noWrap w:val="0"/>
            <w:vAlign w:val="center"/>
          </w:tcPr>
          <w:p w14:paraId="2AC2E26F">
            <w:pPr>
              <w:shd w:val="clear"/>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公示期</w:t>
            </w:r>
          </w:p>
        </w:tc>
        <w:tc>
          <w:tcPr>
            <w:tcW w:w="6785" w:type="dxa"/>
            <w:tcBorders>
              <w:tl2br w:val="nil"/>
              <w:tr2bl w:val="nil"/>
            </w:tcBorders>
            <w:noWrap w:val="0"/>
            <w:vAlign w:val="center"/>
          </w:tcPr>
          <w:p w14:paraId="1881CBEA">
            <w:pPr>
              <w:shd w:val="clear"/>
              <w:spacing w:line="24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1个工作日</w:t>
            </w:r>
          </w:p>
        </w:tc>
      </w:tr>
      <w:tr w14:paraId="7EA83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962" w:type="dxa"/>
            <w:tcBorders>
              <w:tl2br w:val="nil"/>
              <w:tr2bl w:val="nil"/>
            </w:tcBorders>
            <w:noWrap w:val="0"/>
            <w:vAlign w:val="center"/>
          </w:tcPr>
          <w:p w14:paraId="5624711F">
            <w:pPr>
              <w:shd w:val="clea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962" w:type="dxa"/>
            <w:tcBorders>
              <w:tl2br w:val="nil"/>
              <w:tr2bl w:val="nil"/>
            </w:tcBorders>
            <w:noWrap w:val="0"/>
            <w:vAlign w:val="center"/>
          </w:tcPr>
          <w:p w14:paraId="5C811B1B">
            <w:pPr>
              <w:shd w:val="clear"/>
              <w:adjustRightInd w:val="0"/>
              <w:snapToGrid w:val="0"/>
              <w:spacing w:line="360" w:lineRule="auto"/>
              <w:jc w:val="center"/>
              <w:rPr>
                <w:rFonts w:hint="eastAsia" w:ascii="宋体" w:hAnsi="宋体" w:eastAsia="宋体" w:cs="宋体"/>
                <w:b/>
                <w:bCs/>
                <w:sz w:val="24"/>
                <w:szCs w:val="24"/>
                <w:highlight w:val="none"/>
                <w:lang w:val="en-US" w:eastAsia="zh-CN"/>
              </w:rPr>
            </w:pPr>
            <w:r>
              <w:rPr>
                <w:rFonts w:hint="eastAsia" w:ascii="宋体" w:hAnsi="宋体" w:eastAsia="宋体" w:cs="宋体"/>
                <w:sz w:val="24"/>
                <w:szCs w:val="24"/>
                <w:lang w:val="en-US" w:eastAsia="zh-CN"/>
              </w:rPr>
              <w:t xml:space="preserve">本项目所属行业 </w:t>
            </w:r>
          </w:p>
        </w:tc>
        <w:tc>
          <w:tcPr>
            <w:tcW w:w="6785" w:type="dxa"/>
            <w:tcBorders>
              <w:tl2br w:val="nil"/>
              <w:tr2bl w:val="nil"/>
            </w:tcBorders>
            <w:noWrap w:val="0"/>
            <w:vAlign w:val="center"/>
          </w:tcPr>
          <w:p w14:paraId="1087C062">
            <w:pPr>
              <w:keepNext w:val="0"/>
              <w:keepLines w:val="0"/>
              <w:pageBreakBefore w:val="0"/>
              <w:widowControl w:val="0"/>
              <w:shd w:val="clear"/>
              <w:kinsoku/>
              <w:wordWrap/>
              <w:overflowPunct/>
              <w:topLinePunct w:val="0"/>
              <w:autoSpaceDE/>
              <w:autoSpaceDN/>
              <w:bidi w:val="0"/>
              <w:adjustRightInd w:val="0"/>
              <w:snapToGrid w:val="0"/>
              <w:spacing w:line="400" w:lineRule="exact"/>
              <w:jc w:val="left"/>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u w:val="single"/>
                <w:lang w:val="en-US" w:eastAsia="zh-CN"/>
              </w:rPr>
              <w:t>“建筑业”。</w:t>
            </w:r>
          </w:p>
          <w:p w14:paraId="3DC670B6">
            <w:pPr>
              <w:keepNext w:val="0"/>
              <w:keepLines w:val="0"/>
              <w:pageBreakBefore w:val="0"/>
              <w:widowControl w:val="0"/>
              <w:shd w:val="clear"/>
              <w:kinsoku/>
              <w:wordWrap/>
              <w:overflowPunct/>
              <w:topLinePunct w:val="0"/>
              <w:autoSpaceDE/>
              <w:autoSpaceDN/>
              <w:bidi w:val="0"/>
              <w:adjustRightInd w:val="0"/>
              <w:snapToGrid w:val="0"/>
              <w:spacing w:line="400" w:lineRule="exact"/>
              <w:jc w:val="left"/>
              <w:textAlignment w:val="auto"/>
              <w:rPr>
                <w:rFonts w:hint="eastAsia" w:ascii="宋体" w:hAnsi="宋体" w:eastAsia="宋体" w:cs="宋体"/>
                <w:b/>
                <w:bCs/>
                <w:sz w:val="24"/>
                <w:szCs w:val="24"/>
                <w:highlight w:val="none"/>
                <w:lang w:val="en-US" w:eastAsia="zh-CN"/>
              </w:rPr>
            </w:pPr>
            <w:r>
              <w:rPr>
                <w:rFonts w:hint="eastAsia" w:ascii="宋体" w:hAnsi="宋体" w:eastAsia="宋体" w:cs="宋体"/>
                <w:sz w:val="24"/>
                <w:szCs w:val="24"/>
                <w:lang w:val="en-US" w:eastAsia="zh-CN"/>
              </w:rPr>
              <w:t>根据《工业和信息化部、国家统计局、国家发展和改革委员会、财政部关于印发中小企业划型标准规定的通知》（工信部联企业〔2011〕300号）规定的划分标准，营业收入80000万元以下或资产总额80000万元以下的为中小微型企业。其中，营业收入6000万元及以上，且资</w:t>
            </w:r>
            <w:bookmarkStart w:id="241" w:name="_GoBack"/>
            <w:bookmarkEnd w:id="241"/>
            <w:r>
              <w:rPr>
                <w:rFonts w:hint="eastAsia" w:ascii="宋体" w:hAnsi="宋体" w:eastAsia="宋体" w:cs="宋体"/>
                <w:sz w:val="24"/>
                <w:szCs w:val="24"/>
                <w:lang w:val="en-US" w:eastAsia="zh-CN"/>
              </w:rPr>
              <w:t>产总额5000万元及以上的为中型企业；营业收入300万元及以上，且资产总额300万元及以上的为小型企业；营业收入300万元以下或资产总额300万元以下的为微型企业。</w:t>
            </w:r>
          </w:p>
        </w:tc>
      </w:tr>
      <w:tr w14:paraId="40F59D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962" w:type="dxa"/>
            <w:tcBorders>
              <w:tl2br w:val="nil"/>
              <w:tr2bl w:val="nil"/>
            </w:tcBorders>
            <w:noWrap w:val="0"/>
            <w:vAlign w:val="center"/>
          </w:tcPr>
          <w:p w14:paraId="6D706B9A">
            <w:pPr>
              <w:shd w:val="clea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1962" w:type="dxa"/>
            <w:tcBorders>
              <w:tl2br w:val="nil"/>
              <w:tr2bl w:val="nil"/>
            </w:tcBorders>
            <w:noWrap w:val="0"/>
            <w:vAlign w:val="center"/>
          </w:tcPr>
          <w:p w14:paraId="19D026E1">
            <w:pPr>
              <w:shd w:val="clear"/>
              <w:spacing w:line="240" w:lineRule="auto"/>
              <w:jc w:val="center"/>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lang w:eastAsia="zh-CN"/>
              </w:rPr>
              <w:t>开标携带原件</w:t>
            </w:r>
          </w:p>
        </w:tc>
        <w:tc>
          <w:tcPr>
            <w:tcW w:w="6785" w:type="dxa"/>
            <w:tcBorders>
              <w:tl2br w:val="nil"/>
              <w:tr2bl w:val="nil"/>
            </w:tcBorders>
            <w:noWrap w:val="0"/>
            <w:vAlign w:val="center"/>
          </w:tcPr>
          <w:p w14:paraId="23059590">
            <w:pPr>
              <w:shd w:val="clear"/>
              <w:spacing w:line="240" w:lineRule="auto"/>
              <w:jc w:val="both"/>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开标现场由</w:t>
            </w:r>
            <w:r>
              <w:rPr>
                <w:rFonts w:hint="eastAsia" w:ascii="宋体" w:hAnsi="宋体" w:cs="宋体"/>
                <w:b/>
                <w:bCs/>
                <w:sz w:val="24"/>
                <w:szCs w:val="24"/>
                <w:highlight w:val="none"/>
                <w:lang w:val="en-US" w:eastAsia="zh-CN"/>
              </w:rPr>
              <w:t>监督</w:t>
            </w:r>
            <w:r>
              <w:rPr>
                <w:rFonts w:hint="eastAsia" w:ascii="宋体" w:hAnsi="宋体" w:eastAsia="宋体" w:cs="宋体"/>
                <w:b/>
                <w:bCs/>
                <w:sz w:val="24"/>
                <w:szCs w:val="24"/>
                <w:highlight w:val="none"/>
                <w:lang w:val="en-US" w:eastAsia="zh-CN"/>
              </w:rPr>
              <w:t>人查验：法定代表人授权委托书、委托人身份证。</w:t>
            </w:r>
          </w:p>
        </w:tc>
      </w:tr>
      <w:tr w14:paraId="2D8C31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9709" w:type="dxa"/>
            <w:gridSpan w:val="3"/>
            <w:tcBorders>
              <w:tl2br w:val="nil"/>
              <w:tr2bl w:val="nil"/>
            </w:tcBorders>
            <w:noWrap w:val="0"/>
            <w:vAlign w:val="center"/>
          </w:tcPr>
          <w:p w14:paraId="033BB3D9">
            <w:pPr>
              <w:shd w:val="clear"/>
              <w:spacing w:line="240" w:lineRule="auto"/>
              <w:rPr>
                <w:rFonts w:hint="eastAsia" w:ascii="宋体" w:hAnsi="宋体" w:eastAsia="宋体" w:cs="宋体"/>
                <w:sz w:val="24"/>
                <w:szCs w:val="24"/>
              </w:rPr>
            </w:pPr>
            <w:r>
              <w:rPr>
                <w:rFonts w:hint="eastAsia" w:ascii="宋体" w:hAnsi="宋体" w:eastAsia="宋体" w:cs="宋体"/>
                <w:sz w:val="24"/>
                <w:szCs w:val="24"/>
              </w:rPr>
              <w:t>知识产权</w:t>
            </w:r>
          </w:p>
        </w:tc>
      </w:tr>
      <w:tr w14:paraId="6899A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0" w:hRule="atLeast"/>
          <w:jc w:val="center"/>
        </w:trPr>
        <w:tc>
          <w:tcPr>
            <w:tcW w:w="9709" w:type="dxa"/>
            <w:gridSpan w:val="3"/>
            <w:tcBorders>
              <w:tl2br w:val="nil"/>
              <w:tr2bl w:val="nil"/>
            </w:tcBorders>
            <w:noWrap w:val="0"/>
            <w:vAlign w:val="center"/>
          </w:tcPr>
          <w:p w14:paraId="694FB089">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构成本竞争性磋商文件各个组成部分的文件，未经</w:t>
            </w:r>
            <w:r>
              <w:rPr>
                <w:rFonts w:hint="eastAsia" w:ascii="宋体" w:hAnsi="宋体" w:eastAsia="宋体" w:cs="宋体"/>
                <w:sz w:val="24"/>
                <w:szCs w:val="24"/>
                <w:lang w:eastAsia="zh-CN"/>
              </w:rPr>
              <w:t>采购人</w:t>
            </w:r>
            <w:r>
              <w:rPr>
                <w:rFonts w:hint="eastAsia" w:ascii="宋体" w:hAnsi="宋体" w:eastAsia="宋体" w:cs="宋体"/>
                <w:sz w:val="24"/>
                <w:szCs w:val="24"/>
              </w:rPr>
              <w:t>书面同意，</w:t>
            </w:r>
            <w:r>
              <w:rPr>
                <w:rFonts w:hint="eastAsia" w:ascii="宋体" w:hAnsi="宋体" w:eastAsia="宋体" w:cs="宋体"/>
                <w:sz w:val="24"/>
                <w:szCs w:val="24"/>
                <w:lang w:eastAsia="zh-CN"/>
              </w:rPr>
              <w:t>投标供应商</w:t>
            </w:r>
            <w:r>
              <w:rPr>
                <w:rFonts w:hint="eastAsia" w:ascii="宋体" w:hAnsi="宋体" w:eastAsia="宋体" w:cs="宋体"/>
                <w:sz w:val="24"/>
                <w:szCs w:val="24"/>
              </w:rPr>
              <w:t>不得擅自复印和用于非本招标项目所需的其他目的。</w:t>
            </w:r>
            <w:r>
              <w:rPr>
                <w:rFonts w:hint="eastAsia" w:ascii="宋体" w:hAnsi="宋体" w:eastAsia="宋体" w:cs="宋体"/>
                <w:sz w:val="24"/>
                <w:szCs w:val="24"/>
                <w:lang w:eastAsia="zh-CN"/>
              </w:rPr>
              <w:t>采购人</w:t>
            </w:r>
            <w:r>
              <w:rPr>
                <w:rFonts w:hint="eastAsia" w:ascii="宋体" w:hAnsi="宋体" w:eastAsia="宋体" w:cs="宋体"/>
                <w:sz w:val="24"/>
                <w:szCs w:val="24"/>
              </w:rPr>
              <w:t>全部或者部分使用未成交人竞争性磋商响应文件中的技术成果或技术方案时，需征得其书面同意，并不得擅自复印或提供给第三人。</w:t>
            </w:r>
          </w:p>
        </w:tc>
      </w:tr>
      <w:tr w14:paraId="5ABA9F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9709" w:type="dxa"/>
            <w:gridSpan w:val="3"/>
            <w:tcBorders>
              <w:tl2br w:val="nil"/>
              <w:tr2bl w:val="nil"/>
            </w:tcBorders>
            <w:noWrap w:val="0"/>
            <w:vAlign w:val="center"/>
          </w:tcPr>
          <w:p w14:paraId="27886582">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同义词语</w:t>
            </w:r>
          </w:p>
        </w:tc>
      </w:tr>
      <w:tr w14:paraId="629F06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9709" w:type="dxa"/>
            <w:gridSpan w:val="3"/>
            <w:tcBorders>
              <w:tl2br w:val="nil"/>
              <w:tr2bl w:val="nil"/>
            </w:tcBorders>
            <w:noWrap w:val="0"/>
            <w:vAlign w:val="center"/>
          </w:tcPr>
          <w:p w14:paraId="5935846A">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构成竞争性磋商文件组成部分的“通用合同条款”、“专用合同条款”和“工程量清单”等章节中出现的措辞“发包人”和“承包人”，在磋商阶段应当分别按“</w:t>
            </w:r>
            <w:r>
              <w:rPr>
                <w:rFonts w:hint="eastAsia" w:ascii="宋体" w:hAnsi="宋体" w:eastAsia="宋体" w:cs="宋体"/>
                <w:sz w:val="24"/>
                <w:szCs w:val="24"/>
                <w:lang w:eastAsia="zh-CN"/>
              </w:rPr>
              <w:t>采购人</w:t>
            </w:r>
            <w:r>
              <w:rPr>
                <w:rFonts w:hint="eastAsia" w:ascii="宋体" w:hAnsi="宋体" w:eastAsia="宋体" w:cs="宋体"/>
                <w:sz w:val="24"/>
                <w:szCs w:val="24"/>
              </w:rPr>
              <w:t>”和“</w:t>
            </w:r>
            <w:r>
              <w:rPr>
                <w:rFonts w:hint="eastAsia" w:ascii="宋体" w:hAnsi="宋体" w:eastAsia="宋体" w:cs="宋体"/>
                <w:sz w:val="24"/>
                <w:szCs w:val="24"/>
                <w:lang w:eastAsia="zh-CN"/>
              </w:rPr>
              <w:t>投标供应商</w:t>
            </w:r>
            <w:r>
              <w:rPr>
                <w:rFonts w:hint="eastAsia" w:ascii="宋体" w:hAnsi="宋体" w:eastAsia="宋体" w:cs="宋体"/>
                <w:sz w:val="24"/>
                <w:szCs w:val="24"/>
              </w:rPr>
              <w:t>”进行理解。</w:t>
            </w:r>
          </w:p>
        </w:tc>
      </w:tr>
      <w:tr w14:paraId="1CF80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9" w:hRule="exact"/>
          <w:jc w:val="center"/>
        </w:trPr>
        <w:tc>
          <w:tcPr>
            <w:tcW w:w="9709" w:type="dxa"/>
            <w:gridSpan w:val="3"/>
            <w:tcBorders>
              <w:tl2br w:val="nil"/>
              <w:tr2bl w:val="nil"/>
            </w:tcBorders>
            <w:noWrap w:val="0"/>
            <w:vAlign w:val="center"/>
          </w:tcPr>
          <w:p w14:paraId="2F18A9FB">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r>
              <w:rPr>
                <w:rFonts w:hint="eastAsia" w:ascii="宋体" w:hAnsi="宋体" w:eastAsia="宋体" w:cs="宋体"/>
                <w:sz w:val="24"/>
                <w:szCs w:val="24"/>
              </w:rPr>
              <w:t>解释权</w:t>
            </w:r>
          </w:p>
        </w:tc>
      </w:tr>
      <w:tr w14:paraId="312EFF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1" w:hRule="exact"/>
          <w:jc w:val="center"/>
        </w:trPr>
        <w:tc>
          <w:tcPr>
            <w:tcW w:w="9709" w:type="dxa"/>
            <w:gridSpan w:val="3"/>
            <w:tcBorders>
              <w:tl2br w:val="nil"/>
              <w:tr2bl w:val="nil"/>
            </w:tcBorders>
            <w:noWrap w:val="0"/>
            <w:vAlign w:val="center"/>
          </w:tcPr>
          <w:p w14:paraId="6F00D193">
            <w:pPr>
              <w:keepNext w:val="0"/>
              <w:keepLines w:val="0"/>
              <w:pageBreakBefore w:val="0"/>
              <w:widowControl w:val="0"/>
              <w:shd w:val="clea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本竞争性磋商文件由</w:t>
            </w:r>
            <w:r>
              <w:rPr>
                <w:rFonts w:hint="eastAsia" w:ascii="宋体" w:hAnsi="宋体" w:eastAsia="宋体" w:cs="宋体"/>
                <w:sz w:val="24"/>
                <w:szCs w:val="24"/>
                <w:lang w:eastAsia="zh-CN"/>
              </w:rPr>
              <w:t>采购人</w:t>
            </w:r>
            <w:r>
              <w:rPr>
                <w:rFonts w:hint="eastAsia" w:ascii="宋体" w:hAnsi="宋体" w:eastAsia="宋体" w:cs="宋体"/>
                <w:sz w:val="24"/>
                <w:szCs w:val="24"/>
              </w:rPr>
              <w:t>和</w:t>
            </w:r>
            <w:r>
              <w:rPr>
                <w:rFonts w:hint="eastAsia" w:ascii="宋体" w:hAnsi="宋体" w:eastAsia="宋体" w:cs="宋体"/>
                <w:sz w:val="24"/>
                <w:szCs w:val="24"/>
                <w:lang w:eastAsia="zh-CN"/>
              </w:rPr>
              <w:t>采购代理机构</w:t>
            </w:r>
            <w:r>
              <w:rPr>
                <w:rFonts w:hint="eastAsia" w:ascii="宋体" w:hAnsi="宋体" w:eastAsia="宋体" w:cs="宋体"/>
                <w:sz w:val="24"/>
                <w:szCs w:val="24"/>
              </w:rPr>
              <w:t>负责解释。</w:t>
            </w:r>
          </w:p>
        </w:tc>
      </w:tr>
    </w:tbl>
    <w:p w14:paraId="2137DEDA">
      <w:pPr>
        <w:pStyle w:val="31"/>
        <w:shd w:val="clear"/>
        <w:ind w:left="0" w:leftChars="0" w:firstLine="0" w:firstLineChars="0"/>
        <w:rPr>
          <w:rFonts w:hint="eastAsia" w:ascii="宋体" w:hAnsi="宋体" w:eastAsia="宋体" w:cs="宋体"/>
        </w:rPr>
        <w:sectPr>
          <w:headerReference r:id="rId14" w:type="default"/>
          <w:pgSz w:w="11906" w:h="16838"/>
          <w:pgMar w:top="1440" w:right="1253" w:bottom="1440" w:left="1253" w:header="907" w:footer="90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7C5FF6A5">
      <w:pPr>
        <w:keepNext w:val="0"/>
        <w:keepLines w:val="0"/>
        <w:pageBreakBefore w:val="0"/>
        <w:shd w:val="clear"/>
        <w:kinsoku/>
        <w:wordWrap/>
        <w:overflowPunct/>
        <w:topLinePunct w:val="0"/>
        <w:bidi w:val="0"/>
        <w:snapToGrid/>
        <w:spacing w:before="156" w:beforeLines="50" w:after="156" w:afterLines="50" w:line="360" w:lineRule="auto"/>
        <w:jc w:val="center"/>
        <w:textAlignment w:val="auto"/>
        <w:rPr>
          <w:rFonts w:hint="eastAsia" w:ascii="宋体" w:hAnsi="宋体" w:eastAsia="宋体" w:cs="宋体"/>
          <w:b/>
          <w:kern w:val="0"/>
          <w:sz w:val="24"/>
          <w:szCs w:val="24"/>
          <w:highlight w:val="none"/>
        </w:rPr>
      </w:pPr>
      <w:bookmarkStart w:id="23" w:name="_Toc425240464"/>
      <w:bookmarkStart w:id="24" w:name="_Toc421778365"/>
      <w:bookmarkStart w:id="25" w:name="_Toc420591643"/>
      <w:r>
        <w:rPr>
          <w:rFonts w:hint="eastAsia" w:ascii="宋体" w:hAnsi="宋体" w:eastAsia="宋体" w:cs="宋体"/>
          <w:b/>
          <w:sz w:val="24"/>
          <w:szCs w:val="24"/>
          <w:highlight w:val="none"/>
        </w:rPr>
        <w:t>1</w:t>
      </w:r>
      <w:r>
        <w:rPr>
          <w:rFonts w:hint="eastAsia" w:ascii="宋体" w:hAnsi="宋体" w:eastAsia="宋体" w:cs="宋体"/>
          <w:b/>
          <w:kern w:val="0"/>
          <w:sz w:val="24"/>
          <w:szCs w:val="24"/>
          <w:highlight w:val="none"/>
        </w:rPr>
        <w:t>．总则</w:t>
      </w:r>
      <w:bookmarkEnd w:id="23"/>
      <w:bookmarkEnd w:id="24"/>
      <w:bookmarkEnd w:id="25"/>
    </w:p>
    <w:p w14:paraId="56D4F6C1">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1.1 项目概况</w:t>
      </w:r>
    </w:p>
    <w:p w14:paraId="6A56A19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1.1.1 根据《中华人民共和国政府采购法》及实施条例和关于印发《政府采购竞争性磋商采购方式管理暂行办法》的通知（财库【2014】214号）的规定，本项目已具备磋商条件，现对本项目进行竞争性磋商采购。</w:t>
      </w:r>
    </w:p>
    <w:p w14:paraId="212D233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1.1.2 本项目采购人：见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1A048310">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1.1.3 本项目采购代理机构：见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3B9AE0F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1.1.4</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本项目建设地点：见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2B8CB4C2">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1.2 资金来源和落实情况</w:t>
      </w:r>
    </w:p>
    <w:p w14:paraId="7C44D92B">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1.2.1 本项目的资金来源：见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7C0DAF3B">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1.2.2 本项目的资金落实情况：见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21A53143">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1.3 </w:t>
      </w:r>
      <w:r>
        <w:rPr>
          <w:rFonts w:hint="eastAsia" w:ascii="宋体" w:hAnsi="宋体" w:eastAsia="宋体" w:cs="宋体"/>
          <w:b/>
          <w:bCs/>
          <w:sz w:val="24"/>
          <w:szCs w:val="24"/>
          <w:highlight w:val="none"/>
          <w:lang w:val="en-US" w:eastAsia="zh-CN"/>
        </w:rPr>
        <w:t>磋商</w:t>
      </w:r>
      <w:r>
        <w:rPr>
          <w:rFonts w:hint="eastAsia" w:ascii="宋体" w:hAnsi="宋体" w:eastAsia="宋体" w:cs="宋体"/>
          <w:b/>
          <w:bCs/>
          <w:sz w:val="24"/>
          <w:szCs w:val="24"/>
          <w:highlight w:val="none"/>
        </w:rPr>
        <w:t>范围、</w:t>
      </w:r>
      <w:r>
        <w:rPr>
          <w:rFonts w:hint="eastAsia" w:ascii="宋体" w:hAnsi="宋体" w:eastAsia="宋体" w:cs="宋体"/>
          <w:b/>
          <w:bCs/>
          <w:sz w:val="24"/>
          <w:szCs w:val="24"/>
          <w:highlight w:val="none"/>
          <w:lang w:eastAsia="zh-CN"/>
        </w:rPr>
        <w:t>工</w:t>
      </w:r>
      <w:r>
        <w:rPr>
          <w:rFonts w:hint="eastAsia" w:ascii="宋体" w:hAnsi="宋体" w:eastAsia="宋体" w:cs="宋体"/>
          <w:b/>
          <w:bCs/>
          <w:sz w:val="24"/>
          <w:szCs w:val="24"/>
          <w:highlight w:val="none"/>
        </w:rPr>
        <w:t>期和质量要求</w:t>
      </w:r>
    </w:p>
    <w:p w14:paraId="1BB014C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1.3.1 本次磋商范围：见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1B24C3E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1.3.2 本项目的</w:t>
      </w:r>
      <w:r>
        <w:rPr>
          <w:rFonts w:hint="eastAsia" w:ascii="宋体" w:hAnsi="宋体" w:eastAsia="宋体" w:cs="宋体"/>
          <w:sz w:val="24"/>
          <w:szCs w:val="24"/>
          <w:highlight w:val="none"/>
          <w:lang w:eastAsia="zh-CN"/>
        </w:rPr>
        <w:t>工期</w:t>
      </w:r>
      <w:r>
        <w:rPr>
          <w:rFonts w:hint="eastAsia" w:ascii="宋体" w:hAnsi="宋体" w:eastAsia="宋体" w:cs="宋体"/>
          <w:sz w:val="24"/>
          <w:szCs w:val="24"/>
          <w:highlight w:val="none"/>
        </w:rPr>
        <w:t>：</w:t>
      </w:r>
      <w:bookmarkStart w:id="26" w:name="OLE_LINK8"/>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bookmarkEnd w:id="26"/>
    </w:p>
    <w:p w14:paraId="4ED0071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1.3.3 本项目的质量要求：见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7A201FA6">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1.4 </w:t>
      </w:r>
      <w:r>
        <w:rPr>
          <w:rFonts w:hint="eastAsia" w:ascii="宋体" w:hAnsi="宋体" w:eastAsia="宋体" w:cs="宋体"/>
          <w:b/>
          <w:bCs/>
          <w:sz w:val="24"/>
          <w:szCs w:val="24"/>
          <w:highlight w:val="none"/>
          <w:lang w:eastAsia="zh-CN"/>
        </w:rPr>
        <w:t>投标供应商</w:t>
      </w:r>
      <w:r>
        <w:rPr>
          <w:rFonts w:hint="eastAsia" w:ascii="宋体" w:hAnsi="宋体" w:eastAsia="宋体" w:cs="宋体"/>
          <w:b/>
          <w:bCs/>
          <w:sz w:val="24"/>
          <w:szCs w:val="24"/>
          <w:highlight w:val="none"/>
        </w:rPr>
        <w:t>资格要求及竞争性磋商文件</w:t>
      </w:r>
      <w:r>
        <w:rPr>
          <w:rFonts w:hint="eastAsia" w:ascii="宋体" w:hAnsi="宋体" w:eastAsia="宋体" w:cs="宋体"/>
          <w:b/>
          <w:bCs/>
          <w:sz w:val="24"/>
          <w:szCs w:val="24"/>
          <w:highlight w:val="none"/>
          <w:lang w:val="en-US" w:eastAsia="zh-CN"/>
        </w:rPr>
        <w:t>获取</w:t>
      </w:r>
      <w:r>
        <w:rPr>
          <w:rFonts w:hint="eastAsia" w:ascii="宋体" w:hAnsi="宋体" w:eastAsia="宋体" w:cs="宋体"/>
          <w:b/>
          <w:bCs/>
          <w:sz w:val="24"/>
          <w:szCs w:val="24"/>
          <w:highlight w:val="none"/>
        </w:rPr>
        <w:t>时间</w:t>
      </w:r>
    </w:p>
    <w:p w14:paraId="20A7E835">
      <w:pPr>
        <w:pStyle w:val="12"/>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1.4.1资格审查条件：见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5203CA3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1.4.2竞争性磋商文件</w:t>
      </w:r>
      <w:r>
        <w:rPr>
          <w:rFonts w:hint="eastAsia" w:ascii="宋体" w:hAnsi="宋体" w:eastAsia="宋体" w:cs="宋体"/>
          <w:sz w:val="24"/>
          <w:szCs w:val="24"/>
          <w:highlight w:val="none"/>
          <w:lang w:val="en-US" w:eastAsia="zh-CN"/>
        </w:rPr>
        <w:t>获取</w:t>
      </w:r>
      <w:r>
        <w:rPr>
          <w:rFonts w:hint="eastAsia" w:ascii="宋体" w:hAnsi="宋体" w:eastAsia="宋体" w:cs="宋体"/>
          <w:sz w:val="24"/>
          <w:szCs w:val="24"/>
          <w:highlight w:val="none"/>
        </w:rPr>
        <w:t>时间：见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6452728B">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1.5 费用承担</w:t>
      </w:r>
    </w:p>
    <w:p w14:paraId="1D49D66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准备和参加磋商活动所发生的一切费用自理。</w:t>
      </w:r>
    </w:p>
    <w:p w14:paraId="343FD7E4">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1.6 保密</w:t>
      </w:r>
    </w:p>
    <w:p w14:paraId="6C6FDF1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参与磋商活动的各方应对竞争性磋商文件和竞争性磋商响应文件中的商业和技术等秘密保密，违者应对由此造成的后果承担法律责任。</w:t>
      </w:r>
    </w:p>
    <w:p w14:paraId="76B52E1E">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1.7 语言文字</w:t>
      </w:r>
    </w:p>
    <w:p w14:paraId="71A35D3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除专用术语外，与磋商有关的语言均使用中文。必要时专用术语应附有中文注释。</w:t>
      </w:r>
    </w:p>
    <w:p w14:paraId="11A3095F">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1.8 计量单位</w:t>
      </w:r>
    </w:p>
    <w:p w14:paraId="7FC49AA7">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所有计量均采用中华人民共和国法定计量单位。</w:t>
      </w:r>
    </w:p>
    <w:p w14:paraId="5EF6FC02">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1.9 踏勘现场</w:t>
      </w:r>
    </w:p>
    <w:p w14:paraId="2B05653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1.9.1采购代理机构不组织统一踏勘现场，由</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自行安排。</w:t>
      </w:r>
    </w:p>
    <w:p w14:paraId="5584731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1.9.2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踏勘现场发生的一切费用自理，并自行负责在踏勘现场中所发生的人员伤亡和财产损失。</w:t>
      </w:r>
    </w:p>
    <w:p w14:paraId="77D49DD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1.9.3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应对工程现场及周围环境进行踏勘，充分了解现场环境、总体布置情况等限制条件及其它任何足以影响磋商报价的情况，以便各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获取须自主考虑的有关竞争性磋商响应文件编制和合同签署所需的相关资料和数据，任何因忽视或误解工地情况而导致的索赔或工期延长申请将不获批准。</w:t>
      </w:r>
    </w:p>
    <w:p w14:paraId="13F2D130">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1.9.4 采购人在踏勘现场中介绍的工程场地和相关的周边环境情况，</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在编制竞争性磋商响应文件时参考，采购人不对</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据此作出的判断和决策负责。</w:t>
      </w:r>
    </w:p>
    <w:p w14:paraId="6BF6F35A">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1.10 竞争性磋商答疑会</w:t>
      </w:r>
    </w:p>
    <w:p w14:paraId="76DA6A8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本项目不召开答疑会，</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对竞争性磋商文件、采购内容等的疑问和要求澄清的内容，均应在磋商响应文件递交截止时间3日前以书面形式向采购代理机构提出，采购人和采购代理机构做出统一解答和必要澄清后在磋商前2天以书面的《答疑纪要》发送所有</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。答疑纪要为竞争性磋商文件的组成部分，与竞争性磋商文件具有同等法律效力。</w:t>
      </w:r>
    </w:p>
    <w:p w14:paraId="51E7F60E">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1.11 分包</w:t>
      </w:r>
    </w:p>
    <w:p w14:paraId="16A01F5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不允许。</w:t>
      </w:r>
    </w:p>
    <w:p w14:paraId="4986A86C">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1.12 偏离</w:t>
      </w:r>
    </w:p>
    <w:p w14:paraId="04DBB802">
      <w:pPr>
        <w:keepNext w:val="0"/>
        <w:keepLines w:val="0"/>
        <w:pageBreakBefore w:val="0"/>
        <w:shd w:val="clear"/>
        <w:kinsoku/>
        <w:wordWrap/>
        <w:overflowPunct/>
        <w:topLinePunct w:val="0"/>
        <w:bidi w:val="0"/>
        <w:snapToGrid/>
        <w:spacing w:before="156" w:beforeLines="50" w:after="156" w:afterLines="50" w:line="360" w:lineRule="auto"/>
        <w:ind w:firstLine="480" w:firstLineChars="200"/>
        <w:textAlignment w:val="auto"/>
        <w:rPr>
          <w:rFonts w:hint="eastAsia" w:ascii="宋体" w:hAnsi="宋体" w:eastAsia="宋体" w:cs="宋体"/>
          <w:sz w:val="24"/>
          <w:szCs w:val="24"/>
          <w:highlight w:val="none"/>
        </w:rPr>
      </w:pPr>
      <w:bookmarkStart w:id="27" w:name="_Toc421778366"/>
      <w:bookmarkStart w:id="28" w:name="_Toc425240465"/>
      <w:bookmarkStart w:id="29" w:name="_Toc420591644"/>
      <w:r>
        <w:rPr>
          <w:rFonts w:hint="eastAsia" w:ascii="宋体" w:hAnsi="宋体" w:eastAsia="宋体" w:cs="宋体"/>
          <w:sz w:val="24"/>
          <w:szCs w:val="24"/>
          <w:highlight w:val="none"/>
        </w:rPr>
        <w:t>不满足评审方法中初步评审标准的，视为发生重大偏离，其磋商被否决。其余偏离视为细微偏离，磋商小组将通过澄清方式对细微偏离进行澄清或修改。</w:t>
      </w:r>
    </w:p>
    <w:p w14:paraId="493D95FB">
      <w:pPr>
        <w:keepNext w:val="0"/>
        <w:keepLines w:val="0"/>
        <w:pageBreakBefore w:val="0"/>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w:t>
      </w:r>
      <w:bookmarkEnd w:id="27"/>
      <w:bookmarkEnd w:id="28"/>
      <w:bookmarkEnd w:id="29"/>
      <w:r>
        <w:rPr>
          <w:rFonts w:hint="eastAsia" w:ascii="宋体" w:hAnsi="宋体" w:eastAsia="宋体" w:cs="宋体"/>
          <w:b/>
          <w:bCs/>
          <w:sz w:val="24"/>
          <w:szCs w:val="24"/>
          <w:highlight w:val="none"/>
        </w:rPr>
        <w:t>竞争性磋商文件</w:t>
      </w:r>
    </w:p>
    <w:p w14:paraId="6DFCFA27">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2.1 竞争性磋商文件的组成</w:t>
      </w:r>
    </w:p>
    <w:p w14:paraId="012048CA">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本竞争性磋商文件包括：</w:t>
      </w:r>
    </w:p>
    <w:p w14:paraId="063F2BB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(1）竞争性磋商公告</w:t>
      </w:r>
    </w:p>
    <w:p w14:paraId="3CEF0F5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w:t>
      </w:r>
    </w:p>
    <w:p w14:paraId="6DE5F347">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(3）评审方法</w:t>
      </w:r>
    </w:p>
    <w:p w14:paraId="560C803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(4）合同主要条款</w:t>
      </w:r>
    </w:p>
    <w:p w14:paraId="783CF18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(5）</w:t>
      </w:r>
      <w:r>
        <w:rPr>
          <w:rFonts w:hint="eastAsia" w:ascii="宋体" w:hAnsi="宋体" w:eastAsia="宋体" w:cs="宋体"/>
          <w:sz w:val="24"/>
          <w:szCs w:val="24"/>
          <w:highlight w:val="none"/>
          <w:lang w:eastAsia="zh-CN"/>
        </w:rPr>
        <w:t>工程量清单</w:t>
      </w:r>
    </w:p>
    <w:p w14:paraId="05B6393B">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(6）竞争性磋商响应文件构成及格式</w:t>
      </w:r>
    </w:p>
    <w:p w14:paraId="7AD22FB0">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根据本章第1.10 款和第2.2 款对竞争性磋商文件所作的澄清、修改，构成竞争性磋商文件的组成部分。</w:t>
      </w:r>
    </w:p>
    <w:p w14:paraId="28EEECA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 竞争性磋商文件的澄清及修改</w:t>
      </w:r>
    </w:p>
    <w:p w14:paraId="5A2F55B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bookmarkStart w:id="30" w:name="_Toc421778367"/>
      <w:bookmarkStart w:id="31" w:name="_Toc420591645"/>
      <w:bookmarkStart w:id="32" w:name="_Toc425240466"/>
      <w:r>
        <w:rPr>
          <w:rFonts w:hint="eastAsia" w:ascii="宋体" w:hAnsi="宋体" w:eastAsia="宋体" w:cs="宋体"/>
          <w:sz w:val="24"/>
          <w:szCs w:val="24"/>
          <w:highlight w:val="none"/>
        </w:rPr>
        <w:t>2.2.1在磋商响应文件截止时间前，采购代理机构可以视采购具体情况，延长竞争性磋商响应文件递交截止时间和磋商时间并在指定的媒体上发布变更公告，同时将变更时间书面通知所有获取竞争性磋商文件的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w:t>
      </w:r>
    </w:p>
    <w:p w14:paraId="4519D34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2.2.2采购代理机构如果对已发出的竞争性磋商文件进行必要的澄清或者修改，将在竞争性磋商文件要求提交竞争性磋商响应文件截止时间5日前，以书面形式通知所有获取竞争性磋商文件的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。不足5日的，应当顺延提交响应文件截止时间。该澄清或者修改的内容为竞争性磋商文件的组成部分。</w:t>
      </w:r>
    </w:p>
    <w:p w14:paraId="689C21B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2.2.3已经购买竞争性磋商文件的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对竞争性磋商文件有疑问的，均应在磋商截止日期3日前以书面形式向采购代理机构提出。采购代理机构视情况必要时将书面答复传送给所有获取竞争性磋商文件的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w:t>
      </w:r>
    </w:p>
    <w:p w14:paraId="5689108A">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2.2.4</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在收到上述通知后，应立即向采购代理机构回函确认。</w:t>
      </w:r>
    </w:p>
    <w:bookmarkEnd w:id="30"/>
    <w:bookmarkEnd w:id="31"/>
    <w:bookmarkEnd w:id="32"/>
    <w:p w14:paraId="5CB7B4BE">
      <w:pPr>
        <w:keepNext w:val="0"/>
        <w:keepLines w:val="0"/>
        <w:pageBreakBefore w:val="0"/>
        <w:numPr>
          <w:ilvl w:val="0"/>
          <w:numId w:val="5"/>
        </w:numPr>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竞争性磋商响应文件</w:t>
      </w:r>
    </w:p>
    <w:p w14:paraId="147BABCB">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3.1 磋商响应文件的组成</w:t>
      </w:r>
    </w:p>
    <w:p w14:paraId="22547256">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3.1.1 </w:t>
      </w:r>
      <w:r>
        <w:rPr>
          <w:rFonts w:hint="eastAsia" w:ascii="宋体" w:hAnsi="宋体" w:eastAsia="宋体" w:cs="宋体"/>
          <w:b/>
          <w:sz w:val="24"/>
          <w:szCs w:val="24"/>
          <w:highlight w:val="none"/>
        </w:rPr>
        <w:t>磋商响应文件</w:t>
      </w:r>
      <w:r>
        <w:rPr>
          <w:rFonts w:hint="eastAsia" w:ascii="宋体" w:hAnsi="宋体" w:eastAsia="宋体" w:cs="宋体"/>
          <w:sz w:val="24"/>
          <w:szCs w:val="24"/>
          <w:highlight w:val="none"/>
        </w:rPr>
        <w:t>应包括下列内容：</w:t>
      </w:r>
    </w:p>
    <w:p w14:paraId="4FD3CAB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1）磋商响应函</w:t>
      </w:r>
    </w:p>
    <w:p w14:paraId="091EE4D0">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2）磋商首次报价表</w:t>
      </w:r>
    </w:p>
    <w:p w14:paraId="4DED357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）报价明细表</w:t>
      </w:r>
    </w:p>
    <w:p w14:paraId="6979BF36">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eastAsia="zh-CN"/>
        </w:rPr>
        <w:t>）技术方案</w:t>
      </w:r>
    </w:p>
    <w:p w14:paraId="53D1301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lang w:eastAsia="zh-CN"/>
        </w:rPr>
        <w:t>）陕西省政府采购投标供应商拒绝政府采购领域商业贿赂承诺书</w:t>
      </w:r>
    </w:p>
    <w:p w14:paraId="1E495BD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lang w:eastAsia="zh-CN"/>
        </w:rPr>
        <w:t>）投标供应商资格证明文件</w:t>
      </w:r>
    </w:p>
    <w:p w14:paraId="2A52E7D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7</w:t>
      </w:r>
      <w:r>
        <w:rPr>
          <w:rFonts w:hint="eastAsia" w:ascii="宋体" w:hAnsi="宋体" w:eastAsia="宋体" w:cs="宋体"/>
          <w:sz w:val="24"/>
          <w:szCs w:val="24"/>
          <w:highlight w:val="none"/>
          <w:lang w:val="en-US" w:eastAsia="zh-CN"/>
        </w:rPr>
        <w:t>）</w:t>
      </w:r>
      <w:r>
        <w:rPr>
          <w:rFonts w:hint="eastAsia" w:ascii="宋体" w:hAnsi="宋体" w:eastAsia="宋体" w:cs="宋体"/>
          <w:sz w:val="24"/>
          <w:szCs w:val="24"/>
          <w:highlight w:val="none"/>
          <w:lang w:eastAsia="zh-CN"/>
        </w:rPr>
        <w:t>类似业绩</w:t>
      </w:r>
    </w:p>
    <w:p w14:paraId="2795BAD4">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3.2 磋商报价</w:t>
      </w:r>
    </w:p>
    <w:p w14:paraId="1A04A68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  本工程投标报价采用</w:t>
      </w:r>
      <w:r>
        <w:rPr>
          <w:rFonts w:hint="eastAsia" w:ascii="宋体" w:hAnsi="宋体" w:eastAsia="宋体" w:cs="宋体"/>
          <w:color w:val="auto"/>
          <w:sz w:val="24"/>
          <w:szCs w:val="24"/>
          <w:highlight w:val="none"/>
          <w:lang w:val="en-US" w:eastAsia="zh-CN"/>
        </w:rPr>
        <w:t>固定总价</w:t>
      </w:r>
      <w:r>
        <w:rPr>
          <w:rFonts w:hint="eastAsia" w:ascii="宋体" w:hAnsi="宋体" w:eastAsia="宋体" w:cs="宋体"/>
          <w:color w:val="auto"/>
          <w:sz w:val="24"/>
          <w:szCs w:val="24"/>
          <w:highlight w:val="none"/>
        </w:rPr>
        <w:t>方式。</w:t>
      </w:r>
    </w:p>
    <w:p w14:paraId="65A9272B">
      <w:pPr>
        <w:pStyle w:val="35"/>
        <w:shd w:val="clear"/>
        <w:jc w:val="left"/>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.2  </w:t>
      </w:r>
      <w:r>
        <w:rPr>
          <w:rFonts w:hint="eastAsia" w:ascii="宋体" w:hAnsi="宋体" w:eastAsia="宋体" w:cs="宋体"/>
          <w:b/>
          <w:bCs/>
          <w:color w:val="auto"/>
          <w:kern w:val="2"/>
          <w:sz w:val="24"/>
          <w:szCs w:val="24"/>
          <w:highlight w:val="none"/>
          <w:lang w:val="en-US" w:eastAsia="zh-CN" w:bidi="ar-SA"/>
        </w:rPr>
        <w:t>投标</w:t>
      </w:r>
      <w:r>
        <w:rPr>
          <w:rFonts w:hint="eastAsia" w:ascii="宋体" w:hAnsi="宋体" w:eastAsia="宋体" w:cs="宋体"/>
          <w:b/>
          <w:bCs/>
          <w:color w:val="auto"/>
          <w:kern w:val="2"/>
          <w:sz w:val="24"/>
          <w:szCs w:val="24"/>
          <w:highlight w:val="none"/>
          <w:lang w:val="zh-CN" w:eastAsia="zh-CN" w:bidi="ar-SA"/>
        </w:rPr>
        <w:t>报价是完成</w:t>
      </w:r>
      <w:r>
        <w:rPr>
          <w:rFonts w:hint="eastAsia" w:ascii="宋体" w:hAnsi="宋体" w:eastAsia="宋体" w:cs="宋体"/>
          <w:b/>
          <w:bCs/>
          <w:color w:val="auto"/>
          <w:kern w:val="2"/>
          <w:sz w:val="24"/>
          <w:szCs w:val="24"/>
          <w:highlight w:val="none"/>
          <w:lang w:val="en-US" w:eastAsia="zh-CN" w:bidi="ar-SA"/>
        </w:rPr>
        <w:t>采购</w:t>
      </w:r>
      <w:r>
        <w:rPr>
          <w:rFonts w:hint="eastAsia" w:ascii="宋体" w:hAnsi="宋体" w:eastAsia="宋体" w:cs="宋体"/>
          <w:b/>
          <w:bCs/>
          <w:color w:val="auto"/>
          <w:kern w:val="2"/>
          <w:sz w:val="24"/>
          <w:szCs w:val="24"/>
          <w:highlight w:val="none"/>
          <w:lang w:val="zh-CN" w:eastAsia="zh-CN" w:bidi="ar-SA"/>
        </w:rPr>
        <w:t>内容所需的全部费用，包括</w:t>
      </w:r>
      <w:r>
        <w:rPr>
          <w:rFonts w:hint="eastAsia" w:ascii="宋体" w:hAnsi="宋体" w:eastAsia="宋体" w:cs="宋体"/>
          <w:b/>
          <w:bCs/>
          <w:color w:val="auto"/>
          <w:kern w:val="2"/>
          <w:sz w:val="24"/>
          <w:szCs w:val="24"/>
          <w:highlight w:val="none"/>
          <w:lang w:val="en-US" w:eastAsia="zh-CN" w:bidi="ar-SA"/>
        </w:rPr>
        <w:t>材料费、人工费、设备费、</w:t>
      </w:r>
      <w:r>
        <w:rPr>
          <w:rFonts w:hint="eastAsia" w:ascii="宋体" w:hAnsi="宋体" w:eastAsia="宋体" w:cs="宋体"/>
          <w:b/>
          <w:bCs/>
          <w:color w:val="auto"/>
          <w:kern w:val="2"/>
          <w:sz w:val="24"/>
          <w:szCs w:val="24"/>
          <w:highlight w:val="none"/>
          <w:lang w:val="zh-CN" w:eastAsia="zh-CN" w:bidi="ar-SA"/>
        </w:rPr>
        <w:t>调试费、运输费、税费、管理费、利润等其他一切相关费用。报价表标明本次服务的所有单项价格和总价，任何有选择的报价将不予接受，按无效投标处理。</w:t>
      </w:r>
    </w:p>
    <w:p w14:paraId="4B3D8617">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 xml:space="preserve">.3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报价为</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在投标文件中提出的各项费用的总和。</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应按招标人提供的工程量清单填报单价和合价，每一项目只允许有一个报价。任何有选择的报价将不予接受。</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未填单价或合价的工程项目，将视为该项费用已包括在其他有价款的单价或合价内，招标人将不予支付其价款。</w:t>
      </w:r>
    </w:p>
    <w:p w14:paraId="3D5FDB7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.4  投标报价需具有相应资格造价人员编制（投标报价超过500万元的工程，需各专业中级造价员或注册造价工程师编制），并加盖造价人员执业章。</w:t>
      </w:r>
    </w:p>
    <w:p w14:paraId="4DAA7E96">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 凡因</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对竞争性磋商文件阅读不深、理解不透、误解、疏漏、或因市场行情了解不清造成的后果和风险均由</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自行负责。</w:t>
      </w:r>
    </w:p>
    <w:p w14:paraId="0510AD5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val="en-US" w:eastAsia="zh-CN"/>
        </w:rPr>
        <w:t xml:space="preserve">6 </w:t>
      </w:r>
      <w:r>
        <w:rPr>
          <w:rFonts w:hint="eastAsia" w:ascii="宋体" w:hAnsi="宋体" w:eastAsia="宋体" w:cs="宋体"/>
          <w:sz w:val="24"/>
          <w:szCs w:val="24"/>
          <w:highlight w:val="none"/>
        </w:rPr>
        <w:t>磋商过程中所产生的一切费用由</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自行承担。</w:t>
      </w:r>
    </w:p>
    <w:p w14:paraId="1FA9798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3.2.</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 xml:space="preserve"> 最低报价不作为中标的唯一条件。</w:t>
      </w:r>
    </w:p>
    <w:p w14:paraId="5384AC2A">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3.2.</w:t>
      </w:r>
      <w:r>
        <w:rPr>
          <w:rFonts w:hint="eastAsia" w:ascii="宋体" w:hAnsi="宋体" w:eastAsia="宋体" w:cs="宋体"/>
          <w:b/>
          <w:bCs/>
          <w:sz w:val="24"/>
          <w:szCs w:val="24"/>
          <w:highlight w:val="none"/>
          <w:lang w:val="en-US" w:eastAsia="zh-CN"/>
        </w:rPr>
        <w:t>8</w:t>
      </w:r>
      <w:r>
        <w:rPr>
          <w:rFonts w:hint="eastAsia" w:ascii="宋体" w:hAnsi="宋体" w:eastAsia="宋体" w:cs="宋体"/>
          <w:b/>
          <w:bCs/>
          <w:sz w:val="24"/>
          <w:szCs w:val="24"/>
          <w:highlight w:val="none"/>
        </w:rPr>
        <w:t>凡</w:t>
      </w:r>
      <w:r>
        <w:rPr>
          <w:rFonts w:hint="eastAsia" w:ascii="宋体" w:hAnsi="宋体" w:eastAsia="宋体" w:cs="宋体"/>
          <w:b/>
          <w:bCs/>
          <w:sz w:val="24"/>
          <w:szCs w:val="24"/>
          <w:highlight w:val="none"/>
          <w:lang w:eastAsia="zh-CN"/>
        </w:rPr>
        <w:t>投标供应商</w:t>
      </w:r>
      <w:r>
        <w:rPr>
          <w:rFonts w:hint="eastAsia" w:ascii="宋体" w:hAnsi="宋体" w:eastAsia="宋体" w:cs="宋体"/>
          <w:b/>
          <w:bCs/>
          <w:sz w:val="24"/>
          <w:szCs w:val="24"/>
          <w:highlight w:val="none"/>
        </w:rPr>
        <w:t>的磋商总报价高于</w:t>
      </w:r>
      <w:r>
        <w:rPr>
          <w:rFonts w:hint="eastAsia" w:ascii="宋体" w:hAnsi="宋体" w:eastAsia="宋体" w:cs="宋体"/>
          <w:b/>
          <w:bCs/>
          <w:sz w:val="24"/>
          <w:szCs w:val="24"/>
          <w:highlight w:val="none"/>
          <w:lang w:eastAsia="zh-CN"/>
        </w:rPr>
        <w:t>采购</w:t>
      </w:r>
      <w:r>
        <w:rPr>
          <w:rFonts w:hint="eastAsia" w:ascii="宋体" w:hAnsi="宋体" w:eastAsia="宋体" w:cs="宋体"/>
          <w:b/>
          <w:bCs/>
          <w:sz w:val="24"/>
          <w:szCs w:val="24"/>
          <w:highlight w:val="none"/>
        </w:rPr>
        <w:t>项目</w:t>
      </w:r>
      <w:r>
        <w:rPr>
          <w:rFonts w:hint="eastAsia" w:ascii="宋体" w:hAnsi="宋体" w:eastAsia="宋体" w:cs="宋体"/>
          <w:b/>
          <w:bCs/>
          <w:sz w:val="24"/>
          <w:szCs w:val="24"/>
          <w:highlight w:val="none"/>
          <w:lang w:val="en-US" w:eastAsia="zh-CN"/>
        </w:rPr>
        <w:t>最高限价</w:t>
      </w:r>
      <w:r>
        <w:rPr>
          <w:rFonts w:hint="eastAsia" w:ascii="宋体" w:hAnsi="宋体" w:eastAsia="宋体" w:cs="宋体"/>
          <w:b/>
          <w:bCs/>
          <w:sz w:val="24"/>
          <w:szCs w:val="24"/>
          <w:highlight w:val="none"/>
        </w:rPr>
        <w:t>的将被视为无效磋商处理，不再参与后续评审。</w:t>
      </w:r>
    </w:p>
    <w:p w14:paraId="32914F79">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3.3 磋商有效期</w:t>
      </w:r>
    </w:p>
    <w:p w14:paraId="0E48B68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bookmarkStart w:id="33" w:name="OLE_LINK4"/>
      <w:r>
        <w:rPr>
          <w:rFonts w:hint="eastAsia" w:ascii="宋体" w:hAnsi="宋体" w:eastAsia="宋体" w:cs="宋体"/>
          <w:sz w:val="24"/>
          <w:szCs w:val="24"/>
        </w:rPr>
        <w:t>3.3.1磋商响应文件应在“</w:t>
      </w:r>
      <w:r>
        <w:rPr>
          <w:rFonts w:hint="eastAsia" w:ascii="宋体" w:hAnsi="宋体" w:eastAsia="宋体" w:cs="宋体"/>
          <w:sz w:val="24"/>
          <w:szCs w:val="24"/>
          <w:lang w:eastAsia="zh-CN"/>
        </w:rPr>
        <w:t>投标供应商</w:t>
      </w:r>
      <w:r>
        <w:rPr>
          <w:rFonts w:hint="eastAsia" w:ascii="宋体" w:hAnsi="宋体" w:eastAsia="宋体" w:cs="宋体"/>
          <w:sz w:val="24"/>
          <w:szCs w:val="24"/>
        </w:rPr>
        <w:t>须知前附表”中规定的期限内保持有效。磋商有效期不满足规定有效期的磋商响应文件将被视为非响应性磋商而予以拒绝。</w:t>
      </w:r>
      <w:bookmarkEnd w:id="33"/>
    </w:p>
    <w:p w14:paraId="3FA9742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3.3.2在特殊情况下，在原磋商有效期期满之前，</w:t>
      </w:r>
      <w:r>
        <w:rPr>
          <w:rFonts w:hint="eastAsia" w:ascii="宋体" w:hAnsi="宋体" w:eastAsia="宋体" w:cs="宋体"/>
          <w:sz w:val="24"/>
          <w:szCs w:val="24"/>
          <w:lang w:eastAsia="zh-CN"/>
        </w:rPr>
        <w:t>采购代理机构</w:t>
      </w:r>
      <w:r>
        <w:rPr>
          <w:rFonts w:hint="eastAsia" w:ascii="宋体" w:hAnsi="宋体" w:eastAsia="宋体" w:cs="宋体"/>
          <w:sz w:val="24"/>
          <w:szCs w:val="24"/>
        </w:rPr>
        <w:t>可向</w:t>
      </w:r>
      <w:r>
        <w:rPr>
          <w:rFonts w:hint="eastAsia" w:ascii="宋体" w:hAnsi="宋体" w:eastAsia="宋体" w:cs="宋体"/>
          <w:sz w:val="24"/>
          <w:szCs w:val="24"/>
          <w:lang w:eastAsia="zh-CN"/>
        </w:rPr>
        <w:t>投标供应商</w:t>
      </w:r>
      <w:r>
        <w:rPr>
          <w:rFonts w:hint="eastAsia" w:ascii="宋体" w:hAnsi="宋体" w:eastAsia="宋体" w:cs="宋体"/>
          <w:sz w:val="24"/>
          <w:szCs w:val="24"/>
        </w:rPr>
        <w:t>提出延长磋商有效期的要求。这种要求与答复均应以书面的形式。同意延长的</w:t>
      </w:r>
      <w:r>
        <w:rPr>
          <w:rFonts w:hint="eastAsia" w:ascii="宋体" w:hAnsi="宋体" w:eastAsia="宋体" w:cs="宋体"/>
          <w:sz w:val="24"/>
          <w:szCs w:val="24"/>
          <w:lang w:eastAsia="zh-CN"/>
        </w:rPr>
        <w:t>投标供应商</w:t>
      </w:r>
      <w:r>
        <w:rPr>
          <w:rFonts w:hint="eastAsia" w:ascii="宋体" w:hAnsi="宋体" w:eastAsia="宋体" w:cs="宋体"/>
          <w:sz w:val="24"/>
          <w:szCs w:val="24"/>
        </w:rPr>
        <w:t>既不能要求也不允许修改其竞争性磋商响应文件。</w:t>
      </w:r>
    </w:p>
    <w:p w14:paraId="31948326">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3.4 磋商保证金</w:t>
      </w:r>
    </w:p>
    <w:p w14:paraId="6A84102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3.4.1</w:t>
      </w:r>
      <w:r>
        <w:rPr>
          <w:rFonts w:hint="eastAsia" w:ascii="宋体" w:hAnsi="宋体" w:eastAsia="宋体" w:cs="宋体"/>
          <w:sz w:val="24"/>
          <w:szCs w:val="24"/>
          <w:lang w:val="en-US" w:eastAsia="zh-CN"/>
        </w:rPr>
        <w:t xml:space="preserve"> 本项目不收取磋商保证金。</w:t>
      </w:r>
    </w:p>
    <w:p w14:paraId="424E4C5C">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3.5备选磋商方案</w:t>
      </w:r>
    </w:p>
    <w:p w14:paraId="2639C5C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除</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须知前附表另有规定外，</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不得递交备选磋商方案。</w:t>
      </w:r>
    </w:p>
    <w:p w14:paraId="0448F8B6">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3.6竞争性磋商响应文件的编制</w:t>
      </w:r>
    </w:p>
    <w:p w14:paraId="221EC92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3.6.1 竞争性磋商响应文件应按“竞争性磋商响应文件格式”进行编写，如有必要，可以增加附页，作为竞争性磋商响应文件的组成部分。</w:t>
      </w:r>
    </w:p>
    <w:p w14:paraId="421C159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3.6.2 竞争性磋商响应文件应当对竞争性磋商文件有关工期、磋商有效期、质量要求、技术标准和要求、招标范围等实质性内容作出响应。</w:t>
      </w:r>
    </w:p>
    <w:p w14:paraId="21FE77C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3.6.3 竞争性磋商响应文件应用不褪色的材料书写或打印，</w:t>
      </w:r>
      <w:r>
        <w:rPr>
          <w:rFonts w:hint="eastAsia" w:ascii="宋体" w:hAnsi="宋体" w:eastAsia="宋体" w:cs="宋体"/>
          <w:sz w:val="24"/>
          <w:szCs w:val="24"/>
        </w:rPr>
        <w:t>竞争性磋商响应文件封面、磋商响应函及其它有要求处必须加盖</w:t>
      </w:r>
      <w:r>
        <w:rPr>
          <w:rFonts w:hint="eastAsia" w:ascii="宋体" w:hAnsi="宋体" w:eastAsia="宋体" w:cs="宋体"/>
          <w:sz w:val="24"/>
          <w:szCs w:val="24"/>
          <w:lang w:eastAsia="zh-CN"/>
        </w:rPr>
        <w:t>投标供应商</w:t>
      </w:r>
      <w:r>
        <w:rPr>
          <w:rFonts w:hint="eastAsia" w:ascii="宋体" w:hAnsi="宋体" w:eastAsia="宋体" w:cs="宋体"/>
          <w:sz w:val="24"/>
          <w:szCs w:val="24"/>
        </w:rPr>
        <w:t>公章并经法定代表人或其委托代理人签字或盖章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委托代理人签字的，竞争性磋商响应文件应附法定代表人签署的授权委托书。竞争性磋商响应文件应尽量避免涂改、行间插字或删除。如果出现上述情况，改动之处应加盖</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公章或由</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的法定代表人或其授权的代理人签字确认。所有要求签字（名）处，均须由签字（名）者本人用不褪色的蓝(黑)色墨水(汁)书写，不得用任何形式的图章代替。</w:t>
      </w:r>
    </w:p>
    <w:p w14:paraId="663CAFD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3.6.4 竞争性磋商响应文件正本、副本份数见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须知前附表。正本和副本的封面上应清楚地标记“正本”或“副本”的字样。当副本和正本不一致时，以正本为准。竞争性磋商响应文件电子版</w:t>
      </w:r>
      <w:r>
        <w:rPr>
          <w:rFonts w:hint="eastAsia" w:ascii="宋体" w:hAnsi="宋体" w:eastAsia="宋体" w:cs="宋体"/>
          <w:sz w:val="24"/>
          <w:szCs w:val="24"/>
          <w:highlight w:val="none"/>
          <w:lang w:eastAsia="zh-CN"/>
        </w:rPr>
        <w:t>为</w:t>
      </w:r>
      <w:r>
        <w:rPr>
          <w:rFonts w:hint="eastAsia" w:ascii="宋体" w:hAnsi="宋体" w:eastAsia="宋体" w:cs="宋体"/>
          <w:sz w:val="24"/>
          <w:szCs w:val="24"/>
          <w:highlight w:val="none"/>
        </w:rPr>
        <w:t>word版磋商响应文件</w:t>
      </w:r>
      <w:r>
        <w:rPr>
          <w:rFonts w:hint="eastAsia" w:ascii="宋体" w:hAnsi="宋体" w:eastAsia="宋体" w:cs="宋体"/>
          <w:sz w:val="24"/>
          <w:szCs w:val="24"/>
          <w:highlight w:val="none"/>
          <w:lang w:eastAsia="zh-CN"/>
        </w:rPr>
        <w:t>。</w:t>
      </w:r>
    </w:p>
    <w:p w14:paraId="2FF5BEEA">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3.6.5 所有竞争性磋商响应文件正本和副本须按规定的顺序编排、编制目录</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rPr>
        <w:t>每一页的正下方清楚标明页码等字样，并分别胶装成册。</w:t>
      </w:r>
    </w:p>
    <w:p w14:paraId="3F867A77">
      <w:pPr>
        <w:keepNext w:val="0"/>
        <w:keepLines w:val="0"/>
        <w:pageBreakBefore w:val="0"/>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bookmarkStart w:id="34" w:name="_Toc420591646"/>
      <w:bookmarkStart w:id="35" w:name="_Toc425240467"/>
      <w:bookmarkStart w:id="36" w:name="_Toc421778368"/>
      <w:r>
        <w:rPr>
          <w:rFonts w:hint="eastAsia" w:ascii="宋体" w:hAnsi="宋体" w:eastAsia="宋体" w:cs="宋体"/>
          <w:b/>
          <w:bCs/>
          <w:sz w:val="24"/>
          <w:szCs w:val="24"/>
          <w:highlight w:val="none"/>
        </w:rPr>
        <w:t>4．</w:t>
      </w:r>
      <w:bookmarkEnd w:id="34"/>
      <w:bookmarkEnd w:id="35"/>
      <w:bookmarkEnd w:id="36"/>
      <w:r>
        <w:rPr>
          <w:rFonts w:hint="eastAsia" w:ascii="宋体" w:hAnsi="宋体" w:eastAsia="宋体" w:cs="宋体"/>
          <w:b/>
          <w:bCs/>
          <w:sz w:val="24"/>
          <w:szCs w:val="24"/>
          <w:highlight w:val="none"/>
        </w:rPr>
        <w:t>磋商</w:t>
      </w:r>
    </w:p>
    <w:p w14:paraId="56ED423E">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4.1 竞争性磋商响应文件的密封和标记</w:t>
      </w:r>
    </w:p>
    <w:p w14:paraId="1348A22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4.1.1竞争性磋商响应文件的密封：竞争性磋商响应文件须胶装成套且须用密封袋密封，包括竞争性磋商响应文件正本、副本、竞争性磋商响应文件电子版。</w:t>
      </w:r>
    </w:p>
    <w:p w14:paraId="6887FB9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4.1.2竞争性磋商响应文件的正本须单独包装，副本包装在一个封套内、电子版文件包装在一个封套内；所有封套均应加贴封条，并在封套的封口处加盖</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公章及法定代表人或其委托代理人签字或盖章。</w:t>
      </w:r>
    </w:p>
    <w:p w14:paraId="4C6EAEB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4.1.3 竞争性磋商响应文件的封套上应清楚地标记“正本”、“副本”、“电子版”字样，封套上应写明的其他内容见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0AA33F10">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4.1.4未按本章第3.6.4、第3.6.5项和第4.1.2 、第4.1.3项要求密封和加写标记的竞争性磋商响应文件，采购代理机构不予受理。</w:t>
      </w:r>
    </w:p>
    <w:p w14:paraId="02AB7E80">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4.2 竞争性磋商响应文件的递交</w:t>
      </w:r>
    </w:p>
    <w:p w14:paraId="16F0F13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4.2.1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应在</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须知前附表第4.2.2 项规定的磋商截止时间前递交竞争性磋商响应文件。</w:t>
      </w:r>
    </w:p>
    <w:p w14:paraId="355CBB55">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4.2.2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递交竞争性磋商响应文件的地点：见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49E64E95">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4.2.3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所递交的竞争性磋商响应文件不予退还。</w:t>
      </w:r>
    </w:p>
    <w:p w14:paraId="353A3345">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4.2.4逾期送达的或者未送达指定地点的竞争性磋商响应文件，采购代理机构不予受理。</w:t>
      </w:r>
    </w:p>
    <w:p w14:paraId="0118D69F">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4.3 竞争性磋商响应文件的修改与撤回</w:t>
      </w:r>
    </w:p>
    <w:p w14:paraId="26C1ED3F">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bookmarkStart w:id="37" w:name="_Toc420591647"/>
      <w:bookmarkStart w:id="38" w:name="_Toc425240468"/>
      <w:bookmarkStart w:id="39" w:name="_Toc421778369"/>
      <w:r>
        <w:rPr>
          <w:rFonts w:hint="eastAsia" w:ascii="宋体" w:hAnsi="宋体" w:eastAsia="宋体" w:cs="宋体"/>
          <w:sz w:val="24"/>
          <w:szCs w:val="24"/>
          <w:highlight w:val="none"/>
        </w:rPr>
        <w:t xml:space="preserve">4.3.1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在递交竞争性磋商响应文件后，可以修改或撤回其竞争性磋商响应文件，也可以提出价格变动声明，但</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必须在规定的磋商截止时间之前将修改或撤回或变动价格的书面通知文件递交到采购代理机构。</w:t>
      </w:r>
    </w:p>
    <w:p w14:paraId="23EB440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4.3.2 </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的修改或撤回或变动价格的通知应按本须知的规定编制、密封、标记和递交。</w:t>
      </w:r>
    </w:p>
    <w:p w14:paraId="44BA4FA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4.3.3 在磋商截止时间之后，</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不得对其竞争性磋商响应文件做任何修改或撤回。</w:t>
      </w:r>
    </w:p>
    <w:p w14:paraId="1C92BB0C">
      <w:pPr>
        <w:keepNext w:val="0"/>
        <w:keepLines w:val="0"/>
        <w:pageBreakBefore w:val="0"/>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w:t>
      </w:r>
      <w:bookmarkEnd w:id="37"/>
      <w:bookmarkEnd w:id="38"/>
      <w:bookmarkEnd w:id="39"/>
      <w:r>
        <w:rPr>
          <w:rFonts w:hint="eastAsia" w:ascii="宋体" w:hAnsi="宋体" w:eastAsia="宋体" w:cs="宋体"/>
          <w:b/>
          <w:bCs/>
          <w:sz w:val="24"/>
          <w:szCs w:val="24"/>
          <w:highlight w:val="none"/>
        </w:rPr>
        <w:t>磋商</w:t>
      </w:r>
    </w:p>
    <w:p w14:paraId="7CF2E611">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5.1 磋商时间和地点</w:t>
      </w:r>
    </w:p>
    <w:p w14:paraId="3E0588A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见</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w:t>
      </w:r>
    </w:p>
    <w:p w14:paraId="574DA52A">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5.2磋商程序</w:t>
      </w:r>
    </w:p>
    <w:p w14:paraId="760B35B5">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主持人按下列程序进行磋商：</w:t>
      </w:r>
    </w:p>
    <w:p w14:paraId="49C94D8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（1）宣布磋商项目名称及竞争性磋商响应文件接收截止时间，终止一切竞争性磋商响应文件的接收工作，并宣布磋商会议开始；</w:t>
      </w:r>
    </w:p>
    <w:p w14:paraId="05E7E846">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（2）介绍采购人、采购代理机构、监督</w:t>
      </w:r>
      <w:r>
        <w:rPr>
          <w:rFonts w:hint="eastAsia" w:ascii="宋体" w:hAnsi="宋体" w:eastAsia="宋体" w:cs="宋体"/>
          <w:sz w:val="24"/>
          <w:szCs w:val="24"/>
          <w:highlight w:val="none"/>
          <w:lang w:val="en-US" w:eastAsia="zh-CN"/>
        </w:rPr>
        <w:t>人</w:t>
      </w:r>
      <w:r>
        <w:rPr>
          <w:rFonts w:hint="eastAsia" w:ascii="宋体" w:hAnsi="宋体" w:eastAsia="宋体" w:cs="宋体"/>
          <w:sz w:val="24"/>
          <w:szCs w:val="24"/>
          <w:highlight w:val="none"/>
        </w:rPr>
        <w:t>；</w:t>
      </w:r>
    </w:p>
    <w:p w14:paraId="2AC4F68A">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（3）宣布本项目</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签到名单；</w:t>
      </w:r>
    </w:p>
    <w:p w14:paraId="6D6FF1EF">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（4）宣布磋商会议纪律；</w:t>
      </w:r>
    </w:p>
    <w:p w14:paraId="659AB8B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由采购人对各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的资格身份进行查验；</w:t>
      </w:r>
    </w:p>
    <w:p w14:paraId="664C916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按照</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须知前附表规定检查竞争性磋商响应文件的密封情况；</w:t>
      </w:r>
    </w:p>
    <w:p w14:paraId="3AF31A9B">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7</w:t>
      </w:r>
      <w:r>
        <w:rPr>
          <w:rFonts w:hint="eastAsia" w:ascii="宋体" w:hAnsi="宋体" w:eastAsia="宋体" w:cs="宋体"/>
          <w:sz w:val="24"/>
          <w:szCs w:val="24"/>
          <w:highlight w:val="none"/>
        </w:rPr>
        <w:t>）在采购人（监标人）的监督下，将竞争性磋商响应文件送交磋商小组评审；评标委员会在符合性评审的基础上对各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的投标文件认真阅读，并对采购内容、商务报价、服务方案等内容进行详细的评审。各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应评标委员会的要求对投标文件中的技术、商务价格、服务等内容按要求进行补充、完善、澄清、承诺，但补充完善的内容必须在其被授权范围内。评标委员会以补充、完善后的内容作为评审的依据。</w:t>
      </w:r>
    </w:p>
    <w:p w14:paraId="024B4766">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）磋商会议结束。</w:t>
      </w:r>
    </w:p>
    <w:p w14:paraId="030B3065">
      <w:pPr>
        <w:keepNext w:val="0"/>
        <w:keepLines w:val="0"/>
        <w:pageBreakBefore w:val="0"/>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bookmarkStart w:id="40" w:name="_Toc421778370"/>
      <w:bookmarkStart w:id="41" w:name="_Toc420591648"/>
      <w:bookmarkStart w:id="42" w:name="_Toc425240469"/>
      <w:r>
        <w:rPr>
          <w:rFonts w:hint="eastAsia" w:ascii="宋体" w:hAnsi="宋体" w:eastAsia="宋体" w:cs="宋体"/>
          <w:b/>
          <w:bCs/>
          <w:sz w:val="24"/>
          <w:szCs w:val="24"/>
          <w:highlight w:val="none"/>
        </w:rPr>
        <w:t>6．</w:t>
      </w:r>
      <w:bookmarkEnd w:id="40"/>
      <w:bookmarkEnd w:id="41"/>
      <w:bookmarkEnd w:id="42"/>
      <w:r>
        <w:rPr>
          <w:rFonts w:hint="eastAsia" w:ascii="宋体" w:hAnsi="宋体" w:eastAsia="宋体" w:cs="宋体"/>
          <w:b/>
          <w:bCs/>
          <w:sz w:val="24"/>
          <w:szCs w:val="24"/>
          <w:highlight w:val="none"/>
        </w:rPr>
        <w:t>评审</w:t>
      </w:r>
    </w:p>
    <w:p w14:paraId="08B59F87">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6.1 磋商小组</w:t>
      </w:r>
    </w:p>
    <w:p w14:paraId="1223602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eastAsia="zh-CN"/>
        </w:rPr>
        <w:t>评审</w:t>
      </w:r>
      <w:r>
        <w:rPr>
          <w:rFonts w:hint="eastAsia" w:ascii="宋体" w:hAnsi="宋体" w:eastAsia="宋体" w:cs="宋体"/>
          <w:sz w:val="24"/>
          <w:szCs w:val="24"/>
          <w:highlight w:val="none"/>
        </w:rPr>
        <w:t>由采购人依法组建的磋商小组负责。</w:t>
      </w:r>
      <w:r>
        <w:rPr>
          <w:rFonts w:hint="eastAsia" w:ascii="宋体" w:hAnsi="宋体" w:eastAsia="宋体" w:cs="宋体"/>
          <w:sz w:val="24"/>
          <w:szCs w:val="24"/>
        </w:rPr>
        <w:t>磋商小组由采购人及有关专家组成，专家比例不少于磋商小组成员总数的三分之二</w:t>
      </w:r>
      <w:r>
        <w:rPr>
          <w:rFonts w:hint="eastAsia" w:ascii="宋体" w:hAnsi="宋体" w:eastAsia="宋体" w:cs="宋体"/>
          <w:sz w:val="24"/>
          <w:szCs w:val="24"/>
          <w:highlight w:val="none"/>
        </w:rPr>
        <w:t>。磋商小组按照竞争性磋商文件规定的评审方法独立进行评审工作。</w:t>
      </w:r>
    </w:p>
    <w:p w14:paraId="032E93AB">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6.2 评审原则</w:t>
      </w:r>
    </w:p>
    <w:p w14:paraId="03F4486A">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评审活动遵循公平、公正、科学和择优的原则。</w:t>
      </w:r>
    </w:p>
    <w:p w14:paraId="17C4B41B">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6.3 评审</w:t>
      </w:r>
    </w:p>
    <w:p w14:paraId="361959E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6.3.1竞争性磋商文件和竞争性磋商响应文件是评审的依据。在评审中，不得改变竞争性磋商文件中规定的评审标准、方法和成交条件。</w:t>
      </w:r>
    </w:p>
    <w:p w14:paraId="329223C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6.3.2在评审期间，对竞争性磋商响应文件中含义不明确、同类问题表述不一致或者有明显文字和计算错误的内容，磋商小组可以书面形式（由磋商小组专家签字）要求</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作出必要的澄清、说明或者纠正。</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的澄清、说明或者补正应当采用书面形式，由其授权的代表签字，并不得超出竞争性磋商响应文件的范围或者改变竞争性磋商响应文件的实质性内容。</w:t>
      </w:r>
    </w:p>
    <w:p w14:paraId="55CEEAD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6.3.3如果</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在澄清规定期限内，未能答复或拒绝答复磋商小组提出的澄清要求，将由磋商小组根据其竞争性磋商响应文件按最大风险进行评审。</w:t>
      </w:r>
    </w:p>
    <w:p w14:paraId="29393CA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6.3.4磋商过程中的实质性变动：</w:t>
      </w:r>
    </w:p>
    <w:p w14:paraId="57DEF255">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6.3.4.1在磋商过程中，磋商小组可以根据竞争性磋商文件和磋商情况在最终报价之前实质性变动采购需求中的技术、服务要求以及合同草案条款，但不得变动竞争性磋商文件中的其他内容。实质性变动的内容，须经采购人代表确认。</w:t>
      </w:r>
    </w:p>
    <w:p w14:paraId="27C89A2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6.3.4.2对竞争性磋商文件做出的实质性变动是竞争性磋商文件的有效组成部分，磋商小组应当及时以书面形式通知所有参加磋商的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w:t>
      </w:r>
    </w:p>
    <w:p w14:paraId="2EAFEB5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6.3.5竞争性磋商响应文件的初审（含资格性检查和符合性检查）。</w:t>
      </w:r>
    </w:p>
    <w:p w14:paraId="0A86F99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6.3.5.1磋商小组将审查竞争性磋商响应文件是否完整、资格证明文件是否齐全</w:t>
      </w:r>
      <w:r>
        <w:rPr>
          <w:rFonts w:hint="eastAsia" w:ascii="宋体" w:hAnsi="宋体" w:eastAsia="宋体" w:cs="宋体"/>
          <w:sz w:val="24"/>
          <w:szCs w:val="24"/>
          <w:highlight w:val="none"/>
          <w:lang w:eastAsia="zh-CN"/>
        </w:rPr>
        <w:t>等</w:t>
      </w:r>
      <w:r>
        <w:rPr>
          <w:rFonts w:hint="eastAsia" w:ascii="宋体" w:hAnsi="宋体" w:eastAsia="宋体" w:cs="宋体"/>
          <w:sz w:val="24"/>
          <w:szCs w:val="24"/>
          <w:highlight w:val="none"/>
        </w:rPr>
        <w:t>。</w:t>
      </w:r>
    </w:p>
    <w:p w14:paraId="73E99FD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6.3.5.2计算错误将按以下方法更正：</w:t>
      </w:r>
    </w:p>
    <w:p w14:paraId="3CC2A227">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（1）竞争性磋商响应文件中磋商报价表(报价表)内容与竞争性磋商响应文件中相应内容不一致的，以磋商报价表(报价表)为准；</w:t>
      </w:r>
    </w:p>
    <w:p w14:paraId="3F413D2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（2）竞争性磋商响应文件的大写金额和小写金额不一致的，以大写金额为准；</w:t>
      </w:r>
    </w:p>
    <w:p w14:paraId="456FAEB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（3）单价金额小数点或者百分比有明显错位的，以竞争性磋商响应的磋商报价表的总价为准，并修改单价；</w:t>
      </w:r>
    </w:p>
    <w:p w14:paraId="69102C8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（4）总价金额与按单价汇总金额不一致的，以单价金额计算结果为准；</w:t>
      </w:r>
    </w:p>
    <w:p w14:paraId="40989870">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按上述修正的顺序和方法调整的报价应对</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具有约束力。如果</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不接受修正后的价格，其响应文件将按无效响应处理。</w:t>
      </w:r>
    </w:p>
    <w:p w14:paraId="25A2BAE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6.3.5.3对于竞争性磋商响应文件中明显的标点符号错误或不构成实质性偏差的不正规、不一致或不规则，采购人可以接受。</w:t>
      </w:r>
    </w:p>
    <w:p w14:paraId="5E476BE1">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6.3.5.4在详细评审之前，根据本须知第6.3.5.5条的规定，磋商小组要审查每份竞争性磋商响应文件是否实质上响应了竞争性磋商文件的要求。实质上响应的磋商应该是与竞争性磋商文件要求的全部条款、条件和规格参数相符，没有重大偏离的磋商。对关键条文的偏离、保留或反对将被认为是实质上的偏离。磋商小组决定磋商的响应性只根据竞争性磋商响应文件本身的内容，而不寻求外部的证据。</w:t>
      </w:r>
    </w:p>
    <w:p w14:paraId="053DBE4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6.3.5.5实质上没有响应竞争性磋商文件要求的磋商将被拒绝。</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不得通过修正或撤销不合要求的偏离从而使其磋商成为实质性响应的磋商。如发现下列情况之一的，其磋商将构成非实质性响应，</w:t>
      </w:r>
      <w:r>
        <w:rPr>
          <w:rFonts w:hint="eastAsia" w:ascii="宋体" w:hAnsi="宋体" w:eastAsia="宋体" w:cs="宋体"/>
          <w:b/>
          <w:bCs/>
          <w:sz w:val="24"/>
          <w:szCs w:val="24"/>
          <w:highlight w:val="none"/>
          <w:u w:val="none"/>
        </w:rPr>
        <w:t>按无效磋商处理：</w:t>
      </w:r>
    </w:p>
    <w:p w14:paraId="030CAADF">
      <w:pPr>
        <w:keepNext w:val="0"/>
        <w:keepLines w:val="0"/>
        <w:pageBreakBefore w:val="0"/>
        <w:shd w:val="clear"/>
        <w:tabs>
          <w:tab w:val="left" w:pos="1260"/>
        </w:tabs>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1）没有按照竞争性磋商文件要求提供的竞争性磋商响应文件或竞争性磋商响应文件构成有重大缺项；</w:t>
      </w:r>
    </w:p>
    <w:p w14:paraId="29FD91C8">
      <w:pPr>
        <w:keepNext w:val="0"/>
        <w:keepLines w:val="0"/>
        <w:pageBreakBefore w:val="0"/>
        <w:shd w:val="clear"/>
        <w:tabs>
          <w:tab w:val="left" w:pos="1260"/>
        </w:tabs>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）资格证明文件不全的或无效的，或不符合国家规定的；</w:t>
      </w:r>
    </w:p>
    <w:p w14:paraId="78409521">
      <w:pPr>
        <w:keepNext w:val="0"/>
        <w:keepLines w:val="0"/>
        <w:pageBreakBefore w:val="0"/>
        <w:shd w:val="clear"/>
        <w:tabs>
          <w:tab w:val="left" w:pos="1260"/>
        </w:tabs>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pacing w:val="-6"/>
          <w:sz w:val="24"/>
          <w:szCs w:val="24"/>
        </w:rPr>
        <w:t>无磋商有效期或有效期达不到竞争性磋商文件要求的</w:t>
      </w:r>
      <w:r>
        <w:rPr>
          <w:rFonts w:hint="eastAsia" w:ascii="宋体" w:hAnsi="宋体" w:eastAsia="宋体" w:cs="宋体"/>
          <w:color w:val="auto"/>
          <w:sz w:val="24"/>
          <w:szCs w:val="24"/>
        </w:rPr>
        <w:t>；</w:t>
      </w:r>
    </w:p>
    <w:p w14:paraId="3F788DA0">
      <w:pPr>
        <w:keepNext w:val="0"/>
        <w:keepLines w:val="0"/>
        <w:pageBreakBefore w:val="0"/>
        <w:shd w:val="clear"/>
        <w:tabs>
          <w:tab w:val="left" w:pos="1260"/>
        </w:tabs>
        <w:kinsoku/>
        <w:wordWrap/>
        <w:overflowPunct/>
        <w:topLinePunct w:val="0"/>
        <w:bidi w:val="0"/>
        <w:snapToGrid/>
        <w:spacing w:line="36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投标供应商</w:t>
      </w:r>
      <w:r>
        <w:rPr>
          <w:rFonts w:hint="eastAsia" w:ascii="宋体" w:hAnsi="宋体" w:eastAsia="宋体" w:cs="宋体"/>
          <w:color w:val="auto"/>
          <w:sz w:val="24"/>
          <w:szCs w:val="24"/>
        </w:rPr>
        <w:t>有串通磋商、以他人名义磋商、行贿、提供虚假证明（包括第三方提供的虚假证明），开具虚假资质，出现虚假应答的，除按无效文件处理外，还将按照政府采购的有关规定进行处罚；</w:t>
      </w:r>
    </w:p>
    <w:p w14:paraId="730AFDC3">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5</w:t>
      </w:r>
      <w:r>
        <w:rPr>
          <w:rFonts w:hint="eastAsia" w:ascii="宋体" w:hAnsi="宋体" w:eastAsia="宋体" w:cs="宋体"/>
          <w:b/>
          <w:bCs/>
          <w:color w:val="auto"/>
          <w:sz w:val="24"/>
          <w:szCs w:val="24"/>
        </w:rPr>
        <w:t>）磋商总报价超过竞争性磋商文件公布的</w:t>
      </w:r>
      <w:r>
        <w:rPr>
          <w:rFonts w:hint="eastAsia" w:ascii="宋体" w:hAnsi="宋体" w:eastAsia="宋体" w:cs="宋体"/>
          <w:b/>
          <w:bCs/>
          <w:color w:val="auto"/>
          <w:sz w:val="24"/>
          <w:szCs w:val="24"/>
          <w:lang w:eastAsia="zh-CN"/>
        </w:rPr>
        <w:t>项目最高限价</w:t>
      </w:r>
      <w:r>
        <w:rPr>
          <w:rFonts w:hint="eastAsia" w:ascii="宋体" w:hAnsi="宋体" w:eastAsia="宋体" w:cs="宋体"/>
          <w:b/>
          <w:bCs/>
          <w:color w:val="auto"/>
          <w:sz w:val="24"/>
          <w:szCs w:val="24"/>
        </w:rPr>
        <w:t>的</w:t>
      </w:r>
      <w:r>
        <w:rPr>
          <w:rFonts w:hint="eastAsia" w:ascii="宋体" w:hAnsi="宋体" w:eastAsia="宋体" w:cs="宋体"/>
          <w:b/>
          <w:bCs/>
          <w:color w:val="auto"/>
          <w:sz w:val="24"/>
          <w:szCs w:val="24"/>
          <w:lang w:eastAsia="zh-CN"/>
        </w:rPr>
        <w:t>；</w:t>
      </w:r>
    </w:p>
    <w:p w14:paraId="630FAFBD">
      <w:pPr>
        <w:pStyle w:val="33"/>
        <w:keepNext w:val="0"/>
        <w:keepLines w:val="0"/>
        <w:pageBreakBefore w:val="0"/>
        <w:shd w:val="clear"/>
        <w:kinsoku/>
        <w:wordWrap/>
        <w:overflowPunct/>
        <w:topLinePunct w:val="0"/>
        <w:bidi w:val="0"/>
        <w:snapToGrid/>
        <w:spacing w:before="0" w:beforeAutospacing="0" w:after="0" w:afterAutospacing="0" w:line="360" w:lineRule="auto"/>
        <w:ind w:firstLine="480" w:firstLineChars="200"/>
        <w:jc w:val="both"/>
        <w:textAlignment w:val="auto"/>
        <w:rPr>
          <w:rFonts w:hint="eastAsia" w:ascii="宋体" w:hAnsi="宋体" w:eastAsia="宋体" w:cs="宋体"/>
          <w:color w:val="auto"/>
        </w:rPr>
      </w:pPr>
      <w:r>
        <w:rPr>
          <w:rFonts w:hint="eastAsia" w:ascii="宋体" w:hAnsi="宋体" w:eastAsia="宋体" w:cs="宋体"/>
          <w:color w:val="auto"/>
          <w:lang w:val="en-US" w:eastAsia="zh-CN"/>
        </w:rPr>
        <w:t>6</w:t>
      </w:r>
      <w:r>
        <w:rPr>
          <w:rFonts w:hint="eastAsia" w:ascii="宋体" w:hAnsi="宋体" w:eastAsia="宋体" w:cs="宋体"/>
          <w:color w:val="auto"/>
        </w:rPr>
        <w:t>）竞争性磋商响应文件含有</w:t>
      </w:r>
      <w:r>
        <w:rPr>
          <w:rFonts w:hint="eastAsia" w:ascii="宋体" w:hAnsi="宋体" w:eastAsia="宋体" w:cs="宋体"/>
          <w:color w:val="auto"/>
          <w:lang w:eastAsia="zh-CN"/>
        </w:rPr>
        <w:t>采购人</w:t>
      </w:r>
      <w:r>
        <w:rPr>
          <w:rFonts w:hint="eastAsia" w:ascii="宋体" w:hAnsi="宋体" w:eastAsia="宋体" w:cs="宋体"/>
          <w:color w:val="auto"/>
        </w:rPr>
        <w:t>不能接受的附加条件的；</w:t>
      </w:r>
    </w:p>
    <w:p w14:paraId="2F762FC1">
      <w:pPr>
        <w:pStyle w:val="33"/>
        <w:keepNext w:val="0"/>
        <w:keepLines w:val="0"/>
        <w:pageBreakBefore w:val="0"/>
        <w:shd w:val="clear"/>
        <w:kinsoku/>
        <w:wordWrap/>
        <w:overflowPunct/>
        <w:topLinePunct w:val="0"/>
        <w:bidi w:val="0"/>
        <w:snapToGrid/>
        <w:spacing w:before="0" w:beforeAutospacing="0" w:after="0" w:afterAutospacing="0" w:line="360" w:lineRule="auto"/>
        <w:ind w:firstLine="480" w:firstLineChars="200"/>
        <w:jc w:val="both"/>
        <w:textAlignment w:val="auto"/>
        <w:rPr>
          <w:rFonts w:hint="eastAsia" w:ascii="宋体" w:hAnsi="宋体" w:eastAsia="宋体" w:cs="宋体"/>
          <w:color w:val="auto"/>
        </w:rPr>
      </w:pPr>
      <w:r>
        <w:rPr>
          <w:rFonts w:hint="eastAsia" w:ascii="宋体" w:hAnsi="宋体" w:eastAsia="宋体" w:cs="宋体"/>
          <w:color w:val="auto"/>
          <w:lang w:val="en-US" w:eastAsia="zh-CN"/>
        </w:rPr>
        <w:t>7</w:t>
      </w:r>
      <w:r>
        <w:rPr>
          <w:rFonts w:hint="eastAsia" w:ascii="宋体" w:hAnsi="宋体" w:eastAsia="宋体" w:cs="宋体"/>
          <w:color w:val="auto"/>
        </w:rPr>
        <w:t>）</w:t>
      </w:r>
      <w:r>
        <w:rPr>
          <w:rFonts w:hint="eastAsia" w:ascii="宋体" w:hAnsi="宋体" w:eastAsia="宋体" w:cs="宋体"/>
          <w:color w:val="auto"/>
          <w:lang w:eastAsia="zh-CN"/>
        </w:rPr>
        <w:t>投标供应商</w:t>
      </w:r>
      <w:r>
        <w:rPr>
          <w:rFonts w:hint="eastAsia" w:ascii="宋体" w:hAnsi="宋体" w:eastAsia="宋体" w:cs="宋体"/>
          <w:color w:val="auto"/>
        </w:rPr>
        <w:t>被列入失信被执行人、重大税收违法案件当事人名单、政府采购严重违法失信行为记录名单的；</w:t>
      </w:r>
    </w:p>
    <w:p w14:paraId="46706A65">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）法律、法规规定的其他无效情形。</w:t>
      </w:r>
    </w:p>
    <w:p w14:paraId="5CD060D4">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6.3.6竞争性磋商响应文件的详细评审</w:t>
      </w:r>
    </w:p>
    <w:p w14:paraId="13808977">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6.3.6.1磋商小组将按照本须知第6.3.5.5条规定，只对确定为实质性响应竞争性磋商文件要求的竞争性磋商响应文件进行详细评审。</w:t>
      </w:r>
    </w:p>
    <w:p w14:paraId="682DBA6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6.3.6.2详细评审按照“</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须知前附表”的评审方法进行。</w:t>
      </w:r>
    </w:p>
    <w:p w14:paraId="01A7640A">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6.3.7成交候选人的确定</w:t>
      </w:r>
    </w:p>
    <w:p w14:paraId="5B64877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磋商小组完成评审后，向采购人提出书面评审，并推荐1-3名成交候选人，标明排列顺序。</w:t>
      </w:r>
    </w:p>
    <w:p w14:paraId="665F90D2">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6.3.8评审过程的保密</w:t>
      </w:r>
    </w:p>
    <w:p w14:paraId="1741923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bookmarkStart w:id="43" w:name="_Toc420591649"/>
      <w:bookmarkStart w:id="44" w:name="_Toc425240470"/>
      <w:bookmarkStart w:id="45" w:name="_Toc421778371"/>
      <w:r>
        <w:rPr>
          <w:rFonts w:hint="eastAsia" w:ascii="宋体" w:hAnsi="宋体" w:eastAsia="宋体" w:cs="宋体"/>
          <w:sz w:val="24"/>
          <w:szCs w:val="24"/>
          <w:highlight w:val="none"/>
        </w:rPr>
        <w:t>磋商小组成员和与评审活动有关的工作人员不得泄露有关竞争性磋商响应文件的评审和比较、成交候选人的推荐以及与评审有关的其他情况。</w:t>
      </w:r>
    </w:p>
    <w:p w14:paraId="7C65573E">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6.3.9评审程序</w:t>
      </w:r>
    </w:p>
    <w:p w14:paraId="56D715F8">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按照竞争性磋商响应文件初审、澄清有关问题、分别磋商、二次报价、比较与评审、推荐成交候选人名单的工作程序进行评审。在上一步评审中被认定为无效磋商者，不进入下一步的评审。</w:t>
      </w:r>
    </w:p>
    <w:p w14:paraId="3CEE53A8">
      <w:pPr>
        <w:keepNext w:val="0"/>
        <w:keepLines w:val="0"/>
        <w:pageBreakBefore w:val="0"/>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7．合同授予</w:t>
      </w:r>
      <w:bookmarkEnd w:id="43"/>
      <w:bookmarkEnd w:id="44"/>
      <w:bookmarkEnd w:id="45"/>
    </w:p>
    <w:p w14:paraId="320A546C">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7.1 定标方式</w:t>
      </w:r>
    </w:p>
    <w:p w14:paraId="1C3932B2">
      <w:pPr>
        <w:keepNext w:val="0"/>
        <w:keepLines w:val="0"/>
        <w:pageBreakBefore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7.1.</w:t>
      </w:r>
      <w:r>
        <w:rPr>
          <w:rFonts w:hint="eastAsia" w:ascii="宋体" w:hAnsi="宋体" w:eastAsia="宋体" w:cs="宋体"/>
          <w:sz w:val="24"/>
          <w:szCs w:val="24"/>
          <w:highlight w:val="none"/>
          <w:lang w:val="zh-CN"/>
        </w:rPr>
        <w:t>1</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zh-CN"/>
        </w:rPr>
        <w:t>采购代理机构应在评标结束后二个工作日内，将评标报告送采购人定标。</w:t>
      </w:r>
    </w:p>
    <w:p w14:paraId="277AEB05">
      <w:pPr>
        <w:keepNext w:val="0"/>
        <w:keepLines w:val="0"/>
        <w:pageBreakBefore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7.1.</w:t>
      </w:r>
      <w:r>
        <w:rPr>
          <w:rFonts w:hint="eastAsia" w:ascii="宋体" w:hAnsi="宋体" w:eastAsia="宋体" w:cs="宋体"/>
          <w:sz w:val="24"/>
          <w:szCs w:val="24"/>
          <w:highlight w:val="none"/>
          <w:lang w:val="zh-CN"/>
        </w:rPr>
        <w:t>2</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zh-CN"/>
        </w:rPr>
        <w:t>采购人在收到评标报告后五个工作日内，根据评标报告对评标过程及结果进行严格审核后确定成交投标供应商，复函采购代理机构。</w:t>
      </w:r>
    </w:p>
    <w:p w14:paraId="36A215C9">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7.2 成交通知</w:t>
      </w:r>
    </w:p>
    <w:p w14:paraId="57B187E9">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7.2.1采购代理机构在接到采购人的“定标复函”后，在指定的媒体上公告成交结果，公告期限为</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个工作日，并向成交</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发“成交通知书”。</w:t>
      </w:r>
    </w:p>
    <w:p w14:paraId="4A920E6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7.2.2成交通知书对采购人和成交单位具有同等法律效力。成交通知书发出之后，采购人改变中标结果，或者成交单位放弃中标，应当承担相应的法律责任。</w:t>
      </w:r>
    </w:p>
    <w:p w14:paraId="6BFBAEAE">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7.3 签订合同</w:t>
      </w:r>
    </w:p>
    <w:p w14:paraId="32F2009C">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7.3.1采购人应当自成交通知书发出之日起</w:t>
      </w:r>
      <w:r>
        <w:rPr>
          <w:rFonts w:hint="eastAsia" w:ascii="宋体" w:hAnsi="宋体" w:eastAsia="宋体" w:cs="宋体"/>
          <w:sz w:val="24"/>
          <w:szCs w:val="24"/>
          <w:highlight w:val="none"/>
          <w:lang w:val="en-US" w:eastAsia="zh-CN"/>
        </w:rPr>
        <w:t>二十五</w:t>
      </w:r>
      <w:r>
        <w:rPr>
          <w:rFonts w:hint="eastAsia" w:ascii="宋体" w:hAnsi="宋体" w:eastAsia="宋体" w:cs="宋体"/>
          <w:sz w:val="24"/>
          <w:szCs w:val="24"/>
          <w:highlight w:val="none"/>
        </w:rPr>
        <w:t>内，按照竞争性磋商文件和成交单位竞争性磋商响应文件（包括评审中形成的澄清文件）的约定，与成交单位签订书面合同。所签订的合同不得对竞争性磋商文件和成交单位的竞争性磋商响应文件（包括评审中形成的澄清文件）作实质性修改。</w:t>
      </w:r>
    </w:p>
    <w:p w14:paraId="7E79A08D">
      <w:pPr>
        <w:keepNext w:val="0"/>
        <w:keepLines w:val="0"/>
        <w:pageBreakBefore w:val="0"/>
        <w:shd w:val="clear"/>
        <w:kinsoku/>
        <w:wordWrap/>
        <w:overflowPunct/>
        <w:topLinePunct w:val="0"/>
        <w:bidi w:val="0"/>
        <w:snapToGrid/>
        <w:spacing w:before="156" w:beforeLines="50" w:after="156" w:afterLines="50" w:line="360" w:lineRule="auto"/>
        <w:textAlignment w:val="auto"/>
        <w:rPr>
          <w:rFonts w:hint="eastAsia" w:ascii="宋体" w:hAnsi="宋体" w:eastAsia="宋体" w:cs="宋体"/>
          <w:b/>
          <w:bCs/>
          <w:sz w:val="24"/>
          <w:szCs w:val="24"/>
          <w:highlight w:val="none"/>
        </w:rPr>
      </w:pPr>
      <w:bookmarkStart w:id="46" w:name="_Toc425240473"/>
      <w:bookmarkStart w:id="47" w:name="_Toc420591652"/>
      <w:bookmarkStart w:id="48" w:name="_Toc421778374"/>
      <w:r>
        <w:rPr>
          <w:rFonts w:hint="eastAsia" w:ascii="宋体" w:hAnsi="宋体" w:eastAsia="宋体" w:cs="宋体"/>
          <w:b/>
          <w:bCs/>
          <w:sz w:val="24"/>
          <w:szCs w:val="24"/>
          <w:highlight w:val="none"/>
        </w:rPr>
        <w:t>8、需要补充的其他内容：</w:t>
      </w:r>
      <w:bookmarkStart w:id="49" w:name="_Toc356305901"/>
      <w:r>
        <w:rPr>
          <w:rFonts w:hint="eastAsia" w:ascii="宋体" w:hAnsi="宋体" w:eastAsia="宋体" w:cs="宋体"/>
          <w:b/>
          <w:bCs/>
          <w:sz w:val="24"/>
          <w:szCs w:val="24"/>
          <w:highlight w:val="none"/>
        </w:rPr>
        <w:t>详见</w:t>
      </w:r>
      <w:r>
        <w:rPr>
          <w:rFonts w:hint="eastAsia" w:ascii="宋体" w:hAnsi="宋体" w:eastAsia="宋体" w:cs="宋体"/>
          <w:b/>
          <w:bCs/>
          <w:sz w:val="24"/>
          <w:szCs w:val="24"/>
          <w:highlight w:val="none"/>
          <w:lang w:eastAsia="zh-CN"/>
        </w:rPr>
        <w:t>投标供应商</w:t>
      </w:r>
      <w:r>
        <w:rPr>
          <w:rFonts w:hint="eastAsia" w:ascii="宋体" w:hAnsi="宋体" w:eastAsia="宋体" w:cs="宋体"/>
          <w:b/>
          <w:bCs/>
          <w:sz w:val="24"/>
          <w:szCs w:val="24"/>
          <w:highlight w:val="none"/>
        </w:rPr>
        <w:t>须知前附表</w:t>
      </w:r>
      <w:bookmarkEnd w:id="49"/>
      <w:r>
        <w:rPr>
          <w:rFonts w:hint="eastAsia" w:ascii="宋体" w:hAnsi="宋体" w:eastAsia="宋体" w:cs="宋体"/>
          <w:b/>
          <w:bCs/>
          <w:sz w:val="24"/>
          <w:szCs w:val="24"/>
          <w:highlight w:val="none"/>
        </w:rPr>
        <w:t>。</w:t>
      </w:r>
      <w:bookmarkEnd w:id="46"/>
      <w:bookmarkEnd w:id="47"/>
      <w:bookmarkEnd w:id="48"/>
    </w:p>
    <w:p w14:paraId="1E63C987">
      <w:pPr>
        <w:keepNext w:val="0"/>
        <w:keepLines w:val="0"/>
        <w:pageBreakBefore w:val="0"/>
        <w:shd w:val="clear"/>
        <w:kinsoku/>
        <w:wordWrap/>
        <w:overflowPunct/>
        <w:topLinePunct w:val="0"/>
        <w:bidi w:val="0"/>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9、质疑</w:t>
      </w:r>
    </w:p>
    <w:p w14:paraId="7FCF0B99">
      <w:pPr>
        <w:keepNext w:val="0"/>
        <w:keepLines w:val="0"/>
        <w:pageBreakBefore w:val="0"/>
        <w:shd w:val="clear"/>
        <w:kinsoku/>
        <w:wordWrap/>
        <w:overflowPunct/>
        <w:topLinePunct w:val="0"/>
        <w:bidi w:val="0"/>
        <w:snapToGrid/>
        <w:spacing w:line="360" w:lineRule="auto"/>
        <w:ind w:right="12" w:firstLine="480"/>
        <w:textAlignment w:val="auto"/>
        <w:rPr>
          <w:rFonts w:hint="eastAsia" w:ascii="宋体" w:hAnsi="宋体" w:eastAsia="宋体" w:cs="宋体"/>
          <w:sz w:val="24"/>
          <w:szCs w:val="24"/>
          <w:highlight w:val="none"/>
        </w:rPr>
      </w:pPr>
      <w:bookmarkStart w:id="50" w:name="_Toc421778376"/>
      <w:r>
        <w:rPr>
          <w:rFonts w:hint="eastAsia" w:ascii="宋体" w:hAnsi="宋体" w:eastAsia="宋体" w:cs="宋体"/>
          <w:sz w:val="24"/>
          <w:szCs w:val="24"/>
          <w:highlight w:val="none"/>
        </w:rPr>
        <w:t>9.1</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认为磋商文件、采购过程、成交结果使自己的权益受到损害的，可以在知道或者应知其权益受到损害之日起7个工作日内，以书面形式向采购人、采购代理机构提出质疑。</w:t>
      </w:r>
    </w:p>
    <w:p w14:paraId="0C351314">
      <w:pPr>
        <w:keepNext w:val="0"/>
        <w:keepLines w:val="0"/>
        <w:pageBreakBefore w:val="0"/>
        <w:shd w:val="clear"/>
        <w:kinsoku/>
        <w:wordWrap/>
        <w:overflowPunct/>
        <w:topLinePunct w:val="0"/>
        <w:bidi w:val="0"/>
        <w:snapToGrid/>
        <w:spacing w:line="360" w:lineRule="auto"/>
        <w:ind w:right="12" w:firstLine="48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9.2</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必须在法定质疑期内一次性提出针对同一采购程序环节的质疑。</w:t>
      </w:r>
    </w:p>
    <w:p w14:paraId="21B4A44E">
      <w:pPr>
        <w:keepNext w:val="0"/>
        <w:keepLines w:val="0"/>
        <w:pageBreakBefore w:val="0"/>
        <w:shd w:val="clear"/>
        <w:kinsoku/>
        <w:wordWrap/>
        <w:overflowPunct/>
        <w:topLinePunct w:val="0"/>
        <w:bidi w:val="0"/>
        <w:snapToGrid/>
        <w:spacing w:line="360" w:lineRule="auto"/>
        <w:ind w:right="12" w:firstLine="480"/>
        <w:textAlignment w:val="auto"/>
        <w:rPr>
          <w:rStyle w:val="40"/>
          <w:rFonts w:hint="eastAsia" w:ascii="宋体" w:hAnsi="宋体" w:eastAsia="宋体" w:cs="宋体"/>
          <w:b w:val="0"/>
          <w:sz w:val="24"/>
          <w:szCs w:val="24"/>
          <w:highlight w:val="none"/>
          <w:shd w:val="clear" w:color="auto" w:fill="FFFFFF"/>
        </w:rPr>
      </w:pPr>
      <w:r>
        <w:rPr>
          <w:rFonts w:hint="eastAsia" w:ascii="宋体" w:hAnsi="宋体" w:eastAsia="宋体" w:cs="宋体"/>
          <w:sz w:val="24"/>
          <w:szCs w:val="24"/>
          <w:highlight w:val="none"/>
        </w:rPr>
        <w:t>9</w:t>
      </w:r>
      <w:r>
        <w:rPr>
          <w:rStyle w:val="40"/>
          <w:rFonts w:hint="eastAsia" w:ascii="宋体" w:hAnsi="宋体" w:eastAsia="宋体" w:cs="宋体"/>
          <w:b w:val="0"/>
          <w:sz w:val="24"/>
          <w:szCs w:val="24"/>
          <w:highlight w:val="none"/>
          <w:shd w:val="clear" w:color="auto" w:fill="FFFFFF"/>
        </w:rPr>
        <w:t>.3</w:t>
      </w:r>
      <w:r>
        <w:rPr>
          <w:rStyle w:val="40"/>
          <w:rFonts w:hint="eastAsia" w:ascii="宋体" w:hAnsi="宋体" w:eastAsia="宋体" w:cs="宋体"/>
          <w:b w:val="0"/>
          <w:sz w:val="24"/>
          <w:szCs w:val="24"/>
          <w:highlight w:val="none"/>
          <w:shd w:val="clear" w:color="auto" w:fill="FFFFFF"/>
          <w:lang w:eastAsia="zh-CN"/>
        </w:rPr>
        <w:t>投标供应商</w:t>
      </w:r>
      <w:r>
        <w:rPr>
          <w:rStyle w:val="40"/>
          <w:rFonts w:hint="eastAsia" w:ascii="宋体" w:hAnsi="宋体" w:eastAsia="宋体" w:cs="宋体"/>
          <w:b w:val="0"/>
          <w:sz w:val="24"/>
          <w:szCs w:val="24"/>
          <w:highlight w:val="none"/>
          <w:shd w:val="clear" w:color="auto" w:fill="FFFFFF"/>
        </w:rPr>
        <w:t>可以委托代理人进行质疑。代理人提出质疑的，应当提交授权委托书。授权委托书应当载明代理人的姓名或者名称、代理事项、具体权限、期限和相关事项。</w:t>
      </w:r>
      <w:r>
        <w:rPr>
          <w:rStyle w:val="40"/>
          <w:rFonts w:hint="eastAsia" w:ascii="宋体" w:hAnsi="宋体" w:eastAsia="宋体" w:cs="宋体"/>
          <w:b w:val="0"/>
          <w:sz w:val="24"/>
          <w:szCs w:val="24"/>
          <w:highlight w:val="none"/>
          <w:shd w:val="clear" w:color="auto" w:fill="FFFFFF"/>
          <w:lang w:eastAsia="zh-CN"/>
        </w:rPr>
        <w:t>投标供应商</w:t>
      </w:r>
      <w:r>
        <w:rPr>
          <w:rStyle w:val="40"/>
          <w:rFonts w:hint="eastAsia" w:ascii="宋体" w:hAnsi="宋体" w:eastAsia="宋体" w:cs="宋体"/>
          <w:b w:val="0"/>
          <w:sz w:val="24"/>
          <w:szCs w:val="24"/>
          <w:highlight w:val="none"/>
          <w:shd w:val="clear" w:color="auto" w:fill="FFFFFF"/>
        </w:rPr>
        <w:t>为自然人的，应当由本人签字；</w:t>
      </w:r>
      <w:r>
        <w:rPr>
          <w:rStyle w:val="40"/>
          <w:rFonts w:hint="eastAsia" w:ascii="宋体" w:hAnsi="宋体" w:eastAsia="宋体" w:cs="宋体"/>
          <w:b w:val="0"/>
          <w:sz w:val="24"/>
          <w:szCs w:val="24"/>
          <w:highlight w:val="none"/>
          <w:shd w:val="clear" w:color="auto" w:fill="FFFFFF"/>
          <w:lang w:eastAsia="zh-CN"/>
        </w:rPr>
        <w:t>投标供应商</w:t>
      </w:r>
      <w:r>
        <w:rPr>
          <w:rStyle w:val="40"/>
          <w:rFonts w:hint="eastAsia" w:ascii="宋体" w:hAnsi="宋体" w:eastAsia="宋体" w:cs="宋体"/>
          <w:b w:val="0"/>
          <w:sz w:val="24"/>
          <w:szCs w:val="24"/>
          <w:highlight w:val="none"/>
          <w:shd w:val="clear" w:color="auto" w:fill="FFFFFF"/>
        </w:rPr>
        <w:t>为法人或者其他组织的，应当由法定代表人、主要负责人签字或者盖章，并加盖公章。</w:t>
      </w:r>
    </w:p>
    <w:p w14:paraId="08AE84B5">
      <w:pPr>
        <w:keepNext w:val="0"/>
        <w:keepLines w:val="0"/>
        <w:pageBreakBefore w:val="0"/>
        <w:shd w:val="clear"/>
        <w:kinsoku/>
        <w:wordWrap/>
        <w:overflowPunct/>
        <w:topLinePunct w:val="0"/>
        <w:bidi w:val="0"/>
        <w:snapToGrid/>
        <w:spacing w:line="360" w:lineRule="auto"/>
        <w:ind w:left="3" w:firstLine="518" w:firstLineChars="216"/>
        <w:textAlignment w:val="auto"/>
        <w:rPr>
          <w:rStyle w:val="40"/>
          <w:rFonts w:hint="eastAsia" w:ascii="宋体" w:hAnsi="宋体" w:eastAsia="宋体" w:cs="宋体"/>
          <w:b w:val="0"/>
          <w:sz w:val="24"/>
          <w:szCs w:val="24"/>
          <w:highlight w:val="none"/>
          <w:shd w:val="clear" w:color="auto" w:fill="FFFFFF"/>
        </w:rPr>
      </w:pPr>
      <w:r>
        <w:rPr>
          <w:rFonts w:hint="eastAsia" w:ascii="宋体" w:hAnsi="宋体" w:eastAsia="宋体" w:cs="宋体"/>
          <w:sz w:val="24"/>
          <w:szCs w:val="24"/>
          <w:highlight w:val="none"/>
        </w:rPr>
        <w:t>9</w:t>
      </w:r>
      <w:r>
        <w:rPr>
          <w:rStyle w:val="40"/>
          <w:rFonts w:hint="eastAsia" w:ascii="宋体" w:hAnsi="宋体" w:eastAsia="宋体" w:cs="宋体"/>
          <w:b w:val="0"/>
          <w:sz w:val="24"/>
          <w:szCs w:val="24"/>
          <w:highlight w:val="none"/>
          <w:shd w:val="clear" w:color="auto" w:fill="FFFFFF"/>
        </w:rPr>
        <w:t>.4以联合体形式参加采购活动的，其质疑应当由组成联合体的所有</w:t>
      </w:r>
      <w:r>
        <w:rPr>
          <w:rStyle w:val="40"/>
          <w:rFonts w:hint="eastAsia" w:ascii="宋体" w:hAnsi="宋体" w:eastAsia="宋体" w:cs="宋体"/>
          <w:b w:val="0"/>
          <w:sz w:val="24"/>
          <w:szCs w:val="24"/>
          <w:highlight w:val="none"/>
          <w:shd w:val="clear" w:color="auto" w:fill="FFFFFF"/>
          <w:lang w:eastAsia="zh-CN"/>
        </w:rPr>
        <w:t>投标供应商</w:t>
      </w:r>
      <w:r>
        <w:rPr>
          <w:rStyle w:val="40"/>
          <w:rFonts w:hint="eastAsia" w:ascii="宋体" w:hAnsi="宋体" w:eastAsia="宋体" w:cs="宋体"/>
          <w:b w:val="0"/>
          <w:sz w:val="24"/>
          <w:szCs w:val="24"/>
          <w:highlight w:val="none"/>
          <w:shd w:val="clear" w:color="auto" w:fill="FFFFFF"/>
        </w:rPr>
        <w:t>共同提出。</w:t>
      </w:r>
    </w:p>
    <w:p w14:paraId="7B715F3D">
      <w:pPr>
        <w:keepNext w:val="0"/>
        <w:keepLines w:val="0"/>
        <w:pageBreakBefore w:val="0"/>
        <w:shd w:val="clear"/>
        <w:kinsoku/>
        <w:wordWrap/>
        <w:overflowPunct/>
        <w:topLinePunct w:val="0"/>
        <w:bidi w:val="0"/>
        <w:snapToGrid/>
        <w:spacing w:line="360" w:lineRule="auto"/>
        <w:ind w:right="1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9.5</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提出质疑应当提交质疑函和必要的证明材料。质疑函应当包括下列内容：</w:t>
      </w:r>
    </w:p>
    <w:p w14:paraId="6E36D5A4">
      <w:pPr>
        <w:keepNext w:val="0"/>
        <w:keepLines w:val="0"/>
        <w:pageBreakBefore w:val="0"/>
        <w:shd w:val="clear"/>
        <w:kinsoku/>
        <w:wordWrap/>
        <w:overflowPunct/>
        <w:topLinePunct w:val="0"/>
        <w:bidi w:val="0"/>
        <w:snapToGrid/>
        <w:spacing w:line="360" w:lineRule="auto"/>
        <w:ind w:right="1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9.5.1</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的姓名或者名称、地址、邮编、联系人及联系电话；</w:t>
      </w:r>
    </w:p>
    <w:p w14:paraId="3988487D">
      <w:pPr>
        <w:keepNext w:val="0"/>
        <w:keepLines w:val="0"/>
        <w:pageBreakBefore w:val="0"/>
        <w:shd w:val="clear"/>
        <w:kinsoku/>
        <w:wordWrap/>
        <w:overflowPunct/>
        <w:topLinePunct w:val="0"/>
        <w:bidi w:val="0"/>
        <w:snapToGrid/>
        <w:spacing w:line="360" w:lineRule="auto"/>
        <w:ind w:right="1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9.5.2质疑项目的名称、编号；</w:t>
      </w:r>
    </w:p>
    <w:p w14:paraId="02E95E67">
      <w:pPr>
        <w:keepNext w:val="0"/>
        <w:keepLines w:val="0"/>
        <w:pageBreakBefore w:val="0"/>
        <w:shd w:val="clear"/>
        <w:kinsoku/>
        <w:wordWrap/>
        <w:overflowPunct/>
        <w:topLinePunct w:val="0"/>
        <w:bidi w:val="0"/>
        <w:snapToGrid/>
        <w:spacing w:line="360" w:lineRule="auto"/>
        <w:ind w:right="1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9.5.3具体、明确的质疑事项和与质疑事项相关的请求；</w:t>
      </w:r>
    </w:p>
    <w:p w14:paraId="54EA317D">
      <w:pPr>
        <w:keepNext w:val="0"/>
        <w:keepLines w:val="0"/>
        <w:pageBreakBefore w:val="0"/>
        <w:shd w:val="clear"/>
        <w:kinsoku/>
        <w:wordWrap/>
        <w:overflowPunct/>
        <w:topLinePunct w:val="0"/>
        <w:bidi w:val="0"/>
        <w:snapToGrid/>
        <w:spacing w:line="360" w:lineRule="auto"/>
        <w:ind w:right="1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9.5.4事实依据；</w:t>
      </w:r>
    </w:p>
    <w:p w14:paraId="482B07F1">
      <w:pPr>
        <w:keepNext w:val="0"/>
        <w:keepLines w:val="0"/>
        <w:pageBreakBefore w:val="0"/>
        <w:shd w:val="clear"/>
        <w:kinsoku/>
        <w:wordWrap/>
        <w:overflowPunct/>
        <w:topLinePunct w:val="0"/>
        <w:bidi w:val="0"/>
        <w:snapToGrid/>
        <w:spacing w:line="360" w:lineRule="auto"/>
        <w:ind w:right="12"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9.5.5必要的法律依据；</w:t>
      </w:r>
    </w:p>
    <w:p w14:paraId="69306FB4">
      <w:pPr>
        <w:keepNext w:val="0"/>
        <w:keepLines w:val="0"/>
        <w:pageBreakBefore w:val="0"/>
        <w:shd w:val="clear"/>
        <w:kinsoku/>
        <w:wordWrap/>
        <w:overflowPunct/>
        <w:topLinePunct w:val="0"/>
        <w:bidi w:val="0"/>
        <w:snapToGrid/>
        <w:spacing w:line="360" w:lineRule="auto"/>
        <w:ind w:right="12" w:firstLine="480" w:firstLineChars="200"/>
        <w:textAlignment w:val="auto"/>
        <w:rPr>
          <w:rStyle w:val="40"/>
          <w:rFonts w:hint="eastAsia" w:ascii="宋体" w:hAnsi="宋体" w:eastAsia="宋体" w:cs="宋体"/>
          <w:b w:val="0"/>
          <w:sz w:val="24"/>
          <w:szCs w:val="24"/>
          <w:highlight w:val="none"/>
          <w:shd w:val="clear" w:color="auto" w:fill="FFFFFF"/>
        </w:rPr>
      </w:pPr>
      <w:r>
        <w:rPr>
          <w:rFonts w:hint="eastAsia" w:ascii="宋体" w:hAnsi="宋体" w:eastAsia="宋体" w:cs="宋体"/>
          <w:sz w:val="24"/>
          <w:szCs w:val="24"/>
          <w:highlight w:val="none"/>
        </w:rPr>
        <w:t>9.5.6提出质疑的日期。</w:t>
      </w:r>
    </w:p>
    <w:p w14:paraId="5D3A412E">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9.6有下列情形之一的，属于无效质疑，采购代理机构和采购人不予受理：</w:t>
      </w:r>
    </w:p>
    <w:p w14:paraId="79588816">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9.6.1质疑</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不是参与本次采购项目的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w:t>
      </w:r>
    </w:p>
    <w:p w14:paraId="530A6B18">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9.6.2质疑</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与质疑事项不存在利害关系的；</w:t>
      </w:r>
    </w:p>
    <w:p w14:paraId="35B341BC">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9.6.3未在法定期限内提出质疑的；</w:t>
      </w:r>
    </w:p>
    <w:p w14:paraId="4EAFC559">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9.6.4质疑未以书面形式提出，或质疑函主要内容构成不完整的；</w:t>
      </w:r>
    </w:p>
    <w:p w14:paraId="54C0778E">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9.6.5应当提交授权书而未提交的；</w:t>
      </w:r>
    </w:p>
    <w:p w14:paraId="555C5EA2">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9.6.6以非法手段取得证据、材料的；</w:t>
      </w:r>
    </w:p>
    <w:p w14:paraId="5E21A7AB">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9.6.7质疑答复后，同一质疑人就同一事项或同一采购程序环节再次提出质疑的；</w:t>
      </w:r>
    </w:p>
    <w:p w14:paraId="52B98E6D">
      <w:pPr>
        <w:keepNext w:val="0"/>
        <w:keepLines w:val="0"/>
        <w:pageBreakBefore w:val="0"/>
        <w:widowControl/>
        <w:shd w:val="clear"/>
        <w:kinsoku/>
        <w:wordWrap/>
        <w:overflowPunct/>
        <w:topLinePunct w:val="0"/>
        <w:bidi w:val="0"/>
        <w:snapToGrid/>
        <w:spacing w:line="360" w:lineRule="auto"/>
        <w:ind w:firstLine="480" w:firstLineChars="200"/>
        <w:textAlignment w:val="auto"/>
        <w:rPr>
          <w:rStyle w:val="40"/>
          <w:rFonts w:hint="eastAsia" w:ascii="宋体" w:hAnsi="宋体" w:eastAsia="宋体" w:cs="宋体"/>
          <w:b w:val="0"/>
          <w:sz w:val="24"/>
          <w:szCs w:val="24"/>
          <w:highlight w:val="none"/>
          <w:shd w:val="clear" w:color="auto" w:fill="FFFFFF"/>
        </w:rPr>
      </w:pPr>
      <w:r>
        <w:rPr>
          <w:rFonts w:hint="eastAsia" w:ascii="宋体" w:hAnsi="宋体" w:eastAsia="宋体" w:cs="宋体"/>
          <w:sz w:val="24"/>
          <w:szCs w:val="24"/>
          <w:highlight w:val="none"/>
        </w:rPr>
        <w:t>9.6.8不符合法律、法规、规章和政府采购监管机构规定的其他条件的。</w:t>
      </w:r>
    </w:p>
    <w:p w14:paraId="7F63A6EB">
      <w:pPr>
        <w:keepNext w:val="0"/>
        <w:keepLines w:val="0"/>
        <w:pageBreakBefore w:val="0"/>
        <w:shd w:val="clear"/>
        <w:kinsoku/>
        <w:wordWrap/>
        <w:overflowPunct/>
        <w:topLinePunct w:val="0"/>
        <w:bidi w:val="0"/>
        <w:snapToGrid/>
        <w:spacing w:line="360" w:lineRule="auto"/>
        <w:ind w:right="12"/>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9.7质疑答复</w:t>
      </w:r>
    </w:p>
    <w:p w14:paraId="2D167132">
      <w:pPr>
        <w:pStyle w:val="116"/>
        <w:keepNext w:val="0"/>
        <w:keepLines w:val="0"/>
        <w:pageBreakBefore w:val="0"/>
        <w:shd w:val="clear"/>
        <w:kinsoku/>
        <w:wordWrap/>
        <w:overflowPunct/>
        <w:topLinePunct w:val="0"/>
        <w:bidi w:val="0"/>
        <w:snapToGrid/>
        <w:spacing w:line="360" w:lineRule="auto"/>
        <w:ind w:firstLine="48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9.7.1采购人或采购代理机构在收到质疑函后7个工作日内作出答复，并以书面形式通知质疑</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和其他有关</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w:t>
      </w:r>
    </w:p>
    <w:p w14:paraId="232792B0">
      <w:pPr>
        <w:pStyle w:val="116"/>
        <w:keepNext w:val="0"/>
        <w:keepLines w:val="0"/>
        <w:pageBreakBefore w:val="0"/>
        <w:shd w:val="clear"/>
        <w:kinsoku/>
        <w:wordWrap/>
        <w:overflowPunct/>
        <w:topLinePunct w:val="0"/>
        <w:bidi w:val="0"/>
        <w:snapToGrid/>
        <w:spacing w:line="360" w:lineRule="auto"/>
        <w:ind w:firstLine="480" w:firstLine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9.7.2质疑</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对采购人、采购代理机构的答复不满意，或者采购人、采购代理机构未在规定时间内作出答复的，可以在答复期满后15个工作日内向监督部门提起投诉。</w:t>
      </w:r>
    </w:p>
    <w:p w14:paraId="2502F6A8">
      <w:pPr>
        <w:pStyle w:val="116"/>
        <w:keepNext w:val="0"/>
        <w:keepLines w:val="0"/>
        <w:pageBreakBefore w:val="0"/>
        <w:shd w:val="clear"/>
        <w:kinsoku/>
        <w:wordWrap/>
        <w:overflowPunct/>
        <w:topLinePunct w:val="0"/>
        <w:bidi w:val="0"/>
        <w:snapToGrid/>
        <w:spacing w:line="360" w:lineRule="auto"/>
        <w:ind w:firstLine="480" w:firstLine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9.8其他需要说明的事项</w:t>
      </w:r>
    </w:p>
    <w:p w14:paraId="78285DD6">
      <w:pPr>
        <w:pStyle w:val="116"/>
        <w:keepNext w:val="0"/>
        <w:keepLines w:val="0"/>
        <w:pageBreakBefore w:val="0"/>
        <w:shd w:val="clear"/>
        <w:kinsoku/>
        <w:wordWrap/>
        <w:overflowPunct/>
        <w:topLinePunct w:val="0"/>
        <w:bidi w:val="0"/>
        <w:snapToGrid/>
        <w:spacing w:line="360" w:lineRule="auto"/>
        <w:ind w:firstLine="480" w:firstLine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9.8.1接收质疑函的方式：书面形式</w:t>
      </w:r>
    </w:p>
    <w:p w14:paraId="37AA23E8">
      <w:pPr>
        <w:pStyle w:val="116"/>
        <w:keepNext w:val="0"/>
        <w:keepLines w:val="0"/>
        <w:pageBreakBefore w:val="0"/>
        <w:shd w:val="clear"/>
        <w:kinsoku/>
        <w:wordWrap/>
        <w:overflowPunct/>
        <w:topLinePunct w:val="0"/>
        <w:bidi w:val="0"/>
        <w:snapToGrid/>
        <w:spacing w:line="360" w:lineRule="auto"/>
        <w:ind w:firstLine="480" w:firstLine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9.8.2联系部门：陕西鼎祥越工程造价咨询有限公司</w:t>
      </w:r>
    </w:p>
    <w:p w14:paraId="465E0E91">
      <w:pPr>
        <w:pStyle w:val="116"/>
        <w:keepNext w:val="0"/>
        <w:keepLines w:val="0"/>
        <w:pageBreakBefore w:val="0"/>
        <w:shd w:val="clear"/>
        <w:kinsoku/>
        <w:wordWrap/>
        <w:overflowPunct/>
        <w:topLinePunct w:val="0"/>
        <w:bidi w:val="0"/>
        <w:snapToGrid/>
        <w:spacing w:line="360" w:lineRule="auto"/>
        <w:ind w:firstLine="480" w:firstLineChars="0"/>
        <w:jc w:val="left"/>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9.8.3联系电话：0917-3807560</w:t>
      </w:r>
    </w:p>
    <w:p w14:paraId="7D3EAC2D">
      <w:pPr>
        <w:pStyle w:val="116"/>
        <w:keepNext w:val="0"/>
        <w:keepLines w:val="0"/>
        <w:pageBreakBefore w:val="0"/>
        <w:shd w:val="clear"/>
        <w:kinsoku/>
        <w:wordWrap/>
        <w:overflowPunct/>
        <w:topLinePunct w:val="0"/>
        <w:bidi w:val="0"/>
        <w:snapToGrid/>
        <w:spacing w:line="360" w:lineRule="auto"/>
        <w:ind w:firstLine="480" w:firstLine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9.8.4通讯地址：</w:t>
      </w:r>
      <w:r>
        <w:rPr>
          <w:rFonts w:hint="eastAsia" w:ascii="宋体" w:hAnsi="宋体" w:eastAsia="宋体" w:cs="宋体"/>
          <w:b w:val="0"/>
          <w:bCs w:val="0"/>
          <w:color w:val="auto"/>
          <w:spacing w:val="0"/>
          <w:w w:val="100"/>
          <w:kern w:val="0"/>
          <w:position w:val="0"/>
          <w:sz w:val="24"/>
          <w:szCs w:val="24"/>
          <w:highlight w:val="none"/>
          <w:lang w:eastAsia="zh-CN"/>
        </w:rPr>
        <w:t>宝鸡市金台区行政大道海棠风尚</w:t>
      </w:r>
      <w:r>
        <w:rPr>
          <w:rFonts w:hint="eastAsia" w:ascii="宋体" w:hAnsi="宋体" w:cs="宋体"/>
          <w:b w:val="0"/>
          <w:bCs w:val="0"/>
          <w:color w:val="auto"/>
          <w:spacing w:val="0"/>
          <w:w w:val="100"/>
          <w:kern w:val="0"/>
          <w:position w:val="0"/>
          <w:sz w:val="24"/>
          <w:szCs w:val="24"/>
          <w:highlight w:val="none"/>
          <w:lang w:val="en-US" w:eastAsia="zh-CN"/>
        </w:rPr>
        <w:t>1510</w:t>
      </w:r>
      <w:r>
        <w:rPr>
          <w:rFonts w:hint="eastAsia" w:ascii="宋体" w:hAnsi="宋体" w:eastAsia="宋体" w:cs="宋体"/>
          <w:b w:val="0"/>
          <w:bCs w:val="0"/>
          <w:color w:val="auto"/>
          <w:spacing w:val="0"/>
          <w:w w:val="100"/>
          <w:kern w:val="0"/>
          <w:position w:val="0"/>
          <w:sz w:val="24"/>
          <w:szCs w:val="24"/>
          <w:highlight w:val="none"/>
          <w:lang w:eastAsia="zh-CN"/>
        </w:rPr>
        <w:t>室</w:t>
      </w:r>
    </w:p>
    <w:p w14:paraId="39A3981A">
      <w:pPr>
        <w:keepNext w:val="0"/>
        <w:keepLines w:val="0"/>
        <w:pageBreakBefore w:val="0"/>
        <w:shd w:val="clear"/>
        <w:kinsoku/>
        <w:wordWrap/>
        <w:overflowPunct/>
        <w:topLinePunct w:val="0"/>
        <w:bidi w:val="0"/>
        <w:snapToGrid/>
        <w:spacing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10.其他</w:t>
      </w:r>
    </w:p>
    <w:p w14:paraId="725C30B3">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10.1磋商步骤为：第一次报价---初步评审---分别磋商---第二次报价---综合评审推荐成交候选人。（以</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递交的磋商响应文件中的总报价为第一次报价。分别磋商后，</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现场填报的磋商响应总报价为第二次报价）</w:t>
      </w:r>
    </w:p>
    <w:p w14:paraId="5CAAC00A">
      <w:pPr>
        <w:keepNext w:val="0"/>
        <w:keepLines w:val="0"/>
        <w:pageBreakBefore w:val="0"/>
        <w:shd w:val="clear"/>
        <w:kinsoku/>
        <w:wordWrap/>
        <w:overflowPunct/>
        <w:topLinePunct w:val="0"/>
        <w:bidi w:val="0"/>
        <w:snapToGrid/>
        <w:spacing w:line="360" w:lineRule="auto"/>
        <w:ind w:firstLine="480" w:firstLineChars="200"/>
        <w:jc w:val="left"/>
        <w:textAlignment w:val="auto"/>
        <w:rPr>
          <w:rFonts w:hint="eastAsia" w:ascii="宋体" w:hAnsi="宋体" w:eastAsia="宋体" w:cs="宋体"/>
          <w:color w:val="0000FF"/>
          <w:sz w:val="24"/>
          <w:szCs w:val="24"/>
          <w:highlight w:val="none"/>
        </w:rPr>
      </w:pPr>
      <w:r>
        <w:rPr>
          <w:rFonts w:hint="eastAsia" w:ascii="宋体" w:hAnsi="宋体" w:eastAsia="宋体" w:cs="宋体"/>
          <w:sz w:val="24"/>
          <w:szCs w:val="24"/>
          <w:highlight w:val="none"/>
        </w:rPr>
        <w:t>10.2采用竞争性磋商采购方式采购的政府购买服务项目（含政府和社会资本合作项目），采购过程中符合要求的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（社会资本）只有2家的，竞争性磋商采购活动可以继续进行。采购过程中符合要求的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（社会资本）只有1家的，采购人或者采购代理机构应当终止竞争性磋商采购活动，发布项目终止公告并说明原因，重新开展采购活动。</w:t>
      </w:r>
    </w:p>
    <w:p w14:paraId="40001D46">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10.3成交单位确定后，成交单位无正当理由拖延或拒签合同的，采购人有权取消其成交资格，并按评审顺序重新确定成交单位。同时报请监督机构予以通报，禁止其进入政府采购市场。</w:t>
      </w:r>
      <w:bookmarkStart w:id="51" w:name="_Toc14383"/>
    </w:p>
    <w:p w14:paraId="2CE058E4">
      <w:pPr>
        <w:shd w:val="clear"/>
        <w:spacing w:line="360" w:lineRule="auto"/>
        <w:jc w:val="center"/>
        <w:outlineLvl w:val="9"/>
        <w:rPr>
          <w:rFonts w:hint="eastAsia" w:ascii="宋体" w:hAnsi="宋体" w:eastAsia="宋体" w:cs="宋体"/>
          <w:b/>
          <w:bCs/>
          <w:sz w:val="24"/>
          <w:szCs w:val="24"/>
          <w:highlight w:val="none"/>
        </w:rPr>
      </w:pPr>
    </w:p>
    <w:p w14:paraId="02E32C50">
      <w:pPr>
        <w:pStyle w:val="14"/>
        <w:shd w:val="clear"/>
        <w:jc w:val="both"/>
        <w:rPr>
          <w:rFonts w:hint="eastAsia" w:ascii="宋体" w:hAnsi="宋体" w:eastAsia="宋体" w:cs="宋体"/>
          <w:sz w:val="24"/>
          <w:szCs w:val="24"/>
        </w:rPr>
      </w:pPr>
    </w:p>
    <w:p w14:paraId="0B0F02C7">
      <w:pPr>
        <w:shd w:val="clea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14:paraId="1BA3B76D">
      <w:pPr>
        <w:shd w:val="clear"/>
        <w:spacing w:line="360" w:lineRule="auto"/>
        <w:jc w:val="center"/>
        <w:outlineLvl w:val="0"/>
        <w:rPr>
          <w:rFonts w:hint="eastAsia" w:ascii="宋体" w:hAnsi="宋体" w:eastAsia="宋体" w:cs="宋体"/>
          <w:b/>
          <w:bCs/>
          <w:sz w:val="32"/>
          <w:szCs w:val="32"/>
          <w:highlight w:val="none"/>
        </w:rPr>
      </w:pPr>
      <w:bookmarkStart w:id="52" w:name="_Toc5415"/>
      <w:bookmarkStart w:id="53" w:name="_Toc9854"/>
      <w:r>
        <w:rPr>
          <w:rFonts w:hint="eastAsia" w:ascii="宋体" w:hAnsi="宋体" w:eastAsia="宋体" w:cs="宋体"/>
          <w:b/>
          <w:bCs/>
          <w:sz w:val="32"/>
          <w:szCs w:val="32"/>
          <w:highlight w:val="none"/>
        </w:rPr>
        <w:t>第三章</w:t>
      </w:r>
      <w:bookmarkEnd w:id="50"/>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评审方法</w:t>
      </w:r>
      <w:bookmarkEnd w:id="51"/>
      <w:bookmarkEnd w:id="52"/>
      <w:bookmarkEnd w:id="53"/>
    </w:p>
    <w:p w14:paraId="6D134087">
      <w:pPr>
        <w:keepNext w:val="0"/>
        <w:keepLines w:val="0"/>
        <w:pageBreakBefore w:val="0"/>
        <w:shd w:val="clear"/>
        <w:kinsoku/>
        <w:wordWrap/>
        <w:overflowPunct/>
        <w:topLinePunct w:val="0"/>
        <w:bidi w:val="0"/>
        <w:snapToGrid/>
        <w:spacing w:line="360" w:lineRule="auto"/>
        <w:jc w:val="lef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一、评审方法</w:t>
      </w:r>
    </w:p>
    <w:p w14:paraId="52883C67">
      <w:pPr>
        <w:keepNext w:val="0"/>
        <w:keepLines w:val="0"/>
        <w:pageBreakBefore w:val="0"/>
        <w:shd w:val="clear"/>
        <w:kinsoku/>
        <w:wordWrap/>
        <w:overflowPunct/>
        <w:topLinePunct w:val="0"/>
        <w:bidi w:val="0"/>
        <w:snapToGrid/>
        <w:spacing w:line="360" w:lineRule="auto"/>
        <w:ind w:right="40" w:rightChars="19" w:firstLine="480" w:firstLineChars="200"/>
        <w:textAlignment w:val="auto"/>
        <w:rPr>
          <w:rFonts w:hint="eastAsia" w:ascii="宋体" w:hAnsi="宋体" w:eastAsia="宋体" w:cs="宋体"/>
          <w:sz w:val="24"/>
          <w:szCs w:val="24"/>
          <w:highlight w:val="none"/>
        </w:rPr>
      </w:pPr>
      <w:bookmarkStart w:id="54" w:name="_Toc465432103"/>
      <w:r>
        <w:rPr>
          <w:rFonts w:hint="eastAsia" w:ascii="宋体" w:hAnsi="宋体" w:eastAsia="宋体" w:cs="宋体"/>
          <w:sz w:val="24"/>
          <w:szCs w:val="24"/>
          <w:highlight w:val="none"/>
        </w:rPr>
        <w:t>本次评标采用综合评分法，即在最大限度地满足竞争性磋商文件实质性要求前提下，按照竞争性磋商文件中规定的各项因素和相应的权重分值进行综合评审后，以总得分最高的响应单位作为成交候选人并依次排序。</w:t>
      </w:r>
    </w:p>
    <w:p w14:paraId="2A3ED7F0">
      <w:pPr>
        <w:keepNext w:val="0"/>
        <w:keepLines w:val="0"/>
        <w:pageBreakBefore w:val="0"/>
        <w:shd w:val="clear"/>
        <w:kinsoku/>
        <w:wordWrap/>
        <w:overflowPunct/>
        <w:topLinePunct w:val="0"/>
        <w:bidi w:val="0"/>
        <w:snapToGrid/>
        <w:spacing w:line="360" w:lineRule="auto"/>
        <w:ind w:right="40" w:rightChars="19"/>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二、评审原则</w:t>
      </w:r>
      <w:bookmarkEnd w:id="54"/>
    </w:p>
    <w:p w14:paraId="06AD031D">
      <w:pPr>
        <w:keepNext w:val="0"/>
        <w:keepLines w:val="0"/>
        <w:pageBreakBefore w:val="0"/>
        <w:shd w:val="clear"/>
        <w:kinsoku/>
        <w:wordWrap/>
        <w:overflowPunct/>
        <w:topLinePunct w:val="0"/>
        <w:bidi w:val="0"/>
        <w:snapToGrid/>
        <w:spacing w:line="360" w:lineRule="auto"/>
        <w:ind w:firstLine="480" w:firstLineChars="200"/>
        <w:textAlignment w:val="auto"/>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按照竞争性磋商响应文件初审、澄清有关问题、分别磋商、二次报价、比较与评审、推荐成交候选人名单。在上一步评审中被认定为无效磋商者，不进入下一步的评审。</w:t>
      </w:r>
    </w:p>
    <w:p w14:paraId="20067896">
      <w:pPr>
        <w:keepNext w:val="0"/>
        <w:keepLines w:val="0"/>
        <w:pageBreakBefore w:val="0"/>
        <w:shd w:val="clear"/>
        <w:kinsoku/>
        <w:wordWrap/>
        <w:overflowPunct/>
        <w:topLinePunct w:val="0"/>
        <w:bidi w:val="0"/>
        <w:snapToGrid/>
        <w:spacing w:line="360" w:lineRule="auto"/>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三、政策性扣减</w:t>
      </w:r>
    </w:p>
    <w:p w14:paraId="3130FBE5">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1、落实促进支持中小企业、监狱企业、残疾人福利性单位发展、脱贫攻坚工作的政策。</w:t>
      </w:r>
    </w:p>
    <w:p w14:paraId="3F786872">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 《政府采购促进中小企业发展管理办法》（财库〔2020〕46号）</w:t>
      </w:r>
    </w:p>
    <w:p w14:paraId="4F94A098">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在政府采购活动中，投标供应商提供的货物、工程或者服务符合下列情形的，享受《办法》规定的中小企业扶持政策:</w:t>
      </w:r>
    </w:p>
    <w:p w14:paraId="28983D9E">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(一)在货物采购项目中，货物由中小企业制造，即货物由中小企业生产且使用该中小企业商号或者注册商标；</w:t>
      </w:r>
    </w:p>
    <w:p w14:paraId="04449681">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(二)在工程采购项目中，工程由中小企业承建，即工程施工单位为中小企业；</w:t>
      </w:r>
    </w:p>
    <w:p w14:paraId="216E1558">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(三)在服务采购项目中，服务由中小企业承接，即提供服务的人员为中小企业依照《中华人民共和国劳动民法典》订立劳动合同的从业人员。</w:t>
      </w:r>
    </w:p>
    <w:p w14:paraId="6E2F6E4A">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在货物采购项目中，投标供应商提供的货物既有中小企业制造货物，也有大型企业制造货物的，不享受《办法》规定的中小企业扶持政策。</w:t>
      </w:r>
    </w:p>
    <w:p w14:paraId="21EAA6CB">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以联合体形式参加政府采购活动，联合体各方均为中小企业的，联合体视同中小企业。其中，联合体各方均为小微企业的，联合体视同小微企业。</w:t>
      </w:r>
    </w:p>
    <w:p w14:paraId="0B2435C5">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依据《办法》规定享受扶持政策获得政府采购合同的，小微企业不得将合同分包给大中型企业，中型企业不得将合同分包给大型企业。</w:t>
      </w:r>
    </w:p>
    <w:p w14:paraId="12FB5A24">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政府采购促进中小企业发展管理办法》的通知（财库〔2020〕46号）规定，参加政府采购活动的中小企业应当提供《中小企业声明函》。投标供应商提供的《中小企业声明函》原件必须真实，否则，按照有关规定予以处理。</w:t>
      </w:r>
    </w:p>
    <w:p w14:paraId="69AD0EC8">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根据《政府采购促进中小企业发展管理办法》的相关规定，小微企业报价给予10%(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14:paraId="678DB900">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接受大中型企业与小微企业组成联合体或者允许大中型企业向一家或者多家小微企业分包的采购项目，对于联合协议或者分包意向协议约定小微企业的合同份额占到合同总金额30%以上的，对联合体或者大中型企业的报价给予2%(工程项目为1%)的扣除，用扣除后的价格参加评审。适用招标投标法的政府采购工程建设项目，采用综合评估法但未采用低价优先法计算价格分的，评标时应当在采用原报价进行评分的基础上增加其价格得分的1%作为其价格分。组成联合体或者接受分包的小微企业与联合体内其他企业、分包企业之间存在直接控股、管理关系的，不享受价格扣除优惠政策。</w:t>
      </w:r>
    </w:p>
    <w:p w14:paraId="575A09FC">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1.2 《财政部司法部关于政府采购支持监狱企业发展有关问题的通知》（财库〔2014〕68号）</w:t>
      </w:r>
    </w:p>
    <w:p w14:paraId="7C86BC00">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监狱企业参加政府采购活动时，应当提供由省级以上监狱管理局、戒毒管理局（含新疆生产建设兵团）出具的属于监狱企业的证明文件。在政府采购活动中，监狱企业视同小型、微型企业。</w:t>
      </w:r>
    </w:p>
    <w:p w14:paraId="0B43F482">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 《三部门联合发布关于促进残疾人就业政府采购政策的通知》（财库〔2017〕141号）；</w:t>
      </w:r>
    </w:p>
    <w:p w14:paraId="2F89BD2C">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符合条件的残疾人福利性单位在参加政府采购活动时，应当提供本通知规定的《残疾人福利性单位声明函》，并对声明的真实性负责。在政府采购活动中，残疾人福利性单位视同小型、微型企业，享受预留份额。</w:t>
      </w:r>
    </w:p>
    <w:p w14:paraId="7A4D7B15">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2、落实优先采购节能、环保产品的政策</w:t>
      </w:r>
    </w:p>
    <w:p w14:paraId="2447094F">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 根据《财政部 国家发展改革委关于印发〈节能产品政府采购实施意见〉的通知》（财库〔2004〕185号）规定“政府采购属于节能产品品目清单的，在技术、服务等指标同等条件下，应当优先采购节能品目清单的节能产品。”</w:t>
      </w:r>
    </w:p>
    <w:p w14:paraId="5F5BD40B">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 根据《财政部环保总局关于环境标志产品政府采购实施的意见》（财库〔2006〕90号）规定“采购人采购的产品属于环境标志产品政府采购清单中品目的，在性能、技术、服务等指标同等条件下，应当优先采购清单中的产品”。</w:t>
      </w:r>
    </w:p>
    <w:p w14:paraId="21362C47">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 根据《国务院办公厅关于建立政府强制采购节能产品制度的通知》（国办发〔2007〕51号）有关要求，“使用财政性资金进行政府采购活动时，在技术、服务等指标满足采购需求的前提下，要优先采购节能产品，对部分节能效果、性能等达到要求的产品，实行强制采购，以促进节约能源，保护环境，降低政府机构能源费用开支。”</w:t>
      </w:r>
    </w:p>
    <w:p w14:paraId="6D907800">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 根据《财政部发展改革委生态环境部市场监管总局关于调整优化节能产品、环境标志产品政府采购执行机制的通知》（财库〔2019〕9号）有关要求，采购人拟采购的产品属于品目清单范围的，采购人及其委托的采购代理机构应当依据国家确定的认证机构出具的、处于有效期之内的节能产品、环境标志产品认证证书，对获得证书的产品实施政府优先采购或强制采购。</w:t>
      </w:r>
    </w:p>
    <w:p w14:paraId="763C3581">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所有投标产品进入 “节能产品政府采购品目清单”的，应提供相关证书复印件，相关证书的颁发机构应来自《参与实施政府采购节能产品认证机构名录》。</w:t>
      </w:r>
    </w:p>
    <w:p w14:paraId="2CC4B001">
      <w:pPr>
        <w:keepNext w:val="0"/>
        <w:keepLines w:val="0"/>
        <w:pageBreakBefore w:val="0"/>
        <w:widowControl/>
        <w:shd w:val="clear"/>
        <w:kinsoku/>
        <w:wordWrap/>
        <w:overflowPunct/>
        <w:topLinePunct w:val="0"/>
        <w:bidi w:val="0"/>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所有投标产品进入“环境标志产品政府采购品目清单”的，应提供相关证书复印件，相关证书的颁发机构应来自《参与实施政府采购环境标志产品认证机构名录》。</w:t>
      </w:r>
    </w:p>
    <w:p w14:paraId="051725DE">
      <w:pPr>
        <w:keepNext w:val="0"/>
        <w:keepLines w:val="0"/>
        <w:pageBreakBefore w:val="0"/>
        <w:shd w:val="clear"/>
        <w:kinsoku/>
        <w:wordWrap/>
        <w:overflowPunct/>
        <w:topLinePunct w:val="0"/>
        <w:bidi w:val="0"/>
        <w:snapToGrid/>
        <w:spacing w:line="360" w:lineRule="auto"/>
        <w:textAlignment w:val="auto"/>
        <w:rPr>
          <w:rFonts w:hint="eastAsia" w:ascii="宋体" w:hAnsi="宋体" w:eastAsia="宋体" w:cs="宋体"/>
          <w:b/>
          <w:sz w:val="24"/>
          <w:szCs w:val="24"/>
          <w:highlight w:val="none"/>
        </w:rPr>
      </w:pPr>
      <w:bookmarkStart w:id="55" w:name="_Toc363463333"/>
      <w:r>
        <w:rPr>
          <w:rFonts w:hint="eastAsia" w:ascii="宋体" w:hAnsi="宋体" w:eastAsia="宋体" w:cs="宋体"/>
          <w:b/>
          <w:sz w:val="24"/>
          <w:szCs w:val="24"/>
          <w:highlight w:val="none"/>
        </w:rPr>
        <w:t>四、评审程序</w:t>
      </w:r>
      <w:bookmarkEnd w:id="55"/>
    </w:p>
    <w:p w14:paraId="700985DD">
      <w:pPr>
        <w:pStyle w:val="29"/>
        <w:keepNext w:val="0"/>
        <w:keepLines w:val="0"/>
        <w:pageBreakBefore w:val="0"/>
        <w:widowControl w:val="0"/>
        <w:shd w:val="clear"/>
        <w:kinsoku/>
        <w:wordWrap/>
        <w:overflowPunct/>
        <w:topLinePunct w:val="0"/>
        <w:autoSpaceDE/>
        <w:autoSpaceDN/>
        <w:bidi w:val="0"/>
        <w:snapToGrid/>
        <w:ind w:left="0" w:firstLine="496" w:firstLineChars="200"/>
        <w:textAlignment w:val="auto"/>
        <w:rPr>
          <w:rFonts w:hint="eastAsia" w:ascii="宋体" w:hAnsi="宋体" w:eastAsia="宋体" w:cs="宋体"/>
          <w:bCs/>
          <w:spacing w:val="4"/>
          <w:sz w:val="24"/>
          <w:szCs w:val="24"/>
          <w:highlight w:val="none"/>
        </w:rPr>
      </w:pPr>
      <w:r>
        <w:rPr>
          <w:rFonts w:hint="eastAsia" w:ascii="宋体" w:hAnsi="宋体" w:eastAsia="宋体" w:cs="宋体"/>
          <w:bCs/>
          <w:spacing w:val="4"/>
          <w:sz w:val="24"/>
          <w:szCs w:val="24"/>
          <w:highlight w:val="none"/>
        </w:rPr>
        <w:t>按照竞争性磋商响应文件初审、澄清有关问题、分别磋商、二次报价、比较与评审、推荐成交候选人名单。在上一步评审中被认定为无效磋商者，不进入下一步的评审。</w:t>
      </w:r>
    </w:p>
    <w:p w14:paraId="09D1DCA9">
      <w:pPr>
        <w:keepNext w:val="0"/>
        <w:keepLines w:val="0"/>
        <w:pageBreakBefore w:val="0"/>
        <w:widowControl w:val="0"/>
        <w:shd w:val="clear"/>
        <w:tabs>
          <w:tab w:val="left" w:pos="0"/>
        </w:tabs>
        <w:kinsoku/>
        <w:wordWrap/>
        <w:overflowPunct/>
        <w:topLinePunct w:val="0"/>
        <w:autoSpaceDE/>
        <w:autoSpaceDN/>
        <w:bidi w:val="0"/>
        <w:adjustRightInd w:val="0"/>
        <w:snapToGrid/>
        <w:spacing w:line="360" w:lineRule="auto"/>
        <w:ind w:firstLine="472" w:firstLineChars="196"/>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1、对磋商响应文件的初审：</w:t>
      </w:r>
    </w:p>
    <w:p w14:paraId="301CC8BF">
      <w:pPr>
        <w:keepNext w:val="0"/>
        <w:keepLines w:val="0"/>
        <w:pageBreakBefore w:val="0"/>
        <w:widowControl w:val="0"/>
        <w:shd w:val="clear"/>
        <w:tabs>
          <w:tab w:val="left" w:pos="0"/>
        </w:tabs>
        <w:kinsoku/>
        <w:wordWrap/>
        <w:overflowPunct/>
        <w:topLinePunct w:val="0"/>
        <w:autoSpaceDE/>
        <w:autoSpaceDN/>
        <w:bidi w:val="0"/>
        <w:adjustRightInd w:val="0"/>
        <w:snapToGrid/>
        <w:spacing w:line="360" w:lineRule="auto"/>
        <w:ind w:firstLine="472" w:firstLineChars="196"/>
        <w:textAlignment w:val="auto"/>
        <w:rPr>
          <w:rFonts w:hint="eastAsia" w:ascii="宋体" w:hAnsi="宋体" w:eastAsia="宋体" w:cs="宋体"/>
          <w:b/>
          <w:bCs/>
          <w:kern w:val="0"/>
          <w:sz w:val="24"/>
          <w:szCs w:val="24"/>
          <w:highlight w:val="none"/>
        </w:rPr>
      </w:pPr>
      <w:r>
        <w:rPr>
          <w:rFonts w:hint="eastAsia" w:ascii="宋体" w:hAnsi="宋体" w:eastAsia="宋体" w:cs="宋体"/>
          <w:b/>
          <w:bCs/>
          <w:sz w:val="24"/>
          <w:szCs w:val="24"/>
          <w:highlight w:val="none"/>
        </w:rPr>
        <w:t>1.1资格性审查：</w:t>
      </w:r>
      <w:r>
        <w:rPr>
          <w:rFonts w:hint="eastAsia" w:ascii="宋体" w:hAnsi="宋体" w:cs="宋体"/>
          <w:b/>
          <w:bCs/>
          <w:sz w:val="24"/>
          <w:szCs w:val="24"/>
          <w:highlight w:val="none"/>
          <w:lang w:eastAsia="zh-CN"/>
        </w:rPr>
        <w:t>采购人</w:t>
      </w:r>
      <w:r>
        <w:rPr>
          <w:rFonts w:hint="eastAsia" w:ascii="宋体" w:hAnsi="宋体" w:eastAsia="宋体" w:cs="宋体"/>
          <w:b/>
          <w:bCs/>
          <w:sz w:val="24"/>
          <w:szCs w:val="24"/>
          <w:highlight w:val="none"/>
        </w:rPr>
        <w:t>将依据本章第2.1.1项（附件）规定的评审标准对磋商响应文件进行资格性审查。有一项不符合评审标准的，</w:t>
      </w:r>
      <w:r>
        <w:rPr>
          <w:rFonts w:hint="eastAsia" w:ascii="宋体" w:hAnsi="宋体" w:eastAsia="宋体" w:cs="宋体"/>
          <w:b/>
          <w:bCs/>
          <w:kern w:val="0"/>
          <w:sz w:val="24"/>
          <w:szCs w:val="24"/>
          <w:highlight w:val="none"/>
        </w:rPr>
        <w:t>将被视为未实质性响应磋商文件，其磋商响应文件将按无效文件处理。</w:t>
      </w:r>
    </w:p>
    <w:p w14:paraId="79532308">
      <w:pPr>
        <w:keepNext w:val="0"/>
        <w:keepLines w:val="0"/>
        <w:pageBreakBefore w:val="0"/>
        <w:widowControl w:val="0"/>
        <w:shd w:val="clear"/>
        <w:kinsoku/>
        <w:wordWrap/>
        <w:overflowPunct/>
        <w:topLinePunct w:val="0"/>
        <w:autoSpaceDE/>
        <w:autoSpaceDN/>
        <w:bidi w:val="0"/>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1.2符合性审查：磋商小组根据本章第2.1.2项（附件）规定的评审标准对磋商响应文件进行符合性评审。有一项不符合评审标准的，将被视为未实质性响应磋商文件，其磋商响应文件将按无效文件处理。</w:t>
      </w:r>
    </w:p>
    <w:p w14:paraId="6EAE356C">
      <w:pPr>
        <w:keepNext w:val="0"/>
        <w:keepLines w:val="0"/>
        <w:pageBreakBefore w:val="0"/>
        <w:widowControl w:val="0"/>
        <w:shd w:val="clear"/>
        <w:kinsoku/>
        <w:wordWrap/>
        <w:overflowPunct/>
        <w:topLinePunct w:val="0"/>
        <w:autoSpaceDE/>
        <w:autoSpaceDN/>
        <w:bidi w:val="0"/>
        <w:snapToGrid/>
        <w:spacing w:line="360" w:lineRule="auto"/>
        <w:ind w:firstLine="482" w:firstLineChars="200"/>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在资格性审查阶段，不符合磋商文件要求的，不得进入符合性审查，在符合性审查时未通过的，不得进入后续评审环节。</w:t>
      </w:r>
    </w:p>
    <w:p w14:paraId="30B170B9">
      <w:pPr>
        <w:keepNext w:val="0"/>
        <w:keepLines w:val="0"/>
        <w:pageBreakBefore w:val="0"/>
        <w:widowControl w:val="0"/>
        <w:shd w:val="clear"/>
        <w:tabs>
          <w:tab w:val="left" w:pos="0"/>
        </w:tabs>
        <w:kinsoku/>
        <w:wordWrap/>
        <w:overflowPunct/>
        <w:topLinePunct w:val="0"/>
        <w:autoSpaceDE/>
        <w:autoSpaceDN/>
        <w:bidi w:val="0"/>
        <w:adjustRightInd w:val="0"/>
        <w:snapToGrid/>
        <w:spacing w:line="360" w:lineRule="auto"/>
        <w:ind w:firstLine="472" w:firstLineChars="196"/>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2、磋商响应文件的澄清</w:t>
      </w:r>
    </w:p>
    <w:p w14:paraId="63DD54A2">
      <w:pPr>
        <w:keepNext w:val="0"/>
        <w:keepLines w:val="0"/>
        <w:pageBreakBefore w:val="0"/>
        <w:widowControl w:val="0"/>
        <w:shd w:val="clear"/>
        <w:tabs>
          <w:tab w:val="left" w:pos="0"/>
        </w:tabs>
        <w:kinsoku/>
        <w:wordWrap/>
        <w:overflowPunct/>
        <w:topLinePunct w:val="0"/>
        <w:autoSpaceDE/>
        <w:autoSpaceDN/>
        <w:bidi w:val="0"/>
        <w:adjustRightInd w:val="0"/>
        <w:snapToGrid/>
        <w:spacing w:line="360" w:lineRule="auto"/>
        <w:ind w:firstLine="486" w:firstLineChars="196"/>
        <w:textAlignment w:val="auto"/>
        <w:rPr>
          <w:rFonts w:hint="eastAsia" w:ascii="宋体" w:hAnsi="宋体" w:eastAsia="宋体" w:cs="宋体"/>
          <w:bCs/>
          <w:spacing w:val="4"/>
          <w:sz w:val="24"/>
          <w:szCs w:val="24"/>
          <w:highlight w:val="none"/>
        </w:rPr>
      </w:pPr>
      <w:r>
        <w:rPr>
          <w:rFonts w:hint="eastAsia" w:ascii="宋体" w:hAnsi="宋体" w:eastAsia="宋体" w:cs="宋体"/>
          <w:bCs/>
          <w:spacing w:val="4"/>
          <w:sz w:val="24"/>
          <w:szCs w:val="24"/>
          <w:highlight w:val="none"/>
        </w:rPr>
        <w:t>2.1磋商小组发现</w:t>
      </w:r>
      <w:r>
        <w:rPr>
          <w:rFonts w:hint="eastAsia" w:ascii="宋体" w:hAnsi="宋体" w:eastAsia="宋体" w:cs="宋体"/>
          <w:bCs/>
          <w:spacing w:val="4"/>
          <w:sz w:val="24"/>
          <w:szCs w:val="24"/>
          <w:highlight w:val="none"/>
          <w:lang w:eastAsia="zh-CN"/>
        </w:rPr>
        <w:t>投标供应商</w:t>
      </w:r>
      <w:r>
        <w:rPr>
          <w:rFonts w:hint="eastAsia" w:ascii="宋体" w:hAnsi="宋体" w:eastAsia="宋体" w:cs="宋体"/>
          <w:bCs/>
          <w:spacing w:val="4"/>
          <w:sz w:val="24"/>
          <w:szCs w:val="24"/>
          <w:highlight w:val="none"/>
        </w:rPr>
        <w:t>的报价明显低于其他磋商报价、或明显低于市场价格，使得其磋商报价可能低于其成本的，有可能影响工程质量或者不能诚信履约的，应当要求其在合理的时间内做出书面说明，必要时提交相关证明材料。</w:t>
      </w:r>
      <w:r>
        <w:rPr>
          <w:rFonts w:hint="eastAsia" w:ascii="宋体" w:hAnsi="宋体" w:eastAsia="宋体" w:cs="宋体"/>
          <w:bCs/>
          <w:spacing w:val="4"/>
          <w:sz w:val="24"/>
          <w:szCs w:val="24"/>
          <w:highlight w:val="none"/>
          <w:lang w:eastAsia="zh-CN"/>
        </w:rPr>
        <w:t>投标供应商</w:t>
      </w:r>
      <w:r>
        <w:rPr>
          <w:rFonts w:hint="eastAsia" w:ascii="宋体" w:hAnsi="宋体" w:eastAsia="宋体" w:cs="宋体"/>
          <w:bCs/>
          <w:spacing w:val="4"/>
          <w:sz w:val="24"/>
          <w:szCs w:val="24"/>
          <w:highlight w:val="none"/>
        </w:rPr>
        <w:t>不能证明其报价合理性的，由磋商小组将其作为无效响应处理。</w:t>
      </w:r>
    </w:p>
    <w:p w14:paraId="32C41B7A">
      <w:pPr>
        <w:keepNext w:val="0"/>
        <w:keepLines w:val="0"/>
        <w:pageBreakBefore w:val="0"/>
        <w:shd w:val="clear"/>
        <w:tabs>
          <w:tab w:val="left" w:pos="0"/>
        </w:tabs>
        <w:kinsoku/>
        <w:wordWrap/>
        <w:overflowPunct/>
        <w:topLinePunct w:val="0"/>
        <w:bidi w:val="0"/>
        <w:adjustRightInd w:val="0"/>
        <w:snapToGrid/>
        <w:spacing w:line="360" w:lineRule="auto"/>
        <w:ind w:firstLine="486" w:firstLineChars="196"/>
        <w:textAlignment w:val="auto"/>
        <w:rPr>
          <w:rFonts w:hint="eastAsia" w:ascii="宋体" w:hAnsi="宋体" w:eastAsia="宋体" w:cs="宋体"/>
          <w:bCs/>
          <w:spacing w:val="4"/>
          <w:sz w:val="24"/>
          <w:szCs w:val="24"/>
          <w:highlight w:val="none"/>
        </w:rPr>
      </w:pPr>
      <w:r>
        <w:rPr>
          <w:rFonts w:hint="eastAsia" w:ascii="宋体" w:hAnsi="宋体" w:eastAsia="宋体" w:cs="宋体"/>
          <w:bCs/>
          <w:spacing w:val="4"/>
          <w:sz w:val="24"/>
          <w:szCs w:val="24"/>
          <w:highlight w:val="none"/>
        </w:rPr>
        <w:t>2.2有效的书面澄清材料，是磋商响应文件的补充材料，成为磋商响应文件的组成部分。</w:t>
      </w:r>
    </w:p>
    <w:p w14:paraId="0961D376">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3、磋商：</w:t>
      </w:r>
      <w:r>
        <w:rPr>
          <w:rFonts w:hint="eastAsia" w:ascii="宋体" w:hAnsi="宋体" w:eastAsia="宋体" w:cs="宋体"/>
          <w:sz w:val="24"/>
          <w:szCs w:val="24"/>
          <w:highlight w:val="none"/>
        </w:rPr>
        <w:t>磋商小组所有成员集中与单一</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分别进行磋商，并要求</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在规定的时间内提交最后报价。在磋商过程中，磋商小组可以根据磋商文件和磋商情况实质性变动采购需求中的技术、服务要求以及合同草案条款，但不得变动磋商文件中的其它内容。实质性变动得内容，需经采购人代表确认。</w:t>
      </w:r>
    </w:p>
    <w:p w14:paraId="1B13166E">
      <w:pPr>
        <w:keepNext w:val="0"/>
        <w:keepLines w:val="0"/>
        <w:pageBreakBefore w:val="0"/>
        <w:shd w:val="clear"/>
        <w:kinsoku/>
        <w:wordWrap/>
        <w:overflowPunct/>
        <w:topLinePunct w:val="0"/>
        <w:bidi w:val="0"/>
        <w:snapToGrid/>
        <w:spacing w:line="360" w:lineRule="auto"/>
        <w:ind w:firstLine="482" w:firstLineChars="200"/>
        <w:textAlignment w:val="auto"/>
        <w:rPr>
          <w:rFonts w:hint="eastAsia" w:ascii="宋体" w:hAnsi="宋体" w:eastAsia="宋体" w:cs="宋体"/>
          <w:sz w:val="24"/>
          <w:szCs w:val="24"/>
          <w:highlight w:val="none"/>
        </w:rPr>
      </w:pPr>
      <w:r>
        <w:rPr>
          <w:rFonts w:hint="eastAsia" w:ascii="宋体" w:hAnsi="宋体" w:eastAsia="宋体" w:cs="宋体"/>
          <w:b/>
          <w:bCs/>
          <w:sz w:val="24"/>
          <w:szCs w:val="24"/>
          <w:highlight w:val="none"/>
        </w:rPr>
        <w:t>4、综合评审：</w:t>
      </w:r>
      <w:r>
        <w:rPr>
          <w:rFonts w:hint="eastAsia" w:ascii="宋体" w:hAnsi="宋体" w:eastAsia="宋体" w:cs="宋体"/>
          <w:sz w:val="24"/>
          <w:szCs w:val="24"/>
          <w:highlight w:val="none"/>
        </w:rPr>
        <w:t>对于经初审合格的所有</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，由磋商小组各成员依据磋商响应文件和最终报价，按照下列评审方法规定的内容独立进行综合评价、比较打分，然后汇总每个</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的得分，从高到低依次排序，推荐成交候选人。</w:t>
      </w:r>
    </w:p>
    <w:p w14:paraId="2C4FFF90">
      <w:pPr>
        <w:pStyle w:val="29"/>
        <w:keepNext w:val="0"/>
        <w:keepLines w:val="0"/>
        <w:pageBreakBefore w:val="0"/>
        <w:shd w:val="clear"/>
        <w:kinsoku/>
        <w:wordWrap/>
        <w:overflowPunct/>
        <w:topLinePunct w:val="0"/>
        <w:bidi w:val="0"/>
        <w:snapToGrid/>
        <w:ind w:left="0" w:firstLine="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五、成交：</w:t>
      </w:r>
    </w:p>
    <w:p w14:paraId="71B19A81">
      <w:pPr>
        <w:keepNext w:val="0"/>
        <w:keepLines w:val="0"/>
        <w:pageBreakBefore w:val="0"/>
        <w:shd w:val="clear"/>
        <w:kinsoku/>
        <w:wordWrap/>
        <w:overflowPunct/>
        <w:topLinePunct w:val="0"/>
        <w:bidi w:val="0"/>
        <w:snapToGrid/>
        <w:spacing w:line="360" w:lineRule="auto"/>
        <w:ind w:firstLine="496" w:firstLineChars="200"/>
        <w:textAlignment w:val="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1、磋商结果报告由磋商小组全体成员签字确认。</w:t>
      </w:r>
    </w:p>
    <w:p w14:paraId="13AFC7F8">
      <w:pPr>
        <w:keepNext w:val="0"/>
        <w:keepLines w:val="0"/>
        <w:pageBreakBefore w:val="0"/>
        <w:shd w:val="clear"/>
        <w:kinsoku/>
        <w:wordWrap/>
        <w:overflowPunct/>
        <w:topLinePunct w:val="0"/>
        <w:bidi w:val="0"/>
        <w:snapToGrid/>
        <w:spacing w:line="360" w:lineRule="auto"/>
        <w:ind w:firstLine="496" w:firstLineChars="200"/>
        <w:textAlignment w:val="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2、采购人根据磋商结果报告中推荐的成交候选人确定中标人。</w:t>
      </w:r>
    </w:p>
    <w:p w14:paraId="3EC63F32">
      <w:pPr>
        <w:keepNext w:val="0"/>
        <w:keepLines w:val="0"/>
        <w:pageBreakBefore w:val="0"/>
        <w:shd w:val="clear"/>
        <w:kinsoku/>
        <w:wordWrap/>
        <w:overflowPunct/>
        <w:topLinePunct w:val="0"/>
        <w:autoSpaceDE w:val="0"/>
        <w:autoSpaceDN w:val="0"/>
        <w:bidi w:val="0"/>
        <w:adjustRightInd w:val="0"/>
        <w:snapToGrid/>
        <w:spacing w:line="360" w:lineRule="auto"/>
        <w:textAlignment w:val="auto"/>
        <w:rPr>
          <w:rFonts w:hint="eastAsia" w:ascii="宋体" w:hAnsi="宋体" w:eastAsia="宋体" w:cs="宋体"/>
          <w:b/>
          <w:bCs/>
          <w:sz w:val="24"/>
          <w:szCs w:val="24"/>
          <w:highlight w:val="none"/>
          <w:lang w:val="zh-CN"/>
        </w:rPr>
      </w:pPr>
      <w:r>
        <w:rPr>
          <w:rFonts w:hint="eastAsia" w:ascii="宋体" w:hAnsi="宋体" w:eastAsia="宋体" w:cs="宋体"/>
          <w:b/>
          <w:bCs/>
          <w:sz w:val="24"/>
          <w:szCs w:val="24"/>
          <w:highlight w:val="none"/>
          <w:lang w:val="zh-CN"/>
        </w:rPr>
        <w:t>六、确定成交单位</w:t>
      </w:r>
    </w:p>
    <w:p w14:paraId="0938F035">
      <w:pPr>
        <w:keepNext w:val="0"/>
        <w:keepLines w:val="0"/>
        <w:pageBreakBefore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val="zh-CN"/>
        </w:rPr>
        <w:t>、采购代理机构应在评审结束后两个工作日内，将评审报告送采购人确定成交单位。</w:t>
      </w:r>
    </w:p>
    <w:p w14:paraId="3ABDC993">
      <w:pPr>
        <w:keepNext w:val="0"/>
        <w:keepLines w:val="0"/>
        <w:pageBreakBefore w:val="0"/>
        <w:shd w:val="clear"/>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2、采购人在收到评审报告后五个工作日内，根据评审报告对评审过程及结果进行严格审核后确定成交人，复函采购代理机构。</w:t>
      </w:r>
    </w:p>
    <w:p w14:paraId="6C1FAE55">
      <w:pPr>
        <w:keepNext w:val="0"/>
        <w:keepLines w:val="0"/>
        <w:pageBreakBefore w:val="0"/>
        <w:shd w:val="clear"/>
        <w:tabs>
          <w:tab w:val="left" w:pos="1050"/>
        </w:tabs>
        <w:kinsoku/>
        <w:wordWrap/>
        <w:overflowPunct/>
        <w:topLinePunct w:val="0"/>
        <w:autoSpaceDE w:val="0"/>
        <w:autoSpaceDN w:val="0"/>
        <w:bidi w:val="0"/>
        <w:adjustRightInd w:val="0"/>
        <w:snapToGrid/>
        <w:spacing w:line="360" w:lineRule="auto"/>
        <w:ind w:left="105" w:firstLine="480" w:firstLineChars="200"/>
        <w:textAlignment w:val="auto"/>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3、采购代理机构在接到采购人的成交复函后，在发布媒体上发布成交公告，公告期限为一个工作日，并向成交投标供应商发出</w:t>
      </w:r>
      <w:r>
        <w:rPr>
          <w:rFonts w:hint="eastAsia" w:ascii="宋体" w:hAnsi="宋体" w:eastAsia="宋体" w:cs="宋体"/>
          <w:sz w:val="24"/>
          <w:szCs w:val="24"/>
          <w:highlight w:val="none"/>
        </w:rPr>
        <w:t>“成交</w:t>
      </w:r>
      <w:r>
        <w:rPr>
          <w:rFonts w:hint="eastAsia" w:ascii="宋体" w:hAnsi="宋体" w:eastAsia="宋体" w:cs="宋体"/>
          <w:sz w:val="24"/>
          <w:szCs w:val="24"/>
          <w:highlight w:val="none"/>
          <w:lang w:val="zh-CN"/>
        </w:rPr>
        <w:t>通知书</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zh-CN"/>
        </w:rPr>
        <w:t>。</w:t>
      </w:r>
    </w:p>
    <w:p w14:paraId="515B4A3C">
      <w:pPr>
        <w:shd w:val="clea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14:paraId="7FB98654">
      <w:pPr>
        <w:shd w:val="clear"/>
        <w:spacing w:line="360" w:lineRule="auto"/>
        <w:ind w:right="40" w:rightChars="19"/>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附件2.1.1：</w:t>
      </w:r>
    </w:p>
    <w:tbl>
      <w:tblPr>
        <w:tblStyle w:val="37"/>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602"/>
        <w:gridCol w:w="1804"/>
        <w:gridCol w:w="6351"/>
      </w:tblGrid>
      <w:tr w14:paraId="204F4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364" w:type="dxa"/>
            <w:gridSpan w:val="2"/>
            <w:vAlign w:val="center"/>
          </w:tcPr>
          <w:p w14:paraId="72E59AB6">
            <w:pPr>
              <w:shd w:val="clear"/>
              <w:tabs>
                <w:tab w:val="left" w:pos="0"/>
              </w:tabs>
              <w:adjustRightInd w:val="0"/>
              <w:snapToGrid w:val="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条款号</w:t>
            </w:r>
          </w:p>
        </w:tc>
        <w:tc>
          <w:tcPr>
            <w:tcW w:w="1804" w:type="dxa"/>
            <w:vAlign w:val="center"/>
          </w:tcPr>
          <w:p w14:paraId="5128F20C">
            <w:pPr>
              <w:shd w:val="clear"/>
              <w:tabs>
                <w:tab w:val="left" w:pos="0"/>
              </w:tabs>
              <w:adjustRightInd w:val="0"/>
              <w:snapToGrid w:val="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评审因素</w:t>
            </w:r>
          </w:p>
        </w:tc>
        <w:tc>
          <w:tcPr>
            <w:tcW w:w="6351" w:type="dxa"/>
            <w:vAlign w:val="center"/>
          </w:tcPr>
          <w:p w14:paraId="2B5FAA85">
            <w:pPr>
              <w:shd w:val="clear"/>
              <w:tabs>
                <w:tab w:val="left" w:pos="0"/>
              </w:tabs>
              <w:adjustRightInd w:val="0"/>
              <w:snapToGrid w:val="0"/>
              <w:jc w:val="center"/>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评审标准</w:t>
            </w:r>
          </w:p>
        </w:tc>
      </w:tr>
      <w:tr w14:paraId="2157A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jc w:val="center"/>
        </w:trPr>
        <w:tc>
          <w:tcPr>
            <w:tcW w:w="762" w:type="dxa"/>
            <w:vMerge w:val="restart"/>
            <w:vAlign w:val="center"/>
          </w:tcPr>
          <w:p w14:paraId="758F0117">
            <w:pPr>
              <w:shd w:val="clear"/>
              <w:tabs>
                <w:tab w:val="left" w:pos="0"/>
              </w:tabs>
              <w:adjustRightInd w:val="0"/>
              <w:snapToGrid w:val="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2.1.1</w:t>
            </w:r>
          </w:p>
        </w:tc>
        <w:tc>
          <w:tcPr>
            <w:tcW w:w="602" w:type="dxa"/>
            <w:vMerge w:val="restart"/>
            <w:vAlign w:val="center"/>
          </w:tcPr>
          <w:p w14:paraId="3332FAC4">
            <w:pPr>
              <w:shd w:val="clear"/>
              <w:tabs>
                <w:tab w:val="left" w:pos="0"/>
              </w:tabs>
              <w:adjustRightInd w:val="0"/>
              <w:snapToGrid w:val="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资格评审</w:t>
            </w:r>
          </w:p>
          <w:p w14:paraId="50EECCC4">
            <w:pPr>
              <w:shd w:val="clear"/>
              <w:tabs>
                <w:tab w:val="left" w:pos="0"/>
              </w:tabs>
              <w:adjustRightInd w:val="0"/>
              <w:snapToGrid w:val="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标准</w:t>
            </w:r>
          </w:p>
        </w:tc>
        <w:tc>
          <w:tcPr>
            <w:tcW w:w="1804" w:type="dxa"/>
            <w:vAlign w:val="center"/>
          </w:tcPr>
          <w:p w14:paraId="634C4930">
            <w:pPr>
              <w:shd w:val="clear"/>
              <w:tabs>
                <w:tab w:val="left" w:pos="0"/>
              </w:tabs>
              <w:adjustRightInd w:val="0"/>
              <w:snapToGrid w:val="0"/>
              <w:jc w:val="center"/>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营业执照</w:t>
            </w:r>
          </w:p>
        </w:tc>
        <w:tc>
          <w:tcPr>
            <w:tcW w:w="6351" w:type="dxa"/>
            <w:vAlign w:val="center"/>
          </w:tcPr>
          <w:p w14:paraId="699D48DC">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供应商具有独立承担民事责任能力的法人、其他组织或自然人，并出具合法有效的统一社会信用代码的营业执照或事业单位法人证书等国家规定的相关证明，自然人参与的提供其身份证明；</w:t>
            </w:r>
          </w:p>
        </w:tc>
      </w:tr>
      <w:tr w14:paraId="5909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762" w:type="dxa"/>
            <w:vMerge w:val="continue"/>
            <w:vAlign w:val="center"/>
          </w:tcPr>
          <w:p w14:paraId="36636BAA">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3A3A03A4">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vAlign w:val="center"/>
          </w:tcPr>
          <w:p w14:paraId="2E25BC00">
            <w:pPr>
              <w:shd w:val="clear"/>
              <w:tabs>
                <w:tab w:val="left" w:pos="0"/>
              </w:tabs>
              <w:adjustRightInd w:val="0"/>
              <w:snapToGrid w:val="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企业资质要求</w:t>
            </w:r>
          </w:p>
        </w:tc>
        <w:tc>
          <w:tcPr>
            <w:tcW w:w="6351" w:type="dxa"/>
            <w:vAlign w:val="center"/>
          </w:tcPr>
          <w:p w14:paraId="7ADFEC9B">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供应商须具有建筑工程施工总承包三级及以上施工资质，具有有效的安全生产许可证，并在人员、设备、资金等方面具有相应的施工能力；</w:t>
            </w:r>
          </w:p>
        </w:tc>
      </w:tr>
      <w:tr w14:paraId="062F0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62" w:type="dxa"/>
            <w:vMerge w:val="continue"/>
            <w:vAlign w:val="center"/>
          </w:tcPr>
          <w:p w14:paraId="32E677F6">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033C56DA">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vAlign w:val="center"/>
          </w:tcPr>
          <w:p w14:paraId="1C207219">
            <w:pPr>
              <w:shd w:val="clear"/>
              <w:tabs>
                <w:tab w:val="left" w:pos="0"/>
              </w:tabs>
              <w:adjustRightInd w:val="0"/>
              <w:snapToGrid w:val="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项目经理要求</w:t>
            </w:r>
          </w:p>
        </w:tc>
        <w:tc>
          <w:tcPr>
            <w:tcW w:w="6351" w:type="dxa"/>
            <w:vAlign w:val="center"/>
          </w:tcPr>
          <w:p w14:paraId="57AA57ED">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项目经理须具有建筑工程二级及以上注册建造师资格，具有安全生产考核合格证，且无在建工程（提供无在建承诺书）；</w:t>
            </w:r>
          </w:p>
        </w:tc>
      </w:tr>
      <w:tr w14:paraId="1DC8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62" w:type="dxa"/>
            <w:vMerge w:val="continue"/>
            <w:vAlign w:val="center"/>
          </w:tcPr>
          <w:p w14:paraId="50949442">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0198B7ED">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shd w:val="clear" w:color="auto" w:fill="auto"/>
            <w:vAlign w:val="center"/>
          </w:tcPr>
          <w:p w14:paraId="24F79643">
            <w:pPr>
              <w:shd w:val="clear"/>
              <w:tabs>
                <w:tab w:val="left" w:pos="0"/>
              </w:tabs>
              <w:adjustRightInd w:val="0"/>
              <w:snapToGrid w:val="0"/>
              <w:jc w:val="center"/>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法定代表人</w:t>
            </w:r>
          </w:p>
          <w:p w14:paraId="05B3C235">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授权书</w:t>
            </w:r>
          </w:p>
        </w:tc>
        <w:tc>
          <w:tcPr>
            <w:tcW w:w="6351" w:type="dxa"/>
            <w:shd w:val="clear" w:color="auto" w:fill="auto"/>
            <w:vAlign w:val="center"/>
          </w:tcPr>
          <w:p w14:paraId="75F55320">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供应商应授权合法的人员参加磋商全过程，其中法定代表人直接参加磋商的，须出具法定代表人身份证，并与营业执照上信息一致；法定代表人授权代表参加磋商的，须出具法定代表人授权书及授权代表身份证；</w:t>
            </w:r>
          </w:p>
        </w:tc>
      </w:tr>
      <w:tr w14:paraId="6E61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2" w:type="dxa"/>
            <w:vMerge w:val="continue"/>
            <w:vAlign w:val="center"/>
          </w:tcPr>
          <w:p w14:paraId="23BF2940">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3A8A984A">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shd w:val="clear" w:color="auto" w:fill="auto"/>
            <w:vAlign w:val="center"/>
          </w:tcPr>
          <w:p w14:paraId="161B1840">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财务报告</w:t>
            </w:r>
          </w:p>
        </w:tc>
        <w:tc>
          <w:tcPr>
            <w:tcW w:w="6351" w:type="dxa"/>
            <w:shd w:val="clear" w:color="auto" w:fill="auto"/>
            <w:vAlign w:val="center"/>
          </w:tcPr>
          <w:p w14:paraId="30EE09AE">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提供2024年度的财务报表（至少包括资产负债表和利润表，成立时间至提交竞争性磋商响应文件截止时间不足一年的可提供成立后任意时段的资产负债表），或其开标前半年内基本存款账户开户银行出具的资信证明（附开户许可证或开户备案证明）；</w:t>
            </w:r>
          </w:p>
        </w:tc>
      </w:tr>
      <w:tr w14:paraId="6590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762" w:type="dxa"/>
            <w:vMerge w:val="continue"/>
            <w:vAlign w:val="center"/>
          </w:tcPr>
          <w:p w14:paraId="08BF6B0D">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60AEC5D1">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shd w:val="clear" w:color="auto" w:fill="auto"/>
            <w:vAlign w:val="center"/>
          </w:tcPr>
          <w:p w14:paraId="2B31A0BC">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完税证明</w:t>
            </w:r>
          </w:p>
        </w:tc>
        <w:tc>
          <w:tcPr>
            <w:tcW w:w="6351" w:type="dxa"/>
            <w:shd w:val="clear" w:color="auto" w:fill="auto"/>
            <w:vAlign w:val="center"/>
          </w:tcPr>
          <w:p w14:paraId="75A82263">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供应商提供 2024年06月至今已缴纳的至少任意连续三个月的纳税证明或完税证明，依法免税的单位应提供相关证明材料；</w:t>
            </w:r>
          </w:p>
        </w:tc>
      </w:tr>
      <w:tr w14:paraId="1EA19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2" w:type="dxa"/>
            <w:vMerge w:val="continue"/>
            <w:vAlign w:val="center"/>
          </w:tcPr>
          <w:p w14:paraId="096118BD">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601782F4">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shd w:val="clear" w:color="auto" w:fill="auto"/>
            <w:vAlign w:val="center"/>
          </w:tcPr>
          <w:p w14:paraId="6F6B1E83">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社会保障资金缴纳证明</w:t>
            </w:r>
          </w:p>
        </w:tc>
        <w:tc>
          <w:tcPr>
            <w:tcW w:w="6351" w:type="dxa"/>
            <w:shd w:val="clear" w:color="auto" w:fill="auto"/>
            <w:vAlign w:val="center"/>
          </w:tcPr>
          <w:p w14:paraId="05137F3A">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供应商提供2024年06月至今已缴纳的至少任意连续三个月的社会保障资金缴存单据或社保机构开具的社会保险参保缴费情况证明，依法不需要缴纳社会保障资金的单位应提供相关证明材料；</w:t>
            </w:r>
          </w:p>
        </w:tc>
      </w:tr>
      <w:tr w14:paraId="412E7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62" w:type="dxa"/>
            <w:vMerge w:val="continue"/>
            <w:vAlign w:val="center"/>
          </w:tcPr>
          <w:p w14:paraId="7115870E">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004AE026">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shd w:val="clear" w:color="auto" w:fill="auto"/>
            <w:vAlign w:val="center"/>
          </w:tcPr>
          <w:p w14:paraId="24885A9D">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eastAsia="zh-CN"/>
              </w:rPr>
              <w:t>相关主体查询</w:t>
            </w:r>
          </w:p>
        </w:tc>
        <w:tc>
          <w:tcPr>
            <w:tcW w:w="6351" w:type="dxa"/>
            <w:shd w:val="clear" w:color="auto" w:fill="auto"/>
            <w:vAlign w:val="center"/>
          </w:tcPr>
          <w:p w14:paraId="13FDA81D">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p>
        </w:tc>
      </w:tr>
      <w:tr w14:paraId="5C0FF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62" w:type="dxa"/>
            <w:vMerge w:val="continue"/>
            <w:vAlign w:val="center"/>
          </w:tcPr>
          <w:p w14:paraId="3134BB5D">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6D38A471">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vAlign w:val="center"/>
          </w:tcPr>
          <w:p w14:paraId="322BE9BE">
            <w:pPr>
              <w:shd w:val="clear"/>
              <w:tabs>
                <w:tab w:val="left" w:pos="0"/>
              </w:tabs>
              <w:adjustRightInd w:val="0"/>
              <w:snapToGrid w:val="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eastAsia="zh-CN"/>
              </w:rPr>
              <w:t>控股、管理</w:t>
            </w:r>
            <w:r>
              <w:rPr>
                <w:rFonts w:hint="eastAsia" w:ascii="宋体" w:hAnsi="宋体" w:eastAsia="宋体" w:cs="宋体"/>
                <w:bCs/>
                <w:color w:val="auto"/>
                <w:sz w:val="21"/>
                <w:szCs w:val="21"/>
                <w:highlight w:val="none"/>
                <w:lang w:val="en-US" w:eastAsia="zh-CN"/>
              </w:rPr>
              <w:t xml:space="preserve">      </w:t>
            </w:r>
          </w:p>
          <w:p w14:paraId="701A9769">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eastAsia="zh-CN"/>
              </w:rPr>
              <w:t>关系</w:t>
            </w:r>
            <w:r>
              <w:rPr>
                <w:rFonts w:hint="eastAsia" w:ascii="宋体" w:hAnsi="宋体" w:eastAsia="宋体" w:cs="宋体"/>
                <w:bCs/>
                <w:color w:val="auto"/>
                <w:sz w:val="21"/>
                <w:szCs w:val="21"/>
                <w:highlight w:val="none"/>
                <w:lang w:val="en-US" w:eastAsia="zh-CN"/>
              </w:rPr>
              <w:t>承诺</w:t>
            </w:r>
          </w:p>
        </w:tc>
        <w:tc>
          <w:tcPr>
            <w:tcW w:w="6351" w:type="dxa"/>
            <w:vAlign w:val="center"/>
          </w:tcPr>
          <w:p w14:paraId="72F28B9B">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供应商负责人为同一人或者存在直接控股、管理关系的不同供应商，不得同时参加本项目磋商，提供承诺书；</w:t>
            </w:r>
          </w:p>
        </w:tc>
      </w:tr>
      <w:tr w14:paraId="5134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762" w:type="dxa"/>
            <w:vMerge w:val="continue"/>
            <w:vAlign w:val="center"/>
          </w:tcPr>
          <w:p w14:paraId="4454601C">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332F4D4B">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shd w:val="clear" w:color="auto" w:fill="auto"/>
            <w:vAlign w:val="center"/>
          </w:tcPr>
          <w:p w14:paraId="11F4738E">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具有履行合同所必需的设备和专业技术能力</w:t>
            </w:r>
          </w:p>
        </w:tc>
        <w:tc>
          <w:tcPr>
            <w:tcW w:w="6351" w:type="dxa"/>
            <w:shd w:val="clear" w:color="auto" w:fill="auto"/>
            <w:vAlign w:val="center"/>
          </w:tcPr>
          <w:p w14:paraId="4159873C">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供应商须具有履行合同所必需的设备和专业技术能力的承诺书；</w:t>
            </w:r>
          </w:p>
        </w:tc>
      </w:tr>
      <w:tr w14:paraId="32A4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62" w:type="dxa"/>
            <w:vMerge w:val="continue"/>
            <w:vAlign w:val="center"/>
          </w:tcPr>
          <w:p w14:paraId="59AD2E00">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738CE106">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vAlign w:val="center"/>
          </w:tcPr>
          <w:p w14:paraId="14662935">
            <w:pPr>
              <w:shd w:val="clear"/>
              <w:tabs>
                <w:tab w:val="left" w:pos="0"/>
              </w:tabs>
              <w:adjustRightInd w:val="0"/>
              <w:snapToGrid w:val="0"/>
              <w:jc w:val="center"/>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rPr>
              <w:t>无重大违法记录的书面声明</w:t>
            </w:r>
          </w:p>
        </w:tc>
        <w:tc>
          <w:tcPr>
            <w:tcW w:w="6351" w:type="dxa"/>
            <w:vAlign w:val="center"/>
          </w:tcPr>
          <w:p w14:paraId="1759FBFE">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kern w:val="2"/>
                <w:sz w:val="21"/>
                <w:szCs w:val="21"/>
                <w:highlight w:val="none"/>
                <w:lang w:val="en-US" w:eastAsia="zh-CN" w:bidi="ar-SA"/>
              </w:rPr>
              <w:t>参加政府采购活动前三年内，在经营活动中没有重大违法记录的书面声明；</w:t>
            </w:r>
          </w:p>
        </w:tc>
      </w:tr>
      <w:tr w14:paraId="7648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62" w:type="dxa"/>
            <w:vMerge w:val="continue"/>
            <w:vAlign w:val="center"/>
          </w:tcPr>
          <w:p w14:paraId="213F854A">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602" w:type="dxa"/>
            <w:vMerge w:val="continue"/>
            <w:vAlign w:val="center"/>
          </w:tcPr>
          <w:p w14:paraId="2C81B5CA">
            <w:pPr>
              <w:shd w:val="clear"/>
              <w:tabs>
                <w:tab w:val="left" w:pos="0"/>
              </w:tabs>
              <w:adjustRightInd w:val="0"/>
              <w:snapToGrid w:val="0"/>
              <w:jc w:val="center"/>
              <w:rPr>
                <w:rFonts w:hint="eastAsia" w:ascii="宋体" w:hAnsi="宋体" w:eastAsia="宋体" w:cs="宋体"/>
                <w:bCs/>
                <w:color w:val="auto"/>
                <w:sz w:val="21"/>
                <w:szCs w:val="21"/>
                <w:highlight w:val="none"/>
              </w:rPr>
            </w:pPr>
          </w:p>
        </w:tc>
        <w:tc>
          <w:tcPr>
            <w:tcW w:w="1804" w:type="dxa"/>
            <w:vAlign w:val="center"/>
          </w:tcPr>
          <w:p w14:paraId="5AC9704D">
            <w:pPr>
              <w:shd w:val="clear"/>
              <w:tabs>
                <w:tab w:val="left" w:pos="0"/>
              </w:tabs>
              <w:adjustRightInd w:val="0"/>
              <w:snapToGrid w:val="0"/>
              <w:jc w:val="center"/>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中小企业声明函</w:t>
            </w:r>
          </w:p>
        </w:tc>
        <w:tc>
          <w:tcPr>
            <w:tcW w:w="6351" w:type="dxa"/>
            <w:vAlign w:val="center"/>
          </w:tcPr>
          <w:p w14:paraId="1681E4A4">
            <w:pPr>
              <w:keepNext w:val="0"/>
              <w:keepLines w:val="0"/>
              <w:pageBreakBefore w:val="0"/>
              <w:widowControl w:val="0"/>
              <w:shd w:val="clear"/>
              <w:tabs>
                <w:tab w:val="left" w:pos="0"/>
              </w:tabs>
              <w:kinsoku/>
              <w:wordWrap/>
              <w:overflowPunct/>
              <w:topLinePunct w:val="0"/>
              <w:autoSpaceDE/>
              <w:autoSpaceDN/>
              <w:bidi w:val="0"/>
              <w:adjustRightInd w:val="0"/>
              <w:snapToGrid w:val="0"/>
              <w:spacing w:line="34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本项目专门面向中小企业采购（提供中小企业声明函）。  </w:t>
            </w:r>
          </w:p>
        </w:tc>
      </w:tr>
      <w:tr w14:paraId="78587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9519" w:type="dxa"/>
            <w:gridSpan w:val="4"/>
            <w:vAlign w:val="center"/>
          </w:tcPr>
          <w:p w14:paraId="179355E2">
            <w:pPr>
              <w:shd w:val="clear"/>
              <w:tabs>
                <w:tab w:val="left" w:pos="0"/>
              </w:tabs>
              <w:adjustRightInd w:val="0"/>
              <w:snapToGrid w:val="0"/>
              <w:jc w:val="left"/>
              <w:rPr>
                <w:rFonts w:hint="eastAsia" w:ascii="宋体" w:hAnsi="宋体" w:eastAsia="宋体" w:cs="宋体"/>
                <w:b/>
                <w:color w:val="auto"/>
                <w:sz w:val="20"/>
                <w:szCs w:val="20"/>
                <w:highlight w:val="none"/>
              </w:rPr>
            </w:pPr>
            <w:r>
              <w:rPr>
                <w:rFonts w:hint="eastAsia" w:ascii="宋体" w:hAnsi="宋体" w:eastAsia="宋体" w:cs="宋体"/>
                <w:b/>
                <w:color w:val="auto"/>
                <w:sz w:val="21"/>
                <w:szCs w:val="21"/>
                <w:highlight w:val="none"/>
              </w:rPr>
              <w:t>注：以上为必备资质，缺一项或某项达不到要求，按无效文件处理。</w:t>
            </w:r>
          </w:p>
        </w:tc>
      </w:tr>
    </w:tbl>
    <w:p w14:paraId="3E976CCD">
      <w:pPr>
        <w:shd w:val="clea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br w:type="page"/>
      </w:r>
    </w:p>
    <w:p w14:paraId="502D26BB">
      <w:pPr>
        <w:shd w:val="clear"/>
        <w:spacing w:line="360" w:lineRule="auto"/>
        <w:ind w:right="40" w:rightChars="19"/>
        <w:rPr>
          <w:rFonts w:hint="eastAsia" w:ascii="宋体" w:hAnsi="宋体" w:eastAsia="宋体" w:cs="宋体"/>
          <w:b/>
          <w:bCs/>
          <w:highlight w:val="none"/>
        </w:rPr>
      </w:pPr>
      <w:r>
        <w:rPr>
          <w:rFonts w:hint="eastAsia" w:ascii="宋体" w:hAnsi="宋体" w:eastAsia="宋体" w:cs="宋体"/>
          <w:b/>
          <w:bCs/>
          <w:sz w:val="24"/>
          <w:szCs w:val="24"/>
          <w:highlight w:val="none"/>
        </w:rPr>
        <w:t>附件2.1.2：</w:t>
      </w:r>
    </w:p>
    <w:tbl>
      <w:tblPr>
        <w:tblStyle w:val="37"/>
        <w:tblW w:w="9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592"/>
        <w:gridCol w:w="573"/>
        <w:gridCol w:w="2221"/>
        <w:gridCol w:w="5221"/>
      </w:tblGrid>
      <w:tr w14:paraId="7028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344" w:type="dxa"/>
            <w:gridSpan w:val="2"/>
            <w:vAlign w:val="center"/>
          </w:tcPr>
          <w:p w14:paraId="54C4FC9B">
            <w:pPr>
              <w:shd w:val="clear"/>
              <w:tabs>
                <w:tab w:val="left" w:pos="0"/>
              </w:tabs>
              <w:adjustRightInd w:val="0"/>
              <w:snapToGrid w:val="0"/>
              <w:jc w:val="center"/>
              <w:rPr>
                <w:rFonts w:hint="eastAsia" w:ascii="宋体" w:hAnsi="宋体" w:eastAsia="宋体" w:cs="宋体"/>
                <w:b/>
                <w:bCs w:val="0"/>
                <w:sz w:val="22"/>
                <w:szCs w:val="22"/>
                <w:highlight w:val="none"/>
              </w:rPr>
            </w:pPr>
            <w:r>
              <w:rPr>
                <w:rFonts w:hint="eastAsia" w:ascii="宋体" w:hAnsi="宋体" w:eastAsia="宋体" w:cs="宋体"/>
                <w:b/>
                <w:bCs w:val="0"/>
                <w:sz w:val="22"/>
                <w:szCs w:val="22"/>
                <w:highlight w:val="none"/>
              </w:rPr>
              <w:t>条款号</w:t>
            </w:r>
          </w:p>
        </w:tc>
        <w:tc>
          <w:tcPr>
            <w:tcW w:w="2794" w:type="dxa"/>
            <w:gridSpan w:val="2"/>
            <w:vAlign w:val="center"/>
          </w:tcPr>
          <w:p w14:paraId="31374803">
            <w:pPr>
              <w:shd w:val="clear"/>
              <w:tabs>
                <w:tab w:val="left" w:pos="0"/>
              </w:tabs>
              <w:adjustRightInd w:val="0"/>
              <w:snapToGrid w:val="0"/>
              <w:jc w:val="center"/>
              <w:rPr>
                <w:rFonts w:hint="eastAsia" w:ascii="宋体" w:hAnsi="宋体" w:eastAsia="宋体" w:cs="宋体"/>
                <w:b/>
                <w:bCs w:val="0"/>
                <w:sz w:val="22"/>
                <w:szCs w:val="22"/>
                <w:highlight w:val="none"/>
              </w:rPr>
            </w:pPr>
            <w:r>
              <w:rPr>
                <w:rFonts w:hint="eastAsia" w:ascii="宋体" w:hAnsi="宋体" w:eastAsia="宋体" w:cs="宋体"/>
                <w:b/>
                <w:bCs w:val="0"/>
                <w:sz w:val="22"/>
                <w:szCs w:val="22"/>
                <w:highlight w:val="none"/>
              </w:rPr>
              <w:t>评审因素</w:t>
            </w:r>
          </w:p>
        </w:tc>
        <w:tc>
          <w:tcPr>
            <w:tcW w:w="5221" w:type="dxa"/>
            <w:vAlign w:val="center"/>
          </w:tcPr>
          <w:p w14:paraId="32040FD6">
            <w:pPr>
              <w:shd w:val="clear"/>
              <w:tabs>
                <w:tab w:val="left" w:pos="0"/>
              </w:tabs>
              <w:adjustRightInd w:val="0"/>
              <w:snapToGrid w:val="0"/>
              <w:jc w:val="center"/>
              <w:rPr>
                <w:rFonts w:hint="eastAsia" w:ascii="宋体" w:hAnsi="宋体" w:eastAsia="宋体" w:cs="宋体"/>
                <w:b/>
                <w:bCs w:val="0"/>
                <w:sz w:val="22"/>
                <w:szCs w:val="22"/>
                <w:highlight w:val="none"/>
              </w:rPr>
            </w:pPr>
            <w:r>
              <w:rPr>
                <w:rFonts w:hint="eastAsia" w:ascii="宋体" w:hAnsi="宋体" w:eastAsia="宋体" w:cs="宋体"/>
                <w:b/>
                <w:bCs w:val="0"/>
                <w:sz w:val="22"/>
                <w:szCs w:val="22"/>
                <w:highlight w:val="none"/>
              </w:rPr>
              <w:t>评审标准</w:t>
            </w:r>
          </w:p>
        </w:tc>
      </w:tr>
      <w:tr w14:paraId="5C11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restart"/>
            <w:vAlign w:val="center"/>
          </w:tcPr>
          <w:p w14:paraId="20D23438">
            <w:pPr>
              <w:shd w:val="clear"/>
              <w:tabs>
                <w:tab w:val="left" w:pos="0"/>
              </w:tabs>
              <w:adjustRightInd w:val="0"/>
              <w:snapToGrid w:val="0"/>
              <w:spacing w:line="360" w:lineRule="auto"/>
              <w:jc w:val="center"/>
              <w:rPr>
                <w:rFonts w:hint="eastAsia" w:ascii="宋体" w:hAnsi="宋体" w:eastAsia="宋体" w:cs="宋体"/>
                <w:bCs/>
                <w:highlight w:val="none"/>
              </w:rPr>
            </w:pPr>
            <w:r>
              <w:rPr>
                <w:rFonts w:hint="eastAsia" w:ascii="宋体" w:hAnsi="宋体" w:eastAsia="宋体" w:cs="宋体"/>
                <w:bCs/>
                <w:highlight w:val="none"/>
              </w:rPr>
              <w:t>2.1.2</w:t>
            </w:r>
          </w:p>
        </w:tc>
        <w:tc>
          <w:tcPr>
            <w:tcW w:w="592" w:type="dxa"/>
            <w:vMerge w:val="restart"/>
            <w:vAlign w:val="center"/>
          </w:tcPr>
          <w:p w14:paraId="77DD2B92">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符合性评审标准</w:t>
            </w:r>
          </w:p>
        </w:tc>
        <w:tc>
          <w:tcPr>
            <w:tcW w:w="573" w:type="dxa"/>
            <w:vMerge w:val="restart"/>
            <w:vAlign w:val="center"/>
          </w:tcPr>
          <w:p w14:paraId="333261B4">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有效性审查</w:t>
            </w:r>
          </w:p>
        </w:tc>
        <w:tc>
          <w:tcPr>
            <w:tcW w:w="2221" w:type="dxa"/>
            <w:vAlign w:val="center"/>
          </w:tcPr>
          <w:p w14:paraId="14A6C00D">
            <w:pPr>
              <w:shd w:val="clear"/>
              <w:tabs>
                <w:tab w:val="left" w:pos="0"/>
              </w:tabs>
              <w:adjustRightInd w:val="0"/>
              <w:snapToGrid w:val="0"/>
              <w:spacing w:line="360" w:lineRule="auto"/>
              <w:jc w:val="center"/>
              <w:rPr>
                <w:rFonts w:hint="eastAsia" w:ascii="宋体" w:hAnsi="宋体" w:eastAsia="宋体" w:cs="宋体"/>
                <w:bCs/>
                <w:highlight w:val="none"/>
              </w:rPr>
            </w:pPr>
            <w:r>
              <w:rPr>
                <w:rFonts w:hint="eastAsia" w:ascii="宋体" w:hAnsi="宋体" w:eastAsia="宋体" w:cs="宋体"/>
                <w:bCs/>
                <w:highlight w:val="none"/>
              </w:rPr>
              <w:t>磋商响应文件的签署盖章</w:t>
            </w:r>
          </w:p>
        </w:tc>
        <w:tc>
          <w:tcPr>
            <w:tcW w:w="5221" w:type="dxa"/>
            <w:vAlign w:val="center"/>
          </w:tcPr>
          <w:p w14:paraId="0F9D01B0">
            <w:pPr>
              <w:shd w:val="clear"/>
              <w:tabs>
                <w:tab w:val="left" w:pos="0"/>
              </w:tabs>
              <w:adjustRightInd w:val="0"/>
              <w:snapToGrid w:val="0"/>
              <w:spacing w:line="360" w:lineRule="auto"/>
              <w:rPr>
                <w:rFonts w:hint="eastAsia" w:ascii="宋体" w:hAnsi="宋体" w:eastAsia="宋体" w:cs="宋体"/>
                <w:bCs/>
                <w:highlight w:val="none"/>
              </w:rPr>
            </w:pPr>
            <w:r>
              <w:rPr>
                <w:rFonts w:hint="eastAsia" w:ascii="宋体" w:hAnsi="宋体" w:eastAsia="宋体" w:cs="宋体"/>
                <w:bCs/>
                <w:highlight w:val="none"/>
              </w:rPr>
              <w:t>磋商响应文件上法定代表人或其授权代表人的签字齐全并加盖公章。</w:t>
            </w:r>
          </w:p>
        </w:tc>
      </w:tr>
      <w:tr w14:paraId="46C5E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tcPr>
          <w:p w14:paraId="19A909CF">
            <w:pPr>
              <w:shd w:val="clear"/>
              <w:tabs>
                <w:tab w:val="left" w:pos="0"/>
              </w:tabs>
              <w:adjustRightInd w:val="0"/>
              <w:snapToGrid w:val="0"/>
              <w:spacing w:line="360" w:lineRule="auto"/>
              <w:rPr>
                <w:rFonts w:hint="eastAsia" w:ascii="宋体" w:hAnsi="宋体" w:eastAsia="宋体" w:cs="宋体"/>
                <w:bCs/>
                <w:highlight w:val="none"/>
              </w:rPr>
            </w:pPr>
          </w:p>
        </w:tc>
        <w:tc>
          <w:tcPr>
            <w:tcW w:w="592" w:type="dxa"/>
            <w:vMerge w:val="continue"/>
          </w:tcPr>
          <w:p w14:paraId="17C87AA0">
            <w:pPr>
              <w:shd w:val="clear"/>
              <w:tabs>
                <w:tab w:val="left" w:pos="0"/>
              </w:tabs>
              <w:adjustRightInd w:val="0"/>
              <w:snapToGrid w:val="0"/>
              <w:spacing w:line="360" w:lineRule="auto"/>
              <w:rPr>
                <w:rFonts w:hint="eastAsia" w:ascii="宋体" w:hAnsi="宋体" w:eastAsia="宋体" w:cs="宋体"/>
                <w:bCs/>
                <w:highlight w:val="none"/>
              </w:rPr>
            </w:pPr>
          </w:p>
        </w:tc>
        <w:tc>
          <w:tcPr>
            <w:tcW w:w="573" w:type="dxa"/>
            <w:vMerge w:val="continue"/>
          </w:tcPr>
          <w:p w14:paraId="7ECDF54C">
            <w:pPr>
              <w:shd w:val="clear"/>
              <w:tabs>
                <w:tab w:val="left" w:pos="0"/>
              </w:tabs>
              <w:adjustRightInd w:val="0"/>
              <w:snapToGrid w:val="0"/>
              <w:rPr>
                <w:rFonts w:hint="eastAsia" w:ascii="宋体" w:hAnsi="宋体" w:eastAsia="宋体" w:cs="宋体"/>
                <w:bCs/>
                <w:highlight w:val="none"/>
              </w:rPr>
            </w:pPr>
          </w:p>
        </w:tc>
        <w:tc>
          <w:tcPr>
            <w:tcW w:w="2221" w:type="dxa"/>
            <w:vAlign w:val="center"/>
          </w:tcPr>
          <w:p w14:paraId="46345235">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磋商响应文件格式</w:t>
            </w:r>
          </w:p>
        </w:tc>
        <w:tc>
          <w:tcPr>
            <w:tcW w:w="5221" w:type="dxa"/>
            <w:vAlign w:val="center"/>
          </w:tcPr>
          <w:p w14:paraId="76671C26">
            <w:pPr>
              <w:shd w:val="clear"/>
              <w:tabs>
                <w:tab w:val="left" w:pos="0"/>
              </w:tabs>
              <w:adjustRightInd w:val="0"/>
              <w:snapToGrid w:val="0"/>
              <w:rPr>
                <w:rFonts w:hint="eastAsia" w:ascii="宋体" w:hAnsi="宋体" w:eastAsia="宋体" w:cs="宋体"/>
                <w:bCs/>
                <w:highlight w:val="none"/>
              </w:rPr>
            </w:pPr>
            <w:r>
              <w:rPr>
                <w:rFonts w:hint="eastAsia" w:ascii="宋体" w:hAnsi="宋体" w:eastAsia="宋体" w:cs="宋体"/>
                <w:bCs/>
                <w:highlight w:val="none"/>
              </w:rPr>
              <w:t>应符合“磋商响应文件格式”要求。</w:t>
            </w:r>
          </w:p>
        </w:tc>
      </w:tr>
      <w:tr w14:paraId="1A45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tcPr>
          <w:p w14:paraId="39CB3B4E">
            <w:pPr>
              <w:shd w:val="clear"/>
              <w:tabs>
                <w:tab w:val="left" w:pos="0"/>
              </w:tabs>
              <w:adjustRightInd w:val="0"/>
              <w:snapToGrid w:val="0"/>
              <w:spacing w:line="360" w:lineRule="auto"/>
              <w:rPr>
                <w:rFonts w:hint="eastAsia" w:ascii="宋体" w:hAnsi="宋体" w:eastAsia="宋体" w:cs="宋体"/>
                <w:bCs/>
                <w:highlight w:val="none"/>
              </w:rPr>
            </w:pPr>
          </w:p>
        </w:tc>
        <w:tc>
          <w:tcPr>
            <w:tcW w:w="592" w:type="dxa"/>
            <w:vMerge w:val="continue"/>
          </w:tcPr>
          <w:p w14:paraId="53BD6E1B">
            <w:pPr>
              <w:shd w:val="clear"/>
              <w:tabs>
                <w:tab w:val="left" w:pos="0"/>
              </w:tabs>
              <w:adjustRightInd w:val="0"/>
              <w:snapToGrid w:val="0"/>
              <w:spacing w:line="360" w:lineRule="auto"/>
              <w:rPr>
                <w:rFonts w:hint="eastAsia" w:ascii="宋体" w:hAnsi="宋体" w:eastAsia="宋体" w:cs="宋体"/>
                <w:bCs/>
                <w:highlight w:val="none"/>
              </w:rPr>
            </w:pPr>
          </w:p>
        </w:tc>
        <w:tc>
          <w:tcPr>
            <w:tcW w:w="573" w:type="dxa"/>
            <w:vMerge w:val="continue"/>
          </w:tcPr>
          <w:p w14:paraId="665B5592">
            <w:pPr>
              <w:shd w:val="clear"/>
              <w:tabs>
                <w:tab w:val="left" w:pos="0"/>
              </w:tabs>
              <w:adjustRightInd w:val="0"/>
              <w:snapToGrid w:val="0"/>
              <w:rPr>
                <w:rFonts w:hint="eastAsia" w:ascii="宋体" w:hAnsi="宋体" w:eastAsia="宋体" w:cs="宋体"/>
                <w:bCs/>
                <w:highlight w:val="none"/>
              </w:rPr>
            </w:pPr>
          </w:p>
        </w:tc>
        <w:tc>
          <w:tcPr>
            <w:tcW w:w="2221" w:type="dxa"/>
            <w:vAlign w:val="center"/>
          </w:tcPr>
          <w:p w14:paraId="17AFCD2D">
            <w:pPr>
              <w:shd w:val="clear"/>
              <w:tabs>
                <w:tab w:val="left" w:pos="0"/>
              </w:tabs>
              <w:adjustRightInd w:val="0"/>
              <w:snapToGrid w:val="0"/>
              <w:spacing w:line="360" w:lineRule="auto"/>
              <w:jc w:val="center"/>
              <w:rPr>
                <w:rFonts w:hint="eastAsia" w:ascii="宋体" w:hAnsi="宋体" w:eastAsia="宋体" w:cs="宋体"/>
                <w:bCs/>
                <w:highlight w:val="none"/>
              </w:rPr>
            </w:pPr>
            <w:r>
              <w:rPr>
                <w:rFonts w:hint="eastAsia" w:ascii="宋体" w:hAnsi="宋体" w:eastAsia="宋体" w:cs="宋体"/>
                <w:bCs/>
                <w:highlight w:val="none"/>
              </w:rPr>
              <w:t>报价唯一</w:t>
            </w:r>
          </w:p>
        </w:tc>
        <w:tc>
          <w:tcPr>
            <w:tcW w:w="5221" w:type="dxa"/>
            <w:vAlign w:val="center"/>
          </w:tcPr>
          <w:p w14:paraId="562648FD">
            <w:pPr>
              <w:shd w:val="clear"/>
              <w:tabs>
                <w:tab w:val="left" w:pos="0"/>
              </w:tabs>
              <w:adjustRightInd w:val="0"/>
              <w:snapToGrid w:val="0"/>
              <w:spacing w:line="360" w:lineRule="auto"/>
              <w:rPr>
                <w:rFonts w:hint="eastAsia" w:ascii="宋体" w:hAnsi="宋体" w:eastAsia="宋体" w:cs="宋体"/>
                <w:bCs/>
                <w:highlight w:val="none"/>
              </w:rPr>
            </w:pPr>
            <w:r>
              <w:rPr>
                <w:rFonts w:hint="eastAsia" w:ascii="宋体" w:hAnsi="宋体" w:eastAsia="宋体" w:cs="宋体"/>
                <w:bCs/>
                <w:highlight w:val="none"/>
              </w:rPr>
              <w:t>只能有一个有效报价，不得提交选择性报价，且报价不超过最高限价。</w:t>
            </w:r>
          </w:p>
        </w:tc>
      </w:tr>
      <w:tr w14:paraId="6A69D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vAlign w:val="center"/>
          </w:tcPr>
          <w:p w14:paraId="1C26D3FF">
            <w:pPr>
              <w:shd w:val="clear"/>
              <w:tabs>
                <w:tab w:val="left" w:pos="0"/>
              </w:tabs>
              <w:adjustRightInd w:val="0"/>
              <w:snapToGrid w:val="0"/>
              <w:spacing w:line="360" w:lineRule="auto"/>
              <w:jc w:val="center"/>
              <w:rPr>
                <w:rFonts w:hint="eastAsia" w:ascii="宋体" w:hAnsi="宋体" w:eastAsia="宋体" w:cs="宋体"/>
                <w:bCs/>
                <w:highlight w:val="none"/>
              </w:rPr>
            </w:pPr>
          </w:p>
        </w:tc>
        <w:tc>
          <w:tcPr>
            <w:tcW w:w="592" w:type="dxa"/>
            <w:vMerge w:val="continue"/>
            <w:vAlign w:val="center"/>
          </w:tcPr>
          <w:p w14:paraId="7CE29176">
            <w:pPr>
              <w:shd w:val="clear"/>
              <w:tabs>
                <w:tab w:val="left" w:pos="0"/>
              </w:tabs>
              <w:adjustRightInd w:val="0"/>
              <w:snapToGrid w:val="0"/>
              <w:jc w:val="center"/>
              <w:rPr>
                <w:rFonts w:hint="eastAsia" w:ascii="宋体" w:hAnsi="宋体" w:eastAsia="宋体" w:cs="宋体"/>
                <w:bCs/>
                <w:highlight w:val="none"/>
              </w:rPr>
            </w:pPr>
          </w:p>
        </w:tc>
        <w:tc>
          <w:tcPr>
            <w:tcW w:w="573" w:type="dxa"/>
            <w:vMerge w:val="restart"/>
            <w:vAlign w:val="center"/>
          </w:tcPr>
          <w:p w14:paraId="0B8C69C6">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完整性审查</w:t>
            </w:r>
          </w:p>
        </w:tc>
        <w:tc>
          <w:tcPr>
            <w:tcW w:w="2221" w:type="dxa"/>
            <w:vAlign w:val="center"/>
          </w:tcPr>
          <w:p w14:paraId="350D17C3">
            <w:pPr>
              <w:shd w:val="clear"/>
              <w:tabs>
                <w:tab w:val="left" w:pos="0"/>
              </w:tabs>
              <w:adjustRightInd w:val="0"/>
              <w:snapToGrid w:val="0"/>
              <w:spacing w:line="360" w:lineRule="auto"/>
              <w:jc w:val="center"/>
              <w:rPr>
                <w:rFonts w:hint="eastAsia" w:ascii="宋体" w:hAnsi="宋体" w:eastAsia="宋体" w:cs="宋体"/>
                <w:bCs/>
                <w:highlight w:val="none"/>
              </w:rPr>
            </w:pPr>
            <w:r>
              <w:rPr>
                <w:rFonts w:hint="eastAsia" w:ascii="宋体" w:hAnsi="宋体" w:eastAsia="宋体" w:cs="宋体"/>
                <w:bCs/>
                <w:highlight w:val="none"/>
              </w:rPr>
              <w:t>磋商响应文件份数</w:t>
            </w:r>
          </w:p>
        </w:tc>
        <w:tc>
          <w:tcPr>
            <w:tcW w:w="5221" w:type="dxa"/>
            <w:vAlign w:val="center"/>
          </w:tcPr>
          <w:p w14:paraId="08D9746D">
            <w:pPr>
              <w:shd w:val="clear"/>
              <w:tabs>
                <w:tab w:val="left" w:pos="0"/>
              </w:tabs>
              <w:adjustRightInd w:val="0"/>
              <w:snapToGrid w:val="0"/>
              <w:spacing w:line="360" w:lineRule="auto"/>
              <w:rPr>
                <w:rFonts w:hint="eastAsia" w:ascii="宋体" w:hAnsi="宋体" w:eastAsia="宋体" w:cs="宋体"/>
                <w:bCs/>
                <w:highlight w:val="none"/>
              </w:rPr>
            </w:pPr>
            <w:r>
              <w:rPr>
                <w:rFonts w:hint="eastAsia" w:ascii="宋体" w:hAnsi="宋体" w:eastAsia="宋体" w:cs="宋体"/>
                <w:bCs/>
                <w:highlight w:val="none"/>
              </w:rPr>
              <w:t>应符合“</w:t>
            </w:r>
            <w:r>
              <w:rPr>
                <w:rFonts w:hint="eastAsia" w:ascii="宋体" w:hAnsi="宋体" w:eastAsia="宋体" w:cs="宋体"/>
                <w:bCs/>
                <w:highlight w:val="none"/>
                <w:lang w:eastAsia="zh-CN"/>
              </w:rPr>
              <w:t>投标供应商</w:t>
            </w:r>
            <w:r>
              <w:rPr>
                <w:rFonts w:hint="eastAsia" w:ascii="宋体" w:hAnsi="宋体" w:eastAsia="宋体" w:cs="宋体"/>
                <w:bCs/>
                <w:highlight w:val="none"/>
              </w:rPr>
              <w:t>须知前附表”规定的正本、副本、电子文件数量。</w:t>
            </w:r>
          </w:p>
        </w:tc>
      </w:tr>
      <w:tr w14:paraId="7EA70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tcPr>
          <w:p w14:paraId="2F74290D">
            <w:pPr>
              <w:shd w:val="clear"/>
              <w:tabs>
                <w:tab w:val="left" w:pos="0"/>
              </w:tabs>
              <w:adjustRightInd w:val="0"/>
              <w:snapToGrid w:val="0"/>
              <w:spacing w:line="360" w:lineRule="auto"/>
              <w:rPr>
                <w:rFonts w:hint="eastAsia" w:ascii="宋体" w:hAnsi="宋体" w:eastAsia="宋体" w:cs="宋体"/>
                <w:bCs/>
                <w:highlight w:val="none"/>
              </w:rPr>
            </w:pPr>
          </w:p>
        </w:tc>
        <w:tc>
          <w:tcPr>
            <w:tcW w:w="592" w:type="dxa"/>
            <w:vMerge w:val="continue"/>
          </w:tcPr>
          <w:p w14:paraId="1B280A60">
            <w:pPr>
              <w:shd w:val="clear"/>
              <w:tabs>
                <w:tab w:val="left" w:pos="0"/>
              </w:tabs>
              <w:adjustRightInd w:val="0"/>
              <w:snapToGrid w:val="0"/>
              <w:spacing w:line="360" w:lineRule="auto"/>
              <w:rPr>
                <w:rFonts w:hint="eastAsia" w:ascii="宋体" w:hAnsi="宋体" w:eastAsia="宋体" w:cs="宋体"/>
                <w:bCs/>
                <w:highlight w:val="none"/>
              </w:rPr>
            </w:pPr>
          </w:p>
        </w:tc>
        <w:tc>
          <w:tcPr>
            <w:tcW w:w="573" w:type="dxa"/>
            <w:vMerge w:val="continue"/>
          </w:tcPr>
          <w:p w14:paraId="73CAC51F">
            <w:pPr>
              <w:shd w:val="clear"/>
              <w:tabs>
                <w:tab w:val="left" w:pos="0"/>
              </w:tabs>
              <w:adjustRightInd w:val="0"/>
              <w:snapToGrid w:val="0"/>
              <w:rPr>
                <w:rFonts w:hint="eastAsia" w:ascii="宋体" w:hAnsi="宋体" w:eastAsia="宋体" w:cs="宋体"/>
                <w:bCs/>
                <w:highlight w:val="none"/>
              </w:rPr>
            </w:pPr>
          </w:p>
        </w:tc>
        <w:tc>
          <w:tcPr>
            <w:tcW w:w="2221" w:type="dxa"/>
            <w:vAlign w:val="center"/>
          </w:tcPr>
          <w:p w14:paraId="1C25C176">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磋商响应文件内容</w:t>
            </w:r>
          </w:p>
        </w:tc>
        <w:tc>
          <w:tcPr>
            <w:tcW w:w="5221" w:type="dxa"/>
            <w:vAlign w:val="center"/>
          </w:tcPr>
          <w:p w14:paraId="32D6E52F">
            <w:pPr>
              <w:shd w:val="clear"/>
              <w:tabs>
                <w:tab w:val="left" w:pos="0"/>
              </w:tabs>
              <w:adjustRightInd w:val="0"/>
              <w:snapToGrid w:val="0"/>
              <w:rPr>
                <w:rFonts w:hint="eastAsia" w:ascii="宋体" w:hAnsi="宋体" w:eastAsia="宋体" w:cs="宋体"/>
                <w:bCs/>
                <w:highlight w:val="none"/>
              </w:rPr>
            </w:pPr>
            <w:r>
              <w:rPr>
                <w:rFonts w:hint="eastAsia" w:ascii="宋体" w:hAnsi="宋体" w:eastAsia="宋体" w:cs="宋体"/>
                <w:bCs/>
                <w:highlight w:val="none"/>
              </w:rPr>
              <w:t>磋商响应文件内容齐全、无遗漏。</w:t>
            </w:r>
          </w:p>
        </w:tc>
      </w:tr>
      <w:tr w14:paraId="696D6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vAlign w:val="center"/>
          </w:tcPr>
          <w:p w14:paraId="52563EF7">
            <w:pPr>
              <w:shd w:val="clear"/>
              <w:tabs>
                <w:tab w:val="left" w:pos="0"/>
              </w:tabs>
              <w:adjustRightInd w:val="0"/>
              <w:snapToGrid w:val="0"/>
              <w:spacing w:line="360" w:lineRule="auto"/>
              <w:jc w:val="center"/>
              <w:rPr>
                <w:rFonts w:hint="eastAsia" w:ascii="宋体" w:hAnsi="宋体" w:eastAsia="宋体" w:cs="宋体"/>
                <w:bCs/>
                <w:highlight w:val="none"/>
              </w:rPr>
            </w:pPr>
          </w:p>
        </w:tc>
        <w:tc>
          <w:tcPr>
            <w:tcW w:w="592" w:type="dxa"/>
            <w:vMerge w:val="continue"/>
            <w:vAlign w:val="center"/>
          </w:tcPr>
          <w:p w14:paraId="6B4256EB">
            <w:pPr>
              <w:shd w:val="clear"/>
              <w:tabs>
                <w:tab w:val="left" w:pos="0"/>
              </w:tabs>
              <w:adjustRightInd w:val="0"/>
              <w:snapToGrid w:val="0"/>
              <w:jc w:val="center"/>
              <w:rPr>
                <w:rFonts w:hint="eastAsia" w:ascii="宋体" w:hAnsi="宋体" w:eastAsia="宋体" w:cs="宋体"/>
                <w:bCs/>
                <w:highlight w:val="none"/>
              </w:rPr>
            </w:pPr>
          </w:p>
        </w:tc>
        <w:tc>
          <w:tcPr>
            <w:tcW w:w="573" w:type="dxa"/>
            <w:vMerge w:val="restart"/>
            <w:vAlign w:val="center"/>
          </w:tcPr>
          <w:p w14:paraId="05FF35C9">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响应性审查</w:t>
            </w:r>
          </w:p>
        </w:tc>
        <w:tc>
          <w:tcPr>
            <w:tcW w:w="2221" w:type="dxa"/>
            <w:vAlign w:val="center"/>
          </w:tcPr>
          <w:p w14:paraId="7EC229A9">
            <w:pPr>
              <w:shd w:val="clear"/>
              <w:tabs>
                <w:tab w:val="left" w:pos="0"/>
              </w:tabs>
              <w:adjustRightInd w:val="0"/>
              <w:snapToGrid w:val="0"/>
              <w:spacing w:line="360" w:lineRule="auto"/>
              <w:jc w:val="center"/>
              <w:rPr>
                <w:rFonts w:hint="eastAsia" w:ascii="宋体" w:hAnsi="宋体" w:eastAsia="宋体" w:cs="宋体"/>
                <w:bCs/>
                <w:highlight w:val="none"/>
              </w:rPr>
            </w:pPr>
            <w:r>
              <w:rPr>
                <w:rFonts w:hint="eastAsia" w:ascii="宋体" w:hAnsi="宋体" w:eastAsia="宋体" w:cs="宋体"/>
                <w:bCs/>
                <w:highlight w:val="none"/>
              </w:rPr>
              <w:t>对磋商文件响应程度</w:t>
            </w:r>
          </w:p>
        </w:tc>
        <w:tc>
          <w:tcPr>
            <w:tcW w:w="5221" w:type="dxa"/>
            <w:vAlign w:val="center"/>
          </w:tcPr>
          <w:p w14:paraId="2BA26372">
            <w:pPr>
              <w:shd w:val="clear"/>
              <w:tabs>
                <w:tab w:val="left" w:pos="0"/>
              </w:tabs>
              <w:adjustRightInd w:val="0"/>
              <w:snapToGrid w:val="0"/>
              <w:spacing w:line="360" w:lineRule="auto"/>
              <w:rPr>
                <w:rFonts w:hint="eastAsia" w:ascii="宋体" w:hAnsi="宋体" w:eastAsia="宋体" w:cs="宋体"/>
                <w:bCs/>
                <w:highlight w:val="none"/>
              </w:rPr>
            </w:pPr>
            <w:r>
              <w:rPr>
                <w:rFonts w:hint="eastAsia" w:ascii="宋体" w:hAnsi="宋体" w:eastAsia="宋体" w:cs="宋体"/>
                <w:bCs/>
                <w:highlight w:val="none"/>
              </w:rPr>
              <w:t>要求全面响应，不能有任何采购人不能接受的附加条件。</w:t>
            </w:r>
          </w:p>
        </w:tc>
      </w:tr>
      <w:tr w14:paraId="346D4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tcPr>
          <w:p w14:paraId="67BEA7D5">
            <w:pPr>
              <w:shd w:val="clear"/>
              <w:tabs>
                <w:tab w:val="left" w:pos="0"/>
              </w:tabs>
              <w:adjustRightInd w:val="0"/>
              <w:snapToGrid w:val="0"/>
              <w:spacing w:line="360" w:lineRule="auto"/>
              <w:rPr>
                <w:rFonts w:hint="eastAsia" w:ascii="宋体" w:hAnsi="宋体" w:eastAsia="宋体" w:cs="宋体"/>
                <w:bCs/>
                <w:highlight w:val="none"/>
              </w:rPr>
            </w:pPr>
          </w:p>
        </w:tc>
        <w:tc>
          <w:tcPr>
            <w:tcW w:w="592" w:type="dxa"/>
            <w:vMerge w:val="continue"/>
          </w:tcPr>
          <w:p w14:paraId="7C13F530">
            <w:pPr>
              <w:shd w:val="clear"/>
              <w:tabs>
                <w:tab w:val="left" w:pos="0"/>
              </w:tabs>
              <w:adjustRightInd w:val="0"/>
              <w:snapToGrid w:val="0"/>
              <w:spacing w:line="360" w:lineRule="auto"/>
              <w:rPr>
                <w:rFonts w:hint="eastAsia" w:ascii="宋体" w:hAnsi="宋体" w:eastAsia="宋体" w:cs="宋体"/>
                <w:bCs/>
                <w:highlight w:val="none"/>
              </w:rPr>
            </w:pPr>
          </w:p>
        </w:tc>
        <w:tc>
          <w:tcPr>
            <w:tcW w:w="573" w:type="dxa"/>
            <w:vMerge w:val="continue"/>
          </w:tcPr>
          <w:p w14:paraId="02677059">
            <w:pPr>
              <w:shd w:val="clear"/>
              <w:tabs>
                <w:tab w:val="left" w:pos="0"/>
              </w:tabs>
              <w:adjustRightInd w:val="0"/>
              <w:snapToGrid w:val="0"/>
              <w:spacing w:line="360" w:lineRule="auto"/>
              <w:rPr>
                <w:rFonts w:hint="eastAsia" w:ascii="宋体" w:hAnsi="宋体" w:eastAsia="宋体" w:cs="宋体"/>
                <w:bCs/>
                <w:highlight w:val="none"/>
              </w:rPr>
            </w:pPr>
          </w:p>
        </w:tc>
        <w:tc>
          <w:tcPr>
            <w:tcW w:w="2221" w:type="dxa"/>
            <w:vAlign w:val="center"/>
          </w:tcPr>
          <w:p w14:paraId="0D2C3DA2">
            <w:pPr>
              <w:shd w:val="clear"/>
              <w:tabs>
                <w:tab w:val="left" w:pos="0"/>
              </w:tabs>
              <w:adjustRightInd w:val="0"/>
              <w:snapToGrid w:val="0"/>
              <w:jc w:val="center"/>
              <w:rPr>
                <w:rFonts w:hint="eastAsia" w:ascii="宋体" w:hAnsi="宋体" w:eastAsia="宋体" w:cs="宋体"/>
                <w:bCs/>
                <w:highlight w:val="none"/>
                <w:lang w:eastAsia="zh-CN"/>
              </w:rPr>
            </w:pPr>
            <w:r>
              <w:rPr>
                <w:rFonts w:hint="eastAsia" w:ascii="宋体" w:hAnsi="宋体" w:eastAsia="宋体" w:cs="宋体"/>
                <w:bCs/>
                <w:highlight w:val="none"/>
                <w:lang w:eastAsia="zh-CN"/>
              </w:rPr>
              <w:t>工</w:t>
            </w:r>
            <w:r>
              <w:rPr>
                <w:rFonts w:hint="eastAsia" w:ascii="宋体" w:hAnsi="宋体" w:eastAsia="宋体" w:cs="宋体"/>
                <w:bCs/>
                <w:highlight w:val="none"/>
                <w:lang w:val="en-US" w:eastAsia="zh-CN"/>
              </w:rPr>
              <w:t xml:space="preserve"> </w:t>
            </w:r>
            <w:r>
              <w:rPr>
                <w:rFonts w:hint="eastAsia" w:ascii="宋体" w:hAnsi="宋体" w:eastAsia="宋体" w:cs="宋体"/>
                <w:bCs/>
                <w:highlight w:val="none"/>
                <w:lang w:eastAsia="zh-CN"/>
              </w:rPr>
              <w:t>期</w:t>
            </w:r>
          </w:p>
        </w:tc>
        <w:tc>
          <w:tcPr>
            <w:tcW w:w="5221" w:type="dxa"/>
            <w:vAlign w:val="center"/>
          </w:tcPr>
          <w:p w14:paraId="444338DE">
            <w:pPr>
              <w:shd w:val="clear"/>
              <w:tabs>
                <w:tab w:val="left" w:pos="0"/>
              </w:tabs>
              <w:adjustRightInd w:val="0"/>
              <w:snapToGrid w:val="0"/>
              <w:rPr>
                <w:rFonts w:hint="eastAsia" w:ascii="宋体" w:hAnsi="宋体" w:eastAsia="宋体" w:cs="宋体"/>
                <w:bCs/>
                <w:highlight w:val="none"/>
              </w:rPr>
            </w:pPr>
            <w:r>
              <w:rPr>
                <w:rFonts w:hint="eastAsia" w:ascii="宋体" w:hAnsi="宋体" w:eastAsia="宋体" w:cs="宋体"/>
                <w:bCs/>
                <w:highlight w:val="none"/>
              </w:rPr>
              <w:t>应满足磋商文件中</w:t>
            </w:r>
            <w:r>
              <w:rPr>
                <w:rFonts w:hint="eastAsia" w:ascii="宋体" w:hAnsi="宋体" w:eastAsia="宋体" w:cs="宋体"/>
                <w:bCs/>
                <w:highlight w:val="none"/>
                <w:lang w:eastAsia="zh-CN"/>
              </w:rPr>
              <w:t>的</w:t>
            </w:r>
            <w:r>
              <w:rPr>
                <w:rFonts w:hint="eastAsia" w:ascii="宋体" w:hAnsi="宋体" w:eastAsia="宋体" w:cs="宋体"/>
                <w:bCs/>
                <w:highlight w:val="none"/>
              </w:rPr>
              <w:t>要求。</w:t>
            </w:r>
          </w:p>
        </w:tc>
      </w:tr>
      <w:tr w14:paraId="22FF8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52" w:type="dxa"/>
            <w:vMerge w:val="continue"/>
          </w:tcPr>
          <w:p w14:paraId="5D7ED328">
            <w:pPr>
              <w:shd w:val="clear"/>
              <w:tabs>
                <w:tab w:val="left" w:pos="0"/>
              </w:tabs>
              <w:adjustRightInd w:val="0"/>
              <w:snapToGrid w:val="0"/>
              <w:spacing w:line="360" w:lineRule="auto"/>
              <w:rPr>
                <w:rFonts w:hint="eastAsia" w:ascii="宋体" w:hAnsi="宋体" w:eastAsia="宋体" w:cs="宋体"/>
                <w:bCs/>
                <w:highlight w:val="none"/>
              </w:rPr>
            </w:pPr>
          </w:p>
        </w:tc>
        <w:tc>
          <w:tcPr>
            <w:tcW w:w="592" w:type="dxa"/>
            <w:vMerge w:val="continue"/>
          </w:tcPr>
          <w:p w14:paraId="6BD40835">
            <w:pPr>
              <w:shd w:val="clear"/>
              <w:tabs>
                <w:tab w:val="left" w:pos="0"/>
              </w:tabs>
              <w:adjustRightInd w:val="0"/>
              <w:snapToGrid w:val="0"/>
              <w:spacing w:line="360" w:lineRule="auto"/>
              <w:rPr>
                <w:rFonts w:hint="eastAsia" w:ascii="宋体" w:hAnsi="宋体" w:eastAsia="宋体" w:cs="宋体"/>
                <w:bCs/>
                <w:highlight w:val="none"/>
              </w:rPr>
            </w:pPr>
          </w:p>
        </w:tc>
        <w:tc>
          <w:tcPr>
            <w:tcW w:w="573" w:type="dxa"/>
            <w:vMerge w:val="continue"/>
          </w:tcPr>
          <w:p w14:paraId="5F306788">
            <w:pPr>
              <w:shd w:val="clear"/>
              <w:tabs>
                <w:tab w:val="left" w:pos="0"/>
              </w:tabs>
              <w:adjustRightInd w:val="0"/>
              <w:snapToGrid w:val="0"/>
              <w:spacing w:line="360" w:lineRule="auto"/>
              <w:rPr>
                <w:rFonts w:hint="eastAsia" w:ascii="宋体" w:hAnsi="宋体" w:eastAsia="宋体" w:cs="宋体"/>
                <w:bCs/>
                <w:highlight w:val="none"/>
              </w:rPr>
            </w:pPr>
          </w:p>
        </w:tc>
        <w:tc>
          <w:tcPr>
            <w:tcW w:w="2221" w:type="dxa"/>
            <w:vAlign w:val="center"/>
          </w:tcPr>
          <w:p w14:paraId="66067DC8">
            <w:pPr>
              <w:shd w:val="clear"/>
              <w:tabs>
                <w:tab w:val="left" w:pos="0"/>
              </w:tabs>
              <w:adjustRightInd w:val="0"/>
              <w:snapToGrid w:val="0"/>
              <w:jc w:val="center"/>
              <w:rPr>
                <w:rFonts w:hint="eastAsia" w:ascii="宋体" w:hAnsi="宋体" w:eastAsia="宋体" w:cs="宋体"/>
                <w:bCs/>
                <w:highlight w:val="none"/>
              </w:rPr>
            </w:pPr>
            <w:r>
              <w:rPr>
                <w:rFonts w:hint="eastAsia" w:ascii="宋体" w:hAnsi="宋体" w:eastAsia="宋体" w:cs="宋体"/>
                <w:bCs/>
                <w:highlight w:val="none"/>
              </w:rPr>
              <w:t>磋商有效期</w:t>
            </w:r>
          </w:p>
        </w:tc>
        <w:tc>
          <w:tcPr>
            <w:tcW w:w="5221" w:type="dxa"/>
            <w:vAlign w:val="center"/>
          </w:tcPr>
          <w:p w14:paraId="17BEC306">
            <w:pPr>
              <w:shd w:val="clear"/>
              <w:tabs>
                <w:tab w:val="left" w:pos="0"/>
              </w:tabs>
              <w:adjustRightInd w:val="0"/>
              <w:snapToGrid w:val="0"/>
              <w:rPr>
                <w:rFonts w:hint="eastAsia" w:ascii="宋体" w:hAnsi="宋体" w:eastAsia="宋体" w:cs="宋体"/>
                <w:bCs/>
                <w:highlight w:val="none"/>
              </w:rPr>
            </w:pPr>
            <w:r>
              <w:rPr>
                <w:rFonts w:hint="eastAsia" w:ascii="宋体" w:hAnsi="宋体" w:eastAsia="宋体" w:cs="宋体"/>
                <w:bCs/>
                <w:highlight w:val="none"/>
              </w:rPr>
              <w:t>应满足磋商文件中的规定。</w:t>
            </w:r>
          </w:p>
        </w:tc>
      </w:tr>
      <w:tr w14:paraId="2B079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359" w:type="dxa"/>
            <w:gridSpan w:val="5"/>
            <w:vAlign w:val="center"/>
          </w:tcPr>
          <w:p w14:paraId="3D2B819C">
            <w:pPr>
              <w:shd w:val="clear"/>
              <w:tabs>
                <w:tab w:val="left" w:pos="0"/>
              </w:tabs>
              <w:adjustRightInd w:val="0"/>
              <w:snapToGrid w:val="0"/>
              <w:jc w:val="left"/>
              <w:rPr>
                <w:rFonts w:hint="eastAsia" w:ascii="宋体" w:hAnsi="宋体" w:eastAsia="宋体" w:cs="宋体"/>
                <w:b/>
                <w:highlight w:val="none"/>
              </w:rPr>
            </w:pPr>
            <w:r>
              <w:rPr>
                <w:rFonts w:hint="eastAsia" w:ascii="宋体" w:hAnsi="宋体" w:eastAsia="宋体" w:cs="宋体"/>
                <w:b/>
                <w:highlight w:val="none"/>
              </w:rPr>
              <w:t>注：</w:t>
            </w:r>
            <w:r>
              <w:rPr>
                <w:rFonts w:hint="eastAsia" w:ascii="宋体" w:hAnsi="宋体" w:eastAsia="宋体" w:cs="宋体"/>
                <w:b/>
                <w:highlight w:val="none"/>
                <w:lang w:eastAsia="zh-CN"/>
              </w:rPr>
              <w:t>以上有一项</w:t>
            </w:r>
            <w:r>
              <w:rPr>
                <w:rFonts w:hint="eastAsia" w:ascii="宋体" w:hAnsi="宋体" w:eastAsia="宋体" w:cs="宋体"/>
                <w:b/>
                <w:highlight w:val="none"/>
              </w:rPr>
              <w:t>达不到要求，按无效文件处理。</w:t>
            </w:r>
          </w:p>
        </w:tc>
      </w:tr>
    </w:tbl>
    <w:p w14:paraId="7023012C">
      <w:pPr>
        <w:shd w:val="clear"/>
        <w:adjustRightInd w:val="0"/>
        <w:snapToGrid w:val="0"/>
        <w:jc w:val="left"/>
        <w:rPr>
          <w:rFonts w:hint="eastAsia" w:ascii="宋体" w:hAnsi="宋体" w:eastAsia="宋体" w:cs="宋体"/>
          <w:sz w:val="24"/>
          <w:szCs w:val="24"/>
          <w:highlight w:val="none"/>
        </w:rPr>
      </w:pPr>
    </w:p>
    <w:p w14:paraId="1D24E0DA">
      <w:pPr>
        <w:shd w:val="clear"/>
        <w:spacing w:line="360" w:lineRule="auto"/>
        <w:rPr>
          <w:rFonts w:hint="eastAsia" w:ascii="宋体" w:hAnsi="宋体" w:eastAsia="宋体" w:cs="宋体"/>
          <w:sz w:val="24"/>
          <w:szCs w:val="24"/>
          <w:highlight w:val="none"/>
        </w:rPr>
      </w:pPr>
    </w:p>
    <w:p w14:paraId="6ADCB103">
      <w:pPr>
        <w:pStyle w:val="14"/>
        <w:shd w:val="clear"/>
        <w:rPr>
          <w:rFonts w:hint="eastAsia" w:ascii="宋体" w:hAnsi="宋体" w:eastAsia="宋体" w:cs="宋体"/>
          <w:highlight w:val="none"/>
        </w:rPr>
      </w:pPr>
    </w:p>
    <w:p w14:paraId="0D4E1D8E">
      <w:pPr>
        <w:pStyle w:val="14"/>
        <w:shd w:val="clear"/>
        <w:rPr>
          <w:rFonts w:hint="eastAsia" w:ascii="宋体" w:hAnsi="宋体" w:eastAsia="宋体" w:cs="宋体"/>
          <w:sz w:val="24"/>
          <w:szCs w:val="24"/>
          <w:highlight w:val="none"/>
        </w:rPr>
      </w:pPr>
    </w:p>
    <w:p w14:paraId="3CE51F9F">
      <w:pPr>
        <w:shd w:val="clear"/>
        <w:rPr>
          <w:rFonts w:hint="eastAsia" w:ascii="宋体" w:hAnsi="宋体" w:eastAsia="宋体" w:cs="宋体"/>
          <w:sz w:val="24"/>
          <w:szCs w:val="24"/>
          <w:highlight w:val="none"/>
        </w:rPr>
      </w:pPr>
    </w:p>
    <w:p w14:paraId="174BA826">
      <w:pPr>
        <w:pStyle w:val="14"/>
        <w:shd w:val="clear"/>
        <w:rPr>
          <w:rFonts w:hint="eastAsia" w:ascii="宋体" w:hAnsi="宋体" w:eastAsia="宋体" w:cs="宋体"/>
          <w:sz w:val="24"/>
          <w:szCs w:val="24"/>
          <w:highlight w:val="none"/>
        </w:rPr>
      </w:pPr>
    </w:p>
    <w:p w14:paraId="550ABABC">
      <w:pPr>
        <w:shd w:val="clear"/>
        <w:rPr>
          <w:rFonts w:hint="eastAsia" w:ascii="宋体" w:hAnsi="宋体" w:eastAsia="宋体" w:cs="宋体"/>
          <w:sz w:val="24"/>
          <w:szCs w:val="24"/>
          <w:highlight w:val="none"/>
        </w:rPr>
      </w:pPr>
    </w:p>
    <w:p w14:paraId="17D6D187">
      <w:pPr>
        <w:pStyle w:val="14"/>
        <w:shd w:val="clear"/>
        <w:rPr>
          <w:rFonts w:hint="eastAsia" w:ascii="宋体" w:hAnsi="宋体" w:eastAsia="宋体" w:cs="宋体"/>
          <w:sz w:val="24"/>
          <w:szCs w:val="24"/>
          <w:highlight w:val="none"/>
        </w:rPr>
      </w:pPr>
    </w:p>
    <w:p w14:paraId="35F67537">
      <w:pPr>
        <w:shd w:val="clear"/>
        <w:rPr>
          <w:rFonts w:hint="eastAsia" w:ascii="宋体" w:hAnsi="宋体" w:eastAsia="宋体" w:cs="宋体"/>
          <w:sz w:val="24"/>
          <w:szCs w:val="24"/>
          <w:highlight w:val="none"/>
        </w:rPr>
      </w:pPr>
    </w:p>
    <w:p w14:paraId="194A6EB6">
      <w:pPr>
        <w:pStyle w:val="14"/>
        <w:shd w:val="clear"/>
        <w:rPr>
          <w:rFonts w:hint="eastAsia" w:ascii="宋体" w:hAnsi="宋体" w:eastAsia="宋体" w:cs="宋体"/>
          <w:sz w:val="24"/>
          <w:szCs w:val="24"/>
          <w:highlight w:val="none"/>
        </w:rPr>
      </w:pPr>
    </w:p>
    <w:p w14:paraId="34A1A641">
      <w:pPr>
        <w:pStyle w:val="31"/>
        <w:shd w:val="clear"/>
        <w:rPr>
          <w:rFonts w:hint="eastAsia" w:ascii="宋体" w:hAnsi="宋体" w:eastAsia="宋体" w:cs="宋体"/>
          <w:highlight w:val="none"/>
        </w:rPr>
      </w:pPr>
    </w:p>
    <w:p w14:paraId="6D756F1E">
      <w:pPr>
        <w:shd w:val="clear"/>
        <w:rPr>
          <w:rFonts w:hint="eastAsia" w:ascii="宋体" w:hAnsi="宋体" w:eastAsia="宋体" w:cs="宋体"/>
          <w:sz w:val="24"/>
          <w:szCs w:val="24"/>
          <w:highlight w:val="none"/>
        </w:rPr>
      </w:pPr>
    </w:p>
    <w:p w14:paraId="44783A94">
      <w:pPr>
        <w:shd w:val="clear"/>
        <w:rPr>
          <w:rFonts w:hint="eastAsia" w:ascii="宋体" w:hAnsi="宋体" w:eastAsia="宋体" w:cs="宋体"/>
          <w:b/>
          <w:spacing w:val="4"/>
          <w:sz w:val="24"/>
          <w:szCs w:val="24"/>
          <w:highlight w:val="none"/>
        </w:rPr>
      </w:pPr>
      <w:bookmarkStart w:id="56" w:name="_Toc32422"/>
      <w:r>
        <w:rPr>
          <w:rFonts w:hint="eastAsia" w:ascii="宋体" w:hAnsi="宋体" w:eastAsia="宋体" w:cs="宋体"/>
          <w:b/>
          <w:spacing w:val="4"/>
          <w:sz w:val="24"/>
          <w:szCs w:val="24"/>
          <w:highlight w:val="none"/>
        </w:rPr>
        <w:br w:type="page"/>
      </w:r>
    </w:p>
    <w:p w14:paraId="0A39BDBB">
      <w:pPr>
        <w:shd w:val="clear"/>
        <w:spacing w:line="360" w:lineRule="auto"/>
        <w:outlineLvl w:val="0"/>
        <w:rPr>
          <w:rFonts w:hint="eastAsia" w:ascii="宋体" w:hAnsi="宋体" w:eastAsia="宋体" w:cs="宋体"/>
          <w:b/>
          <w:spacing w:val="4"/>
          <w:sz w:val="24"/>
          <w:szCs w:val="24"/>
          <w:highlight w:val="none"/>
        </w:rPr>
      </w:pPr>
      <w:bookmarkStart w:id="57" w:name="_Toc16063"/>
      <w:r>
        <w:rPr>
          <w:rFonts w:hint="eastAsia" w:ascii="宋体" w:hAnsi="宋体" w:eastAsia="宋体" w:cs="宋体"/>
          <w:b/>
          <w:spacing w:val="4"/>
          <w:sz w:val="24"/>
          <w:szCs w:val="24"/>
          <w:highlight w:val="none"/>
        </w:rPr>
        <w:t>附件2：评标因素及权重分值表</w:t>
      </w:r>
      <w:bookmarkEnd w:id="56"/>
      <w:bookmarkEnd w:id="57"/>
    </w:p>
    <w:p w14:paraId="1D50F8F5">
      <w:pPr>
        <w:shd w:val="clear"/>
        <w:spacing w:line="360" w:lineRule="auto"/>
        <w:ind w:firstLine="498" w:firstLineChars="200"/>
        <w:jc w:val="left"/>
        <w:rPr>
          <w:rFonts w:hint="eastAsia" w:ascii="宋体" w:hAnsi="宋体" w:eastAsia="宋体" w:cs="宋体"/>
          <w:b/>
          <w:sz w:val="24"/>
          <w:szCs w:val="24"/>
          <w:highlight w:val="none"/>
        </w:rPr>
      </w:pPr>
      <w:r>
        <w:rPr>
          <w:rFonts w:hint="eastAsia" w:ascii="宋体" w:hAnsi="宋体" w:eastAsia="宋体" w:cs="宋体"/>
          <w:b/>
          <w:spacing w:val="4"/>
          <w:sz w:val="24"/>
          <w:szCs w:val="24"/>
          <w:highlight w:val="none"/>
        </w:rPr>
        <w:t>评价和比较以磋商响应文件为依据，从</w:t>
      </w:r>
      <w:r>
        <w:rPr>
          <w:rFonts w:hint="eastAsia" w:ascii="宋体" w:hAnsi="宋体" w:eastAsia="宋体" w:cs="宋体"/>
          <w:b/>
          <w:spacing w:val="4"/>
          <w:sz w:val="24"/>
          <w:szCs w:val="24"/>
          <w:highlight w:val="none"/>
          <w:lang w:eastAsia="zh-CN"/>
        </w:rPr>
        <w:t>商务部分、技术部分、</w:t>
      </w:r>
      <w:r>
        <w:rPr>
          <w:rFonts w:hint="eastAsia" w:ascii="宋体" w:hAnsi="宋体" w:eastAsia="宋体" w:cs="宋体"/>
          <w:b/>
          <w:spacing w:val="4"/>
          <w:sz w:val="24"/>
          <w:szCs w:val="24"/>
          <w:highlight w:val="none"/>
          <w:lang w:val="en-US" w:eastAsia="zh-CN"/>
        </w:rPr>
        <w:t>业绩</w:t>
      </w:r>
      <w:r>
        <w:rPr>
          <w:rFonts w:hint="eastAsia" w:ascii="宋体" w:hAnsi="宋体" w:eastAsia="宋体" w:cs="宋体"/>
          <w:b/>
          <w:spacing w:val="4"/>
          <w:sz w:val="24"/>
          <w:szCs w:val="24"/>
          <w:highlight w:val="none"/>
        </w:rPr>
        <w:t>方面进行评审并按照百分制进行赋分。</w:t>
      </w:r>
    </w:p>
    <w:tbl>
      <w:tblPr>
        <w:tblStyle w:val="37"/>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0"/>
        <w:gridCol w:w="898"/>
        <w:gridCol w:w="6924"/>
        <w:gridCol w:w="857"/>
      </w:tblGrid>
      <w:tr w14:paraId="6900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1" w:hRule="atLeast"/>
          <w:jc w:val="center"/>
        </w:trPr>
        <w:tc>
          <w:tcPr>
            <w:tcW w:w="1120" w:type="dxa"/>
            <w:noWrap w:val="0"/>
            <w:vAlign w:val="center"/>
          </w:tcPr>
          <w:p w14:paraId="6C70C54C">
            <w:pPr>
              <w:pStyle w:val="20"/>
              <w:keepNext w:val="0"/>
              <w:keepLines w:val="0"/>
              <w:pageBreakBefore w:val="0"/>
              <w:shd w:val="clea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color w:val="auto"/>
                <w:kern w:val="2"/>
                <w:sz w:val="21"/>
                <w:szCs w:val="21"/>
                <w:highlight w:val="none"/>
                <w:lang w:val="en-US" w:eastAsia="zh-CN" w:bidi="ar-SA"/>
              </w:rPr>
            </w:pPr>
            <w:bookmarkStart w:id="58" w:name="_Toc421778378"/>
            <w:bookmarkStart w:id="59" w:name="_Toc312874209"/>
            <w:bookmarkStart w:id="60" w:name="_Toc16582"/>
            <w:r>
              <w:rPr>
                <w:rFonts w:hint="eastAsia" w:ascii="宋体" w:hAnsi="宋体" w:eastAsia="宋体" w:cs="宋体"/>
                <w:b/>
                <w:color w:val="auto"/>
                <w:kern w:val="2"/>
                <w:sz w:val="21"/>
                <w:szCs w:val="21"/>
                <w:highlight w:val="none"/>
                <w:lang w:val="en-US" w:eastAsia="zh-CN" w:bidi="ar-SA"/>
              </w:rPr>
              <w:t>类别</w:t>
            </w:r>
          </w:p>
        </w:tc>
        <w:tc>
          <w:tcPr>
            <w:tcW w:w="898" w:type="dxa"/>
            <w:noWrap w:val="0"/>
            <w:vAlign w:val="center"/>
          </w:tcPr>
          <w:p w14:paraId="587CB8D2">
            <w:pPr>
              <w:pStyle w:val="20"/>
              <w:keepNext w:val="0"/>
              <w:keepLines w:val="0"/>
              <w:pageBreakBefore w:val="0"/>
              <w:shd w:val="clear"/>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color w:val="auto"/>
                <w:kern w:val="2"/>
                <w:sz w:val="21"/>
                <w:szCs w:val="21"/>
                <w:highlight w:val="none"/>
                <w:lang w:val="en-US" w:eastAsia="zh-CN" w:bidi="ar-SA"/>
              </w:rPr>
            </w:pPr>
            <w:r>
              <w:rPr>
                <w:rFonts w:hint="eastAsia" w:ascii="宋体" w:hAnsi="宋体" w:eastAsia="宋体" w:cs="宋体"/>
                <w:b/>
                <w:color w:val="auto"/>
                <w:kern w:val="2"/>
                <w:sz w:val="21"/>
                <w:szCs w:val="21"/>
                <w:highlight w:val="none"/>
                <w:lang w:val="en-US" w:eastAsia="zh-CN" w:bidi="ar-SA"/>
              </w:rPr>
              <w:t>项目</w:t>
            </w:r>
          </w:p>
        </w:tc>
        <w:tc>
          <w:tcPr>
            <w:tcW w:w="6924" w:type="dxa"/>
            <w:noWrap w:val="0"/>
            <w:vAlign w:val="center"/>
          </w:tcPr>
          <w:p w14:paraId="1F1B2DE4">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评  审  要  素</w:t>
            </w:r>
          </w:p>
        </w:tc>
        <w:tc>
          <w:tcPr>
            <w:tcW w:w="857" w:type="dxa"/>
            <w:noWrap w:val="0"/>
            <w:vAlign w:val="center"/>
          </w:tcPr>
          <w:p w14:paraId="38BD7AAF">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分项</w:t>
            </w:r>
          </w:p>
          <w:p w14:paraId="07CB130A">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分值</w:t>
            </w:r>
          </w:p>
        </w:tc>
      </w:tr>
      <w:tr w14:paraId="0E5CB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0" w:hRule="atLeast"/>
          <w:jc w:val="center"/>
        </w:trPr>
        <w:tc>
          <w:tcPr>
            <w:tcW w:w="1120" w:type="dxa"/>
            <w:noWrap w:val="0"/>
            <w:vAlign w:val="center"/>
          </w:tcPr>
          <w:p w14:paraId="4AF8063A">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w:t>
            </w:r>
          </w:p>
          <w:p w14:paraId="18201EB4">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部分</w:t>
            </w:r>
          </w:p>
          <w:p w14:paraId="1F5A408D">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30分</w:t>
            </w:r>
            <w:r>
              <w:rPr>
                <w:rFonts w:hint="eastAsia" w:ascii="宋体" w:hAnsi="宋体" w:eastAsia="宋体" w:cs="宋体"/>
                <w:b/>
                <w:color w:val="auto"/>
                <w:sz w:val="21"/>
                <w:szCs w:val="21"/>
                <w:highlight w:val="none"/>
                <w:lang w:eastAsia="zh-CN"/>
              </w:rPr>
              <w:t>）</w:t>
            </w:r>
          </w:p>
        </w:tc>
        <w:tc>
          <w:tcPr>
            <w:tcW w:w="898" w:type="dxa"/>
            <w:noWrap w:val="0"/>
            <w:vAlign w:val="center"/>
          </w:tcPr>
          <w:p w14:paraId="6E7F0643">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磋商</w:t>
            </w:r>
          </w:p>
          <w:p w14:paraId="366EE53F">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报价</w:t>
            </w:r>
          </w:p>
        </w:tc>
        <w:tc>
          <w:tcPr>
            <w:tcW w:w="6924" w:type="dxa"/>
            <w:noWrap w:val="0"/>
            <w:vAlign w:val="top"/>
          </w:tcPr>
          <w:p w14:paraId="6772B9EE">
            <w:pPr>
              <w:keepNext w:val="0"/>
              <w:keepLines w:val="0"/>
              <w:pageBreakBefore w:val="0"/>
              <w:widowControl w:val="0"/>
              <w:shd w:val="clear"/>
              <w:kinsoku/>
              <w:wordWrap/>
              <w:overflowPunct/>
              <w:topLinePunct w:val="0"/>
              <w:autoSpaceDE/>
              <w:autoSpaceDN/>
              <w:bidi w:val="0"/>
              <w:adjustRightInd/>
              <w:snapToGrid/>
              <w:spacing w:line="360" w:lineRule="exact"/>
              <w:ind w:firstLine="422" w:firstLineChars="200"/>
              <w:jc w:val="both"/>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按照财政部政府采购竞争性磋商采购方式管理暂行办法》（财库[2014]214号）的有关规定：价格分采用低价优先法计算，即满足磋商文件要求且磋商价格最低的磋商报价为评审基准价，其价格分为满分。</w:t>
            </w:r>
          </w:p>
          <w:p w14:paraId="61C37AE9">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按照下列公式计算：</w:t>
            </w:r>
          </w:p>
          <w:p w14:paraId="24403414">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1.经初审合格的磋商响应文件，其磋商报价为有效磋商报价，对符合政策性扣减的</w:t>
            </w:r>
            <w:r>
              <w:rPr>
                <w:rFonts w:hint="eastAsia" w:ascii="宋体" w:hAnsi="宋体" w:eastAsia="宋体" w:cs="宋体"/>
                <w:color w:val="auto"/>
                <w:sz w:val="21"/>
                <w:szCs w:val="21"/>
                <w:highlight w:val="none"/>
                <w:lang w:eastAsia="zh-CN"/>
              </w:rPr>
              <w:t>投标供应商</w:t>
            </w:r>
            <w:r>
              <w:rPr>
                <w:rFonts w:hint="eastAsia" w:ascii="宋体" w:hAnsi="宋体" w:eastAsia="宋体" w:cs="宋体"/>
                <w:color w:val="auto"/>
                <w:sz w:val="21"/>
                <w:szCs w:val="21"/>
                <w:highlight w:val="none"/>
              </w:rPr>
              <w:t>的有效磋商价格进行政策性扣减，并依据扣减后的价格（评审价格）进行价格评审。</w:t>
            </w:r>
          </w:p>
          <w:p w14:paraId="34768ECF">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2.满足磋商文件实质性要求且最终报价最低的</w:t>
            </w:r>
            <w:r>
              <w:rPr>
                <w:rFonts w:hint="eastAsia" w:ascii="宋体" w:hAnsi="宋体" w:eastAsia="宋体" w:cs="宋体"/>
                <w:color w:val="auto"/>
                <w:sz w:val="21"/>
                <w:szCs w:val="21"/>
                <w:highlight w:val="none"/>
                <w:lang w:eastAsia="zh-CN"/>
              </w:rPr>
              <w:t>投标供应商</w:t>
            </w:r>
            <w:r>
              <w:rPr>
                <w:rFonts w:hint="eastAsia" w:ascii="宋体" w:hAnsi="宋体" w:eastAsia="宋体" w:cs="宋体"/>
                <w:color w:val="auto"/>
                <w:sz w:val="21"/>
                <w:szCs w:val="21"/>
                <w:highlight w:val="none"/>
              </w:rPr>
              <w:t>的价格为磋商基准价，其价格分为满分</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p w14:paraId="7EBF59A7">
            <w:pPr>
              <w:keepNext w:val="0"/>
              <w:keepLines w:val="0"/>
              <w:pageBreakBefore w:val="0"/>
              <w:widowControl w:val="0"/>
              <w:shd w:val="clear"/>
              <w:kinsoku/>
              <w:wordWrap/>
              <w:overflowPunct/>
              <w:topLinePunct w:val="0"/>
              <w:autoSpaceDE/>
              <w:autoSpaceDN/>
              <w:bidi w:val="0"/>
              <w:adjustRightInd/>
              <w:snapToGrid/>
              <w:spacing w:line="360" w:lineRule="exact"/>
              <w:ind w:firstLine="422"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3.磋商报价得分=（磋商基准价/最终磋商报价）×</w:t>
            </w:r>
            <w:r>
              <w:rPr>
                <w:rFonts w:hint="eastAsia" w:ascii="宋体" w:hAnsi="宋体" w:eastAsia="宋体" w:cs="宋体"/>
                <w:b/>
                <w:bCs/>
                <w:color w:val="auto"/>
                <w:sz w:val="21"/>
                <w:szCs w:val="21"/>
                <w:highlight w:val="none"/>
                <w:lang w:val="en-US" w:eastAsia="zh-CN"/>
              </w:rPr>
              <w:t>30</w:t>
            </w:r>
            <w:r>
              <w:rPr>
                <w:rFonts w:hint="eastAsia" w:ascii="宋体" w:hAnsi="宋体" w:eastAsia="宋体" w:cs="宋体"/>
                <w:b/>
                <w:bCs/>
                <w:color w:val="auto"/>
                <w:sz w:val="21"/>
                <w:szCs w:val="21"/>
                <w:highlight w:val="none"/>
              </w:rPr>
              <w:t>的公式计算得分。</w:t>
            </w:r>
          </w:p>
          <w:p w14:paraId="2136D1CC">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4.磋商报价不完整的，不进入磋商基准价的计算，本项得0分。</w:t>
            </w:r>
          </w:p>
          <w:p w14:paraId="5ED123D4">
            <w:pPr>
              <w:keepNext w:val="0"/>
              <w:keepLines w:val="0"/>
              <w:pageBreakBefore w:val="0"/>
              <w:widowControl w:val="0"/>
              <w:shd w:val="clea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5.经磋商小组一致认定，</w:t>
            </w:r>
            <w:r>
              <w:rPr>
                <w:rFonts w:hint="eastAsia" w:ascii="宋体" w:hAnsi="宋体" w:eastAsia="宋体" w:cs="宋体"/>
                <w:color w:val="auto"/>
                <w:sz w:val="21"/>
                <w:szCs w:val="21"/>
                <w:highlight w:val="none"/>
                <w:lang w:eastAsia="zh-CN"/>
              </w:rPr>
              <w:t>投标供应商</w:t>
            </w:r>
            <w:r>
              <w:rPr>
                <w:rFonts w:hint="eastAsia" w:ascii="宋体" w:hAnsi="宋体" w:eastAsia="宋体" w:cs="宋体"/>
                <w:color w:val="auto"/>
                <w:sz w:val="21"/>
                <w:szCs w:val="21"/>
                <w:highlight w:val="none"/>
              </w:rPr>
              <w:t>的磋商最终总报价低于公认市场成本，或超过</w:t>
            </w:r>
            <w:r>
              <w:rPr>
                <w:rFonts w:hint="eastAsia" w:ascii="宋体" w:hAnsi="宋体" w:eastAsia="宋体" w:cs="宋体"/>
                <w:color w:val="auto"/>
                <w:sz w:val="21"/>
                <w:szCs w:val="21"/>
                <w:highlight w:val="none"/>
                <w:lang w:eastAsia="zh-CN"/>
              </w:rPr>
              <w:t>最高限价</w:t>
            </w:r>
            <w:r>
              <w:rPr>
                <w:rFonts w:hint="eastAsia" w:ascii="宋体" w:hAnsi="宋体" w:eastAsia="宋体" w:cs="宋体"/>
                <w:color w:val="auto"/>
                <w:sz w:val="21"/>
                <w:szCs w:val="21"/>
                <w:highlight w:val="none"/>
              </w:rPr>
              <w:t>,其响应将被拒绝。</w:t>
            </w:r>
          </w:p>
          <w:p w14:paraId="5C429F9E">
            <w:pPr>
              <w:pStyle w:val="25"/>
              <w:shd w:val="clear"/>
              <w:ind w:firstLine="422" w:firstLineChars="200"/>
              <w:rPr>
                <w:rFonts w:hint="eastAsia" w:ascii="宋体" w:hAnsi="宋体" w:eastAsia="宋体" w:cs="宋体"/>
              </w:rPr>
            </w:pPr>
            <w:r>
              <w:rPr>
                <w:rFonts w:hint="eastAsia" w:ascii="宋体" w:hAnsi="宋体" w:eastAsia="宋体" w:cs="宋体"/>
                <w:b/>
                <w:bCs/>
                <w:caps w:val="0"/>
                <w:color w:val="auto"/>
                <w:kern w:val="2"/>
                <w:sz w:val="21"/>
                <w:szCs w:val="21"/>
                <w:highlight w:val="none"/>
                <w:lang w:val="en-US" w:eastAsia="zh-CN" w:bidi="ar-SA"/>
              </w:rPr>
              <w:t>本项目专门面向中小企业采购，不再执行价格优惠。</w:t>
            </w:r>
          </w:p>
        </w:tc>
        <w:tc>
          <w:tcPr>
            <w:tcW w:w="857" w:type="dxa"/>
            <w:noWrap w:val="0"/>
            <w:vAlign w:val="center"/>
          </w:tcPr>
          <w:p w14:paraId="768C917B">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r>
      <w:tr w14:paraId="78E2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20" w:type="dxa"/>
            <w:vMerge w:val="restart"/>
            <w:noWrap w:val="0"/>
            <w:vAlign w:val="center"/>
          </w:tcPr>
          <w:p w14:paraId="11133B64">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w:t>
            </w:r>
          </w:p>
          <w:p w14:paraId="7C5B3EE3">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部分</w:t>
            </w:r>
          </w:p>
          <w:p w14:paraId="6866669E">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lang w:val="en-US" w:eastAsia="zh-CN"/>
              </w:rPr>
              <w:t>65分</w:t>
            </w:r>
            <w:r>
              <w:rPr>
                <w:rFonts w:hint="eastAsia" w:ascii="宋体" w:hAnsi="宋体" w:eastAsia="宋体" w:cs="宋体"/>
                <w:b/>
                <w:color w:val="auto"/>
                <w:sz w:val="21"/>
                <w:szCs w:val="21"/>
                <w:highlight w:val="none"/>
                <w:lang w:eastAsia="zh-CN"/>
              </w:rPr>
              <w:t>）</w:t>
            </w:r>
          </w:p>
          <w:p w14:paraId="2A592DB3">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yellow"/>
              </w:rPr>
            </w:pPr>
          </w:p>
          <w:p w14:paraId="4252A869">
            <w:pPr>
              <w:pStyle w:val="25"/>
              <w:shd w:val="clear"/>
              <w:rPr>
                <w:rFonts w:hint="eastAsia" w:ascii="宋体" w:hAnsi="宋体" w:eastAsia="宋体" w:cs="宋体"/>
              </w:rPr>
            </w:pPr>
          </w:p>
        </w:tc>
        <w:tc>
          <w:tcPr>
            <w:tcW w:w="7822" w:type="dxa"/>
            <w:gridSpan w:val="2"/>
            <w:noWrap w:val="0"/>
            <w:vAlign w:val="center"/>
          </w:tcPr>
          <w:p w14:paraId="4EB29E0F">
            <w:pPr>
              <w:keepNext w:val="0"/>
              <w:keepLines w:val="0"/>
              <w:pageBreakBefore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总体施工方案：</w:t>
            </w:r>
          </w:p>
          <w:p w14:paraId="41E3348D">
            <w:pPr>
              <w:keepNext w:val="0"/>
              <w:keepLines w:val="0"/>
              <w:pageBreakBefore w:val="0"/>
              <w:shd w:val="clea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施工组织安排合理、施工部署全面有效、施工工艺先进；按响应程度进行打分</w:t>
            </w:r>
            <w:r>
              <w:rPr>
                <w:rFonts w:hint="eastAsia" w:ascii="宋体" w:hAnsi="宋体" w:eastAsia="宋体" w:cs="宋体"/>
                <w:color w:val="auto"/>
                <w:sz w:val="21"/>
                <w:szCs w:val="21"/>
                <w:highlight w:val="none"/>
                <w:lang w:val="en-US" w:eastAsia="zh-CN"/>
              </w:rPr>
              <w:t>，合理得10.1-20分，一般得1-10分。</w:t>
            </w:r>
          </w:p>
        </w:tc>
        <w:tc>
          <w:tcPr>
            <w:tcW w:w="857" w:type="dxa"/>
            <w:noWrap w:val="0"/>
            <w:vAlign w:val="center"/>
          </w:tcPr>
          <w:p w14:paraId="28DBD072">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lang w:val="en-US" w:eastAsia="zh-CN"/>
              </w:rPr>
              <w:t>20</w:t>
            </w:r>
            <w:r>
              <w:rPr>
                <w:rFonts w:hint="eastAsia" w:ascii="宋体" w:hAnsi="宋体" w:eastAsia="宋体" w:cs="宋体"/>
                <w:color w:val="auto"/>
                <w:sz w:val="21"/>
                <w:szCs w:val="21"/>
                <w:highlight w:val="none"/>
              </w:rPr>
              <w:t>分</w:t>
            </w:r>
          </w:p>
        </w:tc>
      </w:tr>
      <w:tr w14:paraId="3A425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20" w:type="dxa"/>
            <w:vMerge w:val="continue"/>
            <w:noWrap w:val="0"/>
            <w:vAlign w:val="center"/>
          </w:tcPr>
          <w:p w14:paraId="67D95C61">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yellow"/>
              </w:rPr>
            </w:pPr>
          </w:p>
        </w:tc>
        <w:tc>
          <w:tcPr>
            <w:tcW w:w="7822" w:type="dxa"/>
            <w:gridSpan w:val="2"/>
            <w:noWrap w:val="0"/>
            <w:vAlign w:val="center"/>
          </w:tcPr>
          <w:p w14:paraId="655AA294">
            <w:pPr>
              <w:keepNext w:val="0"/>
              <w:keepLines w:val="0"/>
              <w:pageBreakBefore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确保工期的技术组织措施：</w:t>
            </w:r>
          </w:p>
          <w:p w14:paraId="6DDB0E45">
            <w:pPr>
              <w:keepNext w:val="0"/>
              <w:keepLines w:val="0"/>
              <w:pageBreakBefore w:val="0"/>
              <w:shd w:val="clea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施工进度安排、确保按期完工，按响应程度进行打分</w:t>
            </w:r>
            <w:r>
              <w:rPr>
                <w:rFonts w:hint="eastAsia" w:ascii="宋体" w:hAnsi="宋体" w:eastAsia="宋体" w:cs="宋体"/>
                <w:color w:val="auto"/>
                <w:sz w:val="21"/>
                <w:szCs w:val="21"/>
                <w:highlight w:val="none"/>
                <w:lang w:val="en-US" w:eastAsia="zh-CN"/>
              </w:rPr>
              <w:t>，合理得7.1-15分，一般得1-7分。</w:t>
            </w:r>
          </w:p>
        </w:tc>
        <w:tc>
          <w:tcPr>
            <w:tcW w:w="857" w:type="dxa"/>
            <w:noWrap w:val="0"/>
            <w:vAlign w:val="center"/>
          </w:tcPr>
          <w:p w14:paraId="5643C890">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r>
      <w:tr w14:paraId="301B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20" w:type="dxa"/>
            <w:vMerge w:val="continue"/>
            <w:noWrap w:val="0"/>
            <w:vAlign w:val="center"/>
          </w:tcPr>
          <w:p w14:paraId="08BAD056">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yellow"/>
              </w:rPr>
            </w:pPr>
          </w:p>
        </w:tc>
        <w:tc>
          <w:tcPr>
            <w:tcW w:w="7822" w:type="dxa"/>
            <w:gridSpan w:val="2"/>
            <w:noWrap w:val="0"/>
            <w:vAlign w:val="center"/>
          </w:tcPr>
          <w:p w14:paraId="3EB528D0">
            <w:pPr>
              <w:keepNext w:val="0"/>
              <w:keepLines w:val="0"/>
              <w:pageBreakBefore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3、</w:t>
            </w:r>
            <w:r>
              <w:rPr>
                <w:rFonts w:hint="eastAsia" w:ascii="宋体" w:hAnsi="宋体" w:eastAsia="宋体" w:cs="宋体"/>
                <w:b/>
                <w:bCs/>
                <w:color w:val="auto"/>
                <w:sz w:val="21"/>
                <w:szCs w:val="21"/>
                <w:highlight w:val="none"/>
              </w:rPr>
              <w:t>确保工程质量的技术措施:</w:t>
            </w:r>
          </w:p>
          <w:p w14:paraId="55118ABE">
            <w:pPr>
              <w:keepNext w:val="0"/>
              <w:keepLines w:val="0"/>
              <w:pageBreakBefore w:val="0"/>
              <w:shd w:val="clear"/>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yellow"/>
              </w:rPr>
            </w:pPr>
            <w:r>
              <w:rPr>
                <w:rFonts w:hint="eastAsia" w:ascii="宋体" w:hAnsi="宋体" w:eastAsia="宋体" w:cs="宋体"/>
                <w:color w:val="auto"/>
                <w:sz w:val="21"/>
                <w:szCs w:val="21"/>
                <w:highlight w:val="none"/>
              </w:rPr>
              <w:t>质量目标符合磋商要求，并有详细可靠的质量保证管理制度及措施，按响应程度进行打分</w:t>
            </w:r>
            <w:r>
              <w:rPr>
                <w:rFonts w:hint="eastAsia" w:ascii="宋体" w:hAnsi="宋体" w:eastAsia="宋体" w:cs="宋体"/>
                <w:color w:val="auto"/>
                <w:sz w:val="21"/>
                <w:szCs w:val="21"/>
                <w:highlight w:val="none"/>
                <w:lang w:val="en-US" w:eastAsia="zh-CN"/>
              </w:rPr>
              <w:t>，合理得7.1-15分，一般得1-7分。</w:t>
            </w:r>
          </w:p>
        </w:tc>
        <w:tc>
          <w:tcPr>
            <w:tcW w:w="857" w:type="dxa"/>
            <w:noWrap w:val="0"/>
            <w:vAlign w:val="center"/>
          </w:tcPr>
          <w:p w14:paraId="16BAAAA8">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yellow"/>
                <w:lang w:val="en-US" w:eastAsia="zh-CN"/>
              </w:rPr>
            </w:pPr>
            <w:r>
              <w:rPr>
                <w:rFonts w:hint="eastAsia" w:ascii="宋体" w:hAnsi="宋体" w:eastAsia="宋体" w:cs="宋体"/>
                <w:color w:val="auto"/>
                <w:sz w:val="21"/>
                <w:szCs w:val="21"/>
                <w:highlight w:val="none"/>
                <w:lang w:val="en-US" w:eastAsia="zh-CN"/>
              </w:rPr>
              <w:t>15</w:t>
            </w:r>
            <w:r>
              <w:rPr>
                <w:rFonts w:hint="eastAsia" w:ascii="宋体" w:hAnsi="宋体" w:eastAsia="宋体" w:cs="宋体"/>
                <w:color w:val="auto"/>
                <w:sz w:val="21"/>
                <w:szCs w:val="21"/>
                <w:highlight w:val="none"/>
              </w:rPr>
              <w:t>分</w:t>
            </w:r>
          </w:p>
        </w:tc>
      </w:tr>
      <w:tr w14:paraId="0A37A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20" w:type="dxa"/>
            <w:vMerge w:val="continue"/>
            <w:noWrap w:val="0"/>
            <w:vAlign w:val="center"/>
          </w:tcPr>
          <w:p w14:paraId="761D3187">
            <w:pPr>
              <w:pStyle w:val="25"/>
              <w:shd w:val="clear"/>
              <w:rPr>
                <w:rFonts w:hint="eastAsia" w:ascii="宋体" w:hAnsi="宋体" w:eastAsia="宋体" w:cs="宋体"/>
              </w:rPr>
            </w:pPr>
          </w:p>
        </w:tc>
        <w:tc>
          <w:tcPr>
            <w:tcW w:w="7822" w:type="dxa"/>
            <w:gridSpan w:val="2"/>
            <w:noWrap w:val="0"/>
            <w:vAlign w:val="center"/>
          </w:tcPr>
          <w:p w14:paraId="18F936EF">
            <w:pPr>
              <w:keepNext w:val="0"/>
              <w:keepLines w:val="0"/>
              <w:pageBreakBefore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sz w:val="21"/>
                <w:szCs w:val="21"/>
                <w:highlight w:val="none"/>
              </w:rPr>
              <w:t>主要机具、设备和劳动力配备情况:</w:t>
            </w:r>
          </w:p>
          <w:p w14:paraId="73B54BC4">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机械设备满足工程需要，劳动力投入充足合理，按响应程度进行打分</w:t>
            </w:r>
            <w:r>
              <w:rPr>
                <w:rFonts w:hint="eastAsia" w:ascii="宋体" w:hAnsi="宋体" w:eastAsia="宋体" w:cs="宋体"/>
                <w:color w:val="auto"/>
                <w:sz w:val="21"/>
                <w:szCs w:val="21"/>
                <w:highlight w:val="none"/>
                <w:lang w:val="en-US" w:eastAsia="zh-CN"/>
              </w:rPr>
              <w:t>，合理得7.1-15分，一般得1-7分。</w:t>
            </w:r>
          </w:p>
        </w:tc>
        <w:tc>
          <w:tcPr>
            <w:tcW w:w="857" w:type="dxa"/>
            <w:noWrap w:val="0"/>
            <w:vAlign w:val="center"/>
          </w:tcPr>
          <w:p w14:paraId="0107A949">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15分</w:t>
            </w:r>
          </w:p>
        </w:tc>
      </w:tr>
      <w:tr w14:paraId="7639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7" w:hRule="atLeast"/>
          <w:jc w:val="center"/>
        </w:trPr>
        <w:tc>
          <w:tcPr>
            <w:tcW w:w="1120" w:type="dxa"/>
            <w:noWrap w:val="0"/>
            <w:vAlign w:val="center"/>
          </w:tcPr>
          <w:p w14:paraId="02A0E18D">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业绩</w:t>
            </w:r>
          </w:p>
          <w:p w14:paraId="32045417">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（5分）</w:t>
            </w:r>
          </w:p>
        </w:tc>
        <w:tc>
          <w:tcPr>
            <w:tcW w:w="7822" w:type="dxa"/>
            <w:gridSpan w:val="2"/>
            <w:noWrap w:val="0"/>
            <w:vAlign w:val="center"/>
          </w:tcPr>
          <w:p w14:paraId="0592EEA5">
            <w:pPr>
              <w:keepNext w:val="0"/>
              <w:keepLines w:val="0"/>
              <w:pageBreakBefore w:val="0"/>
              <w:widowControl/>
              <w:shd w:val="clear"/>
              <w:kinsoku/>
              <w:wordWrap/>
              <w:overflowPunct/>
              <w:topLinePunct w:val="0"/>
              <w:autoSpaceDE/>
              <w:autoSpaceDN/>
              <w:bidi w:val="0"/>
              <w:adjustRightInd/>
              <w:snapToGrid/>
              <w:spacing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近年（20</w:t>
            </w:r>
            <w:r>
              <w:rPr>
                <w:rFonts w:hint="eastAsia" w:ascii="宋体" w:hAnsi="宋体" w:eastAsia="宋体" w:cs="宋体"/>
                <w:color w:val="auto"/>
                <w:sz w:val="21"/>
                <w:szCs w:val="21"/>
                <w:highlight w:val="none"/>
                <w:lang w:val="en-US" w:eastAsia="zh-CN"/>
              </w:rPr>
              <w:t>22</w:t>
            </w:r>
            <w:r>
              <w:rPr>
                <w:rFonts w:hint="eastAsia" w:ascii="宋体" w:hAnsi="宋体" w:eastAsia="宋体" w:cs="宋体"/>
                <w:color w:val="auto"/>
                <w:sz w:val="21"/>
                <w:szCs w:val="21"/>
                <w:highlight w:val="none"/>
                <w:lang w:val="zh-CN"/>
              </w:rPr>
              <w:t>年</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lang w:val="zh-CN"/>
              </w:rPr>
              <w:t>月至今，以合同签订时间为准）承担过类似</w:t>
            </w:r>
            <w:r>
              <w:rPr>
                <w:rFonts w:hint="eastAsia" w:ascii="宋体" w:hAnsi="宋体" w:eastAsia="宋体" w:cs="宋体"/>
                <w:color w:val="auto"/>
                <w:sz w:val="21"/>
                <w:szCs w:val="21"/>
                <w:highlight w:val="none"/>
                <w:lang w:val="zh-CN" w:eastAsia="zh-CN"/>
              </w:rPr>
              <w:t>项目</w:t>
            </w:r>
            <w:r>
              <w:rPr>
                <w:rFonts w:hint="eastAsia" w:ascii="宋体" w:hAnsi="宋体" w:eastAsia="宋体" w:cs="宋体"/>
                <w:color w:val="auto"/>
                <w:sz w:val="21"/>
                <w:szCs w:val="21"/>
                <w:highlight w:val="none"/>
                <w:lang w:val="zh-CN"/>
              </w:rPr>
              <w:t>业绩，每提供一个得</w:t>
            </w:r>
            <w:r>
              <w:rPr>
                <w:rFonts w:hint="eastAsia" w:ascii="宋体" w:hAnsi="宋体" w:eastAsia="宋体" w:cs="宋体"/>
                <w:color w:val="auto"/>
                <w:sz w:val="21"/>
                <w:szCs w:val="21"/>
                <w:highlight w:val="none"/>
                <w:lang w:val="en-US" w:eastAsia="zh-CN"/>
              </w:rPr>
              <w:t>2.5</w:t>
            </w:r>
            <w:r>
              <w:rPr>
                <w:rFonts w:hint="eastAsia" w:ascii="宋体" w:hAnsi="宋体" w:eastAsia="宋体" w:cs="宋体"/>
                <w:color w:val="auto"/>
                <w:sz w:val="21"/>
                <w:szCs w:val="21"/>
                <w:highlight w:val="none"/>
                <w:lang w:val="zh-CN"/>
              </w:rPr>
              <w:t>分，最高得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分。（应附成交（</w:t>
            </w:r>
            <w:r>
              <w:rPr>
                <w:rFonts w:hint="eastAsia" w:ascii="宋体" w:hAnsi="宋体" w:eastAsia="宋体" w:cs="宋体"/>
                <w:color w:val="auto"/>
                <w:sz w:val="21"/>
                <w:szCs w:val="21"/>
                <w:highlight w:val="none"/>
                <w:lang w:val="en-US" w:eastAsia="zh-CN"/>
              </w:rPr>
              <w:t>中标）</w:t>
            </w:r>
            <w:r>
              <w:rPr>
                <w:rFonts w:hint="eastAsia" w:ascii="宋体" w:hAnsi="宋体" w:eastAsia="宋体" w:cs="宋体"/>
                <w:color w:val="auto"/>
                <w:sz w:val="21"/>
                <w:szCs w:val="21"/>
                <w:highlight w:val="none"/>
                <w:lang w:val="zh-CN"/>
              </w:rPr>
              <w:t>通知书或合同协议书，未提供不认可）</w:t>
            </w:r>
          </w:p>
        </w:tc>
        <w:tc>
          <w:tcPr>
            <w:tcW w:w="857" w:type="dxa"/>
            <w:noWrap w:val="0"/>
            <w:vAlign w:val="center"/>
          </w:tcPr>
          <w:p w14:paraId="0F923A1F">
            <w:pPr>
              <w:keepNext w:val="0"/>
              <w:keepLines w:val="0"/>
              <w:pageBreakBefore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5分</w:t>
            </w:r>
          </w:p>
        </w:tc>
      </w:tr>
    </w:tbl>
    <w:p w14:paraId="479BF104">
      <w:pPr>
        <w:shd w:val="clear"/>
        <w:rPr>
          <w:rFonts w:hint="eastAsia" w:ascii="宋体" w:hAnsi="宋体" w:eastAsia="宋体" w:cs="宋体"/>
          <w:highlight w:val="none"/>
        </w:rPr>
      </w:pPr>
      <w:r>
        <w:rPr>
          <w:rFonts w:hint="eastAsia" w:ascii="宋体" w:hAnsi="宋体" w:eastAsia="宋体" w:cs="宋体"/>
          <w:highlight w:val="none"/>
        </w:rPr>
        <w:br w:type="page"/>
      </w:r>
    </w:p>
    <w:p w14:paraId="6AE04978">
      <w:pPr>
        <w:pStyle w:val="2"/>
        <w:numPr>
          <w:ilvl w:val="0"/>
          <w:numId w:val="6"/>
        </w:numPr>
        <w:shd w:val="clear"/>
        <w:jc w:val="center"/>
        <w:outlineLvl w:val="0"/>
        <w:rPr>
          <w:rFonts w:hint="eastAsia" w:ascii="宋体" w:hAnsi="宋体" w:eastAsia="宋体" w:cs="宋体"/>
          <w:highlight w:val="none"/>
        </w:rPr>
      </w:pPr>
      <w:bookmarkStart w:id="61" w:name="_Toc10559"/>
      <w:bookmarkStart w:id="62" w:name="_Toc14355"/>
      <w:r>
        <w:rPr>
          <w:rFonts w:hint="eastAsia" w:ascii="宋体" w:hAnsi="宋体" w:eastAsia="宋体" w:cs="宋体"/>
          <w:highlight w:val="none"/>
        </w:rPr>
        <w:t>合同主要条款</w:t>
      </w:r>
      <w:bookmarkEnd w:id="61"/>
      <w:bookmarkEnd w:id="62"/>
    </w:p>
    <w:p w14:paraId="32440047">
      <w:pPr>
        <w:shd w:val="clear"/>
        <w:rPr>
          <w:rFonts w:hint="eastAsia" w:ascii="宋体" w:hAnsi="宋体" w:eastAsia="宋体" w:cs="宋体"/>
          <w:b w:val="0"/>
          <w:szCs w:val="28"/>
        </w:rPr>
      </w:pPr>
      <w:bookmarkStart w:id="63" w:name="_Toc512246206"/>
    </w:p>
    <w:bookmarkEnd w:id="63"/>
    <w:p w14:paraId="6AA6B8FD">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甲方：</w:t>
      </w:r>
    </w:p>
    <w:p w14:paraId="0F41E16C">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乙方：（成交单位名称）</w:t>
      </w:r>
    </w:p>
    <w:p w14:paraId="32343A4B">
      <w:pPr>
        <w:numPr>
          <w:ilvl w:val="0"/>
          <w:numId w:val="7"/>
        </w:numPr>
        <w:shd w:val="clea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合同标的:</w:t>
      </w:r>
    </w:p>
    <w:p w14:paraId="29FEE246">
      <w:pPr>
        <w:shd w:val="clea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二、合同价款：</w:t>
      </w:r>
    </w:p>
    <w:p w14:paraId="6B853C11">
      <w:pPr>
        <w:shd w:val="clear"/>
        <w:tabs>
          <w:tab w:val="left" w:pos="735"/>
        </w:tabs>
        <w:autoSpaceDE w:val="0"/>
        <w:autoSpaceDN w:val="0"/>
        <w:adjustRightInd w:val="0"/>
        <w:snapToGrid w:val="0"/>
        <w:spacing w:line="360" w:lineRule="auto"/>
        <w:ind w:firstLine="480" w:firstLineChars="200"/>
        <w:rPr>
          <w:rFonts w:hint="eastAsia" w:ascii="宋体" w:hAnsi="宋体" w:eastAsia="宋体" w:cs="宋体"/>
          <w:b/>
          <w:sz w:val="24"/>
          <w:szCs w:val="24"/>
        </w:rPr>
      </w:pPr>
      <w:r>
        <w:rPr>
          <w:rFonts w:hint="eastAsia" w:ascii="宋体" w:hAnsi="宋体" w:eastAsia="宋体" w:cs="宋体"/>
          <w:sz w:val="24"/>
          <w:szCs w:val="24"/>
        </w:rPr>
        <w:t>1、合同总价：</w:t>
      </w:r>
    </w:p>
    <w:p w14:paraId="5AF33CBC">
      <w:pPr>
        <w:shd w:val="clear"/>
        <w:spacing w:line="360" w:lineRule="auto"/>
        <w:ind w:left="479" w:leftChars="228"/>
        <w:rPr>
          <w:rFonts w:hint="eastAsia" w:ascii="宋体" w:hAnsi="宋体" w:eastAsia="宋体" w:cs="宋体"/>
          <w:sz w:val="24"/>
          <w:szCs w:val="24"/>
          <w:lang w:val="zh-CN"/>
        </w:rPr>
      </w:pPr>
      <w:r>
        <w:rPr>
          <w:rFonts w:hint="eastAsia" w:ascii="宋体" w:hAnsi="宋体" w:eastAsia="宋体" w:cs="宋体"/>
          <w:sz w:val="24"/>
          <w:szCs w:val="24"/>
        </w:rPr>
        <w:t>2、合同总价包括：</w:t>
      </w:r>
      <w:r>
        <w:rPr>
          <w:rFonts w:hint="eastAsia" w:ascii="宋体" w:hAnsi="宋体" w:eastAsia="宋体" w:cs="宋体"/>
          <w:sz w:val="24"/>
          <w:szCs w:val="24"/>
          <w:lang w:val="zh-CN"/>
        </w:rPr>
        <w:t>项目实施费及其他费用等从项目实施至验收合格等所有其他有关各项的含税费用。</w:t>
      </w:r>
    </w:p>
    <w:p w14:paraId="066A01C1">
      <w:pPr>
        <w:shd w:val="clear"/>
        <w:spacing w:line="360" w:lineRule="auto"/>
        <w:ind w:left="479" w:leftChars="228"/>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ascii="宋体" w:hAnsi="宋体" w:eastAsia="宋体" w:cs="宋体"/>
          <w:sz w:val="24"/>
          <w:szCs w:val="24"/>
          <w:highlight w:val="none"/>
          <w:lang w:eastAsia="zh-CN"/>
        </w:rPr>
        <w:t>合同总价</w:t>
      </w:r>
      <w:r>
        <w:rPr>
          <w:rFonts w:hint="eastAsia" w:ascii="宋体" w:hAnsi="宋体" w:eastAsia="宋体" w:cs="宋体"/>
          <w:sz w:val="24"/>
          <w:szCs w:val="24"/>
          <w:highlight w:val="none"/>
        </w:rPr>
        <w:t>不受市场价格、工作量变化等其它因素的影响；</w:t>
      </w:r>
    </w:p>
    <w:p w14:paraId="008E2C43">
      <w:pPr>
        <w:shd w:val="clear"/>
        <w:tabs>
          <w:tab w:val="left" w:pos="735"/>
        </w:tabs>
        <w:adjustRightInd w:val="0"/>
        <w:snapToGrid w:val="0"/>
        <w:spacing w:line="360" w:lineRule="auto"/>
        <w:ind w:firstLine="482" w:firstLineChars="200"/>
        <w:rPr>
          <w:rFonts w:hint="eastAsia" w:ascii="宋体" w:hAnsi="宋体" w:eastAsia="宋体" w:cs="宋体"/>
          <w:b/>
          <w:bCs w:val="0"/>
          <w:sz w:val="24"/>
          <w:szCs w:val="24"/>
          <w:highlight w:val="none"/>
        </w:rPr>
      </w:pPr>
      <w:r>
        <w:rPr>
          <w:rFonts w:hint="eastAsia" w:ascii="宋体" w:hAnsi="宋体" w:eastAsia="宋体" w:cs="宋体"/>
          <w:b/>
          <w:bCs w:val="0"/>
          <w:sz w:val="24"/>
          <w:szCs w:val="24"/>
          <w:highlight w:val="none"/>
        </w:rPr>
        <w:t>三、合同价款的支付</w:t>
      </w:r>
    </w:p>
    <w:p w14:paraId="4E4B3819">
      <w:pPr>
        <w:shd w:val="clear"/>
        <w:spacing w:line="360" w:lineRule="auto"/>
        <w:ind w:firstLine="480" w:firstLineChars="200"/>
        <w:rPr>
          <w:rFonts w:hint="eastAsia" w:ascii="宋体" w:hAnsi="宋体" w:eastAsia="宋体" w:cs="宋体"/>
          <w:b/>
          <w:bCs w:val="0"/>
          <w:sz w:val="24"/>
          <w:szCs w:val="24"/>
          <w:highlight w:val="none"/>
          <w:lang w:eastAsia="zh-CN"/>
        </w:rPr>
      </w:pPr>
      <w:r>
        <w:rPr>
          <w:rFonts w:hint="eastAsia" w:ascii="宋体" w:hAnsi="宋体" w:eastAsia="宋体" w:cs="宋体"/>
          <w:b w:val="0"/>
          <w:bCs/>
          <w:sz w:val="24"/>
          <w:szCs w:val="24"/>
          <w:highlight w:val="none"/>
        </w:rPr>
        <w:t>1、</w:t>
      </w:r>
      <w:r>
        <w:rPr>
          <w:rFonts w:hint="eastAsia" w:ascii="宋体" w:hAnsi="宋体" w:eastAsia="宋体" w:cs="宋体"/>
          <w:b w:val="0"/>
          <w:bCs w:val="0"/>
          <w:color w:val="000000"/>
          <w:sz w:val="24"/>
          <w:szCs w:val="24"/>
          <w:highlight w:val="none"/>
          <w:lang w:val="en-US" w:eastAsia="zh-CN"/>
        </w:rPr>
        <w:t>付款方式：</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14:paraId="525AFDD0">
      <w:pPr>
        <w:shd w:val="clea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highlight w:val="none"/>
        </w:rPr>
        <w:t>2、结算方式：</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14:paraId="43F5DD33">
      <w:pPr>
        <w:shd w:val="clear"/>
        <w:spacing w:line="360" w:lineRule="auto"/>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lang w:val="en-US" w:eastAsia="zh-CN"/>
        </w:rPr>
        <w:t>3</w:t>
      </w:r>
      <w:r>
        <w:rPr>
          <w:rFonts w:hint="eastAsia" w:ascii="宋体" w:hAnsi="宋体" w:eastAsia="宋体" w:cs="宋体"/>
          <w:sz w:val="24"/>
          <w:szCs w:val="24"/>
        </w:rPr>
        <w:t>、支付方式：</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w:t>
      </w:r>
    </w:p>
    <w:p w14:paraId="2260D770">
      <w:pPr>
        <w:shd w:val="clear"/>
        <w:autoSpaceDE w:val="0"/>
        <w:autoSpaceDN w:val="0"/>
        <w:adjustRightInd w:val="0"/>
        <w:snapToGrid w:val="0"/>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四、质量保证</w:t>
      </w:r>
    </w:p>
    <w:p w14:paraId="073F398D">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1、工程质量为合格。</w:t>
      </w:r>
    </w:p>
    <w:p w14:paraId="458E9727">
      <w:pPr>
        <w:shd w:val="clea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2、所用设备是经过国家法定检验、注册、准许市场销售的合法产品。</w:t>
      </w:r>
    </w:p>
    <w:p w14:paraId="2D88088B">
      <w:pPr>
        <w:shd w:val="clear"/>
        <w:autoSpaceDE w:val="0"/>
        <w:autoSpaceDN w:val="0"/>
        <w:adjustRightInd w:val="0"/>
        <w:snapToGrid w:val="0"/>
        <w:spacing w:line="360" w:lineRule="auto"/>
        <w:ind w:firstLine="480" w:firstLineChars="200"/>
        <w:rPr>
          <w:rFonts w:hint="eastAsia" w:ascii="宋体" w:hAnsi="宋体" w:eastAsia="宋体" w:cs="宋体"/>
          <w:bCs/>
          <w:sz w:val="24"/>
          <w:szCs w:val="24"/>
          <w:lang w:val="zh-CN"/>
        </w:rPr>
      </w:pPr>
      <w:r>
        <w:rPr>
          <w:rFonts w:hint="eastAsia" w:ascii="宋体" w:hAnsi="宋体" w:eastAsia="宋体" w:cs="宋体"/>
          <w:bCs/>
          <w:sz w:val="24"/>
          <w:szCs w:val="24"/>
          <w:lang w:val="zh-CN"/>
        </w:rPr>
        <w:t>3、因拆除、安装等方面施工引起影响正常使用的问题，由施工方负全部责任。因使用方使用不当所造成的问题，施工方全力配合解决。</w:t>
      </w:r>
    </w:p>
    <w:p w14:paraId="05DA7272">
      <w:pPr>
        <w:shd w:val="clear"/>
        <w:autoSpaceDE w:val="0"/>
        <w:autoSpaceDN w:val="0"/>
        <w:adjustRightInd w:val="0"/>
        <w:snapToGrid w:val="0"/>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五、关于工期的约定</w:t>
      </w:r>
    </w:p>
    <w:p w14:paraId="627CB40E">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1.甲方要求比合同约定的工期提前竣工时，应征得乙方同意，并支付乙方因赶工采取的措施费用。</w:t>
      </w:r>
    </w:p>
    <w:p w14:paraId="78D5B609">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2.因甲方未按约定完成工作且影响工期的，工期相应顺延。</w:t>
      </w:r>
    </w:p>
    <w:p w14:paraId="2C1C932D">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3.因乙方责任，不能按期开工或中途无故停工，影响工期，工期不顺延，由乙方承担逾期完工的违约责任。</w:t>
      </w:r>
    </w:p>
    <w:p w14:paraId="4C6E6105">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4.因设计变更或非乙方原因造成的停电、停水、停气及不可抗力因素影响，导致停工8小时以上（一周内累计计算），工期相应顺延。</w:t>
      </w:r>
    </w:p>
    <w:p w14:paraId="21FC07CE">
      <w:pPr>
        <w:shd w:val="clear"/>
        <w:autoSpaceDE w:val="0"/>
        <w:autoSpaceDN w:val="0"/>
        <w:adjustRightInd w:val="0"/>
        <w:snapToGrid w:val="0"/>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六、技术服务</w:t>
      </w:r>
    </w:p>
    <w:p w14:paraId="4FA3EC92">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w:t>
      </w:r>
      <w:r>
        <w:rPr>
          <w:rFonts w:hint="eastAsia" w:ascii="宋体" w:hAnsi="宋体" w:eastAsia="宋体" w:cs="宋体"/>
          <w:sz w:val="24"/>
          <w:szCs w:val="24"/>
        </w:rPr>
        <w:t>1</w:t>
      </w:r>
      <w:r>
        <w:rPr>
          <w:rFonts w:hint="eastAsia" w:ascii="宋体" w:hAnsi="宋体" w:eastAsia="宋体" w:cs="宋体"/>
          <w:sz w:val="24"/>
          <w:szCs w:val="24"/>
          <w:lang w:val="zh-CN"/>
        </w:rPr>
        <w:t>、工程竣工资料；</w:t>
      </w:r>
    </w:p>
    <w:p w14:paraId="62572073">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1-</w:t>
      </w:r>
      <w:r>
        <w:rPr>
          <w:rFonts w:hint="eastAsia" w:ascii="宋体" w:hAnsi="宋体" w:eastAsia="宋体" w:cs="宋体"/>
          <w:sz w:val="24"/>
          <w:szCs w:val="24"/>
        </w:rPr>
        <w:t>2</w:t>
      </w:r>
      <w:r>
        <w:rPr>
          <w:rFonts w:hint="eastAsia" w:ascii="宋体" w:hAnsi="宋体" w:eastAsia="宋体" w:cs="宋体"/>
          <w:sz w:val="24"/>
          <w:szCs w:val="24"/>
          <w:lang w:val="zh-CN"/>
        </w:rPr>
        <w:t>、其它资料。</w:t>
      </w:r>
    </w:p>
    <w:p w14:paraId="38CD7FB3">
      <w:pPr>
        <w:shd w:val="clear"/>
        <w:autoSpaceDE w:val="0"/>
        <w:autoSpaceDN w:val="0"/>
        <w:adjustRightInd w:val="0"/>
        <w:snapToGrid w:val="0"/>
        <w:spacing w:line="360" w:lineRule="auto"/>
        <w:ind w:firstLine="480" w:firstLineChars="200"/>
        <w:rPr>
          <w:rFonts w:hint="eastAsia" w:ascii="宋体" w:hAnsi="宋体" w:eastAsia="宋体" w:cs="宋体"/>
          <w:b/>
          <w:sz w:val="24"/>
          <w:szCs w:val="24"/>
          <w:lang w:val="zh-CN"/>
        </w:rPr>
      </w:pPr>
      <w:r>
        <w:rPr>
          <w:rFonts w:hint="eastAsia" w:ascii="宋体" w:hAnsi="宋体" w:eastAsia="宋体" w:cs="宋体"/>
          <w:sz w:val="24"/>
          <w:szCs w:val="24"/>
          <w:lang w:val="zh-CN"/>
        </w:rPr>
        <w:t>2、售后服务内容各供应商自行列出。</w:t>
      </w:r>
    </w:p>
    <w:p w14:paraId="2EA4092E">
      <w:pPr>
        <w:shd w:val="clear"/>
        <w:autoSpaceDE w:val="0"/>
        <w:autoSpaceDN w:val="0"/>
        <w:adjustRightInd w:val="0"/>
        <w:snapToGrid w:val="0"/>
        <w:spacing w:line="360" w:lineRule="auto"/>
        <w:ind w:firstLine="482" w:firstLineChars="200"/>
        <w:rPr>
          <w:rFonts w:hint="eastAsia" w:ascii="宋体" w:hAnsi="宋体" w:eastAsia="宋体" w:cs="宋体"/>
          <w:b/>
          <w:sz w:val="24"/>
          <w:szCs w:val="24"/>
          <w:lang w:val="zh-CN"/>
        </w:rPr>
      </w:pPr>
      <w:r>
        <w:rPr>
          <w:rFonts w:hint="eastAsia" w:ascii="宋体" w:hAnsi="宋体" w:eastAsia="宋体" w:cs="宋体"/>
          <w:b/>
          <w:sz w:val="24"/>
          <w:szCs w:val="24"/>
          <w:lang w:val="zh-CN"/>
        </w:rPr>
        <w:t>七、违约责任</w:t>
      </w:r>
    </w:p>
    <w:p w14:paraId="1D5BC9F4">
      <w:pPr>
        <w:shd w:val="clear"/>
        <w:autoSpaceDE w:val="0"/>
        <w:autoSpaceDN w:val="0"/>
        <w:adjustRightInd w:val="0"/>
        <w:snapToGrid w:val="0"/>
        <w:spacing w:line="360" w:lineRule="auto"/>
        <w:ind w:firstLine="480" w:firstLineChars="200"/>
        <w:rPr>
          <w:rFonts w:hint="eastAsia" w:ascii="宋体" w:hAnsi="宋体" w:eastAsia="宋体" w:cs="宋体"/>
          <w:sz w:val="24"/>
          <w:szCs w:val="24"/>
          <w:lang w:val="zh-CN"/>
        </w:rPr>
      </w:pPr>
      <w:r>
        <w:rPr>
          <w:rFonts w:hint="eastAsia" w:ascii="宋体" w:hAnsi="宋体" w:eastAsia="宋体" w:cs="宋体"/>
          <w:sz w:val="24"/>
          <w:szCs w:val="24"/>
          <w:lang w:val="zh-CN"/>
        </w:rPr>
        <w:t>按《民法典》中的相关条款执行。</w:t>
      </w:r>
    </w:p>
    <w:p w14:paraId="56ECA14C">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1、发包人违约的责任</w:t>
      </w:r>
    </w:p>
    <w:p w14:paraId="784C1287">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因发包人原因未能在计划开工日期前7天内下达开工通知的违约责任：工程顺延。</w:t>
      </w:r>
    </w:p>
    <w:p w14:paraId="5D78DA19">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因发包人原因未能按合同约定支付合同价款的违约责任：承包人有权要求发包人按照约定支付合同价款，发包人将以该次应支付的合同价款为基础按银行同期存款利息计算向承包人支付违约金。</w:t>
      </w:r>
    </w:p>
    <w:p w14:paraId="09F19EA5">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2、承包人违约的责任</w:t>
      </w:r>
    </w:p>
    <w:p w14:paraId="510504EF">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1）承包人违反法律和合同约定进行转包或违法分包的，承包人应向发包人承担签约合同价5%的违约金，并且发包人有权解除本合同，因此造成的一切损失（包括但不限于招标费用、工程延期产生的损失、支付他人的费用或赔偿金、诉讼费、律师费等）由承包人承担；</w:t>
      </w:r>
    </w:p>
    <w:p w14:paraId="007B3DC3">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（2）承包人违反合同约定采购和使用不合格的材料和工程设备的，除每次应向发包人承担1万元的违约金外，还应返工更换合格材料和工程设备外，工期不予顺延；</w:t>
      </w:r>
    </w:p>
    <w:p w14:paraId="62A798E1">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（3）承包人应严格遵守住房城乡建设部关于印发《建筑工程施工转包违法分包等违法行为认定查处管理办法（试行）》的通知的规定，如有违反发包人有权终止合同，承包人并且承担发包人一切损失。</w:t>
      </w:r>
    </w:p>
    <w:p w14:paraId="1656ECF7">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4）承包人明确表示或者以其行为表明不履行合同主要义务的，发包人有权解除本合同，由此造成的一切损失由承包人承担（包括但不限于不支付承包人已完工程的费用、支付或赔偿他人的费用、诉讼费、律师费等）；</w:t>
      </w:r>
    </w:p>
    <w:p w14:paraId="15F38BEB">
      <w:pPr>
        <w:shd w:val="clear"/>
        <w:autoSpaceDE w:val="0"/>
        <w:autoSpaceDN w:val="0"/>
        <w:adjustRightInd w:val="0"/>
        <w:snapToGrid w:val="0"/>
        <w:spacing w:line="360" w:lineRule="auto"/>
        <w:ind w:firstLine="472" w:firstLineChars="196"/>
        <w:rPr>
          <w:rFonts w:hint="eastAsia" w:ascii="宋体" w:hAnsi="宋体" w:eastAsia="宋体" w:cs="宋体"/>
          <w:b/>
          <w:sz w:val="24"/>
          <w:szCs w:val="24"/>
          <w:lang w:val="zh-CN"/>
        </w:rPr>
      </w:pPr>
      <w:r>
        <w:rPr>
          <w:rFonts w:hint="eastAsia" w:ascii="宋体" w:hAnsi="宋体" w:eastAsia="宋体" w:cs="宋体"/>
          <w:b/>
          <w:sz w:val="24"/>
          <w:szCs w:val="24"/>
          <w:lang w:val="zh-CN"/>
        </w:rPr>
        <w:t>八、验收</w:t>
      </w:r>
    </w:p>
    <w:p w14:paraId="3EE93747">
      <w:pPr>
        <w:shd w:val="clea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1、整个工程施工完毕，由</w:t>
      </w:r>
      <w:r>
        <w:rPr>
          <w:rFonts w:hint="eastAsia" w:ascii="宋体" w:hAnsi="宋体" w:eastAsia="宋体" w:cs="宋体"/>
          <w:sz w:val="24"/>
          <w:szCs w:val="24"/>
          <w:lang w:eastAsia="zh-CN"/>
        </w:rPr>
        <w:t>发包人</w:t>
      </w:r>
      <w:r>
        <w:rPr>
          <w:rFonts w:hint="eastAsia" w:ascii="宋体" w:hAnsi="宋体" w:eastAsia="宋体" w:cs="宋体"/>
          <w:sz w:val="24"/>
          <w:szCs w:val="24"/>
        </w:rPr>
        <w:t>组织进行验收，出具正式报告。其验收结果作为最终的验收依据。</w:t>
      </w:r>
    </w:p>
    <w:p w14:paraId="572264F8">
      <w:pPr>
        <w:shd w:val="clea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2、甲方根据有关国家质量验收规范和评定标准进行技术交底和组织验收，乙方按照施工图纸和说明书要求，精心组织施工，保证工程质量，如质量不合标准，必须返工修理，其工料费损失，由乙方承担</w:t>
      </w:r>
      <w:r>
        <w:rPr>
          <w:rFonts w:hint="eastAsia" w:ascii="宋体" w:hAnsi="宋体" w:eastAsia="宋体" w:cs="宋体"/>
          <w:sz w:val="24"/>
          <w:szCs w:val="24"/>
          <w:lang w:val="en-US" w:eastAsia="zh-CN"/>
        </w:rPr>
        <w:t>且工期不予顺延</w:t>
      </w:r>
      <w:r>
        <w:rPr>
          <w:rFonts w:hint="eastAsia" w:ascii="宋体" w:hAnsi="宋体" w:eastAsia="宋体" w:cs="宋体"/>
          <w:sz w:val="24"/>
          <w:szCs w:val="24"/>
        </w:rPr>
        <w:t>；如工程质量低劣又无法挽救的，应由乙方负责赔偿全部工料损失</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发包人不予支付工程款</w:t>
      </w:r>
      <w:r>
        <w:rPr>
          <w:rFonts w:hint="eastAsia" w:ascii="宋体" w:hAnsi="宋体" w:eastAsia="宋体" w:cs="宋体"/>
          <w:sz w:val="24"/>
          <w:szCs w:val="24"/>
        </w:rPr>
        <w:t>。</w:t>
      </w:r>
    </w:p>
    <w:p w14:paraId="1D58D383">
      <w:pPr>
        <w:shd w:val="clear"/>
        <w:autoSpaceDE w:val="0"/>
        <w:autoSpaceDN w:val="0"/>
        <w:adjustRightInd w:val="0"/>
        <w:snapToGrid w:val="0"/>
        <w:spacing w:line="360" w:lineRule="auto"/>
        <w:ind w:firstLine="472" w:firstLineChars="196"/>
        <w:rPr>
          <w:rFonts w:hint="eastAsia" w:ascii="宋体" w:hAnsi="宋体" w:eastAsia="宋体" w:cs="宋体"/>
          <w:b/>
          <w:sz w:val="24"/>
          <w:szCs w:val="24"/>
          <w:lang w:val="zh-CN"/>
        </w:rPr>
      </w:pPr>
      <w:r>
        <w:rPr>
          <w:rFonts w:hint="eastAsia" w:ascii="宋体" w:hAnsi="宋体" w:eastAsia="宋体" w:cs="宋体"/>
          <w:b/>
          <w:sz w:val="24"/>
          <w:szCs w:val="24"/>
          <w:lang w:val="zh-CN"/>
        </w:rPr>
        <w:t>九、合同的变更、中止、终止</w:t>
      </w:r>
    </w:p>
    <w:p w14:paraId="473B932B">
      <w:pPr>
        <w:shd w:val="clear"/>
        <w:autoSpaceDE w:val="0"/>
        <w:autoSpaceDN w:val="0"/>
        <w:adjustRightInd w:val="0"/>
        <w:snapToGrid w:val="0"/>
        <w:spacing w:line="360" w:lineRule="auto"/>
        <w:ind w:firstLine="470" w:firstLineChars="196"/>
        <w:rPr>
          <w:rFonts w:hint="eastAsia" w:ascii="宋体" w:hAnsi="宋体" w:eastAsia="宋体" w:cs="宋体"/>
          <w:b w:val="0"/>
          <w:bCs/>
          <w:sz w:val="24"/>
          <w:szCs w:val="24"/>
          <w:lang w:val="zh-CN"/>
        </w:rPr>
      </w:pPr>
      <w:r>
        <w:rPr>
          <w:rFonts w:hint="eastAsia" w:ascii="宋体" w:hAnsi="宋体" w:eastAsia="宋体" w:cs="宋体"/>
          <w:b w:val="0"/>
          <w:bCs/>
          <w:sz w:val="24"/>
          <w:szCs w:val="24"/>
          <w:lang w:val="zh-CN"/>
        </w:rPr>
        <w:t>合同一经签订，不得擅自变更、中止或者终止合同。对确需变更、调整或者中止、终止合同的，由双方协商解决。</w:t>
      </w:r>
    </w:p>
    <w:p w14:paraId="1F187AD7">
      <w:pPr>
        <w:shd w:val="clear"/>
        <w:autoSpaceDE w:val="0"/>
        <w:autoSpaceDN w:val="0"/>
        <w:adjustRightInd w:val="0"/>
        <w:snapToGrid w:val="0"/>
        <w:spacing w:line="360" w:lineRule="auto"/>
        <w:ind w:firstLine="472" w:firstLineChars="196"/>
        <w:rPr>
          <w:rFonts w:hint="eastAsia" w:ascii="宋体" w:hAnsi="宋体" w:eastAsia="宋体" w:cs="宋体"/>
          <w:b/>
          <w:sz w:val="24"/>
          <w:szCs w:val="24"/>
          <w:lang w:val="zh-CN"/>
        </w:rPr>
      </w:pPr>
      <w:r>
        <w:rPr>
          <w:rFonts w:hint="eastAsia" w:ascii="宋体" w:hAnsi="宋体" w:eastAsia="宋体" w:cs="宋体"/>
          <w:b/>
          <w:sz w:val="24"/>
          <w:szCs w:val="24"/>
          <w:lang w:val="zh-CN"/>
        </w:rPr>
        <w:t>十、合同争议的解决</w:t>
      </w:r>
    </w:p>
    <w:p w14:paraId="3E81AADD">
      <w:pPr>
        <w:shd w:val="clear"/>
        <w:autoSpaceDE w:val="0"/>
        <w:autoSpaceDN w:val="0"/>
        <w:adjustRightInd w:val="0"/>
        <w:snapToGrid w:val="0"/>
        <w:spacing w:line="360" w:lineRule="auto"/>
        <w:ind w:firstLine="470" w:firstLineChars="196"/>
        <w:rPr>
          <w:rFonts w:hint="eastAsia" w:ascii="宋体" w:hAnsi="宋体" w:eastAsia="宋体" w:cs="宋体"/>
        </w:rPr>
      </w:pPr>
      <w:r>
        <w:rPr>
          <w:rFonts w:hint="eastAsia" w:ascii="宋体" w:hAnsi="宋体" w:eastAsia="宋体" w:cs="宋体"/>
          <w:b w:val="0"/>
          <w:bCs/>
          <w:sz w:val="24"/>
          <w:szCs w:val="24"/>
          <w:lang w:val="zh-CN"/>
        </w:rPr>
        <w:t>合同在履行过程中发生的争议，当事人双方应协商解决，协商达不成一致时，可向采购方所在地仲裁委员会申请仲裁或者向人民法院提请诉讼。</w:t>
      </w:r>
    </w:p>
    <w:p w14:paraId="7CE3E0D8">
      <w:pPr>
        <w:shd w:val="clear"/>
        <w:spacing w:line="360" w:lineRule="auto"/>
        <w:ind w:firstLine="482" w:firstLineChars="200"/>
        <w:rPr>
          <w:rFonts w:hint="eastAsia" w:ascii="宋体" w:hAnsi="宋体" w:eastAsia="宋体" w:cs="宋体"/>
          <w:b/>
          <w:bCs/>
          <w:sz w:val="24"/>
          <w:szCs w:val="24"/>
          <w:lang w:val="zh-CN"/>
        </w:rPr>
      </w:pPr>
      <w:r>
        <w:rPr>
          <w:rFonts w:hint="eastAsia" w:ascii="宋体" w:hAnsi="宋体" w:eastAsia="宋体" w:cs="宋体"/>
          <w:b/>
          <w:bCs/>
          <w:sz w:val="24"/>
          <w:szCs w:val="24"/>
          <w:lang w:val="zh-CN"/>
        </w:rPr>
        <w:t>十一、合同组成</w:t>
      </w:r>
    </w:p>
    <w:p w14:paraId="596A2AC2">
      <w:pPr>
        <w:shd w:val="clea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成交</w:t>
      </w:r>
      <w:r>
        <w:rPr>
          <w:rFonts w:hint="eastAsia" w:ascii="宋体" w:hAnsi="宋体" w:eastAsia="宋体" w:cs="宋体"/>
          <w:sz w:val="24"/>
          <w:szCs w:val="24"/>
        </w:rPr>
        <w:t>通知书</w:t>
      </w:r>
    </w:p>
    <w:p w14:paraId="3DF4AA12">
      <w:pPr>
        <w:shd w:val="clea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2、合同文件</w:t>
      </w:r>
    </w:p>
    <w:p w14:paraId="7B21AC69">
      <w:pPr>
        <w:shd w:val="clea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竞争性磋商</w:t>
      </w:r>
      <w:r>
        <w:rPr>
          <w:rFonts w:hint="eastAsia" w:ascii="宋体" w:hAnsi="宋体" w:eastAsia="宋体" w:cs="宋体"/>
          <w:sz w:val="24"/>
          <w:szCs w:val="24"/>
        </w:rPr>
        <w:t>文件</w:t>
      </w:r>
    </w:p>
    <w:p w14:paraId="4086A410">
      <w:pPr>
        <w:shd w:val="clea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竞争性磋商响应</w:t>
      </w:r>
      <w:r>
        <w:rPr>
          <w:rFonts w:hint="eastAsia" w:ascii="宋体" w:hAnsi="宋体" w:eastAsia="宋体" w:cs="宋体"/>
          <w:sz w:val="24"/>
          <w:szCs w:val="24"/>
        </w:rPr>
        <w:t>文件</w:t>
      </w:r>
    </w:p>
    <w:p w14:paraId="04B2DF48">
      <w:pPr>
        <w:shd w:val="clear"/>
        <w:spacing w:line="360" w:lineRule="auto"/>
        <w:ind w:firstLine="482" w:firstLineChars="200"/>
        <w:rPr>
          <w:rFonts w:hint="eastAsia" w:ascii="宋体" w:hAnsi="宋体" w:eastAsia="宋体" w:cs="宋体"/>
          <w:b/>
          <w:bCs/>
          <w:sz w:val="24"/>
          <w:szCs w:val="24"/>
          <w:lang w:val="zh-CN"/>
        </w:rPr>
      </w:pPr>
      <w:r>
        <w:rPr>
          <w:rFonts w:hint="eastAsia" w:ascii="宋体" w:hAnsi="宋体" w:eastAsia="宋体" w:cs="宋体"/>
          <w:b/>
          <w:bCs/>
          <w:sz w:val="24"/>
          <w:szCs w:val="24"/>
          <w:lang w:val="zh-CN"/>
        </w:rPr>
        <w:t>十二、合同生效及其它</w:t>
      </w:r>
    </w:p>
    <w:p w14:paraId="5829E0DC">
      <w:pPr>
        <w:shd w:val="clea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1、合同未尽事宜、由甲、乙双方协商，作为合同补充，与原合同具有同等法律效力。</w:t>
      </w:r>
    </w:p>
    <w:p w14:paraId="2FFB373C">
      <w:pPr>
        <w:shd w:val="clea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2、本合同正本一式</w:t>
      </w:r>
      <w:r>
        <w:rPr>
          <w:rFonts w:hint="eastAsia" w:ascii="宋体" w:hAnsi="宋体" w:eastAsia="宋体" w:cs="宋体"/>
          <w:sz w:val="24"/>
          <w:szCs w:val="24"/>
          <w:u w:val="single"/>
        </w:rPr>
        <w:t xml:space="preserve">   </w:t>
      </w:r>
      <w:r>
        <w:rPr>
          <w:rFonts w:hint="eastAsia" w:ascii="宋体" w:hAnsi="宋体" w:eastAsia="宋体" w:cs="宋体"/>
          <w:sz w:val="24"/>
          <w:szCs w:val="24"/>
        </w:rPr>
        <w:t>份，甲方、乙方双方分别执</w:t>
      </w:r>
      <w:r>
        <w:rPr>
          <w:rFonts w:hint="eastAsia" w:ascii="宋体" w:hAnsi="宋体" w:eastAsia="宋体" w:cs="宋体"/>
          <w:sz w:val="24"/>
          <w:szCs w:val="24"/>
          <w:u w:val="single"/>
        </w:rPr>
        <w:t xml:space="preserve">   </w:t>
      </w:r>
      <w:r>
        <w:rPr>
          <w:rFonts w:hint="eastAsia" w:ascii="宋体" w:hAnsi="宋体" w:eastAsia="宋体" w:cs="宋体"/>
          <w:sz w:val="24"/>
          <w:szCs w:val="24"/>
        </w:rPr>
        <w:t>份，备案</w:t>
      </w:r>
      <w:r>
        <w:rPr>
          <w:rFonts w:hint="eastAsia" w:ascii="宋体" w:hAnsi="宋体" w:eastAsia="宋体" w:cs="宋体"/>
          <w:sz w:val="24"/>
          <w:szCs w:val="24"/>
          <w:u w:val="single"/>
        </w:rPr>
        <w:t xml:space="preserve">   </w:t>
      </w:r>
      <w:r>
        <w:rPr>
          <w:rFonts w:hint="eastAsia" w:ascii="宋体" w:hAnsi="宋体" w:eastAsia="宋体" w:cs="宋体"/>
          <w:sz w:val="24"/>
          <w:szCs w:val="24"/>
        </w:rPr>
        <w:t>份。</w:t>
      </w:r>
    </w:p>
    <w:p w14:paraId="013FF813">
      <w:pPr>
        <w:shd w:val="clea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3、合同经甲乙双方</w:t>
      </w:r>
      <w:r>
        <w:rPr>
          <w:rFonts w:hint="eastAsia" w:ascii="宋体" w:hAnsi="宋体" w:eastAsia="宋体" w:cs="宋体"/>
          <w:sz w:val="24"/>
          <w:szCs w:val="24"/>
          <w:lang w:val="en-US" w:eastAsia="zh-CN"/>
        </w:rPr>
        <w:t>法定代表人或委托代理人签字并</w:t>
      </w:r>
      <w:r>
        <w:rPr>
          <w:rFonts w:hint="eastAsia" w:ascii="宋体" w:hAnsi="宋体" w:eastAsia="宋体" w:cs="宋体"/>
          <w:sz w:val="24"/>
          <w:szCs w:val="24"/>
        </w:rPr>
        <w:t>盖章</w:t>
      </w:r>
      <w:r>
        <w:rPr>
          <w:rFonts w:hint="eastAsia" w:ascii="宋体" w:hAnsi="宋体" w:eastAsia="宋体" w:cs="宋体"/>
          <w:sz w:val="24"/>
          <w:szCs w:val="24"/>
          <w:lang w:val="en-US" w:eastAsia="zh-CN"/>
        </w:rPr>
        <w:t>之日起</w:t>
      </w:r>
      <w:r>
        <w:rPr>
          <w:rFonts w:hint="eastAsia" w:ascii="宋体" w:hAnsi="宋体" w:eastAsia="宋体" w:cs="宋体"/>
          <w:sz w:val="24"/>
          <w:szCs w:val="24"/>
        </w:rPr>
        <w:t>生效，合同签订地点为</w:t>
      </w:r>
      <w:r>
        <w:rPr>
          <w:rFonts w:hint="eastAsia" w:ascii="宋体" w:hAnsi="宋体" w:eastAsia="宋体" w:cs="宋体"/>
          <w:sz w:val="24"/>
          <w:szCs w:val="24"/>
          <w:u w:val="single"/>
        </w:rPr>
        <w:t xml:space="preserve">     </w:t>
      </w:r>
      <w:r>
        <w:rPr>
          <w:rFonts w:hint="eastAsia" w:ascii="宋体" w:hAnsi="宋体" w:eastAsia="宋体" w:cs="宋体"/>
          <w:sz w:val="24"/>
          <w:szCs w:val="24"/>
        </w:rPr>
        <w:t>。</w:t>
      </w:r>
    </w:p>
    <w:p w14:paraId="70BFA926">
      <w:pPr>
        <w:shd w:val="clear"/>
        <w:adjustRightInd w:val="0"/>
        <w:snapToGrid w:val="0"/>
        <w:spacing w:line="360" w:lineRule="auto"/>
        <w:ind w:firstLine="480" w:firstLineChars="200"/>
        <w:rPr>
          <w:rFonts w:hint="eastAsia" w:ascii="宋体" w:hAnsi="宋体" w:eastAsia="宋体" w:cs="宋体"/>
          <w:sz w:val="24"/>
          <w:szCs w:val="24"/>
        </w:rPr>
      </w:pPr>
    </w:p>
    <w:p w14:paraId="6A708056">
      <w:pPr>
        <w:pStyle w:val="3"/>
        <w:shd w:val="clear"/>
        <w:outlineLvl w:val="9"/>
        <w:rPr>
          <w:rFonts w:hint="eastAsia" w:ascii="宋体" w:hAnsi="宋体" w:eastAsia="宋体" w:cs="宋体"/>
        </w:rPr>
      </w:pPr>
    </w:p>
    <w:tbl>
      <w:tblPr>
        <w:tblStyle w:val="37"/>
        <w:tblpPr w:leftFromText="180" w:rightFromText="180" w:vertAnchor="text" w:horzAnchor="page" w:tblpX="1694" w:tblpY="4"/>
        <w:tblOverlap w:val="never"/>
        <w:tblW w:w="0" w:type="auto"/>
        <w:tblInd w:w="0" w:type="dxa"/>
        <w:tblLayout w:type="fixed"/>
        <w:tblCellMar>
          <w:top w:w="0" w:type="dxa"/>
          <w:left w:w="108" w:type="dxa"/>
          <w:bottom w:w="0" w:type="dxa"/>
          <w:right w:w="108" w:type="dxa"/>
        </w:tblCellMar>
      </w:tblPr>
      <w:tblGrid>
        <w:gridCol w:w="4440"/>
        <w:gridCol w:w="4440"/>
      </w:tblGrid>
      <w:tr w14:paraId="1C1936A6">
        <w:tblPrEx>
          <w:tblCellMar>
            <w:top w:w="0" w:type="dxa"/>
            <w:left w:w="108" w:type="dxa"/>
            <w:bottom w:w="0" w:type="dxa"/>
            <w:right w:w="108" w:type="dxa"/>
          </w:tblCellMar>
        </w:tblPrEx>
        <w:trPr>
          <w:trHeight w:val="2546" w:hRule="atLeast"/>
        </w:trPr>
        <w:tc>
          <w:tcPr>
            <w:tcW w:w="4440" w:type="dxa"/>
            <w:noWrap w:val="0"/>
            <w:vAlign w:val="top"/>
          </w:tcPr>
          <w:p w14:paraId="34557730">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甲方名称（盖章）:</w:t>
            </w:r>
          </w:p>
          <w:p w14:paraId="63924C4D">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地址：</w:t>
            </w:r>
          </w:p>
          <w:p w14:paraId="3F182878">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代表人（签字）：</w:t>
            </w:r>
          </w:p>
          <w:p w14:paraId="7A7A13E8">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电话：</w:t>
            </w:r>
          </w:p>
          <w:p w14:paraId="29595C7E">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开户银行：</w:t>
            </w:r>
          </w:p>
          <w:p w14:paraId="4E5DFD15">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账号：</w:t>
            </w:r>
          </w:p>
        </w:tc>
        <w:tc>
          <w:tcPr>
            <w:tcW w:w="4440" w:type="dxa"/>
            <w:noWrap w:val="0"/>
            <w:vAlign w:val="top"/>
          </w:tcPr>
          <w:p w14:paraId="56D5F343">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乙方名称（盖章）:</w:t>
            </w:r>
          </w:p>
          <w:p w14:paraId="5747EEC4">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地址：</w:t>
            </w:r>
          </w:p>
          <w:p w14:paraId="1FA1DC90">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代表人（签字）：</w:t>
            </w:r>
          </w:p>
          <w:p w14:paraId="349489AA">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电话：</w:t>
            </w:r>
          </w:p>
          <w:p w14:paraId="2727450E">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开户银行：</w:t>
            </w:r>
          </w:p>
          <w:p w14:paraId="2C8EC347">
            <w:pPr>
              <w:shd w:val="clear"/>
              <w:adjustRightInd w:val="0"/>
              <w:snapToGrid w:val="0"/>
              <w:spacing w:line="360" w:lineRule="auto"/>
              <w:ind w:firstLine="645"/>
              <w:rPr>
                <w:rFonts w:hint="eastAsia" w:ascii="宋体" w:hAnsi="宋体" w:eastAsia="宋体" w:cs="宋体"/>
                <w:kern w:val="0"/>
                <w:sz w:val="24"/>
                <w:szCs w:val="24"/>
              </w:rPr>
            </w:pPr>
            <w:r>
              <w:rPr>
                <w:rFonts w:hint="eastAsia" w:ascii="宋体" w:hAnsi="宋体" w:eastAsia="宋体" w:cs="宋体"/>
                <w:kern w:val="0"/>
                <w:sz w:val="24"/>
                <w:szCs w:val="24"/>
              </w:rPr>
              <w:t>账号：</w:t>
            </w:r>
          </w:p>
        </w:tc>
      </w:tr>
    </w:tbl>
    <w:p w14:paraId="2477FF99">
      <w:pPr>
        <w:keepNext w:val="0"/>
        <w:keepLines w:val="0"/>
        <w:pageBreakBefore w:val="0"/>
        <w:widowControl w:val="0"/>
        <w:shd w:val="clear"/>
        <w:tabs>
          <w:tab w:val="left" w:pos="840"/>
        </w:tabs>
        <w:kinsoku w:val="0"/>
        <w:wordWrap/>
        <w:overflowPunct/>
        <w:topLinePunct w:val="0"/>
        <w:bidi w:val="0"/>
        <w:adjustRightInd/>
        <w:snapToGrid/>
        <w:spacing w:line="360" w:lineRule="auto"/>
        <w:textAlignment w:val="auto"/>
        <w:rPr>
          <w:rFonts w:hint="eastAsia" w:ascii="宋体" w:hAnsi="宋体" w:eastAsia="宋体" w:cs="宋体"/>
          <w:b/>
          <w:bCs/>
          <w:sz w:val="24"/>
          <w:szCs w:val="24"/>
        </w:rPr>
      </w:pPr>
    </w:p>
    <w:p w14:paraId="774C123B">
      <w:pPr>
        <w:keepNext w:val="0"/>
        <w:keepLines w:val="0"/>
        <w:pageBreakBefore w:val="0"/>
        <w:widowControl w:val="0"/>
        <w:shd w:val="clear"/>
        <w:tabs>
          <w:tab w:val="left" w:pos="840"/>
        </w:tabs>
        <w:kinsoku w:val="0"/>
        <w:wordWrap/>
        <w:overflowPunct/>
        <w:topLinePunct w:val="0"/>
        <w:bidi w:val="0"/>
        <w:adjustRightInd/>
        <w:snapToGrid/>
        <w:spacing w:line="360" w:lineRule="auto"/>
        <w:textAlignment w:val="auto"/>
        <w:rPr>
          <w:rFonts w:hint="eastAsia" w:ascii="宋体" w:hAnsi="宋体" w:eastAsia="宋体" w:cs="宋体"/>
          <w:b/>
          <w:bCs/>
          <w:sz w:val="24"/>
          <w:szCs w:val="24"/>
        </w:rPr>
      </w:pPr>
    </w:p>
    <w:p w14:paraId="7CE41A72">
      <w:pPr>
        <w:keepNext w:val="0"/>
        <w:keepLines w:val="0"/>
        <w:pageBreakBefore w:val="0"/>
        <w:widowControl w:val="0"/>
        <w:shd w:val="clear"/>
        <w:tabs>
          <w:tab w:val="left" w:pos="840"/>
        </w:tabs>
        <w:kinsoku w:val="0"/>
        <w:wordWrap/>
        <w:overflowPunct/>
        <w:topLinePunct w:val="0"/>
        <w:bidi w:val="0"/>
        <w:adjustRightInd/>
        <w:snapToGrid/>
        <w:spacing w:line="360" w:lineRule="auto"/>
        <w:textAlignment w:val="auto"/>
        <w:rPr>
          <w:rFonts w:hint="eastAsia" w:ascii="宋体" w:hAnsi="宋体" w:eastAsia="宋体" w:cs="宋体"/>
          <w:b/>
          <w:bCs/>
          <w:sz w:val="24"/>
          <w:szCs w:val="24"/>
        </w:rPr>
      </w:pPr>
    </w:p>
    <w:p w14:paraId="7CF2B122">
      <w:pPr>
        <w:keepNext w:val="0"/>
        <w:keepLines w:val="0"/>
        <w:pageBreakBefore w:val="0"/>
        <w:widowControl w:val="0"/>
        <w:shd w:val="clear"/>
        <w:tabs>
          <w:tab w:val="left" w:pos="840"/>
        </w:tabs>
        <w:kinsoku w:val="0"/>
        <w:wordWrap/>
        <w:overflowPunct/>
        <w:topLinePunct w:val="0"/>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注：本合同仅供参考，具体内容由甲乙双方协商而定。</w:t>
      </w:r>
    </w:p>
    <w:p w14:paraId="407A67F3">
      <w:pPr>
        <w:shd w:val="clear"/>
        <w:rPr>
          <w:rFonts w:hint="eastAsia" w:ascii="宋体" w:hAnsi="宋体" w:eastAsia="宋体" w:cs="宋体"/>
          <w:b/>
          <w:szCs w:val="28"/>
        </w:rPr>
      </w:pPr>
      <w:r>
        <w:rPr>
          <w:rFonts w:hint="eastAsia" w:ascii="宋体" w:hAnsi="宋体" w:eastAsia="宋体" w:cs="宋体"/>
          <w:b/>
          <w:szCs w:val="28"/>
        </w:rPr>
        <w:br w:type="page"/>
      </w:r>
    </w:p>
    <w:p w14:paraId="78D18AD8">
      <w:pPr>
        <w:shd w:val="clear"/>
        <w:rPr>
          <w:rFonts w:hint="eastAsia" w:ascii="宋体" w:hAnsi="宋体" w:eastAsia="宋体" w:cs="宋体"/>
          <w:b/>
          <w:szCs w:val="28"/>
        </w:rPr>
      </w:pPr>
    </w:p>
    <w:p w14:paraId="375F1F03">
      <w:pPr>
        <w:shd w:val="clear"/>
        <w:rPr>
          <w:rFonts w:hint="eastAsia" w:ascii="宋体" w:hAnsi="宋体" w:eastAsia="宋体" w:cs="宋体"/>
          <w:b/>
          <w:szCs w:val="28"/>
        </w:rPr>
      </w:pPr>
    </w:p>
    <w:p w14:paraId="0B01F788">
      <w:pPr>
        <w:shd w:val="clear"/>
        <w:rPr>
          <w:rFonts w:hint="eastAsia" w:ascii="宋体" w:hAnsi="宋体" w:eastAsia="宋体" w:cs="宋体"/>
          <w:b/>
          <w:szCs w:val="28"/>
        </w:rPr>
      </w:pPr>
    </w:p>
    <w:p w14:paraId="6EF9048D">
      <w:pPr>
        <w:shd w:val="clear"/>
        <w:rPr>
          <w:rFonts w:hint="eastAsia" w:ascii="宋体" w:hAnsi="宋体" w:eastAsia="宋体" w:cs="宋体"/>
          <w:b/>
          <w:szCs w:val="28"/>
        </w:rPr>
      </w:pPr>
    </w:p>
    <w:p w14:paraId="57F81BDF">
      <w:pPr>
        <w:shd w:val="clear"/>
        <w:rPr>
          <w:rFonts w:hint="eastAsia" w:ascii="宋体" w:hAnsi="宋体" w:eastAsia="宋体" w:cs="宋体"/>
          <w:b/>
          <w:szCs w:val="28"/>
        </w:rPr>
      </w:pPr>
    </w:p>
    <w:p w14:paraId="54363100">
      <w:pPr>
        <w:shd w:val="clear"/>
        <w:rPr>
          <w:rFonts w:hint="eastAsia" w:ascii="宋体" w:hAnsi="宋体" w:eastAsia="宋体" w:cs="宋体"/>
          <w:b/>
          <w:szCs w:val="28"/>
        </w:rPr>
      </w:pPr>
    </w:p>
    <w:p w14:paraId="038679DA">
      <w:pPr>
        <w:shd w:val="clear"/>
        <w:rPr>
          <w:rFonts w:hint="eastAsia" w:ascii="宋体" w:hAnsi="宋体" w:eastAsia="宋体" w:cs="宋体"/>
          <w:b/>
          <w:szCs w:val="28"/>
        </w:rPr>
      </w:pPr>
    </w:p>
    <w:p w14:paraId="179C21D6">
      <w:pPr>
        <w:shd w:val="clear"/>
        <w:rPr>
          <w:rFonts w:hint="eastAsia" w:ascii="宋体" w:hAnsi="宋体" w:eastAsia="宋体" w:cs="宋体"/>
          <w:b/>
          <w:szCs w:val="28"/>
        </w:rPr>
      </w:pPr>
    </w:p>
    <w:p w14:paraId="4F29B2D4">
      <w:pPr>
        <w:shd w:val="clear"/>
        <w:rPr>
          <w:rFonts w:hint="eastAsia" w:ascii="宋体" w:hAnsi="宋体" w:eastAsia="宋体" w:cs="宋体"/>
          <w:b/>
          <w:szCs w:val="28"/>
        </w:rPr>
      </w:pPr>
    </w:p>
    <w:p w14:paraId="2C25A548">
      <w:pPr>
        <w:shd w:val="clear"/>
        <w:rPr>
          <w:rFonts w:hint="eastAsia" w:ascii="宋体" w:hAnsi="宋体" w:eastAsia="宋体" w:cs="宋体"/>
          <w:b/>
          <w:szCs w:val="28"/>
        </w:rPr>
      </w:pPr>
    </w:p>
    <w:p w14:paraId="27CBDDDF">
      <w:pPr>
        <w:shd w:val="clear"/>
        <w:rPr>
          <w:rFonts w:hint="eastAsia" w:ascii="宋体" w:hAnsi="宋体" w:eastAsia="宋体" w:cs="宋体"/>
          <w:b/>
          <w:szCs w:val="28"/>
        </w:rPr>
      </w:pPr>
    </w:p>
    <w:p w14:paraId="6B722C05">
      <w:pPr>
        <w:shd w:val="clear"/>
        <w:rPr>
          <w:rFonts w:hint="eastAsia" w:ascii="宋体" w:hAnsi="宋体" w:eastAsia="宋体" w:cs="宋体"/>
          <w:b/>
          <w:szCs w:val="28"/>
        </w:rPr>
      </w:pPr>
    </w:p>
    <w:p w14:paraId="39DC4E45">
      <w:pPr>
        <w:shd w:val="clear"/>
        <w:rPr>
          <w:rFonts w:hint="eastAsia" w:ascii="宋体" w:hAnsi="宋体" w:eastAsia="宋体" w:cs="宋体"/>
          <w:b/>
          <w:szCs w:val="28"/>
        </w:rPr>
      </w:pPr>
    </w:p>
    <w:p w14:paraId="7809BADA">
      <w:pPr>
        <w:shd w:val="clear"/>
        <w:rPr>
          <w:rFonts w:hint="eastAsia" w:ascii="宋体" w:hAnsi="宋体" w:eastAsia="宋体" w:cs="宋体"/>
          <w:b/>
          <w:szCs w:val="28"/>
        </w:rPr>
      </w:pPr>
    </w:p>
    <w:bookmarkEnd w:id="58"/>
    <w:bookmarkEnd w:id="59"/>
    <w:bookmarkEnd w:id="60"/>
    <w:p w14:paraId="3DF5AB74">
      <w:pPr>
        <w:numPr>
          <w:ilvl w:val="0"/>
          <w:numId w:val="6"/>
        </w:numPr>
        <w:shd w:val="clear"/>
        <w:wordWrap w:val="0"/>
        <w:spacing w:line="348" w:lineRule="auto"/>
        <w:ind w:left="0" w:leftChars="0" w:firstLine="0" w:firstLineChars="0"/>
        <w:jc w:val="center"/>
        <w:outlineLvl w:val="0"/>
        <w:rPr>
          <w:rFonts w:hint="eastAsia" w:ascii="宋体" w:hAnsi="宋体" w:eastAsia="宋体" w:cs="宋体"/>
          <w:b/>
          <w:bCs/>
          <w:color w:val="auto"/>
          <w:sz w:val="32"/>
          <w:szCs w:val="32"/>
          <w:highlight w:val="none"/>
          <w:lang w:eastAsia="zh-CN"/>
        </w:rPr>
      </w:pPr>
      <w:bookmarkStart w:id="64" w:name="_Toc31624"/>
      <w:bookmarkStart w:id="65" w:name="_Toc17835"/>
      <w:r>
        <w:rPr>
          <w:rFonts w:hint="eastAsia" w:ascii="宋体" w:hAnsi="宋体" w:eastAsia="宋体" w:cs="宋体"/>
          <w:b/>
          <w:bCs/>
          <w:color w:val="auto"/>
          <w:sz w:val="32"/>
          <w:szCs w:val="32"/>
          <w:highlight w:val="none"/>
          <w:lang w:eastAsia="zh-CN"/>
        </w:rPr>
        <w:t>工程量清单</w:t>
      </w:r>
      <w:bookmarkEnd w:id="64"/>
      <w:bookmarkEnd w:id="65"/>
    </w:p>
    <w:p w14:paraId="5FF5B57A">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312F8FFD">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2F20DAF1">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4854DAC4">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60743192">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3E861821">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3530E2C7">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058B5D59">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5F4FD73A">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039BFA9B">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07EBEBAF">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07A6A202">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20B213CC">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19335CAB">
      <w:pPr>
        <w:widowControl w:val="0"/>
        <w:numPr>
          <w:ilvl w:val="0"/>
          <w:numId w:val="0"/>
        </w:numPr>
        <w:shd w:val="clear"/>
        <w:wordWrap w:val="0"/>
        <w:spacing w:line="348" w:lineRule="auto"/>
        <w:jc w:val="center"/>
        <w:outlineLvl w:val="0"/>
        <w:rPr>
          <w:rFonts w:hint="eastAsia" w:ascii="宋体" w:hAnsi="宋体" w:eastAsia="宋体" w:cs="宋体"/>
          <w:b/>
          <w:bCs/>
          <w:color w:val="auto"/>
          <w:sz w:val="32"/>
          <w:szCs w:val="32"/>
          <w:highlight w:val="none"/>
          <w:lang w:eastAsia="zh-CN"/>
        </w:rPr>
      </w:pPr>
    </w:p>
    <w:p w14:paraId="2B5DF6A1">
      <w:pPr>
        <w:numPr>
          <w:ilvl w:val="0"/>
          <w:numId w:val="0"/>
        </w:numPr>
        <w:shd w:val="clear"/>
        <w:wordWrap w:val="0"/>
        <w:spacing w:line="348" w:lineRule="auto"/>
        <w:ind w:leftChars="0"/>
        <w:jc w:val="both"/>
        <w:outlineLvl w:val="0"/>
        <w:rPr>
          <w:rFonts w:hint="eastAsia" w:ascii="宋体" w:hAnsi="宋体" w:eastAsia="宋体" w:cs="宋体"/>
          <w:b/>
          <w:bCs/>
          <w:color w:val="auto"/>
          <w:sz w:val="32"/>
          <w:szCs w:val="32"/>
          <w:highlight w:val="none"/>
          <w:lang w:eastAsia="zh-CN"/>
        </w:rPr>
      </w:pPr>
      <w:r>
        <w:rPr>
          <w:rFonts w:hint="eastAsia" w:ascii="宋体" w:hAnsi="宋体" w:eastAsia="宋体" w:cs="宋体"/>
          <w:highlight w:val="none"/>
        </w:rPr>
        <w:drawing>
          <wp:anchor distT="0" distB="0" distL="114300" distR="114300" simplePos="0" relativeHeight="251661312" behindDoc="0" locked="0" layoutInCell="1" allowOverlap="1">
            <wp:simplePos x="0" y="0"/>
            <wp:positionH relativeFrom="column">
              <wp:posOffset>-781050</wp:posOffset>
            </wp:positionH>
            <wp:positionV relativeFrom="paragraph">
              <wp:posOffset>-888365</wp:posOffset>
            </wp:positionV>
            <wp:extent cx="7518400" cy="10624185"/>
            <wp:effectExtent l="0" t="0" r="6350" b="5715"/>
            <wp:wrapNone/>
            <wp:docPr id="10" name="图片 10" descr="凤县黄牛铺幼儿园校舍维修项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凤县黄牛铺幼儿园校舍维修项目-清单_01"/>
                    <pic:cNvPicPr>
                      <a:picLocks noChangeAspect="1"/>
                    </pic:cNvPicPr>
                  </pic:nvPicPr>
                  <pic:blipFill>
                    <a:blip r:embed="rId18"/>
                    <a:stretch>
                      <a:fillRect/>
                    </a:stretch>
                  </pic:blipFill>
                  <pic:spPr>
                    <a:xfrm>
                      <a:off x="0" y="0"/>
                      <a:ext cx="7518400" cy="10624185"/>
                    </a:xfrm>
                    <a:prstGeom prst="rect">
                      <a:avLst/>
                    </a:prstGeom>
                  </pic:spPr>
                </pic:pic>
              </a:graphicData>
            </a:graphic>
          </wp:anchor>
        </w:drawing>
      </w:r>
    </w:p>
    <w:p w14:paraId="3F967814">
      <w:pPr>
        <w:rPr>
          <w:rFonts w:hint="eastAsia" w:ascii="宋体" w:hAnsi="宋体" w:eastAsia="宋体" w:cs="宋体"/>
          <w:highlight w:val="none"/>
        </w:rPr>
      </w:pPr>
      <w:bookmarkStart w:id="66" w:name="_Toc421778384"/>
      <w:bookmarkStart w:id="67" w:name="_Toc14636"/>
      <w:bookmarkStart w:id="68" w:name="_Toc10601"/>
      <w:r>
        <w:rPr>
          <w:rFonts w:hint="eastAsia" w:ascii="宋体" w:hAnsi="宋体" w:eastAsia="宋体" w:cs="宋体"/>
          <w:highlight w:val="none"/>
        </w:rPr>
        <w:br w:type="page"/>
      </w:r>
    </w:p>
    <w:p w14:paraId="65958DFC">
      <w:pPr>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62336" behindDoc="0" locked="0" layoutInCell="1" allowOverlap="1">
            <wp:simplePos x="0" y="0"/>
            <wp:positionH relativeFrom="column">
              <wp:posOffset>-762000</wp:posOffset>
            </wp:positionH>
            <wp:positionV relativeFrom="paragraph">
              <wp:posOffset>-874395</wp:posOffset>
            </wp:positionV>
            <wp:extent cx="7566025" cy="6973570"/>
            <wp:effectExtent l="0" t="0" r="15875" b="17780"/>
            <wp:wrapNone/>
            <wp:docPr id="9" name="图片 9" descr="凤县黄牛铺幼儿园校舍维修项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凤县黄牛铺幼儿园校舍维修项目-清单_02"/>
                    <pic:cNvPicPr>
                      <a:picLocks noChangeAspect="1"/>
                    </pic:cNvPicPr>
                  </pic:nvPicPr>
                  <pic:blipFill>
                    <a:blip r:embed="rId19"/>
                    <a:srcRect r="30" b="34795"/>
                    <a:stretch>
                      <a:fillRect/>
                    </a:stretch>
                  </pic:blipFill>
                  <pic:spPr>
                    <a:xfrm>
                      <a:off x="0" y="0"/>
                      <a:ext cx="7566025" cy="6973570"/>
                    </a:xfrm>
                    <a:prstGeom prst="rect">
                      <a:avLst/>
                    </a:prstGeom>
                  </pic:spPr>
                </pic:pic>
              </a:graphicData>
            </a:graphic>
          </wp:anchor>
        </w:drawing>
      </w:r>
    </w:p>
    <w:p w14:paraId="16CBF146">
      <w:pPr>
        <w:rPr>
          <w:rFonts w:hint="eastAsia" w:ascii="宋体" w:hAnsi="宋体" w:eastAsia="宋体" w:cs="宋体"/>
          <w:highlight w:val="none"/>
        </w:rPr>
      </w:pPr>
    </w:p>
    <w:p w14:paraId="61ADCBC3">
      <w:pPr>
        <w:rPr>
          <w:rFonts w:hint="eastAsia" w:ascii="宋体" w:hAnsi="宋体" w:eastAsia="宋体" w:cs="宋体"/>
          <w:highlight w:val="none"/>
        </w:rPr>
      </w:pPr>
    </w:p>
    <w:p w14:paraId="6D2445DE">
      <w:pPr>
        <w:rPr>
          <w:rFonts w:hint="eastAsia" w:ascii="宋体" w:hAnsi="宋体" w:eastAsia="宋体" w:cs="宋体"/>
          <w:highlight w:val="none"/>
        </w:rPr>
      </w:pPr>
    </w:p>
    <w:p w14:paraId="257C458C">
      <w:pPr>
        <w:rPr>
          <w:rFonts w:hint="eastAsia" w:ascii="宋体" w:hAnsi="宋体" w:eastAsia="宋体" w:cs="宋体"/>
          <w:highlight w:val="none"/>
        </w:rPr>
      </w:pPr>
    </w:p>
    <w:p w14:paraId="741FF82F">
      <w:pPr>
        <w:rPr>
          <w:rFonts w:hint="eastAsia" w:ascii="宋体" w:hAnsi="宋体" w:eastAsia="宋体" w:cs="宋体"/>
          <w:highlight w:val="none"/>
        </w:rPr>
      </w:pPr>
    </w:p>
    <w:p w14:paraId="54B5005F">
      <w:pPr>
        <w:rPr>
          <w:rFonts w:hint="eastAsia" w:ascii="宋体" w:hAnsi="宋体" w:eastAsia="宋体" w:cs="宋体"/>
          <w:highlight w:val="none"/>
        </w:rPr>
      </w:pPr>
      <w:r>
        <w:rPr>
          <w:rFonts w:hint="eastAsia" w:ascii="宋体" w:hAnsi="宋体" w:eastAsia="宋体" w:cs="宋体"/>
          <w:highlight w:val="none"/>
        </w:rPr>
        <w:br w:type="page"/>
      </w:r>
    </w:p>
    <w:p w14:paraId="61E3B081">
      <w:pPr>
        <w:pStyle w:val="2"/>
        <w:keepNext w:val="0"/>
        <w:pageBreakBefore/>
        <w:shd w:val="clear"/>
        <w:spacing w:line="350" w:lineRule="auto"/>
        <w:jc w:val="center"/>
        <w:outlineLvl w:val="0"/>
        <w:rPr>
          <w:rFonts w:hint="eastAsia" w:ascii="宋体" w:hAnsi="宋体" w:eastAsia="宋体" w:cs="宋体"/>
          <w:highlight w:val="none"/>
        </w:rPr>
      </w:pPr>
      <w:bookmarkStart w:id="69" w:name="_Toc24493"/>
      <w:r>
        <w:rPr>
          <w:rFonts w:hint="eastAsia" w:ascii="宋体" w:hAnsi="宋体" w:eastAsia="宋体" w:cs="宋体"/>
          <w:highlight w:val="none"/>
        </w:rPr>
        <w:drawing>
          <wp:anchor distT="0" distB="0" distL="114300" distR="114300" simplePos="0" relativeHeight="251663360" behindDoc="0" locked="0" layoutInCell="1" allowOverlap="1">
            <wp:simplePos x="0" y="0"/>
            <wp:positionH relativeFrom="column">
              <wp:posOffset>-815975</wp:posOffset>
            </wp:positionH>
            <wp:positionV relativeFrom="paragraph">
              <wp:posOffset>-840105</wp:posOffset>
            </wp:positionV>
            <wp:extent cx="7553325" cy="7672705"/>
            <wp:effectExtent l="0" t="0" r="9525" b="4445"/>
            <wp:wrapNone/>
            <wp:docPr id="8" name="图片 8" descr="凤县黄牛铺幼儿园校舍维修项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凤县黄牛铺幼儿园校舍维修项目-清单_03"/>
                    <pic:cNvPicPr>
                      <a:picLocks noChangeAspect="1"/>
                    </pic:cNvPicPr>
                  </pic:nvPicPr>
                  <pic:blipFill>
                    <a:blip r:embed="rId20"/>
                    <a:srcRect r="1895" b="29480"/>
                    <a:stretch>
                      <a:fillRect/>
                    </a:stretch>
                  </pic:blipFill>
                  <pic:spPr>
                    <a:xfrm>
                      <a:off x="0" y="0"/>
                      <a:ext cx="7553325" cy="7672705"/>
                    </a:xfrm>
                    <a:prstGeom prst="rect">
                      <a:avLst/>
                    </a:prstGeom>
                  </pic:spPr>
                </pic:pic>
              </a:graphicData>
            </a:graphic>
          </wp:anchor>
        </w:drawing>
      </w:r>
    </w:p>
    <w:p w14:paraId="5FDF0813">
      <w:pPr>
        <w:pStyle w:val="2"/>
        <w:keepNext w:val="0"/>
        <w:pageBreakBefore/>
        <w:shd w:val="clear"/>
        <w:spacing w:line="350" w:lineRule="auto"/>
        <w:jc w:val="center"/>
        <w:outlineLvl w:val="0"/>
        <w:rPr>
          <w:rFonts w:hint="eastAsia" w:ascii="宋体" w:hAnsi="宋体" w:eastAsia="宋体" w:cs="宋体"/>
          <w:highlight w:val="none"/>
        </w:rPr>
      </w:pPr>
      <w:r>
        <w:rPr>
          <w:rFonts w:hint="eastAsia" w:ascii="宋体" w:hAnsi="宋体" w:eastAsia="宋体" w:cs="宋体"/>
          <w:highlight w:val="none"/>
        </w:rPr>
        <w:drawing>
          <wp:anchor distT="0" distB="0" distL="114300" distR="114300" simplePos="0" relativeHeight="251664384" behindDoc="0" locked="0" layoutInCell="1" allowOverlap="1">
            <wp:simplePos x="0" y="0"/>
            <wp:positionH relativeFrom="column">
              <wp:posOffset>-768985</wp:posOffset>
            </wp:positionH>
            <wp:positionV relativeFrom="paragraph">
              <wp:posOffset>-846455</wp:posOffset>
            </wp:positionV>
            <wp:extent cx="7524115" cy="7707630"/>
            <wp:effectExtent l="0" t="0" r="635" b="7620"/>
            <wp:wrapNone/>
            <wp:docPr id="7" name="图片 7" descr="凤县黄牛铺幼儿园校舍维修项目-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凤县黄牛铺幼儿园校舍维修项目-清单_04"/>
                    <pic:cNvPicPr>
                      <a:picLocks noChangeAspect="1"/>
                    </pic:cNvPicPr>
                  </pic:nvPicPr>
                  <pic:blipFill>
                    <a:blip r:embed="rId21"/>
                    <a:srcRect r="1150" b="28340"/>
                    <a:stretch>
                      <a:fillRect/>
                    </a:stretch>
                  </pic:blipFill>
                  <pic:spPr>
                    <a:xfrm>
                      <a:off x="0" y="0"/>
                      <a:ext cx="7524115" cy="7707630"/>
                    </a:xfrm>
                    <a:prstGeom prst="rect">
                      <a:avLst/>
                    </a:prstGeom>
                  </pic:spPr>
                </pic:pic>
              </a:graphicData>
            </a:graphic>
          </wp:anchor>
        </w:drawing>
      </w:r>
    </w:p>
    <w:p w14:paraId="2D363409">
      <w:pPr>
        <w:pStyle w:val="2"/>
        <w:keepNext w:val="0"/>
        <w:pageBreakBefore/>
        <w:shd w:val="clear"/>
        <w:spacing w:line="350" w:lineRule="auto"/>
        <w:jc w:val="center"/>
        <w:outlineLvl w:val="0"/>
        <w:rPr>
          <w:rFonts w:hint="eastAsia" w:ascii="宋体" w:hAnsi="宋体" w:eastAsia="宋体" w:cs="宋体"/>
          <w:highlight w:val="none"/>
        </w:rPr>
      </w:pPr>
      <w:r>
        <w:rPr>
          <w:rFonts w:hint="eastAsia" w:ascii="宋体" w:hAnsi="宋体" w:eastAsia="宋体" w:cs="宋体"/>
          <w:highlight w:val="none"/>
        </w:rPr>
        <w:t>第六章</w:t>
      </w:r>
      <w:bookmarkEnd w:id="66"/>
      <w:r>
        <w:rPr>
          <w:rFonts w:hint="eastAsia" w:ascii="宋体" w:hAnsi="宋体" w:eastAsia="宋体" w:cs="宋体"/>
          <w:highlight w:val="none"/>
          <w:lang w:val="en-US" w:eastAsia="zh-CN"/>
        </w:rPr>
        <w:t xml:space="preserve"> </w:t>
      </w:r>
      <w:r>
        <w:rPr>
          <w:rFonts w:hint="eastAsia" w:ascii="宋体" w:hAnsi="宋体" w:eastAsia="宋体" w:cs="宋体"/>
          <w:highlight w:val="none"/>
        </w:rPr>
        <w:t>竞争性磋商响应文件构成及格式</w:t>
      </w:r>
      <w:bookmarkEnd w:id="67"/>
      <w:bookmarkEnd w:id="68"/>
      <w:bookmarkEnd w:id="69"/>
    </w:p>
    <w:p w14:paraId="2077702C">
      <w:pPr>
        <w:shd w:val="clear"/>
        <w:spacing w:line="540" w:lineRule="exact"/>
        <w:jc w:val="left"/>
        <w:rPr>
          <w:rFonts w:hint="eastAsia" w:ascii="宋体" w:hAnsi="宋体" w:eastAsia="宋体" w:cs="宋体"/>
          <w:b/>
          <w:bCs/>
          <w:sz w:val="24"/>
          <w:szCs w:val="24"/>
          <w:highlight w:val="none"/>
        </w:rPr>
      </w:pPr>
      <w:r>
        <w:rPr>
          <w:rFonts w:hint="eastAsia" w:ascii="宋体" w:hAnsi="宋体" w:eastAsia="宋体" w:cs="宋体"/>
          <w:b/>
          <w:bCs/>
          <w:color w:val="auto"/>
          <w:sz w:val="24"/>
          <w:szCs w:val="24"/>
          <w:highlight w:val="none"/>
        </w:rPr>
        <w:t>项目编号：DXY2025-008</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sz w:val="24"/>
          <w:szCs w:val="24"/>
          <w:highlight w:val="none"/>
        </w:rPr>
        <w:t>（正本/副本）</w:t>
      </w:r>
    </w:p>
    <w:p w14:paraId="010744F5">
      <w:pPr>
        <w:shd w:val="clear"/>
        <w:spacing w:line="360" w:lineRule="auto"/>
        <w:rPr>
          <w:rFonts w:hint="eastAsia" w:ascii="宋体" w:hAnsi="宋体" w:eastAsia="宋体" w:cs="宋体"/>
          <w:b/>
          <w:bCs/>
          <w:sz w:val="20"/>
          <w:szCs w:val="20"/>
          <w:highlight w:val="none"/>
        </w:rPr>
      </w:pPr>
    </w:p>
    <w:p w14:paraId="46136605">
      <w:pPr>
        <w:shd w:val="clear"/>
        <w:spacing w:line="360" w:lineRule="auto"/>
        <w:jc w:val="center"/>
        <w:outlineLvl w:val="9"/>
        <w:rPr>
          <w:rFonts w:hint="eastAsia" w:ascii="宋体" w:hAnsi="宋体" w:eastAsia="宋体" w:cs="宋体"/>
          <w:b/>
          <w:bCs/>
          <w:sz w:val="56"/>
          <w:szCs w:val="56"/>
          <w:highlight w:val="none"/>
          <w:lang w:eastAsia="zh-CN"/>
        </w:rPr>
      </w:pPr>
      <w:bookmarkStart w:id="70" w:name="_Toc21982"/>
      <w:bookmarkStart w:id="71" w:name="_Toc20236"/>
      <w:bookmarkStart w:id="72" w:name="_Toc52"/>
      <w:bookmarkStart w:id="73" w:name="_Toc23039"/>
    </w:p>
    <w:p w14:paraId="2A6665E1">
      <w:pPr>
        <w:shd w:val="clear"/>
        <w:spacing w:line="360" w:lineRule="auto"/>
        <w:jc w:val="center"/>
        <w:outlineLvl w:val="0"/>
        <w:rPr>
          <w:rFonts w:hint="eastAsia" w:ascii="宋体" w:hAnsi="宋体" w:eastAsia="宋体" w:cs="宋体"/>
          <w:b/>
          <w:bCs/>
          <w:sz w:val="52"/>
          <w:szCs w:val="52"/>
          <w:highlight w:val="none"/>
        </w:rPr>
      </w:pPr>
      <w:bookmarkStart w:id="74" w:name="_Toc31991"/>
      <w:r>
        <w:rPr>
          <w:rFonts w:hint="eastAsia" w:ascii="宋体" w:hAnsi="宋体" w:eastAsia="宋体" w:cs="宋体"/>
          <w:b/>
          <w:bCs/>
          <w:sz w:val="60"/>
          <w:szCs w:val="60"/>
          <w:highlight w:val="none"/>
          <w:lang w:eastAsia="zh-CN"/>
        </w:rPr>
        <w:t>凤县黄牛铺幼儿园校舍维修项目</w:t>
      </w:r>
    </w:p>
    <w:p w14:paraId="3C0985B4">
      <w:pPr>
        <w:shd w:val="clear"/>
        <w:spacing w:line="360" w:lineRule="auto"/>
        <w:jc w:val="center"/>
        <w:outlineLvl w:val="0"/>
        <w:rPr>
          <w:rFonts w:hint="eastAsia" w:ascii="宋体" w:hAnsi="宋体" w:eastAsia="宋体" w:cs="宋体"/>
          <w:b/>
          <w:bCs/>
          <w:sz w:val="52"/>
          <w:szCs w:val="52"/>
          <w:highlight w:val="none"/>
        </w:rPr>
      </w:pPr>
    </w:p>
    <w:p w14:paraId="42FCA800">
      <w:pPr>
        <w:pStyle w:val="25"/>
        <w:shd w:val="clear"/>
        <w:rPr>
          <w:rFonts w:hint="eastAsia" w:ascii="宋体" w:hAnsi="宋体" w:eastAsia="宋体" w:cs="宋体"/>
          <w:b/>
          <w:bCs/>
          <w:sz w:val="52"/>
          <w:szCs w:val="52"/>
          <w:highlight w:val="none"/>
        </w:rPr>
      </w:pPr>
    </w:p>
    <w:p w14:paraId="558AEF8C">
      <w:pPr>
        <w:shd w:val="clear"/>
        <w:rPr>
          <w:rFonts w:hint="eastAsia" w:ascii="宋体" w:hAnsi="宋体" w:eastAsia="宋体" w:cs="宋体"/>
        </w:rPr>
      </w:pPr>
    </w:p>
    <w:p w14:paraId="786C0E40">
      <w:pPr>
        <w:shd w:val="clear"/>
        <w:spacing w:line="360" w:lineRule="auto"/>
        <w:jc w:val="center"/>
        <w:outlineLvl w:val="0"/>
        <w:rPr>
          <w:rFonts w:hint="eastAsia" w:ascii="宋体" w:hAnsi="宋体" w:eastAsia="宋体" w:cs="宋体"/>
          <w:b/>
          <w:bCs/>
          <w:sz w:val="52"/>
          <w:szCs w:val="52"/>
          <w:highlight w:val="none"/>
        </w:rPr>
      </w:pPr>
      <w:bookmarkStart w:id="75" w:name="_Toc1468"/>
      <w:r>
        <w:rPr>
          <w:rFonts w:hint="eastAsia" w:ascii="宋体" w:hAnsi="宋体" w:eastAsia="宋体" w:cs="宋体"/>
          <w:b/>
          <w:bCs/>
          <w:sz w:val="52"/>
          <w:szCs w:val="52"/>
          <w:highlight w:val="none"/>
        </w:rPr>
        <w:t>竞争性磋商响应文件</w:t>
      </w:r>
      <w:bookmarkEnd w:id="70"/>
      <w:bookmarkEnd w:id="71"/>
      <w:bookmarkEnd w:id="72"/>
      <w:bookmarkEnd w:id="73"/>
      <w:bookmarkEnd w:id="74"/>
      <w:bookmarkEnd w:id="75"/>
    </w:p>
    <w:p w14:paraId="13B0555B">
      <w:pPr>
        <w:pStyle w:val="14"/>
        <w:shd w:val="clear"/>
        <w:rPr>
          <w:rFonts w:hint="eastAsia" w:ascii="宋体" w:hAnsi="宋体" w:eastAsia="宋体" w:cs="宋体"/>
          <w:highlight w:val="none"/>
        </w:rPr>
      </w:pPr>
    </w:p>
    <w:p w14:paraId="4320C629">
      <w:pPr>
        <w:shd w:val="clear"/>
        <w:spacing w:line="360" w:lineRule="auto"/>
        <w:ind w:firstLine="420" w:firstLineChars="200"/>
        <w:rPr>
          <w:rFonts w:hint="eastAsia" w:ascii="宋体" w:hAnsi="宋体" w:eastAsia="宋体" w:cs="宋体"/>
          <w:highlight w:val="none"/>
        </w:rPr>
      </w:pPr>
    </w:p>
    <w:p w14:paraId="7C4DB7C0">
      <w:pPr>
        <w:pStyle w:val="14"/>
        <w:shd w:val="clear"/>
        <w:jc w:val="both"/>
        <w:rPr>
          <w:rFonts w:hint="eastAsia" w:ascii="宋体" w:hAnsi="宋体" w:eastAsia="宋体" w:cs="宋体"/>
          <w:highlight w:val="none"/>
          <w:lang w:eastAsia="zh-CN"/>
        </w:rPr>
      </w:pPr>
    </w:p>
    <w:p w14:paraId="15170939">
      <w:pPr>
        <w:pStyle w:val="14"/>
        <w:shd w:val="clear"/>
        <w:jc w:val="both"/>
        <w:rPr>
          <w:rFonts w:hint="eastAsia" w:ascii="宋体" w:hAnsi="宋体" w:eastAsia="宋体" w:cs="宋体"/>
          <w:highlight w:val="none"/>
        </w:rPr>
      </w:pPr>
    </w:p>
    <w:p w14:paraId="0515E089">
      <w:pPr>
        <w:shd w:val="clear"/>
        <w:rPr>
          <w:rFonts w:hint="eastAsia" w:ascii="宋体" w:hAnsi="宋体" w:eastAsia="宋体" w:cs="宋体"/>
        </w:rPr>
      </w:pPr>
    </w:p>
    <w:p w14:paraId="7928B7BB">
      <w:pPr>
        <w:shd w:val="clear"/>
        <w:spacing w:line="360" w:lineRule="auto"/>
        <w:rPr>
          <w:rFonts w:hint="eastAsia" w:ascii="宋体" w:hAnsi="宋体" w:eastAsia="宋体" w:cs="宋体"/>
          <w:highlight w:val="none"/>
        </w:rPr>
      </w:pPr>
    </w:p>
    <w:p w14:paraId="1AB3538C">
      <w:pPr>
        <w:shd w:val="clear"/>
        <w:spacing w:line="360" w:lineRule="auto"/>
        <w:ind w:firstLine="40" w:firstLineChars="200"/>
        <w:rPr>
          <w:rFonts w:hint="eastAsia" w:ascii="宋体" w:hAnsi="宋体" w:eastAsia="宋体" w:cs="宋体"/>
          <w:sz w:val="2"/>
          <w:szCs w:val="2"/>
          <w:highlight w:val="none"/>
        </w:rPr>
      </w:pPr>
    </w:p>
    <w:p w14:paraId="362D3A1C">
      <w:pPr>
        <w:shd w:val="clear"/>
        <w:spacing w:line="960" w:lineRule="auto"/>
        <w:ind w:firstLine="562" w:firstLineChars="200"/>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lang w:val="en-US" w:eastAsia="zh-CN"/>
        </w:rPr>
        <w:t>投 标 供 应 商</w:t>
      </w:r>
      <w:r>
        <w:rPr>
          <w:rFonts w:hint="eastAsia" w:ascii="宋体" w:hAnsi="宋体" w:eastAsia="宋体" w:cs="宋体"/>
          <w:b/>
          <w:bCs/>
          <w:sz w:val="28"/>
          <w:szCs w:val="28"/>
          <w:highlight w:val="none"/>
        </w:rPr>
        <w:t>：</w:t>
      </w:r>
      <w:r>
        <w:rPr>
          <w:rFonts w:hint="eastAsia" w:ascii="宋体" w:hAnsi="宋体" w:eastAsia="宋体" w:cs="宋体"/>
          <w:b/>
          <w:bCs/>
          <w:sz w:val="28"/>
          <w:szCs w:val="28"/>
          <w:highlight w:val="none"/>
          <w:u w:val="single"/>
        </w:rPr>
        <w:t xml:space="preserve">                            </w:t>
      </w:r>
      <w:r>
        <w:rPr>
          <w:rFonts w:hint="eastAsia" w:ascii="宋体" w:hAnsi="宋体" w:eastAsia="宋体" w:cs="宋体"/>
          <w:b/>
          <w:bCs/>
          <w:sz w:val="28"/>
          <w:szCs w:val="28"/>
          <w:highlight w:val="none"/>
        </w:rPr>
        <w:t>（盖章）</w:t>
      </w:r>
    </w:p>
    <w:p w14:paraId="141B5198">
      <w:pPr>
        <w:shd w:val="clear"/>
        <w:spacing w:line="960" w:lineRule="auto"/>
        <w:ind w:firstLine="562" w:firstLineChars="200"/>
        <w:jc w:val="center"/>
        <w:rPr>
          <w:rFonts w:hint="eastAsia" w:ascii="宋体" w:hAnsi="宋体" w:eastAsia="宋体" w:cs="宋体"/>
          <w:b/>
          <w:bCs/>
          <w:sz w:val="28"/>
          <w:szCs w:val="28"/>
          <w:highlight w:val="none"/>
        </w:rPr>
      </w:pPr>
      <w:r>
        <w:rPr>
          <w:rFonts w:hint="eastAsia" w:ascii="宋体" w:hAnsi="宋体" w:eastAsia="宋体" w:cs="宋体"/>
          <w:b/>
          <w:bCs/>
          <w:sz w:val="28"/>
          <w:szCs w:val="28"/>
          <w:highlight w:val="none"/>
        </w:rPr>
        <w:t>法定代表人或其委托代理人：</w:t>
      </w:r>
      <w:r>
        <w:rPr>
          <w:rFonts w:hint="eastAsia" w:ascii="宋体" w:hAnsi="宋体" w:eastAsia="宋体" w:cs="宋体"/>
          <w:b/>
          <w:bCs/>
          <w:sz w:val="28"/>
          <w:szCs w:val="28"/>
          <w:highlight w:val="none"/>
          <w:u w:val="single"/>
        </w:rPr>
        <w:t xml:space="preserve">            </w:t>
      </w:r>
      <w:r>
        <w:rPr>
          <w:rFonts w:hint="eastAsia" w:ascii="宋体" w:hAnsi="宋体" w:eastAsia="宋体" w:cs="宋体"/>
          <w:b/>
          <w:bCs/>
          <w:sz w:val="28"/>
          <w:szCs w:val="28"/>
          <w:highlight w:val="none"/>
        </w:rPr>
        <w:t>（签字或盖章）</w:t>
      </w:r>
    </w:p>
    <w:p w14:paraId="21C53BC5">
      <w:pPr>
        <w:shd w:val="clear"/>
        <w:spacing w:line="720" w:lineRule="auto"/>
        <w:ind w:firstLine="3935" w:firstLineChars="1400"/>
        <w:outlineLvl w:val="0"/>
        <w:rPr>
          <w:rFonts w:hint="eastAsia" w:ascii="宋体" w:hAnsi="宋体" w:eastAsia="宋体" w:cs="宋体"/>
          <w:highlight w:val="none"/>
        </w:rPr>
        <w:sectPr>
          <w:pgSz w:w="11906" w:h="16838"/>
          <w:pgMar w:top="1440" w:right="1253" w:bottom="1440" w:left="1253" w:header="907" w:footer="907" w:gutter="0"/>
          <w:pgBorders>
            <w:top w:val="none" w:sz="0" w:space="0"/>
            <w:left w:val="none" w:sz="0" w:space="0"/>
            <w:bottom w:val="none" w:sz="0" w:space="0"/>
            <w:right w:val="none" w:sz="0" w:space="0"/>
          </w:pgBorders>
          <w:pgNumType w:fmt="decimal"/>
          <w:cols w:space="0" w:num="1"/>
          <w:rtlGutter w:val="0"/>
          <w:docGrid w:type="lines" w:linePitch="312" w:charSpace="0"/>
        </w:sectPr>
      </w:pPr>
      <w:bookmarkStart w:id="76" w:name="_Toc16121"/>
      <w:bookmarkStart w:id="77" w:name="_Toc13321"/>
      <w:bookmarkStart w:id="78" w:name="_Toc19488"/>
      <w:bookmarkStart w:id="79" w:name="_Toc14821"/>
      <w:bookmarkStart w:id="80" w:name="_Toc21957"/>
      <w:bookmarkStart w:id="81" w:name="_Toc26111"/>
      <w:r>
        <w:rPr>
          <w:rFonts w:hint="eastAsia" w:ascii="宋体" w:hAnsi="宋体" w:eastAsia="宋体" w:cs="宋体"/>
          <w:b/>
          <w:bCs/>
          <w:sz w:val="28"/>
          <w:szCs w:val="28"/>
          <w:highlight w:val="none"/>
        </w:rPr>
        <w:t>年      月      日</w:t>
      </w:r>
      <w:bookmarkEnd w:id="76"/>
      <w:bookmarkEnd w:id="77"/>
      <w:bookmarkEnd w:id="78"/>
      <w:bookmarkEnd w:id="79"/>
      <w:bookmarkEnd w:id="80"/>
      <w:bookmarkEnd w:id="81"/>
    </w:p>
    <w:p w14:paraId="55E5B56B">
      <w:pPr>
        <w:shd w:val="clear"/>
        <w:jc w:val="center"/>
        <w:outlineLvl w:val="0"/>
        <w:rPr>
          <w:rFonts w:hint="eastAsia" w:ascii="宋体" w:hAnsi="宋体" w:eastAsia="宋体" w:cs="宋体"/>
          <w:highlight w:val="none"/>
        </w:rPr>
      </w:pPr>
      <w:bookmarkStart w:id="82" w:name="_Toc420591666"/>
      <w:bookmarkStart w:id="83" w:name="_Toc372885969"/>
      <w:bookmarkStart w:id="84" w:name="_Toc12140"/>
      <w:bookmarkStart w:id="85" w:name="_Toc11795"/>
      <w:bookmarkStart w:id="86" w:name="_Toc19436"/>
      <w:bookmarkStart w:id="87" w:name="_Toc3851"/>
      <w:bookmarkStart w:id="88" w:name="_Toc25249"/>
      <w:bookmarkStart w:id="89" w:name="_Toc16976"/>
      <w:bookmarkStart w:id="90" w:name="_Toc421778385"/>
      <w:bookmarkStart w:id="91" w:name="_Toc420591500"/>
      <w:r>
        <w:rPr>
          <w:rFonts w:hint="eastAsia" w:ascii="宋体" w:hAnsi="宋体" w:eastAsia="宋体" w:cs="宋体"/>
          <w:b/>
          <w:bCs/>
          <w:sz w:val="32"/>
          <w:szCs w:val="32"/>
          <w:highlight w:val="none"/>
        </w:rPr>
        <w:t>目  录</w:t>
      </w:r>
      <w:bookmarkEnd w:id="82"/>
      <w:bookmarkEnd w:id="83"/>
      <w:bookmarkEnd w:id="84"/>
      <w:bookmarkEnd w:id="85"/>
      <w:bookmarkEnd w:id="86"/>
      <w:bookmarkEnd w:id="87"/>
      <w:bookmarkEnd w:id="88"/>
      <w:bookmarkEnd w:id="89"/>
      <w:bookmarkEnd w:id="90"/>
      <w:bookmarkEnd w:id="91"/>
    </w:p>
    <w:p w14:paraId="6F6280AE">
      <w:pPr>
        <w:shd w:val="clear"/>
        <w:spacing w:line="480" w:lineRule="auto"/>
        <w:ind w:firstLine="240" w:firstLineChars="100"/>
        <w:jc w:val="left"/>
        <w:outlineLvl w:val="9"/>
        <w:rPr>
          <w:rFonts w:hint="eastAsia" w:ascii="宋体" w:hAnsi="宋体" w:eastAsia="宋体" w:cs="宋体"/>
          <w:sz w:val="24"/>
          <w:szCs w:val="24"/>
          <w:highlight w:val="none"/>
        </w:rPr>
      </w:pPr>
      <w:bookmarkStart w:id="92" w:name="_Toc302"/>
      <w:bookmarkStart w:id="93" w:name="_Toc9647"/>
      <w:bookmarkStart w:id="94" w:name="_Toc5520"/>
    </w:p>
    <w:p w14:paraId="5D9B1057">
      <w:pPr>
        <w:shd w:val="clear"/>
        <w:spacing w:line="480" w:lineRule="auto"/>
        <w:ind w:firstLine="240" w:firstLineChars="100"/>
        <w:jc w:val="left"/>
        <w:outlineLvl w:val="0"/>
        <w:rPr>
          <w:rFonts w:hint="eastAsia" w:ascii="宋体" w:hAnsi="宋体" w:eastAsia="宋体" w:cs="宋体"/>
          <w:sz w:val="24"/>
          <w:szCs w:val="24"/>
          <w:highlight w:val="none"/>
        </w:rPr>
      </w:pPr>
      <w:bookmarkStart w:id="95" w:name="_Toc20798"/>
      <w:bookmarkStart w:id="96" w:name="_Toc20587"/>
      <w:bookmarkStart w:id="97" w:name="_Toc15543"/>
      <w:r>
        <w:rPr>
          <w:rFonts w:hint="eastAsia" w:ascii="宋体" w:hAnsi="宋体" w:eastAsia="宋体" w:cs="宋体"/>
          <w:sz w:val="24"/>
          <w:szCs w:val="24"/>
          <w:highlight w:val="none"/>
        </w:rPr>
        <w:t>一、磋商响应函</w:t>
      </w:r>
      <w:bookmarkEnd w:id="92"/>
      <w:bookmarkEnd w:id="93"/>
      <w:bookmarkEnd w:id="94"/>
      <w:bookmarkEnd w:id="95"/>
      <w:bookmarkEnd w:id="96"/>
      <w:bookmarkEnd w:id="97"/>
    </w:p>
    <w:p w14:paraId="69437EA4">
      <w:pPr>
        <w:shd w:val="clear"/>
        <w:spacing w:line="480" w:lineRule="auto"/>
        <w:ind w:firstLine="240" w:firstLineChars="100"/>
        <w:jc w:val="left"/>
        <w:outlineLvl w:val="0"/>
        <w:rPr>
          <w:rFonts w:hint="eastAsia" w:ascii="宋体" w:hAnsi="宋体" w:eastAsia="宋体" w:cs="宋体"/>
          <w:sz w:val="24"/>
          <w:szCs w:val="24"/>
          <w:highlight w:val="none"/>
        </w:rPr>
      </w:pPr>
      <w:bookmarkStart w:id="98" w:name="_Toc5419"/>
      <w:bookmarkStart w:id="99" w:name="_Toc8714"/>
      <w:bookmarkStart w:id="100" w:name="_Toc25845"/>
      <w:bookmarkStart w:id="101" w:name="_Toc6999"/>
      <w:bookmarkStart w:id="102" w:name="_Toc11129"/>
      <w:bookmarkStart w:id="103" w:name="_Toc26204"/>
      <w:r>
        <w:rPr>
          <w:rFonts w:hint="eastAsia" w:ascii="宋体" w:hAnsi="宋体" w:eastAsia="宋体" w:cs="宋体"/>
          <w:sz w:val="24"/>
          <w:szCs w:val="24"/>
          <w:highlight w:val="none"/>
        </w:rPr>
        <w:t>二、磋商首次报价表</w:t>
      </w:r>
      <w:bookmarkEnd w:id="98"/>
      <w:bookmarkEnd w:id="99"/>
      <w:bookmarkEnd w:id="100"/>
      <w:bookmarkEnd w:id="101"/>
      <w:bookmarkEnd w:id="102"/>
      <w:bookmarkEnd w:id="103"/>
    </w:p>
    <w:p w14:paraId="0E03BDDF">
      <w:pPr>
        <w:shd w:val="clear"/>
        <w:spacing w:line="480" w:lineRule="auto"/>
        <w:ind w:firstLine="240" w:firstLineChars="100"/>
        <w:jc w:val="left"/>
        <w:outlineLvl w:val="0"/>
        <w:rPr>
          <w:rFonts w:hint="eastAsia" w:ascii="宋体" w:hAnsi="宋体" w:eastAsia="宋体" w:cs="宋体"/>
          <w:sz w:val="24"/>
          <w:szCs w:val="24"/>
          <w:highlight w:val="none"/>
          <w:lang w:eastAsia="zh-CN"/>
        </w:rPr>
      </w:pPr>
      <w:bookmarkStart w:id="104" w:name="_Toc18861"/>
      <w:bookmarkStart w:id="105" w:name="_Toc4609"/>
      <w:bookmarkStart w:id="106" w:name="_Toc18108"/>
      <w:bookmarkStart w:id="107" w:name="_Toc1598"/>
      <w:bookmarkStart w:id="108" w:name="_Toc27685"/>
      <w:bookmarkStart w:id="109" w:name="_Toc20383"/>
      <w:r>
        <w:rPr>
          <w:rFonts w:hint="eastAsia" w:ascii="宋体" w:hAnsi="宋体" w:eastAsia="宋体" w:cs="宋体"/>
          <w:sz w:val="24"/>
          <w:szCs w:val="24"/>
          <w:highlight w:val="none"/>
        </w:rPr>
        <w:t>三、</w:t>
      </w:r>
      <w:bookmarkEnd w:id="104"/>
      <w:bookmarkEnd w:id="105"/>
      <w:bookmarkEnd w:id="106"/>
      <w:r>
        <w:rPr>
          <w:rFonts w:hint="eastAsia" w:ascii="宋体" w:hAnsi="宋体" w:eastAsia="宋体" w:cs="宋体"/>
          <w:sz w:val="24"/>
          <w:szCs w:val="24"/>
          <w:highlight w:val="none"/>
        </w:rPr>
        <w:t>报价明细表</w:t>
      </w:r>
      <w:bookmarkEnd w:id="107"/>
      <w:bookmarkEnd w:id="108"/>
      <w:bookmarkEnd w:id="109"/>
    </w:p>
    <w:p w14:paraId="3BA60612">
      <w:pPr>
        <w:pStyle w:val="14"/>
        <w:shd w:val="clear"/>
        <w:spacing w:line="480" w:lineRule="auto"/>
        <w:ind w:firstLine="240" w:firstLineChars="100"/>
        <w:jc w:val="both"/>
        <w:outlineLvl w:val="0"/>
        <w:rPr>
          <w:rFonts w:hint="eastAsia" w:ascii="宋体" w:hAnsi="宋体" w:eastAsia="宋体" w:cs="宋体"/>
          <w:highlight w:val="none"/>
        </w:rPr>
      </w:pPr>
      <w:bookmarkStart w:id="110" w:name="_Toc2838"/>
      <w:bookmarkStart w:id="111" w:name="_Toc10995"/>
      <w:bookmarkStart w:id="112" w:name="_Toc22694"/>
      <w:bookmarkStart w:id="113" w:name="_Toc2480"/>
      <w:bookmarkStart w:id="114" w:name="_Toc10552"/>
      <w:bookmarkStart w:id="115" w:name="_Toc3828"/>
      <w:r>
        <w:rPr>
          <w:rFonts w:hint="eastAsia" w:ascii="宋体" w:hAnsi="宋体" w:cs="宋体"/>
          <w:sz w:val="24"/>
          <w:szCs w:val="24"/>
          <w:highlight w:val="none"/>
          <w:lang w:eastAsia="zh-CN"/>
        </w:rPr>
        <w:t>四</w:t>
      </w:r>
      <w:r>
        <w:rPr>
          <w:rFonts w:hint="eastAsia" w:ascii="宋体" w:hAnsi="宋体" w:eastAsia="宋体" w:cs="宋体"/>
          <w:sz w:val="24"/>
          <w:szCs w:val="24"/>
          <w:highlight w:val="none"/>
        </w:rPr>
        <w:t>、</w:t>
      </w:r>
      <w:bookmarkEnd w:id="110"/>
      <w:r>
        <w:rPr>
          <w:rFonts w:hint="eastAsia" w:ascii="宋体" w:hAnsi="宋体" w:eastAsia="宋体" w:cs="宋体"/>
          <w:sz w:val="24"/>
          <w:szCs w:val="24"/>
          <w:highlight w:val="none"/>
          <w:lang w:eastAsia="zh-CN"/>
        </w:rPr>
        <w:t>技术方案</w:t>
      </w:r>
      <w:bookmarkEnd w:id="111"/>
      <w:bookmarkEnd w:id="112"/>
      <w:bookmarkEnd w:id="113"/>
      <w:bookmarkEnd w:id="114"/>
      <w:bookmarkEnd w:id="115"/>
    </w:p>
    <w:p w14:paraId="314B4430">
      <w:pPr>
        <w:shd w:val="clear"/>
        <w:spacing w:line="480" w:lineRule="auto"/>
        <w:ind w:firstLine="240" w:firstLineChars="1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116" w:name="_Toc11467"/>
      <w:bookmarkStart w:id="117" w:name="_Toc31952"/>
      <w:bookmarkStart w:id="118" w:name="_Toc11275"/>
      <w:bookmarkStart w:id="119" w:name="_Toc3644"/>
      <w:bookmarkStart w:id="120" w:name="_Toc13392"/>
      <w:bookmarkStart w:id="121" w:name="_Toc7189"/>
      <w:r>
        <w:rPr>
          <w:rFonts w:hint="eastAsia" w:ascii="宋体" w:hAnsi="宋体" w:cs="宋体"/>
          <w:color w:val="000000" w:themeColor="text1"/>
          <w:sz w:val="24"/>
          <w:szCs w:val="24"/>
          <w:highlight w:val="none"/>
          <w:lang w:eastAsia="zh-CN"/>
          <w14:textFill>
            <w14:solidFill>
              <w14:schemeClr w14:val="tx1"/>
            </w14:solidFill>
          </w14:textFill>
        </w:rPr>
        <w:t>五</w:t>
      </w:r>
      <w:r>
        <w:rPr>
          <w:rFonts w:hint="eastAsia" w:ascii="宋体" w:hAnsi="宋体" w:eastAsia="宋体" w:cs="宋体"/>
          <w:color w:val="000000" w:themeColor="text1"/>
          <w:sz w:val="24"/>
          <w:szCs w:val="24"/>
          <w:highlight w:val="none"/>
          <w14:textFill>
            <w14:solidFill>
              <w14:schemeClr w14:val="tx1"/>
            </w14:solidFill>
          </w14:textFill>
        </w:rPr>
        <w:t>、</w:t>
      </w:r>
      <w:bookmarkEnd w:id="116"/>
      <w:bookmarkEnd w:id="117"/>
      <w:bookmarkEnd w:id="118"/>
      <w:r>
        <w:rPr>
          <w:rFonts w:hint="eastAsia" w:ascii="宋体" w:hAnsi="宋体" w:eastAsia="宋体" w:cs="宋体"/>
          <w:sz w:val="24"/>
          <w:szCs w:val="24"/>
          <w:highlight w:val="none"/>
        </w:rPr>
        <w:t>陕西省政府采购</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拒绝政府采购领域商业贿赂承诺书</w:t>
      </w:r>
      <w:bookmarkEnd w:id="119"/>
      <w:bookmarkEnd w:id="120"/>
      <w:bookmarkEnd w:id="121"/>
    </w:p>
    <w:p w14:paraId="23B356D9">
      <w:pPr>
        <w:shd w:val="clear"/>
        <w:spacing w:line="480" w:lineRule="auto"/>
        <w:ind w:firstLine="240" w:firstLineChars="100"/>
        <w:jc w:val="left"/>
        <w:outlineLvl w:val="0"/>
        <w:rPr>
          <w:rFonts w:hint="eastAsia" w:ascii="宋体" w:hAnsi="宋体" w:eastAsia="宋体" w:cs="宋体"/>
          <w:sz w:val="24"/>
          <w:szCs w:val="24"/>
          <w:highlight w:val="none"/>
        </w:rPr>
      </w:pPr>
      <w:bookmarkStart w:id="122" w:name="_Toc22340"/>
      <w:bookmarkStart w:id="123" w:name="_Toc27022"/>
      <w:bookmarkStart w:id="124" w:name="_Toc6012"/>
      <w:bookmarkStart w:id="125" w:name="_Toc30782"/>
      <w:bookmarkStart w:id="126" w:name="_Toc14871"/>
      <w:bookmarkStart w:id="127" w:name="_Toc16638"/>
      <w:r>
        <w:rPr>
          <w:rFonts w:hint="eastAsia" w:ascii="宋体" w:hAnsi="宋体" w:cs="宋体"/>
          <w:sz w:val="24"/>
          <w:szCs w:val="24"/>
          <w:highlight w:val="none"/>
          <w:lang w:eastAsia="zh-CN"/>
        </w:rPr>
        <w:t>六</w:t>
      </w:r>
      <w:r>
        <w:rPr>
          <w:rFonts w:hint="eastAsia" w:ascii="宋体" w:hAnsi="宋体" w:eastAsia="宋体" w:cs="宋体"/>
          <w:sz w:val="24"/>
          <w:szCs w:val="24"/>
          <w:highlight w:val="none"/>
        </w:rPr>
        <w:t>、</w:t>
      </w:r>
      <w:bookmarkEnd w:id="122"/>
      <w:bookmarkEnd w:id="123"/>
      <w:bookmarkEnd w:id="124"/>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资格证明文件</w:t>
      </w:r>
      <w:bookmarkEnd w:id="125"/>
      <w:bookmarkEnd w:id="126"/>
      <w:bookmarkEnd w:id="127"/>
    </w:p>
    <w:p w14:paraId="4A5139B8">
      <w:pPr>
        <w:shd w:val="clear"/>
        <w:spacing w:line="480" w:lineRule="auto"/>
        <w:ind w:firstLine="240" w:firstLineChars="100"/>
        <w:jc w:val="left"/>
        <w:outlineLvl w:val="0"/>
        <w:rPr>
          <w:rFonts w:hint="eastAsia" w:ascii="宋体" w:hAnsi="宋体" w:eastAsia="宋体" w:cs="宋体"/>
          <w:sz w:val="24"/>
          <w:szCs w:val="24"/>
          <w:highlight w:val="none"/>
        </w:rPr>
      </w:pPr>
      <w:bookmarkStart w:id="128" w:name="_Toc26702"/>
      <w:bookmarkStart w:id="129" w:name="_Toc7674"/>
      <w:bookmarkStart w:id="130" w:name="_Toc32689"/>
      <w:bookmarkStart w:id="131" w:name="_Toc4438"/>
      <w:bookmarkStart w:id="132" w:name="_Toc4701"/>
      <w:bookmarkStart w:id="133" w:name="_Toc20883"/>
      <w:r>
        <w:rPr>
          <w:rFonts w:hint="eastAsia" w:ascii="宋体" w:hAnsi="宋体" w:cs="宋体"/>
          <w:sz w:val="24"/>
          <w:szCs w:val="24"/>
          <w:highlight w:val="none"/>
          <w:lang w:eastAsia="zh-CN"/>
        </w:rPr>
        <w:t>七</w:t>
      </w:r>
      <w:r>
        <w:rPr>
          <w:rFonts w:hint="eastAsia" w:ascii="宋体" w:hAnsi="宋体" w:eastAsia="宋体" w:cs="宋体"/>
          <w:sz w:val="24"/>
          <w:szCs w:val="24"/>
          <w:highlight w:val="none"/>
        </w:rPr>
        <w:t>、</w:t>
      </w:r>
      <w:bookmarkEnd w:id="128"/>
      <w:bookmarkEnd w:id="129"/>
      <w:bookmarkEnd w:id="130"/>
      <w:r>
        <w:rPr>
          <w:rFonts w:hint="eastAsia" w:ascii="宋体" w:hAnsi="宋体" w:eastAsia="宋体" w:cs="宋体"/>
          <w:sz w:val="24"/>
          <w:szCs w:val="24"/>
          <w:highlight w:val="none"/>
        </w:rPr>
        <w:t>类似业绩</w:t>
      </w:r>
      <w:bookmarkEnd w:id="131"/>
      <w:bookmarkEnd w:id="132"/>
      <w:bookmarkEnd w:id="133"/>
    </w:p>
    <w:p w14:paraId="62E8DA03">
      <w:pPr>
        <w:pStyle w:val="23"/>
        <w:shd w:val="clear"/>
        <w:rPr>
          <w:rFonts w:hint="eastAsia" w:ascii="宋体" w:hAnsi="宋体" w:eastAsia="宋体" w:cs="宋体"/>
          <w:highlight w:val="none"/>
        </w:rPr>
      </w:pPr>
    </w:p>
    <w:p w14:paraId="13E0B1D7">
      <w:pPr>
        <w:pStyle w:val="23"/>
        <w:shd w:val="clear"/>
        <w:rPr>
          <w:rFonts w:hint="eastAsia" w:ascii="宋体" w:hAnsi="宋体" w:eastAsia="宋体" w:cs="宋体"/>
          <w:highlight w:val="none"/>
        </w:rPr>
      </w:pPr>
    </w:p>
    <w:p w14:paraId="314F3F68">
      <w:pPr>
        <w:pStyle w:val="23"/>
        <w:shd w:val="clear"/>
        <w:rPr>
          <w:rFonts w:hint="eastAsia" w:ascii="宋体" w:hAnsi="宋体" w:eastAsia="宋体" w:cs="宋体"/>
          <w:highlight w:val="none"/>
        </w:rPr>
      </w:pPr>
    </w:p>
    <w:p w14:paraId="7ECC084D">
      <w:pPr>
        <w:pStyle w:val="23"/>
        <w:shd w:val="clear"/>
        <w:rPr>
          <w:rFonts w:hint="eastAsia" w:ascii="宋体" w:hAnsi="宋体" w:eastAsia="宋体" w:cs="宋体"/>
          <w:highlight w:val="none"/>
        </w:rPr>
      </w:pPr>
    </w:p>
    <w:p w14:paraId="1C81DE2E">
      <w:pPr>
        <w:pStyle w:val="23"/>
        <w:shd w:val="clear"/>
        <w:rPr>
          <w:rFonts w:hint="eastAsia" w:ascii="宋体" w:hAnsi="宋体" w:eastAsia="宋体" w:cs="宋体"/>
          <w:highlight w:val="none"/>
        </w:rPr>
      </w:pPr>
    </w:p>
    <w:p w14:paraId="2A24A1DC">
      <w:pPr>
        <w:pStyle w:val="23"/>
        <w:shd w:val="clear"/>
        <w:rPr>
          <w:rFonts w:hint="eastAsia" w:ascii="宋体" w:hAnsi="宋体" w:eastAsia="宋体" w:cs="宋体"/>
          <w:highlight w:val="none"/>
        </w:rPr>
      </w:pPr>
    </w:p>
    <w:p w14:paraId="067ADFA5">
      <w:pPr>
        <w:pStyle w:val="23"/>
        <w:shd w:val="clear"/>
        <w:rPr>
          <w:rFonts w:hint="eastAsia" w:ascii="宋体" w:hAnsi="宋体" w:eastAsia="宋体" w:cs="宋体"/>
          <w:highlight w:val="none"/>
        </w:rPr>
      </w:pPr>
    </w:p>
    <w:p w14:paraId="48EC3F04">
      <w:pPr>
        <w:pStyle w:val="23"/>
        <w:shd w:val="clear"/>
        <w:rPr>
          <w:rFonts w:hint="eastAsia" w:ascii="宋体" w:hAnsi="宋体" w:eastAsia="宋体" w:cs="宋体"/>
          <w:highlight w:val="none"/>
        </w:rPr>
      </w:pPr>
    </w:p>
    <w:p w14:paraId="0094DE39">
      <w:pPr>
        <w:pStyle w:val="23"/>
        <w:shd w:val="clear"/>
        <w:rPr>
          <w:rFonts w:hint="eastAsia" w:ascii="宋体" w:hAnsi="宋体" w:eastAsia="宋体" w:cs="宋体"/>
          <w:highlight w:val="none"/>
        </w:rPr>
      </w:pPr>
    </w:p>
    <w:p w14:paraId="700BA98F">
      <w:pPr>
        <w:pStyle w:val="23"/>
        <w:shd w:val="clear"/>
        <w:rPr>
          <w:rFonts w:hint="eastAsia" w:ascii="宋体" w:hAnsi="宋体" w:eastAsia="宋体" w:cs="宋体"/>
          <w:highlight w:val="none"/>
        </w:rPr>
      </w:pPr>
    </w:p>
    <w:p w14:paraId="17A9AEDE">
      <w:pPr>
        <w:pStyle w:val="23"/>
        <w:shd w:val="clear"/>
        <w:rPr>
          <w:rFonts w:hint="eastAsia" w:ascii="宋体" w:hAnsi="宋体" w:eastAsia="宋体" w:cs="宋体"/>
          <w:highlight w:val="none"/>
        </w:rPr>
      </w:pPr>
    </w:p>
    <w:p w14:paraId="333F1482">
      <w:pPr>
        <w:pStyle w:val="23"/>
        <w:shd w:val="clear"/>
        <w:rPr>
          <w:rFonts w:hint="eastAsia" w:ascii="宋体" w:hAnsi="宋体" w:eastAsia="宋体" w:cs="宋体"/>
          <w:highlight w:val="none"/>
        </w:rPr>
      </w:pPr>
    </w:p>
    <w:p w14:paraId="7346043E">
      <w:pPr>
        <w:shd w:val="clear"/>
        <w:rPr>
          <w:rFonts w:hint="eastAsia" w:ascii="宋体" w:hAnsi="宋体" w:eastAsia="宋体" w:cs="宋体"/>
          <w:b/>
          <w:bCs/>
          <w:sz w:val="32"/>
          <w:szCs w:val="32"/>
          <w:highlight w:val="none"/>
        </w:rPr>
      </w:pPr>
      <w:bookmarkStart w:id="134" w:name="_Toc387"/>
      <w:bookmarkStart w:id="135" w:name="_Toc420591667"/>
      <w:bookmarkStart w:id="136" w:name="_Toc23278"/>
      <w:bookmarkStart w:id="137" w:name="_Toc32749"/>
      <w:bookmarkStart w:id="138" w:name="_Toc425240481"/>
      <w:bookmarkStart w:id="139" w:name="_Toc421778386"/>
      <w:bookmarkStart w:id="140" w:name="_Toc6037"/>
      <w:bookmarkStart w:id="141" w:name="_Toc13137"/>
      <w:r>
        <w:rPr>
          <w:rFonts w:hint="eastAsia" w:ascii="宋体" w:hAnsi="宋体" w:eastAsia="宋体" w:cs="宋体"/>
          <w:b/>
          <w:bCs/>
          <w:sz w:val="32"/>
          <w:szCs w:val="32"/>
          <w:highlight w:val="none"/>
        </w:rPr>
        <w:br w:type="page"/>
      </w:r>
    </w:p>
    <w:p w14:paraId="41FEFE34">
      <w:pPr>
        <w:shd w:val="clear"/>
        <w:spacing w:line="360" w:lineRule="auto"/>
        <w:jc w:val="center"/>
        <w:outlineLvl w:val="0"/>
        <w:rPr>
          <w:rFonts w:hint="eastAsia" w:ascii="宋体" w:hAnsi="宋体" w:eastAsia="宋体" w:cs="宋体"/>
          <w:b/>
          <w:bCs/>
          <w:sz w:val="32"/>
          <w:szCs w:val="32"/>
          <w:highlight w:val="none"/>
        </w:rPr>
      </w:pPr>
      <w:bookmarkStart w:id="142" w:name="_Toc11526"/>
      <w:bookmarkStart w:id="143" w:name="_Toc4669"/>
      <w:bookmarkStart w:id="144" w:name="_Toc12682"/>
      <w:bookmarkStart w:id="145" w:name="_Toc30095"/>
      <w:bookmarkStart w:id="146" w:name="_Toc13228"/>
      <w:r>
        <w:rPr>
          <w:rFonts w:hint="eastAsia" w:ascii="宋体" w:hAnsi="宋体" w:eastAsia="宋体" w:cs="宋体"/>
          <w:b/>
          <w:bCs/>
          <w:sz w:val="32"/>
          <w:szCs w:val="32"/>
          <w:highlight w:val="none"/>
        </w:rPr>
        <w:t>一、</w:t>
      </w:r>
      <w:bookmarkEnd w:id="134"/>
      <w:bookmarkEnd w:id="135"/>
      <w:bookmarkEnd w:id="136"/>
      <w:bookmarkEnd w:id="137"/>
      <w:bookmarkEnd w:id="138"/>
      <w:bookmarkEnd w:id="139"/>
      <w:r>
        <w:rPr>
          <w:rFonts w:hint="eastAsia" w:ascii="宋体" w:hAnsi="宋体" w:eastAsia="宋体" w:cs="宋体"/>
          <w:b/>
          <w:bCs/>
          <w:sz w:val="32"/>
          <w:szCs w:val="32"/>
          <w:highlight w:val="none"/>
        </w:rPr>
        <w:t>磋商响应函</w:t>
      </w:r>
      <w:bookmarkEnd w:id="140"/>
      <w:bookmarkEnd w:id="141"/>
      <w:bookmarkEnd w:id="142"/>
      <w:bookmarkEnd w:id="143"/>
      <w:bookmarkEnd w:id="144"/>
      <w:bookmarkEnd w:id="145"/>
      <w:bookmarkEnd w:id="146"/>
    </w:p>
    <w:p w14:paraId="043230B5">
      <w:pPr>
        <w:shd w:val="clear"/>
        <w:spacing w:line="360" w:lineRule="auto"/>
        <w:ind w:firstLine="480" w:firstLineChars="200"/>
        <w:rPr>
          <w:rFonts w:hint="eastAsia" w:ascii="宋体" w:hAnsi="宋体" w:eastAsia="宋体" w:cs="宋体"/>
          <w:color w:val="auto"/>
          <w:sz w:val="24"/>
        </w:rPr>
      </w:pPr>
    </w:p>
    <w:p w14:paraId="392D2855">
      <w:pPr>
        <w:shd w:val="clear"/>
        <w:spacing w:line="480" w:lineRule="auto"/>
        <w:rPr>
          <w:rFonts w:hint="eastAsia" w:ascii="宋体" w:hAnsi="宋体" w:eastAsia="宋体" w:cs="宋体"/>
          <w:color w:val="auto"/>
          <w:sz w:val="24"/>
        </w:rPr>
      </w:pPr>
      <w:r>
        <w:rPr>
          <w:rFonts w:hint="eastAsia" w:ascii="宋体" w:hAnsi="宋体" w:eastAsia="宋体" w:cs="宋体"/>
          <w:color w:val="auto"/>
          <w:sz w:val="24"/>
        </w:rPr>
        <w:t>致：</w:t>
      </w:r>
      <w:r>
        <w:rPr>
          <w:rFonts w:hint="eastAsia" w:ascii="宋体" w:hAnsi="宋体" w:eastAsia="宋体" w:cs="宋体"/>
          <w:color w:val="auto"/>
          <w:sz w:val="24"/>
          <w:u w:val="single"/>
        </w:rPr>
        <w:t xml:space="preserve">                        </w:t>
      </w:r>
      <w:r>
        <w:rPr>
          <w:rFonts w:hint="eastAsia" w:ascii="宋体" w:hAnsi="宋体" w:eastAsia="宋体" w:cs="宋体"/>
          <w:color w:val="auto"/>
          <w:sz w:val="24"/>
        </w:rPr>
        <w:t>（</w:t>
      </w:r>
      <w:r>
        <w:rPr>
          <w:rFonts w:hint="eastAsia" w:ascii="宋体" w:hAnsi="宋体" w:eastAsia="宋体" w:cs="宋体"/>
          <w:color w:val="auto"/>
          <w:sz w:val="24"/>
          <w:lang w:eastAsia="zh-CN"/>
        </w:rPr>
        <w:t>采购</w:t>
      </w:r>
      <w:r>
        <w:rPr>
          <w:rFonts w:hint="eastAsia" w:ascii="宋体" w:hAnsi="宋体" w:eastAsia="宋体" w:cs="宋体"/>
          <w:color w:val="auto"/>
          <w:sz w:val="24"/>
        </w:rPr>
        <w:t>人名称）</w:t>
      </w:r>
    </w:p>
    <w:p w14:paraId="74D092D6">
      <w:pPr>
        <w:shd w:val="clear"/>
        <w:spacing w:line="48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在考察现场并充分研究</w:t>
      </w:r>
      <w:r>
        <w:rPr>
          <w:rFonts w:hint="eastAsia" w:ascii="宋体" w:hAnsi="宋体" w:eastAsia="宋体" w:cs="宋体"/>
          <w:color w:val="auto"/>
          <w:sz w:val="24"/>
          <w:u w:val="single"/>
        </w:rPr>
        <w:t xml:space="preserve">                 </w:t>
      </w:r>
      <w:r>
        <w:rPr>
          <w:rFonts w:hint="eastAsia" w:ascii="宋体" w:hAnsi="宋体" w:eastAsia="宋体" w:cs="宋体"/>
          <w:color w:val="auto"/>
          <w:sz w:val="24"/>
        </w:rPr>
        <w:t>（工程名称）（以下简称“本工程”）</w:t>
      </w:r>
      <w:r>
        <w:rPr>
          <w:rFonts w:hint="eastAsia" w:ascii="宋体" w:hAnsi="宋体" w:eastAsia="宋体" w:cs="宋体"/>
          <w:color w:val="auto"/>
          <w:sz w:val="24"/>
          <w:lang w:val="en-US" w:eastAsia="zh-CN"/>
        </w:rPr>
        <w:t>磋商</w:t>
      </w:r>
      <w:r>
        <w:rPr>
          <w:rFonts w:hint="eastAsia" w:ascii="宋体" w:hAnsi="宋体" w:eastAsia="宋体" w:cs="宋体"/>
          <w:color w:val="auto"/>
          <w:sz w:val="24"/>
        </w:rPr>
        <w:t>文件的全部内容后，我方兹以：人民币（大写）：</w:t>
      </w:r>
      <w:r>
        <w:rPr>
          <w:rFonts w:hint="eastAsia" w:ascii="宋体" w:hAnsi="宋体" w:eastAsia="宋体" w:cs="宋体"/>
          <w:color w:val="auto"/>
          <w:sz w:val="24"/>
          <w:u w:val="single"/>
        </w:rPr>
        <w:t xml:space="preserve">        </w:t>
      </w:r>
      <w:r>
        <w:rPr>
          <w:rFonts w:hint="eastAsia" w:ascii="宋体" w:hAnsi="宋体" w:eastAsia="宋体" w:cs="宋体"/>
          <w:color w:val="auto"/>
          <w:sz w:val="24"/>
          <w:lang w:eastAsia="zh-CN"/>
        </w:rPr>
        <w:t>，</w:t>
      </w:r>
      <w:r>
        <w:rPr>
          <w:rFonts w:hint="eastAsia" w:ascii="宋体" w:hAnsi="宋体" w:eastAsia="宋体" w:cs="宋体"/>
          <w:color w:val="auto"/>
          <w:sz w:val="24"/>
        </w:rPr>
        <w:t>RMB￥：</w:t>
      </w:r>
      <w:r>
        <w:rPr>
          <w:rFonts w:hint="eastAsia" w:ascii="宋体" w:hAnsi="宋体" w:eastAsia="宋体" w:cs="宋体"/>
          <w:color w:val="auto"/>
          <w:sz w:val="24"/>
          <w:u w:val="single"/>
        </w:rPr>
        <w:t xml:space="preserve">           </w:t>
      </w:r>
      <w:r>
        <w:rPr>
          <w:rFonts w:hint="eastAsia" w:ascii="宋体" w:hAnsi="宋体" w:eastAsia="宋体" w:cs="宋体"/>
          <w:color w:val="auto"/>
          <w:sz w:val="24"/>
          <w:u w:val="none"/>
          <w:lang w:val="en-US" w:eastAsia="zh-CN"/>
        </w:rPr>
        <w:t>元</w:t>
      </w:r>
      <w:r>
        <w:rPr>
          <w:rFonts w:hint="eastAsia" w:ascii="宋体" w:hAnsi="宋体" w:eastAsia="宋体" w:cs="宋体"/>
          <w:color w:val="auto"/>
          <w:sz w:val="24"/>
        </w:rPr>
        <w:t>的投标价格和按合同约定有权得到的其它金额，并严格按照合同约定，施工、竣工和交付本工程并维修其中的任何缺陷。</w:t>
      </w:r>
    </w:p>
    <w:p w14:paraId="5E24810A">
      <w:pPr>
        <w:shd w:val="clear"/>
        <w:spacing w:line="48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如果我方中标，我方保证按照合同约定的开工日期开始本工程的施工，</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（日历日）内竣工，并确保工程质量达到</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标准。我方同意本投标函在</w:t>
      </w:r>
      <w:r>
        <w:rPr>
          <w:rFonts w:hint="eastAsia" w:ascii="宋体" w:hAnsi="宋体" w:eastAsia="宋体" w:cs="宋体"/>
          <w:color w:val="auto"/>
          <w:sz w:val="24"/>
          <w:lang w:val="en-US" w:eastAsia="zh-CN"/>
        </w:rPr>
        <w:t>磋商</w:t>
      </w:r>
      <w:r>
        <w:rPr>
          <w:rFonts w:hint="eastAsia" w:ascii="宋体" w:hAnsi="宋体" w:eastAsia="宋体" w:cs="宋体"/>
          <w:color w:val="auto"/>
          <w:sz w:val="24"/>
        </w:rPr>
        <w:t>文件规定的提交投标文件截止时间后，在</w:t>
      </w:r>
      <w:r>
        <w:rPr>
          <w:rFonts w:hint="eastAsia" w:ascii="宋体" w:hAnsi="宋体" w:eastAsia="宋体" w:cs="宋体"/>
          <w:color w:val="auto"/>
          <w:sz w:val="24"/>
          <w:lang w:val="en-US" w:eastAsia="zh-CN"/>
        </w:rPr>
        <w:t>磋商</w:t>
      </w:r>
      <w:r>
        <w:rPr>
          <w:rFonts w:hint="eastAsia" w:ascii="宋体" w:hAnsi="宋体" w:eastAsia="宋体" w:cs="宋体"/>
          <w:color w:val="auto"/>
          <w:sz w:val="24"/>
        </w:rPr>
        <w:t>文件规定的投标有效期期满前对我方具有约束力，且随时准备接受你方发出的中标通知书。</w:t>
      </w:r>
    </w:p>
    <w:p w14:paraId="6B760E93">
      <w:pPr>
        <w:shd w:val="clear"/>
        <w:spacing w:line="48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在签署协议书之前，你方的中标通知书连同本投标函，对双方具有约束力。</w:t>
      </w:r>
    </w:p>
    <w:p w14:paraId="1CD2A821">
      <w:pPr>
        <w:shd w:val="clear"/>
        <w:spacing w:line="360" w:lineRule="auto"/>
        <w:ind w:left="560"/>
        <w:rPr>
          <w:rFonts w:hint="eastAsia" w:ascii="宋体" w:hAnsi="宋体" w:eastAsia="宋体" w:cs="宋体"/>
          <w:color w:val="auto"/>
          <w:sz w:val="24"/>
        </w:rPr>
      </w:pPr>
    </w:p>
    <w:p w14:paraId="6ACDDE18">
      <w:pPr>
        <w:pStyle w:val="9"/>
        <w:shd w:val="clear"/>
        <w:rPr>
          <w:rFonts w:hint="eastAsia" w:ascii="宋体" w:hAnsi="宋体" w:eastAsia="宋体" w:cs="宋体"/>
        </w:rPr>
      </w:pPr>
    </w:p>
    <w:p w14:paraId="30D4E0C0">
      <w:pPr>
        <w:shd w:val="clear"/>
        <w:rPr>
          <w:rFonts w:hint="eastAsia" w:ascii="宋体" w:hAnsi="宋体" w:eastAsia="宋体" w:cs="宋体"/>
        </w:rPr>
      </w:pPr>
    </w:p>
    <w:p w14:paraId="713FE79A">
      <w:pPr>
        <w:pStyle w:val="14"/>
        <w:shd w:val="clear"/>
        <w:rPr>
          <w:rFonts w:hint="eastAsia" w:ascii="宋体" w:hAnsi="宋体" w:eastAsia="宋体" w:cs="宋体"/>
        </w:rPr>
      </w:pPr>
    </w:p>
    <w:p w14:paraId="640E23B3">
      <w:pPr>
        <w:shd w:val="clear"/>
        <w:rPr>
          <w:rFonts w:hint="eastAsia" w:ascii="宋体" w:hAnsi="宋体" w:eastAsia="宋体" w:cs="宋体"/>
        </w:rPr>
      </w:pPr>
    </w:p>
    <w:p w14:paraId="36EA613C">
      <w:pPr>
        <w:pStyle w:val="14"/>
        <w:shd w:val="clear"/>
        <w:rPr>
          <w:rFonts w:hint="eastAsia" w:ascii="宋体" w:hAnsi="宋体" w:eastAsia="宋体" w:cs="宋体"/>
        </w:rPr>
      </w:pPr>
    </w:p>
    <w:p w14:paraId="4C71A95D">
      <w:pPr>
        <w:shd w:val="clear"/>
        <w:rPr>
          <w:rFonts w:hint="eastAsia" w:ascii="宋体" w:hAnsi="宋体" w:eastAsia="宋体" w:cs="宋体"/>
        </w:rPr>
      </w:pPr>
    </w:p>
    <w:p w14:paraId="526923E8">
      <w:pPr>
        <w:shd w:val="clear"/>
        <w:spacing w:line="600" w:lineRule="auto"/>
        <w:ind w:left="560" w:firstLine="2640" w:firstLineChars="1100"/>
        <w:rPr>
          <w:rFonts w:hint="eastAsia" w:ascii="宋体" w:hAnsi="宋体" w:eastAsia="宋体" w:cs="宋体"/>
          <w:color w:val="auto"/>
          <w:sz w:val="24"/>
        </w:rPr>
      </w:pPr>
      <w:r>
        <w:rPr>
          <w:rFonts w:hint="eastAsia" w:ascii="宋体" w:hAnsi="宋体" w:eastAsia="宋体" w:cs="宋体"/>
          <w:color w:val="auto"/>
          <w:sz w:val="24"/>
          <w:lang w:eastAsia="zh-CN"/>
        </w:rPr>
        <w:t>投</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标</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人</w:t>
      </w:r>
      <w:r>
        <w:rPr>
          <w:rFonts w:hint="eastAsia" w:ascii="宋体" w:hAnsi="宋体" w:eastAsia="宋体" w:cs="宋体"/>
          <w:color w:val="auto"/>
          <w:sz w:val="24"/>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（盖章）</w:t>
      </w:r>
    </w:p>
    <w:p w14:paraId="5F4C70B1">
      <w:pPr>
        <w:shd w:val="clear"/>
        <w:spacing w:line="600" w:lineRule="auto"/>
        <w:ind w:left="560" w:firstLine="2640" w:firstLineChars="1100"/>
        <w:rPr>
          <w:rFonts w:hint="eastAsia" w:ascii="宋体" w:hAnsi="宋体" w:eastAsia="宋体" w:cs="宋体"/>
          <w:color w:val="auto"/>
          <w:sz w:val="24"/>
        </w:rPr>
      </w:pPr>
      <w:r>
        <w:rPr>
          <w:rFonts w:hint="eastAsia" w:ascii="宋体" w:hAnsi="宋体" w:eastAsia="宋体" w:cs="宋体"/>
          <w:color w:val="auto"/>
          <w:sz w:val="24"/>
        </w:rPr>
        <w:t>法人代表或委托代理人：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（签字或盖章）</w:t>
      </w:r>
    </w:p>
    <w:p w14:paraId="6F27F8D1">
      <w:pPr>
        <w:shd w:val="clear"/>
        <w:spacing w:line="600" w:lineRule="auto"/>
        <w:ind w:left="560" w:firstLine="2640" w:firstLineChars="1100"/>
        <w:rPr>
          <w:rFonts w:hint="eastAsia" w:ascii="宋体" w:hAnsi="宋体" w:eastAsia="宋体" w:cs="宋体"/>
          <w:color w:val="auto"/>
          <w:sz w:val="24"/>
        </w:rPr>
      </w:pPr>
      <w:r>
        <w:rPr>
          <w:rFonts w:hint="eastAsia" w:ascii="宋体" w:hAnsi="宋体" w:eastAsia="宋体" w:cs="宋体"/>
          <w:color w:val="auto"/>
          <w:sz w:val="24"/>
        </w:rPr>
        <w:t>日</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期：</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37F5838E">
      <w:pPr>
        <w:pStyle w:val="23"/>
        <w:shd w:val="clear"/>
        <w:rPr>
          <w:rFonts w:hint="eastAsia" w:ascii="宋体" w:hAnsi="宋体" w:eastAsia="宋体" w:cs="宋体"/>
          <w:highlight w:val="none"/>
        </w:rPr>
      </w:pPr>
    </w:p>
    <w:p w14:paraId="17B198BE">
      <w:pPr>
        <w:pStyle w:val="23"/>
        <w:shd w:val="clear"/>
        <w:rPr>
          <w:rFonts w:hint="eastAsia" w:ascii="宋体" w:hAnsi="宋体" w:eastAsia="宋体" w:cs="宋体"/>
          <w:highlight w:val="none"/>
        </w:rPr>
      </w:pPr>
    </w:p>
    <w:p w14:paraId="19CB88CE">
      <w:pPr>
        <w:pStyle w:val="23"/>
        <w:shd w:val="clear"/>
        <w:rPr>
          <w:rFonts w:hint="eastAsia" w:ascii="宋体" w:hAnsi="宋体" w:eastAsia="宋体" w:cs="宋体"/>
          <w:highlight w:val="none"/>
        </w:rPr>
      </w:pPr>
    </w:p>
    <w:p w14:paraId="3075E3F8">
      <w:pPr>
        <w:keepLines/>
        <w:pageBreakBefore/>
        <w:shd w:val="clear"/>
        <w:jc w:val="center"/>
        <w:outlineLvl w:val="0"/>
        <w:rPr>
          <w:rFonts w:hint="eastAsia" w:ascii="宋体" w:hAnsi="宋体" w:eastAsia="宋体" w:cs="宋体"/>
          <w:b/>
          <w:bCs/>
          <w:sz w:val="32"/>
          <w:szCs w:val="32"/>
          <w:highlight w:val="none"/>
        </w:rPr>
      </w:pPr>
      <w:bookmarkStart w:id="147" w:name="_Toc32443"/>
      <w:bookmarkStart w:id="148" w:name="_Toc420591668"/>
      <w:bookmarkStart w:id="149" w:name="_Toc425240482"/>
      <w:bookmarkStart w:id="150" w:name="_Toc421778387"/>
      <w:bookmarkStart w:id="151" w:name="_Toc3816"/>
      <w:bookmarkStart w:id="152" w:name="_Toc3994"/>
      <w:bookmarkStart w:id="153" w:name="_Toc27768"/>
      <w:bookmarkStart w:id="154" w:name="_Toc25556"/>
      <w:bookmarkStart w:id="155" w:name="_Toc21529"/>
      <w:bookmarkStart w:id="156" w:name="_Toc30162"/>
      <w:bookmarkStart w:id="157" w:name="_Toc27342"/>
      <w:bookmarkStart w:id="158" w:name="_Toc29127"/>
      <w:bookmarkStart w:id="159" w:name="_Toc28054"/>
      <w:r>
        <w:rPr>
          <w:rFonts w:hint="eastAsia" w:ascii="宋体" w:hAnsi="宋体" w:eastAsia="宋体" w:cs="宋体"/>
          <w:b/>
          <w:bCs/>
          <w:sz w:val="32"/>
          <w:szCs w:val="32"/>
          <w:highlight w:val="none"/>
        </w:rPr>
        <w:t>二、</w:t>
      </w:r>
      <w:bookmarkEnd w:id="147"/>
      <w:bookmarkEnd w:id="148"/>
      <w:bookmarkEnd w:id="149"/>
      <w:bookmarkEnd w:id="150"/>
      <w:bookmarkEnd w:id="151"/>
      <w:bookmarkEnd w:id="152"/>
      <w:r>
        <w:rPr>
          <w:rFonts w:hint="eastAsia" w:ascii="宋体" w:hAnsi="宋体" w:eastAsia="宋体" w:cs="宋体"/>
          <w:b/>
          <w:bCs/>
          <w:sz w:val="32"/>
          <w:szCs w:val="32"/>
          <w:highlight w:val="none"/>
        </w:rPr>
        <w:t>磋商首次报价表</w:t>
      </w:r>
      <w:bookmarkEnd w:id="153"/>
      <w:bookmarkEnd w:id="154"/>
      <w:bookmarkEnd w:id="155"/>
      <w:bookmarkEnd w:id="156"/>
      <w:bookmarkEnd w:id="157"/>
      <w:bookmarkEnd w:id="158"/>
      <w:bookmarkEnd w:id="159"/>
    </w:p>
    <w:p w14:paraId="5BAE3DC0">
      <w:pPr>
        <w:shd w:val="clear"/>
        <w:spacing w:line="36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rPr>
        <w:t>项目名称：</w:t>
      </w:r>
    </w:p>
    <w:p w14:paraId="14D6D7A5">
      <w:pPr>
        <w:shd w:val="clear"/>
        <w:spacing w:line="360" w:lineRule="auto"/>
        <w:ind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项目编号：</w:t>
      </w:r>
    </w:p>
    <w:tbl>
      <w:tblPr>
        <w:tblStyle w:val="37"/>
        <w:tblpPr w:leftFromText="180" w:rightFromText="180" w:vertAnchor="page" w:horzAnchor="page" w:tblpXSpec="center" w:tblpY="3066"/>
        <w:tblW w:w="9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1"/>
        <w:gridCol w:w="6118"/>
      </w:tblGrid>
      <w:tr w14:paraId="6C0DF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281" w:type="dxa"/>
            <w:vMerge w:val="restart"/>
            <w:vAlign w:val="center"/>
          </w:tcPr>
          <w:p w14:paraId="1CA9D79C">
            <w:pPr>
              <w:shd w:val="clear"/>
              <w:jc w:val="center"/>
              <w:rPr>
                <w:rFonts w:hint="eastAsia" w:ascii="宋体" w:hAnsi="宋体" w:eastAsia="宋体" w:cs="宋体"/>
                <w:sz w:val="24"/>
                <w:highlight w:val="none"/>
              </w:rPr>
            </w:pPr>
            <w:r>
              <w:rPr>
                <w:rFonts w:hint="eastAsia" w:ascii="宋体" w:hAnsi="宋体" w:eastAsia="宋体" w:cs="宋体"/>
                <w:sz w:val="24"/>
                <w:highlight w:val="none"/>
              </w:rPr>
              <w:t>磋商</w:t>
            </w:r>
            <w:r>
              <w:rPr>
                <w:rFonts w:hint="eastAsia" w:ascii="宋体" w:hAnsi="宋体" w:eastAsia="宋体" w:cs="宋体"/>
                <w:sz w:val="24"/>
                <w:highlight w:val="none"/>
                <w:lang w:eastAsia="zh-CN"/>
              </w:rPr>
              <w:t>首次</w:t>
            </w:r>
            <w:r>
              <w:rPr>
                <w:rFonts w:hint="eastAsia" w:ascii="宋体" w:hAnsi="宋体" w:eastAsia="宋体" w:cs="宋体"/>
                <w:sz w:val="24"/>
                <w:highlight w:val="none"/>
              </w:rPr>
              <w:t>报价（元）</w:t>
            </w:r>
          </w:p>
        </w:tc>
        <w:tc>
          <w:tcPr>
            <w:tcW w:w="6118" w:type="dxa"/>
            <w:vAlign w:val="center"/>
          </w:tcPr>
          <w:p w14:paraId="4E152F91">
            <w:pPr>
              <w:shd w:val="clear"/>
              <w:rPr>
                <w:rFonts w:hint="eastAsia" w:ascii="宋体" w:hAnsi="宋体" w:eastAsia="宋体" w:cs="宋体"/>
                <w:sz w:val="24"/>
                <w:highlight w:val="none"/>
              </w:rPr>
            </w:pPr>
            <w:r>
              <w:rPr>
                <w:rFonts w:hint="eastAsia" w:ascii="宋体" w:hAnsi="宋体" w:eastAsia="宋体" w:cs="宋体"/>
                <w:sz w:val="24"/>
                <w:highlight w:val="none"/>
              </w:rPr>
              <w:t>小写：</w:t>
            </w:r>
          </w:p>
        </w:tc>
      </w:tr>
      <w:tr w14:paraId="11C0B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281" w:type="dxa"/>
            <w:vMerge w:val="continue"/>
            <w:vAlign w:val="center"/>
          </w:tcPr>
          <w:p w14:paraId="026635D2">
            <w:pPr>
              <w:shd w:val="clear"/>
              <w:jc w:val="center"/>
              <w:rPr>
                <w:rFonts w:hint="eastAsia" w:ascii="宋体" w:hAnsi="宋体" w:eastAsia="宋体" w:cs="宋体"/>
                <w:sz w:val="24"/>
                <w:highlight w:val="none"/>
              </w:rPr>
            </w:pPr>
          </w:p>
        </w:tc>
        <w:tc>
          <w:tcPr>
            <w:tcW w:w="6118" w:type="dxa"/>
            <w:vAlign w:val="center"/>
          </w:tcPr>
          <w:p w14:paraId="0C8D531C">
            <w:pPr>
              <w:shd w:val="clear"/>
              <w:rPr>
                <w:rFonts w:hint="eastAsia" w:ascii="宋体" w:hAnsi="宋体" w:eastAsia="宋体" w:cs="宋体"/>
                <w:sz w:val="24"/>
                <w:highlight w:val="none"/>
              </w:rPr>
            </w:pPr>
            <w:r>
              <w:rPr>
                <w:rFonts w:hint="eastAsia" w:ascii="宋体" w:hAnsi="宋体" w:eastAsia="宋体" w:cs="宋体"/>
                <w:sz w:val="24"/>
                <w:highlight w:val="none"/>
              </w:rPr>
              <w:t>大写：</w:t>
            </w:r>
          </w:p>
        </w:tc>
      </w:tr>
      <w:tr w14:paraId="285F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281" w:type="dxa"/>
            <w:vAlign w:val="center"/>
          </w:tcPr>
          <w:p w14:paraId="7D5987D1">
            <w:pPr>
              <w:shd w:val="clear"/>
              <w:jc w:val="center"/>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项目负责人姓名</w:t>
            </w:r>
          </w:p>
        </w:tc>
        <w:tc>
          <w:tcPr>
            <w:tcW w:w="6118" w:type="dxa"/>
            <w:vAlign w:val="center"/>
          </w:tcPr>
          <w:p w14:paraId="613295C3">
            <w:pPr>
              <w:shd w:val="clear"/>
              <w:rPr>
                <w:rFonts w:hint="eastAsia" w:ascii="宋体" w:hAnsi="宋体" w:eastAsia="宋体" w:cs="宋体"/>
                <w:kern w:val="2"/>
                <w:sz w:val="24"/>
                <w:szCs w:val="21"/>
                <w:highlight w:val="none"/>
                <w:lang w:val="en-US" w:eastAsia="zh-CN" w:bidi="ar-SA"/>
              </w:rPr>
            </w:pPr>
          </w:p>
        </w:tc>
      </w:tr>
      <w:tr w14:paraId="7973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281" w:type="dxa"/>
            <w:vAlign w:val="center"/>
          </w:tcPr>
          <w:p w14:paraId="29BCA1AC">
            <w:pPr>
              <w:shd w:val="clear"/>
              <w:jc w:val="center"/>
              <w:rPr>
                <w:rFonts w:hint="eastAsia" w:ascii="宋体" w:hAnsi="宋体" w:eastAsia="宋体" w:cs="宋体"/>
                <w:kern w:val="2"/>
                <w:sz w:val="24"/>
                <w:szCs w:val="21"/>
                <w:highlight w:val="none"/>
                <w:lang w:val="en-US" w:eastAsia="zh-CN" w:bidi="ar-SA"/>
              </w:rPr>
            </w:pPr>
            <w:r>
              <w:rPr>
                <w:rFonts w:hint="eastAsia" w:ascii="宋体" w:hAnsi="宋体" w:eastAsia="宋体" w:cs="宋体"/>
                <w:kern w:val="2"/>
                <w:sz w:val="24"/>
                <w:szCs w:val="21"/>
                <w:highlight w:val="none"/>
                <w:lang w:val="en-US" w:eastAsia="zh-CN" w:bidi="ar-SA"/>
              </w:rPr>
              <w:t>项目负责人证号</w:t>
            </w:r>
          </w:p>
        </w:tc>
        <w:tc>
          <w:tcPr>
            <w:tcW w:w="6118" w:type="dxa"/>
            <w:vAlign w:val="center"/>
          </w:tcPr>
          <w:p w14:paraId="02F8E6B5">
            <w:pPr>
              <w:shd w:val="clear"/>
              <w:rPr>
                <w:rFonts w:hint="eastAsia" w:ascii="宋体" w:hAnsi="宋体" w:eastAsia="宋体" w:cs="宋体"/>
                <w:kern w:val="2"/>
                <w:sz w:val="24"/>
                <w:szCs w:val="21"/>
                <w:highlight w:val="none"/>
                <w:lang w:val="en-US" w:eastAsia="zh-CN" w:bidi="ar-SA"/>
              </w:rPr>
            </w:pPr>
          </w:p>
        </w:tc>
      </w:tr>
      <w:tr w14:paraId="58B88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281" w:type="dxa"/>
            <w:vAlign w:val="center"/>
          </w:tcPr>
          <w:p w14:paraId="50FC5706">
            <w:pPr>
              <w:shd w:val="clear"/>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质</w:t>
            </w:r>
            <w:r>
              <w:rPr>
                <w:rFonts w:hint="eastAsia" w:ascii="宋体" w:hAnsi="宋体" w:eastAsia="宋体" w:cs="宋体"/>
                <w:sz w:val="24"/>
                <w:highlight w:val="none"/>
                <w:lang w:val="en-US" w:eastAsia="zh-CN"/>
              </w:rPr>
              <w:t xml:space="preserve">  </w:t>
            </w:r>
            <w:r>
              <w:rPr>
                <w:rFonts w:hint="eastAsia" w:ascii="宋体" w:hAnsi="宋体" w:eastAsia="宋体" w:cs="宋体"/>
                <w:sz w:val="24"/>
                <w:highlight w:val="none"/>
                <w:lang w:eastAsia="zh-CN"/>
              </w:rPr>
              <w:t>量</w:t>
            </w:r>
          </w:p>
        </w:tc>
        <w:tc>
          <w:tcPr>
            <w:tcW w:w="6118" w:type="dxa"/>
            <w:vAlign w:val="center"/>
          </w:tcPr>
          <w:p w14:paraId="3EA46B56">
            <w:pPr>
              <w:shd w:val="clear"/>
              <w:rPr>
                <w:rFonts w:hint="eastAsia" w:ascii="宋体" w:hAnsi="宋体" w:eastAsia="宋体" w:cs="宋体"/>
                <w:kern w:val="2"/>
                <w:sz w:val="24"/>
                <w:szCs w:val="21"/>
                <w:highlight w:val="none"/>
                <w:lang w:val="en-US" w:eastAsia="zh-CN" w:bidi="ar-SA"/>
              </w:rPr>
            </w:pPr>
          </w:p>
        </w:tc>
      </w:tr>
      <w:tr w14:paraId="4CA46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3281" w:type="dxa"/>
            <w:vAlign w:val="center"/>
          </w:tcPr>
          <w:p w14:paraId="1767D1EE">
            <w:pPr>
              <w:shd w:val="clear"/>
              <w:spacing w:line="360" w:lineRule="auto"/>
              <w:jc w:val="center"/>
              <w:rPr>
                <w:rFonts w:hint="eastAsia" w:ascii="宋体" w:hAnsi="宋体" w:eastAsia="宋体" w:cs="宋体"/>
                <w:kern w:val="2"/>
                <w:sz w:val="24"/>
                <w:szCs w:val="21"/>
                <w:highlight w:val="none"/>
                <w:lang w:val="en-US" w:eastAsia="zh-CN" w:bidi="ar-SA"/>
              </w:rPr>
            </w:pPr>
            <w:r>
              <w:rPr>
                <w:rFonts w:hint="eastAsia" w:ascii="宋体" w:hAnsi="宋体" w:eastAsia="宋体" w:cs="宋体"/>
                <w:sz w:val="24"/>
                <w:highlight w:val="none"/>
                <w:lang w:eastAsia="zh-CN"/>
              </w:rPr>
              <w:t>工期</w:t>
            </w:r>
            <w:r>
              <w:rPr>
                <w:rFonts w:hint="eastAsia" w:ascii="宋体" w:hAnsi="宋体" w:eastAsia="宋体" w:cs="宋体"/>
                <w:sz w:val="24"/>
                <w:highlight w:val="none"/>
              </w:rPr>
              <w:t>（日历</w:t>
            </w:r>
            <w:r>
              <w:rPr>
                <w:rFonts w:hint="eastAsia" w:ascii="宋体" w:hAnsi="宋体" w:cs="宋体"/>
                <w:sz w:val="24"/>
                <w:highlight w:val="none"/>
                <w:lang w:eastAsia="zh-CN"/>
              </w:rPr>
              <w:t>日</w:t>
            </w:r>
            <w:r>
              <w:rPr>
                <w:rFonts w:hint="eastAsia" w:ascii="宋体" w:hAnsi="宋体" w:eastAsia="宋体" w:cs="宋体"/>
                <w:sz w:val="24"/>
                <w:highlight w:val="none"/>
              </w:rPr>
              <w:t>）</w:t>
            </w:r>
          </w:p>
        </w:tc>
        <w:tc>
          <w:tcPr>
            <w:tcW w:w="6118" w:type="dxa"/>
            <w:vAlign w:val="center"/>
          </w:tcPr>
          <w:p w14:paraId="73F9FCC6">
            <w:pPr>
              <w:shd w:val="clear"/>
              <w:rPr>
                <w:rFonts w:hint="eastAsia" w:ascii="宋体" w:hAnsi="宋体" w:eastAsia="宋体" w:cs="宋体"/>
                <w:sz w:val="24"/>
                <w:highlight w:val="none"/>
              </w:rPr>
            </w:pPr>
          </w:p>
        </w:tc>
      </w:tr>
      <w:tr w14:paraId="531B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9" w:hRule="atLeast"/>
          <w:jc w:val="center"/>
        </w:trPr>
        <w:tc>
          <w:tcPr>
            <w:tcW w:w="3281" w:type="dxa"/>
            <w:vAlign w:val="center"/>
          </w:tcPr>
          <w:p w14:paraId="139E866E">
            <w:pPr>
              <w:shd w:val="clear"/>
              <w:spacing w:line="360" w:lineRule="auto"/>
              <w:jc w:val="center"/>
              <w:rPr>
                <w:rFonts w:hint="eastAsia" w:ascii="宋体" w:hAnsi="宋体" w:eastAsia="宋体" w:cs="宋体"/>
                <w:sz w:val="24"/>
                <w:highlight w:val="none"/>
                <w:lang w:eastAsia="zh-CN"/>
              </w:rPr>
            </w:pPr>
            <w:r>
              <w:rPr>
                <w:rFonts w:hint="eastAsia" w:ascii="宋体" w:hAnsi="宋体" w:eastAsia="宋体" w:cs="宋体"/>
                <w:sz w:val="24"/>
                <w:highlight w:val="none"/>
                <w:lang w:eastAsia="zh-CN"/>
              </w:rPr>
              <w:t>备注</w:t>
            </w:r>
          </w:p>
        </w:tc>
        <w:tc>
          <w:tcPr>
            <w:tcW w:w="6118" w:type="dxa"/>
            <w:vAlign w:val="center"/>
          </w:tcPr>
          <w:p w14:paraId="37DAB281">
            <w:pPr>
              <w:shd w:val="clear"/>
              <w:rPr>
                <w:rFonts w:hint="eastAsia" w:ascii="宋体" w:hAnsi="宋体" w:eastAsia="宋体" w:cs="宋体"/>
                <w:sz w:val="24"/>
                <w:highlight w:val="none"/>
              </w:rPr>
            </w:pPr>
          </w:p>
        </w:tc>
      </w:tr>
    </w:tbl>
    <w:p w14:paraId="7D0E6BE8">
      <w:pPr>
        <w:shd w:val="clear"/>
        <w:rPr>
          <w:rFonts w:hint="eastAsia" w:ascii="宋体" w:hAnsi="宋体" w:eastAsia="宋体" w:cs="宋体"/>
          <w:sz w:val="24"/>
          <w:szCs w:val="24"/>
          <w:highlight w:val="none"/>
        </w:rPr>
      </w:pPr>
    </w:p>
    <w:p w14:paraId="37DA5BCB">
      <w:pPr>
        <w:shd w:val="clea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w:t>
      </w:r>
      <w:r>
        <w:rPr>
          <w:rFonts w:hint="eastAsia" w:ascii="宋体" w:hAnsi="宋体" w:eastAsia="宋体" w:cs="宋体"/>
          <w:b/>
          <w:bCs/>
          <w:sz w:val="24"/>
          <w:szCs w:val="24"/>
          <w:highlight w:val="none"/>
          <w:lang w:val="en-US" w:eastAsia="zh-CN"/>
        </w:rPr>
        <w:t>1、</w:t>
      </w:r>
      <w:r>
        <w:rPr>
          <w:rFonts w:hint="eastAsia" w:ascii="宋体" w:hAnsi="宋体" w:eastAsia="宋体" w:cs="宋体"/>
          <w:b/>
          <w:bCs/>
          <w:sz w:val="24"/>
          <w:szCs w:val="24"/>
          <w:highlight w:val="none"/>
        </w:rPr>
        <w:t>以上表内报价内容以元为单位，保留小数点后两位。</w:t>
      </w:r>
    </w:p>
    <w:p w14:paraId="59E2D9C1">
      <w:pPr>
        <w:pStyle w:val="35"/>
        <w:shd w:val="clear"/>
        <w:jc w:val="left"/>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sz w:val="24"/>
          <w:szCs w:val="24"/>
          <w:highlight w:val="none"/>
          <w:lang w:val="en-US" w:eastAsia="zh-CN"/>
        </w:rPr>
        <w:t>2、</w:t>
      </w:r>
      <w:r>
        <w:rPr>
          <w:rFonts w:hint="eastAsia" w:ascii="宋体" w:hAnsi="宋体" w:eastAsia="宋体" w:cs="宋体"/>
          <w:b/>
          <w:bCs/>
          <w:color w:val="auto"/>
          <w:kern w:val="2"/>
          <w:sz w:val="24"/>
          <w:szCs w:val="24"/>
          <w:highlight w:val="none"/>
          <w:lang w:val="en-US" w:eastAsia="zh-CN" w:bidi="ar-SA"/>
        </w:rPr>
        <w:t>投标</w:t>
      </w:r>
      <w:r>
        <w:rPr>
          <w:rFonts w:hint="eastAsia" w:ascii="宋体" w:hAnsi="宋体" w:eastAsia="宋体" w:cs="宋体"/>
          <w:b/>
          <w:bCs/>
          <w:color w:val="auto"/>
          <w:kern w:val="2"/>
          <w:sz w:val="24"/>
          <w:szCs w:val="24"/>
          <w:highlight w:val="none"/>
          <w:lang w:val="zh-CN" w:eastAsia="zh-CN" w:bidi="ar-SA"/>
        </w:rPr>
        <w:t>报价是完成</w:t>
      </w:r>
      <w:r>
        <w:rPr>
          <w:rFonts w:hint="eastAsia" w:ascii="宋体" w:hAnsi="宋体" w:eastAsia="宋体" w:cs="宋体"/>
          <w:b/>
          <w:bCs/>
          <w:color w:val="auto"/>
          <w:kern w:val="2"/>
          <w:sz w:val="24"/>
          <w:szCs w:val="24"/>
          <w:highlight w:val="none"/>
          <w:lang w:val="en-US" w:eastAsia="zh-CN" w:bidi="ar-SA"/>
        </w:rPr>
        <w:t>采购</w:t>
      </w:r>
      <w:r>
        <w:rPr>
          <w:rFonts w:hint="eastAsia" w:ascii="宋体" w:hAnsi="宋体" w:eastAsia="宋体" w:cs="宋体"/>
          <w:b/>
          <w:bCs/>
          <w:color w:val="auto"/>
          <w:kern w:val="2"/>
          <w:sz w:val="24"/>
          <w:szCs w:val="24"/>
          <w:highlight w:val="none"/>
          <w:lang w:val="zh-CN" w:eastAsia="zh-CN" w:bidi="ar-SA"/>
        </w:rPr>
        <w:t>内容所需的全部费用，包括</w:t>
      </w:r>
      <w:r>
        <w:rPr>
          <w:rFonts w:hint="eastAsia" w:ascii="宋体" w:hAnsi="宋体" w:eastAsia="宋体" w:cs="宋体"/>
          <w:b/>
          <w:bCs/>
          <w:color w:val="auto"/>
          <w:kern w:val="2"/>
          <w:sz w:val="24"/>
          <w:szCs w:val="24"/>
          <w:highlight w:val="none"/>
          <w:lang w:val="en-US" w:eastAsia="zh-CN" w:bidi="ar-SA"/>
        </w:rPr>
        <w:t>材料费、人工费、设备费、</w:t>
      </w:r>
      <w:r>
        <w:rPr>
          <w:rFonts w:hint="eastAsia" w:ascii="宋体" w:hAnsi="宋体" w:eastAsia="宋体" w:cs="宋体"/>
          <w:b/>
          <w:bCs/>
          <w:color w:val="auto"/>
          <w:kern w:val="2"/>
          <w:sz w:val="24"/>
          <w:szCs w:val="24"/>
          <w:highlight w:val="none"/>
          <w:lang w:val="zh-CN" w:eastAsia="zh-CN" w:bidi="ar-SA"/>
        </w:rPr>
        <w:t>调试费、运输费、税费、管理费、利润等其他一切相关费用。报价表标明本次服务的所有单项价格和总价，任何有选择的报价将不予接受，按无效投标处理。</w:t>
      </w:r>
    </w:p>
    <w:p w14:paraId="1FA7EAC9">
      <w:pPr>
        <w:shd w:val="clear"/>
        <w:spacing w:line="360" w:lineRule="auto"/>
        <w:ind w:firstLine="482" w:firstLineChars="200"/>
        <w:outlineLvl w:val="9"/>
        <w:rPr>
          <w:rFonts w:hint="eastAsia" w:ascii="宋体" w:hAnsi="宋体" w:eastAsia="宋体" w:cs="宋体"/>
          <w:b/>
          <w:bCs/>
          <w:sz w:val="24"/>
          <w:szCs w:val="24"/>
          <w:highlight w:val="none"/>
        </w:rPr>
      </w:pPr>
    </w:p>
    <w:p w14:paraId="1FAD5E2A">
      <w:pPr>
        <w:pStyle w:val="9"/>
        <w:shd w:val="clear"/>
        <w:rPr>
          <w:rFonts w:hint="eastAsia" w:ascii="宋体" w:hAnsi="宋体" w:eastAsia="宋体" w:cs="宋体"/>
          <w:lang w:val="en-US" w:eastAsia="zh-CN"/>
        </w:rPr>
      </w:pPr>
    </w:p>
    <w:p w14:paraId="202F1E03">
      <w:pPr>
        <w:pStyle w:val="14"/>
        <w:shd w:val="clear"/>
        <w:jc w:val="both"/>
        <w:rPr>
          <w:rFonts w:hint="eastAsia" w:ascii="宋体" w:hAnsi="宋体" w:eastAsia="宋体" w:cs="宋体"/>
          <w:highlight w:val="none"/>
        </w:rPr>
      </w:pPr>
    </w:p>
    <w:p w14:paraId="0D013DBC">
      <w:pPr>
        <w:shd w:val="clear"/>
        <w:rPr>
          <w:rFonts w:hint="eastAsia" w:ascii="宋体" w:hAnsi="宋体" w:eastAsia="宋体" w:cs="宋体"/>
          <w:highlight w:val="none"/>
        </w:rPr>
      </w:pPr>
    </w:p>
    <w:p w14:paraId="4BBBCCD2">
      <w:pPr>
        <w:shd w:val="clear"/>
        <w:spacing w:line="480" w:lineRule="auto"/>
        <w:ind w:left="560" w:firstLine="2640" w:firstLineChars="1100"/>
        <w:rPr>
          <w:rFonts w:hint="eastAsia" w:ascii="宋体" w:hAnsi="宋体" w:eastAsia="宋体" w:cs="宋体"/>
          <w:color w:val="auto"/>
          <w:sz w:val="24"/>
        </w:rPr>
      </w:pPr>
      <w:r>
        <w:rPr>
          <w:rFonts w:hint="eastAsia" w:ascii="宋体" w:hAnsi="宋体" w:eastAsia="宋体" w:cs="宋体"/>
          <w:color w:val="auto"/>
          <w:sz w:val="24"/>
          <w:lang w:eastAsia="zh-CN"/>
        </w:rPr>
        <w:t>投</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标</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lang w:eastAsia="zh-CN"/>
        </w:rPr>
        <w:t>人</w:t>
      </w:r>
      <w:r>
        <w:rPr>
          <w:rFonts w:hint="eastAsia" w:ascii="宋体" w:hAnsi="宋体" w:eastAsia="宋体" w:cs="宋体"/>
          <w:color w:val="auto"/>
          <w:sz w:val="24"/>
        </w:rPr>
        <w:t>：</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（盖章）</w:t>
      </w:r>
    </w:p>
    <w:p w14:paraId="708F1CFD">
      <w:pPr>
        <w:shd w:val="clear"/>
        <w:spacing w:line="480" w:lineRule="auto"/>
        <w:ind w:left="560" w:firstLine="2640" w:firstLineChars="1100"/>
        <w:rPr>
          <w:rFonts w:hint="eastAsia" w:ascii="宋体" w:hAnsi="宋体" w:eastAsia="宋体" w:cs="宋体"/>
          <w:color w:val="auto"/>
          <w:sz w:val="24"/>
        </w:rPr>
      </w:pPr>
      <w:r>
        <w:rPr>
          <w:rFonts w:hint="eastAsia" w:ascii="宋体" w:hAnsi="宋体" w:eastAsia="宋体" w:cs="宋体"/>
          <w:color w:val="auto"/>
          <w:sz w:val="24"/>
        </w:rPr>
        <w:t>法人代表或委托代理人：</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rPr>
        <w:t>（签字或盖章）</w:t>
      </w:r>
    </w:p>
    <w:p w14:paraId="2D9BB716">
      <w:pPr>
        <w:shd w:val="clear"/>
        <w:spacing w:line="480" w:lineRule="auto"/>
        <w:ind w:left="560" w:firstLine="2640" w:firstLineChars="1100"/>
        <w:rPr>
          <w:rFonts w:hint="eastAsia" w:ascii="宋体" w:hAnsi="宋体" w:eastAsia="宋体" w:cs="宋体"/>
          <w:color w:val="auto"/>
          <w:sz w:val="24"/>
        </w:rPr>
      </w:pPr>
      <w:r>
        <w:rPr>
          <w:rFonts w:hint="eastAsia" w:ascii="宋体" w:hAnsi="宋体" w:eastAsia="宋体" w:cs="宋体"/>
          <w:color w:val="auto"/>
          <w:sz w:val="24"/>
        </w:rPr>
        <w:t>日</w:t>
      </w:r>
      <w:r>
        <w:rPr>
          <w:rFonts w:hint="eastAsia" w:ascii="宋体" w:hAnsi="宋体" w:eastAsia="宋体" w:cs="宋体"/>
          <w:color w:val="auto"/>
          <w:sz w:val="24"/>
          <w:lang w:val="en-US" w:eastAsia="zh-CN"/>
        </w:rPr>
        <w:t xml:space="preserve">      </w:t>
      </w:r>
      <w:r>
        <w:rPr>
          <w:rFonts w:hint="eastAsia" w:ascii="宋体" w:hAnsi="宋体" w:eastAsia="宋体" w:cs="宋体"/>
          <w:color w:val="auto"/>
          <w:sz w:val="24"/>
        </w:rPr>
        <w:t>期：</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23564A82">
      <w:pPr>
        <w:shd w:val="clea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br w:type="page"/>
      </w:r>
    </w:p>
    <w:p w14:paraId="79D6E467">
      <w:pPr>
        <w:keepLines/>
        <w:pageBreakBefore/>
        <w:shd w:val="clear"/>
        <w:jc w:val="center"/>
        <w:outlineLvl w:val="0"/>
        <w:rPr>
          <w:rFonts w:hint="eastAsia" w:ascii="宋体" w:hAnsi="宋体" w:eastAsia="宋体" w:cs="宋体"/>
          <w:b/>
          <w:bCs/>
          <w:sz w:val="32"/>
          <w:szCs w:val="32"/>
          <w:highlight w:val="none"/>
        </w:rPr>
      </w:pPr>
      <w:bookmarkStart w:id="160" w:name="_Toc13497"/>
      <w:bookmarkStart w:id="161" w:name="_Toc8575"/>
      <w:bookmarkStart w:id="162" w:name="_Toc13298"/>
      <w:bookmarkStart w:id="163" w:name="_Toc20193"/>
      <w:bookmarkStart w:id="164" w:name="_Toc29962"/>
      <w:bookmarkStart w:id="165" w:name="_Toc16495"/>
      <w:bookmarkStart w:id="166" w:name="_Toc8044"/>
      <w:bookmarkStart w:id="167" w:name="_Toc4857"/>
      <w:bookmarkStart w:id="168" w:name="_Toc1950"/>
      <w:bookmarkStart w:id="169" w:name="_Toc17247"/>
      <w:bookmarkStart w:id="170" w:name="_Toc30732"/>
      <w:bookmarkStart w:id="171" w:name="_Toc7616"/>
      <w:bookmarkStart w:id="172" w:name="_Toc6747"/>
      <w:bookmarkStart w:id="173" w:name="_Toc21095"/>
      <w:bookmarkStart w:id="174" w:name="_Toc15602"/>
      <w:bookmarkStart w:id="175" w:name="_Toc5947"/>
      <w:bookmarkStart w:id="176" w:name="_Toc425240485"/>
      <w:bookmarkStart w:id="177" w:name="_Toc3574"/>
      <w:bookmarkStart w:id="178" w:name="_Toc421778390"/>
      <w:r>
        <w:rPr>
          <w:rFonts w:hint="eastAsia" w:ascii="宋体" w:hAnsi="宋体" w:eastAsia="宋体" w:cs="宋体"/>
          <w:b/>
          <w:bCs/>
          <w:sz w:val="32"/>
          <w:szCs w:val="32"/>
          <w:highlight w:val="none"/>
          <w:lang w:eastAsia="zh-CN"/>
        </w:rPr>
        <w:t>三、</w:t>
      </w:r>
      <w:bookmarkEnd w:id="160"/>
      <w:bookmarkEnd w:id="161"/>
      <w:bookmarkEnd w:id="162"/>
      <w:bookmarkEnd w:id="163"/>
      <w:bookmarkEnd w:id="164"/>
      <w:bookmarkEnd w:id="165"/>
      <w:bookmarkEnd w:id="166"/>
      <w:bookmarkEnd w:id="167"/>
      <w:r>
        <w:rPr>
          <w:rFonts w:hint="eastAsia" w:ascii="宋体" w:hAnsi="宋体" w:eastAsia="宋体" w:cs="宋体"/>
          <w:b/>
          <w:bCs/>
          <w:sz w:val="32"/>
          <w:szCs w:val="32"/>
          <w:highlight w:val="none"/>
          <w:lang w:eastAsia="zh-CN"/>
        </w:rPr>
        <w:t>报价明细表</w:t>
      </w:r>
      <w:bookmarkEnd w:id="168"/>
      <w:bookmarkEnd w:id="169"/>
      <w:bookmarkEnd w:id="170"/>
      <w:r>
        <w:rPr>
          <w:rFonts w:hint="eastAsia" w:ascii="宋体" w:hAnsi="宋体" w:eastAsia="宋体" w:cs="宋体"/>
          <w:b/>
          <w:bCs/>
          <w:sz w:val="32"/>
          <w:szCs w:val="32"/>
          <w:highlight w:val="none"/>
          <w:lang w:eastAsia="zh-CN"/>
        </w:rPr>
        <w:t xml:space="preserve"> </w:t>
      </w:r>
    </w:p>
    <w:p w14:paraId="77F5914C">
      <w:pPr>
        <w:pStyle w:val="23"/>
        <w:shd w:val="clear"/>
        <w:rPr>
          <w:rFonts w:hint="eastAsia" w:ascii="宋体" w:hAnsi="宋体" w:eastAsia="宋体" w:cs="宋体"/>
          <w:sz w:val="6"/>
          <w:szCs w:val="6"/>
        </w:rPr>
      </w:pPr>
    </w:p>
    <w:p w14:paraId="7945D488">
      <w:pPr>
        <w:pStyle w:val="14"/>
        <w:shd w:val="clear"/>
        <w:rPr>
          <w:rFonts w:hint="eastAsia" w:ascii="宋体" w:hAnsi="宋体" w:eastAsia="宋体" w:cs="宋体"/>
        </w:rPr>
      </w:pPr>
    </w:p>
    <w:p w14:paraId="2871702A">
      <w:pPr>
        <w:shd w:val="clear"/>
        <w:spacing w:line="360" w:lineRule="auto"/>
        <w:ind w:firstLine="240" w:firstLineChars="100"/>
        <w:rPr>
          <w:rFonts w:hint="eastAsia" w:ascii="宋体" w:hAnsi="宋体" w:eastAsia="宋体" w:cs="宋体"/>
          <w:sz w:val="24"/>
          <w:szCs w:val="24"/>
          <w:highlight w:val="none"/>
        </w:rPr>
      </w:pPr>
    </w:p>
    <w:p w14:paraId="05B8931E">
      <w:pPr>
        <w:pStyle w:val="14"/>
        <w:shd w:val="clear"/>
        <w:rPr>
          <w:rFonts w:hint="eastAsia" w:ascii="宋体" w:hAnsi="宋体" w:eastAsia="宋体" w:cs="宋体"/>
        </w:rPr>
      </w:pPr>
    </w:p>
    <w:p w14:paraId="7EC13B03">
      <w:pPr>
        <w:shd w:val="clear"/>
        <w:rPr>
          <w:rFonts w:hint="eastAsia" w:ascii="宋体" w:hAnsi="宋体" w:eastAsia="宋体" w:cs="宋体"/>
        </w:rPr>
      </w:pPr>
    </w:p>
    <w:p w14:paraId="01B5464D">
      <w:pPr>
        <w:pStyle w:val="10"/>
        <w:shd w:val="clear"/>
        <w:rPr>
          <w:rFonts w:hint="eastAsia" w:ascii="宋体" w:hAnsi="宋体" w:eastAsia="宋体" w:cs="宋体"/>
        </w:rPr>
      </w:pPr>
    </w:p>
    <w:p w14:paraId="222AF2EE">
      <w:pPr>
        <w:pStyle w:val="10"/>
        <w:shd w:val="clear"/>
        <w:rPr>
          <w:rFonts w:hint="eastAsia" w:ascii="宋体" w:hAnsi="宋体" w:eastAsia="宋体" w:cs="宋体"/>
        </w:rPr>
      </w:pPr>
    </w:p>
    <w:p w14:paraId="53D7F1D8">
      <w:pPr>
        <w:pStyle w:val="10"/>
        <w:shd w:val="clear"/>
        <w:rPr>
          <w:rFonts w:hint="eastAsia" w:ascii="宋体" w:hAnsi="宋体" w:eastAsia="宋体" w:cs="宋体"/>
        </w:rPr>
      </w:pPr>
    </w:p>
    <w:p w14:paraId="6D630050">
      <w:pPr>
        <w:pStyle w:val="10"/>
        <w:shd w:val="clear"/>
        <w:rPr>
          <w:rFonts w:hint="eastAsia" w:ascii="宋体" w:hAnsi="宋体" w:eastAsia="宋体" w:cs="宋体"/>
        </w:rPr>
      </w:pPr>
    </w:p>
    <w:p w14:paraId="161B1CBA">
      <w:pPr>
        <w:pStyle w:val="10"/>
        <w:shd w:val="clear"/>
        <w:rPr>
          <w:rFonts w:hint="eastAsia" w:ascii="宋体" w:hAnsi="宋体" w:eastAsia="宋体" w:cs="宋体"/>
        </w:rPr>
      </w:pPr>
    </w:p>
    <w:p w14:paraId="39220035">
      <w:pPr>
        <w:pStyle w:val="10"/>
        <w:shd w:val="clear"/>
        <w:rPr>
          <w:rFonts w:hint="eastAsia" w:ascii="宋体" w:hAnsi="宋体" w:eastAsia="宋体" w:cs="宋体"/>
        </w:rPr>
      </w:pPr>
    </w:p>
    <w:p w14:paraId="4241BC71">
      <w:pPr>
        <w:pStyle w:val="10"/>
        <w:shd w:val="clear"/>
        <w:rPr>
          <w:rFonts w:hint="eastAsia" w:ascii="宋体" w:hAnsi="宋体" w:eastAsia="宋体" w:cs="宋体"/>
        </w:rPr>
      </w:pPr>
    </w:p>
    <w:p w14:paraId="5B05E318">
      <w:pPr>
        <w:pStyle w:val="10"/>
        <w:shd w:val="clear"/>
        <w:rPr>
          <w:rFonts w:hint="eastAsia" w:ascii="宋体" w:hAnsi="宋体" w:eastAsia="宋体" w:cs="宋体"/>
        </w:rPr>
      </w:pPr>
    </w:p>
    <w:p w14:paraId="79D28BA7">
      <w:pPr>
        <w:pStyle w:val="10"/>
        <w:shd w:val="clear"/>
        <w:rPr>
          <w:rFonts w:hint="eastAsia" w:ascii="宋体" w:hAnsi="宋体" w:eastAsia="宋体" w:cs="宋体"/>
        </w:rPr>
      </w:pPr>
    </w:p>
    <w:p w14:paraId="2E97BF83">
      <w:pPr>
        <w:pStyle w:val="10"/>
        <w:shd w:val="clear"/>
        <w:rPr>
          <w:rFonts w:hint="eastAsia" w:ascii="宋体" w:hAnsi="宋体" w:eastAsia="宋体" w:cs="宋体"/>
        </w:rPr>
      </w:pPr>
    </w:p>
    <w:p w14:paraId="5C04C328">
      <w:pPr>
        <w:pStyle w:val="10"/>
        <w:shd w:val="clear"/>
        <w:rPr>
          <w:rFonts w:hint="eastAsia" w:ascii="宋体" w:hAnsi="宋体" w:eastAsia="宋体" w:cs="宋体"/>
        </w:rPr>
      </w:pPr>
    </w:p>
    <w:p w14:paraId="7638CC34">
      <w:pPr>
        <w:pStyle w:val="10"/>
        <w:shd w:val="clear"/>
        <w:rPr>
          <w:rFonts w:hint="eastAsia" w:ascii="宋体" w:hAnsi="宋体" w:eastAsia="宋体" w:cs="宋体"/>
        </w:rPr>
      </w:pPr>
    </w:p>
    <w:p w14:paraId="2BC7618C">
      <w:pPr>
        <w:pStyle w:val="10"/>
        <w:shd w:val="clear"/>
        <w:rPr>
          <w:rFonts w:hint="eastAsia" w:ascii="宋体" w:hAnsi="宋体" w:eastAsia="宋体" w:cs="宋体"/>
        </w:rPr>
      </w:pPr>
    </w:p>
    <w:p w14:paraId="68D436C1">
      <w:pPr>
        <w:pStyle w:val="10"/>
        <w:shd w:val="clear"/>
        <w:rPr>
          <w:rFonts w:hint="eastAsia" w:ascii="宋体" w:hAnsi="宋体" w:eastAsia="宋体" w:cs="宋体"/>
        </w:rPr>
      </w:pPr>
    </w:p>
    <w:p w14:paraId="4DCEB463">
      <w:pPr>
        <w:pStyle w:val="10"/>
        <w:shd w:val="clear"/>
        <w:rPr>
          <w:rFonts w:hint="eastAsia" w:ascii="宋体" w:hAnsi="宋体" w:eastAsia="宋体" w:cs="宋体"/>
        </w:rPr>
      </w:pPr>
    </w:p>
    <w:p w14:paraId="03791D0D">
      <w:pPr>
        <w:pStyle w:val="10"/>
        <w:shd w:val="clear"/>
        <w:rPr>
          <w:rFonts w:hint="eastAsia" w:ascii="宋体" w:hAnsi="宋体" w:eastAsia="宋体" w:cs="宋体"/>
        </w:rPr>
      </w:pPr>
    </w:p>
    <w:p w14:paraId="0FB96DA5">
      <w:pPr>
        <w:pStyle w:val="10"/>
        <w:shd w:val="clear"/>
        <w:rPr>
          <w:rFonts w:hint="eastAsia" w:ascii="宋体" w:hAnsi="宋体" w:eastAsia="宋体" w:cs="宋体"/>
        </w:rPr>
      </w:pPr>
    </w:p>
    <w:p w14:paraId="55E0DC97">
      <w:pPr>
        <w:pStyle w:val="10"/>
        <w:shd w:val="clear"/>
        <w:rPr>
          <w:rFonts w:hint="eastAsia" w:ascii="宋体" w:hAnsi="宋体" w:eastAsia="宋体" w:cs="宋体"/>
        </w:rPr>
      </w:pPr>
    </w:p>
    <w:p w14:paraId="7D59D9DF">
      <w:pPr>
        <w:pStyle w:val="10"/>
        <w:shd w:val="clear"/>
        <w:rPr>
          <w:rFonts w:hint="eastAsia" w:ascii="宋体" w:hAnsi="宋体" w:eastAsia="宋体" w:cs="宋体"/>
        </w:rPr>
      </w:pPr>
    </w:p>
    <w:p w14:paraId="1183B45E">
      <w:pPr>
        <w:pStyle w:val="10"/>
        <w:shd w:val="clear"/>
        <w:rPr>
          <w:rFonts w:hint="eastAsia" w:ascii="宋体" w:hAnsi="宋体" w:eastAsia="宋体" w:cs="宋体"/>
        </w:rPr>
      </w:pPr>
    </w:p>
    <w:p w14:paraId="562817C3">
      <w:pPr>
        <w:pStyle w:val="10"/>
        <w:shd w:val="clear"/>
        <w:rPr>
          <w:rFonts w:hint="eastAsia" w:ascii="宋体" w:hAnsi="宋体" w:eastAsia="宋体" w:cs="宋体"/>
        </w:rPr>
      </w:pPr>
    </w:p>
    <w:p w14:paraId="2C362007">
      <w:pPr>
        <w:pStyle w:val="10"/>
        <w:shd w:val="clear"/>
        <w:rPr>
          <w:rFonts w:hint="eastAsia" w:ascii="宋体" w:hAnsi="宋体" w:eastAsia="宋体" w:cs="宋体"/>
        </w:rPr>
      </w:pPr>
    </w:p>
    <w:p w14:paraId="330767DF">
      <w:pPr>
        <w:pStyle w:val="10"/>
        <w:shd w:val="clear"/>
        <w:rPr>
          <w:rFonts w:hint="eastAsia" w:ascii="宋体" w:hAnsi="宋体" w:eastAsia="宋体" w:cs="宋体"/>
        </w:rPr>
      </w:pPr>
    </w:p>
    <w:p w14:paraId="5A23C147">
      <w:pPr>
        <w:pStyle w:val="10"/>
        <w:shd w:val="clear"/>
        <w:rPr>
          <w:rFonts w:hint="eastAsia" w:ascii="宋体" w:hAnsi="宋体" w:eastAsia="宋体" w:cs="宋体"/>
        </w:rPr>
      </w:pPr>
    </w:p>
    <w:p w14:paraId="1BF58D1E">
      <w:pPr>
        <w:pStyle w:val="10"/>
        <w:shd w:val="clear"/>
        <w:rPr>
          <w:rFonts w:hint="eastAsia" w:ascii="宋体" w:hAnsi="宋体" w:eastAsia="宋体" w:cs="宋体"/>
        </w:rPr>
      </w:pPr>
    </w:p>
    <w:p w14:paraId="591488C3">
      <w:pPr>
        <w:pStyle w:val="10"/>
        <w:shd w:val="clear"/>
        <w:rPr>
          <w:rFonts w:hint="eastAsia" w:ascii="宋体" w:hAnsi="宋体" w:eastAsia="宋体" w:cs="宋体"/>
        </w:rPr>
      </w:pPr>
    </w:p>
    <w:p w14:paraId="20877283">
      <w:pPr>
        <w:pStyle w:val="10"/>
        <w:shd w:val="clear"/>
        <w:rPr>
          <w:rFonts w:hint="eastAsia" w:ascii="宋体" w:hAnsi="宋体" w:eastAsia="宋体" w:cs="宋体"/>
        </w:rPr>
      </w:pPr>
    </w:p>
    <w:p w14:paraId="0E9EE408">
      <w:pPr>
        <w:pStyle w:val="10"/>
        <w:shd w:val="clear"/>
        <w:rPr>
          <w:rFonts w:hint="eastAsia" w:ascii="宋体" w:hAnsi="宋体" w:eastAsia="宋体" w:cs="宋体"/>
        </w:rPr>
      </w:pPr>
    </w:p>
    <w:p w14:paraId="07C51407">
      <w:pPr>
        <w:pStyle w:val="10"/>
        <w:shd w:val="clear"/>
        <w:rPr>
          <w:rFonts w:hint="eastAsia" w:ascii="宋体" w:hAnsi="宋体" w:eastAsia="宋体" w:cs="宋体"/>
        </w:rPr>
      </w:pPr>
    </w:p>
    <w:p w14:paraId="10CB7616">
      <w:pPr>
        <w:pStyle w:val="10"/>
        <w:shd w:val="clear"/>
        <w:rPr>
          <w:rFonts w:hint="eastAsia" w:ascii="宋体" w:hAnsi="宋体" w:eastAsia="宋体" w:cs="宋体"/>
        </w:rPr>
      </w:pPr>
    </w:p>
    <w:p w14:paraId="7F4EBFFB">
      <w:pPr>
        <w:pStyle w:val="10"/>
        <w:shd w:val="clear"/>
        <w:rPr>
          <w:rFonts w:hint="eastAsia" w:ascii="宋体" w:hAnsi="宋体" w:eastAsia="宋体" w:cs="宋体"/>
        </w:rPr>
      </w:pPr>
    </w:p>
    <w:p w14:paraId="779EACA3">
      <w:pPr>
        <w:pStyle w:val="10"/>
        <w:shd w:val="clear"/>
        <w:rPr>
          <w:rFonts w:hint="eastAsia" w:ascii="宋体" w:hAnsi="宋体" w:eastAsia="宋体" w:cs="宋体"/>
        </w:rPr>
      </w:pPr>
    </w:p>
    <w:p w14:paraId="0F4F490F">
      <w:pPr>
        <w:pStyle w:val="10"/>
        <w:shd w:val="clear"/>
        <w:rPr>
          <w:rFonts w:hint="eastAsia" w:ascii="宋体" w:hAnsi="宋体" w:eastAsia="宋体" w:cs="宋体"/>
        </w:rPr>
      </w:pPr>
    </w:p>
    <w:p w14:paraId="0BFBBED5">
      <w:pPr>
        <w:pStyle w:val="10"/>
        <w:shd w:val="clear"/>
        <w:rPr>
          <w:rFonts w:hint="eastAsia" w:ascii="宋体" w:hAnsi="宋体" w:eastAsia="宋体" w:cs="宋体"/>
        </w:rPr>
      </w:pPr>
    </w:p>
    <w:p w14:paraId="3D5AD67D">
      <w:pPr>
        <w:pStyle w:val="10"/>
        <w:shd w:val="clear"/>
        <w:rPr>
          <w:rFonts w:hint="eastAsia" w:ascii="宋体" w:hAnsi="宋体" w:eastAsia="宋体" w:cs="宋体"/>
        </w:rPr>
      </w:pPr>
    </w:p>
    <w:p w14:paraId="47263C23">
      <w:pPr>
        <w:pStyle w:val="10"/>
        <w:shd w:val="clear"/>
        <w:rPr>
          <w:rFonts w:hint="eastAsia" w:ascii="宋体" w:hAnsi="宋体" w:eastAsia="宋体" w:cs="宋体"/>
        </w:rPr>
      </w:pPr>
    </w:p>
    <w:p w14:paraId="2ADBEA90">
      <w:pPr>
        <w:pStyle w:val="10"/>
        <w:shd w:val="clear"/>
        <w:rPr>
          <w:rFonts w:hint="eastAsia" w:ascii="宋体" w:hAnsi="宋体" w:eastAsia="宋体" w:cs="宋体"/>
        </w:rPr>
      </w:pPr>
    </w:p>
    <w:p w14:paraId="642911D3">
      <w:pPr>
        <w:pStyle w:val="10"/>
        <w:shd w:val="clear"/>
        <w:rPr>
          <w:rFonts w:hint="eastAsia" w:ascii="宋体" w:hAnsi="宋体" w:eastAsia="宋体" w:cs="宋体"/>
        </w:rPr>
      </w:pPr>
    </w:p>
    <w:p w14:paraId="052EDAB4">
      <w:pPr>
        <w:pStyle w:val="10"/>
        <w:shd w:val="clear"/>
        <w:rPr>
          <w:rFonts w:hint="eastAsia" w:ascii="宋体" w:hAnsi="宋体" w:eastAsia="宋体" w:cs="宋体"/>
        </w:rPr>
      </w:pPr>
    </w:p>
    <w:p w14:paraId="0C028CE5">
      <w:pPr>
        <w:pStyle w:val="10"/>
        <w:shd w:val="clear"/>
        <w:rPr>
          <w:rFonts w:hint="eastAsia" w:ascii="宋体" w:hAnsi="宋体" w:eastAsia="宋体" w:cs="宋体"/>
        </w:rPr>
      </w:pPr>
    </w:p>
    <w:p w14:paraId="65B8252C">
      <w:pPr>
        <w:pStyle w:val="10"/>
        <w:shd w:val="clear"/>
        <w:rPr>
          <w:rFonts w:hint="eastAsia" w:ascii="宋体" w:hAnsi="宋体" w:eastAsia="宋体" w:cs="宋体"/>
        </w:rPr>
      </w:pPr>
    </w:p>
    <w:p w14:paraId="1BAE4827">
      <w:pPr>
        <w:pStyle w:val="10"/>
        <w:shd w:val="clear"/>
        <w:rPr>
          <w:rFonts w:hint="eastAsia" w:ascii="宋体" w:hAnsi="宋体" w:eastAsia="宋体" w:cs="宋体"/>
        </w:rPr>
      </w:pPr>
    </w:p>
    <w:p w14:paraId="725B7601">
      <w:pPr>
        <w:pStyle w:val="10"/>
        <w:shd w:val="clear"/>
        <w:rPr>
          <w:rFonts w:hint="eastAsia" w:ascii="宋体" w:hAnsi="宋体" w:eastAsia="宋体" w:cs="宋体"/>
        </w:rPr>
      </w:pPr>
    </w:p>
    <w:p w14:paraId="5303FAC0">
      <w:pPr>
        <w:pStyle w:val="14"/>
        <w:shd w:val="clear"/>
        <w:rPr>
          <w:rFonts w:hint="eastAsia" w:ascii="宋体" w:hAnsi="宋体" w:eastAsia="宋体" w:cs="宋体"/>
        </w:rPr>
      </w:pPr>
    </w:p>
    <w:p w14:paraId="3BDA9FDF">
      <w:pPr>
        <w:shd w:val="clear"/>
        <w:autoSpaceDE w:val="0"/>
        <w:autoSpaceDN w:val="0"/>
        <w:adjustRightInd w:val="0"/>
        <w:snapToGrid w:val="0"/>
        <w:spacing w:line="360" w:lineRule="auto"/>
        <w:jc w:val="center"/>
        <w:outlineLvl w:val="0"/>
        <w:rPr>
          <w:rFonts w:hint="eastAsia" w:ascii="宋体" w:hAnsi="宋体" w:eastAsia="宋体" w:cs="宋体"/>
          <w:b/>
          <w:sz w:val="36"/>
          <w:szCs w:val="36"/>
          <w:highlight w:val="none"/>
        </w:rPr>
      </w:pPr>
      <w:bookmarkStart w:id="179" w:name="_Toc13133"/>
      <w:bookmarkStart w:id="180" w:name="_Toc14598"/>
      <w:bookmarkStart w:id="181" w:name="_Toc23644"/>
      <w:bookmarkStart w:id="182" w:name="_Toc22303"/>
      <w:bookmarkStart w:id="183" w:name="_Toc28578"/>
      <w:bookmarkStart w:id="184" w:name="_Toc25880"/>
      <w:r>
        <w:rPr>
          <w:rFonts w:hint="eastAsia" w:ascii="宋体" w:hAnsi="宋体" w:cs="宋体"/>
          <w:b/>
          <w:sz w:val="36"/>
          <w:szCs w:val="36"/>
          <w:highlight w:val="none"/>
          <w:lang w:eastAsia="zh-CN"/>
        </w:rPr>
        <w:t>四</w:t>
      </w:r>
      <w:r>
        <w:rPr>
          <w:rFonts w:hint="eastAsia" w:ascii="宋体" w:hAnsi="宋体" w:eastAsia="宋体" w:cs="宋体"/>
          <w:b/>
          <w:sz w:val="36"/>
          <w:szCs w:val="36"/>
          <w:highlight w:val="none"/>
        </w:rPr>
        <w:t>、</w:t>
      </w:r>
      <w:r>
        <w:rPr>
          <w:rFonts w:hint="eastAsia" w:ascii="宋体" w:hAnsi="宋体" w:eastAsia="宋体" w:cs="宋体"/>
          <w:b/>
          <w:sz w:val="36"/>
          <w:szCs w:val="36"/>
          <w:highlight w:val="none"/>
          <w:lang w:eastAsia="zh-CN"/>
        </w:rPr>
        <w:t>技术</w:t>
      </w:r>
      <w:r>
        <w:rPr>
          <w:rFonts w:hint="eastAsia" w:ascii="宋体" w:hAnsi="宋体" w:eastAsia="宋体" w:cs="宋体"/>
          <w:b/>
          <w:sz w:val="36"/>
          <w:szCs w:val="36"/>
          <w:highlight w:val="none"/>
        </w:rPr>
        <w:t>方案</w:t>
      </w:r>
      <w:bookmarkEnd w:id="179"/>
      <w:bookmarkEnd w:id="180"/>
      <w:bookmarkEnd w:id="181"/>
      <w:bookmarkEnd w:id="182"/>
      <w:bookmarkEnd w:id="183"/>
      <w:bookmarkEnd w:id="184"/>
    </w:p>
    <w:p w14:paraId="10195FB0">
      <w:pPr>
        <w:shd w:val="clear"/>
        <w:spacing w:line="360" w:lineRule="auto"/>
        <w:ind w:firstLine="480" w:firstLineChars="200"/>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（各</w:t>
      </w:r>
      <w:r>
        <w:rPr>
          <w:rFonts w:hint="eastAsia" w:ascii="宋体" w:hAnsi="宋体" w:eastAsia="宋体" w:cs="宋体"/>
          <w:sz w:val="24"/>
          <w:szCs w:val="24"/>
          <w:highlight w:val="none"/>
          <w:lang w:eastAsia="zh-CN"/>
        </w:rPr>
        <w:t>投标供应商</w:t>
      </w:r>
      <w:r>
        <w:rPr>
          <w:rFonts w:hint="eastAsia" w:ascii="宋体" w:hAnsi="宋体" w:eastAsia="宋体" w:cs="宋体"/>
          <w:sz w:val="24"/>
          <w:szCs w:val="24"/>
          <w:highlight w:val="none"/>
        </w:rPr>
        <w:t>根据采购内容及评审办法，可自主编写</w:t>
      </w:r>
      <w:r>
        <w:rPr>
          <w:rFonts w:hint="eastAsia" w:ascii="宋体" w:hAnsi="宋体" w:eastAsia="宋体" w:cs="宋体"/>
          <w:sz w:val="24"/>
          <w:szCs w:val="24"/>
          <w:highlight w:val="none"/>
          <w:lang w:val="en-US" w:eastAsia="zh-CN"/>
        </w:rPr>
        <w:t>技术</w:t>
      </w:r>
      <w:r>
        <w:rPr>
          <w:rFonts w:hint="eastAsia" w:ascii="宋体" w:hAnsi="宋体" w:eastAsia="宋体" w:cs="宋体"/>
          <w:sz w:val="24"/>
          <w:szCs w:val="24"/>
          <w:highlight w:val="none"/>
        </w:rPr>
        <w:t>方案说明）</w:t>
      </w:r>
    </w:p>
    <w:p w14:paraId="0266EBEA">
      <w:pPr>
        <w:pStyle w:val="23"/>
        <w:shd w:val="clear"/>
        <w:rPr>
          <w:rFonts w:hint="eastAsia" w:ascii="宋体" w:hAnsi="宋体" w:eastAsia="宋体" w:cs="宋体"/>
          <w:highlight w:val="none"/>
        </w:rPr>
      </w:pPr>
    </w:p>
    <w:bookmarkEnd w:id="171"/>
    <w:bookmarkEnd w:id="172"/>
    <w:bookmarkEnd w:id="173"/>
    <w:bookmarkEnd w:id="174"/>
    <w:p w14:paraId="1F3222CC">
      <w:pPr>
        <w:keepLines/>
        <w:pageBreakBefore/>
        <w:shd w:val="clear"/>
        <w:jc w:val="center"/>
        <w:outlineLvl w:val="0"/>
        <w:rPr>
          <w:rFonts w:hint="eastAsia" w:ascii="宋体" w:hAnsi="宋体" w:eastAsia="宋体" w:cs="宋体"/>
          <w:b/>
          <w:bCs/>
          <w:sz w:val="32"/>
          <w:szCs w:val="32"/>
          <w:highlight w:val="none"/>
        </w:rPr>
      </w:pPr>
      <w:bookmarkStart w:id="185" w:name="_Toc28929"/>
      <w:bookmarkStart w:id="186" w:name="_Toc6806"/>
      <w:bookmarkStart w:id="187" w:name="_Toc31626"/>
      <w:bookmarkStart w:id="188" w:name="_Toc18480"/>
      <w:bookmarkStart w:id="189" w:name="_Toc892"/>
      <w:bookmarkStart w:id="190" w:name="_Toc24985"/>
      <w:bookmarkStart w:id="191" w:name="_Toc8604"/>
      <w:r>
        <w:rPr>
          <w:rFonts w:hint="eastAsia" w:ascii="宋体" w:hAnsi="宋体" w:cs="宋体"/>
          <w:b/>
          <w:bCs/>
          <w:sz w:val="32"/>
          <w:szCs w:val="32"/>
          <w:highlight w:val="none"/>
          <w:lang w:eastAsia="zh-CN"/>
        </w:rPr>
        <w:t>五</w:t>
      </w:r>
      <w:r>
        <w:rPr>
          <w:rFonts w:hint="eastAsia" w:ascii="宋体" w:hAnsi="宋体" w:eastAsia="宋体" w:cs="宋体"/>
          <w:b/>
          <w:bCs/>
          <w:sz w:val="32"/>
          <w:szCs w:val="32"/>
          <w:highlight w:val="none"/>
        </w:rPr>
        <w:t>、陕西省政府采购</w:t>
      </w:r>
      <w:r>
        <w:rPr>
          <w:rFonts w:hint="eastAsia" w:ascii="宋体" w:hAnsi="宋体" w:eastAsia="宋体" w:cs="宋体"/>
          <w:b/>
          <w:bCs/>
          <w:sz w:val="32"/>
          <w:szCs w:val="32"/>
          <w:highlight w:val="none"/>
          <w:lang w:eastAsia="zh-CN"/>
        </w:rPr>
        <w:t>投标供应商</w:t>
      </w:r>
      <w:r>
        <w:rPr>
          <w:rFonts w:hint="eastAsia" w:ascii="宋体" w:hAnsi="宋体" w:eastAsia="宋体" w:cs="宋体"/>
          <w:b/>
          <w:bCs/>
          <w:sz w:val="32"/>
          <w:szCs w:val="32"/>
          <w:highlight w:val="none"/>
        </w:rPr>
        <w:t>拒绝政府采购领域商业贿赂承诺书</w:t>
      </w:r>
      <w:bookmarkEnd w:id="185"/>
      <w:bookmarkEnd w:id="186"/>
      <w:bookmarkEnd w:id="187"/>
      <w:bookmarkEnd w:id="188"/>
      <w:bookmarkEnd w:id="189"/>
      <w:bookmarkEnd w:id="190"/>
      <w:bookmarkEnd w:id="191"/>
    </w:p>
    <w:p w14:paraId="5734FC1C">
      <w:pPr>
        <w:widowControl/>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为响应党中央、国务院关于治理政府采购领域商业贿赂行为的号召，我公司在此庄严承诺：</w:t>
      </w:r>
    </w:p>
    <w:p w14:paraId="6E7A8582">
      <w:pPr>
        <w:widowControl/>
        <w:numPr>
          <w:ilvl w:val="0"/>
          <w:numId w:val="8"/>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在参与政府采购活动中遵纪守法、诚信经营、公平竞标。</w:t>
      </w:r>
    </w:p>
    <w:p w14:paraId="6F2ECB19">
      <w:pPr>
        <w:widowControl/>
        <w:numPr>
          <w:ilvl w:val="0"/>
          <w:numId w:val="8"/>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不向政府采购人、采购代理机构和政府采购评审专家进行任何形式的商业贿赂以谋取交易机会。</w:t>
      </w:r>
    </w:p>
    <w:p w14:paraId="7A0A9161">
      <w:pPr>
        <w:widowControl/>
        <w:numPr>
          <w:ilvl w:val="0"/>
          <w:numId w:val="8"/>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不向政府采购代理机构和采购人提供虚假资质文件或采用虚假应标方式参与政府采购市场竞争并谋取中标、成交。</w:t>
      </w:r>
    </w:p>
    <w:p w14:paraId="07CA3495">
      <w:pPr>
        <w:widowControl/>
        <w:numPr>
          <w:ilvl w:val="0"/>
          <w:numId w:val="8"/>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不采取“围标、陪标”等商业欺诈手段获得政府采购定单。</w:t>
      </w:r>
    </w:p>
    <w:p w14:paraId="1F8CF085">
      <w:pPr>
        <w:widowControl/>
        <w:numPr>
          <w:ilvl w:val="0"/>
          <w:numId w:val="8"/>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不采取不正当手段诋毁、排挤其他</w:t>
      </w:r>
      <w:r>
        <w:rPr>
          <w:rFonts w:hint="eastAsia" w:ascii="宋体" w:hAnsi="宋体" w:eastAsia="宋体" w:cs="宋体"/>
          <w:kern w:val="0"/>
          <w:sz w:val="24"/>
          <w:szCs w:val="24"/>
          <w:highlight w:val="none"/>
          <w:lang w:eastAsia="zh-CN"/>
        </w:rPr>
        <w:t>投标供应商</w:t>
      </w:r>
      <w:r>
        <w:rPr>
          <w:rFonts w:hint="eastAsia" w:ascii="宋体" w:hAnsi="宋体" w:eastAsia="宋体" w:cs="宋体"/>
          <w:kern w:val="0"/>
          <w:sz w:val="24"/>
          <w:szCs w:val="24"/>
          <w:highlight w:val="none"/>
        </w:rPr>
        <w:t>。</w:t>
      </w:r>
    </w:p>
    <w:p w14:paraId="0D3FFECC">
      <w:pPr>
        <w:widowControl/>
        <w:numPr>
          <w:ilvl w:val="0"/>
          <w:numId w:val="8"/>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不在提供商品和服务时“偷梁换柱、以次充好”损害采购人的合法权益。</w:t>
      </w:r>
    </w:p>
    <w:p w14:paraId="77A41DE2">
      <w:pPr>
        <w:widowControl/>
        <w:numPr>
          <w:ilvl w:val="0"/>
          <w:numId w:val="8"/>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不与采购人、采购代理机构政府采购评审专家或其它</w:t>
      </w:r>
      <w:r>
        <w:rPr>
          <w:rFonts w:hint="eastAsia" w:ascii="宋体" w:hAnsi="宋体" w:eastAsia="宋体" w:cs="宋体"/>
          <w:kern w:val="0"/>
          <w:sz w:val="24"/>
          <w:szCs w:val="24"/>
          <w:highlight w:val="none"/>
          <w:lang w:eastAsia="zh-CN"/>
        </w:rPr>
        <w:t>投标供应商</w:t>
      </w:r>
      <w:r>
        <w:rPr>
          <w:rFonts w:hint="eastAsia" w:ascii="宋体" w:hAnsi="宋体" w:eastAsia="宋体" w:cs="宋体"/>
          <w:kern w:val="0"/>
          <w:sz w:val="24"/>
          <w:szCs w:val="24"/>
          <w:highlight w:val="none"/>
        </w:rPr>
        <w:t>恶意串通，进行质疑和投诉，维护政府采购市场秩序。</w:t>
      </w:r>
    </w:p>
    <w:p w14:paraId="27DF08B4">
      <w:pPr>
        <w:widowControl/>
        <w:numPr>
          <w:ilvl w:val="0"/>
          <w:numId w:val="8"/>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尊重和接受政府采购监督管理部门的监督和政府采购代理机构招标采购要求，承担因违约行为给采购人造成的损失。</w:t>
      </w:r>
    </w:p>
    <w:p w14:paraId="091B8D70">
      <w:pPr>
        <w:widowControl/>
        <w:numPr>
          <w:ilvl w:val="0"/>
          <w:numId w:val="8"/>
        </w:numPr>
        <w:shd w:val="clear"/>
        <w:spacing w:line="408"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不发生其他有悖于政府采购公开、公平、公正和诚信原则的行为。</w:t>
      </w:r>
    </w:p>
    <w:p w14:paraId="238BD1E4">
      <w:pPr>
        <w:pStyle w:val="54"/>
        <w:shd w:val="clear"/>
        <w:rPr>
          <w:rFonts w:hint="eastAsia" w:ascii="宋体" w:hAnsi="宋体" w:eastAsia="宋体" w:cs="宋体"/>
          <w:highlight w:val="none"/>
        </w:rPr>
      </w:pPr>
    </w:p>
    <w:p w14:paraId="2F40FDFE">
      <w:pPr>
        <w:widowControl/>
        <w:shd w:val="clear"/>
        <w:spacing w:line="408" w:lineRule="auto"/>
        <w:ind w:left="2873" w:leftChars="1368"/>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承诺单位：</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（盖章）</w:t>
      </w:r>
    </w:p>
    <w:p w14:paraId="27802391">
      <w:pPr>
        <w:widowControl/>
        <w:shd w:val="clear"/>
        <w:spacing w:line="408" w:lineRule="auto"/>
        <w:ind w:left="2873" w:leftChars="1368"/>
        <w:jc w:val="left"/>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全权代表：</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（签</w:t>
      </w:r>
      <w:r>
        <w:rPr>
          <w:rFonts w:hint="eastAsia" w:ascii="宋体" w:hAnsi="宋体" w:eastAsia="宋体" w:cs="宋体"/>
          <w:kern w:val="0"/>
          <w:sz w:val="24"/>
          <w:szCs w:val="24"/>
          <w:highlight w:val="none"/>
          <w:lang w:val="en-US" w:eastAsia="zh-CN"/>
        </w:rPr>
        <w:t>字</w:t>
      </w:r>
      <w:r>
        <w:rPr>
          <w:rFonts w:hint="eastAsia" w:ascii="宋体" w:hAnsi="宋体" w:eastAsia="宋体" w:cs="宋体"/>
          <w:kern w:val="0"/>
          <w:sz w:val="24"/>
          <w:szCs w:val="24"/>
          <w:highlight w:val="none"/>
        </w:rPr>
        <w:t>）</w:t>
      </w:r>
    </w:p>
    <w:p w14:paraId="072C1464">
      <w:pPr>
        <w:widowControl/>
        <w:shd w:val="clear"/>
        <w:spacing w:line="408" w:lineRule="auto"/>
        <w:ind w:left="2873" w:leftChars="1368"/>
        <w:jc w:val="left"/>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地址：</w:t>
      </w:r>
      <w:r>
        <w:rPr>
          <w:rFonts w:hint="eastAsia" w:ascii="宋体" w:hAnsi="宋体" w:eastAsia="宋体" w:cs="宋体"/>
          <w:kern w:val="0"/>
          <w:sz w:val="24"/>
          <w:szCs w:val="24"/>
          <w:highlight w:val="none"/>
          <w:u w:val="single"/>
        </w:rPr>
        <w:t xml:space="preserve">                                      </w:t>
      </w:r>
    </w:p>
    <w:p w14:paraId="2736B5A1">
      <w:pPr>
        <w:widowControl/>
        <w:shd w:val="clear"/>
        <w:spacing w:line="408" w:lineRule="auto"/>
        <w:ind w:left="2873" w:leftChars="1368"/>
        <w:jc w:val="left"/>
        <w:rPr>
          <w:rFonts w:hint="eastAsia" w:ascii="宋体" w:hAnsi="宋体" w:eastAsia="宋体" w:cs="宋体"/>
          <w:kern w:val="0"/>
          <w:sz w:val="24"/>
          <w:szCs w:val="24"/>
          <w:highlight w:val="none"/>
          <w:u w:val="single"/>
          <w:lang w:eastAsia="zh-CN"/>
        </w:rPr>
      </w:pPr>
      <w:r>
        <w:rPr>
          <w:rFonts w:hint="eastAsia" w:ascii="宋体" w:hAnsi="宋体" w:eastAsia="宋体" w:cs="宋体"/>
          <w:kern w:val="0"/>
          <w:sz w:val="24"/>
          <w:szCs w:val="24"/>
          <w:highlight w:val="none"/>
        </w:rPr>
        <w:t>邮编：</w:t>
      </w:r>
      <w:r>
        <w:rPr>
          <w:rFonts w:hint="eastAsia" w:ascii="宋体" w:hAnsi="宋体" w:eastAsia="宋体" w:cs="宋体"/>
          <w:kern w:val="0"/>
          <w:sz w:val="24"/>
          <w:szCs w:val="24"/>
          <w:highlight w:val="none"/>
          <w:u w:val="single"/>
        </w:rPr>
        <w:t xml:space="preserve">                                      </w:t>
      </w:r>
    </w:p>
    <w:p w14:paraId="04FB7EB9">
      <w:pPr>
        <w:widowControl/>
        <w:shd w:val="clear"/>
        <w:spacing w:line="408" w:lineRule="auto"/>
        <w:ind w:left="2873" w:leftChars="1368"/>
        <w:jc w:val="left"/>
        <w:rPr>
          <w:rFonts w:hint="eastAsia" w:ascii="宋体" w:hAnsi="宋体" w:eastAsia="宋体" w:cs="宋体"/>
          <w:kern w:val="0"/>
          <w:sz w:val="24"/>
          <w:szCs w:val="24"/>
          <w:highlight w:val="none"/>
          <w:u w:val="single"/>
        </w:rPr>
      </w:pPr>
      <w:r>
        <w:rPr>
          <w:rFonts w:hint="eastAsia" w:ascii="宋体" w:hAnsi="宋体" w:eastAsia="宋体" w:cs="宋体"/>
          <w:kern w:val="0"/>
          <w:sz w:val="24"/>
          <w:szCs w:val="24"/>
          <w:highlight w:val="none"/>
        </w:rPr>
        <w:t>电话：</w:t>
      </w:r>
      <w:r>
        <w:rPr>
          <w:rFonts w:hint="eastAsia" w:ascii="宋体" w:hAnsi="宋体" w:eastAsia="宋体" w:cs="宋体"/>
          <w:kern w:val="0"/>
          <w:sz w:val="24"/>
          <w:szCs w:val="24"/>
          <w:highlight w:val="none"/>
          <w:u w:val="single"/>
        </w:rPr>
        <w:t xml:space="preserve">                                      </w:t>
      </w:r>
    </w:p>
    <w:p w14:paraId="5E505BE8">
      <w:pPr>
        <w:widowControl/>
        <w:shd w:val="clear"/>
        <w:spacing w:line="408" w:lineRule="auto"/>
        <w:ind w:firstLine="2880" w:firstLineChars="1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 xml:space="preserve">日期：   </w:t>
      </w:r>
      <w:r>
        <w:rPr>
          <w:rFonts w:hint="eastAsia" w:ascii="宋体" w:hAnsi="宋体" w:eastAsia="宋体" w:cs="宋体"/>
          <w:kern w:val="0"/>
          <w:sz w:val="24"/>
          <w:szCs w:val="24"/>
          <w:highlight w:val="none"/>
          <w:lang w:val="en-US" w:eastAsia="zh-CN"/>
        </w:rPr>
        <w:t xml:space="preserve"> </w:t>
      </w:r>
      <w:r>
        <w:rPr>
          <w:rFonts w:hint="eastAsia" w:ascii="宋体" w:hAnsi="宋体" w:eastAsia="宋体" w:cs="宋体"/>
          <w:kern w:val="0"/>
          <w:sz w:val="24"/>
          <w:szCs w:val="24"/>
          <w:highlight w:val="none"/>
        </w:rPr>
        <w:t xml:space="preserve"> 年    月    日</w:t>
      </w:r>
    </w:p>
    <w:p w14:paraId="72A8FB81">
      <w:pPr>
        <w:shd w:val="clear"/>
        <w:spacing w:line="408" w:lineRule="auto"/>
        <w:ind w:left="525" w:leftChars="250"/>
        <w:rPr>
          <w:rFonts w:hint="eastAsia" w:ascii="宋体" w:hAnsi="宋体" w:eastAsia="宋体" w:cs="宋体"/>
          <w:sz w:val="24"/>
          <w:szCs w:val="24"/>
          <w:highlight w:val="none"/>
        </w:rPr>
      </w:pPr>
    </w:p>
    <w:p w14:paraId="5CD1F7D4">
      <w:pPr>
        <w:shd w:val="clear"/>
        <w:spacing w:line="408" w:lineRule="auto"/>
        <w:rPr>
          <w:rFonts w:hint="eastAsia" w:ascii="宋体" w:hAnsi="宋体" w:eastAsia="宋体" w:cs="宋体"/>
          <w:sz w:val="24"/>
          <w:szCs w:val="24"/>
          <w:highlight w:val="none"/>
        </w:rPr>
      </w:pPr>
    </w:p>
    <w:p w14:paraId="1ED1569F">
      <w:pPr>
        <w:pStyle w:val="14"/>
        <w:shd w:val="clear"/>
        <w:rPr>
          <w:rFonts w:hint="eastAsia" w:ascii="宋体" w:hAnsi="宋体" w:eastAsia="宋体" w:cs="宋体"/>
          <w:highlight w:val="none"/>
        </w:rPr>
      </w:pPr>
    </w:p>
    <w:p w14:paraId="5C56A123">
      <w:pPr>
        <w:shd w:val="clear"/>
        <w:rPr>
          <w:rFonts w:hint="eastAsia" w:ascii="宋体" w:hAnsi="宋体" w:eastAsia="宋体" w:cs="宋体"/>
          <w:b/>
          <w:bCs/>
          <w:sz w:val="32"/>
          <w:szCs w:val="32"/>
          <w:highlight w:val="none"/>
        </w:rPr>
      </w:pPr>
      <w:bookmarkStart w:id="192" w:name="_Toc21222"/>
      <w:bookmarkStart w:id="193" w:name="_Toc5235"/>
      <w:r>
        <w:rPr>
          <w:rFonts w:hint="eastAsia" w:ascii="宋体" w:hAnsi="宋体" w:eastAsia="宋体" w:cs="宋体"/>
          <w:b/>
          <w:bCs/>
          <w:sz w:val="32"/>
          <w:szCs w:val="32"/>
          <w:highlight w:val="none"/>
        </w:rPr>
        <w:br w:type="page"/>
      </w:r>
    </w:p>
    <w:p w14:paraId="2E7EC9F3">
      <w:pPr>
        <w:widowControl/>
        <w:shd w:val="clear"/>
        <w:jc w:val="center"/>
        <w:outlineLvl w:val="0"/>
        <w:rPr>
          <w:rFonts w:hint="eastAsia" w:ascii="宋体" w:hAnsi="宋体" w:eastAsia="宋体" w:cs="宋体"/>
          <w:b/>
          <w:bCs/>
          <w:sz w:val="32"/>
          <w:szCs w:val="32"/>
          <w:highlight w:val="none"/>
        </w:rPr>
      </w:pPr>
      <w:bookmarkStart w:id="194" w:name="_Toc12727"/>
      <w:bookmarkStart w:id="195" w:name="_Toc27199"/>
      <w:bookmarkStart w:id="196" w:name="_Toc986"/>
      <w:bookmarkStart w:id="197" w:name="_Toc10575"/>
      <w:bookmarkStart w:id="198" w:name="_Toc23097"/>
      <w:r>
        <w:rPr>
          <w:rFonts w:hint="eastAsia" w:ascii="宋体" w:hAnsi="宋体" w:cs="宋体"/>
          <w:b/>
          <w:bCs/>
          <w:sz w:val="32"/>
          <w:szCs w:val="32"/>
          <w:highlight w:val="none"/>
          <w:lang w:eastAsia="zh-CN"/>
        </w:rPr>
        <w:t>六</w:t>
      </w:r>
      <w:r>
        <w:rPr>
          <w:rFonts w:hint="eastAsia" w:ascii="宋体" w:hAnsi="宋体" w:eastAsia="宋体" w:cs="宋体"/>
          <w:b/>
          <w:bCs/>
          <w:sz w:val="32"/>
          <w:szCs w:val="32"/>
          <w:highlight w:val="none"/>
        </w:rPr>
        <w:t>、</w:t>
      </w:r>
      <w:r>
        <w:rPr>
          <w:rFonts w:hint="eastAsia" w:ascii="宋体" w:hAnsi="宋体" w:eastAsia="宋体" w:cs="宋体"/>
          <w:b/>
          <w:bCs/>
          <w:sz w:val="32"/>
          <w:szCs w:val="32"/>
          <w:highlight w:val="none"/>
          <w:lang w:eastAsia="zh-CN"/>
        </w:rPr>
        <w:t>投标供应商</w:t>
      </w:r>
      <w:r>
        <w:rPr>
          <w:rFonts w:hint="eastAsia" w:ascii="宋体" w:hAnsi="宋体" w:eastAsia="宋体" w:cs="宋体"/>
          <w:b/>
          <w:bCs/>
          <w:sz w:val="32"/>
          <w:szCs w:val="32"/>
          <w:highlight w:val="none"/>
        </w:rPr>
        <w:t>资格证明文件</w:t>
      </w:r>
      <w:bookmarkEnd w:id="192"/>
      <w:bookmarkEnd w:id="193"/>
      <w:bookmarkEnd w:id="194"/>
      <w:bookmarkEnd w:id="195"/>
      <w:bookmarkEnd w:id="196"/>
      <w:bookmarkEnd w:id="197"/>
      <w:bookmarkEnd w:id="198"/>
    </w:p>
    <w:p w14:paraId="17853AB9">
      <w:pPr>
        <w:pStyle w:val="12"/>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供应商具有独立承担民事责任能力的法人、其他组织或自然人，并出具合法有效的统一社会信用代码的营业执照或事业单位法人证书等国家规定的相关证明，自然人参与的提供其身份证明；</w:t>
      </w:r>
    </w:p>
    <w:p w14:paraId="47E45A45">
      <w:pPr>
        <w:pStyle w:val="12"/>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供应商须具有建筑工程施工总承包三级及以上施工资质，具有有效的安全生产许可证，并在人员、设备、资金等方面具有相应的施工能力；</w:t>
      </w:r>
    </w:p>
    <w:p w14:paraId="66A0D8CC">
      <w:pPr>
        <w:pStyle w:val="12"/>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项目经理须具有建筑工程二级及以上注册建造师资格，具有安全生产考核合格证，且无在建工程（提供无在建承诺书）；</w:t>
      </w:r>
    </w:p>
    <w:p w14:paraId="45A486A4">
      <w:pPr>
        <w:pStyle w:val="12"/>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供应商应授权合法的人员参加磋商全过程，其中法定代表人直接参加磋商的，须出具法定代表人身份证，并与营业执照上信息一致；法定代表人授权代表参加磋商的，须出具法定代表人授权书及授权代表身份证；</w:t>
      </w:r>
    </w:p>
    <w:p w14:paraId="4AF14EC2">
      <w:pPr>
        <w:pStyle w:val="12"/>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提供2024年度的财务报表（至少包括资产负债表和利润表，成立时间至提交竞争性磋商响应文件截止时间不足一年的可提供成立后任意时段的资产负债表），或其开标前半年内基本存款账户开户银行出具的资信证明（附开户许可证或开户备案证明）；</w:t>
      </w:r>
    </w:p>
    <w:p w14:paraId="79DFCA5E">
      <w:pPr>
        <w:pStyle w:val="12"/>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供应商提供 2024年06月至今已缴纳的至少任意连续三个月的纳税证明或完税证明，依法免税的单位应提供相关证明材料；</w:t>
      </w:r>
    </w:p>
    <w:p w14:paraId="5CA65F8C">
      <w:pPr>
        <w:pStyle w:val="12"/>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供应商提供2024年06月至今已缴纳的至少任意连续三个月的社会保障资金缴存单据或社保机构开具的社会保险参保缴费情况证明，依法不需要缴纳社会保障资金的单位应提供相关证明材料；</w:t>
      </w:r>
    </w:p>
    <w:p w14:paraId="04835C4A">
      <w:pPr>
        <w:pStyle w:val="12"/>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不得为“信用中国”网站(www.creditchina.gov.cn)中被列入重大税收违法失信主体的供应商，不得为“中国执行信息公开网”(http://zxgk.court.gov.cn//)被列入失信被执行人的供应商,不得为“中国政府采购网”(www.ccgp.gov.cn)政府采购严重违法失信行为记录名单中被财政部门禁止参加政府采购活动的供应商；</w:t>
      </w:r>
    </w:p>
    <w:p w14:paraId="4FA64D94">
      <w:pPr>
        <w:pStyle w:val="12"/>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供应商负责人为同一人或者存在直接控股、管理关系的不同供应商，不得同时参加本项目磋商，提供承诺书；</w:t>
      </w:r>
    </w:p>
    <w:p w14:paraId="0774688B">
      <w:pPr>
        <w:pStyle w:val="12"/>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供应商须具有履行合同所必需的设备和专业技术能力的承诺书；</w:t>
      </w:r>
    </w:p>
    <w:p w14:paraId="376A5649">
      <w:pPr>
        <w:pStyle w:val="12"/>
        <w:keepNext w:val="0"/>
        <w:keepLines w:val="0"/>
        <w:pageBreakBefore w:val="0"/>
        <w:widowControl w:val="0"/>
        <w:numPr>
          <w:ilvl w:val="0"/>
          <w:numId w:val="9"/>
        </w:numPr>
        <w:shd w:val="clear"/>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参加政府采购活动前三年内，在经营活动中没有重大违法记录的书面声明；</w:t>
      </w:r>
    </w:p>
    <w:p w14:paraId="04D04456">
      <w:pPr>
        <w:keepNext w:val="0"/>
        <w:keepLines w:val="0"/>
        <w:pageBreakBefore w:val="0"/>
        <w:widowControl w:val="0"/>
        <w:shd w:val="clear"/>
        <w:kinsoku/>
        <w:wordWrap/>
        <w:overflowPunct/>
        <w:topLinePunct w:val="0"/>
        <w:autoSpaceDE/>
        <w:autoSpaceDN/>
        <w:bidi w:val="0"/>
        <w:adjustRightInd/>
        <w:snapToGrid/>
        <w:spacing w:line="336" w:lineRule="auto"/>
        <w:ind w:firstLine="480" w:firstLineChars="200"/>
        <w:textAlignment w:val="auto"/>
        <w:rPr>
          <w:rFonts w:hint="eastAsia" w:ascii="宋体" w:hAnsi="宋体" w:eastAsia="宋体" w:cs="宋体"/>
          <w:b/>
          <w:bCs/>
          <w:sz w:val="24"/>
          <w:szCs w:val="24"/>
          <w:highlight w:val="none"/>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（12）本项目专门面向中小企业采购（提供中小企业声明函）。</w:t>
      </w:r>
    </w:p>
    <w:p w14:paraId="37322993">
      <w:pPr>
        <w:keepNext w:val="0"/>
        <w:keepLines w:val="0"/>
        <w:pageBreakBefore w:val="0"/>
        <w:widowControl w:val="0"/>
        <w:shd w:val="clear"/>
        <w:kinsoku/>
        <w:wordWrap/>
        <w:overflowPunct/>
        <w:topLinePunct w:val="0"/>
        <w:autoSpaceDE/>
        <w:autoSpaceDN/>
        <w:bidi w:val="0"/>
        <w:adjustRightInd/>
        <w:snapToGrid/>
        <w:spacing w:line="336" w:lineRule="auto"/>
        <w:ind w:firstLine="482" w:firstLineChars="200"/>
        <w:textAlignment w:val="auto"/>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以上为必备要求，缺一项或某项达不到要求，按无效磋商处理。</w:t>
      </w:r>
    </w:p>
    <w:p w14:paraId="556BEA6F">
      <w:pPr>
        <w:keepNext w:val="0"/>
        <w:keepLines w:val="0"/>
        <w:pageBreakBefore w:val="0"/>
        <w:widowControl w:val="0"/>
        <w:shd w:val="clear"/>
        <w:kinsoku/>
        <w:wordWrap/>
        <w:overflowPunct/>
        <w:topLinePunct w:val="0"/>
        <w:autoSpaceDE/>
        <w:autoSpaceDN/>
        <w:bidi w:val="0"/>
        <w:adjustRightInd/>
        <w:snapToGrid/>
        <w:spacing w:line="440" w:lineRule="exact"/>
        <w:textAlignment w:val="auto"/>
        <w:rPr>
          <w:rFonts w:hint="eastAsia" w:ascii="宋体" w:hAnsi="宋体" w:eastAsia="宋体" w:cs="宋体"/>
          <w:b/>
          <w:bCs/>
          <w:sz w:val="32"/>
          <w:szCs w:val="32"/>
          <w:highlight w:val="none"/>
        </w:rPr>
      </w:pPr>
      <w:bookmarkStart w:id="199" w:name="_Toc10598"/>
      <w:bookmarkStart w:id="200" w:name="_Toc29365"/>
      <w:bookmarkStart w:id="201" w:name="_Toc5437"/>
      <w:bookmarkStart w:id="202" w:name="_Toc12834"/>
      <w:r>
        <w:rPr>
          <w:rFonts w:hint="eastAsia" w:ascii="宋体" w:hAnsi="宋体" w:eastAsia="宋体" w:cs="宋体"/>
          <w:b/>
          <w:bCs/>
          <w:sz w:val="32"/>
          <w:szCs w:val="32"/>
          <w:highlight w:val="none"/>
        </w:rPr>
        <w:br w:type="page"/>
      </w:r>
    </w:p>
    <w:p w14:paraId="120234A3">
      <w:pPr>
        <w:pStyle w:val="14"/>
        <w:shd w:val="clear"/>
        <w:outlineLvl w:val="0"/>
        <w:rPr>
          <w:rFonts w:hint="eastAsia" w:ascii="宋体" w:hAnsi="宋体" w:eastAsia="宋体" w:cs="宋体"/>
          <w:b/>
          <w:bCs/>
          <w:sz w:val="32"/>
          <w:szCs w:val="32"/>
          <w:highlight w:val="none"/>
        </w:rPr>
      </w:pPr>
      <w:bookmarkStart w:id="203" w:name="_Toc6093"/>
      <w:bookmarkStart w:id="204" w:name="_Toc5610"/>
      <w:r>
        <w:rPr>
          <w:rFonts w:hint="eastAsia" w:ascii="宋体" w:hAnsi="宋体" w:eastAsia="宋体" w:cs="宋体"/>
          <w:b/>
          <w:bCs/>
          <w:sz w:val="32"/>
          <w:szCs w:val="32"/>
          <w:highlight w:val="none"/>
        </w:rPr>
        <w:t>法定代表人身份证明</w:t>
      </w:r>
      <w:bookmarkEnd w:id="199"/>
      <w:bookmarkEnd w:id="200"/>
      <w:bookmarkEnd w:id="201"/>
      <w:bookmarkEnd w:id="202"/>
      <w:bookmarkEnd w:id="203"/>
      <w:bookmarkEnd w:id="204"/>
    </w:p>
    <w:p w14:paraId="449B978E">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u w:val="single"/>
        </w:rPr>
      </w:pPr>
      <w:r>
        <w:rPr>
          <w:rFonts w:hint="eastAsia" w:ascii="宋体" w:hAnsi="宋体" w:eastAsia="宋体" w:cs="宋体"/>
          <w:sz w:val="24"/>
          <w:highlight w:val="none"/>
          <w:lang w:eastAsia="zh-CN"/>
        </w:rPr>
        <w:t>投标供应商</w:t>
      </w:r>
      <w:r>
        <w:rPr>
          <w:rFonts w:hint="eastAsia" w:ascii="宋体" w:hAnsi="宋体" w:eastAsia="宋体" w:cs="宋体"/>
          <w:kern w:val="0"/>
          <w:sz w:val="24"/>
          <w:highlight w:val="none"/>
        </w:rPr>
        <w:t>名称：</w:t>
      </w:r>
      <w:r>
        <w:rPr>
          <w:rFonts w:hint="eastAsia" w:ascii="宋体" w:hAnsi="宋体" w:eastAsia="宋体" w:cs="宋体"/>
          <w:kern w:val="0"/>
          <w:sz w:val="24"/>
          <w:highlight w:val="none"/>
          <w:u w:val="single"/>
        </w:rPr>
        <w:t xml:space="preserve">                         </w:t>
      </w:r>
    </w:p>
    <w:p w14:paraId="2FBE5CD3">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u w:val="single"/>
        </w:rPr>
      </w:pPr>
      <w:r>
        <w:rPr>
          <w:rFonts w:hint="eastAsia" w:ascii="宋体" w:hAnsi="宋体" w:eastAsia="宋体" w:cs="宋体"/>
          <w:kern w:val="0"/>
          <w:sz w:val="24"/>
          <w:highlight w:val="none"/>
        </w:rPr>
        <w:t>统一社会信用代码：</w:t>
      </w:r>
      <w:r>
        <w:rPr>
          <w:rFonts w:hint="eastAsia" w:ascii="宋体" w:hAnsi="宋体" w:eastAsia="宋体" w:cs="宋体"/>
          <w:kern w:val="0"/>
          <w:sz w:val="24"/>
          <w:highlight w:val="none"/>
          <w:u w:val="single"/>
        </w:rPr>
        <w:t xml:space="preserve">                       </w:t>
      </w:r>
    </w:p>
    <w:p w14:paraId="08E5BF55">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u w:val="single"/>
        </w:rPr>
      </w:pPr>
      <w:r>
        <w:rPr>
          <w:rFonts w:hint="eastAsia" w:ascii="宋体" w:hAnsi="宋体" w:eastAsia="宋体" w:cs="宋体"/>
          <w:kern w:val="0"/>
          <w:sz w:val="24"/>
          <w:highlight w:val="none"/>
        </w:rPr>
        <w:t>注册地址：</w:t>
      </w:r>
      <w:r>
        <w:rPr>
          <w:rFonts w:hint="eastAsia" w:ascii="宋体" w:hAnsi="宋体" w:eastAsia="宋体" w:cs="宋体"/>
          <w:kern w:val="0"/>
          <w:sz w:val="24"/>
          <w:highlight w:val="none"/>
          <w:u w:val="single"/>
        </w:rPr>
        <w:t xml:space="preserve">                               </w:t>
      </w:r>
    </w:p>
    <w:p w14:paraId="3AFC4804">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rPr>
      </w:pPr>
      <w:r>
        <w:rPr>
          <w:rFonts w:hint="eastAsia" w:ascii="宋体" w:hAnsi="宋体" w:eastAsia="宋体" w:cs="宋体"/>
          <w:kern w:val="0"/>
          <w:sz w:val="24"/>
          <w:highlight w:val="none"/>
        </w:rPr>
        <w:t xml:space="preserve">成立时间：   </w:t>
      </w:r>
      <w:r>
        <w:rPr>
          <w:rFonts w:hint="eastAsia" w:ascii="宋体" w:hAnsi="宋体" w:eastAsia="宋体" w:cs="宋体"/>
          <w:kern w:val="0"/>
          <w:sz w:val="24"/>
          <w:highlight w:val="none"/>
          <w:lang w:val="en-US" w:eastAsia="zh-CN"/>
        </w:rPr>
        <w:t xml:space="preserve"> </w:t>
      </w:r>
      <w:r>
        <w:rPr>
          <w:rFonts w:hint="eastAsia" w:ascii="宋体" w:hAnsi="宋体" w:eastAsia="宋体" w:cs="宋体"/>
          <w:kern w:val="0"/>
          <w:sz w:val="24"/>
          <w:highlight w:val="none"/>
        </w:rPr>
        <w:t>年    月    日</w:t>
      </w:r>
    </w:p>
    <w:p w14:paraId="020A1A17">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u w:val="single"/>
        </w:rPr>
      </w:pPr>
      <w:r>
        <w:rPr>
          <w:rFonts w:hint="eastAsia" w:ascii="宋体" w:hAnsi="宋体" w:eastAsia="宋体" w:cs="宋体"/>
          <w:kern w:val="0"/>
          <w:sz w:val="24"/>
          <w:highlight w:val="none"/>
        </w:rPr>
        <w:t>经营期限：</w:t>
      </w:r>
      <w:r>
        <w:rPr>
          <w:rFonts w:hint="eastAsia" w:ascii="宋体" w:hAnsi="宋体" w:eastAsia="宋体" w:cs="宋体"/>
          <w:kern w:val="0"/>
          <w:sz w:val="24"/>
          <w:highlight w:val="none"/>
          <w:u w:val="single"/>
        </w:rPr>
        <w:t xml:space="preserve">                               </w:t>
      </w:r>
    </w:p>
    <w:p w14:paraId="5A5536C3">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rPr>
      </w:pPr>
      <w:r>
        <w:rPr>
          <w:rFonts w:hint="eastAsia" w:ascii="宋体" w:hAnsi="宋体" w:eastAsia="宋体" w:cs="宋体"/>
          <w:kern w:val="0"/>
          <w:sz w:val="24"/>
          <w:highlight w:val="none"/>
        </w:rPr>
        <w:t>姓名：</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 xml:space="preserve">   性别：</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 xml:space="preserve">  年龄：</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rPr>
        <w:t xml:space="preserve">    </w:t>
      </w:r>
    </w:p>
    <w:p w14:paraId="5E31A7DD">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rPr>
      </w:pPr>
      <w:r>
        <w:rPr>
          <w:rFonts w:hint="eastAsia" w:ascii="宋体" w:hAnsi="宋体" w:eastAsia="宋体" w:cs="宋体"/>
          <w:kern w:val="0"/>
          <w:sz w:val="24"/>
          <w:highlight w:val="none"/>
        </w:rPr>
        <w:t>系</w:t>
      </w:r>
      <w:r>
        <w:rPr>
          <w:rFonts w:hint="eastAsia" w:ascii="宋体" w:hAnsi="宋体" w:eastAsia="宋体" w:cs="宋体"/>
          <w:kern w:val="0"/>
          <w:sz w:val="24"/>
          <w:highlight w:val="none"/>
          <w:u w:val="single"/>
        </w:rPr>
        <w:t xml:space="preserve">      （</w:t>
      </w:r>
      <w:r>
        <w:rPr>
          <w:rFonts w:hint="eastAsia" w:ascii="宋体" w:hAnsi="宋体" w:eastAsia="宋体" w:cs="宋体"/>
          <w:kern w:val="0"/>
          <w:sz w:val="24"/>
          <w:highlight w:val="none"/>
          <w:u w:val="single"/>
          <w:lang w:eastAsia="zh-CN"/>
        </w:rPr>
        <w:t>投标供应商</w:t>
      </w:r>
      <w:r>
        <w:rPr>
          <w:rFonts w:hint="eastAsia" w:ascii="宋体" w:hAnsi="宋体" w:eastAsia="宋体" w:cs="宋体"/>
          <w:kern w:val="0"/>
          <w:sz w:val="24"/>
          <w:highlight w:val="none"/>
          <w:u w:val="single"/>
        </w:rPr>
        <w:t xml:space="preserve">名称）      </w:t>
      </w:r>
      <w:r>
        <w:rPr>
          <w:rFonts w:hint="eastAsia" w:ascii="宋体" w:hAnsi="宋体" w:eastAsia="宋体" w:cs="宋体"/>
          <w:kern w:val="0"/>
          <w:sz w:val="24"/>
          <w:highlight w:val="none"/>
        </w:rPr>
        <w:t>的法定代表人。</w:t>
      </w:r>
    </w:p>
    <w:p w14:paraId="1A232D66">
      <w:pPr>
        <w:shd w:val="clear"/>
        <w:autoSpaceDE w:val="0"/>
        <w:autoSpaceDN w:val="0"/>
        <w:adjustRightInd w:val="0"/>
        <w:snapToGrid w:val="0"/>
        <w:spacing w:before="156" w:beforeLines="50" w:line="440" w:lineRule="exact"/>
        <w:jc w:val="left"/>
        <w:rPr>
          <w:rFonts w:hint="eastAsia" w:ascii="宋体" w:hAnsi="宋体" w:eastAsia="宋体" w:cs="宋体"/>
          <w:kern w:val="0"/>
          <w:sz w:val="24"/>
          <w:highlight w:val="none"/>
        </w:rPr>
      </w:pPr>
      <w:r>
        <w:rPr>
          <w:rFonts w:hint="eastAsia" w:ascii="宋体" w:hAnsi="宋体" w:eastAsia="宋体" w:cs="宋体"/>
          <w:kern w:val="0"/>
          <w:sz w:val="24"/>
          <w:highlight w:val="none"/>
        </w:rPr>
        <w:t>特此证明。</w:t>
      </w:r>
    </w:p>
    <w:p w14:paraId="58FE41EB">
      <w:pPr>
        <w:shd w:val="clear"/>
        <w:autoSpaceDE w:val="0"/>
        <w:autoSpaceDN w:val="0"/>
        <w:adjustRightInd w:val="0"/>
        <w:snapToGrid w:val="0"/>
        <w:spacing w:before="156" w:beforeLines="50" w:line="440" w:lineRule="exact"/>
        <w:jc w:val="left"/>
        <w:rPr>
          <w:rFonts w:hint="eastAsia" w:ascii="宋体" w:hAnsi="宋体" w:eastAsia="宋体" w:cs="宋体"/>
          <w:kern w:val="0"/>
          <w:highlight w:val="none"/>
        </w:rPr>
      </w:pPr>
      <w:r>
        <w:rPr>
          <w:rFonts w:hint="eastAsia" w:ascii="宋体" w:hAnsi="宋体" w:eastAsia="宋体" w:cs="宋体"/>
          <w:highlight w:val="none"/>
        </w:rPr>
        <w:t>附：法定代表人身份证复印件</w:t>
      </w:r>
    </w:p>
    <w:tbl>
      <w:tblPr>
        <w:tblStyle w:val="38"/>
        <w:tblpPr w:leftFromText="180" w:rightFromText="180" w:vertAnchor="text" w:horzAnchor="margin" w:tblpXSpec="center" w:tblpY="104"/>
        <w:tblW w:w="9437" w:type="dxa"/>
        <w:tblInd w:w="-5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7"/>
      </w:tblGrid>
      <w:tr w14:paraId="3AA07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6" w:hRule="atLeast"/>
        </w:trPr>
        <w:tc>
          <w:tcPr>
            <w:tcW w:w="9437" w:type="dxa"/>
            <w:vAlign w:val="center"/>
          </w:tcPr>
          <w:p w14:paraId="30A74757">
            <w:pPr>
              <w:shd w:val="clear"/>
              <w:snapToGrid w:val="0"/>
              <w:spacing w:line="480" w:lineRule="auto"/>
              <w:jc w:val="center"/>
              <w:rPr>
                <w:rFonts w:hint="eastAsia" w:ascii="宋体" w:hAnsi="宋体" w:eastAsia="宋体" w:cs="宋体"/>
                <w:highlight w:val="none"/>
              </w:rPr>
            </w:pPr>
          </w:p>
          <w:p w14:paraId="11614F53">
            <w:pPr>
              <w:shd w:val="clear"/>
              <w:snapToGrid w:val="0"/>
              <w:spacing w:line="480" w:lineRule="auto"/>
              <w:jc w:val="center"/>
              <w:rPr>
                <w:rFonts w:hint="eastAsia" w:ascii="宋体" w:hAnsi="宋体" w:eastAsia="宋体" w:cs="宋体"/>
                <w:highlight w:val="none"/>
              </w:rPr>
            </w:pPr>
          </w:p>
          <w:p w14:paraId="4C9FD851">
            <w:pPr>
              <w:shd w:val="clear"/>
              <w:autoSpaceDE w:val="0"/>
              <w:autoSpaceDN w:val="0"/>
              <w:adjustRightInd w:val="0"/>
              <w:snapToGrid w:val="0"/>
              <w:spacing w:before="156" w:beforeLines="50" w:line="360" w:lineRule="auto"/>
              <w:jc w:val="center"/>
              <w:rPr>
                <w:rFonts w:hint="eastAsia" w:ascii="宋体" w:hAnsi="宋体" w:eastAsia="宋体" w:cs="宋体"/>
                <w:highlight w:val="none"/>
              </w:rPr>
            </w:pPr>
            <w:r>
              <w:rPr>
                <w:rFonts w:hint="eastAsia" w:ascii="宋体" w:hAnsi="宋体" w:eastAsia="宋体" w:cs="宋体"/>
                <w:highlight w:val="none"/>
              </w:rPr>
              <w:t>法定代表人身份证复印件粘贴处</w:t>
            </w:r>
          </w:p>
          <w:p w14:paraId="315DE3C0">
            <w:pPr>
              <w:pStyle w:val="14"/>
              <w:shd w:val="clear"/>
              <w:rPr>
                <w:rFonts w:hint="eastAsia" w:ascii="宋体" w:hAnsi="宋体" w:eastAsia="宋体" w:cs="宋体"/>
                <w:highlight w:val="none"/>
              </w:rPr>
            </w:pPr>
            <w:r>
              <w:rPr>
                <w:rFonts w:hint="eastAsia" w:ascii="宋体" w:hAnsi="宋体" w:eastAsia="宋体" w:cs="宋体"/>
                <w:highlight w:val="none"/>
              </w:rPr>
              <w:t>（正反面）</w:t>
            </w:r>
          </w:p>
          <w:p w14:paraId="188E5298">
            <w:pPr>
              <w:shd w:val="clear"/>
              <w:snapToGrid w:val="0"/>
              <w:spacing w:line="480" w:lineRule="auto"/>
              <w:jc w:val="center"/>
              <w:rPr>
                <w:rFonts w:hint="eastAsia" w:ascii="宋体" w:hAnsi="宋体" w:eastAsia="宋体" w:cs="宋体"/>
                <w:highlight w:val="none"/>
              </w:rPr>
            </w:pPr>
          </w:p>
          <w:p w14:paraId="43D5E9E7">
            <w:pPr>
              <w:shd w:val="clear"/>
              <w:snapToGrid w:val="0"/>
              <w:spacing w:line="480" w:lineRule="auto"/>
              <w:jc w:val="center"/>
              <w:rPr>
                <w:rFonts w:hint="eastAsia" w:ascii="宋体" w:hAnsi="宋体" w:eastAsia="宋体" w:cs="宋体"/>
                <w:highlight w:val="none"/>
              </w:rPr>
            </w:pPr>
          </w:p>
        </w:tc>
      </w:tr>
    </w:tbl>
    <w:p w14:paraId="607455C1">
      <w:pPr>
        <w:pStyle w:val="14"/>
        <w:shd w:val="clear"/>
        <w:jc w:val="both"/>
        <w:rPr>
          <w:rFonts w:hint="eastAsia" w:ascii="宋体" w:hAnsi="宋体" w:eastAsia="宋体" w:cs="宋体"/>
          <w:highlight w:val="none"/>
        </w:rPr>
      </w:pPr>
    </w:p>
    <w:p w14:paraId="049963FB">
      <w:pPr>
        <w:shd w:val="clear"/>
        <w:snapToGrid w:val="0"/>
        <w:rPr>
          <w:rFonts w:hint="eastAsia" w:ascii="宋体" w:hAnsi="宋体" w:eastAsia="宋体" w:cs="宋体"/>
          <w:highlight w:val="none"/>
        </w:rPr>
      </w:pPr>
    </w:p>
    <w:p w14:paraId="45B90B9A">
      <w:pPr>
        <w:shd w:val="clear"/>
        <w:adjustRightInd w:val="0"/>
        <w:snapToGrid w:val="0"/>
        <w:spacing w:line="480" w:lineRule="auto"/>
        <w:ind w:right="420"/>
        <w:rPr>
          <w:rFonts w:hint="eastAsia" w:ascii="宋体" w:hAnsi="宋体" w:eastAsia="宋体" w:cs="宋体"/>
          <w:sz w:val="24"/>
          <w:highlight w:val="none"/>
        </w:rPr>
      </w:pPr>
    </w:p>
    <w:p w14:paraId="0ED73C5F">
      <w:pPr>
        <w:shd w:val="clear"/>
        <w:adjustRightInd w:val="0"/>
        <w:snapToGrid w:val="0"/>
        <w:spacing w:line="480" w:lineRule="auto"/>
        <w:ind w:right="420"/>
        <w:rPr>
          <w:rFonts w:hint="eastAsia" w:ascii="宋体" w:hAnsi="宋体" w:eastAsia="宋体" w:cs="宋体"/>
          <w:sz w:val="24"/>
          <w:highlight w:val="none"/>
        </w:rPr>
      </w:pPr>
      <w:r>
        <w:rPr>
          <w:rFonts w:hint="eastAsia" w:ascii="宋体" w:hAnsi="宋体" w:eastAsia="宋体" w:cs="宋体"/>
          <w:sz w:val="24"/>
          <w:highlight w:val="none"/>
          <w:lang w:eastAsia="zh-CN"/>
        </w:rPr>
        <w:t>投标供应商</w:t>
      </w:r>
      <w:r>
        <w:rPr>
          <w:rFonts w:hint="eastAsia" w:ascii="宋体" w:hAnsi="宋体" w:eastAsia="宋体" w:cs="宋体"/>
          <w:sz w:val="24"/>
          <w:highlight w:val="none"/>
        </w:rPr>
        <w:t>名称（公章）：</w:t>
      </w:r>
    </w:p>
    <w:p w14:paraId="67D23D60">
      <w:pPr>
        <w:shd w:val="clear"/>
        <w:adjustRightInd w:val="0"/>
        <w:snapToGrid w:val="0"/>
        <w:spacing w:line="480" w:lineRule="auto"/>
        <w:ind w:right="420"/>
        <w:rPr>
          <w:rFonts w:hint="eastAsia" w:ascii="宋体" w:hAnsi="宋体" w:eastAsia="宋体" w:cs="宋体"/>
          <w:highlight w:val="none"/>
        </w:rPr>
      </w:pPr>
      <w:r>
        <w:rPr>
          <w:rFonts w:hint="eastAsia" w:ascii="宋体" w:hAnsi="宋体" w:eastAsia="宋体" w:cs="宋体"/>
          <w:sz w:val="24"/>
          <w:highlight w:val="none"/>
        </w:rPr>
        <w:t>日期：    年   月   日</w:t>
      </w:r>
    </w:p>
    <w:p w14:paraId="0694A474">
      <w:pPr>
        <w:keepNext/>
        <w:shd w:val="clear"/>
        <w:spacing w:line="360" w:lineRule="auto"/>
        <w:rPr>
          <w:rFonts w:hint="eastAsia" w:ascii="宋体" w:hAnsi="宋体" w:eastAsia="宋体" w:cs="宋体"/>
          <w:b/>
          <w:bCs/>
          <w:sz w:val="2"/>
          <w:szCs w:val="2"/>
          <w:highlight w:val="none"/>
        </w:rPr>
      </w:pPr>
    </w:p>
    <w:p w14:paraId="6F8E62BB">
      <w:pPr>
        <w:pStyle w:val="4"/>
        <w:shd w:val="clear"/>
        <w:outlineLvl w:val="9"/>
        <w:rPr>
          <w:rFonts w:hint="eastAsia" w:ascii="宋体" w:hAnsi="宋体" w:eastAsia="宋体" w:cs="宋体"/>
          <w:highlight w:val="none"/>
        </w:rPr>
      </w:pPr>
    </w:p>
    <w:p w14:paraId="100824F6">
      <w:pPr>
        <w:pStyle w:val="23"/>
        <w:shd w:val="clear"/>
        <w:rPr>
          <w:rFonts w:hint="eastAsia" w:ascii="宋体" w:hAnsi="宋体" w:eastAsia="宋体" w:cs="宋体"/>
          <w:highlight w:val="none"/>
        </w:rPr>
      </w:pPr>
    </w:p>
    <w:p w14:paraId="1372F566">
      <w:pPr>
        <w:pStyle w:val="23"/>
        <w:shd w:val="clear"/>
        <w:rPr>
          <w:rFonts w:hint="eastAsia" w:ascii="宋体" w:hAnsi="宋体" w:eastAsia="宋体" w:cs="宋体"/>
          <w:highlight w:val="none"/>
        </w:rPr>
      </w:pPr>
    </w:p>
    <w:p w14:paraId="0373F3E0">
      <w:pPr>
        <w:shd w:val="clear"/>
        <w:rPr>
          <w:rFonts w:hint="eastAsia" w:ascii="宋体" w:hAnsi="宋体" w:eastAsia="宋体" w:cs="宋体"/>
          <w:b/>
          <w:bCs/>
          <w:sz w:val="32"/>
          <w:szCs w:val="32"/>
          <w:highlight w:val="none"/>
        </w:rPr>
      </w:pPr>
      <w:bookmarkStart w:id="205" w:name="_Toc23897"/>
      <w:bookmarkStart w:id="206" w:name="_Toc11229"/>
      <w:bookmarkStart w:id="207" w:name="_Toc31706"/>
      <w:r>
        <w:rPr>
          <w:rFonts w:hint="eastAsia" w:ascii="宋体" w:hAnsi="宋体" w:eastAsia="宋体" w:cs="宋体"/>
          <w:b/>
          <w:bCs/>
          <w:sz w:val="32"/>
          <w:szCs w:val="32"/>
          <w:highlight w:val="none"/>
        </w:rPr>
        <w:br w:type="page"/>
      </w:r>
    </w:p>
    <w:p w14:paraId="18D74065">
      <w:pPr>
        <w:keepNext/>
        <w:shd w:val="clear"/>
        <w:spacing w:line="360" w:lineRule="auto"/>
        <w:jc w:val="center"/>
        <w:outlineLvl w:val="0"/>
        <w:rPr>
          <w:rFonts w:hint="eastAsia" w:ascii="宋体" w:hAnsi="宋体" w:eastAsia="宋体" w:cs="宋体"/>
          <w:b/>
          <w:bCs/>
          <w:szCs w:val="32"/>
          <w:highlight w:val="none"/>
        </w:rPr>
      </w:pPr>
      <w:bookmarkStart w:id="208" w:name="_Toc359"/>
      <w:bookmarkStart w:id="209" w:name="_Toc22450"/>
      <w:bookmarkStart w:id="210" w:name="_Toc27969"/>
      <w:r>
        <w:rPr>
          <w:rFonts w:hint="eastAsia" w:ascii="宋体" w:hAnsi="宋体" w:eastAsia="宋体" w:cs="宋体"/>
          <w:b/>
          <w:bCs/>
          <w:sz w:val="32"/>
          <w:szCs w:val="32"/>
          <w:highlight w:val="none"/>
        </w:rPr>
        <w:t>法定代表人授权书</w:t>
      </w:r>
      <w:bookmarkEnd w:id="205"/>
      <w:bookmarkEnd w:id="206"/>
      <w:bookmarkEnd w:id="207"/>
      <w:bookmarkEnd w:id="208"/>
      <w:bookmarkEnd w:id="209"/>
      <w:bookmarkEnd w:id="210"/>
    </w:p>
    <w:p w14:paraId="1F3A2BD7">
      <w:pPr>
        <w:shd w:val="clear"/>
        <w:spacing w:line="360" w:lineRule="auto"/>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致：</w:t>
      </w:r>
      <w:r>
        <w:rPr>
          <w:rFonts w:hint="eastAsia" w:ascii="宋体" w:hAnsi="宋体" w:eastAsia="宋体" w:cs="宋体"/>
          <w:spacing w:val="4"/>
          <w:sz w:val="24"/>
          <w:szCs w:val="24"/>
          <w:highlight w:val="none"/>
          <w:u w:val="single"/>
        </w:rPr>
        <w:t xml:space="preserve"> （采购人） </w:t>
      </w:r>
    </w:p>
    <w:p w14:paraId="6DA9F44D">
      <w:pPr>
        <w:shd w:val="clear"/>
        <w:spacing w:line="360" w:lineRule="auto"/>
        <w:ind w:firstLine="496" w:firstLineChars="200"/>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u w:val="single"/>
        </w:rPr>
        <w:t xml:space="preserve">  (</w:t>
      </w:r>
      <w:r>
        <w:rPr>
          <w:rFonts w:hint="eastAsia" w:ascii="宋体" w:hAnsi="宋体" w:eastAsia="宋体" w:cs="宋体"/>
          <w:spacing w:val="4"/>
          <w:sz w:val="24"/>
          <w:szCs w:val="24"/>
          <w:highlight w:val="none"/>
          <w:u w:val="single"/>
          <w:lang w:eastAsia="zh-CN"/>
        </w:rPr>
        <w:t>投标供应商</w:t>
      </w:r>
      <w:r>
        <w:rPr>
          <w:rFonts w:hint="eastAsia" w:ascii="宋体" w:hAnsi="宋体" w:eastAsia="宋体" w:cs="宋体"/>
          <w:spacing w:val="4"/>
          <w:sz w:val="24"/>
          <w:szCs w:val="24"/>
          <w:highlight w:val="none"/>
          <w:u w:val="single"/>
        </w:rPr>
        <w:t xml:space="preserve">名称)  </w:t>
      </w:r>
      <w:r>
        <w:rPr>
          <w:rFonts w:hint="eastAsia" w:ascii="宋体" w:hAnsi="宋体" w:eastAsia="宋体" w:cs="宋体"/>
          <w:spacing w:val="4"/>
          <w:sz w:val="24"/>
          <w:szCs w:val="24"/>
          <w:highlight w:val="none"/>
        </w:rPr>
        <w:t>按中华人民共和国法律于</w:t>
      </w:r>
      <w:r>
        <w:rPr>
          <w:rFonts w:hint="eastAsia" w:ascii="宋体" w:hAnsi="宋体" w:eastAsia="宋体" w:cs="宋体"/>
          <w:spacing w:val="4"/>
          <w:sz w:val="24"/>
          <w:szCs w:val="24"/>
          <w:highlight w:val="none"/>
          <w:u w:val="single"/>
        </w:rPr>
        <w:t xml:space="preserve"> （ </w:t>
      </w:r>
      <w:r>
        <w:rPr>
          <w:rFonts w:hint="eastAsia" w:ascii="宋体" w:hAnsi="宋体" w:eastAsia="宋体" w:cs="宋体"/>
          <w:spacing w:val="4"/>
          <w:sz w:val="24"/>
          <w:szCs w:val="24"/>
          <w:highlight w:val="none"/>
          <w:u w:val="single"/>
          <w:lang w:val="en-US" w:eastAsia="zh-CN"/>
        </w:rPr>
        <w:t xml:space="preserve"> </w:t>
      </w:r>
      <w:r>
        <w:rPr>
          <w:rFonts w:hint="eastAsia" w:ascii="宋体" w:hAnsi="宋体" w:eastAsia="宋体" w:cs="宋体"/>
          <w:spacing w:val="4"/>
          <w:sz w:val="24"/>
          <w:szCs w:val="24"/>
          <w:highlight w:val="none"/>
          <w:u w:val="single"/>
        </w:rPr>
        <w:t xml:space="preserve"> 年  月  日 ） </w:t>
      </w:r>
      <w:r>
        <w:rPr>
          <w:rFonts w:hint="eastAsia" w:ascii="宋体" w:hAnsi="宋体" w:eastAsia="宋体" w:cs="宋体"/>
          <w:spacing w:val="4"/>
          <w:sz w:val="24"/>
          <w:szCs w:val="24"/>
          <w:highlight w:val="none"/>
        </w:rPr>
        <w:t xml:space="preserve">成立。 </w:t>
      </w: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pacing w:val="4"/>
          <w:sz w:val="24"/>
          <w:szCs w:val="24"/>
          <w:highlight w:val="none"/>
          <w:u w:val="single"/>
        </w:rPr>
        <w:t xml:space="preserve">姓名  </w:t>
      </w:r>
      <w:r>
        <w:rPr>
          <w:rFonts w:hint="eastAsia" w:ascii="宋体" w:hAnsi="宋体" w:eastAsia="宋体" w:cs="宋体"/>
          <w:spacing w:val="4"/>
          <w:sz w:val="24"/>
          <w:szCs w:val="24"/>
          <w:highlight w:val="none"/>
        </w:rPr>
        <w:t>特授权</w:t>
      </w:r>
      <w:r>
        <w:rPr>
          <w:rFonts w:hint="eastAsia" w:ascii="宋体" w:hAnsi="宋体" w:eastAsia="宋体" w:cs="宋体"/>
          <w:spacing w:val="4"/>
          <w:sz w:val="24"/>
          <w:szCs w:val="24"/>
          <w:highlight w:val="none"/>
          <w:u w:val="single"/>
        </w:rPr>
        <w:t xml:space="preserve">  </w:t>
      </w:r>
      <w:r>
        <w:rPr>
          <w:rFonts w:hint="eastAsia" w:ascii="宋体" w:hAnsi="宋体" w:eastAsia="宋体" w:cs="宋体"/>
          <w:sz w:val="24"/>
          <w:szCs w:val="24"/>
          <w:highlight w:val="none"/>
          <w:u w:val="single"/>
        </w:rPr>
        <w:t>被授权人</w:t>
      </w:r>
      <w:r>
        <w:rPr>
          <w:rFonts w:hint="eastAsia" w:ascii="宋体" w:hAnsi="宋体" w:eastAsia="宋体" w:cs="宋体"/>
          <w:spacing w:val="4"/>
          <w:sz w:val="24"/>
          <w:szCs w:val="24"/>
          <w:highlight w:val="none"/>
          <w:u w:val="single"/>
        </w:rPr>
        <w:t xml:space="preserve">姓名   </w:t>
      </w:r>
      <w:r>
        <w:rPr>
          <w:rFonts w:hint="eastAsia" w:ascii="宋体" w:hAnsi="宋体" w:eastAsia="宋体" w:cs="宋体"/>
          <w:spacing w:val="4"/>
          <w:sz w:val="24"/>
          <w:szCs w:val="24"/>
          <w:highlight w:val="none"/>
        </w:rPr>
        <w:t>代表我公司全权办理针对本次</w:t>
      </w:r>
      <w:r>
        <w:rPr>
          <w:rFonts w:hint="eastAsia" w:ascii="宋体" w:hAnsi="宋体" w:eastAsia="宋体" w:cs="宋体"/>
          <w:spacing w:val="4"/>
          <w:sz w:val="24"/>
          <w:szCs w:val="24"/>
          <w:highlight w:val="none"/>
          <w:u w:val="single"/>
        </w:rPr>
        <w:t xml:space="preserve">  项目名称、项目编号  </w:t>
      </w:r>
      <w:r>
        <w:rPr>
          <w:rFonts w:hint="eastAsia" w:ascii="宋体" w:hAnsi="宋体" w:eastAsia="宋体" w:cs="宋体"/>
          <w:spacing w:val="4"/>
          <w:sz w:val="24"/>
          <w:szCs w:val="24"/>
          <w:highlight w:val="none"/>
        </w:rPr>
        <w:t>的磋商、签约等具体工作，并签署全部有关的文件、协议及合同。</w:t>
      </w:r>
    </w:p>
    <w:p w14:paraId="1AD5E196">
      <w:pPr>
        <w:shd w:val="clear"/>
        <w:spacing w:line="360" w:lineRule="auto"/>
        <w:ind w:firstLine="496" w:firstLineChars="200"/>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我公司对被授权人的签名负全部责任。</w:t>
      </w:r>
    </w:p>
    <w:p w14:paraId="3A812F15">
      <w:pPr>
        <w:shd w:val="clear"/>
        <w:spacing w:line="360" w:lineRule="auto"/>
        <w:ind w:firstLine="496" w:firstLineChars="200"/>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本授权有效期：自磋商之日起90天。</w:t>
      </w:r>
    </w:p>
    <w:p w14:paraId="597D5090">
      <w:pPr>
        <w:pStyle w:val="23"/>
        <w:shd w:val="clear"/>
        <w:rPr>
          <w:rFonts w:hint="eastAsia" w:ascii="宋体" w:hAnsi="宋体" w:eastAsia="宋体" w:cs="宋体"/>
          <w:spacing w:val="4"/>
          <w:sz w:val="24"/>
          <w:szCs w:val="24"/>
          <w:highlight w:val="none"/>
        </w:rPr>
      </w:pPr>
    </w:p>
    <w:tbl>
      <w:tblPr>
        <w:tblStyle w:val="37"/>
        <w:tblW w:w="9750" w:type="dxa"/>
        <w:tblInd w:w="117" w:type="dxa"/>
        <w:tblLayout w:type="fixed"/>
        <w:tblCellMar>
          <w:top w:w="0" w:type="dxa"/>
          <w:left w:w="108" w:type="dxa"/>
          <w:bottom w:w="0" w:type="dxa"/>
          <w:right w:w="108" w:type="dxa"/>
        </w:tblCellMar>
      </w:tblPr>
      <w:tblGrid>
        <w:gridCol w:w="4822"/>
        <w:gridCol w:w="4928"/>
      </w:tblGrid>
      <w:tr w14:paraId="70029E23">
        <w:tblPrEx>
          <w:tblCellMar>
            <w:top w:w="0" w:type="dxa"/>
            <w:left w:w="108" w:type="dxa"/>
            <w:bottom w:w="0" w:type="dxa"/>
            <w:right w:w="108" w:type="dxa"/>
          </w:tblCellMar>
        </w:tblPrEx>
        <w:trPr>
          <w:trHeight w:val="600" w:hRule="atLeast"/>
        </w:trPr>
        <w:tc>
          <w:tcPr>
            <w:tcW w:w="4822" w:type="dxa"/>
            <w:vAlign w:val="center"/>
          </w:tcPr>
          <w:p w14:paraId="26DB32FD">
            <w:pPr>
              <w:shd w:val="clea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被授权人签字或盖章：</w:t>
            </w:r>
          </w:p>
        </w:tc>
        <w:tc>
          <w:tcPr>
            <w:tcW w:w="4928" w:type="dxa"/>
            <w:vAlign w:val="center"/>
          </w:tcPr>
          <w:p w14:paraId="7EAD8AE8">
            <w:pPr>
              <w:shd w:val="clea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法定代表人签字或盖章：</w:t>
            </w:r>
          </w:p>
        </w:tc>
      </w:tr>
      <w:tr w14:paraId="0880A1E0">
        <w:tblPrEx>
          <w:tblCellMar>
            <w:top w:w="0" w:type="dxa"/>
            <w:left w:w="108" w:type="dxa"/>
            <w:bottom w:w="0" w:type="dxa"/>
            <w:right w:w="108" w:type="dxa"/>
          </w:tblCellMar>
        </w:tblPrEx>
        <w:trPr>
          <w:trHeight w:val="600" w:hRule="atLeast"/>
        </w:trPr>
        <w:tc>
          <w:tcPr>
            <w:tcW w:w="4822" w:type="dxa"/>
            <w:vAlign w:val="center"/>
          </w:tcPr>
          <w:p w14:paraId="5F70D60D">
            <w:pPr>
              <w:shd w:val="clea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职务：</w:t>
            </w:r>
          </w:p>
        </w:tc>
        <w:tc>
          <w:tcPr>
            <w:tcW w:w="4928" w:type="dxa"/>
            <w:vAlign w:val="center"/>
          </w:tcPr>
          <w:p w14:paraId="1CB52B45">
            <w:pPr>
              <w:shd w:val="clea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职务：</w:t>
            </w:r>
          </w:p>
        </w:tc>
      </w:tr>
      <w:tr w14:paraId="0E18FA2C">
        <w:tblPrEx>
          <w:tblCellMar>
            <w:top w:w="0" w:type="dxa"/>
            <w:left w:w="108" w:type="dxa"/>
            <w:bottom w:w="0" w:type="dxa"/>
            <w:right w:w="108" w:type="dxa"/>
          </w:tblCellMar>
        </w:tblPrEx>
        <w:trPr>
          <w:trHeight w:val="600" w:hRule="atLeast"/>
        </w:trPr>
        <w:tc>
          <w:tcPr>
            <w:tcW w:w="4822" w:type="dxa"/>
            <w:vAlign w:val="center"/>
          </w:tcPr>
          <w:p w14:paraId="7F86274A">
            <w:pPr>
              <w:shd w:val="clea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身份证号：</w:t>
            </w:r>
          </w:p>
        </w:tc>
        <w:tc>
          <w:tcPr>
            <w:tcW w:w="4928" w:type="dxa"/>
            <w:vAlign w:val="center"/>
          </w:tcPr>
          <w:p w14:paraId="3488ECBF">
            <w:pPr>
              <w:shd w:val="clear"/>
              <w:spacing w:line="360" w:lineRule="auto"/>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身份证号：</w:t>
            </w:r>
          </w:p>
        </w:tc>
      </w:tr>
      <w:tr w14:paraId="23C4DFF2">
        <w:tblPrEx>
          <w:tblCellMar>
            <w:top w:w="0" w:type="dxa"/>
            <w:left w:w="108" w:type="dxa"/>
            <w:bottom w:w="0" w:type="dxa"/>
            <w:right w:w="108" w:type="dxa"/>
          </w:tblCellMar>
        </w:tblPrEx>
        <w:trPr>
          <w:trHeight w:val="600" w:hRule="atLeast"/>
        </w:trPr>
        <w:tc>
          <w:tcPr>
            <w:tcW w:w="4822" w:type="dxa"/>
            <w:vAlign w:val="center"/>
          </w:tcPr>
          <w:p w14:paraId="39D9A5A0">
            <w:pPr>
              <w:shd w:val="clear"/>
              <w:spacing w:line="360" w:lineRule="auto"/>
              <w:rPr>
                <w:rFonts w:hint="eastAsia" w:ascii="宋体" w:hAnsi="宋体" w:eastAsia="宋体" w:cs="宋体"/>
                <w:spacing w:val="4"/>
                <w:sz w:val="24"/>
                <w:szCs w:val="24"/>
                <w:highlight w:val="none"/>
              </w:rPr>
            </w:pPr>
          </w:p>
        </w:tc>
        <w:tc>
          <w:tcPr>
            <w:tcW w:w="4928" w:type="dxa"/>
            <w:vAlign w:val="center"/>
          </w:tcPr>
          <w:p w14:paraId="37A50164">
            <w:pPr>
              <w:shd w:val="clear"/>
              <w:spacing w:line="360" w:lineRule="auto"/>
              <w:rPr>
                <w:rFonts w:hint="eastAsia" w:ascii="宋体" w:hAnsi="宋体" w:eastAsia="宋体" w:cs="宋体"/>
                <w:spacing w:val="4"/>
                <w:sz w:val="24"/>
                <w:szCs w:val="24"/>
                <w:highlight w:val="none"/>
              </w:rPr>
            </w:pPr>
          </w:p>
        </w:tc>
      </w:tr>
    </w:tbl>
    <w:p w14:paraId="2162B5CF">
      <w:pPr>
        <w:shd w:val="clear"/>
        <w:spacing w:line="360" w:lineRule="auto"/>
        <w:ind w:firstLine="505" w:firstLineChars="204"/>
        <w:rPr>
          <w:rFonts w:hint="eastAsia" w:ascii="宋体" w:hAnsi="宋体" w:eastAsia="宋体" w:cs="宋体"/>
          <w:spacing w:val="4"/>
          <w:sz w:val="24"/>
          <w:szCs w:val="24"/>
          <w:highlight w:val="none"/>
        </w:rPr>
      </w:pPr>
    </w:p>
    <w:p w14:paraId="5C3D4B71">
      <w:pPr>
        <w:shd w:val="clear"/>
        <w:spacing w:line="360" w:lineRule="auto"/>
        <w:ind w:firstLine="505" w:firstLineChars="204"/>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附：法定代表人、被授权人身份证复印件</w:t>
      </w:r>
      <w:r>
        <w:rPr>
          <w:rFonts w:hint="eastAsia" w:ascii="宋体" w:hAnsi="宋体" w:eastAsia="宋体" w:cs="宋体"/>
          <w:sz w:val="24"/>
          <w:szCs w:val="24"/>
          <w:highlight w:val="none"/>
          <w:lang w:val="zh-CN"/>
        </w:rPr>
        <w:t>（正反面）</w:t>
      </w:r>
    </w:p>
    <w:p w14:paraId="37B58BD6">
      <w:pPr>
        <w:shd w:val="clear"/>
        <w:spacing w:line="360" w:lineRule="auto"/>
        <w:rPr>
          <w:rFonts w:hint="eastAsia" w:ascii="宋体" w:hAnsi="宋体" w:eastAsia="宋体" w:cs="宋体"/>
          <w:spacing w:val="4"/>
          <w:sz w:val="24"/>
          <w:szCs w:val="24"/>
          <w:highlight w:val="none"/>
        </w:rPr>
      </w:pPr>
    </w:p>
    <w:p w14:paraId="490BBAAB">
      <w:pPr>
        <w:shd w:val="clear"/>
        <w:spacing w:line="360" w:lineRule="auto"/>
        <w:ind w:firstLine="510"/>
        <w:rPr>
          <w:rFonts w:hint="eastAsia" w:ascii="宋体" w:hAnsi="宋体" w:eastAsia="宋体" w:cs="宋体"/>
          <w:spacing w:val="4"/>
          <w:sz w:val="24"/>
          <w:szCs w:val="24"/>
          <w:highlight w:val="none"/>
        </w:rPr>
      </w:pPr>
    </w:p>
    <w:p w14:paraId="4D98E8F0">
      <w:pPr>
        <w:pStyle w:val="14"/>
        <w:shd w:val="clear"/>
        <w:rPr>
          <w:rFonts w:hint="eastAsia" w:ascii="宋体" w:hAnsi="宋体" w:eastAsia="宋体" w:cs="宋体"/>
          <w:spacing w:val="4"/>
          <w:sz w:val="24"/>
          <w:szCs w:val="24"/>
          <w:highlight w:val="none"/>
        </w:rPr>
      </w:pPr>
    </w:p>
    <w:p w14:paraId="0715EF3E">
      <w:pPr>
        <w:pStyle w:val="14"/>
        <w:shd w:val="clear"/>
        <w:rPr>
          <w:rFonts w:hint="eastAsia" w:ascii="宋体" w:hAnsi="宋体" w:eastAsia="宋体" w:cs="宋体"/>
          <w:spacing w:val="4"/>
          <w:sz w:val="24"/>
          <w:szCs w:val="24"/>
          <w:highlight w:val="none"/>
        </w:rPr>
      </w:pPr>
    </w:p>
    <w:p w14:paraId="17766D2D">
      <w:pPr>
        <w:pStyle w:val="14"/>
        <w:shd w:val="clear"/>
        <w:rPr>
          <w:rFonts w:hint="eastAsia" w:ascii="宋体" w:hAnsi="宋体" w:eastAsia="宋体" w:cs="宋体"/>
          <w:spacing w:val="4"/>
          <w:sz w:val="24"/>
          <w:szCs w:val="24"/>
          <w:highlight w:val="none"/>
        </w:rPr>
      </w:pPr>
    </w:p>
    <w:p w14:paraId="7FC9A042">
      <w:pPr>
        <w:pStyle w:val="14"/>
        <w:shd w:val="clear"/>
        <w:rPr>
          <w:rFonts w:hint="eastAsia" w:ascii="宋体" w:hAnsi="宋体" w:eastAsia="宋体" w:cs="宋体"/>
          <w:sz w:val="24"/>
          <w:szCs w:val="24"/>
          <w:highlight w:val="none"/>
        </w:rPr>
      </w:pPr>
    </w:p>
    <w:p w14:paraId="0C6905B6">
      <w:pPr>
        <w:shd w:val="clear"/>
        <w:spacing w:line="360" w:lineRule="auto"/>
        <w:ind w:firstLine="248" w:firstLineChars="100"/>
        <w:jc w:val="left"/>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lang w:eastAsia="zh-CN"/>
        </w:rPr>
        <w:t>投标供应商</w:t>
      </w:r>
      <w:r>
        <w:rPr>
          <w:rFonts w:hint="eastAsia" w:ascii="宋体" w:hAnsi="宋体" w:eastAsia="宋体" w:cs="宋体"/>
          <w:spacing w:val="4"/>
          <w:sz w:val="24"/>
          <w:szCs w:val="24"/>
          <w:highlight w:val="none"/>
        </w:rPr>
        <w:t>名称（公章）</w:t>
      </w:r>
    </w:p>
    <w:p w14:paraId="4637E7DB">
      <w:pPr>
        <w:shd w:val="clear"/>
        <w:spacing w:line="360" w:lineRule="auto"/>
        <w:rPr>
          <w:rFonts w:hint="eastAsia" w:ascii="宋体" w:hAnsi="宋体" w:eastAsia="宋体" w:cs="宋体"/>
          <w:spacing w:val="4"/>
          <w:sz w:val="24"/>
          <w:szCs w:val="24"/>
          <w:highlight w:val="none"/>
        </w:rPr>
      </w:pPr>
    </w:p>
    <w:p w14:paraId="2D435923">
      <w:pPr>
        <w:shd w:val="clear"/>
        <w:spacing w:line="360" w:lineRule="auto"/>
        <w:ind w:firstLine="248" w:firstLineChars="100"/>
        <w:rPr>
          <w:rFonts w:hint="eastAsia" w:ascii="宋体" w:hAnsi="宋体" w:eastAsia="宋体" w:cs="宋体"/>
          <w:spacing w:val="4"/>
          <w:sz w:val="24"/>
          <w:szCs w:val="24"/>
          <w:highlight w:val="none"/>
        </w:rPr>
      </w:pPr>
      <w:r>
        <w:rPr>
          <w:rFonts w:hint="eastAsia" w:ascii="宋体" w:hAnsi="宋体" w:eastAsia="宋体" w:cs="宋体"/>
          <w:spacing w:val="4"/>
          <w:sz w:val="24"/>
          <w:szCs w:val="24"/>
          <w:highlight w:val="none"/>
        </w:rPr>
        <w:t>日  期：</w:t>
      </w:r>
    </w:p>
    <w:p w14:paraId="0FAEA24F">
      <w:pPr>
        <w:pStyle w:val="14"/>
        <w:shd w:val="clear"/>
        <w:rPr>
          <w:rFonts w:hint="eastAsia" w:ascii="宋体" w:hAnsi="宋体" w:eastAsia="宋体" w:cs="宋体"/>
          <w:highlight w:val="none"/>
        </w:rPr>
      </w:pPr>
    </w:p>
    <w:p w14:paraId="23D887A1">
      <w:pPr>
        <w:pStyle w:val="14"/>
        <w:shd w:val="clear"/>
        <w:ind w:firstLine="211" w:firstLineChars="100"/>
        <w:jc w:val="both"/>
        <w:rPr>
          <w:rFonts w:hint="eastAsia" w:ascii="宋体" w:hAnsi="宋体" w:eastAsia="宋体" w:cs="宋体"/>
          <w:b/>
          <w:bCs/>
          <w:highlight w:val="none"/>
          <w:lang w:val="zh-CN"/>
        </w:rPr>
      </w:pPr>
      <w:r>
        <w:rPr>
          <w:rFonts w:hint="eastAsia" w:ascii="宋体" w:hAnsi="宋体" w:eastAsia="宋体" w:cs="宋体"/>
          <w:b/>
          <w:bCs/>
          <w:highlight w:val="none"/>
          <w:lang w:val="zh-CN"/>
        </w:rPr>
        <w:t>说明：本授权书有效期自磋商之日起不得少于</w:t>
      </w:r>
      <w:r>
        <w:rPr>
          <w:rFonts w:hint="eastAsia" w:ascii="宋体" w:hAnsi="宋体" w:eastAsia="宋体" w:cs="宋体"/>
          <w:b/>
          <w:bCs/>
          <w:highlight w:val="none"/>
        </w:rPr>
        <w:t>90</w:t>
      </w:r>
      <w:r>
        <w:rPr>
          <w:rFonts w:hint="eastAsia" w:ascii="宋体" w:hAnsi="宋体" w:eastAsia="宋体" w:cs="宋体"/>
          <w:b/>
          <w:bCs/>
          <w:highlight w:val="none"/>
          <w:lang w:val="zh-CN"/>
        </w:rPr>
        <w:t>天。</w:t>
      </w:r>
    </w:p>
    <w:p w14:paraId="2404DFD6">
      <w:pPr>
        <w:pStyle w:val="14"/>
        <w:shd w:val="clear"/>
        <w:rPr>
          <w:rFonts w:hint="eastAsia" w:ascii="宋体" w:hAnsi="宋体" w:eastAsia="宋体" w:cs="宋体"/>
          <w:b/>
          <w:bCs/>
          <w:highlight w:val="none"/>
          <w:lang w:val="zh-CN"/>
        </w:rPr>
      </w:pPr>
    </w:p>
    <w:p w14:paraId="1ECCA989">
      <w:pPr>
        <w:pStyle w:val="14"/>
        <w:shd w:val="clear"/>
        <w:rPr>
          <w:rFonts w:hint="eastAsia" w:ascii="宋体" w:hAnsi="宋体" w:eastAsia="宋体" w:cs="宋体"/>
          <w:b/>
          <w:bCs/>
          <w:highlight w:val="none"/>
          <w:lang w:val="zh-CN"/>
        </w:rPr>
      </w:pPr>
    </w:p>
    <w:p w14:paraId="6D9231A4">
      <w:pPr>
        <w:shd w:val="clear"/>
        <w:rPr>
          <w:rFonts w:hint="eastAsia" w:ascii="宋体" w:hAnsi="宋体" w:eastAsia="宋体" w:cs="宋体"/>
          <w:b/>
          <w:bCs/>
          <w:highlight w:val="none"/>
          <w:lang w:val="zh-CN"/>
        </w:rPr>
      </w:pPr>
    </w:p>
    <w:p w14:paraId="3EB2ABB1">
      <w:pPr>
        <w:pStyle w:val="23"/>
        <w:shd w:val="clear"/>
        <w:rPr>
          <w:rFonts w:hint="eastAsia" w:ascii="宋体" w:hAnsi="宋体" w:eastAsia="宋体" w:cs="宋体"/>
          <w:b/>
          <w:bCs/>
          <w:highlight w:val="none"/>
          <w:lang w:val="zh-CN"/>
        </w:rPr>
      </w:pPr>
    </w:p>
    <w:p w14:paraId="47D9901B">
      <w:pPr>
        <w:pStyle w:val="23"/>
        <w:shd w:val="clear"/>
        <w:rPr>
          <w:rFonts w:hint="eastAsia" w:ascii="宋体" w:hAnsi="宋体" w:eastAsia="宋体" w:cs="宋体"/>
          <w:b/>
          <w:bCs/>
          <w:highlight w:val="none"/>
          <w:lang w:val="zh-CN"/>
        </w:rPr>
      </w:pPr>
    </w:p>
    <w:p w14:paraId="01157F1A">
      <w:pPr>
        <w:pStyle w:val="23"/>
        <w:shd w:val="clear"/>
        <w:rPr>
          <w:rFonts w:hint="eastAsia" w:ascii="宋体" w:hAnsi="宋体" w:eastAsia="宋体" w:cs="宋体"/>
          <w:b/>
          <w:bCs/>
          <w:highlight w:val="none"/>
          <w:lang w:val="zh-CN"/>
        </w:rPr>
      </w:pPr>
    </w:p>
    <w:p w14:paraId="23D20070">
      <w:pPr>
        <w:pStyle w:val="23"/>
        <w:shd w:val="clear"/>
        <w:rPr>
          <w:rFonts w:hint="eastAsia" w:ascii="宋体" w:hAnsi="宋体" w:eastAsia="宋体" w:cs="宋体"/>
          <w:b/>
          <w:bCs/>
          <w:highlight w:val="none"/>
          <w:lang w:val="zh-CN"/>
        </w:rPr>
      </w:pPr>
    </w:p>
    <w:p w14:paraId="0B7D68E4">
      <w:pPr>
        <w:pStyle w:val="23"/>
        <w:shd w:val="clear"/>
        <w:rPr>
          <w:rFonts w:hint="eastAsia" w:ascii="宋体" w:hAnsi="宋体" w:eastAsia="宋体" w:cs="宋体"/>
          <w:b/>
          <w:bCs/>
          <w:highlight w:val="none"/>
          <w:lang w:val="zh-CN"/>
        </w:rPr>
      </w:pPr>
    </w:p>
    <w:p w14:paraId="17A32FBD">
      <w:pPr>
        <w:pStyle w:val="14"/>
        <w:shd w:val="clear"/>
        <w:rPr>
          <w:rFonts w:hint="eastAsia" w:ascii="宋体" w:hAnsi="宋体" w:eastAsia="宋体" w:cs="宋体"/>
          <w:b/>
          <w:bCs/>
          <w:highlight w:val="none"/>
          <w:lang w:val="zh-CN"/>
        </w:rPr>
      </w:pPr>
    </w:p>
    <w:p w14:paraId="58D234FD">
      <w:pPr>
        <w:keepLines/>
        <w:pageBreakBefore/>
        <w:shd w:val="clear"/>
        <w:jc w:val="center"/>
        <w:outlineLvl w:val="0"/>
        <w:rPr>
          <w:rFonts w:hint="eastAsia" w:ascii="宋体" w:hAnsi="宋体" w:eastAsia="宋体" w:cs="宋体"/>
          <w:b/>
          <w:bCs/>
          <w:sz w:val="32"/>
          <w:szCs w:val="32"/>
          <w:highlight w:val="none"/>
          <w:lang w:val="en-US" w:eastAsia="zh-CN"/>
        </w:rPr>
      </w:pPr>
      <w:bookmarkStart w:id="211" w:name="_Toc7536"/>
      <w:bookmarkStart w:id="212" w:name="_Toc29464"/>
      <w:bookmarkStart w:id="213" w:name="_Toc5474"/>
      <w:bookmarkStart w:id="214" w:name="_Toc32644"/>
      <w:bookmarkStart w:id="215" w:name="_Toc11921"/>
      <w:bookmarkStart w:id="216" w:name="_Toc25194"/>
      <w:bookmarkStart w:id="217" w:name="_Toc16355"/>
      <w:r>
        <w:rPr>
          <w:rFonts w:hint="eastAsia" w:ascii="宋体" w:hAnsi="宋体" w:cs="宋体"/>
          <w:b/>
          <w:bCs/>
          <w:sz w:val="32"/>
          <w:szCs w:val="32"/>
          <w:highlight w:val="none"/>
          <w:lang w:eastAsia="zh-CN"/>
        </w:rPr>
        <w:t>七</w:t>
      </w:r>
      <w:r>
        <w:rPr>
          <w:rFonts w:hint="eastAsia" w:ascii="宋体" w:hAnsi="宋体" w:eastAsia="宋体" w:cs="宋体"/>
          <w:b/>
          <w:bCs/>
          <w:sz w:val="32"/>
          <w:szCs w:val="32"/>
          <w:highlight w:val="none"/>
        </w:rPr>
        <w:t>、类似</w:t>
      </w:r>
      <w:r>
        <w:rPr>
          <w:rFonts w:hint="eastAsia" w:ascii="宋体" w:hAnsi="宋体" w:eastAsia="宋体" w:cs="宋体"/>
          <w:b/>
          <w:bCs/>
          <w:sz w:val="32"/>
          <w:szCs w:val="32"/>
          <w:highlight w:val="none"/>
          <w:lang w:val="en-US" w:eastAsia="zh-CN"/>
        </w:rPr>
        <w:t>业绩</w:t>
      </w:r>
      <w:bookmarkEnd w:id="211"/>
      <w:bookmarkEnd w:id="212"/>
      <w:bookmarkEnd w:id="213"/>
    </w:p>
    <w:p w14:paraId="0E909171">
      <w:pPr>
        <w:shd w:val="clea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br w:type="page"/>
      </w:r>
    </w:p>
    <w:bookmarkEnd w:id="175"/>
    <w:bookmarkEnd w:id="176"/>
    <w:bookmarkEnd w:id="177"/>
    <w:bookmarkEnd w:id="178"/>
    <w:bookmarkEnd w:id="214"/>
    <w:bookmarkEnd w:id="215"/>
    <w:bookmarkEnd w:id="216"/>
    <w:bookmarkEnd w:id="217"/>
    <w:p w14:paraId="1056F163">
      <w:pPr>
        <w:shd w:val="clear"/>
        <w:autoSpaceDE w:val="0"/>
        <w:autoSpaceDN w:val="0"/>
        <w:adjustRightInd w:val="0"/>
        <w:spacing w:before="100" w:after="100" w:line="360" w:lineRule="auto"/>
        <w:outlineLvl w:val="0"/>
        <w:rPr>
          <w:rFonts w:hint="eastAsia" w:ascii="宋体" w:hAnsi="宋体" w:eastAsia="宋体" w:cs="宋体"/>
          <w:b/>
          <w:bCs/>
          <w:kern w:val="0"/>
          <w:sz w:val="32"/>
          <w:szCs w:val="32"/>
          <w:highlight w:val="none"/>
          <w:lang w:val="zh-CN"/>
        </w:rPr>
      </w:pPr>
      <w:bookmarkStart w:id="218" w:name="_Toc12365"/>
      <w:bookmarkStart w:id="219" w:name="_Toc22544"/>
      <w:bookmarkStart w:id="220" w:name="_Toc4905"/>
      <w:bookmarkStart w:id="221" w:name="_Toc2130"/>
      <w:bookmarkStart w:id="222" w:name="_Toc6698"/>
      <w:bookmarkStart w:id="223" w:name="_Toc14152"/>
      <w:r>
        <w:rPr>
          <w:rFonts w:hint="eastAsia" w:ascii="宋体" w:hAnsi="宋体" w:eastAsia="宋体" w:cs="宋体"/>
          <w:b/>
          <w:bCs/>
          <w:kern w:val="0"/>
          <w:sz w:val="32"/>
          <w:szCs w:val="32"/>
          <w:highlight w:val="none"/>
          <w:lang w:val="zh-CN"/>
        </w:rPr>
        <w:t>附件</w:t>
      </w:r>
      <w:r>
        <w:rPr>
          <w:rFonts w:hint="eastAsia" w:ascii="宋体" w:hAnsi="宋体" w:eastAsia="宋体" w:cs="宋体"/>
          <w:b/>
          <w:bCs/>
          <w:kern w:val="0"/>
          <w:sz w:val="32"/>
          <w:szCs w:val="32"/>
          <w:highlight w:val="none"/>
          <w:lang w:val="en-US" w:eastAsia="zh-CN"/>
        </w:rPr>
        <w:t>一</w:t>
      </w:r>
      <w:r>
        <w:rPr>
          <w:rFonts w:hint="eastAsia" w:ascii="宋体" w:hAnsi="宋体" w:eastAsia="宋体" w:cs="宋体"/>
          <w:b/>
          <w:bCs/>
          <w:kern w:val="0"/>
          <w:sz w:val="32"/>
          <w:szCs w:val="32"/>
          <w:highlight w:val="none"/>
          <w:lang w:val="zh-CN"/>
        </w:rPr>
        <w:t>：</w:t>
      </w:r>
      <w:bookmarkEnd w:id="218"/>
      <w:bookmarkEnd w:id="219"/>
      <w:bookmarkEnd w:id="220"/>
      <w:bookmarkEnd w:id="221"/>
      <w:bookmarkEnd w:id="222"/>
      <w:bookmarkEnd w:id="223"/>
    </w:p>
    <w:p w14:paraId="26CC6BA1">
      <w:pPr>
        <w:shd w:val="clear"/>
        <w:autoSpaceDE w:val="0"/>
        <w:autoSpaceDN w:val="0"/>
        <w:adjustRightInd w:val="0"/>
        <w:spacing w:before="100" w:after="100"/>
        <w:jc w:val="center"/>
        <w:rPr>
          <w:rFonts w:hint="eastAsia" w:ascii="宋体" w:hAnsi="宋体" w:eastAsia="宋体" w:cs="宋体"/>
          <w:b/>
          <w:bCs/>
          <w:kern w:val="0"/>
          <w:sz w:val="32"/>
          <w:szCs w:val="32"/>
          <w:highlight w:val="none"/>
          <w:lang w:val="zh-CN"/>
        </w:rPr>
      </w:pPr>
      <w:r>
        <w:rPr>
          <w:rFonts w:hint="eastAsia" w:ascii="宋体" w:hAnsi="宋体" w:eastAsia="宋体" w:cs="宋体"/>
          <w:b/>
          <w:bCs/>
          <w:kern w:val="0"/>
          <w:sz w:val="32"/>
          <w:szCs w:val="32"/>
          <w:highlight w:val="none"/>
          <w:lang w:val="zh-CN"/>
        </w:rPr>
        <w:t>声明书</w:t>
      </w:r>
    </w:p>
    <w:p w14:paraId="573957C5">
      <w:pPr>
        <w:shd w:val="clear"/>
        <w:autoSpaceDE w:val="0"/>
        <w:autoSpaceDN w:val="0"/>
        <w:adjustRightInd w:val="0"/>
        <w:spacing w:line="500" w:lineRule="exact"/>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致：采购人</w:t>
      </w:r>
    </w:p>
    <w:p w14:paraId="6AB64C8F">
      <w:pPr>
        <w:shd w:val="clear"/>
        <w:autoSpaceDE w:val="0"/>
        <w:autoSpaceDN w:val="0"/>
        <w:adjustRightInd w:val="0"/>
        <w:spacing w:line="500" w:lineRule="exact"/>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我公司</w:t>
      </w:r>
      <w:r>
        <w:rPr>
          <w:rFonts w:hint="eastAsia" w:ascii="宋体" w:hAnsi="宋体" w:eastAsia="宋体" w:cs="宋体"/>
          <w:sz w:val="24"/>
          <w:szCs w:val="24"/>
          <w:highlight w:val="none"/>
          <w:u w:val="single"/>
          <w:lang w:val="zh-CN"/>
        </w:rPr>
        <w:t xml:space="preserve">  （投标供应商名称） </w:t>
      </w:r>
      <w:r>
        <w:rPr>
          <w:rFonts w:hint="eastAsia" w:ascii="宋体" w:hAnsi="宋体" w:eastAsia="宋体" w:cs="宋体"/>
          <w:sz w:val="24"/>
          <w:szCs w:val="24"/>
          <w:highlight w:val="none"/>
          <w:lang w:val="zh-CN"/>
        </w:rPr>
        <w:t>，就参加</w:t>
      </w:r>
      <w:r>
        <w:rPr>
          <w:rFonts w:hint="eastAsia" w:ascii="宋体" w:hAnsi="宋体" w:eastAsia="宋体" w:cs="宋体"/>
          <w:sz w:val="24"/>
          <w:szCs w:val="24"/>
          <w:highlight w:val="none"/>
          <w:u w:val="single"/>
          <w:lang w:val="zh-CN"/>
        </w:rPr>
        <w:t xml:space="preserve">  （采购项目名称）  </w:t>
      </w:r>
      <w:r>
        <w:rPr>
          <w:rFonts w:hint="eastAsia" w:ascii="宋体" w:hAnsi="宋体" w:eastAsia="宋体" w:cs="宋体"/>
          <w:sz w:val="24"/>
          <w:szCs w:val="24"/>
          <w:highlight w:val="none"/>
          <w:lang w:val="zh-CN"/>
        </w:rPr>
        <w:t>（项目编号</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）投标事宜，在此郑重声明：</w:t>
      </w:r>
    </w:p>
    <w:p w14:paraId="5FD3AEB5">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1、我公司所提交的投标文件全部真实有效；</w:t>
      </w:r>
    </w:p>
    <w:p w14:paraId="15BFA54C">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2、我公司近3年来无因安全事故、质量事故、投标违规等不良记录被政府有关部门处罚期内的情形存在；</w:t>
      </w:r>
    </w:p>
    <w:p w14:paraId="0E67B8FF">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3、我公司近3年来无违规违法经营受到责令停产（或停止经营）、吊销生产许可证（或经营许可证）、较大数额罚款等行政处罚的情形存在；</w:t>
      </w:r>
    </w:p>
    <w:p w14:paraId="54E60761">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4、我公司无企业财产被查封、冻结或处于破产状态或严重亏损状态等情形存在；</w:t>
      </w:r>
    </w:p>
    <w:p w14:paraId="0FA52C59">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5、我公司承诺在投标过程中，保证不与其他单位围标、串标，不出让投标资格，不采取不正当手段诋毁、排挤其他投标供应商，不向采购代理机构、评审委员会成员行贿。</w:t>
      </w:r>
    </w:p>
    <w:p w14:paraId="3B36CC55">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以上声明若违反，一经查实，本公司愿意接受政府有关部门的相应处罚，并愿意承担由此带来的法律后果。</w:t>
      </w:r>
    </w:p>
    <w:p w14:paraId="05FCD307">
      <w:pPr>
        <w:shd w:val="clear"/>
        <w:autoSpaceDE w:val="0"/>
        <w:autoSpaceDN w:val="0"/>
        <w:adjustRightInd w:val="0"/>
        <w:spacing w:line="500" w:lineRule="exact"/>
        <w:ind w:firstLine="486"/>
        <w:rPr>
          <w:rFonts w:hint="eastAsia" w:ascii="宋体" w:hAnsi="宋体" w:eastAsia="宋体" w:cs="宋体"/>
          <w:sz w:val="24"/>
          <w:szCs w:val="24"/>
          <w:highlight w:val="none"/>
          <w:lang w:val="zh-CN"/>
        </w:rPr>
      </w:pPr>
    </w:p>
    <w:p w14:paraId="5CBCE3CC">
      <w:pPr>
        <w:shd w:val="clear"/>
        <w:autoSpaceDE w:val="0"/>
        <w:autoSpaceDN w:val="0"/>
        <w:adjustRightInd w:val="0"/>
        <w:spacing w:line="500" w:lineRule="exact"/>
        <w:ind w:firstLine="37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特此声明！</w:t>
      </w:r>
    </w:p>
    <w:p w14:paraId="1C289058">
      <w:pPr>
        <w:pStyle w:val="14"/>
        <w:shd w:val="clear"/>
        <w:rPr>
          <w:rFonts w:hint="eastAsia" w:ascii="宋体" w:hAnsi="宋体" w:eastAsia="宋体" w:cs="宋体"/>
          <w:sz w:val="24"/>
          <w:szCs w:val="24"/>
          <w:highlight w:val="none"/>
          <w:lang w:val="zh-CN"/>
        </w:rPr>
      </w:pPr>
    </w:p>
    <w:p w14:paraId="7C1D7815">
      <w:pPr>
        <w:shd w:val="clear"/>
        <w:rPr>
          <w:rFonts w:hint="eastAsia" w:ascii="宋体" w:hAnsi="宋体" w:eastAsia="宋体" w:cs="宋体"/>
          <w:highlight w:val="none"/>
          <w:lang w:val="zh-CN"/>
        </w:rPr>
      </w:pPr>
    </w:p>
    <w:p w14:paraId="25B97501">
      <w:pPr>
        <w:shd w:val="clear"/>
        <w:rPr>
          <w:rFonts w:hint="eastAsia" w:ascii="宋体" w:hAnsi="宋体" w:eastAsia="宋体" w:cs="宋体"/>
          <w:sz w:val="24"/>
          <w:szCs w:val="24"/>
          <w:highlight w:val="none"/>
          <w:lang w:val="zh-CN"/>
        </w:rPr>
      </w:pPr>
    </w:p>
    <w:p w14:paraId="2F2D6CB8">
      <w:pPr>
        <w:shd w:val="clear"/>
        <w:autoSpaceDE w:val="0"/>
        <w:autoSpaceDN w:val="0"/>
        <w:adjustRightInd w:val="0"/>
        <w:spacing w:line="360" w:lineRule="auto"/>
        <w:ind w:firstLine="2582" w:firstLineChars="1076"/>
        <w:rPr>
          <w:rFonts w:hint="eastAsia" w:ascii="宋体" w:hAnsi="宋体" w:eastAsia="宋体" w:cs="宋体"/>
          <w:sz w:val="24"/>
          <w:szCs w:val="24"/>
          <w:highlight w:val="none"/>
          <w:u w:val="single"/>
          <w:lang w:val="zh-CN"/>
        </w:rPr>
      </w:pPr>
      <w:r>
        <w:rPr>
          <w:rFonts w:hint="eastAsia" w:ascii="宋体" w:hAnsi="宋体" w:eastAsia="宋体" w:cs="宋体"/>
          <w:sz w:val="24"/>
          <w:szCs w:val="24"/>
          <w:highlight w:val="none"/>
          <w:lang w:val="zh-CN"/>
        </w:rPr>
        <w:t>声  明  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zh-CN"/>
        </w:rPr>
        <w:t xml:space="preserve">  （投标供应商名称、公章）</w:t>
      </w:r>
    </w:p>
    <w:p w14:paraId="5ED8AB25">
      <w:pPr>
        <w:shd w:val="clear"/>
        <w:autoSpaceDE w:val="0"/>
        <w:autoSpaceDN w:val="0"/>
        <w:adjustRightInd w:val="0"/>
        <w:spacing w:line="360" w:lineRule="auto"/>
        <w:ind w:firstLine="2582" w:firstLineChars="107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法定代表人或被授权人：</w:t>
      </w:r>
      <w:r>
        <w:rPr>
          <w:rFonts w:hint="eastAsia" w:ascii="宋体" w:hAnsi="宋体" w:eastAsia="宋体" w:cs="宋体"/>
          <w:sz w:val="24"/>
          <w:szCs w:val="24"/>
          <w:highlight w:val="none"/>
          <w:u w:val="single"/>
          <w:lang w:val="zh-CN"/>
        </w:rPr>
        <w:t xml:space="preserve">           （签字或盖章）</w:t>
      </w:r>
    </w:p>
    <w:p w14:paraId="5FCB3745">
      <w:pPr>
        <w:shd w:val="clear"/>
        <w:autoSpaceDE w:val="0"/>
        <w:autoSpaceDN w:val="0"/>
        <w:adjustRightInd w:val="0"/>
        <w:spacing w:line="360" w:lineRule="auto"/>
        <w:ind w:firstLine="2582" w:firstLineChars="1076"/>
        <w:rPr>
          <w:rFonts w:hint="eastAsia" w:ascii="宋体" w:hAnsi="宋体" w:eastAsia="宋体" w:cs="宋体"/>
          <w:kern w:val="0"/>
          <w:sz w:val="24"/>
          <w:szCs w:val="24"/>
          <w:highlight w:val="none"/>
          <w:u w:val="single"/>
          <w:lang w:val="zh-CN"/>
        </w:rPr>
      </w:pPr>
      <w:r>
        <w:rPr>
          <w:rFonts w:hint="eastAsia" w:ascii="宋体" w:hAnsi="宋体" w:eastAsia="宋体" w:cs="宋体"/>
          <w:sz w:val="24"/>
          <w:szCs w:val="24"/>
          <w:highlight w:val="none"/>
          <w:lang w:val="zh-CN"/>
        </w:rPr>
        <w:t>日      期</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zh-CN"/>
        </w:rPr>
        <w:t xml:space="preserve">            </w:t>
      </w:r>
    </w:p>
    <w:p w14:paraId="4DFB645D">
      <w:pPr>
        <w:shd w:val="clear"/>
        <w:autoSpaceDE w:val="0"/>
        <w:autoSpaceDN w:val="0"/>
        <w:adjustRightInd w:val="0"/>
        <w:spacing w:line="500" w:lineRule="exact"/>
        <w:ind w:firstLine="479"/>
        <w:rPr>
          <w:rFonts w:hint="eastAsia" w:ascii="宋体" w:hAnsi="宋体" w:eastAsia="宋体" w:cs="宋体"/>
          <w:kern w:val="0"/>
          <w:sz w:val="24"/>
          <w:szCs w:val="24"/>
          <w:highlight w:val="none"/>
          <w:u w:val="single"/>
          <w:lang w:val="zh-CN"/>
        </w:rPr>
      </w:pPr>
    </w:p>
    <w:p w14:paraId="007ACF13">
      <w:pPr>
        <w:pStyle w:val="23"/>
        <w:shd w:val="clear"/>
        <w:rPr>
          <w:rFonts w:hint="eastAsia" w:ascii="宋体" w:hAnsi="宋体" w:eastAsia="宋体" w:cs="宋体"/>
          <w:highlight w:val="none"/>
          <w:lang w:val="zh-CN"/>
        </w:rPr>
      </w:pPr>
    </w:p>
    <w:p w14:paraId="7AF45040">
      <w:pPr>
        <w:pStyle w:val="23"/>
        <w:shd w:val="clear"/>
        <w:rPr>
          <w:rFonts w:hint="eastAsia" w:ascii="宋体" w:hAnsi="宋体" w:eastAsia="宋体" w:cs="宋体"/>
          <w:highlight w:val="none"/>
          <w:lang w:val="zh-CN"/>
        </w:rPr>
      </w:pPr>
    </w:p>
    <w:p w14:paraId="4AC9E819">
      <w:pPr>
        <w:pStyle w:val="23"/>
        <w:shd w:val="clear"/>
        <w:rPr>
          <w:rFonts w:hint="eastAsia" w:ascii="宋体" w:hAnsi="宋体" w:eastAsia="宋体" w:cs="宋体"/>
          <w:highlight w:val="none"/>
          <w:lang w:val="zh-CN"/>
        </w:rPr>
      </w:pPr>
    </w:p>
    <w:p w14:paraId="7F7D0177">
      <w:pPr>
        <w:pStyle w:val="23"/>
        <w:shd w:val="clear"/>
        <w:rPr>
          <w:rFonts w:hint="eastAsia" w:ascii="宋体" w:hAnsi="宋体" w:eastAsia="宋体" w:cs="宋体"/>
          <w:highlight w:val="none"/>
          <w:lang w:val="zh-CN"/>
        </w:rPr>
      </w:pPr>
    </w:p>
    <w:p w14:paraId="4066F997">
      <w:pPr>
        <w:pStyle w:val="23"/>
        <w:shd w:val="clear"/>
        <w:rPr>
          <w:rFonts w:hint="eastAsia" w:ascii="宋体" w:hAnsi="宋体" w:eastAsia="宋体" w:cs="宋体"/>
          <w:highlight w:val="none"/>
          <w:lang w:val="zh-CN"/>
        </w:rPr>
      </w:pPr>
    </w:p>
    <w:p w14:paraId="11337F2B">
      <w:pPr>
        <w:pStyle w:val="23"/>
        <w:shd w:val="clear"/>
        <w:rPr>
          <w:rFonts w:hint="eastAsia" w:ascii="宋体" w:hAnsi="宋体" w:eastAsia="宋体" w:cs="宋体"/>
          <w:highlight w:val="none"/>
          <w:lang w:val="zh-CN"/>
        </w:rPr>
      </w:pPr>
    </w:p>
    <w:p w14:paraId="3936F253">
      <w:pPr>
        <w:pStyle w:val="23"/>
        <w:shd w:val="clear"/>
        <w:rPr>
          <w:rFonts w:hint="eastAsia" w:ascii="宋体" w:hAnsi="宋体" w:eastAsia="宋体" w:cs="宋体"/>
          <w:highlight w:val="none"/>
          <w:lang w:val="zh-CN"/>
        </w:rPr>
      </w:pPr>
    </w:p>
    <w:p w14:paraId="4673B1DC">
      <w:pPr>
        <w:shd w:val="clear"/>
        <w:autoSpaceDE w:val="0"/>
        <w:autoSpaceDN w:val="0"/>
        <w:adjustRightInd w:val="0"/>
        <w:spacing w:before="100" w:after="100"/>
        <w:outlineLvl w:val="0"/>
        <w:rPr>
          <w:rFonts w:hint="eastAsia" w:ascii="宋体" w:hAnsi="宋体" w:eastAsia="宋体" w:cs="宋体"/>
          <w:b/>
          <w:bCs/>
          <w:kern w:val="0"/>
          <w:sz w:val="32"/>
          <w:szCs w:val="22"/>
          <w:highlight w:val="none"/>
          <w:lang w:val="zh-CN"/>
        </w:rPr>
      </w:pPr>
      <w:bookmarkStart w:id="224" w:name="_Toc27754"/>
      <w:bookmarkStart w:id="225" w:name="_Toc7500"/>
      <w:bookmarkStart w:id="226" w:name="_Toc17174"/>
      <w:bookmarkStart w:id="227" w:name="_Toc8164"/>
      <w:bookmarkStart w:id="228" w:name="_Toc31700"/>
      <w:bookmarkStart w:id="229" w:name="_Toc32525"/>
      <w:r>
        <w:rPr>
          <w:rFonts w:hint="eastAsia" w:ascii="宋体" w:hAnsi="宋体" w:eastAsia="宋体" w:cs="宋体"/>
          <w:b/>
          <w:bCs/>
          <w:kern w:val="0"/>
          <w:sz w:val="32"/>
          <w:szCs w:val="22"/>
          <w:highlight w:val="none"/>
          <w:lang w:val="zh-CN"/>
        </w:rPr>
        <w:t>附件</w:t>
      </w:r>
      <w:r>
        <w:rPr>
          <w:rFonts w:hint="eastAsia" w:ascii="宋体" w:hAnsi="宋体" w:cs="宋体"/>
          <w:b/>
          <w:bCs/>
          <w:kern w:val="0"/>
          <w:sz w:val="32"/>
          <w:szCs w:val="22"/>
          <w:highlight w:val="none"/>
          <w:lang w:val="en-US" w:eastAsia="zh-CN"/>
        </w:rPr>
        <w:t>二</w:t>
      </w:r>
      <w:r>
        <w:rPr>
          <w:rFonts w:hint="eastAsia" w:ascii="宋体" w:hAnsi="宋体" w:eastAsia="宋体" w:cs="宋体"/>
          <w:b/>
          <w:bCs/>
          <w:kern w:val="0"/>
          <w:sz w:val="32"/>
          <w:szCs w:val="22"/>
          <w:highlight w:val="none"/>
          <w:lang w:val="zh-CN"/>
        </w:rPr>
        <w:t>、《中小企业声明函》</w:t>
      </w:r>
      <w:bookmarkEnd w:id="224"/>
      <w:bookmarkEnd w:id="225"/>
      <w:bookmarkEnd w:id="226"/>
      <w:bookmarkEnd w:id="227"/>
      <w:bookmarkEnd w:id="228"/>
      <w:bookmarkEnd w:id="229"/>
    </w:p>
    <w:p w14:paraId="50257C56">
      <w:pPr>
        <w:shd w:val="clear"/>
        <w:autoSpaceDE w:val="0"/>
        <w:autoSpaceDN w:val="0"/>
        <w:adjustRightInd w:val="0"/>
        <w:spacing w:before="100" w:after="100"/>
        <w:jc w:val="center"/>
        <w:outlineLvl w:val="0"/>
        <w:rPr>
          <w:rFonts w:hint="eastAsia" w:ascii="宋体" w:hAnsi="宋体" w:eastAsia="宋体" w:cs="宋体"/>
          <w:b/>
          <w:bCs/>
          <w:kern w:val="0"/>
          <w:sz w:val="32"/>
          <w:szCs w:val="32"/>
          <w:highlight w:val="none"/>
          <w:lang w:val="zh-CN"/>
        </w:rPr>
      </w:pPr>
      <w:bookmarkStart w:id="230" w:name="_Toc8726"/>
      <w:bookmarkStart w:id="231" w:name="_Toc2701"/>
      <w:bookmarkStart w:id="232" w:name="_Toc10653"/>
      <w:bookmarkStart w:id="233" w:name="_Toc14338"/>
      <w:r>
        <w:rPr>
          <w:rFonts w:hint="eastAsia" w:ascii="宋体" w:hAnsi="宋体" w:eastAsia="宋体" w:cs="宋体"/>
          <w:b/>
          <w:bCs/>
          <w:kern w:val="0"/>
          <w:sz w:val="32"/>
          <w:szCs w:val="32"/>
          <w:highlight w:val="none"/>
          <w:lang w:val="zh-CN"/>
        </w:rPr>
        <w:t>中小企业声明函（工程、服务）</w:t>
      </w:r>
      <w:bookmarkEnd w:id="230"/>
      <w:bookmarkEnd w:id="231"/>
      <w:bookmarkEnd w:id="232"/>
      <w:bookmarkEnd w:id="233"/>
    </w:p>
    <w:p w14:paraId="1E4C64E8">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本公司郑重声明，根据《政府采购促进中小企业发展管理办法》（财库﹝2020﹞46 号）的规定，本公司参加</w:t>
      </w:r>
      <w:r>
        <w:rPr>
          <w:rFonts w:hint="eastAsia" w:ascii="宋体" w:hAnsi="宋体" w:eastAsia="宋体" w:cs="宋体"/>
          <w:sz w:val="24"/>
          <w:szCs w:val="24"/>
          <w:highlight w:val="none"/>
          <w:u w:val="single"/>
          <w:lang w:val="zh-CN"/>
        </w:rPr>
        <w:t>（单位名称）</w:t>
      </w:r>
      <w:r>
        <w:rPr>
          <w:rFonts w:hint="eastAsia" w:ascii="宋体" w:hAnsi="宋体" w:eastAsia="宋体" w:cs="宋体"/>
          <w:sz w:val="24"/>
          <w:szCs w:val="24"/>
          <w:highlight w:val="none"/>
          <w:lang w:val="zh-CN"/>
        </w:rPr>
        <w:t>的</w:t>
      </w:r>
      <w:r>
        <w:rPr>
          <w:rFonts w:hint="eastAsia" w:ascii="宋体" w:hAnsi="宋体" w:eastAsia="宋体" w:cs="宋体"/>
          <w:sz w:val="24"/>
          <w:szCs w:val="24"/>
          <w:highlight w:val="none"/>
          <w:u w:val="single"/>
          <w:lang w:val="zh-CN"/>
        </w:rPr>
        <w:t>（项目名称）</w:t>
      </w:r>
      <w:r>
        <w:rPr>
          <w:rFonts w:hint="eastAsia" w:ascii="宋体" w:hAnsi="宋体" w:eastAsia="宋体" w:cs="宋体"/>
          <w:sz w:val="24"/>
          <w:szCs w:val="24"/>
          <w:highlight w:val="none"/>
          <w:lang w:val="zh-CN"/>
        </w:rPr>
        <w:t>采购活动，工程的施工单位全部为符合政策要求的中小企业（或者：服务全部由符合政策要求的中小企业承接）。相关企业的具体情况如下：</w:t>
      </w:r>
    </w:p>
    <w:p w14:paraId="2E0A50E7">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w:t>
      </w:r>
      <w:r>
        <w:rPr>
          <w:rFonts w:hint="eastAsia" w:ascii="宋体" w:hAnsi="宋体" w:eastAsia="宋体" w:cs="宋体"/>
          <w:sz w:val="24"/>
          <w:szCs w:val="24"/>
          <w:highlight w:val="none"/>
          <w:u w:val="single"/>
          <w:lang w:val="zh-CN"/>
        </w:rPr>
        <w:t xml:space="preserve"> （标的名称） </w:t>
      </w:r>
      <w:r>
        <w:rPr>
          <w:rFonts w:hint="eastAsia" w:ascii="宋体" w:hAnsi="宋体" w:eastAsia="宋体" w:cs="宋体"/>
          <w:sz w:val="24"/>
          <w:szCs w:val="24"/>
          <w:highlight w:val="none"/>
          <w:lang w:val="zh-CN"/>
        </w:rPr>
        <w:t>，属于</w:t>
      </w:r>
      <w:r>
        <w:rPr>
          <w:rFonts w:hint="eastAsia" w:ascii="宋体" w:hAnsi="宋体" w:eastAsia="宋体" w:cs="宋体"/>
          <w:sz w:val="24"/>
          <w:szCs w:val="24"/>
          <w:highlight w:val="none"/>
          <w:u w:val="single"/>
          <w:lang w:val="zh-CN"/>
        </w:rPr>
        <w:t>（采购文件中明确的所属行业）</w:t>
      </w:r>
      <w:r>
        <w:rPr>
          <w:rFonts w:hint="eastAsia" w:ascii="宋体" w:hAnsi="宋体" w:eastAsia="宋体" w:cs="宋体"/>
          <w:sz w:val="24"/>
          <w:szCs w:val="24"/>
          <w:highlight w:val="none"/>
          <w:lang w:val="zh-CN"/>
        </w:rPr>
        <w:t>；承建（承接）企业为</w:t>
      </w:r>
      <w:r>
        <w:rPr>
          <w:rFonts w:hint="eastAsia" w:ascii="宋体" w:hAnsi="宋体" w:eastAsia="宋体" w:cs="宋体"/>
          <w:sz w:val="24"/>
          <w:szCs w:val="24"/>
          <w:highlight w:val="none"/>
          <w:u w:val="single"/>
          <w:lang w:val="zh-CN"/>
        </w:rPr>
        <w:t>（企业名称）</w:t>
      </w:r>
      <w:r>
        <w:rPr>
          <w:rFonts w:hint="eastAsia" w:ascii="宋体" w:hAnsi="宋体" w:eastAsia="宋体" w:cs="宋体"/>
          <w:sz w:val="24"/>
          <w:szCs w:val="24"/>
          <w:highlight w:val="none"/>
          <w:lang w:val="zh-CN"/>
        </w:rPr>
        <w:t>，从业人员</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人，营业收入为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万元，资产总额为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万元，属于（</w:t>
      </w:r>
      <w:r>
        <w:rPr>
          <w:rFonts w:hint="eastAsia" w:ascii="宋体" w:hAnsi="宋体" w:eastAsia="宋体" w:cs="宋体"/>
          <w:sz w:val="24"/>
          <w:szCs w:val="24"/>
          <w:highlight w:val="none"/>
          <w:u w:val="single"/>
          <w:lang w:val="zh-CN"/>
        </w:rPr>
        <w:t>中型企业、小型企业、微型企业）</w:t>
      </w:r>
      <w:r>
        <w:rPr>
          <w:rFonts w:hint="eastAsia" w:ascii="宋体" w:hAnsi="宋体" w:eastAsia="宋体" w:cs="宋体"/>
          <w:sz w:val="24"/>
          <w:szCs w:val="24"/>
          <w:highlight w:val="none"/>
          <w:lang w:val="zh-CN"/>
        </w:rPr>
        <w:t>；</w:t>
      </w:r>
    </w:p>
    <w:p w14:paraId="0738BDC9">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w:t>
      </w:r>
      <w:r>
        <w:rPr>
          <w:rFonts w:hint="eastAsia" w:ascii="宋体" w:hAnsi="宋体" w:eastAsia="宋体" w:cs="宋体"/>
          <w:sz w:val="24"/>
          <w:szCs w:val="24"/>
          <w:highlight w:val="none"/>
          <w:u w:val="single"/>
          <w:lang w:val="zh-CN"/>
        </w:rPr>
        <w:t xml:space="preserve"> （标的名称） </w:t>
      </w:r>
      <w:r>
        <w:rPr>
          <w:rFonts w:hint="eastAsia" w:ascii="宋体" w:hAnsi="宋体" w:eastAsia="宋体" w:cs="宋体"/>
          <w:sz w:val="24"/>
          <w:szCs w:val="24"/>
          <w:highlight w:val="none"/>
          <w:lang w:val="zh-CN"/>
        </w:rPr>
        <w:t>，属于</w:t>
      </w:r>
      <w:r>
        <w:rPr>
          <w:rFonts w:hint="eastAsia" w:ascii="宋体" w:hAnsi="宋体" w:eastAsia="宋体" w:cs="宋体"/>
          <w:sz w:val="24"/>
          <w:szCs w:val="24"/>
          <w:highlight w:val="none"/>
          <w:u w:val="single"/>
          <w:lang w:val="zh-CN"/>
        </w:rPr>
        <w:t>（采购文件中明确的所属行业）</w:t>
      </w:r>
      <w:r>
        <w:rPr>
          <w:rFonts w:hint="eastAsia" w:ascii="宋体" w:hAnsi="宋体" w:eastAsia="宋体" w:cs="宋体"/>
          <w:sz w:val="24"/>
          <w:szCs w:val="24"/>
          <w:highlight w:val="none"/>
          <w:lang w:val="zh-CN"/>
        </w:rPr>
        <w:t>；承建（承接）企业为</w:t>
      </w:r>
      <w:r>
        <w:rPr>
          <w:rFonts w:hint="eastAsia" w:ascii="宋体" w:hAnsi="宋体" w:eastAsia="宋体" w:cs="宋体"/>
          <w:sz w:val="24"/>
          <w:szCs w:val="24"/>
          <w:highlight w:val="none"/>
          <w:u w:val="single"/>
          <w:lang w:val="zh-CN"/>
        </w:rPr>
        <w:t>（企业名称）</w:t>
      </w:r>
      <w:r>
        <w:rPr>
          <w:rFonts w:hint="eastAsia" w:ascii="宋体" w:hAnsi="宋体" w:eastAsia="宋体" w:cs="宋体"/>
          <w:sz w:val="24"/>
          <w:szCs w:val="24"/>
          <w:highlight w:val="none"/>
          <w:lang w:val="zh-CN"/>
        </w:rPr>
        <w:t>，从业人员</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人，营业收入为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万元，资产总额为</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lang w:val="zh-CN"/>
        </w:rPr>
        <w:t>万元，属于</w:t>
      </w:r>
      <w:r>
        <w:rPr>
          <w:rFonts w:hint="eastAsia" w:ascii="宋体" w:hAnsi="宋体" w:eastAsia="宋体" w:cs="宋体"/>
          <w:sz w:val="24"/>
          <w:szCs w:val="24"/>
          <w:highlight w:val="none"/>
          <w:u w:val="single"/>
          <w:lang w:val="zh-CN"/>
        </w:rPr>
        <w:t>（中型企业、小型企业、微型企业）</w:t>
      </w:r>
      <w:r>
        <w:rPr>
          <w:rFonts w:hint="eastAsia" w:ascii="宋体" w:hAnsi="宋体" w:eastAsia="宋体" w:cs="宋体"/>
          <w:sz w:val="24"/>
          <w:szCs w:val="24"/>
          <w:highlight w:val="none"/>
          <w:lang w:val="zh-CN"/>
        </w:rPr>
        <w:t>；</w:t>
      </w:r>
    </w:p>
    <w:p w14:paraId="7C519FF4">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w:t>
      </w:r>
    </w:p>
    <w:p w14:paraId="23BF3B69">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以上企业，不属于大企业的分支机构，不存在控股股东为大企业的情形，也不存在与大企业的负责人为同一人的情形。</w:t>
      </w:r>
    </w:p>
    <w:p w14:paraId="482405B5">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本企业对上述声明内容的真实性负责。如有虚假，将依法承担相应责任。</w:t>
      </w:r>
    </w:p>
    <w:p w14:paraId="7BB0CCF1">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p>
    <w:p w14:paraId="193C12CF">
      <w:pPr>
        <w:shd w:val="clear"/>
        <w:autoSpaceDE w:val="0"/>
        <w:autoSpaceDN w:val="0"/>
        <w:adjustRightInd w:val="0"/>
        <w:spacing w:line="360" w:lineRule="auto"/>
        <w:ind w:firstLine="3120" w:firstLineChars="13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投标供应商名称（公章）：</w:t>
      </w:r>
      <w:r>
        <w:rPr>
          <w:rFonts w:hint="eastAsia" w:ascii="宋体" w:hAnsi="宋体" w:eastAsia="宋体" w:cs="宋体"/>
          <w:sz w:val="24"/>
          <w:szCs w:val="24"/>
          <w:highlight w:val="none"/>
          <w:u w:val="single"/>
        </w:rPr>
        <w:t xml:space="preserve">                      </w:t>
      </w:r>
    </w:p>
    <w:p w14:paraId="2CF66749">
      <w:pPr>
        <w:shd w:val="clear"/>
        <w:autoSpaceDE w:val="0"/>
        <w:autoSpaceDN w:val="0"/>
        <w:adjustRightInd w:val="0"/>
        <w:spacing w:line="360" w:lineRule="auto"/>
        <w:ind w:firstLine="3120" w:firstLineChars="1300"/>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val="zh-CN"/>
        </w:rPr>
        <w:t>日</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zh-CN"/>
        </w:rPr>
        <w:t>期：</w:t>
      </w:r>
      <w:r>
        <w:rPr>
          <w:rFonts w:hint="eastAsia" w:ascii="宋体" w:hAnsi="宋体" w:eastAsia="宋体" w:cs="宋体"/>
          <w:sz w:val="24"/>
          <w:szCs w:val="24"/>
          <w:highlight w:val="none"/>
          <w:u w:val="single"/>
        </w:rPr>
        <w:t xml:space="preserve">                                 </w:t>
      </w:r>
    </w:p>
    <w:p w14:paraId="6EF28A4E">
      <w:pPr>
        <w:numPr>
          <w:ilvl w:val="0"/>
          <w:numId w:val="0"/>
        </w:numPr>
        <w:shd w:val="clear"/>
        <w:autoSpaceDE w:val="0"/>
        <w:autoSpaceDN w:val="0"/>
        <w:adjustRightInd w:val="0"/>
        <w:spacing w:line="500" w:lineRule="exact"/>
        <w:rPr>
          <w:rFonts w:hint="eastAsia" w:ascii="宋体" w:hAnsi="宋体" w:eastAsia="宋体" w:cs="宋体"/>
          <w:sz w:val="22"/>
          <w:szCs w:val="22"/>
          <w:highlight w:val="red"/>
          <w:lang w:val="zh-CN"/>
        </w:rPr>
      </w:pPr>
    </w:p>
    <w:p w14:paraId="4798D7E3">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注：从业人员、营业收入、资产总额填报上一年度数据，无上一年度数据的新成立企业可不填报。</w:t>
      </w:r>
    </w:p>
    <w:p w14:paraId="2EB40E9D">
      <w:pPr>
        <w:pStyle w:val="23"/>
        <w:shd w:val="clear"/>
        <w:rPr>
          <w:rFonts w:hint="eastAsia" w:ascii="宋体" w:hAnsi="宋体" w:eastAsia="宋体" w:cs="宋体"/>
          <w:sz w:val="24"/>
          <w:szCs w:val="24"/>
          <w:highlight w:val="none"/>
        </w:rPr>
      </w:pPr>
    </w:p>
    <w:p w14:paraId="283B0BED">
      <w:pPr>
        <w:pStyle w:val="23"/>
        <w:shd w:val="clear"/>
        <w:rPr>
          <w:rFonts w:hint="eastAsia" w:ascii="宋体" w:hAnsi="宋体" w:eastAsia="宋体" w:cs="宋体"/>
          <w:sz w:val="24"/>
          <w:szCs w:val="24"/>
          <w:highlight w:val="none"/>
        </w:rPr>
      </w:pPr>
    </w:p>
    <w:p w14:paraId="325B268A">
      <w:pPr>
        <w:pStyle w:val="23"/>
        <w:shd w:val="clear"/>
        <w:rPr>
          <w:rFonts w:hint="eastAsia" w:ascii="宋体" w:hAnsi="宋体" w:eastAsia="宋体" w:cs="宋体"/>
          <w:sz w:val="24"/>
          <w:szCs w:val="24"/>
          <w:highlight w:val="none"/>
        </w:rPr>
      </w:pPr>
    </w:p>
    <w:p w14:paraId="0DCBFD96">
      <w:pPr>
        <w:pStyle w:val="23"/>
        <w:shd w:val="clear"/>
        <w:rPr>
          <w:rFonts w:hint="eastAsia" w:ascii="宋体" w:hAnsi="宋体" w:eastAsia="宋体" w:cs="宋体"/>
          <w:sz w:val="24"/>
          <w:szCs w:val="24"/>
          <w:highlight w:val="none"/>
        </w:rPr>
      </w:pPr>
    </w:p>
    <w:p w14:paraId="3A1661EC">
      <w:pPr>
        <w:pStyle w:val="23"/>
        <w:shd w:val="clear"/>
        <w:rPr>
          <w:rFonts w:hint="eastAsia" w:ascii="宋体" w:hAnsi="宋体" w:eastAsia="宋体" w:cs="宋体"/>
          <w:sz w:val="24"/>
          <w:szCs w:val="24"/>
          <w:highlight w:val="none"/>
        </w:rPr>
      </w:pPr>
    </w:p>
    <w:p w14:paraId="565EB558">
      <w:pPr>
        <w:pStyle w:val="23"/>
        <w:shd w:val="clear"/>
        <w:rPr>
          <w:rFonts w:hint="eastAsia" w:ascii="宋体" w:hAnsi="宋体" w:eastAsia="宋体" w:cs="宋体"/>
          <w:sz w:val="24"/>
          <w:szCs w:val="24"/>
          <w:highlight w:val="none"/>
        </w:rPr>
      </w:pPr>
    </w:p>
    <w:p w14:paraId="26F13E48">
      <w:pPr>
        <w:pStyle w:val="23"/>
        <w:shd w:val="clear"/>
        <w:rPr>
          <w:rFonts w:hint="eastAsia" w:ascii="宋体" w:hAnsi="宋体" w:eastAsia="宋体" w:cs="宋体"/>
          <w:sz w:val="24"/>
          <w:szCs w:val="24"/>
          <w:highlight w:val="none"/>
        </w:rPr>
      </w:pPr>
    </w:p>
    <w:p w14:paraId="11044316">
      <w:pPr>
        <w:pStyle w:val="23"/>
        <w:shd w:val="clear"/>
        <w:rPr>
          <w:rFonts w:hint="eastAsia" w:ascii="宋体" w:hAnsi="宋体" w:eastAsia="宋体" w:cs="宋体"/>
          <w:sz w:val="24"/>
          <w:szCs w:val="24"/>
          <w:highlight w:val="none"/>
        </w:rPr>
      </w:pPr>
    </w:p>
    <w:p w14:paraId="2035577D">
      <w:pPr>
        <w:shd w:val="clear"/>
        <w:rPr>
          <w:rFonts w:hint="eastAsia" w:ascii="宋体" w:hAnsi="宋体" w:eastAsia="宋体" w:cs="宋体"/>
          <w:b/>
          <w:bCs/>
          <w:kern w:val="0"/>
          <w:sz w:val="32"/>
          <w:szCs w:val="22"/>
          <w:highlight w:val="none"/>
          <w:lang w:val="zh-CN"/>
        </w:rPr>
      </w:pPr>
      <w:bookmarkStart w:id="234" w:name="_Toc835"/>
      <w:r>
        <w:rPr>
          <w:rFonts w:hint="eastAsia" w:ascii="宋体" w:hAnsi="宋体" w:eastAsia="宋体" w:cs="宋体"/>
          <w:b/>
          <w:bCs/>
          <w:kern w:val="0"/>
          <w:sz w:val="32"/>
          <w:szCs w:val="22"/>
          <w:highlight w:val="none"/>
          <w:lang w:val="zh-CN"/>
        </w:rPr>
        <w:br w:type="page"/>
      </w:r>
    </w:p>
    <w:p w14:paraId="200741AF">
      <w:pPr>
        <w:shd w:val="clear"/>
        <w:autoSpaceDE w:val="0"/>
        <w:autoSpaceDN w:val="0"/>
        <w:adjustRightInd w:val="0"/>
        <w:spacing w:before="100" w:after="100"/>
        <w:outlineLvl w:val="0"/>
        <w:rPr>
          <w:rFonts w:hint="eastAsia" w:ascii="宋体" w:hAnsi="宋体" w:eastAsia="宋体" w:cs="宋体"/>
          <w:b/>
          <w:bCs/>
          <w:kern w:val="0"/>
          <w:sz w:val="32"/>
          <w:szCs w:val="22"/>
          <w:highlight w:val="none"/>
          <w:lang w:val="zh-CN"/>
        </w:rPr>
      </w:pPr>
      <w:bookmarkStart w:id="235" w:name="_Toc5650"/>
      <w:bookmarkStart w:id="236" w:name="_Toc2237"/>
      <w:bookmarkStart w:id="237" w:name="_Toc13140"/>
      <w:bookmarkStart w:id="238" w:name="_Toc101"/>
      <w:bookmarkStart w:id="239" w:name="_Toc8460"/>
      <w:r>
        <w:rPr>
          <w:rFonts w:hint="eastAsia" w:ascii="宋体" w:hAnsi="宋体" w:eastAsia="宋体" w:cs="宋体"/>
          <w:b/>
          <w:bCs/>
          <w:kern w:val="0"/>
          <w:sz w:val="32"/>
          <w:szCs w:val="22"/>
          <w:highlight w:val="none"/>
          <w:lang w:val="zh-CN"/>
        </w:rPr>
        <w:t>附件</w:t>
      </w:r>
      <w:r>
        <w:rPr>
          <w:rFonts w:hint="eastAsia" w:ascii="宋体" w:hAnsi="宋体" w:cs="宋体"/>
          <w:b/>
          <w:bCs/>
          <w:kern w:val="0"/>
          <w:sz w:val="32"/>
          <w:szCs w:val="22"/>
          <w:highlight w:val="none"/>
          <w:lang w:val="en-US" w:eastAsia="zh-CN"/>
        </w:rPr>
        <w:t>三</w:t>
      </w:r>
      <w:r>
        <w:rPr>
          <w:rFonts w:hint="eastAsia" w:ascii="宋体" w:hAnsi="宋体" w:eastAsia="宋体" w:cs="宋体"/>
          <w:b/>
          <w:bCs/>
          <w:kern w:val="0"/>
          <w:sz w:val="32"/>
          <w:szCs w:val="22"/>
          <w:highlight w:val="none"/>
          <w:lang w:val="zh-CN"/>
        </w:rPr>
        <w:t>、《残疾人福利性单位声明函》</w:t>
      </w:r>
      <w:bookmarkEnd w:id="234"/>
      <w:bookmarkEnd w:id="235"/>
      <w:bookmarkEnd w:id="236"/>
      <w:bookmarkEnd w:id="237"/>
      <w:bookmarkEnd w:id="238"/>
      <w:bookmarkEnd w:id="239"/>
    </w:p>
    <w:p w14:paraId="281BE931">
      <w:pPr>
        <w:shd w:val="clear"/>
        <w:autoSpaceDE w:val="0"/>
        <w:autoSpaceDN w:val="0"/>
        <w:adjustRightInd w:val="0"/>
        <w:spacing w:line="480" w:lineRule="exact"/>
        <w:jc w:val="center"/>
        <w:rPr>
          <w:rFonts w:hint="eastAsia" w:ascii="宋体" w:hAnsi="宋体" w:eastAsia="宋体" w:cs="宋体"/>
          <w:b/>
          <w:bCs/>
          <w:kern w:val="0"/>
          <w:sz w:val="32"/>
          <w:szCs w:val="32"/>
          <w:highlight w:val="none"/>
          <w:lang w:val="zh-CN"/>
        </w:rPr>
      </w:pPr>
      <w:r>
        <w:rPr>
          <w:rFonts w:hint="eastAsia" w:ascii="宋体" w:hAnsi="宋体" w:eastAsia="宋体" w:cs="宋体"/>
          <w:b/>
          <w:bCs/>
          <w:kern w:val="0"/>
          <w:sz w:val="32"/>
          <w:szCs w:val="32"/>
          <w:highlight w:val="none"/>
          <w:lang w:val="zh-CN"/>
        </w:rPr>
        <w:t>残疾人福利性单位声明函</w:t>
      </w:r>
    </w:p>
    <w:p w14:paraId="24B41C55">
      <w:pPr>
        <w:shd w:val="clear"/>
        <w:autoSpaceDE w:val="0"/>
        <w:autoSpaceDN w:val="0"/>
        <w:adjustRightInd w:val="0"/>
        <w:rPr>
          <w:rFonts w:hint="eastAsia" w:ascii="宋体" w:hAnsi="宋体" w:eastAsia="宋体" w:cs="宋体"/>
          <w:sz w:val="6"/>
          <w:szCs w:val="6"/>
          <w:highlight w:val="none"/>
          <w:lang w:val="zh-CN"/>
        </w:rPr>
      </w:pPr>
    </w:p>
    <w:p w14:paraId="75AEC46F">
      <w:pPr>
        <w:shd w:val="clear"/>
        <w:autoSpaceDE w:val="0"/>
        <w:autoSpaceDN w:val="0"/>
        <w:adjustRightIn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单位的</w:t>
      </w:r>
      <w:r>
        <w:rPr>
          <w:rFonts w:hint="eastAsia" w:ascii="宋体" w:hAnsi="宋体" w:eastAsia="宋体" w:cs="宋体"/>
          <w:sz w:val="24"/>
          <w:szCs w:val="24"/>
          <w:highlight w:val="none"/>
          <w:u w:val="single"/>
          <w:lang w:val="zh-CN"/>
        </w:rPr>
        <w:t xml:space="preserve">        </w:t>
      </w:r>
      <w:r>
        <w:rPr>
          <w:rFonts w:hint="eastAsia" w:ascii="宋体" w:hAnsi="宋体" w:eastAsia="宋体" w:cs="宋体"/>
          <w:sz w:val="24"/>
          <w:szCs w:val="24"/>
          <w:highlight w:val="none"/>
          <w:lang w:val="zh-CN"/>
        </w:rPr>
        <w:t>项目采购活动提供本单位制造的货物（由本单位承担工程/提供服务），或者提供其他残疾人福利性单位制造的货物（不包括使用非残疾人福利性单位注册商标的货物）。</w:t>
      </w:r>
    </w:p>
    <w:p w14:paraId="05F466F3">
      <w:pPr>
        <w:shd w:val="clear"/>
        <w:autoSpaceDE w:val="0"/>
        <w:autoSpaceDN w:val="0"/>
        <w:adjustRightIn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本单位对上述声明的真实性负责。如有虚假，将依法承担相应责任。</w:t>
      </w:r>
    </w:p>
    <w:p w14:paraId="159D540A">
      <w:pPr>
        <w:shd w:val="clear"/>
        <w:autoSpaceDE w:val="0"/>
        <w:autoSpaceDN w:val="0"/>
        <w:adjustRightInd w:val="0"/>
        <w:spacing w:line="360" w:lineRule="auto"/>
        <w:ind w:firstLine="440"/>
        <w:rPr>
          <w:rFonts w:hint="eastAsia" w:ascii="宋体" w:hAnsi="宋体" w:eastAsia="宋体" w:cs="宋体"/>
          <w:sz w:val="24"/>
          <w:szCs w:val="24"/>
          <w:highlight w:val="none"/>
          <w:lang w:val="zh-CN"/>
        </w:rPr>
      </w:pPr>
    </w:p>
    <w:p w14:paraId="0C1C62EC">
      <w:pPr>
        <w:shd w:val="clear"/>
        <w:autoSpaceDE w:val="0"/>
        <w:autoSpaceDN w:val="0"/>
        <w:adjustRightInd w:val="0"/>
        <w:spacing w:line="440" w:lineRule="exact"/>
        <w:ind w:firstLine="440"/>
        <w:rPr>
          <w:rFonts w:hint="eastAsia" w:ascii="宋体" w:hAnsi="宋体" w:eastAsia="宋体" w:cs="宋体"/>
          <w:sz w:val="24"/>
          <w:szCs w:val="24"/>
          <w:highlight w:val="none"/>
          <w:lang w:val="zh-CN"/>
        </w:rPr>
      </w:pPr>
    </w:p>
    <w:p w14:paraId="5E848D9D">
      <w:pPr>
        <w:shd w:val="clear"/>
        <w:autoSpaceDE w:val="0"/>
        <w:autoSpaceDN w:val="0"/>
        <w:adjustRightInd w:val="0"/>
        <w:spacing w:line="440" w:lineRule="exact"/>
        <w:ind w:firstLine="440"/>
        <w:rPr>
          <w:rFonts w:hint="eastAsia" w:ascii="宋体" w:hAnsi="宋体" w:eastAsia="宋体" w:cs="宋体"/>
          <w:sz w:val="24"/>
          <w:szCs w:val="24"/>
          <w:highlight w:val="none"/>
          <w:lang w:val="zh-CN"/>
        </w:rPr>
      </w:pPr>
    </w:p>
    <w:p w14:paraId="46EFEE75">
      <w:pPr>
        <w:shd w:val="clear"/>
        <w:autoSpaceDE w:val="0"/>
        <w:autoSpaceDN w:val="0"/>
        <w:adjustRightInd w:val="0"/>
        <w:spacing w:line="440" w:lineRule="exact"/>
        <w:rPr>
          <w:rFonts w:hint="eastAsia" w:ascii="宋体" w:hAnsi="宋体" w:eastAsia="宋体" w:cs="宋体"/>
          <w:sz w:val="24"/>
          <w:szCs w:val="24"/>
          <w:highlight w:val="none"/>
          <w:lang w:val="zh-CN"/>
        </w:rPr>
      </w:pPr>
    </w:p>
    <w:p w14:paraId="439D85B8">
      <w:pPr>
        <w:pStyle w:val="23"/>
        <w:shd w:val="clear"/>
        <w:rPr>
          <w:rFonts w:hint="eastAsia" w:ascii="宋体" w:hAnsi="宋体" w:eastAsia="宋体" w:cs="宋体"/>
          <w:sz w:val="24"/>
          <w:szCs w:val="24"/>
          <w:highlight w:val="none"/>
          <w:lang w:val="zh-CN"/>
        </w:rPr>
      </w:pPr>
    </w:p>
    <w:p w14:paraId="0C0B9E5C">
      <w:pPr>
        <w:pStyle w:val="23"/>
        <w:shd w:val="clear"/>
        <w:rPr>
          <w:rFonts w:hint="eastAsia" w:ascii="宋体" w:hAnsi="宋体" w:eastAsia="宋体" w:cs="宋体"/>
          <w:sz w:val="24"/>
          <w:szCs w:val="24"/>
          <w:highlight w:val="none"/>
          <w:lang w:val="zh-CN"/>
        </w:rPr>
      </w:pPr>
    </w:p>
    <w:p w14:paraId="3092F299">
      <w:pPr>
        <w:pStyle w:val="23"/>
        <w:shd w:val="clear"/>
        <w:rPr>
          <w:rFonts w:hint="eastAsia" w:ascii="宋体" w:hAnsi="宋体" w:eastAsia="宋体" w:cs="宋体"/>
          <w:sz w:val="24"/>
          <w:szCs w:val="24"/>
          <w:highlight w:val="none"/>
          <w:lang w:val="zh-CN"/>
        </w:rPr>
      </w:pPr>
    </w:p>
    <w:p w14:paraId="1C2A3DBC">
      <w:pPr>
        <w:pStyle w:val="23"/>
        <w:shd w:val="clear"/>
        <w:rPr>
          <w:rFonts w:hint="eastAsia" w:ascii="宋体" w:hAnsi="宋体" w:eastAsia="宋体" w:cs="宋体"/>
          <w:sz w:val="24"/>
          <w:szCs w:val="24"/>
          <w:highlight w:val="none"/>
          <w:lang w:val="zh-CN"/>
        </w:rPr>
      </w:pPr>
    </w:p>
    <w:p w14:paraId="18016FA8">
      <w:pPr>
        <w:shd w:val="clear"/>
        <w:autoSpaceDE w:val="0"/>
        <w:autoSpaceDN w:val="0"/>
        <w:adjustRightInd w:val="0"/>
        <w:spacing w:line="440" w:lineRule="exact"/>
        <w:ind w:firstLine="440"/>
        <w:rPr>
          <w:rFonts w:hint="eastAsia" w:ascii="宋体" w:hAnsi="宋体" w:eastAsia="宋体" w:cs="宋体"/>
          <w:sz w:val="24"/>
          <w:szCs w:val="24"/>
          <w:highlight w:val="none"/>
          <w:lang w:val="zh-CN"/>
        </w:rPr>
      </w:pPr>
    </w:p>
    <w:p w14:paraId="67E340CE">
      <w:pPr>
        <w:pStyle w:val="23"/>
        <w:shd w:val="clear"/>
        <w:rPr>
          <w:rFonts w:hint="eastAsia" w:ascii="宋体" w:hAnsi="宋体" w:eastAsia="宋体" w:cs="宋体"/>
          <w:highlight w:val="none"/>
          <w:lang w:val="zh-CN"/>
        </w:rPr>
      </w:pPr>
    </w:p>
    <w:p w14:paraId="18E8FF48">
      <w:pPr>
        <w:pStyle w:val="23"/>
        <w:shd w:val="clear"/>
        <w:rPr>
          <w:rFonts w:hint="eastAsia" w:ascii="宋体" w:hAnsi="宋体" w:eastAsia="宋体" w:cs="宋体"/>
          <w:highlight w:val="none"/>
          <w:lang w:val="zh-CN"/>
        </w:rPr>
      </w:pPr>
    </w:p>
    <w:p w14:paraId="55EC5B4E">
      <w:pPr>
        <w:shd w:val="clear"/>
        <w:autoSpaceDE w:val="0"/>
        <w:autoSpaceDN w:val="0"/>
        <w:adjustRightInd w:val="0"/>
        <w:spacing w:line="480" w:lineRule="exact"/>
        <w:ind w:firstLine="56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14:paraId="5676731B">
      <w:pPr>
        <w:shd w:val="clear"/>
        <w:autoSpaceDE w:val="0"/>
        <w:autoSpaceDN w:val="0"/>
        <w:adjustRightInd w:val="0"/>
        <w:spacing w:line="360" w:lineRule="auto"/>
        <w:ind w:firstLine="3600" w:firstLineChars="15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投标供应商名称（公章）：</w:t>
      </w:r>
      <w:r>
        <w:rPr>
          <w:rFonts w:hint="eastAsia" w:ascii="宋体" w:hAnsi="宋体" w:eastAsia="宋体" w:cs="宋体"/>
          <w:sz w:val="24"/>
          <w:szCs w:val="24"/>
          <w:highlight w:val="none"/>
          <w:u w:val="single"/>
        </w:rPr>
        <w:t xml:space="preserve">                      </w:t>
      </w:r>
    </w:p>
    <w:p w14:paraId="7F7123BC">
      <w:pPr>
        <w:pStyle w:val="23"/>
        <w:shd w:val="clear"/>
        <w:spacing w:line="360" w:lineRule="auto"/>
        <w:ind w:firstLine="3600" w:firstLineChars="1500"/>
        <w:rPr>
          <w:rFonts w:hint="eastAsia" w:ascii="宋体" w:hAnsi="宋体" w:eastAsia="宋体" w:cs="宋体"/>
          <w:sz w:val="24"/>
          <w:szCs w:val="24"/>
          <w:highlight w:val="none"/>
          <w:u w:val="single"/>
        </w:rPr>
      </w:pPr>
      <w:r>
        <w:rPr>
          <w:rFonts w:hint="eastAsia" w:ascii="宋体" w:hAnsi="宋体" w:eastAsia="宋体" w:cs="宋体"/>
          <w:sz w:val="24"/>
          <w:szCs w:val="24"/>
          <w:highlight w:val="none"/>
          <w:lang w:val="zh-CN"/>
        </w:rPr>
        <w:t>日</w:t>
      </w:r>
      <w:r>
        <w:rPr>
          <w:rFonts w:hint="eastAsia" w:ascii="宋体" w:hAnsi="宋体" w:eastAsia="宋体" w:cs="宋体"/>
          <w:sz w:val="24"/>
          <w:szCs w:val="24"/>
          <w:highlight w:val="none"/>
        </w:rPr>
        <w:t xml:space="preserve">   </w:t>
      </w:r>
      <w:r>
        <w:rPr>
          <w:rFonts w:hint="eastAsia" w:ascii="宋体" w:hAnsi="宋体" w:eastAsia="宋体" w:cs="宋体"/>
          <w:sz w:val="24"/>
          <w:szCs w:val="24"/>
          <w:highlight w:val="none"/>
          <w:lang w:val="zh-CN"/>
        </w:rPr>
        <w:t>期：</w:t>
      </w:r>
      <w:r>
        <w:rPr>
          <w:rFonts w:hint="eastAsia" w:ascii="宋体" w:hAnsi="宋体" w:eastAsia="宋体" w:cs="宋体"/>
          <w:sz w:val="24"/>
          <w:szCs w:val="24"/>
          <w:highlight w:val="none"/>
          <w:u w:val="single"/>
        </w:rPr>
        <w:t xml:space="preserve">                                 </w:t>
      </w:r>
    </w:p>
    <w:p w14:paraId="727F94BF">
      <w:pPr>
        <w:pStyle w:val="23"/>
        <w:shd w:val="clear"/>
        <w:spacing w:line="360" w:lineRule="auto"/>
        <w:rPr>
          <w:rFonts w:hint="eastAsia" w:ascii="宋体" w:hAnsi="宋体" w:eastAsia="宋体" w:cs="宋体"/>
          <w:sz w:val="24"/>
          <w:szCs w:val="24"/>
          <w:highlight w:val="none"/>
          <w:u w:val="single"/>
        </w:rPr>
      </w:pPr>
    </w:p>
    <w:p w14:paraId="13B60F8A">
      <w:pPr>
        <w:pStyle w:val="23"/>
        <w:shd w:val="clear"/>
        <w:rPr>
          <w:rFonts w:hint="eastAsia" w:ascii="宋体" w:hAnsi="宋体" w:eastAsia="宋体" w:cs="宋体"/>
          <w:sz w:val="28"/>
          <w:szCs w:val="28"/>
          <w:highlight w:val="none"/>
          <w:u w:val="single"/>
        </w:rPr>
      </w:pPr>
    </w:p>
    <w:p w14:paraId="34F8ADE6">
      <w:pPr>
        <w:pStyle w:val="23"/>
        <w:shd w:val="clear"/>
        <w:rPr>
          <w:rFonts w:hint="eastAsia" w:ascii="宋体" w:hAnsi="宋体" w:eastAsia="宋体" w:cs="宋体"/>
          <w:sz w:val="28"/>
          <w:szCs w:val="28"/>
          <w:highlight w:val="none"/>
          <w:u w:val="single"/>
        </w:rPr>
      </w:pPr>
    </w:p>
    <w:p w14:paraId="4DF07EEB">
      <w:pPr>
        <w:pStyle w:val="23"/>
        <w:shd w:val="clear"/>
        <w:rPr>
          <w:rFonts w:hint="eastAsia" w:ascii="宋体" w:hAnsi="宋体" w:eastAsia="宋体" w:cs="宋体"/>
          <w:sz w:val="28"/>
          <w:szCs w:val="28"/>
          <w:highlight w:val="none"/>
          <w:u w:val="single"/>
        </w:rPr>
      </w:pPr>
    </w:p>
    <w:p w14:paraId="6C41D2F7">
      <w:pPr>
        <w:pStyle w:val="23"/>
        <w:shd w:val="clear"/>
        <w:rPr>
          <w:rFonts w:hint="eastAsia" w:ascii="宋体" w:hAnsi="宋体" w:eastAsia="宋体" w:cs="宋体"/>
          <w:sz w:val="28"/>
          <w:szCs w:val="28"/>
          <w:highlight w:val="none"/>
          <w:u w:val="single"/>
        </w:rPr>
      </w:pPr>
    </w:p>
    <w:p w14:paraId="0C203861">
      <w:pPr>
        <w:pStyle w:val="23"/>
        <w:shd w:val="clear"/>
        <w:rPr>
          <w:rFonts w:hint="eastAsia" w:ascii="宋体" w:hAnsi="宋体" w:eastAsia="宋体" w:cs="宋体"/>
          <w:sz w:val="28"/>
          <w:szCs w:val="28"/>
          <w:highlight w:val="none"/>
          <w:u w:val="single"/>
        </w:rPr>
      </w:pPr>
    </w:p>
    <w:p w14:paraId="42B8F843">
      <w:pPr>
        <w:pStyle w:val="23"/>
        <w:shd w:val="clear"/>
        <w:rPr>
          <w:rFonts w:hint="eastAsia" w:ascii="宋体" w:hAnsi="宋体" w:eastAsia="宋体" w:cs="宋体"/>
          <w:sz w:val="28"/>
          <w:szCs w:val="28"/>
          <w:highlight w:val="none"/>
          <w:u w:val="single"/>
        </w:rPr>
      </w:pPr>
    </w:p>
    <w:p w14:paraId="3164271C">
      <w:pPr>
        <w:pStyle w:val="23"/>
        <w:shd w:val="clear"/>
        <w:rPr>
          <w:rFonts w:hint="eastAsia" w:ascii="宋体" w:hAnsi="宋体" w:eastAsia="宋体" w:cs="宋体"/>
          <w:sz w:val="28"/>
          <w:szCs w:val="28"/>
          <w:highlight w:val="none"/>
          <w:u w:val="single"/>
        </w:rPr>
      </w:pPr>
    </w:p>
    <w:p w14:paraId="1A5B47FC">
      <w:pPr>
        <w:pStyle w:val="23"/>
        <w:shd w:val="clear"/>
        <w:rPr>
          <w:rFonts w:hint="eastAsia" w:ascii="宋体" w:hAnsi="宋体" w:eastAsia="宋体" w:cs="宋体"/>
          <w:sz w:val="28"/>
          <w:szCs w:val="28"/>
          <w:highlight w:val="none"/>
          <w:u w:val="single"/>
        </w:rPr>
      </w:pPr>
    </w:p>
    <w:p w14:paraId="26A2B1A9">
      <w:pPr>
        <w:pStyle w:val="23"/>
        <w:shd w:val="clear"/>
        <w:rPr>
          <w:rFonts w:hint="eastAsia" w:ascii="宋体" w:hAnsi="宋体" w:eastAsia="宋体" w:cs="宋体"/>
          <w:sz w:val="28"/>
          <w:szCs w:val="28"/>
          <w:highlight w:val="none"/>
          <w:u w:val="single"/>
        </w:rPr>
      </w:pPr>
    </w:p>
    <w:p w14:paraId="534E14A8">
      <w:pPr>
        <w:pStyle w:val="23"/>
        <w:shd w:val="clear"/>
        <w:rPr>
          <w:rFonts w:hint="eastAsia" w:ascii="宋体" w:hAnsi="宋体" w:eastAsia="宋体" w:cs="宋体"/>
          <w:sz w:val="28"/>
          <w:szCs w:val="28"/>
          <w:highlight w:val="none"/>
          <w:u w:val="single"/>
        </w:rPr>
      </w:pPr>
    </w:p>
    <w:p w14:paraId="157BE93E">
      <w:pPr>
        <w:pStyle w:val="23"/>
        <w:shd w:val="clear"/>
        <w:rPr>
          <w:rFonts w:hint="eastAsia" w:ascii="宋体" w:hAnsi="宋体" w:eastAsia="宋体" w:cs="宋体"/>
          <w:sz w:val="28"/>
          <w:szCs w:val="28"/>
          <w:highlight w:val="none"/>
          <w:u w:val="single"/>
        </w:rPr>
        <w:sectPr>
          <w:pgSz w:w="11906" w:h="16838"/>
          <w:pgMar w:top="1440" w:right="1253" w:bottom="1440" w:left="1253" w:header="907" w:footer="907"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47A3B75A">
      <w:pPr>
        <w:pStyle w:val="23"/>
        <w:shd w:val="clear"/>
        <w:rPr>
          <w:rFonts w:hint="eastAsia" w:ascii="宋体" w:hAnsi="宋体" w:eastAsia="宋体" w:cs="宋体"/>
          <w:sz w:val="28"/>
          <w:szCs w:val="28"/>
          <w:highlight w:val="none"/>
          <w:u w:val="single"/>
        </w:rPr>
      </w:pPr>
    </w:p>
    <w:p w14:paraId="18B611A8">
      <w:pPr>
        <w:pStyle w:val="23"/>
        <w:shd w:val="clear"/>
        <w:rPr>
          <w:rFonts w:hint="eastAsia" w:ascii="宋体" w:hAnsi="宋体" w:eastAsia="宋体" w:cs="宋体"/>
          <w:sz w:val="28"/>
          <w:szCs w:val="28"/>
          <w:highlight w:val="none"/>
          <w:u w:val="single"/>
        </w:rPr>
      </w:pPr>
    </w:p>
    <w:p w14:paraId="025BBA9C">
      <w:pPr>
        <w:pStyle w:val="23"/>
        <w:shd w:val="clear"/>
        <w:rPr>
          <w:rFonts w:hint="eastAsia" w:ascii="宋体" w:hAnsi="宋体" w:eastAsia="宋体" w:cs="宋体"/>
          <w:sz w:val="28"/>
          <w:szCs w:val="28"/>
          <w:highlight w:val="none"/>
          <w:u w:val="single"/>
        </w:rPr>
      </w:pPr>
    </w:p>
    <w:p w14:paraId="175117E0">
      <w:pPr>
        <w:pStyle w:val="23"/>
        <w:shd w:val="clear"/>
        <w:rPr>
          <w:rFonts w:hint="eastAsia" w:ascii="宋体" w:hAnsi="宋体" w:eastAsia="宋体" w:cs="宋体"/>
          <w:sz w:val="28"/>
          <w:szCs w:val="28"/>
          <w:highlight w:val="none"/>
          <w:u w:val="single"/>
        </w:rPr>
      </w:pPr>
    </w:p>
    <w:p w14:paraId="146A4B3F">
      <w:pPr>
        <w:pStyle w:val="23"/>
        <w:shd w:val="clear"/>
        <w:rPr>
          <w:rFonts w:hint="eastAsia" w:ascii="宋体" w:hAnsi="宋体" w:eastAsia="宋体" w:cs="宋体"/>
          <w:sz w:val="28"/>
          <w:szCs w:val="28"/>
          <w:highlight w:val="none"/>
          <w:u w:val="single"/>
        </w:rPr>
      </w:pPr>
    </w:p>
    <w:p w14:paraId="61C97F5A">
      <w:pPr>
        <w:pStyle w:val="23"/>
        <w:shd w:val="clear"/>
        <w:rPr>
          <w:rFonts w:hint="eastAsia" w:ascii="宋体" w:hAnsi="宋体" w:eastAsia="宋体" w:cs="宋体"/>
          <w:sz w:val="28"/>
          <w:szCs w:val="28"/>
          <w:highlight w:val="none"/>
          <w:u w:val="single"/>
        </w:rPr>
      </w:pPr>
    </w:p>
    <w:p w14:paraId="4166FF2F">
      <w:pPr>
        <w:pStyle w:val="23"/>
        <w:shd w:val="clear"/>
        <w:rPr>
          <w:rFonts w:hint="eastAsia" w:ascii="宋体" w:hAnsi="宋体" w:eastAsia="宋体" w:cs="宋体"/>
          <w:sz w:val="28"/>
          <w:szCs w:val="28"/>
          <w:highlight w:val="none"/>
          <w:u w:val="single"/>
        </w:rPr>
      </w:pPr>
    </w:p>
    <w:p w14:paraId="29083D60">
      <w:pPr>
        <w:pStyle w:val="23"/>
        <w:shd w:val="clear"/>
        <w:rPr>
          <w:rFonts w:hint="eastAsia" w:ascii="宋体" w:hAnsi="宋体" w:eastAsia="宋体" w:cs="宋体"/>
          <w:sz w:val="28"/>
          <w:szCs w:val="28"/>
          <w:highlight w:val="none"/>
          <w:u w:val="single"/>
        </w:rPr>
      </w:pPr>
    </w:p>
    <w:p w14:paraId="5D22A30C">
      <w:pPr>
        <w:pStyle w:val="23"/>
        <w:shd w:val="clear"/>
        <w:rPr>
          <w:rFonts w:hint="eastAsia" w:ascii="宋体" w:hAnsi="宋体" w:eastAsia="宋体" w:cs="宋体"/>
          <w:sz w:val="28"/>
          <w:szCs w:val="28"/>
          <w:highlight w:val="none"/>
          <w:u w:val="single"/>
        </w:rPr>
      </w:pPr>
    </w:p>
    <w:p w14:paraId="02D48B6E">
      <w:pPr>
        <w:spacing w:line="440" w:lineRule="exact"/>
        <w:jc w:val="center"/>
        <w:rPr>
          <w:rFonts w:hint="eastAsia" w:ascii="宋体" w:hAnsi="宋体" w:eastAsia="宋体" w:cs="宋体"/>
          <w:b/>
          <w:bCs/>
          <w:color w:val="auto"/>
          <w:sz w:val="36"/>
          <w:szCs w:val="36"/>
          <w:highlight w:val="none"/>
          <w:lang w:eastAsia="zh-CN"/>
        </w:rPr>
      </w:pPr>
    </w:p>
    <w:p w14:paraId="6B672D5A">
      <w:pPr>
        <w:spacing w:line="440" w:lineRule="exact"/>
        <w:jc w:val="center"/>
        <w:rPr>
          <w:rFonts w:hint="eastAsia" w:ascii="宋体" w:hAnsi="宋体" w:eastAsia="宋体" w:cs="宋体"/>
          <w:b/>
          <w:bCs/>
          <w:color w:val="auto"/>
          <w:sz w:val="36"/>
          <w:szCs w:val="36"/>
          <w:highlight w:val="none"/>
          <w:lang w:eastAsia="zh-CN"/>
        </w:rPr>
      </w:pPr>
    </w:p>
    <w:p w14:paraId="68637BC4">
      <w:pPr>
        <w:spacing w:line="440" w:lineRule="exact"/>
        <w:jc w:val="center"/>
        <w:outlineLvl w:val="0"/>
        <w:rPr>
          <w:rFonts w:hint="eastAsia" w:ascii="宋体" w:hAnsi="宋体" w:eastAsia="宋体" w:cs="宋体"/>
          <w:b/>
          <w:bCs/>
          <w:color w:val="auto"/>
          <w:sz w:val="36"/>
          <w:szCs w:val="36"/>
          <w:highlight w:val="none"/>
          <w:lang w:eastAsia="zh-CN"/>
        </w:rPr>
      </w:pPr>
      <w:bookmarkStart w:id="240" w:name="_Toc7526"/>
      <w:r>
        <w:rPr>
          <w:rFonts w:hint="eastAsia" w:ascii="宋体" w:hAnsi="宋体" w:eastAsia="宋体" w:cs="宋体"/>
          <w:b/>
          <w:bCs/>
          <w:color w:val="auto"/>
          <w:sz w:val="36"/>
          <w:szCs w:val="36"/>
          <w:highlight w:val="none"/>
          <w:lang w:eastAsia="zh-CN"/>
        </w:rPr>
        <w:t>本页以下无内容</w:t>
      </w:r>
      <w:bookmarkEnd w:id="240"/>
    </w:p>
    <w:p w14:paraId="6A34FAA2">
      <w:pPr>
        <w:spacing w:line="440" w:lineRule="exact"/>
        <w:jc w:val="center"/>
        <w:rPr>
          <w:rFonts w:hint="eastAsia" w:ascii="宋体" w:hAnsi="宋体" w:eastAsia="宋体" w:cs="宋体"/>
          <w:b/>
          <w:bCs/>
          <w:color w:val="auto"/>
          <w:sz w:val="36"/>
          <w:szCs w:val="36"/>
          <w:highlight w:val="none"/>
          <w:lang w:eastAsia="zh-CN"/>
        </w:rPr>
      </w:pPr>
    </w:p>
    <w:p w14:paraId="75148DF7">
      <w:pPr>
        <w:pStyle w:val="14"/>
        <w:rPr>
          <w:rFonts w:hint="eastAsia" w:ascii="宋体" w:hAnsi="宋体" w:eastAsia="宋体" w:cs="宋体"/>
          <w:b/>
          <w:bCs/>
          <w:color w:val="auto"/>
          <w:sz w:val="36"/>
          <w:szCs w:val="36"/>
          <w:highlight w:val="none"/>
          <w:lang w:eastAsia="zh-CN"/>
        </w:rPr>
      </w:pPr>
    </w:p>
    <w:p w14:paraId="4ED76DC4">
      <w:pPr>
        <w:rPr>
          <w:rFonts w:hint="eastAsia" w:ascii="宋体" w:hAnsi="宋体" w:eastAsia="宋体" w:cs="宋体"/>
          <w:b/>
          <w:bCs/>
          <w:color w:val="auto"/>
          <w:sz w:val="36"/>
          <w:szCs w:val="36"/>
          <w:highlight w:val="none"/>
          <w:lang w:eastAsia="zh-CN"/>
        </w:rPr>
      </w:pPr>
    </w:p>
    <w:p w14:paraId="17D2B070">
      <w:pPr>
        <w:pStyle w:val="14"/>
        <w:rPr>
          <w:rFonts w:hint="eastAsia" w:ascii="宋体" w:hAnsi="宋体" w:eastAsia="宋体" w:cs="宋体"/>
          <w:b/>
          <w:bCs/>
          <w:color w:val="auto"/>
          <w:sz w:val="36"/>
          <w:szCs w:val="36"/>
          <w:highlight w:val="none"/>
          <w:lang w:eastAsia="zh-CN"/>
        </w:rPr>
      </w:pPr>
    </w:p>
    <w:p w14:paraId="504ACD51">
      <w:pPr>
        <w:rPr>
          <w:rFonts w:hint="eastAsia" w:ascii="宋体" w:hAnsi="宋体" w:eastAsia="宋体" w:cs="宋体"/>
          <w:b/>
          <w:bCs/>
          <w:color w:val="auto"/>
          <w:sz w:val="36"/>
          <w:szCs w:val="36"/>
          <w:highlight w:val="none"/>
          <w:lang w:eastAsia="zh-CN"/>
        </w:rPr>
      </w:pPr>
    </w:p>
    <w:p w14:paraId="445AF309">
      <w:pPr>
        <w:pStyle w:val="14"/>
        <w:rPr>
          <w:rFonts w:hint="eastAsia" w:ascii="宋体" w:hAnsi="宋体" w:eastAsia="宋体" w:cs="宋体"/>
          <w:b/>
          <w:bCs/>
          <w:color w:val="auto"/>
          <w:sz w:val="36"/>
          <w:szCs w:val="36"/>
          <w:highlight w:val="none"/>
          <w:lang w:eastAsia="zh-CN"/>
        </w:rPr>
      </w:pPr>
    </w:p>
    <w:p w14:paraId="20594DCB">
      <w:pPr>
        <w:rPr>
          <w:rFonts w:hint="eastAsia" w:ascii="宋体" w:hAnsi="宋体" w:eastAsia="宋体" w:cs="宋体"/>
          <w:b/>
          <w:bCs/>
          <w:color w:val="auto"/>
          <w:sz w:val="36"/>
          <w:szCs w:val="36"/>
          <w:highlight w:val="none"/>
          <w:lang w:eastAsia="zh-CN"/>
        </w:rPr>
      </w:pPr>
    </w:p>
    <w:p w14:paraId="34037280">
      <w:pPr>
        <w:pStyle w:val="14"/>
        <w:rPr>
          <w:rFonts w:hint="eastAsia" w:ascii="宋体" w:hAnsi="宋体" w:eastAsia="宋体" w:cs="宋体"/>
          <w:b/>
          <w:bCs/>
          <w:color w:val="auto"/>
          <w:sz w:val="36"/>
          <w:szCs w:val="36"/>
          <w:highlight w:val="none"/>
          <w:lang w:eastAsia="zh-CN"/>
        </w:rPr>
      </w:pPr>
    </w:p>
    <w:p w14:paraId="7E1F966A">
      <w:pPr>
        <w:rPr>
          <w:rFonts w:hint="eastAsia" w:ascii="宋体" w:hAnsi="宋体" w:eastAsia="宋体" w:cs="宋体"/>
          <w:lang w:eastAsia="zh-CN"/>
        </w:rPr>
      </w:pPr>
    </w:p>
    <w:p w14:paraId="348BDABA">
      <w:pPr>
        <w:pStyle w:val="14"/>
        <w:jc w:val="both"/>
        <w:rPr>
          <w:rFonts w:hint="eastAsia" w:ascii="宋体" w:hAnsi="宋体" w:eastAsia="宋体" w:cs="宋体"/>
          <w:lang w:eastAsia="zh-CN"/>
        </w:rPr>
      </w:pPr>
    </w:p>
    <w:p w14:paraId="6A4B0E2A">
      <w:pPr>
        <w:rPr>
          <w:rFonts w:hint="eastAsia" w:ascii="宋体" w:hAnsi="宋体" w:eastAsia="宋体" w:cs="宋体"/>
          <w:lang w:eastAsia="zh-CN"/>
        </w:rPr>
      </w:pPr>
    </w:p>
    <w:p w14:paraId="48E321B0">
      <w:pPr>
        <w:spacing w:line="440" w:lineRule="exact"/>
        <w:jc w:val="center"/>
        <w:rPr>
          <w:rFonts w:hint="default" w:ascii="宋体" w:hAnsi="宋体" w:eastAsia="宋体" w:cs="宋体"/>
          <w:b/>
          <w:bCs/>
          <w:color w:val="auto"/>
          <w:sz w:val="36"/>
          <w:szCs w:val="36"/>
          <w:highlight w:val="none"/>
          <w:lang w:val="en-US" w:eastAsia="zh-CN"/>
        </w:rPr>
      </w:pPr>
    </w:p>
    <w:p w14:paraId="0A6B9214">
      <w:pPr>
        <w:spacing w:line="440" w:lineRule="exact"/>
        <w:jc w:val="center"/>
        <w:rPr>
          <w:rFonts w:hint="default" w:ascii="宋体" w:hAnsi="宋体" w:eastAsia="宋体" w:cs="宋体"/>
          <w:b/>
          <w:bCs/>
          <w:color w:val="auto"/>
          <w:sz w:val="36"/>
          <w:szCs w:val="36"/>
          <w:highlight w:val="none"/>
          <w:lang w:val="en-US" w:eastAsia="zh-CN"/>
        </w:rPr>
      </w:pPr>
    </w:p>
    <w:p w14:paraId="74AB1BA4">
      <w:pPr>
        <w:spacing w:line="440" w:lineRule="exact"/>
        <w:jc w:val="center"/>
        <w:rPr>
          <w:rFonts w:hint="eastAsia" w:ascii="宋体" w:hAnsi="宋体" w:eastAsia="宋体" w:cs="宋体"/>
          <w:b/>
          <w:bCs/>
          <w:color w:val="auto"/>
          <w:sz w:val="36"/>
          <w:szCs w:val="36"/>
          <w:highlight w:val="none"/>
          <w:lang w:eastAsia="zh-CN"/>
        </w:rPr>
      </w:pPr>
    </w:p>
    <w:p w14:paraId="14A4F991">
      <w:pPr>
        <w:spacing w:line="440" w:lineRule="exac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lang w:eastAsia="zh-CN"/>
        </w:rPr>
        <w:t>陕西鼎祥越工程造价咨询有限公司</w:t>
      </w:r>
    </w:p>
    <w:p w14:paraId="6BEC8FF7">
      <w:pPr>
        <w:spacing w:line="440" w:lineRule="exac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邮箱：</w:t>
      </w:r>
      <w:r>
        <w:rPr>
          <w:rFonts w:hint="eastAsia" w:ascii="宋体" w:hAnsi="宋体" w:eastAsia="宋体" w:cs="宋体"/>
          <w:color w:val="auto"/>
          <w:sz w:val="21"/>
          <w:szCs w:val="21"/>
          <w:highlight w:val="none"/>
          <w:lang w:val="en-US" w:eastAsia="zh-CN"/>
        </w:rPr>
        <w:t>2218592475@qq.com</w:t>
      </w:r>
    </w:p>
    <w:p w14:paraId="145FC4ED">
      <w:pPr>
        <w:spacing w:line="440" w:lineRule="exac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电话：0917-3807560</w:t>
      </w:r>
    </w:p>
    <w:p w14:paraId="4FA79D4F">
      <w:pPr>
        <w:spacing w:line="440" w:lineRule="exact"/>
        <w:rPr>
          <w:rFonts w:hint="eastAsia" w:ascii="宋体" w:hAnsi="宋体" w:eastAsia="宋体" w:cs="宋体"/>
          <w:b/>
          <w:bCs/>
          <w:color w:val="auto"/>
          <w:sz w:val="36"/>
          <w:szCs w:val="36"/>
          <w:highlight w:val="none"/>
          <w:lang w:val="en-US" w:eastAsia="zh-CN"/>
        </w:rPr>
      </w:pPr>
      <w:r>
        <w:rPr>
          <w:rFonts w:hint="eastAsia" w:ascii="宋体" w:hAnsi="宋体" w:eastAsia="宋体" w:cs="宋体"/>
          <w:color w:val="auto"/>
          <w:sz w:val="21"/>
          <w:szCs w:val="21"/>
          <w:highlight w:val="none"/>
        </w:rPr>
        <w:t>地址：宝鸡市行政中心海棠风尚1510室</w:t>
      </w:r>
    </w:p>
    <w:p w14:paraId="7696350A">
      <w:pPr>
        <w:pStyle w:val="23"/>
        <w:shd w:val="clear"/>
        <w:rPr>
          <w:rFonts w:hint="eastAsia" w:ascii="宋体" w:hAnsi="宋体" w:eastAsia="宋体" w:cs="宋体"/>
          <w:sz w:val="28"/>
          <w:szCs w:val="28"/>
          <w:highlight w:val="none"/>
          <w:u w:val="single"/>
        </w:rPr>
      </w:pPr>
    </w:p>
    <w:sectPr>
      <w:footerReference r:id="rId15" w:type="default"/>
      <w:pgSz w:w="11906" w:h="16838"/>
      <w:pgMar w:top="1440" w:right="1253" w:bottom="1440" w:left="1253" w:header="907" w:footer="907" w:gutter="0"/>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DFKai-SB">
    <w:panose1 w:val="03000509000000000000"/>
    <w:charset w:val="88"/>
    <w:family w:val="script"/>
    <w:pitch w:val="default"/>
    <w:sig w:usb0="00000003" w:usb1="082E0000" w:usb2="00000016" w:usb3="00000000" w:csb0="00100001" w:csb1="00000000"/>
  </w:font>
  <w:font w:name="monospace">
    <w:altName w:val="Courier New"/>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font-weight : 400">
    <w:altName w:val="Times New Roman"/>
    <w:panose1 w:val="00000000000000000000"/>
    <w:charset w:val="00"/>
    <w:family w:val="auto"/>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E20B3">
    <w:pPr>
      <w:pStyle w:val="23"/>
      <w:ind w:right="72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D749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FD0AD">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08647">
    <w:pPr>
      <w:pStyle w:val="23"/>
      <w:rPr>
        <w:b/>
        <w:bCs/>
        <w:i/>
        <w:iCs/>
        <w:u w:val="single"/>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17C83">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4DB17C83">
                    <w:pPr>
                      <w:pStyle w:val="2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94EAC">
    <w:pPr>
      <w:pStyle w:val="23"/>
      <w:rPr>
        <w:rFonts w:hint="default"/>
        <w:i/>
        <w:iCs/>
        <w:sz w:val="21"/>
        <w:szCs w:val="21"/>
        <w:u w:val="single"/>
        <w:lang w:val="en-US"/>
      </w:rPr>
    </w:pPr>
    <w:r>
      <w:rPr>
        <w:sz w:val="2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C2DDCF">
                          <w:pPr>
                            <w:pStyle w:val="2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Edhg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EdhgzAgAAYwQAAA4AAAAAAAAAAQAgAAAAHwEAAGRycy9lMm9Eb2MueG1sUEsF&#10;BgAAAAAGAAYAWQEAAMQFAAAAAA==&#10;">
              <v:fill on="f" focussize="0,0"/>
              <v:stroke on="f" weight="0.5pt"/>
              <v:imagedata o:title=""/>
              <o:lock v:ext="edit" aspectratio="f"/>
              <v:textbox inset="0mm,0mm,0mm,0mm" style="mso-fit-shape-to-text:t;">
                <w:txbxContent>
                  <w:p w14:paraId="3AC2DDCF">
                    <w:pPr>
                      <w:pStyle w:val="2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仿宋" w:hAnsi="仿宋" w:eastAsia="仿宋" w:cs="仿宋"/>
        <w:b/>
        <w:bCs/>
        <w:i/>
        <w:iCs/>
        <w:color w:val="auto"/>
        <w:sz w:val="28"/>
        <w:szCs w:val="28"/>
        <w:highlight w:val="none"/>
        <w:u w:val="single"/>
        <w:lang w:val="zh-CN"/>
      </w:rPr>
      <w:t>华兴天成项目咨询有限公司</w:t>
    </w:r>
    <w:r>
      <w:rPr>
        <w:rFonts w:hint="eastAsia" w:ascii="仿宋" w:hAnsi="仿宋" w:eastAsia="仿宋" w:cs="仿宋"/>
        <w:b/>
        <w:bCs/>
        <w:i/>
        <w:iCs/>
        <w:color w:val="auto"/>
        <w:sz w:val="28"/>
        <w:szCs w:val="28"/>
        <w:highlight w:val="none"/>
        <w:u w:val="single"/>
        <w:lang w:val="en-US" w:eastAsia="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ECADE">
    <w:pPr>
      <w:pStyle w:val="2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14:paraId="4434D1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wps:txbx>
                    <wps:bodyPr vert="horz" wrap="none" lIns="0" tIns="0" rIns="0" bIns="0" anchor="t">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qSFlV3gEAALsDAAAOAAAAAAAA&#10;AAEAIAAAAB4BAABkcnMvZTJvRG9jLnhtbFBLBQYAAAAABgAGAFkBAABuBQAAAAA=&#10;">
              <v:fill on="f" focussize="0,0"/>
              <v:stroke on="f"/>
              <v:imagedata o:title=""/>
              <o:lock v:ext="edit" aspectratio="f"/>
              <v:textbox inset="0mm,0mm,0mm,0mm" style="mso-fit-shape-to-text:t;">
                <w:txbxContent>
                  <w:p w14:paraId="4434D1F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38</w:t>
                    </w:r>
                    <w:r>
                      <w:rPr>
                        <w:rFonts w:hint="eastAsia"/>
                        <w:sz w:val="18"/>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E2F38">
    <w:pPr>
      <w:pStyle w:val="23"/>
      <w:rPr>
        <w:b/>
        <w:bCs/>
        <w:i/>
        <w:iCs/>
        <w:u w:val="single"/>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2F54A">
    <w:pPr>
      <w:pBdr>
        <w:bottom w:val="none" w:color="auto" w:sz="0" w:space="1"/>
      </w:pBdr>
      <w:tabs>
        <w:tab w:val="left" w:pos="6099"/>
        <w:tab w:val="right" w:pos="9206"/>
      </w:tabs>
      <w:spacing w:line="240" w:lineRule="exact"/>
      <w:ind w:right="-21" w:rightChars="-10"/>
      <w:rPr>
        <w:rFonts w:ascii="宋体" w:hAnsi="宋体"/>
        <w:b/>
        <w:szCs w:val="21"/>
      </w:rPr>
    </w:pPr>
    <w:r>
      <w:rPr>
        <w:rFonts w:hint="eastAsia" w:ascii="宋体" w:hAnsi="宋体"/>
        <w:b/>
        <w:szCs w:val="21"/>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773AC">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CE652">
    <w:pPr>
      <w:pStyle w:val="24"/>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0B0F6">
    <w:pPr>
      <w:pStyle w:val="24"/>
      <w:pBdr>
        <w:bottom w:val="none" w:color="auto" w:sz="0" w:space="1"/>
      </w:pBdr>
      <w:tabs>
        <w:tab w:val="left" w:pos="5251"/>
        <w:tab w:val="clear" w:pos="4153"/>
      </w:tabs>
      <w:jc w:val="left"/>
      <w:rPr>
        <w:rFonts w:ascii="仿宋" w:hAnsi="仿宋" w:eastAsia="仿宋" w:cs="仿宋"/>
        <w:b/>
        <w:i/>
        <w:iCs/>
        <w:sz w:val="20"/>
        <w:szCs w:val="20"/>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6EC67">
    <w:pPr>
      <w:keepNext w:val="0"/>
      <w:keepLines w:val="0"/>
      <w:pageBreakBefore w:val="0"/>
      <w:kinsoku/>
      <w:wordWrap/>
      <w:overflowPunct/>
      <w:topLinePunct w:val="0"/>
      <w:autoSpaceDE/>
      <w:autoSpaceDN/>
      <w:bidi w:val="0"/>
      <w:adjustRightInd/>
      <w:snapToGrid/>
      <w:spacing w:line="240" w:lineRule="auto"/>
      <w:jc w:val="both"/>
      <w:textAlignment w:val="auto"/>
      <w:rPr>
        <w:rFonts w:hint="default" w:ascii="仿宋" w:hAnsi="仿宋" w:eastAsia="仿宋" w:cs="仿宋"/>
        <w:b/>
        <w:bCs/>
        <w:i/>
        <w:iCs/>
        <w:sz w:val="24"/>
        <w:szCs w:val="24"/>
        <w:highlight w:val="none"/>
        <w:u w:val="single"/>
        <w:lang w:val="en-US"/>
      </w:rPr>
    </w:pPr>
    <w:r>
      <w:rPr>
        <w:rFonts w:hint="eastAsia" w:ascii="仿宋" w:hAnsi="仿宋" w:eastAsia="仿宋" w:cs="仿宋"/>
        <w:b/>
        <w:bCs/>
        <w:i/>
        <w:iCs/>
        <w:kern w:val="2"/>
        <w:sz w:val="24"/>
        <w:szCs w:val="24"/>
        <w:highlight w:val="none"/>
        <w:u w:val="single"/>
        <w:lang w:val="en-US" w:eastAsia="zh-CN" w:bidi="ar-SA"/>
      </w:rPr>
      <w:t xml:space="preserve">太白县鹦鸽镇中心小学公共厕所维修改造项目                              竞争性磋商文件 </w:t>
    </w:r>
  </w:p>
  <w:p w14:paraId="2CEA8995">
    <w:pPr>
      <w:pStyle w:val="24"/>
      <w:pBdr>
        <w:bottom w:val="none" w:color="auto" w:sz="0" w:space="1"/>
      </w:pBdr>
      <w:tabs>
        <w:tab w:val="left" w:pos="5251"/>
        <w:tab w:val="clear" w:pos="4153"/>
      </w:tabs>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5A0252">
    <w:pPr>
      <w:pStyle w:val="24"/>
      <w:pBdr>
        <w:bottom w:val="none" w:color="auto" w:sz="0" w:space="1"/>
      </w:pBdr>
      <w:tabs>
        <w:tab w:val="left" w:pos="5251"/>
        <w:tab w:val="clear" w:pos="4153"/>
      </w:tabs>
      <w:jc w:val="left"/>
      <w:rPr>
        <w:rFonts w:ascii="仿宋" w:hAnsi="仿宋" w:eastAsia="仿宋" w:cs="仿宋"/>
        <w:b/>
        <w:i/>
        <w:iCs/>
        <w:sz w:val="20"/>
        <w:szCs w:val="2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304DF1"/>
    <w:multiLevelType w:val="singleLevel"/>
    <w:tmpl w:val="89304DF1"/>
    <w:lvl w:ilvl="0" w:tentative="0">
      <w:start w:val="1"/>
      <w:numFmt w:val="chineseCounting"/>
      <w:suff w:val="space"/>
      <w:lvlText w:val="第%1章"/>
      <w:lvlJc w:val="left"/>
      <w:rPr>
        <w:rFonts w:hint="eastAsia"/>
      </w:rPr>
    </w:lvl>
  </w:abstractNum>
  <w:abstractNum w:abstractNumId="1">
    <w:nsid w:val="993BC7FA"/>
    <w:multiLevelType w:val="singleLevel"/>
    <w:tmpl w:val="993BC7FA"/>
    <w:lvl w:ilvl="0" w:tentative="0">
      <w:start w:val="3"/>
      <w:numFmt w:val="decimal"/>
      <w:suff w:val="nothing"/>
      <w:lvlText w:val="%1．"/>
      <w:lvlJc w:val="left"/>
    </w:lvl>
  </w:abstractNum>
  <w:abstractNum w:abstractNumId="2">
    <w:nsid w:val="9A1AAE1A"/>
    <w:multiLevelType w:val="singleLevel"/>
    <w:tmpl w:val="9A1AAE1A"/>
    <w:lvl w:ilvl="0" w:tentative="0">
      <w:start w:val="1"/>
      <w:numFmt w:val="decimal"/>
      <w:suff w:val="nothing"/>
      <w:lvlText w:val="（%1）"/>
      <w:lvlJc w:val="left"/>
    </w:lvl>
  </w:abstractNum>
  <w:abstractNum w:abstractNumId="3">
    <w:nsid w:val="A6D3A8D2"/>
    <w:multiLevelType w:val="singleLevel"/>
    <w:tmpl w:val="A6D3A8D2"/>
    <w:lvl w:ilvl="0" w:tentative="0">
      <w:start w:val="1"/>
      <w:numFmt w:val="chineseCounting"/>
      <w:suff w:val="nothing"/>
      <w:lvlText w:val="%1、"/>
      <w:lvlJc w:val="left"/>
      <w:rPr>
        <w:rFonts w:hint="eastAsia"/>
      </w:rPr>
    </w:lvl>
  </w:abstractNum>
  <w:abstractNum w:abstractNumId="4">
    <w:nsid w:val="AA22893D"/>
    <w:multiLevelType w:val="singleLevel"/>
    <w:tmpl w:val="AA22893D"/>
    <w:lvl w:ilvl="0" w:tentative="0">
      <w:start w:val="1"/>
      <w:numFmt w:val="decimal"/>
      <w:suff w:val="nothing"/>
      <w:lvlText w:val="%1、"/>
      <w:lvlJc w:val="left"/>
    </w:lvl>
  </w:abstractNum>
  <w:abstractNum w:abstractNumId="5">
    <w:nsid w:val="C8837EA4"/>
    <w:multiLevelType w:val="singleLevel"/>
    <w:tmpl w:val="C8837EA4"/>
    <w:lvl w:ilvl="0" w:tentative="0">
      <w:start w:val="1"/>
      <w:numFmt w:val="decimal"/>
      <w:suff w:val="nothing"/>
      <w:lvlText w:val="（%1）"/>
      <w:lvlJc w:val="left"/>
    </w:lvl>
  </w:abstractNum>
  <w:abstractNum w:abstractNumId="6">
    <w:nsid w:val="DF4683E8"/>
    <w:multiLevelType w:val="singleLevel"/>
    <w:tmpl w:val="DF4683E8"/>
    <w:lvl w:ilvl="0" w:tentative="0">
      <w:start w:val="4"/>
      <w:numFmt w:val="chineseCounting"/>
      <w:suff w:val="space"/>
      <w:lvlText w:val="第%1章"/>
      <w:lvlJc w:val="left"/>
      <w:rPr>
        <w:rFonts w:hint="eastAsia"/>
      </w:rPr>
    </w:lvl>
  </w:abstractNum>
  <w:abstractNum w:abstractNumId="7">
    <w:nsid w:val="E020AB33"/>
    <w:multiLevelType w:val="singleLevel"/>
    <w:tmpl w:val="E020AB33"/>
    <w:lvl w:ilvl="0" w:tentative="0">
      <w:start w:val="1"/>
      <w:numFmt w:val="decimal"/>
      <w:suff w:val="nothing"/>
      <w:lvlText w:val="（%1）"/>
      <w:lvlJc w:val="left"/>
    </w:lvl>
  </w:abstractNum>
  <w:abstractNum w:abstractNumId="8">
    <w:nsid w:val="0426A152"/>
    <w:multiLevelType w:val="singleLevel"/>
    <w:tmpl w:val="0426A152"/>
    <w:lvl w:ilvl="0" w:tentative="0">
      <w:start w:val="1"/>
      <w:numFmt w:val="decimal"/>
      <w:suff w:val="nothing"/>
      <w:lvlText w:val="%1、"/>
      <w:lvlJc w:val="left"/>
    </w:lvl>
  </w:abstractNum>
  <w:num w:numId="1">
    <w:abstractNumId w:val="0"/>
  </w:num>
  <w:num w:numId="2">
    <w:abstractNumId w:val="7"/>
  </w:num>
  <w:num w:numId="3">
    <w:abstractNumId w:val="2"/>
  </w:num>
  <w:num w:numId="4">
    <w:abstractNumId w:val="4"/>
  </w:num>
  <w:num w:numId="5">
    <w:abstractNumId w:val="1"/>
  </w:num>
  <w:num w:numId="6">
    <w:abstractNumId w:val="6"/>
  </w:num>
  <w:num w:numId="7">
    <w:abstractNumId w:val="3"/>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yNzE1ZmQyYzlmOTYxOThjYzhhMTYzMzhiZDVlYjIifQ=="/>
  </w:docVars>
  <w:rsids>
    <w:rsidRoot w:val="00172A27"/>
    <w:rsid w:val="00000B79"/>
    <w:rsid w:val="0000215D"/>
    <w:rsid w:val="00003F19"/>
    <w:rsid w:val="0000558E"/>
    <w:rsid w:val="000067FE"/>
    <w:rsid w:val="00006F45"/>
    <w:rsid w:val="00007B0C"/>
    <w:rsid w:val="00010632"/>
    <w:rsid w:val="00010FA5"/>
    <w:rsid w:val="00012150"/>
    <w:rsid w:val="000122FE"/>
    <w:rsid w:val="00013C0B"/>
    <w:rsid w:val="00014D51"/>
    <w:rsid w:val="000150E1"/>
    <w:rsid w:val="0001566F"/>
    <w:rsid w:val="00015A14"/>
    <w:rsid w:val="0001609A"/>
    <w:rsid w:val="00016449"/>
    <w:rsid w:val="000206FF"/>
    <w:rsid w:val="000207FF"/>
    <w:rsid w:val="00021267"/>
    <w:rsid w:val="000223C1"/>
    <w:rsid w:val="00023783"/>
    <w:rsid w:val="000239F4"/>
    <w:rsid w:val="000250BB"/>
    <w:rsid w:val="000253E5"/>
    <w:rsid w:val="000255CB"/>
    <w:rsid w:val="000261B6"/>
    <w:rsid w:val="000268D2"/>
    <w:rsid w:val="00027D20"/>
    <w:rsid w:val="00031201"/>
    <w:rsid w:val="00033C66"/>
    <w:rsid w:val="00034583"/>
    <w:rsid w:val="00034BC2"/>
    <w:rsid w:val="00034C7E"/>
    <w:rsid w:val="00036283"/>
    <w:rsid w:val="00037304"/>
    <w:rsid w:val="000404EA"/>
    <w:rsid w:val="00041B9E"/>
    <w:rsid w:val="00041EDA"/>
    <w:rsid w:val="0004251E"/>
    <w:rsid w:val="00042A62"/>
    <w:rsid w:val="00043948"/>
    <w:rsid w:val="00044508"/>
    <w:rsid w:val="00044AF2"/>
    <w:rsid w:val="00044E7D"/>
    <w:rsid w:val="00045300"/>
    <w:rsid w:val="00045850"/>
    <w:rsid w:val="0005063C"/>
    <w:rsid w:val="00051E3B"/>
    <w:rsid w:val="00051EFE"/>
    <w:rsid w:val="00052AB3"/>
    <w:rsid w:val="00054965"/>
    <w:rsid w:val="00054F2A"/>
    <w:rsid w:val="000566F1"/>
    <w:rsid w:val="00056F41"/>
    <w:rsid w:val="00057F94"/>
    <w:rsid w:val="00060ABB"/>
    <w:rsid w:val="00061B72"/>
    <w:rsid w:val="0006202B"/>
    <w:rsid w:val="00062425"/>
    <w:rsid w:val="0006264A"/>
    <w:rsid w:val="00063042"/>
    <w:rsid w:val="00064C8A"/>
    <w:rsid w:val="00067CEF"/>
    <w:rsid w:val="0007163C"/>
    <w:rsid w:val="00072AAF"/>
    <w:rsid w:val="00073176"/>
    <w:rsid w:val="00073C4A"/>
    <w:rsid w:val="000743DF"/>
    <w:rsid w:val="0007508E"/>
    <w:rsid w:val="000757D9"/>
    <w:rsid w:val="00075BFF"/>
    <w:rsid w:val="000766BC"/>
    <w:rsid w:val="00076752"/>
    <w:rsid w:val="00076FBC"/>
    <w:rsid w:val="000775BE"/>
    <w:rsid w:val="000779E0"/>
    <w:rsid w:val="00081F9C"/>
    <w:rsid w:val="000827B7"/>
    <w:rsid w:val="00083F35"/>
    <w:rsid w:val="0008479A"/>
    <w:rsid w:val="0008507C"/>
    <w:rsid w:val="000853F7"/>
    <w:rsid w:val="000858A6"/>
    <w:rsid w:val="000858D9"/>
    <w:rsid w:val="00085F58"/>
    <w:rsid w:val="00086702"/>
    <w:rsid w:val="00086D83"/>
    <w:rsid w:val="00086E59"/>
    <w:rsid w:val="00087B37"/>
    <w:rsid w:val="0009055A"/>
    <w:rsid w:val="00090774"/>
    <w:rsid w:val="00091267"/>
    <w:rsid w:val="00091347"/>
    <w:rsid w:val="00092735"/>
    <w:rsid w:val="00092B1B"/>
    <w:rsid w:val="000951CD"/>
    <w:rsid w:val="000957CC"/>
    <w:rsid w:val="00097DA7"/>
    <w:rsid w:val="000A0027"/>
    <w:rsid w:val="000A0454"/>
    <w:rsid w:val="000A1062"/>
    <w:rsid w:val="000A2244"/>
    <w:rsid w:val="000A23E9"/>
    <w:rsid w:val="000A36D5"/>
    <w:rsid w:val="000A4140"/>
    <w:rsid w:val="000A419A"/>
    <w:rsid w:val="000A6318"/>
    <w:rsid w:val="000A6CAF"/>
    <w:rsid w:val="000B0256"/>
    <w:rsid w:val="000B0687"/>
    <w:rsid w:val="000B0EFE"/>
    <w:rsid w:val="000B36B7"/>
    <w:rsid w:val="000B37C2"/>
    <w:rsid w:val="000B3D2B"/>
    <w:rsid w:val="000B5FF5"/>
    <w:rsid w:val="000B76DF"/>
    <w:rsid w:val="000B79AF"/>
    <w:rsid w:val="000C07B5"/>
    <w:rsid w:val="000C2924"/>
    <w:rsid w:val="000C3701"/>
    <w:rsid w:val="000C49DB"/>
    <w:rsid w:val="000C5BE0"/>
    <w:rsid w:val="000C5EC2"/>
    <w:rsid w:val="000C7211"/>
    <w:rsid w:val="000C7440"/>
    <w:rsid w:val="000D0609"/>
    <w:rsid w:val="000D0BDF"/>
    <w:rsid w:val="000D1205"/>
    <w:rsid w:val="000D14CD"/>
    <w:rsid w:val="000D1ED0"/>
    <w:rsid w:val="000D1EF1"/>
    <w:rsid w:val="000D228C"/>
    <w:rsid w:val="000D3416"/>
    <w:rsid w:val="000D3F99"/>
    <w:rsid w:val="000D4D1B"/>
    <w:rsid w:val="000D5AE6"/>
    <w:rsid w:val="000D6425"/>
    <w:rsid w:val="000D693A"/>
    <w:rsid w:val="000D6E95"/>
    <w:rsid w:val="000E007C"/>
    <w:rsid w:val="000E0DB5"/>
    <w:rsid w:val="000E1449"/>
    <w:rsid w:val="000E2E1A"/>
    <w:rsid w:val="000E2E98"/>
    <w:rsid w:val="000E37C1"/>
    <w:rsid w:val="000E49DB"/>
    <w:rsid w:val="000E61E4"/>
    <w:rsid w:val="000E7294"/>
    <w:rsid w:val="000F0F67"/>
    <w:rsid w:val="000F18B6"/>
    <w:rsid w:val="000F1FAC"/>
    <w:rsid w:val="000F2187"/>
    <w:rsid w:val="000F2CF5"/>
    <w:rsid w:val="000F38E6"/>
    <w:rsid w:val="000F4453"/>
    <w:rsid w:val="000F4691"/>
    <w:rsid w:val="000F4C8E"/>
    <w:rsid w:val="000F50FE"/>
    <w:rsid w:val="000F536C"/>
    <w:rsid w:val="000F61F4"/>
    <w:rsid w:val="000F6F95"/>
    <w:rsid w:val="000F7CD7"/>
    <w:rsid w:val="00100E29"/>
    <w:rsid w:val="00105369"/>
    <w:rsid w:val="00105862"/>
    <w:rsid w:val="0010628B"/>
    <w:rsid w:val="001066D1"/>
    <w:rsid w:val="0010704D"/>
    <w:rsid w:val="0010706C"/>
    <w:rsid w:val="001074EA"/>
    <w:rsid w:val="00107737"/>
    <w:rsid w:val="00107DDE"/>
    <w:rsid w:val="001106A2"/>
    <w:rsid w:val="001107E0"/>
    <w:rsid w:val="00110965"/>
    <w:rsid w:val="00111DC3"/>
    <w:rsid w:val="0011389D"/>
    <w:rsid w:val="0011393E"/>
    <w:rsid w:val="00113CE9"/>
    <w:rsid w:val="001140D6"/>
    <w:rsid w:val="001149FD"/>
    <w:rsid w:val="00115496"/>
    <w:rsid w:val="001156F4"/>
    <w:rsid w:val="00115775"/>
    <w:rsid w:val="001171E8"/>
    <w:rsid w:val="00117318"/>
    <w:rsid w:val="001177F0"/>
    <w:rsid w:val="00117AF5"/>
    <w:rsid w:val="00117CF8"/>
    <w:rsid w:val="00117F8A"/>
    <w:rsid w:val="00120166"/>
    <w:rsid w:val="001206F3"/>
    <w:rsid w:val="001208E2"/>
    <w:rsid w:val="001228AB"/>
    <w:rsid w:val="00122E2F"/>
    <w:rsid w:val="0012400F"/>
    <w:rsid w:val="00124F99"/>
    <w:rsid w:val="00125D85"/>
    <w:rsid w:val="00126EC1"/>
    <w:rsid w:val="001275FA"/>
    <w:rsid w:val="00127AA9"/>
    <w:rsid w:val="00130A9B"/>
    <w:rsid w:val="00131740"/>
    <w:rsid w:val="0013354C"/>
    <w:rsid w:val="00133AED"/>
    <w:rsid w:val="00133E39"/>
    <w:rsid w:val="0013465C"/>
    <w:rsid w:val="00135740"/>
    <w:rsid w:val="0013722A"/>
    <w:rsid w:val="00137566"/>
    <w:rsid w:val="00140847"/>
    <w:rsid w:val="00140DD7"/>
    <w:rsid w:val="00141A92"/>
    <w:rsid w:val="0014274E"/>
    <w:rsid w:val="00143711"/>
    <w:rsid w:val="00143D6F"/>
    <w:rsid w:val="00144199"/>
    <w:rsid w:val="00144BF8"/>
    <w:rsid w:val="001453FC"/>
    <w:rsid w:val="0014592E"/>
    <w:rsid w:val="00146C59"/>
    <w:rsid w:val="00146EF9"/>
    <w:rsid w:val="0014723D"/>
    <w:rsid w:val="001512AC"/>
    <w:rsid w:val="0015152E"/>
    <w:rsid w:val="00152D0A"/>
    <w:rsid w:val="00153D19"/>
    <w:rsid w:val="0015492B"/>
    <w:rsid w:val="001556A0"/>
    <w:rsid w:val="001560AE"/>
    <w:rsid w:val="001573B2"/>
    <w:rsid w:val="001600AE"/>
    <w:rsid w:val="001605A3"/>
    <w:rsid w:val="001605C5"/>
    <w:rsid w:val="00160BDD"/>
    <w:rsid w:val="00160F82"/>
    <w:rsid w:val="001610BE"/>
    <w:rsid w:val="00161674"/>
    <w:rsid w:val="00161C80"/>
    <w:rsid w:val="00161E4E"/>
    <w:rsid w:val="00162887"/>
    <w:rsid w:val="00162A0A"/>
    <w:rsid w:val="00163B78"/>
    <w:rsid w:val="00166761"/>
    <w:rsid w:val="001667E9"/>
    <w:rsid w:val="0016771A"/>
    <w:rsid w:val="001700B4"/>
    <w:rsid w:val="001719EB"/>
    <w:rsid w:val="00172A27"/>
    <w:rsid w:val="001731C2"/>
    <w:rsid w:val="00173969"/>
    <w:rsid w:val="001740D0"/>
    <w:rsid w:val="00176B19"/>
    <w:rsid w:val="00176B72"/>
    <w:rsid w:val="00177602"/>
    <w:rsid w:val="001804C7"/>
    <w:rsid w:val="00181C7E"/>
    <w:rsid w:val="00182FAB"/>
    <w:rsid w:val="00183994"/>
    <w:rsid w:val="001851EE"/>
    <w:rsid w:val="001876E9"/>
    <w:rsid w:val="00190942"/>
    <w:rsid w:val="00191A80"/>
    <w:rsid w:val="00192AF9"/>
    <w:rsid w:val="001930CE"/>
    <w:rsid w:val="001935D1"/>
    <w:rsid w:val="00193A79"/>
    <w:rsid w:val="0019465E"/>
    <w:rsid w:val="00195687"/>
    <w:rsid w:val="00196728"/>
    <w:rsid w:val="00196929"/>
    <w:rsid w:val="00197C31"/>
    <w:rsid w:val="001A060F"/>
    <w:rsid w:val="001A1834"/>
    <w:rsid w:val="001A23B9"/>
    <w:rsid w:val="001A3911"/>
    <w:rsid w:val="001A3A75"/>
    <w:rsid w:val="001A3FFF"/>
    <w:rsid w:val="001A4AC9"/>
    <w:rsid w:val="001A4D86"/>
    <w:rsid w:val="001A4DFD"/>
    <w:rsid w:val="001A4FC1"/>
    <w:rsid w:val="001A5705"/>
    <w:rsid w:val="001A5ABF"/>
    <w:rsid w:val="001A66EF"/>
    <w:rsid w:val="001A70A5"/>
    <w:rsid w:val="001A74DC"/>
    <w:rsid w:val="001B0C6C"/>
    <w:rsid w:val="001B1D2F"/>
    <w:rsid w:val="001B32E1"/>
    <w:rsid w:val="001B33C6"/>
    <w:rsid w:val="001B47A4"/>
    <w:rsid w:val="001B4CDE"/>
    <w:rsid w:val="001B4FDA"/>
    <w:rsid w:val="001B55E2"/>
    <w:rsid w:val="001B69BD"/>
    <w:rsid w:val="001C0D55"/>
    <w:rsid w:val="001C284B"/>
    <w:rsid w:val="001C3DAA"/>
    <w:rsid w:val="001C43B7"/>
    <w:rsid w:val="001C4E56"/>
    <w:rsid w:val="001C628C"/>
    <w:rsid w:val="001C6407"/>
    <w:rsid w:val="001D0C72"/>
    <w:rsid w:val="001D203D"/>
    <w:rsid w:val="001D2B52"/>
    <w:rsid w:val="001D3AC7"/>
    <w:rsid w:val="001D5204"/>
    <w:rsid w:val="001D73F4"/>
    <w:rsid w:val="001E02F9"/>
    <w:rsid w:val="001E25AF"/>
    <w:rsid w:val="001E279A"/>
    <w:rsid w:val="001E413F"/>
    <w:rsid w:val="001E4B9A"/>
    <w:rsid w:val="001E5281"/>
    <w:rsid w:val="001E58D2"/>
    <w:rsid w:val="001E634C"/>
    <w:rsid w:val="001E7667"/>
    <w:rsid w:val="001E79C4"/>
    <w:rsid w:val="001F0441"/>
    <w:rsid w:val="001F0F75"/>
    <w:rsid w:val="001F23D3"/>
    <w:rsid w:val="001F248A"/>
    <w:rsid w:val="001F4067"/>
    <w:rsid w:val="001F5288"/>
    <w:rsid w:val="001F57EB"/>
    <w:rsid w:val="001F626C"/>
    <w:rsid w:val="001F6290"/>
    <w:rsid w:val="001F7C94"/>
    <w:rsid w:val="0020010D"/>
    <w:rsid w:val="00200837"/>
    <w:rsid w:val="0020121B"/>
    <w:rsid w:val="00201A4C"/>
    <w:rsid w:val="002039A8"/>
    <w:rsid w:val="00203EBE"/>
    <w:rsid w:val="00203F16"/>
    <w:rsid w:val="00205499"/>
    <w:rsid w:val="002055E6"/>
    <w:rsid w:val="002058B4"/>
    <w:rsid w:val="002064AA"/>
    <w:rsid w:val="002068C4"/>
    <w:rsid w:val="002079D7"/>
    <w:rsid w:val="0021054F"/>
    <w:rsid w:val="00213086"/>
    <w:rsid w:val="002133C4"/>
    <w:rsid w:val="00213C10"/>
    <w:rsid w:val="002140D4"/>
    <w:rsid w:val="00215EE4"/>
    <w:rsid w:val="00216B93"/>
    <w:rsid w:val="00223FDF"/>
    <w:rsid w:val="00225792"/>
    <w:rsid w:val="00226047"/>
    <w:rsid w:val="00226893"/>
    <w:rsid w:val="00226ECF"/>
    <w:rsid w:val="002308EB"/>
    <w:rsid w:val="002317A8"/>
    <w:rsid w:val="00233377"/>
    <w:rsid w:val="002337D5"/>
    <w:rsid w:val="0023488A"/>
    <w:rsid w:val="002348C5"/>
    <w:rsid w:val="00234E13"/>
    <w:rsid w:val="00236865"/>
    <w:rsid w:val="002369EB"/>
    <w:rsid w:val="002372E1"/>
    <w:rsid w:val="00240261"/>
    <w:rsid w:val="00240310"/>
    <w:rsid w:val="00241476"/>
    <w:rsid w:val="00242784"/>
    <w:rsid w:val="0024369B"/>
    <w:rsid w:val="00244963"/>
    <w:rsid w:val="00244B56"/>
    <w:rsid w:val="00245B38"/>
    <w:rsid w:val="00246D4A"/>
    <w:rsid w:val="00247780"/>
    <w:rsid w:val="00247965"/>
    <w:rsid w:val="00250CDF"/>
    <w:rsid w:val="00250F4C"/>
    <w:rsid w:val="002516F8"/>
    <w:rsid w:val="0025250C"/>
    <w:rsid w:val="00252E6B"/>
    <w:rsid w:val="00253665"/>
    <w:rsid w:val="002536FB"/>
    <w:rsid w:val="002543BE"/>
    <w:rsid w:val="002548AF"/>
    <w:rsid w:val="00255263"/>
    <w:rsid w:val="00257784"/>
    <w:rsid w:val="0025783C"/>
    <w:rsid w:val="00260832"/>
    <w:rsid w:val="002611DA"/>
    <w:rsid w:val="002616DA"/>
    <w:rsid w:val="00261CB6"/>
    <w:rsid w:val="00262354"/>
    <w:rsid w:val="002625AC"/>
    <w:rsid w:val="0026424F"/>
    <w:rsid w:val="00264325"/>
    <w:rsid w:val="002648C1"/>
    <w:rsid w:val="00264D24"/>
    <w:rsid w:val="00265BDA"/>
    <w:rsid w:val="0026675B"/>
    <w:rsid w:val="0026771E"/>
    <w:rsid w:val="00270797"/>
    <w:rsid w:val="002707F7"/>
    <w:rsid w:val="00271396"/>
    <w:rsid w:val="00271A13"/>
    <w:rsid w:val="00271AEE"/>
    <w:rsid w:val="00272085"/>
    <w:rsid w:val="00273A0D"/>
    <w:rsid w:val="002741B4"/>
    <w:rsid w:val="002744D2"/>
    <w:rsid w:val="00274E73"/>
    <w:rsid w:val="00275AD7"/>
    <w:rsid w:val="00276E55"/>
    <w:rsid w:val="00276ED2"/>
    <w:rsid w:val="002777C0"/>
    <w:rsid w:val="00277A72"/>
    <w:rsid w:val="0028145F"/>
    <w:rsid w:val="00281ACC"/>
    <w:rsid w:val="00281F6A"/>
    <w:rsid w:val="002823A6"/>
    <w:rsid w:val="002829A6"/>
    <w:rsid w:val="002836EA"/>
    <w:rsid w:val="00283E70"/>
    <w:rsid w:val="002848E4"/>
    <w:rsid w:val="00285445"/>
    <w:rsid w:val="002856F8"/>
    <w:rsid w:val="002873BC"/>
    <w:rsid w:val="00287927"/>
    <w:rsid w:val="00290D84"/>
    <w:rsid w:val="0029328E"/>
    <w:rsid w:val="00293942"/>
    <w:rsid w:val="00293E7E"/>
    <w:rsid w:val="00294075"/>
    <w:rsid w:val="00294297"/>
    <w:rsid w:val="00294CA0"/>
    <w:rsid w:val="00295AB4"/>
    <w:rsid w:val="00295DEF"/>
    <w:rsid w:val="002963A4"/>
    <w:rsid w:val="002A085F"/>
    <w:rsid w:val="002A11CB"/>
    <w:rsid w:val="002A15ED"/>
    <w:rsid w:val="002A3044"/>
    <w:rsid w:val="002A3444"/>
    <w:rsid w:val="002A34D1"/>
    <w:rsid w:val="002A460D"/>
    <w:rsid w:val="002A56C7"/>
    <w:rsid w:val="002A5964"/>
    <w:rsid w:val="002A5DBA"/>
    <w:rsid w:val="002A5E24"/>
    <w:rsid w:val="002A7061"/>
    <w:rsid w:val="002A7299"/>
    <w:rsid w:val="002A745E"/>
    <w:rsid w:val="002B0500"/>
    <w:rsid w:val="002B0A45"/>
    <w:rsid w:val="002B1E2E"/>
    <w:rsid w:val="002B28D2"/>
    <w:rsid w:val="002B450F"/>
    <w:rsid w:val="002B4694"/>
    <w:rsid w:val="002B747E"/>
    <w:rsid w:val="002C071F"/>
    <w:rsid w:val="002C0D55"/>
    <w:rsid w:val="002C1340"/>
    <w:rsid w:val="002C158B"/>
    <w:rsid w:val="002C3DCF"/>
    <w:rsid w:val="002C3E1B"/>
    <w:rsid w:val="002C4D14"/>
    <w:rsid w:val="002C4E4A"/>
    <w:rsid w:val="002C589E"/>
    <w:rsid w:val="002C74A1"/>
    <w:rsid w:val="002D08E0"/>
    <w:rsid w:val="002D2CC6"/>
    <w:rsid w:val="002D3494"/>
    <w:rsid w:val="002D4239"/>
    <w:rsid w:val="002D4B56"/>
    <w:rsid w:val="002D5573"/>
    <w:rsid w:val="002D616A"/>
    <w:rsid w:val="002D652C"/>
    <w:rsid w:val="002D6C1C"/>
    <w:rsid w:val="002D7BA7"/>
    <w:rsid w:val="002D7C37"/>
    <w:rsid w:val="002E1205"/>
    <w:rsid w:val="002E4A0F"/>
    <w:rsid w:val="002E4A7A"/>
    <w:rsid w:val="002E61D6"/>
    <w:rsid w:val="002E69CB"/>
    <w:rsid w:val="002E719D"/>
    <w:rsid w:val="002E783B"/>
    <w:rsid w:val="002F0E0D"/>
    <w:rsid w:val="002F0F35"/>
    <w:rsid w:val="002F1355"/>
    <w:rsid w:val="002F149D"/>
    <w:rsid w:val="002F1905"/>
    <w:rsid w:val="002F5377"/>
    <w:rsid w:val="002F694A"/>
    <w:rsid w:val="002F6BC6"/>
    <w:rsid w:val="002F7AE9"/>
    <w:rsid w:val="002F7BD0"/>
    <w:rsid w:val="00300043"/>
    <w:rsid w:val="00300997"/>
    <w:rsid w:val="0030100D"/>
    <w:rsid w:val="003045A3"/>
    <w:rsid w:val="00304B5E"/>
    <w:rsid w:val="00304F2A"/>
    <w:rsid w:val="003053A1"/>
    <w:rsid w:val="003055DB"/>
    <w:rsid w:val="00305E04"/>
    <w:rsid w:val="0030648E"/>
    <w:rsid w:val="0030689B"/>
    <w:rsid w:val="00306A95"/>
    <w:rsid w:val="00307FE7"/>
    <w:rsid w:val="003112C0"/>
    <w:rsid w:val="00312B54"/>
    <w:rsid w:val="00313A8C"/>
    <w:rsid w:val="0031416E"/>
    <w:rsid w:val="003145A1"/>
    <w:rsid w:val="00314B49"/>
    <w:rsid w:val="00314BA6"/>
    <w:rsid w:val="00314DED"/>
    <w:rsid w:val="0031504C"/>
    <w:rsid w:val="003152EB"/>
    <w:rsid w:val="00315DB4"/>
    <w:rsid w:val="003165E9"/>
    <w:rsid w:val="003166BE"/>
    <w:rsid w:val="003168A2"/>
    <w:rsid w:val="00316904"/>
    <w:rsid w:val="0032098B"/>
    <w:rsid w:val="0032098F"/>
    <w:rsid w:val="00320C33"/>
    <w:rsid w:val="00321127"/>
    <w:rsid w:val="003215E9"/>
    <w:rsid w:val="003219D6"/>
    <w:rsid w:val="003229F8"/>
    <w:rsid w:val="00322D65"/>
    <w:rsid w:val="00324293"/>
    <w:rsid w:val="00324477"/>
    <w:rsid w:val="00324FFF"/>
    <w:rsid w:val="003258FF"/>
    <w:rsid w:val="003259B2"/>
    <w:rsid w:val="00325EF0"/>
    <w:rsid w:val="003269A8"/>
    <w:rsid w:val="00326A3F"/>
    <w:rsid w:val="00326C2C"/>
    <w:rsid w:val="00326F9F"/>
    <w:rsid w:val="0032713D"/>
    <w:rsid w:val="003273BA"/>
    <w:rsid w:val="00330B51"/>
    <w:rsid w:val="003314B6"/>
    <w:rsid w:val="00332B47"/>
    <w:rsid w:val="00332F7B"/>
    <w:rsid w:val="0033316A"/>
    <w:rsid w:val="00334454"/>
    <w:rsid w:val="00334C72"/>
    <w:rsid w:val="00335C95"/>
    <w:rsid w:val="00336655"/>
    <w:rsid w:val="0033751D"/>
    <w:rsid w:val="00337DAF"/>
    <w:rsid w:val="0034158C"/>
    <w:rsid w:val="0034160A"/>
    <w:rsid w:val="003419D1"/>
    <w:rsid w:val="00341C64"/>
    <w:rsid w:val="00342B1D"/>
    <w:rsid w:val="00343297"/>
    <w:rsid w:val="00343341"/>
    <w:rsid w:val="00343455"/>
    <w:rsid w:val="003435C6"/>
    <w:rsid w:val="00343E83"/>
    <w:rsid w:val="003442F3"/>
    <w:rsid w:val="00344AB1"/>
    <w:rsid w:val="00344BB4"/>
    <w:rsid w:val="00345252"/>
    <w:rsid w:val="00345898"/>
    <w:rsid w:val="00345CF8"/>
    <w:rsid w:val="003465A5"/>
    <w:rsid w:val="00350931"/>
    <w:rsid w:val="0035140B"/>
    <w:rsid w:val="00351421"/>
    <w:rsid w:val="00351ABB"/>
    <w:rsid w:val="00351E22"/>
    <w:rsid w:val="00353E0B"/>
    <w:rsid w:val="00355059"/>
    <w:rsid w:val="00355ABB"/>
    <w:rsid w:val="003567E1"/>
    <w:rsid w:val="0035748E"/>
    <w:rsid w:val="00357DCF"/>
    <w:rsid w:val="00360820"/>
    <w:rsid w:val="00360C7A"/>
    <w:rsid w:val="00360D21"/>
    <w:rsid w:val="0036213C"/>
    <w:rsid w:val="003628DA"/>
    <w:rsid w:val="003635DF"/>
    <w:rsid w:val="0036504C"/>
    <w:rsid w:val="0036539D"/>
    <w:rsid w:val="00366D46"/>
    <w:rsid w:val="003676C3"/>
    <w:rsid w:val="003709FF"/>
    <w:rsid w:val="00370C7C"/>
    <w:rsid w:val="00372978"/>
    <w:rsid w:val="00372FE9"/>
    <w:rsid w:val="00376AA0"/>
    <w:rsid w:val="00377517"/>
    <w:rsid w:val="003778E6"/>
    <w:rsid w:val="0038006A"/>
    <w:rsid w:val="00381D92"/>
    <w:rsid w:val="00381E45"/>
    <w:rsid w:val="00382532"/>
    <w:rsid w:val="003826D1"/>
    <w:rsid w:val="003839DF"/>
    <w:rsid w:val="00384677"/>
    <w:rsid w:val="00384B2A"/>
    <w:rsid w:val="00384BA6"/>
    <w:rsid w:val="003869B0"/>
    <w:rsid w:val="00387339"/>
    <w:rsid w:val="00387AC6"/>
    <w:rsid w:val="00387F4C"/>
    <w:rsid w:val="00391036"/>
    <w:rsid w:val="0039378A"/>
    <w:rsid w:val="003943FC"/>
    <w:rsid w:val="003944CC"/>
    <w:rsid w:val="00395253"/>
    <w:rsid w:val="003955B0"/>
    <w:rsid w:val="0039571F"/>
    <w:rsid w:val="00395CFD"/>
    <w:rsid w:val="003965EF"/>
    <w:rsid w:val="00396815"/>
    <w:rsid w:val="00396DE2"/>
    <w:rsid w:val="0039742B"/>
    <w:rsid w:val="00397BC0"/>
    <w:rsid w:val="003A0846"/>
    <w:rsid w:val="003A08B8"/>
    <w:rsid w:val="003A15EC"/>
    <w:rsid w:val="003A2331"/>
    <w:rsid w:val="003A3B47"/>
    <w:rsid w:val="003A403D"/>
    <w:rsid w:val="003A505A"/>
    <w:rsid w:val="003A5163"/>
    <w:rsid w:val="003A6636"/>
    <w:rsid w:val="003A6FD1"/>
    <w:rsid w:val="003B020A"/>
    <w:rsid w:val="003B1786"/>
    <w:rsid w:val="003B21BF"/>
    <w:rsid w:val="003B435C"/>
    <w:rsid w:val="003B465A"/>
    <w:rsid w:val="003B4721"/>
    <w:rsid w:val="003B5ACB"/>
    <w:rsid w:val="003B65AD"/>
    <w:rsid w:val="003B705B"/>
    <w:rsid w:val="003B7837"/>
    <w:rsid w:val="003C13C5"/>
    <w:rsid w:val="003C199E"/>
    <w:rsid w:val="003C263C"/>
    <w:rsid w:val="003C3899"/>
    <w:rsid w:val="003C4EDE"/>
    <w:rsid w:val="003C56DD"/>
    <w:rsid w:val="003C5C6E"/>
    <w:rsid w:val="003C607E"/>
    <w:rsid w:val="003C705B"/>
    <w:rsid w:val="003C7EEE"/>
    <w:rsid w:val="003D1D9D"/>
    <w:rsid w:val="003D2330"/>
    <w:rsid w:val="003D2963"/>
    <w:rsid w:val="003D413E"/>
    <w:rsid w:val="003D432D"/>
    <w:rsid w:val="003D4474"/>
    <w:rsid w:val="003D44EE"/>
    <w:rsid w:val="003D6C75"/>
    <w:rsid w:val="003D78AE"/>
    <w:rsid w:val="003E24C8"/>
    <w:rsid w:val="003E4F4E"/>
    <w:rsid w:val="003E568F"/>
    <w:rsid w:val="003E66EE"/>
    <w:rsid w:val="003E6DE2"/>
    <w:rsid w:val="003E70C5"/>
    <w:rsid w:val="003F2889"/>
    <w:rsid w:val="003F29E2"/>
    <w:rsid w:val="003F3D0C"/>
    <w:rsid w:val="003F5EA8"/>
    <w:rsid w:val="003F7747"/>
    <w:rsid w:val="003F7C5E"/>
    <w:rsid w:val="00400424"/>
    <w:rsid w:val="004007DF"/>
    <w:rsid w:val="00400B94"/>
    <w:rsid w:val="00401072"/>
    <w:rsid w:val="00402B06"/>
    <w:rsid w:val="004059B8"/>
    <w:rsid w:val="00406279"/>
    <w:rsid w:val="00406336"/>
    <w:rsid w:val="00407BD5"/>
    <w:rsid w:val="0041008F"/>
    <w:rsid w:val="00410B10"/>
    <w:rsid w:val="0041149B"/>
    <w:rsid w:val="00412E98"/>
    <w:rsid w:val="004148C2"/>
    <w:rsid w:val="00414940"/>
    <w:rsid w:val="00415502"/>
    <w:rsid w:val="00415682"/>
    <w:rsid w:val="00415B59"/>
    <w:rsid w:val="004164DC"/>
    <w:rsid w:val="00416C79"/>
    <w:rsid w:val="00417BC1"/>
    <w:rsid w:val="00417E61"/>
    <w:rsid w:val="00417FD0"/>
    <w:rsid w:val="0042034E"/>
    <w:rsid w:val="00421BEF"/>
    <w:rsid w:val="00422A70"/>
    <w:rsid w:val="004234ED"/>
    <w:rsid w:val="0042412F"/>
    <w:rsid w:val="0042482C"/>
    <w:rsid w:val="00424BE0"/>
    <w:rsid w:val="00424D92"/>
    <w:rsid w:val="00426321"/>
    <w:rsid w:val="00426675"/>
    <w:rsid w:val="00426E0C"/>
    <w:rsid w:val="0042751E"/>
    <w:rsid w:val="004275F7"/>
    <w:rsid w:val="00430106"/>
    <w:rsid w:val="0043142C"/>
    <w:rsid w:val="004336CE"/>
    <w:rsid w:val="004339A8"/>
    <w:rsid w:val="00436B63"/>
    <w:rsid w:val="00436E21"/>
    <w:rsid w:val="004373B3"/>
    <w:rsid w:val="00437D15"/>
    <w:rsid w:val="004413DF"/>
    <w:rsid w:val="00443339"/>
    <w:rsid w:val="00443ADB"/>
    <w:rsid w:val="00443D86"/>
    <w:rsid w:val="00444ABC"/>
    <w:rsid w:val="00445040"/>
    <w:rsid w:val="0044547A"/>
    <w:rsid w:val="004463AA"/>
    <w:rsid w:val="004468E4"/>
    <w:rsid w:val="004478EA"/>
    <w:rsid w:val="0045090B"/>
    <w:rsid w:val="00450A87"/>
    <w:rsid w:val="00450B27"/>
    <w:rsid w:val="00451EB7"/>
    <w:rsid w:val="00452807"/>
    <w:rsid w:val="004529FC"/>
    <w:rsid w:val="00452DE9"/>
    <w:rsid w:val="00452E0E"/>
    <w:rsid w:val="00453E2B"/>
    <w:rsid w:val="00454002"/>
    <w:rsid w:val="00454FEF"/>
    <w:rsid w:val="00455009"/>
    <w:rsid w:val="00456486"/>
    <w:rsid w:val="00456C1F"/>
    <w:rsid w:val="004573E5"/>
    <w:rsid w:val="0045761A"/>
    <w:rsid w:val="0046147B"/>
    <w:rsid w:val="00463AF9"/>
    <w:rsid w:val="00464883"/>
    <w:rsid w:val="00464A18"/>
    <w:rsid w:val="00464C9F"/>
    <w:rsid w:val="00464FE3"/>
    <w:rsid w:val="0046566C"/>
    <w:rsid w:val="00467AA9"/>
    <w:rsid w:val="00471204"/>
    <w:rsid w:val="0047152D"/>
    <w:rsid w:val="00471C02"/>
    <w:rsid w:val="00472526"/>
    <w:rsid w:val="00472BBF"/>
    <w:rsid w:val="0047365F"/>
    <w:rsid w:val="0047608A"/>
    <w:rsid w:val="00476B1B"/>
    <w:rsid w:val="004775F1"/>
    <w:rsid w:val="004804AF"/>
    <w:rsid w:val="004825BE"/>
    <w:rsid w:val="00483287"/>
    <w:rsid w:val="00483886"/>
    <w:rsid w:val="00483EEF"/>
    <w:rsid w:val="00483F65"/>
    <w:rsid w:val="0048418B"/>
    <w:rsid w:val="00485C12"/>
    <w:rsid w:val="004864CA"/>
    <w:rsid w:val="00486C29"/>
    <w:rsid w:val="00486D20"/>
    <w:rsid w:val="004879D4"/>
    <w:rsid w:val="004917C2"/>
    <w:rsid w:val="0049354B"/>
    <w:rsid w:val="004938FE"/>
    <w:rsid w:val="00493ED2"/>
    <w:rsid w:val="004941FA"/>
    <w:rsid w:val="004949CB"/>
    <w:rsid w:val="004952CC"/>
    <w:rsid w:val="00495569"/>
    <w:rsid w:val="004957D0"/>
    <w:rsid w:val="00495A8F"/>
    <w:rsid w:val="00496898"/>
    <w:rsid w:val="00496C07"/>
    <w:rsid w:val="00497D28"/>
    <w:rsid w:val="004A0786"/>
    <w:rsid w:val="004A0C10"/>
    <w:rsid w:val="004A1262"/>
    <w:rsid w:val="004A16C9"/>
    <w:rsid w:val="004A1DE8"/>
    <w:rsid w:val="004A2401"/>
    <w:rsid w:val="004A242E"/>
    <w:rsid w:val="004A2525"/>
    <w:rsid w:val="004A259A"/>
    <w:rsid w:val="004A3228"/>
    <w:rsid w:val="004A3BFE"/>
    <w:rsid w:val="004A3EDB"/>
    <w:rsid w:val="004A3F12"/>
    <w:rsid w:val="004A3F98"/>
    <w:rsid w:val="004A4B21"/>
    <w:rsid w:val="004A4DE6"/>
    <w:rsid w:val="004A5D9F"/>
    <w:rsid w:val="004A5DBB"/>
    <w:rsid w:val="004A6319"/>
    <w:rsid w:val="004A64C7"/>
    <w:rsid w:val="004A6C84"/>
    <w:rsid w:val="004B0429"/>
    <w:rsid w:val="004B05C4"/>
    <w:rsid w:val="004B1211"/>
    <w:rsid w:val="004B23C1"/>
    <w:rsid w:val="004B273F"/>
    <w:rsid w:val="004B28DF"/>
    <w:rsid w:val="004B415D"/>
    <w:rsid w:val="004B452A"/>
    <w:rsid w:val="004B46C8"/>
    <w:rsid w:val="004B4CDA"/>
    <w:rsid w:val="004B583E"/>
    <w:rsid w:val="004B5A39"/>
    <w:rsid w:val="004B5D87"/>
    <w:rsid w:val="004B5FDF"/>
    <w:rsid w:val="004B6C28"/>
    <w:rsid w:val="004B78E1"/>
    <w:rsid w:val="004C00D8"/>
    <w:rsid w:val="004C0F45"/>
    <w:rsid w:val="004C1A8D"/>
    <w:rsid w:val="004C1B0F"/>
    <w:rsid w:val="004C24CD"/>
    <w:rsid w:val="004C28F1"/>
    <w:rsid w:val="004C299D"/>
    <w:rsid w:val="004C35B5"/>
    <w:rsid w:val="004C42E9"/>
    <w:rsid w:val="004C508E"/>
    <w:rsid w:val="004C67CB"/>
    <w:rsid w:val="004C6B00"/>
    <w:rsid w:val="004C71F6"/>
    <w:rsid w:val="004D2348"/>
    <w:rsid w:val="004D24FF"/>
    <w:rsid w:val="004D2903"/>
    <w:rsid w:val="004D5029"/>
    <w:rsid w:val="004D5382"/>
    <w:rsid w:val="004D5933"/>
    <w:rsid w:val="004D6F1D"/>
    <w:rsid w:val="004D70FF"/>
    <w:rsid w:val="004E0834"/>
    <w:rsid w:val="004E0A9C"/>
    <w:rsid w:val="004E1CAA"/>
    <w:rsid w:val="004E296D"/>
    <w:rsid w:val="004E2A7D"/>
    <w:rsid w:val="004E4C74"/>
    <w:rsid w:val="004E6395"/>
    <w:rsid w:val="004F25CB"/>
    <w:rsid w:val="004F25EE"/>
    <w:rsid w:val="004F2B59"/>
    <w:rsid w:val="004F39F0"/>
    <w:rsid w:val="004F41C3"/>
    <w:rsid w:val="004F5DCD"/>
    <w:rsid w:val="004F6D27"/>
    <w:rsid w:val="004F763B"/>
    <w:rsid w:val="00502CD3"/>
    <w:rsid w:val="00502F4C"/>
    <w:rsid w:val="00503576"/>
    <w:rsid w:val="00503902"/>
    <w:rsid w:val="00504ADC"/>
    <w:rsid w:val="00504BC3"/>
    <w:rsid w:val="00505650"/>
    <w:rsid w:val="005067FE"/>
    <w:rsid w:val="005075A6"/>
    <w:rsid w:val="00507FE4"/>
    <w:rsid w:val="00511488"/>
    <w:rsid w:val="00511A65"/>
    <w:rsid w:val="005136C2"/>
    <w:rsid w:val="00514121"/>
    <w:rsid w:val="00514D22"/>
    <w:rsid w:val="00514F52"/>
    <w:rsid w:val="005159F7"/>
    <w:rsid w:val="00515ED1"/>
    <w:rsid w:val="00516308"/>
    <w:rsid w:val="0051642B"/>
    <w:rsid w:val="005164E8"/>
    <w:rsid w:val="00517B7C"/>
    <w:rsid w:val="005214F2"/>
    <w:rsid w:val="005243FD"/>
    <w:rsid w:val="0052465A"/>
    <w:rsid w:val="005252CA"/>
    <w:rsid w:val="00530B56"/>
    <w:rsid w:val="00531062"/>
    <w:rsid w:val="005320FC"/>
    <w:rsid w:val="00532115"/>
    <w:rsid w:val="00532427"/>
    <w:rsid w:val="005324EA"/>
    <w:rsid w:val="00532A6F"/>
    <w:rsid w:val="005330FD"/>
    <w:rsid w:val="00533263"/>
    <w:rsid w:val="00534EA3"/>
    <w:rsid w:val="005358CF"/>
    <w:rsid w:val="00535A3E"/>
    <w:rsid w:val="005360E7"/>
    <w:rsid w:val="005408D8"/>
    <w:rsid w:val="00541199"/>
    <w:rsid w:val="00542BBD"/>
    <w:rsid w:val="00542C92"/>
    <w:rsid w:val="00542CE1"/>
    <w:rsid w:val="00542F1A"/>
    <w:rsid w:val="005440E4"/>
    <w:rsid w:val="00544D7C"/>
    <w:rsid w:val="005458E1"/>
    <w:rsid w:val="00546455"/>
    <w:rsid w:val="00546AFC"/>
    <w:rsid w:val="00546ED8"/>
    <w:rsid w:val="00547454"/>
    <w:rsid w:val="005475FC"/>
    <w:rsid w:val="00547FE8"/>
    <w:rsid w:val="00550174"/>
    <w:rsid w:val="0055075A"/>
    <w:rsid w:val="00550ACA"/>
    <w:rsid w:val="00552AD4"/>
    <w:rsid w:val="00553FA5"/>
    <w:rsid w:val="0055415C"/>
    <w:rsid w:val="0055424B"/>
    <w:rsid w:val="00556EF9"/>
    <w:rsid w:val="0055706C"/>
    <w:rsid w:val="00557310"/>
    <w:rsid w:val="005577B7"/>
    <w:rsid w:val="0056018A"/>
    <w:rsid w:val="00560BE2"/>
    <w:rsid w:val="005611C3"/>
    <w:rsid w:val="00561891"/>
    <w:rsid w:val="00562289"/>
    <w:rsid w:val="005623D7"/>
    <w:rsid w:val="00563157"/>
    <w:rsid w:val="00564824"/>
    <w:rsid w:val="00565294"/>
    <w:rsid w:val="0056614E"/>
    <w:rsid w:val="00566DF0"/>
    <w:rsid w:val="00566FAF"/>
    <w:rsid w:val="005670FF"/>
    <w:rsid w:val="00567614"/>
    <w:rsid w:val="005706A1"/>
    <w:rsid w:val="00571181"/>
    <w:rsid w:val="00573A2C"/>
    <w:rsid w:val="00575E36"/>
    <w:rsid w:val="00576610"/>
    <w:rsid w:val="00577116"/>
    <w:rsid w:val="005776AE"/>
    <w:rsid w:val="0058068B"/>
    <w:rsid w:val="00581BBD"/>
    <w:rsid w:val="0058448D"/>
    <w:rsid w:val="00584A45"/>
    <w:rsid w:val="00584B97"/>
    <w:rsid w:val="0058555B"/>
    <w:rsid w:val="00586AFC"/>
    <w:rsid w:val="00586D61"/>
    <w:rsid w:val="0058757C"/>
    <w:rsid w:val="00587EDD"/>
    <w:rsid w:val="00587EF3"/>
    <w:rsid w:val="005910AA"/>
    <w:rsid w:val="005916AE"/>
    <w:rsid w:val="00591C56"/>
    <w:rsid w:val="005939DD"/>
    <w:rsid w:val="00593C1E"/>
    <w:rsid w:val="00593CF6"/>
    <w:rsid w:val="00593D05"/>
    <w:rsid w:val="0059488D"/>
    <w:rsid w:val="00594C47"/>
    <w:rsid w:val="00596310"/>
    <w:rsid w:val="0059638C"/>
    <w:rsid w:val="00596823"/>
    <w:rsid w:val="00596F90"/>
    <w:rsid w:val="005A0DC1"/>
    <w:rsid w:val="005A16F1"/>
    <w:rsid w:val="005A1715"/>
    <w:rsid w:val="005A2CE8"/>
    <w:rsid w:val="005A33CB"/>
    <w:rsid w:val="005A3777"/>
    <w:rsid w:val="005A3D5C"/>
    <w:rsid w:val="005A4281"/>
    <w:rsid w:val="005A514E"/>
    <w:rsid w:val="005A6C23"/>
    <w:rsid w:val="005A74A9"/>
    <w:rsid w:val="005A7ECC"/>
    <w:rsid w:val="005B0CB5"/>
    <w:rsid w:val="005B158E"/>
    <w:rsid w:val="005B24C4"/>
    <w:rsid w:val="005B2A68"/>
    <w:rsid w:val="005B5E46"/>
    <w:rsid w:val="005B6EC3"/>
    <w:rsid w:val="005B74AB"/>
    <w:rsid w:val="005B7E51"/>
    <w:rsid w:val="005B7E79"/>
    <w:rsid w:val="005C0946"/>
    <w:rsid w:val="005C0A0C"/>
    <w:rsid w:val="005C274F"/>
    <w:rsid w:val="005C2ED4"/>
    <w:rsid w:val="005C42E6"/>
    <w:rsid w:val="005C4D2E"/>
    <w:rsid w:val="005C64C4"/>
    <w:rsid w:val="005C7BF1"/>
    <w:rsid w:val="005C7FD1"/>
    <w:rsid w:val="005D1DB8"/>
    <w:rsid w:val="005D2427"/>
    <w:rsid w:val="005D2FB2"/>
    <w:rsid w:val="005D50D6"/>
    <w:rsid w:val="005D55D6"/>
    <w:rsid w:val="005D55F2"/>
    <w:rsid w:val="005D5D1B"/>
    <w:rsid w:val="005D5DFC"/>
    <w:rsid w:val="005D6EB3"/>
    <w:rsid w:val="005D731F"/>
    <w:rsid w:val="005E02B6"/>
    <w:rsid w:val="005E0D30"/>
    <w:rsid w:val="005E174C"/>
    <w:rsid w:val="005E19D5"/>
    <w:rsid w:val="005E207B"/>
    <w:rsid w:val="005E26B3"/>
    <w:rsid w:val="005E2A2F"/>
    <w:rsid w:val="005E39B3"/>
    <w:rsid w:val="005E4047"/>
    <w:rsid w:val="005E428E"/>
    <w:rsid w:val="005E47A5"/>
    <w:rsid w:val="005E4DC1"/>
    <w:rsid w:val="005E5C4C"/>
    <w:rsid w:val="005E6BDA"/>
    <w:rsid w:val="005E7499"/>
    <w:rsid w:val="005E74BC"/>
    <w:rsid w:val="005F1DA8"/>
    <w:rsid w:val="005F34E0"/>
    <w:rsid w:val="005F49D7"/>
    <w:rsid w:val="005F4E8C"/>
    <w:rsid w:val="005F501B"/>
    <w:rsid w:val="005F6034"/>
    <w:rsid w:val="005F62B6"/>
    <w:rsid w:val="005F6A5A"/>
    <w:rsid w:val="005F790C"/>
    <w:rsid w:val="005F7CFD"/>
    <w:rsid w:val="006005D1"/>
    <w:rsid w:val="00601EE4"/>
    <w:rsid w:val="0060395C"/>
    <w:rsid w:val="00604328"/>
    <w:rsid w:val="006043DC"/>
    <w:rsid w:val="006053B5"/>
    <w:rsid w:val="00605807"/>
    <w:rsid w:val="0060766B"/>
    <w:rsid w:val="00607912"/>
    <w:rsid w:val="00610DE2"/>
    <w:rsid w:val="00612465"/>
    <w:rsid w:val="006128B4"/>
    <w:rsid w:val="00613E45"/>
    <w:rsid w:val="00614546"/>
    <w:rsid w:val="00614600"/>
    <w:rsid w:val="006158B7"/>
    <w:rsid w:val="00615CA0"/>
    <w:rsid w:val="006164E5"/>
    <w:rsid w:val="00617C80"/>
    <w:rsid w:val="0062396A"/>
    <w:rsid w:val="00626914"/>
    <w:rsid w:val="00626D9A"/>
    <w:rsid w:val="006272FE"/>
    <w:rsid w:val="006300BF"/>
    <w:rsid w:val="006306F3"/>
    <w:rsid w:val="0063302D"/>
    <w:rsid w:val="00633B51"/>
    <w:rsid w:val="00633C79"/>
    <w:rsid w:val="00633F2E"/>
    <w:rsid w:val="0063445A"/>
    <w:rsid w:val="00634D6F"/>
    <w:rsid w:val="00634ED8"/>
    <w:rsid w:val="00635FDB"/>
    <w:rsid w:val="00636654"/>
    <w:rsid w:val="0063750B"/>
    <w:rsid w:val="00640763"/>
    <w:rsid w:val="0064098E"/>
    <w:rsid w:val="00640F8F"/>
    <w:rsid w:val="00642103"/>
    <w:rsid w:val="0064239C"/>
    <w:rsid w:val="00642604"/>
    <w:rsid w:val="006435EF"/>
    <w:rsid w:val="00643A52"/>
    <w:rsid w:val="00643A64"/>
    <w:rsid w:val="006443DA"/>
    <w:rsid w:val="0064459F"/>
    <w:rsid w:val="00644E57"/>
    <w:rsid w:val="00645B0C"/>
    <w:rsid w:val="00646D9A"/>
    <w:rsid w:val="006474B9"/>
    <w:rsid w:val="006476DD"/>
    <w:rsid w:val="006477CA"/>
    <w:rsid w:val="00647C89"/>
    <w:rsid w:val="00651B96"/>
    <w:rsid w:val="00651E72"/>
    <w:rsid w:val="00651FDB"/>
    <w:rsid w:val="0065269B"/>
    <w:rsid w:val="00653020"/>
    <w:rsid w:val="006541A4"/>
    <w:rsid w:val="00655B1B"/>
    <w:rsid w:val="006560A3"/>
    <w:rsid w:val="006562D1"/>
    <w:rsid w:val="00656831"/>
    <w:rsid w:val="006574B2"/>
    <w:rsid w:val="00657E88"/>
    <w:rsid w:val="00660096"/>
    <w:rsid w:val="00660AE7"/>
    <w:rsid w:val="006614CE"/>
    <w:rsid w:val="00662E41"/>
    <w:rsid w:val="00662EE3"/>
    <w:rsid w:val="00664655"/>
    <w:rsid w:val="00664EE4"/>
    <w:rsid w:val="0066572F"/>
    <w:rsid w:val="00665EE0"/>
    <w:rsid w:val="006676B6"/>
    <w:rsid w:val="006701AA"/>
    <w:rsid w:val="006706B8"/>
    <w:rsid w:val="00670740"/>
    <w:rsid w:val="00672DB5"/>
    <w:rsid w:val="006743BE"/>
    <w:rsid w:val="006752D4"/>
    <w:rsid w:val="00677E41"/>
    <w:rsid w:val="00681E86"/>
    <w:rsid w:val="0068204C"/>
    <w:rsid w:val="006833B4"/>
    <w:rsid w:val="00683C24"/>
    <w:rsid w:val="00685DB5"/>
    <w:rsid w:val="006861D7"/>
    <w:rsid w:val="006869D1"/>
    <w:rsid w:val="00687A9C"/>
    <w:rsid w:val="00690869"/>
    <w:rsid w:val="00690D3B"/>
    <w:rsid w:val="0069226B"/>
    <w:rsid w:val="00692507"/>
    <w:rsid w:val="0069255B"/>
    <w:rsid w:val="0069258B"/>
    <w:rsid w:val="00692C52"/>
    <w:rsid w:val="0069368E"/>
    <w:rsid w:val="00694C16"/>
    <w:rsid w:val="006957A4"/>
    <w:rsid w:val="00695C58"/>
    <w:rsid w:val="006964CC"/>
    <w:rsid w:val="00696527"/>
    <w:rsid w:val="00696B3E"/>
    <w:rsid w:val="00696DB6"/>
    <w:rsid w:val="006978E7"/>
    <w:rsid w:val="006A03D8"/>
    <w:rsid w:val="006A1870"/>
    <w:rsid w:val="006A1CF8"/>
    <w:rsid w:val="006A3C30"/>
    <w:rsid w:val="006A3CF4"/>
    <w:rsid w:val="006A4BD7"/>
    <w:rsid w:val="006A54DC"/>
    <w:rsid w:val="006A5E34"/>
    <w:rsid w:val="006A71B8"/>
    <w:rsid w:val="006A7538"/>
    <w:rsid w:val="006A7722"/>
    <w:rsid w:val="006A785C"/>
    <w:rsid w:val="006B1C0E"/>
    <w:rsid w:val="006B33A7"/>
    <w:rsid w:val="006B50E2"/>
    <w:rsid w:val="006B76EF"/>
    <w:rsid w:val="006C07C5"/>
    <w:rsid w:val="006C0FAE"/>
    <w:rsid w:val="006C1D4D"/>
    <w:rsid w:val="006C26D1"/>
    <w:rsid w:val="006C3378"/>
    <w:rsid w:val="006C3E9F"/>
    <w:rsid w:val="006C4286"/>
    <w:rsid w:val="006C43A1"/>
    <w:rsid w:val="006C4BCF"/>
    <w:rsid w:val="006C56E5"/>
    <w:rsid w:val="006C6B24"/>
    <w:rsid w:val="006C79BA"/>
    <w:rsid w:val="006C7E1C"/>
    <w:rsid w:val="006D0516"/>
    <w:rsid w:val="006D0F9C"/>
    <w:rsid w:val="006D15D6"/>
    <w:rsid w:val="006D2CD4"/>
    <w:rsid w:val="006D3FE8"/>
    <w:rsid w:val="006D4E7D"/>
    <w:rsid w:val="006D7742"/>
    <w:rsid w:val="006E0AAF"/>
    <w:rsid w:val="006E3E48"/>
    <w:rsid w:val="006E4252"/>
    <w:rsid w:val="006E4488"/>
    <w:rsid w:val="006E5974"/>
    <w:rsid w:val="006E622A"/>
    <w:rsid w:val="006E6C07"/>
    <w:rsid w:val="006E70B2"/>
    <w:rsid w:val="006F03A6"/>
    <w:rsid w:val="006F1A86"/>
    <w:rsid w:val="006F2065"/>
    <w:rsid w:val="006F5870"/>
    <w:rsid w:val="007004A0"/>
    <w:rsid w:val="007009A0"/>
    <w:rsid w:val="00700E93"/>
    <w:rsid w:val="00700F3C"/>
    <w:rsid w:val="00701464"/>
    <w:rsid w:val="0070301A"/>
    <w:rsid w:val="007043D5"/>
    <w:rsid w:val="00704AFF"/>
    <w:rsid w:val="00705367"/>
    <w:rsid w:val="00705631"/>
    <w:rsid w:val="007058D8"/>
    <w:rsid w:val="00705990"/>
    <w:rsid w:val="007114B4"/>
    <w:rsid w:val="00713395"/>
    <w:rsid w:val="00713CAC"/>
    <w:rsid w:val="00715D2A"/>
    <w:rsid w:val="007164A3"/>
    <w:rsid w:val="0072059E"/>
    <w:rsid w:val="00720899"/>
    <w:rsid w:val="007208E1"/>
    <w:rsid w:val="007219DC"/>
    <w:rsid w:val="00721E57"/>
    <w:rsid w:val="00722CB9"/>
    <w:rsid w:val="00723F95"/>
    <w:rsid w:val="00723FC8"/>
    <w:rsid w:val="007250D5"/>
    <w:rsid w:val="0072674D"/>
    <w:rsid w:val="00726BE3"/>
    <w:rsid w:val="00727DAD"/>
    <w:rsid w:val="00730050"/>
    <w:rsid w:val="007302FE"/>
    <w:rsid w:val="00730BD6"/>
    <w:rsid w:val="00730F53"/>
    <w:rsid w:val="00732527"/>
    <w:rsid w:val="00732EB3"/>
    <w:rsid w:val="00734095"/>
    <w:rsid w:val="007340FE"/>
    <w:rsid w:val="00734C2B"/>
    <w:rsid w:val="00736150"/>
    <w:rsid w:val="007371EF"/>
    <w:rsid w:val="00737469"/>
    <w:rsid w:val="0073749D"/>
    <w:rsid w:val="00740A92"/>
    <w:rsid w:val="007440D7"/>
    <w:rsid w:val="00744AAE"/>
    <w:rsid w:val="00745043"/>
    <w:rsid w:val="0074547D"/>
    <w:rsid w:val="007471FC"/>
    <w:rsid w:val="0074758A"/>
    <w:rsid w:val="00747CD4"/>
    <w:rsid w:val="00753A11"/>
    <w:rsid w:val="00753BFC"/>
    <w:rsid w:val="00754EDE"/>
    <w:rsid w:val="00755C38"/>
    <w:rsid w:val="00755C48"/>
    <w:rsid w:val="007562ED"/>
    <w:rsid w:val="0075687B"/>
    <w:rsid w:val="00757242"/>
    <w:rsid w:val="00757A2B"/>
    <w:rsid w:val="00757B02"/>
    <w:rsid w:val="00760272"/>
    <w:rsid w:val="00760AE4"/>
    <w:rsid w:val="00761B42"/>
    <w:rsid w:val="00761BBC"/>
    <w:rsid w:val="00761D26"/>
    <w:rsid w:val="007625E7"/>
    <w:rsid w:val="007652EE"/>
    <w:rsid w:val="00765B7A"/>
    <w:rsid w:val="0076632B"/>
    <w:rsid w:val="0076768B"/>
    <w:rsid w:val="0076772D"/>
    <w:rsid w:val="00770E38"/>
    <w:rsid w:val="00770F71"/>
    <w:rsid w:val="0077116A"/>
    <w:rsid w:val="0077172B"/>
    <w:rsid w:val="00773475"/>
    <w:rsid w:val="00774490"/>
    <w:rsid w:val="00776725"/>
    <w:rsid w:val="00776FF2"/>
    <w:rsid w:val="007770B2"/>
    <w:rsid w:val="007778E6"/>
    <w:rsid w:val="00780ADB"/>
    <w:rsid w:val="007828F4"/>
    <w:rsid w:val="00782FAB"/>
    <w:rsid w:val="0078329E"/>
    <w:rsid w:val="007845CB"/>
    <w:rsid w:val="00785AD9"/>
    <w:rsid w:val="00786629"/>
    <w:rsid w:val="00786DDF"/>
    <w:rsid w:val="007874A6"/>
    <w:rsid w:val="00787927"/>
    <w:rsid w:val="00787DFF"/>
    <w:rsid w:val="00790259"/>
    <w:rsid w:val="007907BA"/>
    <w:rsid w:val="007908E7"/>
    <w:rsid w:val="00790A70"/>
    <w:rsid w:val="00791709"/>
    <w:rsid w:val="00792B25"/>
    <w:rsid w:val="00793829"/>
    <w:rsid w:val="0079405C"/>
    <w:rsid w:val="00796496"/>
    <w:rsid w:val="00796819"/>
    <w:rsid w:val="00796B92"/>
    <w:rsid w:val="007A0361"/>
    <w:rsid w:val="007A0EF1"/>
    <w:rsid w:val="007A32D3"/>
    <w:rsid w:val="007A43F4"/>
    <w:rsid w:val="007A55D5"/>
    <w:rsid w:val="007A61F5"/>
    <w:rsid w:val="007A6263"/>
    <w:rsid w:val="007A6A3F"/>
    <w:rsid w:val="007A6C49"/>
    <w:rsid w:val="007A6E23"/>
    <w:rsid w:val="007A6E70"/>
    <w:rsid w:val="007A7D4C"/>
    <w:rsid w:val="007B112D"/>
    <w:rsid w:val="007B26A4"/>
    <w:rsid w:val="007B39F0"/>
    <w:rsid w:val="007B3DEF"/>
    <w:rsid w:val="007B4CB7"/>
    <w:rsid w:val="007B7E53"/>
    <w:rsid w:val="007B7F53"/>
    <w:rsid w:val="007C0103"/>
    <w:rsid w:val="007C040F"/>
    <w:rsid w:val="007C0561"/>
    <w:rsid w:val="007C0B6D"/>
    <w:rsid w:val="007C0F27"/>
    <w:rsid w:val="007C1458"/>
    <w:rsid w:val="007C1E05"/>
    <w:rsid w:val="007C28CC"/>
    <w:rsid w:val="007C2DF7"/>
    <w:rsid w:val="007C3E26"/>
    <w:rsid w:val="007C40CA"/>
    <w:rsid w:val="007C4132"/>
    <w:rsid w:val="007C5664"/>
    <w:rsid w:val="007C56E3"/>
    <w:rsid w:val="007C6FFA"/>
    <w:rsid w:val="007D0012"/>
    <w:rsid w:val="007D0844"/>
    <w:rsid w:val="007D196F"/>
    <w:rsid w:val="007D2422"/>
    <w:rsid w:val="007D35BD"/>
    <w:rsid w:val="007D3C5E"/>
    <w:rsid w:val="007D46B4"/>
    <w:rsid w:val="007D4BC5"/>
    <w:rsid w:val="007D4E85"/>
    <w:rsid w:val="007D673A"/>
    <w:rsid w:val="007D75D2"/>
    <w:rsid w:val="007D7BF4"/>
    <w:rsid w:val="007E1A07"/>
    <w:rsid w:val="007E1C3B"/>
    <w:rsid w:val="007E32DE"/>
    <w:rsid w:val="007E3AD5"/>
    <w:rsid w:val="007E4A67"/>
    <w:rsid w:val="007E543B"/>
    <w:rsid w:val="007E60DE"/>
    <w:rsid w:val="007E672D"/>
    <w:rsid w:val="007E6C3F"/>
    <w:rsid w:val="007F073F"/>
    <w:rsid w:val="007F2E3C"/>
    <w:rsid w:val="007F3EEE"/>
    <w:rsid w:val="007F3F52"/>
    <w:rsid w:val="007F524C"/>
    <w:rsid w:val="007F57CC"/>
    <w:rsid w:val="007F6B6F"/>
    <w:rsid w:val="007F6C36"/>
    <w:rsid w:val="007F798B"/>
    <w:rsid w:val="007F7BFA"/>
    <w:rsid w:val="00802206"/>
    <w:rsid w:val="00802AEF"/>
    <w:rsid w:val="00802F34"/>
    <w:rsid w:val="00803770"/>
    <w:rsid w:val="0080544A"/>
    <w:rsid w:val="008071F5"/>
    <w:rsid w:val="00810261"/>
    <w:rsid w:val="0081154C"/>
    <w:rsid w:val="00812569"/>
    <w:rsid w:val="00812E84"/>
    <w:rsid w:val="00812F83"/>
    <w:rsid w:val="00813B2F"/>
    <w:rsid w:val="00813B51"/>
    <w:rsid w:val="00815020"/>
    <w:rsid w:val="0081511E"/>
    <w:rsid w:val="00815CD6"/>
    <w:rsid w:val="008163F9"/>
    <w:rsid w:val="008164CE"/>
    <w:rsid w:val="0081685F"/>
    <w:rsid w:val="00816B2A"/>
    <w:rsid w:val="00816CBF"/>
    <w:rsid w:val="008171DA"/>
    <w:rsid w:val="008210BB"/>
    <w:rsid w:val="00822139"/>
    <w:rsid w:val="008223E3"/>
    <w:rsid w:val="0082399C"/>
    <w:rsid w:val="0082479D"/>
    <w:rsid w:val="008252CB"/>
    <w:rsid w:val="008258E5"/>
    <w:rsid w:val="0083027D"/>
    <w:rsid w:val="008309FA"/>
    <w:rsid w:val="00831AE2"/>
    <w:rsid w:val="008328DC"/>
    <w:rsid w:val="00832CA2"/>
    <w:rsid w:val="008333CF"/>
    <w:rsid w:val="0083351B"/>
    <w:rsid w:val="00834AF1"/>
    <w:rsid w:val="00835455"/>
    <w:rsid w:val="0083686F"/>
    <w:rsid w:val="008375E0"/>
    <w:rsid w:val="00840A3F"/>
    <w:rsid w:val="00840D35"/>
    <w:rsid w:val="00840D7D"/>
    <w:rsid w:val="00840F5A"/>
    <w:rsid w:val="00841A0D"/>
    <w:rsid w:val="00841BB0"/>
    <w:rsid w:val="0084405E"/>
    <w:rsid w:val="0084520D"/>
    <w:rsid w:val="008459DB"/>
    <w:rsid w:val="0084704A"/>
    <w:rsid w:val="0084715E"/>
    <w:rsid w:val="0084746F"/>
    <w:rsid w:val="00847976"/>
    <w:rsid w:val="00850485"/>
    <w:rsid w:val="00851433"/>
    <w:rsid w:val="00851625"/>
    <w:rsid w:val="0085208F"/>
    <w:rsid w:val="008526CA"/>
    <w:rsid w:val="008535FC"/>
    <w:rsid w:val="0085438A"/>
    <w:rsid w:val="00856863"/>
    <w:rsid w:val="00857683"/>
    <w:rsid w:val="00857C2A"/>
    <w:rsid w:val="00860CC0"/>
    <w:rsid w:val="00860DEA"/>
    <w:rsid w:val="00862977"/>
    <w:rsid w:val="00863FF0"/>
    <w:rsid w:val="00864143"/>
    <w:rsid w:val="00864505"/>
    <w:rsid w:val="00866569"/>
    <w:rsid w:val="00866628"/>
    <w:rsid w:val="008677FA"/>
    <w:rsid w:val="00867FD1"/>
    <w:rsid w:val="00870767"/>
    <w:rsid w:val="00870C48"/>
    <w:rsid w:val="00870DE1"/>
    <w:rsid w:val="00870F8B"/>
    <w:rsid w:val="00873713"/>
    <w:rsid w:val="0087372C"/>
    <w:rsid w:val="00875054"/>
    <w:rsid w:val="00875775"/>
    <w:rsid w:val="00875A6B"/>
    <w:rsid w:val="0087634B"/>
    <w:rsid w:val="00877C7C"/>
    <w:rsid w:val="00880AF1"/>
    <w:rsid w:val="00880B6D"/>
    <w:rsid w:val="00881AF8"/>
    <w:rsid w:val="008822AC"/>
    <w:rsid w:val="00882836"/>
    <w:rsid w:val="00884127"/>
    <w:rsid w:val="00884B9A"/>
    <w:rsid w:val="008853E0"/>
    <w:rsid w:val="008855AA"/>
    <w:rsid w:val="00885B72"/>
    <w:rsid w:val="0088703B"/>
    <w:rsid w:val="0088745D"/>
    <w:rsid w:val="00887E21"/>
    <w:rsid w:val="008900B2"/>
    <w:rsid w:val="0089036D"/>
    <w:rsid w:val="008906F0"/>
    <w:rsid w:val="00892D20"/>
    <w:rsid w:val="008934F3"/>
    <w:rsid w:val="00893568"/>
    <w:rsid w:val="00894544"/>
    <w:rsid w:val="008952C3"/>
    <w:rsid w:val="00895D6A"/>
    <w:rsid w:val="008A0212"/>
    <w:rsid w:val="008A0A76"/>
    <w:rsid w:val="008A1374"/>
    <w:rsid w:val="008A1631"/>
    <w:rsid w:val="008A1BD6"/>
    <w:rsid w:val="008A1DC9"/>
    <w:rsid w:val="008A3175"/>
    <w:rsid w:val="008A4CFE"/>
    <w:rsid w:val="008A5972"/>
    <w:rsid w:val="008A5FCF"/>
    <w:rsid w:val="008A7DCC"/>
    <w:rsid w:val="008B09B6"/>
    <w:rsid w:val="008B1741"/>
    <w:rsid w:val="008B1D1E"/>
    <w:rsid w:val="008B2F8C"/>
    <w:rsid w:val="008B51F3"/>
    <w:rsid w:val="008B5D20"/>
    <w:rsid w:val="008B6D7E"/>
    <w:rsid w:val="008C1413"/>
    <w:rsid w:val="008C239C"/>
    <w:rsid w:val="008C4691"/>
    <w:rsid w:val="008C4708"/>
    <w:rsid w:val="008C4CE6"/>
    <w:rsid w:val="008C4D25"/>
    <w:rsid w:val="008C63B9"/>
    <w:rsid w:val="008C6D28"/>
    <w:rsid w:val="008C6D66"/>
    <w:rsid w:val="008C778E"/>
    <w:rsid w:val="008C7C01"/>
    <w:rsid w:val="008D1304"/>
    <w:rsid w:val="008D3368"/>
    <w:rsid w:val="008D34BB"/>
    <w:rsid w:val="008D369B"/>
    <w:rsid w:val="008D445D"/>
    <w:rsid w:val="008D57BF"/>
    <w:rsid w:val="008D67CF"/>
    <w:rsid w:val="008E052B"/>
    <w:rsid w:val="008E1515"/>
    <w:rsid w:val="008E43C7"/>
    <w:rsid w:val="008E63E8"/>
    <w:rsid w:val="008F0418"/>
    <w:rsid w:val="008F08DC"/>
    <w:rsid w:val="008F1381"/>
    <w:rsid w:val="008F1AEF"/>
    <w:rsid w:val="008F1F5D"/>
    <w:rsid w:val="008F1FEF"/>
    <w:rsid w:val="008F2A9E"/>
    <w:rsid w:val="008F3376"/>
    <w:rsid w:val="008F38EE"/>
    <w:rsid w:val="008F6135"/>
    <w:rsid w:val="008F6305"/>
    <w:rsid w:val="008F71AF"/>
    <w:rsid w:val="009008A0"/>
    <w:rsid w:val="00900A44"/>
    <w:rsid w:val="00902F35"/>
    <w:rsid w:val="009032D5"/>
    <w:rsid w:val="00903D4D"/>
    <w:rsid w:val="0090418B"/>
    <w:rsid w:val="00905055"/>
    <w:rsid w:val="00905D2A"/>
    <w:rsid w:val="00906A2A"/>
    <w:rsid w:val="00907097"/>
    <w:rsid w:val="0091056D"/>
    <w:rsid w:val="00910A7E"/>
    <w:rsid w:val="0091134E"/>
    <w:rsid w:val="009117EA"/>
    <w:rsid w:val="00912F26"/>
    <w:rsid w:val="00913BFD"/>
    <w:rsid w:val="00913C71"/>
    <w:rsid w:val="009153F3"/>
    <w:rsid w:val="00921464"/>
    <w:rsid w:val="0092189F"/>
    <w:rsid w:val="0092192D"/>
    <w:rsid w:val="009222DB"/>
    <w:rsid w:val="00924A26"/>
    <w:rsid w:val="009270FA"/>
    <w:rsid w:val="0092722E"/>
    <w:rsid w:val="009275FC"/>
    <w:rsid w:val="0092774D"/>
    <w:rsid w:val="00930159"/>
    <w:rsid w:val="0093060C"/>
    <w:rsid w:val="00930D99"/>
    <w:rsid w:val="00931116"/>
    <w:rsid w:val="00932C9E"/>
    <w:rsid w:val="00932EDE"/>
    <w:rsid w:val="00933C86"/>
    <w:rsid w:val="00933D37"/>
    <w:rsid w:val="00933F77"/>
    <w:rsid w:val="0093469D"/>
    <w:rsid w:val="00935035"/>
    <w:rsid w:val="00936700"/>
    <w:rsid w:val="0093675E"/>
    <w:rsid w:val="00937530"/>
    <w:rsid w:val="009375D9"/>
    <w:rsid w:val="009401A8"/>
    <w:rsid w:val="00940BB3"/>
    <w:rsid w:val="009422E0"/>
    <w:rsid w:val="00943D1E"/>
    <w:rsid w:val="00943E1C"/>
    <w:rsid w:val="00944E26"/>
    <w:rsid w:val="0094581A"/>
    <w:rsid w:val="009478F7"/>
    <w:rsid w:val="00950301"/>
    <w:rsid w:val="00950CD0"/>
    <w:rsid w:val="00953C46"/>
    <w:rsid w:val="00955285"/>
    <w:rsid w:val="00956536"/>
    <w:rsid w:val="00956BD1"/>
    <w:rsid w:val="00956E9E"/>
    <w:rsid w:val="009570EA"/>
    <w:rsid w:val="00957A54"/>
    <w:rsid w:val="0096194D"/>
    <w:rsid w:val="00961986"/>
    <w:rsid w:val="0096221F"/>
    <w:rsid w:val="009637FE"/>
    <w:rsid w:val="00964264"/>
    <w:rsid w:val="00964438"/>
    <w:rsid w:val="00965B78"/>
    <w:rsid w:val="009662CE"/>
    <w:rsid w:val="00966DAA"/>
    <w:rsid w:val="00966E31"/>
    <w:rsid w:val="00966FF8"/>
    <w:rsid w:val="00970CB2"/>
    <w:rsid w:val="00971A0F"/>
    <w:rsid w:val="00971A9E"/>
    <w:rsid w:val="009723FF"/>
    <w:rsid w:val="009735B5"/>
    <w:rsid w:val="009736B0"/>
    <w:rsid w:val="0097410F"/>
    <w:rsid w:val="00974A57"/>
    <w:rsid w:val="009774F4"/>
    <w:rsid w:val="00980F75"/>
    <w:rsid w:val="009820C6"/>
    <w:rsid w:val="009831D2"/>
    <w:rsid w:val="00983FA9"/>
    <w:rsid w:val="00984257"/>
    <w:rsid w:val="0098456F"/>
    <w:rsid w:val="00984818"/>
    <w:rsid w:val="009848B7"/>
    <w:rsid w:val="00986852"/>
    <w:rsid w:val="00986891"/>
    <w:rsid w:val="00986CD7"/>
    <w:rsid w:val="00991DBA"/>
    <w:rsid w:val="009923C1"/>
    <w:rsid w:val="009930C0"/>
    <w:rsid w:val="00993A2A"/>
    <w:rsid w:val="00994C29"/>
    <w:rsid w:val="00995510"/>
    <w:rsid w:val="00995C6F"/>
    <w:rsid w:val="00995E71"/>
    <w:rsid w:val="009964A4"/>
    <w:rsid w:val="0099695F"/>
    <w:rsid w:val="009969FF"/>
    <w:rsid w:val="0099726F"/>
    <w:rsid w:val="009A0ABB"/>
    <w:rsid w:val="009A1031"/>
    <w:rsid w:val="009A12EA"/>
    <w:rsid w:val="009A1867"/>
    <w:rsid w:val="009A1EC7"/>
    <w:rsid w:val="009A31C3"/>
    <w:rsid w:val="009A4536"/>
    <w:rsid w:val="009A75C4"/>
    <w:rsid w:val="009A7D6A"/>
    <w:rsid w:val="009B0153"/>
    <w:rsid w:val="009B02EB"/>
    <w:rsid w:val="009B04EF"/>
    <w:rsid w:val="009B0DF4"/>
    <w:rsid w:val="009B1281"/>
    <w:rsid w:val="009B2622"/>
    <w:rsid w:val="009B426B"/>
    <w:rsid w:val="009B4D11"/>
    <w:rsid w:val="009B50D9"/>
    <w:rsid w:val="009B62F1"/>
    <w:rsid w:val="009C0C51"/>
    <w:rsid w:val="009C1706"/>
    <w:rsid w:val="009C1FD3"/>
    <w:rsid w:val="009C2BC1"/>
    <w:rsid w:val="009C3441"/>
    <w:rsid w:val="009C4B3A"/>
    <w:rsid w:val="009C4EA2"/>
    <w:rsid w:val="009C53DF"/>
    <w:rsid w:val="009C5CEA"/>
    <w:rsid w:val="009C5FEC"/>
    <w:rsid w:val="009C73E2"/>
    <w:rsid w:val="009D0907"/>
    <w:rsid w:val="009D1524"/>
    <w:rsid w:val="009D1E2E"/>
    <w:rsid w:val="009D2859"/>
    <w:rsid w:val="009D292F"/>
    <w:rsid w:val="009D2B34"/>
    <w:rsid w:val="009D35BA"/>
    <w:rsid w:val="009D3AF0"/>
    <w:rsid w:val="009D3B13"/>
    <w:rsid w:val="009D3B31"/>
    <w:rsid w:val="009D43B2"/>
    <w:rsid w:val="009D493C"/>
    <w:rsid w:val="009D5217"/>
    <w:rsid w:val="009D5D97"/>
    <w:rsid w:val="009D5F81"/>
    <w:rsid w:val="009D62AD"/>
    <w:rsid w:val="009D6324"/>
    <w:rsid w:val="009D7EAE"/>
    <w:rsid w:val="009E05DC"/>
    <w:rsid w:val="009E0872"/>
    <w:rsid w:val="009E15B7"/>
    <w:rsid w:val="009E291F"/>
    <w:rsid w:val="009E3443"/>
    <w:rsid w:val="009E3CE2"/>
    <w:rsid w:val="009E3D76"/>
    <w:rsid w:val="009E3DFC"/>
    <w:rsid w:val="009F005D"/>
    <w:rsid w:val="009F11D8"/>
    <w:rsid w:val="009F1CD2"/>
    <w:rsid w:val="009F2973"/>
    <w:rsid w:val="009F35F2"/>
    <w:rsid w:val="009F36D4"/>
    <w:rsid w:val="009F4248"/>
    <w:rsid w:val="009F4901"/>
    <w:rsid w:val="009F50F8"/>
    <w:rsid w:val="009F529A"/>
    <w:rsid w:val="009F62E2"/>
    <w:rsid w:val="009F72A9"/>
    <w:rsid w:val="009F767D"/>
    <w:rsid w:val="009F7757"/>
    <w:rsid w:val="009F7798"/>
    <w:rsid w:val="009F7821"/>
    <w:rsid w:val="00A005F2"/>
    <w:rsid w:val="00A00A4D"/>
    <w:rsid w:val="00A00D2B"/>
    <w:rsid w:val="00A0135D"/>
    <w:rsid w:val="00A015CE"/>
    <w:rsid w:val="00A01BD1"/>
    <w:rsid w:val="00A02E5E"/>
    <w:rsid w:val="00A034F0"/>
    <w:rsid w:val="00A05C5E"/>
    <w:rsid w:val="00A05D6E"/>
    <w:rsid w:val="00A0695D"/>
    <w:rsid w:val="00A06B85"/>
    <w:rsid w:val="00A0732C"/>
    <w:rsid w:val="00A0764F"/>
    <w:rsid w:val="00A1131C"/>
    <w:rsid w:val="00A1247C"/>
    <w:rsid w:val="00A12A61"/>
    <w:rsid w:val="00A12E0B"/>
    <w:rsid w:val="00A13293"/>
    <w:rsid w:val="00A13FB4"/>
    <w:rsid w:val="00A1466B"/>
    <w:rsid w:val="00A14C1E"/>
    <w:rsid w:val="00A14FFF"/>
    <w:rsid w:val="00A152A4"/>
    <w:rsid w:val="00A16722"/>
    <w:rsid w:val="00A16881"/>
    <w:rsid w:val="00A16AF8"/>
    <w:rsid w:val="00A17027"/>
    <w:rsid w:val="00A20876"/>
    <w:rsid w:val="00A20985"/>
    <w:rsid w:val="00A22230"/>
    <w:rsid w:val="00A22CCF"/>
    <w:rsid w:val="00A235CC"/>
    <w:rsid w:val="00A24464"/>
    <w:rsid w:val="00A2621D"/>
    <w:rsid w:val="00A27C16"/>
    <w:rsid w:val="00A317B8"/>
    <w:rsid w:val="00A32282"/>
    <w:rsid w:val="00A32F43"/>
    <w:rsid w:val="00A3350E"/>
    <w:rsid w:val="00A33644"/>
    <w:rsid w:val="00A336B8"/>
    <w:rsid w:val="00A33DBF"/>
    <w:rsid w:val="00A33FA7"/>
    <w:rsid w:val="00A36AB6"/>
    <w:rsid w:val="00A3748E"/>
    <w:rsid w:val="00A37946"/>
    <w:rsid w:val="00A40BE1"/>
    <w:rsid w:val="00A40D3F"/>
    <w:rsid w:val="00A40DB4"/>
    <w:rsid w:val="00A42413"/>
    <w:rsid w:val="00A429E9"/>
    <w:rsid w:val="00A42A19"/>
    <w:rsid w:val="00A42AC4"/>
    <w:rsid w:val="00A43D1C"/>
    <w:rsid w:val="00A44950"/>
    <w:rsid w:val="00A45F6A"/>
    <w:rsid w:val="00A460F7"/>
    <w:rsid w:val="00A464D4"/>
    <w:rsid w:val="00A4734C"/>
    <w:rsid w:val="00A4789F"/>
    <w:rsid w:val="00A50496"/>
    <w:rsid w:val="00A512D5"/>
    <w:rsid w:val="00A51391"/>
    <w:rsid w:val="00A513A2"/>
    <w:rsid w:val="00A51F5C"/>
    <w:rsid w:val="00A51F91"/>
    <w:rsid w:val="00A5214B"/>
    <w:rsid w:val="00A523CF"/>
    <w:rsid w:val="00A52596"/>
    <w:rsid w:val="00A52F8F"/>
    <w:rsid w:val="00A5312F"/>
    <w:rsid w:val="00A54A2C"/>
    <w:rsid w:val="00A54F40"/>
    <w:rsid w:val="00A5737B"/>
    <w:rsid w:val="00A5743C"/>
    <w:rsid w:val="00A57CE1"/>
    <w:rsid w:val="00A6065E"/>
    <w:rsid w:val="00A60C5E"/>
    <w:rsid w:val="00A620CF"/>
    <w:rsid w:val="00A63948"/>
    <w:rsid w:val="00A64767"/>
    <w:rsid w:val="00A64D85"/>
    <w:rsid w:val="00A65329"/>
    <w:rsid w:val="00A65377"/>
    <w:rsid w:val="00A65464"/>
    <w:rsid w:val="00A667C5"/>
    <w:rsid w:val="00A66A0D"/>
    <w:rsid w:val="00A6702C"/>
    <w:rsid w:val="00A6771A"/>
    <w:rsid w:val="00A67812"/>
    <w:rsid w:val="00A67E28"/>
    <w:rsid w:val="00A705EB"/>
    <w:rsid w:val="00A70E83"/>
    <w:rsid w:val="00A73075"/>
    <w:rsid w:val="00A733AA"/>
    <w:rsid w:val="00A73767"/>
    <w:rsid w:val="00A73D00"/>
    <w:rsid w:val="00A74E9C"/>
    <w:rsid w:val="00A74EC6"/>
    <w:rsid w:val="00A74F00"/>
    <w:rsid w:val="00A75837"/>
    <w:rsid w:val="00A773D4"/>
    <w:rsid w:val="00A77EF9"/>
    <w:rsid w:val="00A82867"/>
    <w:rsid w:val="00A829A1"/>
    <w:rsid w:val="00A82C06"/>
    <w:rsid w:val="00A82D09"/>
    <w:rsid w:val="00A82EA5"/>
    <w:rsid w:val="00A83E2B"/>
    <w:rsid w:val="00A86D30"/>
    <w:rsid w:val="00A8725D"/>
    <w:rsid w:val="00A87AC5"/>
    <w:rsid w:val="00A905EA"/>
    <w:rsid w:val="00A908FA"/>
    <w:rsid w:val="00A90DB8"/>
    <w:rsid w:val="00A91F5B"/>
    <w:rsid w:val="00A9400D"/>
    <w:rsid w:val="00A94280"/>
    <w:rsid w:val="00A94792"/>
    <w:rsid w:val="00A949E8"/>
    <w:rsid w:val="00A958A4"/>
    <w:rsid w:val="00A95A9C"/>
    <w:rsid w:val="00A95C34"/>
    <w:rsid w:val="00A95FE5"/>
    <w:rsid w:val="00A96799"/>
    <w:rsid w:val="00A967DC"/>
    <w:rsid w:val="00A9699A"/>
    <w:rsid w:val="00A96CBD"/>
    <w:rsid w:val="00AA1C39"/>
    <w:rsid w:val="00AA25CD"/>
    <w:rsid w:val="00AA2774"/>
    <w:rsid w:val="00AA2A5A"/>
    <w:rsid w:val="00AA32B9"/>
    <w:rsid w:val="00AA3519"/>
    <w:rsid w:val="00AA351D"/>
    <w:rsid w:val="00AA39D7"/>
    <w:rsid w:val="00AA433D"/>
    <w:rsid w:val="00AA4F5D"/>
    <w:rsid w:val="00AA50D1"/>
    <w:rsid w:val="00AA6B4C"/>
    <w:rsid w:val="00AA7399"/>
    <w:rsid w:val="00AA7864"/>
    <w:rsid w:val="00AA7921"/>
    <w:rsid w:val="00AB01C7"/>
    <w:rsid w:val="00AB0A63"/>
    <w:rsid w:val="00AB10D1"/>
    <w:rsid w:val="00AB142D"/>
    <w:rsid w:val="00AB2B9F"/>
    <w:rsid w:val="00AB472A"/>
    <w:rsid w:val="00AB4AD6"/>
    <w:rsid w:val="00AB4F07"/>
    <w:rsid w:val="00AB4F49"/>
    <w:rsid w:val="00AB7187"/>
    <w:rsid w:val="00AB73A2"/>
    <w:rsid w:val="00AC0442"/>
    <w:rsid w:val="00AC07C9"/>
    <w:rsid w:val="00AC33A8"/>
    <w:rsid w:val="00AC360D"/>
    <w:rsid w:val="00AC4780"/>
    <w:rsid w:val="00AC5948"/>
    <w:rsid w:val="00AC6EBD"/>
    <w:rsid w:val="00AC6EFF"/>
    <w:rsid w:val="00AC743C"/>
    <w:rsid w:val="00AC7755"/>
    <w:rsid w:val="00AD0890"/>
    <w:rsid w:val="00AD28E9"/>
    <w:rsid w:val="00AD2BBD"/>
    <w:rsid w:val="00AD2BD1"/>
    <w:rsid w:val="00AD3373"/>
    <w:rsid w:val="00AD3FED"/>
    <w:rsid w:val="00AD60BC"/>
    <w:rsid w:val="00AD622A"/>
    <w:rsid w:val="00AD69CD"/>
    <w:rsid w:val="00AD7024"/>
    <w:rsid w:val="00AD7A08"/>
    <w:rsid w:val="00AD7AD5"/>
    <w:rsid w:val="00AD7CD6"/>
    <w:rsid w:val="00AE0460"/>
    <w:rsid w:val="00AE0C6D"/>
    <w:rsid w:val="00AE0FF5"/>
    <w:rsid w:val="00AE2DDE"/>
    <w:rsid w:val="00AE344B"/>
    <w:rsid w:val="00AE3B95"/>
    <w:rsid w:val="00AE60F9"/>
    <w:rsid w:val="00AE63A7"/>
    <w:rsid w:val="00AE6CE5"/>
    <w:rsid w:val="00AE7CD5"/>
    <w:rsid w:val="00AE7E8B"/>
    <w:rsid w:val="00AF100E"/>
    <w:rsid w:val="00AF1E2F"/>
    <w:rsid w:val="00AF23AD"/>
    <w:rsid w:val="00AF270E"/>
    <w:rsid w:val="00AF28A5"/>
    <w:rsid w:val="00AF2953"/>
    <w:rsid w:val="00AF3B95"/>
    <w:rsid w:val="00AF3D5F"/>
    <w:rsid w:val="00AF5B06"/>
    <w:rsid w:val="00AF5FA9"/>
    <w:rsid w:val="00AF63D2"/>
    <w:rsid w:val="00B01054"/>
    <w:rsid w:val="00B02F64"/>
    <w:rsid w:val="00B037B0"/>
    <w:rsid w:val="00B0472B"/>
    <w:rsid w:val="00B04F2F"/>
    <w:rsid w:val="00B07E99"/>
    <w:rsid w:val="00B1039B"/>
    <w:rsid w:val="00B10887"/>
    <w:rsid w:val="00B10B3D"/>
    <w:rsid w:val="00B12247"/>
    <w:rsid w:val="00B1360F"/>
    <w:rsid w:val="00B1445C"/>
    <w:rsid w:val="00B144E5"/>
    <w:rsid w:val="00B146D9"/>
    <w:rsid w:val="00B14B6A"/>
    <w:rsid w:val="00B14E18"/>
    <w:rsid w:val="00B161F1"/>
    <w:rsid w:val="00B16716"/>
    <w:rsid w:val="00B16976"/>
    <w:rsid w:val="00B17173"/>
    <w:rsid w:val="00B2034D"/>
    <w:rsid w:val="00B208FD"/>
    <w:rsid w:val="00B20D9F"/>
    <w:rsid w:val="00B21725"/>
    <w:rsid w:val="00B21730"/>
    <w:rsid w:val="00B23038"/>
    <w:rsid w:val="00B23678"/>
    <w:rsid w:val="00B23A69"/>
    <w:rsid w:val="00B23C78"/>
    <w:rsid w:val="00B23DB4"/>
    <w:rsid w:val="00B276D3"/>
    <w:rsid w:val="00B27AA9"/>
    <w:rsid w:val="00B30660"/>
    <w:rsid w:val="00B30A28"/>
    <w:rsid w:val="00B32771"/>
    <w:rsid w:val="00B359B9"/>
    <w:rsid w:val="00B35C98"/>
    <w:rsid w:val="00B36471"/>
    <w:rsid w:val="00B402F6"/>
    <w:rsid w:val="00B40795"/>
    <w:rsid w:val="00B410D4"/>
    <w:rsid w:val="00B41B8D"/>
    <w:rsid w:val="00B42329"/>
    <w:rsid w:val="00B42FA1"/>
    <w:rsid w:val="00B43118"/>
    <w:rsid w:val="00B43178"/>
    <w:rsid w:val="00B43364"/>
    <w:rsid w:val="00B43886"/>
    <w:rsid w:val="00B43FCE"/>
    <w:rsid w:val="00B44E5B"/>
    <w:rsid w:val="00B44EA4"/>
    <w:rsid w:val="00B44F1B"/>
    <w:rsid w:val="00B451FA"/>
    <w:rsid w:val="00B45C48"/>
    <w:rsid w:val="00B45E67"/>
    <w:rsid w:val="00B46066"/>
    <w:rsid w:val="00B46F2B"/>
    <w:rsid w:val="00B471E1"/>
    <w:rsid w:val="00B473C2"/>
    <w:rsid w:val="00B47624"/>
    <w:rsid w:val="00B47F5F"/>
    <w:rsid w:val="00B5057E"/>
    <w:rsid w:val="00B50D10"/>
    <w:rsid w:val="00B51EC9"/>
    <w:rsid w:val="00B53003"/>
    <w:rsid w:val="00B53F6B"/>
    <w:rsid w:val="00B5475D"/>
    <w:rsid w:val="00B54FCE"/>
    <w:rsid w:val="00B56DE1"/>
    <w:rsid w:val="00B56F89"/>
    <w:rsid w:val="00B57A7C"/>
    <w:rsid w:val="00B57CA0"/>
    <w:rsid w:val="00B600DA"/>
    <w:rsid w:val="00B6084B"/>
    <w:rsid w:val="00B614C4"/>
    <w:rsid w:val="00B62365"/>
    <w:rsid w:val="00B64671"/>
    <w:rsid w:val="00B6574D"/>
    <w:rsid w:val="00B6596B"/>
    <w:rsid w:val="00B659DC"/>
    <w:rsid w:val="00B65C4F"/>
    <w:rsid w:val="00B67402"/>
    <w:rsid w:val="00B705DC"/>
    <w:rsid w:val="00B71E43"/>
    <w:rsid w:val="00B727F0"/>
    <w:rsid w:val="00B7330E"/>
    <w:rsid w:val="00B73E0E"/>
    <w:rsid w:val="00B75050"/>
    <w:rsid w:val="00B758AB"/>
    <w:rsid w:val="00B807F4"/>
    <w:rsid w:val="00B80C93"/>
    <w:rsid w:val="00B8135F"/>
    <w:rsid w:val="00B813E2"/>
    <w:rsid w:val="00B85E39"/>
    <w:rsid w:val="00B872FA"/>
    <w:rsid w:val="00B8752E"/>
    <w:rsid w:val="00B87829"/>
    <w:rsid w:val="00B87A96"/>
    <w:rsid w:val="00B87AE6"/>
    <w:rsid w:val="00B910F2"/>
    <w:rsid w:val="00B932B0"/>
    <w:rsid w:val="00B944C5"/>
    <w:rsid w:val="00B94E20"/>
    <w:rsid w:val="00B94ECD"/>
    <w:rsid w:val="00B9511E"/>
    <w:rsid w:val="00B965A0"/>
    <w:rsid w:val="00B973E6"/>
    <w:rsid w:val="00BA0C34"/>
    <w:rsid w:val="00BA1767"/>
    <w:rsid w:val="00BA1E41"/>
    <w:rsid w:val="00BA2167"/>
    <w:rsid w:val="00BA236C"/>
    <w:rsid w:val="00BA2962"/>
    <w:rsid w:val="00BA38F0"/>
    <w:rsid w:val="00BA3FA5"/>
    <w:rsid w:val="00BA5CB6"/>
    <w:rsid w:val="00BA6C3D"/>
    <w:rsid w:val="00BA77A3"/>
    <w:rsid w:val="00BB03A6"/>
    <w:rsid w:val="00BB3150"/>
    <w:rsid w:val="00BB4062"/>
    <w:rsid w:val="00BB4137"/>
    <w:rsid w:val="00BB45D2"/>
    <w:rsid w:val="00BB5225"/>
    <w:rsid w:val="00BB6131"/>
    <w:rsid w:val="00BB7CDD"/>
    <w:rsid w:val="00BC0BC0"/>
    <w:rsid w:val="00BC1E0F"/>
    <w:rsid w:val="00BC2B7D"/>
    <w:rsid w:val="00BC3C60"/>
    <w:rsid w:val="00BC5FA3"/>
    <w:rsid w:val="00BC75B5"/>
    <w:rsid w:val="00BC76B0"/>
    <w:rsid w:val="00BC7B17"/>
    <w:rsid w:val="00BD01B5"/>
    <w:rsid w:val="00BD1849"/>
    <w:rsid w:val="00BD19FF"/>
    <w:rsid w:val="00BD37E1"/>
    <w:rsid w:val="00BD59A6"/>
    <w:rsid w:val="00BD5F1F"/>
    <w:rsid w:val="00BD6B26"/>
    <w:rsid w:val="00BD6F36"/>
    <w:rsid w:val="00BD6F65"/>
    <w:rsid w:val="00BE0068"/>
    <w:rsid w:val="00BE101D"/>
    <w:rsid w:val="00BE207D"/>
    <w:rsid w:val="00BE2A79"/>
    <w:rsid w:val="00BE2C12"/>
    <w:rsid w:val="00BE2F33"/>
    <w:rsid w:val="00BE36F0"/>
    <w:rsid w:val="00BE4F35"/>
    <w:rsid w:val="00BE7D14"/>
    <w:rsid w:val="00BF0323"/>
    <w:rsid w:val="00BF0539"/>
    <w:rsid w:val="00BF070D"/>
    <w:rsid w:val="00BF0D6B"/>
    <w:rsid w:val="00BF2777"/>
    <w:rsid w:val="00BF2B86"/>
    <w:rsid w:val="00BF3110"/>
    <w:rsid w:val="00BF36F9"/>
    <w:rsid w:val="00BF3870"/>
    <w:rsid w:val="00BF4F60"/>
    <w:rsid w:val="00BF68FD"/>
    <w:rsid w:val="00BF732E"/>
    <w:rsid w:val="00BF7364"/>
    <w:rsid w:val="00BF75F8"/>
    <w:rsid w:val="00BF7DDE"/>
    <w:rsid w:val="00C00A6A"/>
    <w:rsid w:val="00C03DD7"/>
    <w:rsid w:val="00C03FCA"/>
    <w:rsid w:val="00C04313"/>
    <w:rsid w:val="00C0478A"/>
    <w:rsid w:val="00C06733"/>
    <w:rsid w:val="00C06D59"/>
    <w:rsid w:val="00C107A7"/>
    <w:rsid w:val="00C10CC9"/>
    <w:rsid w:val="00C11C68"/>
    <w:rsid w:val="00C11E5A"/>
    <w:rsid w:val="00C15E0F"/>
    <w:rsid w:val="00C16A68"/>
    <w:rsid w:val="00C16BBD"/>
    <w:rsid w:val="00C171BA"/>
    <w:rsid w:val="00C20582"/>
    <w:rsid w:val="00C22098"/>
    <w:rsid w:val="00C2243C"/>
    <w:rsid w:val="00C23472"/>
    <w:rsid w:val="00C23BB2"/>
    <w:rsid w:val="00C2549E"/>
    <w:rsid w:val="00C26C4E"/>
    <w:rsid w:val="00C33152"/>
    <w:rsid w:val="00C33A46"/>
    <w:rsid w:val="00C33A58"/>
    <w:rsid w:val="00C340E6"/>
    <w:rsid w:val="00C34C14"/>
    <w:rsid w:val="00C36A7B"/>
    <w:rsid w:val="00C36CC6"/>
    <w:rsid w:val="00C37BD5"/>
    <w:rsid w:val="00C4010A"/>
    <w:rsid w:val="00C40F5A"/>
    <w:rsid w:val="00C41584"/>
    <w:rsid w:val="00C41B14"/>
    <w:rsid w:val="00C426B6"/>
    <w:rsid w:val="00C435D4"/>
    <w:rsid w:val="00C44C79"/>
    <w:rsid w:val="00C44E10"/>
    <w:rsid w:val="00C45577"/>
    <w:rsid w:val="00C46473"/>
    <w:rsid w:val="00C46763"/>
    <w:rsid w:val="00C47B4E"/>
    <w:rsid w:val="00C5173F"/>
    <w:rsid w:val="00C54244"/>
    <w:rsid w:val="00C5429E"/>
    <w:rsid w:val="00C603FA"/>
    <w:rsid w:val="00C60502"/>
    <w:rsid w:val="00C61032"/>
    <w:rsid w:val="00C613E1"/>
    <w:rsid w:val="00C6169C"/>
    <w:rsid w:val="00C6303F"/>
    <w:rsid w:val="00C6357D"/>
    <w:rsid w:val="00C635B3"/>
    <w:rsid w:val="00C64121"/>
    <w:rsid w:val="00C66442"/>
    <w:rsid w:val="00C66BBD"/>
    <w:rsid w:val="00C673CB"/>
    <w:rsid w:val="00C67E1B"/>
    <w:rsid w:val="00C7036F"/>
    <w:rsid w:val="00C70395"/>
    <w:rsid w:val="00C706C9"/>
    <w:rsid w:val="00C7189E"/>
    <w:rsid w:val="00C71D3D"/>
    <w:rsid w:val="00C72109"/>
    <w:rsid w:val="00C726DF"/>
    <w:rsid w:val="00C72928"/>
    <w:rsid w:val="00C74181"/>
    <w:rsid w:val="00C752FD"/>
    <w:rsid w:val="00C75F8A"/>
    <w:rsid w:val="00C7728D"/>
    <w:rsid w:val="00C804E2"/>
    <w:rsid w:val="00C80732"/>
    <w:rsid w:val="00C8128E"/>
    <w:rsid w:val="00C8207F"/>
    <w:rsid w:val="00C84172"/>
    <w:rsid w:val="00C85968"/>
    <w:rsid w:val="00C86AFD"/>
    <w:rsid w:val="00C87673"/>
    <w:rsid w:val="00C87CD7"/>
    <w:rsid w:val="00C90E5D"/>
    <w:rsid w:val="00C914E8"/>
    <w:rsid w:val="00C9197B"/>
    <w:rsid w:val="00C9224A"/>
    <w:rsid w:val="00C92861"/>
    <w:rsid w:val="00C92A16"/>
    <w:rsid w:val="00C932E6"/>
    <w:rsid w:val="00C9369D"/>
    <w:rsid w:val="00C93BD7"/>
    <w:rsid w:val="00C93BF4"/>
    <w:rsid w:val="00C95040"/>
    <w:rsid w:val="00C95596"/>
    <w:rsid w:val="00C96509"/>
    <w:rsid w:val="00C96E07"/>
    <w:rsid w:val="00C9736F"/>
    <w:rsid w:val="00CA021C"/>
    <w:rsid w:val="00CA05F2"/>
    <w:rsid w:val="00CA0915"/>
    <w:rsid w:val="00CA104E"/>
    <w:rsid w:val="00CA123F"/>
    <w:rsid w:val="00CA2089"/>
    <w:rsid w:val="00CA2540"/>
    <w:rsid w:val="00CA259C"/>
    <w:rsid w:val="00CA2E08"/>
    <w:rsid w:val="00CA3398"/>
    <w:rsid w:val="00CA3C23"/>
    <w:rsid w:val="00CA3F6C"/>
    <w:rsid w:val="00CA45E3"/>
    <w:rsid w:val="00CA4858"/>
    <w:rsid w:val="00CA488B"/>
    <w:rsid w:val="00CA4A96"/>
    <w:rsid w:val="00CA4FEE"/>
    <w:rsid w:val="00CA5788"/>
    <w:rsid w:val="00CA626D"/>
    <w:rsid w:val="00CA64FE"/>
    <w:rsid w:val="00CA6641"/>
    <w:rsid w:val="00CA6D78"/>
    <w:rsid w:val="00CA710A"/>
    <w:rsid w:val="00CA7A32"/>
    <w:rsid w:val="00CB0186"/>
    <w:rsid w:val="00CB1237"/>
    <w:rsid w:val="00CB2266"/>
    <w:rsid w:val="00CB29DB"/>
    <w:rsid w:val="00CB2E95"/>
    <w:rsid w:val="00CB35A8"/>
    <w:rsid w:val="00CB46EC"/>
    <w:rsid w:val="00CB4D0E"/>
    <w:rsid w:val="00CB599E"/>
    <w:rsid w:val="00CB5F9E"/>
    <w:rsid w:val="00CB650F"/>
    <w:rsid w:val="00CB6DD0"/>
    <w:rsid w:val="00CB70AE"/>
    <w:rsid w:val="00CB7D7F"/>
    <w:rsid w:val="00CB7EA8"/>
    <w:rsid w:val="00CC03F7"/>
    <w:rsid w:val="00CC0D11"/>
    <w:rsid w:val="00CC1264"/>
    <w:rsid w:val="00CC1E42"/>
    <w:rsid w:val="00CC319C"/>
    <w:rsid w:val="00CC474A"/>
    <w:rsid w:val="00CC48E7"/>
    <w:rsid w:val="00CC5024"/>
    <w:rsid w:val="00CC56D5"/>
    <w:rsid w:val="00CC5CFF"/>
    <w:rsid w:val="00CC63A1"/>
    <w:rsid w:val="00CD045D"/>
    <w:rsid w:val="00CD09A6"/>
    <w:rsid w:val="00CD09F1"/>
    <w:rsid w:val="00CD0AA7"/>
    <w:rsid w:val="00CD200E"/>
    <w:rsid w:val="00CD3152"/>
    <w:rsid w:val="00CD3516"/>
    <w:rsid w:val="00CD3A55"/>
    <w:rsid w:val="00CD3F00"/>
    <w:rsid w:val="00CD4375"/>
    <w:rsid w:val="00CD4670"/>
    <w:rsid w:val="00CD49AB"/>
    <w:rsid w:val="00CD51A7"/>
    <w:rsid w:val="00CD5645"/>
    <w:rsid w:val="00CD57BA"/>
    <w:rsid w:val="00CD5841"/>
    <w:rsid w:val="00CD662A"/>
    <w:rsid w:val="00CD67A5"/>
    <w:rsid w:val="00CD728C"/>
    <w:rsid w:val="00CD7809"/>
    <w:rsid w:val="00CD7A71"/>
    <w:rsid w:val="00CE0BAC"/>
    <w:rsid w:val="00CE0FD8"/>
    <w:rsid w:val="00CE164A"/>
    <w:rsid w:val="00CE1CB0"/>
    <w:rsid w:val="00CE1E96"/>
    <w:rsid w:val="00CE2E05"/>
    <w:rsid w:val="00CE3024"/>
    <w:rsid w:val="00CE357B"/>
    <w:rsid w:val="00CE3E2B"/>
    <w:rsid w:val="00CE4321"/>
    <w:rsid w:val="00CE4939"/>
    <w:rsid w:val="00CE5D19"/>
    <w:rsid w:val="00CE6E3A"/>
    <w:rsid w:val="00CE72E3"/>
    <w:rsid w:val="00CF0E17"/>
    <w:rsid w:val="00CF19AA"/>
    <w:rsid w:val="00CF28EF"/>
    <w:rsid w:val="00CF2F86"/>
    <w:rsid w:val="00CF3F27"/>
    <w:rsid w:val="00CF5508"/>
    <w:rsid w:val="00CF5BE7"/>
    <w:rsid w:val="00CF6731"/>
    <w:rsid w:val="00CF6825"/>
    <w:rsid w:val="00CF6DD0"/>
    <w:rsid w:val="00CF6EF3"/>
    <w:rsid w:val="00CF7872"/>
    <w:rsid w:val="00CF7F3C"/>
    <w:rsid w:val="00D0081E"/>
    <w:rsid w:val="00D00A95"/>
    <w:rsid w:val="00D03427"/>
    <w:rsid w:val="00D037AC"/>
    <w:rsid w:val="00D043DE"/>
    <w:rsid w:val="00D0445C"/>
    <w:rsid w:val="00D05824"/>
    <w:rsid w:val="00D1007E"/>
    <w:rsid w:val="00D101F6"/>
    <w:rsid w:val="00D10459"/>
    <w:rsid w:val="00D120F0"/>
    <w:rsid w:val="00D1228C"/>
    <w:rsid w:val="00D12BC2"/>
    <w:rsid w:val="00D1336A"/>
    <w:rsid w:val="00D13F3C"/>
    <w:rsid w:val="00D149AE"/>
    <w:rsid w:val="00D15278"/>
    <w:rsid w:val="00D1546A"/>
    <w:rsid w:val="00D15E7E"/>
    <w:rsid w:val="00D16354"/>
    <w:rsid w:val="00D16AB1"/>
    <w:rsid w:val="00D17078"/>
    <w:rsid w:val="00D1731B"/>
    <w:rsid w:val="00D202F2"/>
    <w:rsid w:val="00D20B5D"/>
    <w:rsid w:val="00D20C5B"/>
    <w:rsid w:val="00D20D6B"/>
    <w:rsid w:val="00D21FE4"/>
    <w:rsid w:val="00D2225B"/>
    <w:rsid w:val="00D222BA"/>
    <w:rsid w:val="00D23080"/>
    <w:rsid w:val="00D2380A"/>
    <w:rsid w:val="00D24775"/>
    <w:rsid w:val="00D24B12"/>
    <w:rsid w:val="00D25451"/>
    <w:rsid w:val="00D255A3"/>
    <w:rsid w:val="00D25A8B"/>
    <w:rsid w:val="00D26A6E"/>
    <w:rsid w:val="00D27154"/>
    <w:rsid w:val="00D2762A"/>
    <w:rsid w:val="00D30C27"/>
    <w:rsid w:val="00D30F4D"/>
    <w:rsid w:val="00D31429"/>
    <w:rsid w:val="00D31751"/>
    <w:rsid w:val="00D32CE8"/>
    <w:rsid w:val="00D34377"/>
    <w:rsid w:val="00D343EB"/>
    <w:rsid w:val="00D3452E"/>
    <w:rsid w:val="00D35860"/>
    <w:rsid w:val="00D35B3F"/>
    <w:rsid w:val="00D36099"/>
    <w:rsid w:val="00D36156"/>
    <w:rsid w:val="00D40FE3"/>
    <w:rsid w:val="00D42B17"/>
    <w:rsid w:val="00D42FBF"/>
    <w:rsid w:val="00D43008"/>
    <w:rsid w:val="00D43014"/>
    <w:rsid w:val="00D43BD4"/>
    <w:rsid w:val="00D44280"/>
    <w:rsid w:val="00D4445F"/>
    <w:rsid w:val="00D453EB"/>
    <w:rsid w:val="00D45697"/>
    <w:rsid w:val="00D46CE2"/>
    <w:rsid w:val="00D473B4"/>
    <w:rsid w:val="00D526D1"/>
    <w:rsid w:val="00D52A19"/>
    <w:rsid w:val="00D52AE0"/>
    <w:rsid w:val="00D537D1"/>
    <w:rsid w:val="00D53EE0"/>
    <w:rsid w:val="00D54106"/>
    <w:rsid w:val="00D550F5"/>
    <w:rsid w:val="00D55360"/>
    <w:rsid w:val="00D55628"/>
    <w:rsid w:val="00D579ED"/>
    <w:rsid w:val="00D61A96"/>
    <w:rsid w:val="00D61DE2"/>
    <w:rsid w:val="00D62879"/>
    <w:rsid w:val="00D62E3F"/>
    <w:rsid w:val="00D62F09"/>
    <w:rsid w:val="00D64B66"/>
    <w:rsid w:val="00D66F44"/>
    <w:rsid w:val="00D675FC"/>
    <w:rsid w:val="00D71E7E"/>
    <w:rsid w:val="00D724CA"/>
    <w:rsid w:val="00D72852"/>
    <w:rsid w:val="00D72F18"/>
    <w:rsid w:val="00D739E5"/>
    <w:rsid w:val="00D739FD"/>
    <w:rsid w:val="00D74BBD"/>
    <w:rsid w:val="00D7626E"/>
    <w:rsid w:val="00D76283"/>
    <w:rsid w:val="00D80202"/>
    <w:rsid w:val="00D805C9"/>
    <w:rsid w:val="00D81DA9"/>
    <w:rsid w:val="00D82381"/>
    <w:rsid w:val="00D829C3"/>
    <w:rsid w:val="00D83B01"/>
    <w:rsid w:val="00D83C33"/>
    <w:rsid w:val="00D85659"/>
    <w:rsid w:val="00D8568B"/>
    <w:rsid w:val="00D85D35"/>
    <w:rsid w:val="00D872C0"/>
    <w:rsid w:val="00D874FB"/>
    <w:rsid w:val="00D907AD"/>
    <w:rsid w:val="00D91176"/>
    <w:rsid w:val="00D918B6"/>
    <w:rsid w:val="00D91C86"/>
    <w:rsid w:val="00D92449"/>
    <w:rsid w:val="00D92DA7"/>
    <w:rsid w:val="00D93C0C"/>
    <w:rsid w:val="00D95988"/>
    <w:rsid w:val="00D9599B"/>
    <w:rsid w:val="00D95F6F"/>
    <w:rsid w:val="00D9630A"/>
    <w:rsid w:val="00D967F5"/>
    <w:rsid w:val="00D96BAC"/>
    <w:rsid w:val="00D96FDD"/>
    <w:rsid w:val="00D9705D"/>
    <w:rsid w:val="00D974B9"/>
    <w:rsid w:val="00D97607"/>
    <w:rsid w:val="00DA0CFE"/>
    <w:rsid w:val="00DA0DA2"/>
    <w:rsid w:val="00DA2FC8"/>
    <w:rsid w:val="00DA3160"/>
    <w:rsid w:val="00DA3885"/>
    <w:rsid w:val="00DA3CE6"/>
    <w:rsid w:val="00DA3CF2"/>
    <w:rsid w:val="00DA4611"/>
    <w:rsid w:val="00DA471E"/>
    <w:rsid w:val="00DA4881"/>
    <w:rsid w:val="00DA4F33"/>
    <w:rsid w:val="00DA4F44"/>
    <w:rsid w:val="00DA5433"/>
    <w:rsid w:val="00DA5F52"/>
    <w:rsid w:val="00DA6027"/>
    <w:rsid w:val="00DA63DC"/>
    <w:rsid w:val="00DA70DD"/>
    <w:rsid w:val="00DB02C7"/>
    <w:rsid w:val="00DB0931"/>
    <w:rsid w:val="00DB235F"/>
    <w:rsid w:val="00DB3500"/>
    <w:rsid w:val="00DB3E46"/>
    <w:rsid w:val="00DB3E5B"/>
    <w:rsid w:val="00DB6058"/>
    <w:rsid w:val="00DB627F"/>
    <w:rsid w:val="00DB6287"/>
    <w:rsid w:val="00DB6ADD"/>
    <w:rsid w:val="00DB735F"/>
    <w:rsid w:val="00DB7958"/>
    <w:rsid w:val="00DC0B9A"/>
    <w:rsid w:val="00DC101A"/>
    <w:rsid w:val="00DC1DD8"/>
    <w:rsid w:val="00DC1F9C"/>
    <w:rsid w:val="00DC2914"/>
    <w:rsid w:val="00DC3B97"/>
    <w:rsid w:val="00DC3ED8"/>
    <w:rsid w:val="00DC3F61"/>
    <w:rsid w:val="00DC3F74"/>
    <w:rsid w:val="00DC42F8"/>
    <w:rsid w:val="00DC52E0"/>
    <w:rsid w:val="00DC7798"/>
    <w:rsid w:val="00DD03B4"/>
    <w:rsid w:val="00DD0B5E"/>
    <w:rsid w:val="00DD13A8"/>
    <w:rsid w:val="00DD4AD5"/>
    <w:rsid w:val="00DD52C9"/>
    <w:rsid w:val="00DD5B1F"/>
    <w:rsid w:val="00DD5EA2"/>
    <w:rsid w:val="00DD71AA"/>
    <w:rsid w:val="00DD7366"/>
    <w:rsid w:val="00DD7F6C"/>
    <w:rsid w:val="00DE0127"/>
    <w:rsid w:val="00DE0631"/>
    <w:rsid w:val="00DE10D5"/>
    <w:rsid w:val="00DE1BE7"/>
    <w:rsid w:val="00DE1C5D"/>
    <w:rsid w:val="00DE2715"/>
    <w:rsid w:val="00DE3304"/>
    <w:rsid w:val="00DE3681"/>
    <w:rsid w:val="00DE5090"/>
    <w:rsid w:val="00DE523D"/>
    <w:rsid w:val="00DE5844"/>
    <w:rsid w:val="00DE6199"/>
    <w:rsid w:val="00DE6F1C"/>
    <w:rsid w:val="00DE7148"/>
    <w:rsid w:val="00DE7208"/>
    <w:rsid w:val="00DF04E9"/>
    <w:rsid w:val="00DF0EBC"/>
    <w:rsid w:val="00DF13C6"/>
    <w:rsid w:val="00DF14FE"/>
    <w:rsid w:val="00DF1639"/>
    <w:rsid w:val="00DF2F1E"/>
    <w:rsid w:val="00DF3E1D"/>
    <w:rsid w:val="00DF6A04"/>
    <w:rsid w:val="00DF6BD3"/>
    <w:rsid w:val="00DF79F6"/>
    <w:rsid w:val="00E00FF0"/>
    <w:rsid w:val="00E01722"/>
    <w:rsid w:val="00E01FE1"/>
    <w:rsid w:val="00E02321"/>
    <w:rsid w:val="00E02600"/>
    <w:rsid w:val="00E031F9"/>
    <w:rsid w:val="00E03254"/>
    <w:rsid w:val="00E03F87"/>
    <w:rsid w:val="00E0548E"/>
    <w:rsid w:val="00E0632D"/>
    <w:rsid w:val="00E06652"/>
    <w:rsid w:val="00E06702"/>
    <w:rsid w:val="00E072AE"/>
    <w:rsid w:val="00E10019"/>
    <w:rsid w:val="00E105C7"/>
    <w:rsid w:val="00E10C40"/>
    <w:rsid w:val="00E121F2"/>
    <w:rsid w:val="00E13520"/>
    <w:rsid w:val="00E13975"/>
    <w:rsid w:val="00E1437D"/>
    <w:rsid w:val="00E145D2"/>
    <w:rsid w:val="00E156D4"/>
    <w:rsid w:val="00E15BB2"/>
    <w:rsid w:val="00E164CC"/>
    <w:rsid w:val="00E176C5"/>
    <w:rsid w:val="00E21948"/>
    <w:rsid w:val="00E21C93"/>
    <w:rsid w:val="00E23CDA"/>
    <w:rsid w:val="00E2561B"/>
    <w:rsid w:val="00E25CA6"/>
    <w:rsid w:val="00E25F44"/>
    <w:rsid w:val="00E265D7"/>
    <w:rsid w:val="00E267F4"/>
    <w:rsid w:val="00E26B0F"/>
    <w:rsid w:val="00E26D58"/>
    <w:rsid w:val="00E27629"/>
    <w:rsid w:val="00E2788A"/>
    <w:rsid w:val="00E30319"/>
    <w:rsid w:val="00E321B0"/>
    <w:rsid w:val="00E3258B"/>
    <w:rsid w:val="00E34F4A"/>
    <w:rsid w:val="00E35222"/>
    <w:rsid w:val="00E35AA9"/>
    <w:rsid w:val="00E36D2B"/>
    <w:rsid w:val="00E4044B"/>
    <w:rsid w:val="00E420E7"/>
    <w:rsid w:val="00E42345"/>
    <w:rsid w:val="00E4268A"/>
    <w:rsid w:val="00E42904"/>
    <w:rsid w:val="00E42E04"/>
    <w:rsid w:val="00E436AE"/>
    <w:rsid w:val="00E43B23"/>
    <w:rsid w:val="00E43ED3"/>
    <w:rsid w:val="00E45B64"/>
    <w:rsid w:val="00E4647F"/>
    <w:rsid w:val="00E464E5"/>
    <w:rsid w:val="00E473B3"/>
    <w:rsid w:val="00E504C3"/>
    <w:rsid w:val="00E5092F"/>
    <w:rsid w:val="00E50B26"/>
    <w:rsid w:val="00E51882"/>
    <w:rsid w:val="00E51FFA"/>
    <w:rsid w:val="00E521D6"/>
    <w:rsid w:val="00E53235"/>
    <w:rsid w:val="00E536B6"/>
    <w:rsid w:val="00E5407B"/>
    <w:rsid w:val="00E540EA"/>
    <w:rsid w:val="00E54CAE"/>
    <w:rsid w:val="00E54D27"/>
    <w:rsid w:val="00E55228"/>
    <w:rsid w:val="00E55440"/>
    <w:rsid w:val="00E5591E"/>
    <w:rsid w:val="00E55BD2"/>
    <w:rsid w:val="00E56A12"/>
    <w:rsid w:val="00E57588"/>
    <w:rsid w:val="00E57900"/>
    <w:rsid w:val="00E60240"/>
    <w:rsid w:val="00E6279A"/>
    <w:rsid w:val="00E665D2"/>
    <w:rsid w:val="00E72039"/>
    <w:rsid w:val="00E73795"/>
    <w:rsid w:val="00E748D0"/>
    <w:rsid w:val="00E74FB6"/>
    <w:rsid w:val="00E7585A"/>
    <w:rsid w:val="00E76ABA"/>
    <w:rsid w:val="00E76ED9"/>
    <w:rsid w:val="00E7715C"/>
    <w:rsid w:val="00E7754F"/>
    <w:rsid w:val="00E778D5"/>
    <w:rsid w:val="00E7798F"/>
    <w:rsid w:val="00E807C6"/>
    <w:rsid w:val="00E814EE"/>
    <w:rsid w:val="00E81C41"/>
    <w:rsid w:val="00E8206B"/>
    <w:rsid w:val="00E83AE6"/>
    <w:rsid w:val="00E85B45"/>
    <w:rsid w:val="00E85F21"/>
    <w:rsid w:val="00E86BBC"/>
    <w:rsid w:val="00E87EE0"/>
    <w:rsid w:val="00E901B5"/>
    <w:rsid w:val="00E9031A"/>
    <w:rsid w:val="00E90E0F"/>
    <w:rsid w:val="00E92226"/>
    <w:rsid w:val="00E92A7F"/>
    <w:rsid w:val="00E935E6"/>
    <w:rsid w:val="00E93665"/>
    <w:rsid w:val="00E93FA8"/>
    <w:rsid w:val="00E95668"/>
    <w:rsid w:val="00E95EC2"/>
    <w:rsid w:val="00EA0038"/>
    <w:rsid w:val="00EA0C11"/>
    <w:rsid w:val="00EA0FFE"/>
    <w:rsid w:val="00EA1D1F"/>
    <w:rsid w:val="00EA24A0"/>
    <w:rsid w:val="00EA2FF0"/>
    <w:rsid w:val="00EA3474"/>
    <w:rsid w:val="00EA3F81"/>
    <w:rsid w:val="00EA461D"/>
    <w:rsid w:val="00EA5DEC"/>
    <w:rsid w:val="00EA6BDC"/>
    <w:rsid w:val="00EB011D"/>
    <w:rsid w:val="00EB074D"/>
    <w:rsid w:val="00EB1874"/>
    <w:rsid w:val="00EB2997"/>
    <w:rsid w:val="00EB3429"/>
    <w:rsid w:val="00EB3D6D"/>
    <w:rsid w:val="00EB5754"/>
    <w:rsid w:val="00EB589F"/>
    <w:rsid w:val="00EB7E60"/>
    <w:rsid w:val="00EC0520"/>
    <w:rsid w:val="00EC0777"/>
    <w:rsid w:val="00EC097F"/>
    <w:rsid w:val="00EC09EF"/>
    <w:rsid w:val="00EC1459"/>
    <w:rsid w:val="00EC225B"/>
    <w:rsid w:val="00EC2683"/>
    <w:rsid w:val="00EC347D"/>
    <w:rsid w:val="00EC55B5"/>
    <w:rsid w:val="00EC6ABF"/>
    <w:rsid w:val="00ED011F"/>
    <w:rsid w:val="00ED0A9A"/>
    <w:rsid w:val="00ED0D72"/>
    <w:rsid w:val="00ED0F98"/>
    <w:rsid w:val="00ED1292"/>
    <w:rsid w:val="00ED12C2"/>
    <w:rsid w:val="00ED1800"/>
    <w:rsid w:val="00ED1CC0"/>
    <w:rsid w:val="00ED3318"/>
    <w:rsid w:val="00ED36F2"/>
    <w:rsid w:val="00ED39E1"/>
    <w:rsid w:val="00ED55BC"/>
    <w:rsid w:val="00EE008D"/>
    <w:rsid w:val="00EE16F1"/>
    <w:rsid w:val="00EE226B"/>
    <w:rsid w:val="00EE23BB"/>
    <w:rsid w:val="00EE2D11"/>
    <w:rsid w:val="00EE3211"/>
    <w:rsid w:val="00EE3C37"/>
    <w:rsid w:val="00EE3E04"/>
    <w:rsid w:val="00EE5287"/>
    <w:rsid w:val="00EE64FA"/>
    <w:rsid w:val="00EE693B"/>
    <w:rsid w:val="00EE6E27"/>
    <w:rsid w:val="00EE73D6"/>
    <w:rsid w:val="00EE7407"/>
    <w:rsid w:val="00EF004F"/>
    <w:rsid w:val="00EF00E7"/>
    <w:rsid w:val="00EF1121"/>
    <w:rsid w:val="00EF1123"/>
    <w:rsid w:val="00EF196B"/>
    <w:rsid w:val="00EF3661"/>
    <w:rsid w:val="00EF38BF"/>
    <w:rsid w:val="00EF5AED"/>
    <w:rsid w:val="00EF5CA4"/>
    <w:rsid w:val="00EF6252"/>
    <w:rsid w:val="00EF680B"/>
    <w:rsid w:val="00EF699D"/>
    <w:rsid w:val="00EF75F4"/>
    <w:rsid w:val="00EF761B"/>
    <w:rsid w:val="00EF77DA"/>
    <w:rsid w:val="00EF7876"/>
    <w:rsid w:val="00F013A6"/>
    <w:rsid w:val="00F0266E"/>
    <w:rsid w:val="00F027D9"/>
    <w:rsid w:val="00F05E29"/>
    <w:rsid w:val="00F05E67"/>
    <w:rsid w:val="00F07AC8"/>
    <w:rsid w:val="00F11D2F"/>
    <w:rsid w:val="00F12883"/>
    <w:rsid w:val="00F128F8"/>
    <w:rsid w:val="00F13002"/>
    <w:rsid w:val="00F132BC"/>
    <w:rsid w:val="00F13BC0"/>
    <w:rsid w:val="00F150D4"/>
    <w:rsid w:val="00F174FD"/>
    <w:rsid w:val="00F17B14"/>
    <w:rsid w:val="00F20DE7"/>
    <w:rsid w:val="00F20E63"/>
    <w:rsid w:val="00F21E84"/>
    <w:rsid w:val="00F230C8"/>
    <w:rsid w:val="00F24056"/>
    <w:rsid w:val="00F241B5"/>
    <w:rsid w:val="00F244B0"/>
    <w:rsid w:val="00F25F03"/>
    <w:rsid w:val="00F26006"/>
    <w:rsid w:val="00F26B86"/>
    <w:rsid w:val="00F2735E"/>
    <w:rsid w:val="00F278C2"/>
    <w:rsid w:val="00F312AC"/>
    <w:rsid w:val="00F313AF"/>
    <w:rsid w:val="00F3149D"/>
    <w:rsid w:val="00F3173F"/>
    <w:rsid w:val="00F320D4"/>
    <w:rsid w:val="00F32657"/>
    <w:rsid w:val="00F32B96"/>
    <w:rsid w:val="00F34981"/>
    <w:rsid w:val="00F37B70"/>
    <w:rsid w:val="00F40397"/>
    <w:rsid w:val="00F403AB"/>
    <w:rsid w:val="00F40EF4"/>
    <w:rsid w:val="00F41E89"/>
    <w:rsid w:val="00F422EF"/>
    <w:rsid w:val="00F42855"/>
    <w:rsid w:val="00F42A07"/>
    <w:rsid w:val="00F42A0C"/>
    <w:rsid w:val="00F42AC6"/>
    <w:rsid w:val="00F441AF"/>
    <w:rsid w:val="00F44363"/>
    <w:rsid w:val="00F466B1"/>
    <w:rsid w:val="00F47A91"/>
    <w:rsid w:val="00F47BAB"/>
    <w:rsid w:val="00F50380"/>
    <w:rsid w:val="00F51D61"/>
    <w:rsid w:val="00F524B5"/>
    <w:rsid w:val="00F528E8"/>
    <w:rsid w:val="00F52CE6"/>
    <w:rsid w:val="00F532EC"/>
    <w:rsid w:val="00F55584"/>
    <w:rsid w:val="00F5571F"/>
    <w:rsid w:val="00F55E4E"/>
    <w:rsid w:val="00F56B9D"/>
    <w:rsid w:val="00F56BB5"/>
    <w:rsid w:val="00F571D7"/>
    <w:rsid w:val="00F574DC"/>
    <w:rsid w:val="00F613EA"/>
    <w:rsid w:val="00F624F1"/>
    <w:rsid w:val="00F636FF"/>
    <w:rsid w:val="00F63FE1"/>
    <w:rsid w:val="00F65831"/>
    <w:rsid w:val="00F65DB1"/>
    <w:rsid w:val="00F66855"/>
    <w:rsid w:val="00F66BE0"/>
    <w:rsid w:val="00F70147"/>
    <w:rsid w:val="00F713D7"/>
    <w:rsid w:val="00F71C5C"/>
    <w:rsid w:val="00F72251"/>
    <w:rsid w:val="00F72289"/>
    <w:rsid w:val="00F730D1"/>
    <w:rsid w:val="00F74059"/>
    <w:rsid w:val="00F740B5"/>
    <w:rsid w:val="00F74F01"/>
    <w:rsid w:val="00F75B7C"/>
    <w:rsid w:val="00F7656D"/>
    <w:rsid w:val="00F7716B"/>
    <w:rsid w:val="00F8230E"/>
    <w:rsid w:val="00F84A90"/>
    <w:rsid w:val="00F855E3"/>
    <w:rsid w:val="00F85673"/>
    <w:rsid w:val="00F872A9"/>
    <w:rsid w:val="00F9074A"/>
    <w:rsid w:val="00F92ECF"/>
    <w:rsid w:val="00F93D57"/>
    <w:rsid w:val="00F9432B"/>
    <w:rsid w:val="00F9437E"/>
    <w:rsid w:val="00F944A2"/>
    <w:rsid w:val="00F948BA"/>
    <w:rsid w:val="00F94BCD"/>
    <w:rsid w:val="00F97436"/>
    <w:rsid w:val="00FA014D"/>
    <w:rsid w:val="00FA01BA"/>
    <w:rsid w:val="00FA047C"/>
    <w:rsid w:val="00FA084A"/>
    <w:rsid w:val="00FA13A3"/>
    <w:rsid w:val="00FA15FC"/>
    <w:rsid w:val="00FA24B4"/>
    <w:rsid w:val="00FA3F40"/>
    <w:rsid w:val="00FA50EE"/>
    <w:rsid w:val="00FA5BFD"/>
    <w:rsid w:val="00FA7111"/>
    <w:rsid w:val="00FA7682"/>
    <w:rsid w:val="00FB040A"/>
    <w:rsid w:val="00FB15B6"/>
    <w:rsid w:val="00FB2209"/>
    <w:rsid w:val="00FB3B52"/>
    <w:rsid w:val="00FB6AC4"/>
    <w:rsid w:val="00FC09C6"/>
    <w:rsid w:val="00FC0E1D"/>
    <w:rsid w:val="00FC30DA"/>
    <w:rsid w:val="00FC3D58"/>
    <w:rsid w:val="00FC40B3"/>
    <w:rsid w:val="00FD1225"/>
    <w:rsid w:val="00FD20C6"/>
    <w:rsid w:val="00FD255B"/>
    <w:rsid w:val="00FD2E11"/>
    <w:rsid w:val="00FD460D"/>
    <w:rsid w:val="00FD4804"/>
    <w:rsid w:val="00FD506E"/>
    <w:rsid w:val="00FD5395"/>
    <w:rsid w:val="00FD557A"/>
    <w:rsid w:val="00FD6014"/>
    <w:rsid w:val="00FD6418"/>
    <w:rsid w:val="00FD70ED"/>
    <w:rsid w:val="00FD7573"/>
    <w:rsid w:val="00FD7B81"/>
    <w:rsid w:val="00FD7B98"/>
    <w:rsid w:val="00FE0AC9"/>
    <w:rsid w:val="00FE29AA"/>
    <w:rsid w:val="00FE3415"/>
    <w:rsid w:val="00FE37D3"/>
    <w:rsid w:val="00FE5197"/>
    <w:rsid w:val="00FE59C7"/>
    <w:rsid w:val="00FE6093"/>
    <w:rsid w:val="00FE6D1B"/>
    <w:rsid w:val="00FE78C6"/>
    <w:rsid w:val="00FE79AA"/>
    <w:rsid w:val="00FE7DEF"/>
    <w:rsid w:val="00FF0C23"/>
    <w:rsid w:val="00FF127B"/>
    <w:rsid w:val="00FF3C8F"/>
    <w:rsid w:val="00FF3D37"/>
    <w:rsid w:val="00FF3E62"/>
    <w:rsid w:val="00FF4F84"/>
    <w:rsid w:val="00FF535D"/>
    <w:rsid w:val="00FF58AC"/>
    <w:rsid w:val="00FF5C98"/>
    <w:rsid w:val="00FF6381"/>
    <w:rsid w:val="00FF679D"/>
    <w:rsid w:val="00FF6DB2"/>
    <w:rsid w:val="00FF7E2F"/>
    <w:rsid w:val="01007F15"/>
    <w:rsid w:val="01090EF2"/>
    <w:rsid w:val="0109778C"/>
    <w:rsid w:val="01121891"/>
    <w:rsid w:val="01165B69"/>
    <w:rsid w:val="011662F1"/>
    <w:rsid w:val="012670EA"/>
    <w:rsid w:val="0136417B"/>
    <w:rsid w:val="01382DB4"/>
    <w:rsid w:val="013C5C8D"/>
    <w:rsid w:val="01422C1D"/>
    <w:rsid w:val="014249AF"/>
    <w:rsid w:val="01457F6F"/>
    <w:rsid w:val="016000CB"/>
    <w:rsid w:val="01602886"/>
    <w:rsid w:val="016250CC"/>
    <w:rsid w:val="01626374"/>
    <w:rsid w:val="01747D1E"/>
    <w:rsid w:val="01814321"/>
    <w:rsid w:val="018D19EE"/>
    <w:rsid w:val="018F7F62"/>
    <w:rsid w:val="019377AB"/>
    <w:rsid w:val="01A06E78"/>
    <w:rsid w:val="01AE454F"/>
    <w:rsid w:val="01BB74AA"/>
    <w:rsid w:val="01C43576"/>
    <w:rsid w:val="01C47CF3"/>
    <w:rsid w:val="01CA3ADE"/>
    <w:rsid w:val="01CF1907"/>
    <w:rsid w:val="01DB7E91"/>
    <w:rsid w:val="01E03A50"/>
    <w:rsid w:val="01E4051A"/>
    <w:rsid w:val="01E6481C"/>
    <w:rsid w:val="01EC7DC4"/>
    <w:rsid w:val="01F121F4"/>
    <w:rsid w:val="01F178BE"/>
    <w:rsid w:val="01F269F5"/>
    <w:rsid w:val="01F303BD"/>
    <w:rsid w:val="01FA6AA0"/>
    <w:rsid w:val="01FC2564"/>
    <w:rsid w:val="01FF0067"/>
    <w:rsid w:val="02181129"/>
    <w:rsid w:val="0224187C"/>
    <w:rsid w:val="02250DF1"/>
    <w:rsid w:val="023006A7"/>
    <w:rsid w:val="02320EC8"/>
    <w:rsid w:val="02335ABB"/>
    <w:rsid w:val="02411D68"/>
    <w:rsid w:val="0247556A"/>
    <w:rsid w:val="0252665D"/>
    <w:rsid w:val="025C7268"/>
    <w:rsid w:val="025F19CF"/>
    <w:rsid w:val="026043E7"/>
    <w:rsid w:val="026305F6"/>
    <w:rsid w:val="0263568B"/>
    <w:rsid w:val="02781BC8"/>
    <w:rsid w:val="027F2F56"/>
    <w:rsid w:val="028A13E5"/>
    <w:rsid w:val="029562D6"/>
    <w:rsid w:val="02A223A8"/>
    <w:rsid w:val="02A86A46"/>
    <w:rsid w:val="02B13DB5"/>
    <w:rsid w:val="02B81FC4"/>
    <w:rsid w:val="02B9418E"/>
    <w:rsid w:val="02BE582C"/>
    <w:rsid w:val="02C170CB"/>
    <w:rsid w:val="02DD029C"/>
    <w:rsid w:val="02E212FD"/>
    <w:rsid w:val="02F63D2A"/>
    <w:rsid w:val="02F66595"/>
    <w:rsid w:val="02FA438B"/>
    <w:rsid w:val="02FF7A7B"/>
    <w:rsid w:val="0304571A"/>
    <w:rsid w:val="03122A82"/>
    <w:rsid w:val="03123DCA"/>
    <w:rsid w:val="031853F6"/>
    <w:rsid w:val="0331105F"/>
    <w:rsid w:val="03447EF6"/>
    <w:rsid w:val="035203D6"/>
    <w:rsid w:val="03565307"/>
    <w:rsid w:val="0357494E"/>
    <w:rsid w:val="03582C20"/>
    <w:rsid w:val="035C5803"/>
    <w:rsid w:val="03602483"/>
    <w:rsid w:val="03610DE0"/>
    <w:rsid w:val="0361681B"/>
    <w:rsid w:val="03622291"/>
    <w:rsid w:val="036F345C"/>
    <w:rsid w:val="0383288F"/>
    <w:rsid w:val="0386272B"/>
    <w:rsid w:val="03914741"/>
    <w:rsid w:val="03955335"/>
    <w:rsid w:val="039D461F"/>
    <w:rsid w:val="03A85455"/>
    <w:rsid w:val="03B31C96"/>
    <w:rsid w:val="03B409DD"/>
    <w:rsid w:val="03B60BF9"/>
    <w:rsid w:val="03BF0D75"/>
    <w:rsid w:val="03CA0997"/>
    <w:rsid w:val="03CF5C98"/>
    <w:rsid w:val="03D37BCF"/>
    <w:rsid w:val="03D37F09"/>
    <w:rsid w:val="03E259B9"/>
    <w:rsid w:val="03EB1B79"/>
    <w:rsid w:val="03ED1CC0"/>
    <w:rsid w:val="03EE1902"/>
    <w:rsid w:val="03EE5067"/>
    <w:rsid w:val="03F01452"/>
    <w:rsid w:val="03F32D1E"/>
    <w:rsid w:val="03F67248"/>
    <w:rsid w:val="040016C0"/>
    <w:rsid w:val="04057985"/>
    <w:rsid w:val="04137DFA"/>
    <w:rsid w:val="04253FDA"/>
    <w:rsid w:val="042542AE"/>
    <w:rsid w:val="04297442"/>
    <w:rsid w:val="042C612D"/>
    <w:rsid w:val="042E23BB"/>
    <w:rsid w:val="043079EB"/>
    <w:rsid w:val="04451448"/>
    <w:rsid w:val="044B7594"/>
    <w:rsid w:val="04511573"/>
    <w:rsid w:val="045C354F"/>
    <w:rsid w:val="045C66B2"/>
    <w:rsid w:val="04641540"/>
    <w:rsid w:val="04676E72"/>
    <w:rsid w:val="047376F8"/>
    <w:rsid w:val="04784101"/>
    <w:rsid w:val="04844854"/>
    <w:rsid w:val="0486237A"/>
    <w:rsid w:val="048A515F"/>
    <w:rsid w:val="0491498E"/>
    <w:rsid w:val="04953D64"/>
    <w:rsid w:val="04A05E0D"/>
    <w:rsid w:val="04A41675"/>
    <w:rsid w:val="04A42800"/>
    <w:rsid w:val="04AB5B2E"/>
    <w:rsid w:val="04BF01E9"/>
    <w:rsid w:val="04C837E3"/>
    <w:rsid w:val="04D253F8"/>
    <w:rsid w:val="04DA4582"/>
    <w:rsid w:val="04DF1692"/>
    <w:rsid w:val="04ED3C1F"/>
    <w:rsid w:val="04F512AE"/>
    <w:rsid w:val="05047743"/>
    <w:rsid w:val="05084354"/>
    <w:rsid w:val="05085485"/>
    <w:rsid w:val="05115FB7"/>
    <w:rsid w:val="051A2315"/>
    <w:rsid w:val="0525422D"/>
    <w:rsid w:val="052812A8"/>
    <w:rsid w:val="053E1FDF"/>
    <w:rsid w:val="054A0090"/>
    <w:rsid w:val="054F5218"/>
    <w:rsid w:val="05516B78"/>
    <w:rsid w:val="05575850"/>
    <w:rsid w:val="055B1FF4"/>
    <w:rsid w:val="055E32F7"/>
    <w:rsid w:val="055F2A2A"/>
    <w:rsid w:val="055F58E6"/>
    <w:rsid w:val="056807B4"/>
    <w:rsid w:val="056B1564"/>
    <w:rsid w:val="057027C2"/>
    <w:rsid w:val="05796AA3"/>
    <w:rsid w:val="058357FE"/>
    <w:rsid w:val="058B77B2"/>
    <w:rsid w:val="05950818"/>
    <w:rsid w:val="05960EAA"/>
    <w:rsid w:val="059C4D0F"/>
    <w:rsid w:val="059D3E1F"/>
    <w:rsid w:val="05A671DA"/>
    <w:rsid w:val="05B253F0"/>
    <w:rsid w:val="05B463CC"/>
    <w:rsid w:val="05B9261D"/>
    <w:rsid w:val="05C37C2A"/>
    <w:rsid w:val="05D20A82"/>
    <w:rsid w:val="05D51D02"/>
    <w:rsid w:val="05D72DE4"/>
    <w:rsid w:val="05D84E57"/>
    <w:rsid w:val="05DB13E4"/>
    <w:rsid w:val="05DE7F94"/>
    <w:rsid w:val="05EC034A"/>
    <w:rsid w:val="05F415E9"/>
    <w:rsid w:val="05F73ED5"/>
    <w:rsid w:val="05F977A6"/>
    <w:rsid w:val="05FA1ED0"/>
    <w:rsid w:val="06101BF1"/>
    <w:rsid w:val="06125F4E"/>
    <w:rsid w:val="061E514D"/>
    <w:rsid w:val="0623601E"/>
    <w:rsid w:val="063C5854"/>
    <w:rsid w:val="06491C97"/>
    <w:rsid w:val="06592C56"/>
    <w:rsid w:val="06597543"/>
    <w:rsid w:val="065D35AE"/>
    <w:rsid w:val="065E7479"/>
    <w:rsid w:val="06631412"/>
    <w:rsid w:val="066547C5"/>
    <w:rsid w:val="06663EA4"/>
    <w:rsid w:val="066A45CD"/>
    <w:rsid w:val="06761D63"/>
    <w:rsid w:val="067A36C6"/>
    <w:rsid w:val="0683589B"/>
    <w:rsid w:val="068B4DC6"/>
    <w:rsid w:val="069B212A"/>
    <w:rsid w:val="069F3E9A"/>
    <w:rsid w:val="06A05291"/>
    <w:rsid w:val="06A43243"/>
    <w:rsid w:val="06BC6527"/>
    <w:rsid w:val="06C550DB"/>
    <w:rsid w:val="06D0743C"/>
    <w:rsid w:val="06F8246B"/>
    <w:rsid w:val="070059CA"/>
    <w:rsid w:val="070457D8"/>
    <w:rsid w:val="07265CA8"/>
    <w:rsid w:val="07387B18"/>
    <w:rsid w:val="073E420E"/>
    <w:rsid w:val="075E2523"/>
    <w:rsid w:val="075E313A"/>
    <w:rsid w:val="076E6B10"/>
    <w:rsid w:val="077475F9"/>
    <w:rsid w:val="07805877"/>
    <w:rsid w:val="07862691"/>
    <w:rsid w:val="078F6B1A"/>
    <w:rsid w:val="07944BFB"/>
    <w:rsid w:val="07A07BF6"/>
    <w:rsid w:val="07A36A9F"/>
    <w:rsid w:val="07AA45D1"/>
    <w:rsid w:val="07AD2313"/>
    <w:rsid w:val="07B22958"/>
    <w:rsid w:val="07B616E4"/>
    <w:rsid w:val="07B800FB"/>
    <w:rsid w:val="07B85DA1"/>
    <w:rsid w:val="07BB5DFD"/>
    <w:rsid w:val="07C84A57"/>
    <w:rsid w:val="07D26F91"/>
    <w:rsid w:val="07D41379"/>
    <w:rsid w:val="07D831A4"/>
    <w:rsid w:val="07E161B7"/>
    <w:rsid w:val="07E44F59"/>
    <w:rsid w:val="07EC5C4C"/>
    <w:rsid w:val="07F67816"/>
    <w:rsid w:val="080041F1"/>
    <w:rsid w:val="0802657D"/>
    <w:rsid w:val="08062766"/>
    <w:rsid w:val="081A4D53"/>
    <w:rsid w:val="082B63F3"/>
    <w:rsid w:val="083462CD"/>
    <w:rsid w:val="08377730"/>
    <w:rsid w:val="083E30C4"/>
    <w:rsid w:val="08422AC7"/>
    <w:rsid w:val="084542FA"/>
    <w:rsid w:val="08455168"/>
    <w:rsid w:val="084E6128"/>
    <w:rsid w:val="085731D3"/>
    <w:rsid w:val="085C6362"/>
    <w:rsid w:val="086C26E0"/>
    <w:rsid w:val="086C4C63"/>
    <w:rsid w:val="08822685"/>
    <w:rsid w:val="0882554E"/>
    <w:rsid w:val="08853E23"/>
    <w:rsid w:val="088C0A16"/>
    <w:rsid w:val="08912814"/>
    <w:rsid w:val="089548AF"/>
    <w:rsid w:val="089A73FE"/>
    <w:rsid w:val="089E289E"/>
    <w:rsid w:val="08A734DB"/>
    <w:rsid w:val="08BF6F73"/>
    <w:rsid w:val="08C52D6F"/>
    <w:rsid w:val="08C571E9"/>
    <w:rsid w:val="08CB0CA3"/>
    <w:rsid w:val="08D538D0"/>
    <w:rsid w:val="08DA0EE6"/>
    <w:rsid w:val="08F45DDA"/>
    <w:rsid w:val="08FC70D0"/>
    <w:rsid w:val="09062901"/>
    <w:rsid w:val="090F0D9F"/>
    <w:rsid w:val="09115837"/>
    <w:rsid w:val="0918330D"/>
    <w:rsid w:val="09240B84"/>
    <w:rsid w:val="09244EE7"/>
    <w:rsid w:val="0929584C"/>
    <w:rsid w:val="092B1808"/>
    <w:rsid w:val="092E340E"/>
    <w:rsid w:val="092E3EDC"/>
    <w:rsid w:val="093431FC"/>
    <w:rsid w:val="095011A8"/>
    <w:rsid w:val="095742E5"/>
    <w:rsid w:val="0966617B"/>
    <w:rsid w:val="096D2EE4"/>
    <w:rsid w:val="097529BD"/>
    <w:rsid w:val="09774987"/>
    <w:rsid w:val="097E5DA1"/>
    <w:rsid w:val="0986681C"/>
    <w:rsid w:val="099C43EE"/>
    <w:rsid w:val="099D6B31"/>
    <w:rsid w:val="09A304A4"/>
    <w:rsid w:val="09A80592"/>
    <w:rsid w:val="09B14BDC"/>
    <w:rsid w:val="09B31CA6"/>
    <w:rsid w:val="09B37638"/>
    <w:rsid w:val="09C466FE"/>
    <w:rsid w:val="09DD2B7E"/>
    <w:rsid w:val="09DE12BD"/>
    <w:rsid w:val="09DF5A3E"/>
    <w:rsid w:val="09E70789"/>
    <w:rsid w:val="09E82843"/>
    <w:rsid w:val="09EB1B94"/>
    <w:rsid w:val="09FC58B1"/>
    <w:rsid w:val="0A043E1E"/>
    <w:rsid w:val="0A1145AA"/>
    <w:rsid w:val="0A1A2990"/>
    <w:rsid w:val="0A1C5118"/>
    <w:rsid w:val="0A1F5794"/>
    <w:rsid w:val="0A2C27ED"/>
    <w:rsid w:val="0A2E773B"/>
    <w:rsid w:val="0A303D95"/>
    <w:rsid w:val="0A4038E0"/>
    <w:rsid w:val="0A496593"/>
    <w:rsid w:val="0A4A4507"/>
    <w:rsid w:val="0A4C7BC2"/>
    <w:rsid w:val="0A567580"/>
    <w:rsid w:val="0A58368B"/>
    <w:rsid w:val="0A59610E"/>
    <w:rsid w:val="0A613614"/>
    <w:rsid w:val="0A646E83"/>
    <w:rsid w:val="0A650114"/>
    <w:rsid w:val="0A69479F"/>
    <w:rsid w:val="0A77364F"/>
    <w:rsid w:val="0A7F2B1E"/>
    <w:rsid w:val="0A80495D"/>
    <w:rsid w:val="0A824914"/>
    <w:rsid w:val="0A8623B3"/>
    <w:rsid w:val="0A8F49FF"/>
    <w:rsid w:val="0A941D0E"/>
    <w:rsid w:val="0A982E07"/>
    <w:rsid w:val="0A9860DD"/>
    <w:rsid w:val="0AA07F0D"/>
    <w:rsid w:val="0AA87F9D"/>
    <w:rsid w:val="0AA96DC2"/>
    <w:rsid w:val="0AB92C63"/>
    <w:rsid w:val="0ABB3A4A"/>
    <w:rsid w:val="0ABD1C25"/>
    <w:rsid w:val="0AC03622"/>
    <w:rsid w:val="0AC61654"/>
    <w:rsid w:val="0AC966B5"/>
    <w:rsid w:val="0ACB67A0"/>
    <w:rsid w:val="0AD73AE0"/>
    <w:rsid w:val="0AFB3396"/>
    <w:rsid w:val="0B03244D"/>
    <w:rsid w:val="0B0557CD"/>
    <w:rsid w:val="0B081ECF"/>
    <w:rsid w:val="0B0C7351"/>
    <w:rsid w:val="0B0D4006"/>
    <w:rsid w:val="0B1E187B"/>
    <w:rsid w:val="0B241C63"/>
    <w:rsid w:val="0B243B52"/>
    <w:rsid w:val="0B27738F"/>
    <w:rsid w:val="0B2835CE"/>
    <w:rsid w:val="0B32110F"/>
    <w:rsid w:val="0B371A80"/>
    <w:rsid w:val="0B3C3E77"/>
    <w:rsid w:val="0B422D73"/>
    <w:rsid w:val="0B591E2E"/>
    <w:rsid w:val="0B6049A4"/>
    <w:rsid w:val="0B646C0D"/>
    <w:rsid w:val="0B6C3CB0"/>
    <w:rsid w:val="0B8B64C8"/>
    <w:rsid w:val="0B8E7D66"/>
    <w:rsid w:val="0B974BA5"/>
    <w:rsid w:val="0B982B1A"/>
    <w:rsid w:val="0BA63302"/>
    <w:rsid w:val="0BA87886"/>
    <w:rsid w:val="0BBA77BA"/>
    <w:rsid w:val="0BC76252"/>
    <w:rsid w:val="0BCD1763"/>
    <w:rsid w:val="0BCF3629"/>
    <w:rsid w:val="0BD3054F"/>
    <w:rsid w:val="0BDA2FAB"/>
    <w:rsid w:val="0BE827FD"/>
    <w:rsid w:val="0BEA711E"/>
    <w:rsid w:val="0BEF713E"/>
    <w:rsid w:val="0BF87470"/>
    <w:rsid w:val="0C0344BF"/>
    <w:rsid w:val="0C0E473F"/>
    <w:rsid w:val="0C0F33D5"/>
    <w:rsid w:val="0C1A44D6"/>
    <w:rsid w:val="0C1D75EE"/>
    <w:rsid w:val="0C27290D"/>
    <w:rsid w:val="0C3A6D68"/>
    <w:rsid w:val="0C3C04B3"/>
    <w:rsid w:val="0C4146E3"/>
    <w:rsid w:val="0C453C52"/>
    <w:rsid w:val="0C5F0057"/>
    <w:rsid w:val="0C650B63"/>
    <w:rsid w:val="0C691C6B"/>
    <w:rsid w:val="0C8022E0"/>
    <w:rsid w:val="0C890D10"/>
    <w:rsid w:val="0C913FB2"/>
    <w:rsid w:val="0CA053DC"/>
    <w:rsid w:val="0CB50A66"/>
    <w:rsid w:val="0CB84454"/>
    <w:rsid w:val="0CBA3508"/>
    <w:rsid w:val="0CC06DF7"/>
    <w:rsid w:val="0CC2761A"/>
    <w:rsid w:val="0CCB0615"/>
    <w:rsid w:val="0CD23CDB"/>
    <w:rsid w:val="0CDC4285"/>
    <w:rsid w:val="0CDE52DC"/>
    <w:rsid w:val="0CE148F4"/>
    <w:rsid w:val="0CE340E1"/>
    <w:rsid w:val="0CEC568C"/>
    <w:rsid w:val="0CEF288D"/>
    <w:rsid w:val="0CF57DD0"/>
    <w:rsid w:val="0CFD50AD"/>
    <w:rsid w:val="0D0447DB"/>
    <w:rsid w:val="0D0A0581"/>
    <w:rsid w:val="0D0F1F91"/>
    <w:rsid w:val="0D102429"/>
    <w:rsid w:val="0D1D3A97"/>
    <w:rsid w:val="0D1F1AD2"/>
    <w:rsid w:val="0D224637"/>
    <w:rsid w:val="0D31309F"/>
    <w:rsid w:val="0D3E32D2"/>
    <w:rsid w:val="0D4379A5"/>
    <w:rsid w:val="0D503373"/>
    <w:rsid w:val="0D5F1E93"/>
    <w:rsid w:val="0D645DE4"/>
    <w:rsid w:val="0D657115"/>
    <w:rsid w:val="0D745E31"/>
    <w:rsid w:val="0D75742F"/>
    <w:rsid w:val="0D8238FA"/>
    <w:rsid w:val="0D970B58"/>
    <w:rsid w:val="0DA76A35"/>
    <w:rsid w:val="0DAE2C2A"/>
    <w:rsid w:val="0DAF4501"/>
    <w:rsid w:val="0DBF0356"/>
    <w:rsid w:val="0DC73428"/>
    <w:rsid w:val="0DCF2031"/>
    <w:rsid w:val="0DD00152"/>
    <w:rsid w:val="0DD979BE"/>
    <w:rsid w:val="0DDF6E70"/>
    <w:rsid w:val="0DEA1AD0"/>
    <w:rsid w:val="0DEC2266"/>
    <w:rsid w:val="0DEF62B6"/>
    <w:rsid w:val="0DF63C88"/>
    <w:rsid w:val="0E0B760A"/>
    <w:rsid w:val="0E1951C3"/>
    <w:rsid w:val="0E221DF0"/>
    <w:rsid w:val="0E2B3F92"/>
    <w:rsid w:val="0E2D74DB"/>
    <w:rsid w:val="0E3C75E8"/>
    <w:rsid w:val="0E443135"/>
    <w:rsid w:val="0E5075D5"/>
    <w:rsid w:val="0E5C591E"/>
    <w:rsid w:val="0E5E0D5A"/>
    <w:rsid w:val="0E617934"/>
    <w:rsid w:val="0E686877"/>
    <w:rsid w:val="0E7E1F4F"/>
    <w:rsid w:val="0E8343A6"/>
    <w:rsid w:val="0E8419FF"/>
    <w:rsid w:val="0E9F1577"/>
    <w:rsid w:val="0EA958BD"/>
    <w:rsid w:val="0EAA3109"/>
    <w:rsid w:val="0EB1635C"/>
    <w:rsid w:val="0EB47B97"/>
    <w:rsid w:val="0EC16032"/>
    <w:rsid w:val="0EC8016E"/>
    <w:rsid w:val="0ECB4993"/>
    <w:rsid w:val="0ED43D0B"/>
    <w:rsid w:val="0EE17D54"/>
    <w:rsid w:val="0EE87661"/>
    <w:rsid w:val="0EEA0A05"/>
    <w:rsid w:val="0EEA6286"/>
    <w:rsid w:val="0EEB6DB7"/>
    <w:rsid w:val="0EEE65D1"/>
    <w:rsid w:val="0EF63582"/>
    <w:rsid w:val="0F006FBA"/>
    <w:rsid w:val="0F0273A3"/>
    <w:rsid w:val="0F211322"/>
    <w:rsid w:val="0F222E68"/>
    <w:rsid w:val="0F274759"/>
    <w:rsid w:val="0F36186E"/>
    <w:rsid w:val="0F380E8D"/>
    <w:rsid w:val="0F4E27DE"/>
    <w:rsid w:val="0F4F4321"/>
    <w:rsid w:val="0F553C36"/>
    <w:rsid w:val="0F687DEB"/>
    <w:rsid w:val="0F6D2474"/>
    <w:rsid w:val="0F6D575B"/>
    <w:rsid w:val="0F6E00F9"/>
    <w:rsid w:val="0F743D29"/>
    <w:rsid w:val="0F8033C4"/>
    <w:rsid w:val="0F8B2F3A"/>
    <w:rsid w:val="0F8B645F"/>
    <w:rsid w:val="0F9333B4"/>
    <w:rsid w:val="0F954490"/>
    <w:rsid w:val="0F971E23"/>
    <w:rsid w:val="0F985657"/>
    <w:rsid w:val="0F9E09C0"/>
    <w:rsid w:val="0FA37646"/>
    <w:rsid w:val="0FA612E6"/>
    <w:rsid w:val="0FAB02B9"/>
    <w:rsid w:val="0FC36128"/>
    <w:rsid w:val="0FC44E6C"/>
    <w:rsid w:val="0FC61E9D"/>
    <w:rsid w:val="0FC62472"/>
    <w:rsid w:val="0FCA4A97"/>
    <w:rsid w:val="0FD06B9F"/>
    <w:rsid w:val="0FDB5973"/>
    <w:rsid w:val="0FE02217"/>
    <w:rsid w:val="0FF439CD"/>
    <w:rsid w:val="0FF46D31"/>
    <w:rsid w:val="0FF619CC"/>
    <w:rsid w:val="0FF6440E"/>
    <w:rsid w:val="0FF7237E"/>
    <w:rsid w:val="10244EF8"/>
    <w:rsid w:val="10282537"/>
    <w:rsid w:val="10284C2D"/>
    <w:rsid w:val="102D0DE1"/>
    <w:rsid w:val="10334DB5"/>
    <w:rsid w:val="10340C99"/>
    <w:rsid w:val="1035750E"/>
    <w:rsid w:val="10357F0F"/>
    <w:rsid w:val="103A162C"/>
    <w:rsid w:val="103B29D1"/>
    <w:rsid w:val="103C69CF"/>
    <w:rsid w:val="1050173C"/>
    <w:rsid w:val="10581601"/>
    <w:rsid w:val="10623F05"/>
    <w:rsid w:val="107431BA"/>
    <w:rsid w:val="107B4492"/>
    <w:rsid w:val="107F0F36"/>
    <w:rsid w:val="107F4206"/>
    <w:rsid w:val="10853E2D"/>
    <w:rsid w:val="10855BDB"/>
    <w:rsid w:val="10885189"/>
    <w:rsid w:val="10893CB6"/>
    <w:rsid w:val="10993435"/>
    <w:rsid w:val="109B03CC"/>
    <w:rsid w:val="109E452C"/>
    <w:rsid w:val="10A36062"/>
    <w:rsid w:val="10A62F44"/>
    <w:rsid w:val="10AA0DA9"/>
    <w:rsid w:val="10AB4F16"/>
    <w:rsid w:val="10AD7223"/>
    <w:rsid w:val="10AE2A42"/>
    <w:rsid w:val="10C7077C"/>
    <w:rsid w:val="10CA24D0"/>
    <w:rsid w:val="10CD30DE"/>
    <w:rsid w:val="10DD6E6A"/>
    <w:rsid w:val="10EA0134"/>
    <w:rsid w:val="10EA7E66"/>
    <w:rsid w:val="10F25B81"/>
    <w:rsid w:val="10F7015B"/>
    <w:rsid w:val="10F94EC2"/>
    <w:rsid w:val="10FD2A04"/>
    <w:rsid w:val="10FE14EA"/>
    <w:rsid w:val="11044434"/>
    <w:rsid w:val="110E5BD1"/>
    <w:rsid w:val="11127111"/>
    <w:rsid w:val="11237BD1"/>
    <w:rsid w:val="112406FA"/>
    <w:rsid w:val="112E6273"/>
    <w:rsid w:val="113163AC"/>
    <w:rsid w:val="113A30EF"/>
    <w:rsid w:val="113A4600"/>
    <w:rsid w:val="113D42B9"/>
    <w:rsid w:val="11426DC8"/>
    <w:rsid w:val="11481AD3"/>
    <w:rsid w:val="114B54F8"/>
    <w:rsid w:val="11515D18"/>
    <w:rsid w:val="11560CEE"/>
    <w:rsid w:val="11645423"/>
    <w:rsid w:val="11783E6A"/>
    <w:rsid w:val="117D4B05"/>
    <w:rsid w:val="11850FF5"/>
    <w:rsid w:val="118B5AD6"/>
    <w:rsid w:val="11942369"/>
    <w:rsid w:val="11A958FA"/>
    <w:rsid w:val="11AA77C6"/>
    <w:rsid w:val="11C42733"/>
    <w:rsid w:val="11D708A9"/>
    <w:rsid w:val="11DD2DAA"/>
    <w:rsid w:val="11DD55A3"/>
    <w:rsid w:val="11E01803"/>
    <w:rsid w:val="11ED1C8A"/>
    <w:rsid w:val="11F87E50"/>
    <w:rsid w:val="11FD5808"/>
    <w:rsid w:val="120B76E3"/>
    <w:rsid w:val="121433CE"/>
    <w:rsid w:val="12167024"/>
    <w:rsid w:val="12180D33"/>
    <w:rsid w:val="1223601A"/>
    <w:rsid w:val="12244F80"/>
    <w:rsid w:val="12462D58"/>
    <w:rsid w:val="125A5FD4"/>
    <w:rsid w:val="12690DA6"/>
    <w:rsid w:val="1278488D"/>
    <w:rsid w:val="127B60B6"/>
    <w:rsid w:val="127F6859"/>
    <w:rsid w:val="128033D7"/>
    <w:rsid w:val="128576AA"/>
    <w:rsid w:val="128F5D37"/>
    <w:rsid w:val="1290191B"/>
    <w:rsid w:val="12912E05"/>
    <w:rsid w:val="1295357D"/>
    <w:rsid w:val="129751BD"/>
    <w:rsid w:val="12A44024"/>
    <w:rsid w:val="12A97242"/>
    <w:rsid w:val="12A97B84"/>
    <w:rsid w:val="12C11718"/>
    <w:rsid w:val="12C82FC8"/>
    <w:rsid w:val="12EB6337"/>
    <w:rsid w:val="12ED29EA"/>
    <w:rsid w:val="12F374FD"/>
    <w:rsid w:val="12F46208"/>
    <w:rsid w:val="12F55C83"/>
    <w:rsid w:val="1311683F"/>
    <w:rsid w:val="13143FAB"/>
    <w:rsid w:val="13155F59"/>
    <w:rsid w:val="131D102D"/>
    <w:rsid w:val="132A4F18"/>
    <w:rsid w:val="13327318"/>
    <w:rsid w:val="13327FF2"/>
    <w:rsid w:val="13362125"/>
    <w:rsid w:val="133E02C4"/>
    <w:rsid w:val="13451321"/>
    <w:rsid w:val="134770B1"/>
    <w:rsid w:val="13556AB7"/>
    <w:rsid w:val="135763E1"/>
    <w:rsid w:val="135E549D"/>
    <w:rsid w:val="135F0C46"/>
    <w:rsid w:val="13604F07"/>
    <w:rsid w:val="136812E6"/>
    <w:rsid w:val="136C41E6"/>
    <w:rsid w:val="136F66CF"/>
    <w:rsid w:val="13765CAF"/>
    <w:rsid w:val="13887B1A"/>
    <w:rsid w:val="13946135"/>
    <w:rsid w:val="139512D9"/>
    <w:rsid w:val="13976B07"/>
    <w:rsid w:val="139F6FB4"/>
    <w:rsid w:val="13AA413F"/>
    <w:rsid w:val="13B651A4"/>
    <w:rsid w:val="13B70DFD"/>
    <w:rsid w:val="13B833D2"/>
    <w:rsid w:val="13C7787B"/>
    <w:rsid w:val="13C95DDF"/>
    <w:rsid w:val="13D44784"/>
    <w:rsid w:val="13D62566"/>
    <w:rsid w:val="13D778B6"/>
    <w:rsid w:val="13E73D54"/>
    <w:rsid w:val="13F53078"/>
    <w:rsid w:val="13F73879"/>
    <w:rsid w:val="13FA652E"/>
    <w:rsid w:val="13FC7B46"/>
    <w:rsid w:val="13FF7DA3"/>
    <w:rsid w:val="14074B59"/>
    <w:rsid w:val="140B4870"/>
    <w:rsid w:val="14162C01"/>
    <w:rsid w:val="14182FF3"/>
    <w:rsid w:val="141A2ADF"/>
    <w:rsid w:val="141C6B9B"/>
    <w:rsid w:val="14281766"/>
    <w:rsid w:val="142914B2"/>
    <w:rsid w:val="142E381C"/>
    <w:rsid w:val="143015E2"/>
    <w:rsid w:val="14360BBC"/>
    <w:rsid w:val="14363103"/>
    <w:rsid w:val="1437705C"/>
    <w:rsid w:val="1450051A"/>
    <w:rsid w:val="14565413"/>
    <w:rsid w:val="146848C5"/>
    <w:rsid w:val="146910FB"/>
    <w:rsid w:val="14777F31"/>
    <w:rsid w:val="14936DCB"/>
    <w:rsid w:val="14970FEC"/>
    <w:rsid w:val="14A4099A"/>
    <w:rsid w:val="14D223AF"/>
    <w:rsid w:val="14D42C8D"/>
    <w:rsid w:val="14D56784"/>
    <w:rsid w:val="14D93FE7"/>
    <w:rsid w:val="14DD70DD"/>
    <w:rsid w:val="14E429EF"/>
    <w:rsid w:val="14E4621D"/>
    <w:rsid w:val="14EF5D19"/>
    <w:rsid w:val="14EF7AC7"/>
    <w:rsid w:val="14F56A9E"/>
    <w:rsid w:val="150317C5"/>
    <w:rsid w:val="15080B89"/>
    <w:rsid w:val="1508348E"/>
    <w:rsid w:val="150E2655"/>
    <w:rsid w:val="151C1B6B"/>
    <w:rsid w:val="151C63E2"/>
    <w:rsid w:val="151E72EB"/>
    <w:rsid w:val="15203C88"/>
    <w:rsid w:val="15206202"/>
    <w:rsid w:val="15242DBE"/>
    <w:rsid w:val="1526273B"/>
    <w:rsid w:val="15276AFF"/>
    <w:rsid w:val="15317A6C"/>
    <w:rsid w:val="15431BC1"/>
    <w:rsid w:val="154842EA"/>
    <w:rsid w:val="15522315"/>
    <w:rsid w:val="15582269"/>
    <w:rsid w:val="155B6F0B"/>
    <w:rsid w:val="156178E1"/>
    <w:rsid w:val="15670207"/>
    <w:rsid w:val="15670C83"/>
    <w:rsid w:val="157977D3"/>
    <w:rsid w:val="157C5A41"/>
    <w:rsid w:val="157E0E4B"/>
    <w:rsid w:val="159C4103"/>
    <w:rsid w:val="15A44D56"/>
    <w:rsid w:val="15AC1D4C"/>
    <w:rsid w:val="15B21729"/>
    <w:rsid w:val="15B551BB"/>
    <w:rsid w:val="15BA34A3"/>
    <w:rsid w:val="15BE7763"/>
    <w:rsid w:val="15C074C4"/>
    <w:rsid w:val="15CE1989"/>
    <w:rsid w:val="15EB4E7C"/>
    <w:rsid w:val="15EF58A5"/>
    <w:rsid w:val="15F27894"/>
    <w:rsid w:val="15F92FD8"/>
    <w:rsid w:val="16012966"/>
    <w:rsid w:val="1620557D"/>
    <w:rsid w:val="162E5507"/>
    <w:rsid w:val="163C07A7"/>
    <w:rsid w:val="163D0C44"/>
    <w:rsid w:val="164040B0"/>
    <w:rsid w:val="16421E79"/>
    <w:rsid w:val="1648222A"/>
    <w:rsid w:val="1650051A"/>
    <w:rsid w:val="165322D8"/>
    <w:rsid w:val="16552030"/>
    <w:rsid w:val="16612C47"/>
    <w:rsid w:val="1666040A"/>
    <w:rsid w:val="166E2C6E"/>
    <w:rsid w:val="167071E4"/>
    <w:rsid w:val="167323A6"/>
    <w:rsid w:val="16733962"/>
    <w:rsid w:val="16757268"/>
    <w:rsid w:val="16A308FF"/>
    <w:rsid w:val="16A448E1"/>
    <w:rsid w:val="16A87AC0"/>
    <w:rsid w:val="16A969B4"/>
    <w:rsid w:val="16AA4374"/>
    <w:rsid w:val="16AC5172"/>
    <w:rsid w:val="16AE1553"/>
    <w:rsid w:val="16B305C2"/>
    <w:rsid w:val="16B464AA"/>
    <w:rsid w:val="16BD4EDA"/>
    <w:rsid w:val="16BF1B00"/>
    <w:rsid w:val="16C00A84"/>
    <w:rsid w:val="16CA259A"/>
    <w:rsid w:val="16D12D12"/>
    <w:rsid w:val="16D1610B"/>
    <w:rsid w:val="16D82EB2"/>
    <w:rsid w:val="16D91055"/>
    <w:rsid w:val="16E14AF1"/>
    <w:rsid w:val="16E80C72"/>
    <w:rsid w:val="16EA2C3C"/>
    <w:rsid w:val="16F838BF"/>
    <w:rsid w:val="16FF19EA"/>
    <w:rsid w:val="17147CB9"/>
    <w:rsid w:val="17192B3A"/>
    <w:rsid w:val="172179B8"/>
    <w:rsid w:val="17231CAA"/>
    <w:rsid w:val="1727422E"/>
    <w:rsid w:val="172F6F9F"/>
    <w:rsid w:val="173A13E3"/>
    <w:rsid w:val="17485BB5"/>
    <w:rsid w:val="174D02D2"/>
    <w:rsid w:val="174D4F79"/>
    <w:rsid w:val="1757596B"/>
    <w:rsid w:val="176F492B"/>
    <w:rsid w:val="177E2F26"/>
    <w:rsid w:val="17850FB1"/>
    <w:rsid w:val="178B2466"/>
    <w:rsid w:val="17930CFB"/>
    <w:rsid w:val="17A6027D"/>
    <w:rsid w:val="17A6593C"/>
    <w:rsid w:val="17A721F9"/>
    <w:rsid w:val="17AB46C5"/>
    <w:rsid w:val="17B15508"/>
    <w:rsid w:val="17BE4ED5"/>
    <w:rsid w:val="17BF71BB"/>
    <w:rsid w:val="17C27715"/>
    <w:rsid w:val="17C53756"/>
    <w:rsid w:val="17CC02B3"/>
    <w:rsid w:val="17D108AA"/>
    <w:rsid w:val="17D905BB"/>
    <w:rsid w:val="17DC4231"/>
    <w:rsid w:val="17E315CE"/>
    <w:rsid w:val="17E86E7D"/>
    <w:rsid w:val="17EE07DC"/>
    <w:rsid w:val="17F10C54"/>
    <w:rsid w:val="17FB6783"/>
    <w:rsid w:val="17FD2B02"/>
    <w:rsid w:val="18016555"/>
    <w:rsid w:val="180537D5"/>
    <w:rsid w:val="180E3DC2"/>
    <w:rsid w:val="182306E3"/>
    <w:rsid w:val="182944A3"/>
    <w:rsid w:val="182A0E16"/>
    <w:rsid w:val="184D2564"/>
    <w:rsid w:val="1852743B"/>
    <w:rsid w:val="1853036D"/>
    <w:rsid w:val="186868AD"/>
    <w:rsid w:val="187D43FC"/>
    <w:rsid w:val="18822A00"/>
    <w:rsid w:val="18862A6D"/>
    <w:rsid w:val="188A117C"/>
    <w:rsid w:val="188B43D5"/>
    <w:rsid w:val="188C0086"/>
    <w:rsid w:val="18947B07"/>
    <w:rsid w:val="189B47E4"/>
    <w:rsid w:val="189C7A7C"/>
    <w:rsid w:val="189E6A77"/>
    <w:rsid w:val="18A4035F"/>
    <w:rsid w:val="18CA62D3"/>
    <w:rsid w:val="18D252F3"/>
    <w:rsid w:val="18DA41B3"/>
    <w:rsid w:val="18DD7AF6"/>
    <w:rsid w:val="18E22F98"/>
    <w:rsid w:val="18FA623D"/>
    <w:rsid w:val="19013A80"/>
    <w:rsid w:val="19024013"/>
    <w:rsid w:val="19091BAA"/>
    <w:rsid w:val="190E03FF"/>
    <w:rsid w:val="190F540F"/>
    <w:rsid w:val="19414DFD"/>
    <w:rsid w:val="19420680"/>
    <w:rsid w:val="19497753"/>
    <w:rsid w:val="194C318E"/>
    <w:rsid w:val="1954270B"/>
    <w:rsid w:val="19582948"/>
    <w:rsid w:val="19627D2E"/>
    <w:rsid w:val="19637C26"/>
    <w:rsid w:val="196653AC"/>
    <w:rsid w:val="196D2144"/>
    <w:rsid w:val="19704215"/>
    <w:rsid w:val="19815D45"/>
    <w:rsid w:val="198A7DBF"/>
    <w:rsid w:val="199723C4"/>
    <w:rsid w:val="199B6088"/>
    <w:rsid w:val="19AF5431"/>
    <w:rsid w:val="19B843BE"/>
    <w:rsid w:val="19CF3767"/>
    <w:rsid w:val="19D25FDC"/>
    <w:rsid w:val="19D528C7"/>
    <w:rsid w:val="19D91B98"/>
    <w:rsid w:val="19DD2DA8"/>
    <w:rsid w:val="19E75C88"/>
    <w:rsid w:val="19E91B95"/>
    <w:rsid w:val="19E96131"/>
    <w:rsid w:val="1A043484"/>
    <w:rsid w:val="1A077661"/>
    <w:rsid w:val="1A0A7151"/>
    <w:rsid w:val="1A1041D0"/>
    <w:rsid w:val="1A11228E"/>
    <w:rsid w:val="1A200723"/>
    <w:rsid w:val="1A2308F8"/>
    <w:rsid w:val="1A247A97"/>
    <w:rsid w:val="1A2679A8"/>
    <w:rsid w:val="1A3033BA"/>
    <w:rsid w:val="1A3367A8"/>
    <w:rsid w:val="1A397C2F"/>
    <w:rsid w:val="1A3A7593"/>
    <w:rsid w:val="1A491A28"/>
    <w:rsid w:val="1A4C13EB"/>
    <w:rsid w:val="1A542773"/>
    <w:rsid w:val="1A5535C1"/>
    <w:rsid w:val="1A5D0C63"/>
    <w:rsid w:val="1A6F6194"/>
    <w:rsid w:val="1A701B1D"/>
    <w:rsid w:val="1A725422"/>
    <w:rsid w:val="1A77751E"/>
    <w:rsid w:val="1A7C1301"/>
    <w:rsid w:val="1A906B26"/>
    <w:rsid w:val="1A9400B1"/>
    <w:rsid w:val="1A967A12"/>
    <w:rsid w:val="1A9B275D"/>
    <w:rsid w:val="1A9C7638"/>
    <w:rsid w:val="1AA33E14"/>
    <w:rsid w:val="1AA36127"/>
    <w:rsid w:val="1AA530AD"/>
    <w:rsid w:val="1AA60D0E"/>
    <w:rsid w:val="1AB13997"/>
    <w:rsid w:val="1ABB6171"/>
    <w:rsid w:val="1AC76D49"/>
    <w:rsid w:val="1AE43CE0"/>
    <w:rsid w:val="1AEB0319"/>
    <w:rsid w:val="1AF70EE5"/>
    <w:rsid w:val="1AFB58F2"/>
    <w:rsid w:val="1AFE4700"/>
    <w:rsid w:val="1B0046FD"/>
    <w:rsid w:val="1B010CBE"/>
    <w:rsid w:val="1B0301F4"/>
    <w:rsid w:val="1B0E67CD"/>
    <w:rsid w:val="1B256143"/>
    <w:rsid w:val="1B293E7F"/>
    <w:rsid w:val="1B2E3201"/>
    <w:rsid w:val="1B301438"/>
    <w:rsid w:val="1B376301"/>
    <w:rsid w:val="1B380F38"/>
    <w:rsid w:val="1B3B7323"/>
    <w:rsid w:val="1B4147A8"/>
    <w:rsid w:val="1B415452"/>
    <w:rsid w:val="1B442103"/>
    <w:rsid w:val="1B4548E5"/>
    <w:rsid w:val="1B4E6C9E"/>
    <w:rsid w:val="1B521E69"/>
    <w:rsid w:val="1B553C4B"/>
    <w:rsid w:val="1B5D16D0"/>
    <w:rsid w:val="1B6B6A0B"/>
    <w:rsid w:val="1B6E1896"/>
    <w:rsid w:val="1B751B6A"/>
    <w:rsid w:val="1B7A20B5"/>
    <w:rsid w:val="1B7C5E2D"/>
    <w:rsid w:val="1B873DD2"/>
    <w:rsid w:val="1B876F63"/>
    <w:rsid w:val="1B903686"/>
    <w:rsid w:val="1B966D0F"/>
    <w:rsid w:val="1B977D90"/>
    <w:rsid w:val="1BA357EC"/>
    <w:rsid w:val="1BBE1FA1"/>
    <w:rsid w:val="1BC92E8A"/>
    <w:rsid w:val="1BCF5F48"/>
    <w:rsid w:val="1BD62979"/>
    <w:rsid w:val="1BDE6D77"/>
    <w:rsid w:val="1BE36C1C"/>
    <w:rsid w:val="1BE81FA8"/>
    <w:rsid w:val="1BF7482D"/>
    <w:rsid w:val="1BF754B3"/>
    <w:rsid w:val="1C0A168B"/>
    <w:rsid w:val="1C0D4CD7"/>
    <w:rsid w:val="1C0E4811"/>
    <w:rsid w:val="1C0F1FC1"/>
    <w:rsid w:val="1C154F6E"/>
    <w:rsid w:val="1C164132"/>
    <w:rsid w:val="1C197E29"/>
    <w:rsid w:val="1C36422E"/>
    <w:rsid w:val="1C3C44F2"/>
    <w:rsid w:val="1C41446B"/>
    <w:rsid w:val="1C4A49B2"/>
    <w:rsid w:val="1C4C1EC5"/>
    <w:rsid w:val="1C4D684D"/>
    <w:rsid w:val="1C4E2136"/>
    <w:rsid w:val="1C4F6C7E"/>
    <w:rsid w:val="1C625C9F"/>
    <w:rsid w:val="1C912F6B"/>
    <w:rsid w:val="1CB33715"/>
    <w:rsid w:val="1CBF5FD1"/>
    <w:rsid w:val="1CC01D49"/>
    <w:rsid w:val="1CCF1DFD"/>
    <w:rsid w:val="1CD30C0D"/>
    <w:rsid w:val="1CD852E5"/>
    <w:rsid w:val="1CDA2E0B"/>
    <w:rsid w:val="1CDA7256"/>
    <w:rsid w:val="1CDC5335"/>
    <w:rsid w:val="1CE233D1"/>
    <w:rsid w:val="1CE3767A"/>
    <w:rsid w:val="1CEE36E8"/>
    <w:rsid w:val="1CFE21F4"/>
    <w:rsid w:val="1D03247A"/>
    <w:rsid w:val="1D047EAE"/>
    <w:rsid w:val="1D0E72F0"/>
    <w:rsid w:val="1D100F23"/>
    <w:rsid w:val="1D1449BA"/>
    <w:rsid w:val="1D153800"/>
    <w:rsid w:val="1D1B089D"/>
    <w:rsid w:val="1D2030BF"/>
    <w:rsid w:val="1D2D73DF"/>
    <w:rsid w:val="1D331864"/>
    <w:rsid w:val="1D3C4BD1"/>
    <w:rsid w:val="1D502D79"/>
    <w:rsid w:val="1D5C2C12"/>
    <w:rsid w:val="1D5D4F24"/>
    <w:rsid w:val="1D63222D"/>
    <w:rsid w:val="1D6B04DA"/>
    <w:rsid w:val="1D6E70D6"/>
    <w:rsid w:val="1D702D6A"/>
    <w:rsid w:val="1D7A568E"/>
    <w:rsid w:val="1D7B7391"/>
    <w:rsid w:val="1D81683F"/>
    <w:rsid w:val="1D906118"/>
    <w:rsid w:val="1DA653E3"/>
    <w:rsid w:val="1DAC0B4B"/>
    <w:rsid w:val="1DB530CD"/>
    <w:rsid w:val="1DB54DF1"/>
    <w:rsid w:val="1DC11A72"/>
    <w:rsid w:val="1DC14ACC"/>
    <w:rsid w:val="1DC23799"/>
    <w:rsid w:val="1DC87107"/>
    <w:rsid w:val="1DCC44DE"/>
    <w:rsid w:val="1DD737EE"/>
    <w:rsid w:val="1E0640A8"/>
    <w:rsid w:val="1E065A2B"/>
    <w:rsid w:val="1E1B36DB"/>
    <w:rsid w:val="1E2101FE"/>
    <w:rsid w:val="1E337598"/>
    <w:rsid w:val="1E371641"/>
    <w:rsid w:val="1E3905E9"/>
    <w:rsid w:val="1E3B28B6"/>
    <w:rsid w:val="1E430E84"/>
    <w:rsid w:val="1E4F1DA1"/>
    <w:rsid w:val="1E522559"/>
    <w:rsid w:val="1E55410E"/>
    <w:rsid w:val="1E5A3EDF"/>
    <w:rsid w:val="1E5E66D2"/>
    <w:rsid w:val="1E6432D4"/>
    <w:rsid w:val="1E6C3570"/>
    <w:rsid w:val="1E771345"/>
    <w:rsid w:val="1E796654"/>
    <w:rsid w:val="1E933128"/>
    <w:rsid w:val="1EA3268A"/>
    <w:rsid w:val="1EA37163"/>
    <w:rsid w:val="1EA416D1"/>
    <w:rsid w:val="1EA4585B"/>
    <w:rsid w:val="1EA731C1"/>
    <w:rsid w:val="1EAB7FB0"/>
    <w:rsid w:val="1EB7620A"/>
    <w:rsid w:val="1EBB52D3"/>
    <w:rsid w:val="1EC10AAA"/>
    <w:rsid w:val="1EC6074C"/>
    <w:rsid w:val="1ECC58D6"/>
    <w:rsid w:val="1EE00481"/>
    <w:rsid w:val="1EE61241"/>
    <w:rsid w:val="1F010A0B"/>
    <w:rsid w:val="1F06691B"/>
    <w:rsid w:val="1F0A48CB"/>
    <w:rsid w:val="1F0C4327"/>
    <w:rsid w:val="1F1C0F96"/>
    <w:rsid w:val="1F1F7A4B"/>
    <w:rsid w:val="1F201B32"/>
    <w:rsid w:val="1F271CAA"/>
    <w:rsid w:val="1F2E517A"/>
    <w:rsid w:val="1F3C63CC"/>
    <w:rsid w:val="1F3E148F"/>
    <w:rsid w:val="1F425155"/>
    <w:rsid w:val="1F6169FE"/>
    <w:rsid w:val="1F7220C8"/>
    <w:rsid w:val="1F7B6B7A"/>
    <w:rsid w:val="1F813A12"/>
    <w:rsid w:val="1F85603D"/>
    <w:rsid w:val="1F8A0ACB"/>
    <w:rsid w:val="1F9F20EA"/>
    <w:rsid w:val="1FAA48E7"/>
    <w:rsid w:val="1FB223E3"/>
    <w:rsid w:val="1FB40543"/>
    <w:rsid w:val="1FB4618F"/>
    <w:rsid w:val="1FBA5960"/>
    <w:rsid w:val="1FBF453A"/>
    <w:rsid w:val="1FC96532"/>
    <w:rsid w:val="1FCA53B9"/>
    <w:rsid w:val="1FCD7EB9"/>
    <w:rsid w:val="1FCE314E"/>
    <w:rsid w:val="1FCF5E4E"/>
    <w:rsid w:val="1FDD534D"/>
    <w:rsid w:val="1FEA1406"/>
    <w:rsid w:val="1FFC4F0E"/>
    <w:rsid w:val="1FFE566F"/>
    <w:rsid w:val="20004282"/>
    <w:rsid w:val="200308C1"/>
    <w:rsid w:val="200429DE"/>
    <w:rsid w:val="200A5B20"/>
    <w:rsid w:val="20163B31"/>
    <w:rsid w:val="20201EC2"/>
    <w:rsid w:val="20220951"/>
    <w:rsid w:val="202F7912"/>
    <w:rsid w:val="203647FC"/>
    <w:rsid w:val="203924DD"/>
    <w:rsid w:val="204C14F0"/>
    <w:rsid w:val="204C4020"/>
    <w:rsid w:val="20553A01"/>
    <w:rsid w:val="20585C30"/>
    <w:rsid w:val="205A3CCD"/>
    <w:rsid w:val="20622028"/>
    <w:rsid w:val="2064045A"/>
    <w:rsid w:val="20663D00"/>
    <w:rsid w:val="207227AC"/>
    <w:rsid w:val="207A3E5E"/>
    <w:rsid w:val="2089714B"/>
    <w:rsid w:val="20917541"/>
    <w:rsid w:val="20A756FA"/>
    <w:rsid w:val="20A971CB"/>
    <w:rsid w:val="20AD0059"/>
    <w:rsid w:val="20B816B5"/>
    <w:rsid w:val="20BB2B15"/>
    <w:rsid w:val="20C22A40"/>
    <w:rsid w:val="20C436F9"/>
    <w:rsid w:val="20D17AAC"/>
    <w:rsid w:val="20E478EC"/>
    <w:rsid w:val="20E51F26"/>
    <w:rsid w:val="20E91E42"/>
    <w:rsid w:val="20EB1A8B"/>
    <w:rsid w:val="20EE3329"/>
    <w:rsid w:val="20EF3C66"/>
    <w:rsid w:val="20F6042F"/>
    <w:rsid w:val="20F6293C"/>
    <w:rsid w:val="21007AC2"/>
    <w:rsid w:val="210743EB"/>
    <w:rsid w:val="21093CBF"/>
    <w:rsid w:val="212679BA"/>
    <w:rsid w:val="21403458"/>
    <w:rsid w:val="21405ECF"/>
    <w:rsid w:val="215D04AF"/>
    <w:rsid w:val="21613AFB"/>
    <w:rsid w:val="21731164"/>
    <w:rsid w:val="218C3F36"/>
    <w:rsid w:val="21975671"/>
    <w:rsid w:val="21AD43BD"/>
    <w:rsid w:val="21B46321"/>
    <w:rsid w:val="21C10A3D"/>
    <w:rsid w:val="21C557F8"/>
    <w:rsid w:val="21C76D7B"/>
    <w:rsid w:val="21CB6BE3"/>
    <w:rsid w:val="21D02CBA"/>
    <w:rsid w:val="21D44A03"/>
    <w:rsid w:val="21D56BFF"/>
    <w:rsid w:val="21D75FD1"/>
    <w:rsid w:val="21E736FC"/>
    <w:rsid w:val="21EB1D27"/>
    <w:rsid w:val="21F82C20"/>
    <w:rsid w:val="220F51D3"/>
    <w:rsid w:val="221E3F06"/>
    <w:rsid w:val="221F2473"/>
    <w:rsid w:val="222334A6"/>
    <w:rsid w:val="222B2037"/>
    <w:rsid w:val="222F1E4B"/>
    <w:rsid w:val="22390F60"/>
    <w:rsid w:val="2245397A"/>
    <w:rsid w:val="224B1D2C"/>
    <w:rsid w:val="22587EB6"/>
    <w:rsid w:val="22645564"/>
    <w:rsid w:val="226952CE"/>
    <w:rsid w:val="226A680B"/>
    <w:rsid w:val="227420D1"/>
    <w:rsid w:val="228A52D3"/>
    <w:rsid w:val="228F0B9E"/>
    <w:rsid w:val="228F28EA"/>
    <w:rsid w:val="229628CB"/>
    <w:rsid w:val="22BC53D5"/>
    <w:rsid w:val="22BC6100"/>
    <w:rsid w:val="22C545C7"/>
    <w:rsid w:val="22CC223E"/>
    <w:rsid w:val="22D20532"/>
    <w:rsid w:val="22D23DCE"/>
    <w:rsid w:val="22D60519"/>
    <w:rsid w:val="22D66F38"/>
    <w:rsid w:val="22DB05F3"/>
    <w:rsid w:val="22DC346F"/>
    <w:rsid w:val="22F51655"/>
    <w:rsid w:val="22FD5AA5"/>
    <w:rsid w:val="23113150"/>
    <w:rsid w:val="232C69F6"/>
    <w:rsid w:val="232D4B09"/>
    <w:rsid w:val="23390004"/>
    <w:rsid w:val="2339138D"/>
    <w:rsid w:val="233E27D8"/>
    <w:rsid w:val="234749EF"/>
    <w:rsid w:val="23582CDC"/>
    <w:rsid w:val="2363492B"/>
    <w:rsid w:val="2364201F"/>
    <w:rsid w:val="23722F80"/>
    <w:rsid w:val="23765DE2"/>
    <w:rsid w:val="23876DEB"/>
    <w:rsid w:val="238F5FBA"/>
    <w:rsid w:val="238F7F44"/>
    <w:rsid w:val="239333E7"/>
    <w:rsid w:val="239C0C2C"/>
    <w:rsid w:val="239C7197"/>
    <w:rsid w:val="239D2FD7"/>
    <w:rsid w:val="23A52A88"/>
    <w:rsid w:val="23A65C20"/>
    <w:rsid w:val="23A81FA3"/>
    <w:rsid w:val="23B0469D"/>
    <w:rsid w:val="23B048C6"/>
    <w:rsid w:val="23C1773C"/>
    <w:rsid w:val="23C34272"/>
    <w:rsid w:val="23CD0496"/>
    <w:rsid w:val="23CD2F1A"/>
    <w:rsid w:val="23D302B9"/>
    <w:rsid w:val="23D373C1"/>
    <w:rsid w:val="23DE24B6"/>
    <w:rsid w:val="23E629DD"/>
    <w:rsid w:val="23F75EBD"/>
    <w:rsid w:val="240111B7"/>
    <w:rsid w:val="24392B0D"/>
    <w:rsid w:val="243C7BB1"/>
    <w:rsid w:val="24464EB3"/>
    <w:rsid w:val="24470995"/>
    <w:rsid w:val="24482291"/>
    <w:rsid w:val="244C4FEB"/>
    <w:rsid w:val="245900A2"/>
    <w:rsid w:val="245C1B4E"/>
    <w:rsid w:val="245E61EF"/>
    <w:rsid w:val="24674FCB"/>
    <w:rsid w:val="246A2626"/>
    <w:rsid w:val="247172FC"/>
    <w:rsid w:val="247B5B6B"/>
    <w:rsid w:val="247D6439"/>
    <w:rsid w:val="24821154"/>
    <w:rsid w:val="249D12EE"/>
    <w:rsid w:val="24A3267C"/>
    <w:rsid w:val="24A36329"/>
    <w:rsid w:val="24A40159"/>
    <w:rsid w:val="24AC7783"/>
    <w:rsid w:val="24BE1BCE"/>
    <w:rsid w:val="24C22B02"/>
    <w:rsid w:val="24D37193"/>
    <w:rsid w:val="24E85D38"/>
    <w:rsid w:val="24F9321F"/>
    <w:rsid w:val="250749B9"/>
    <w:rsid w:val="250824DF"/>
    <w:rsid w:val="250B259F"/>
    <w:rsid w:val="250C5C83"/>
    <w:rsid w:val="250E3B5C"/>
    <w:rsid w:val="25130F60"/>
    <w:rsid w:val="25170BB1"/>
    <w:rsid w:val="252231E4"/>
    <w:rsid w:val="25270BB7"/>
    <w:rsid w:val="252962E7"/>
    <w:rsid w:val="252A6FED"/>
    <w:rsid w:val="253222FA"/>
    <w:rsid w:val="253B145E"/>
    <w:rsid w:val="253F1428"/>
    <w:rsid w:val="254D2FF5"/>
    <w:rsid w:val="2562407F"/>
    <w:rsid w:val="256B319A"/>
    <w:rsid w:val="25752F4B"/>
    <w:rsid w:val="25764590"/>
    <w:rsid w:val="258765B0"/>
    <w:rsid w:val="258A3E16"/>
    <w:rsid w:val="258E0735"/>
    <w:rsid w:val="258E50DA"/>
    <w:rsid w:val="25981AB5"/>
    <w:rsid w:val="259D70CC"/>
    <w:rsid w:val="259F0AEF"/>
    <w:rsid w:val="25BE3B51"/>
    <w:rsid w:val="25CD2B89"/>
    <w:rsid w:val="25D40CB9"/>
    <w:rsid w:val="25D96410"/>
    <w:rsid w:val="25E74F74"/>
    <w:rsid w:val="25F40D60"/>
    <w:rsid w:val="25FC2044"/>
    <w:rsid w:val="260A020E"/>
    <w:rsid w:val="260F5480"/>
    <w:rsid w:val="261207A5"/>
    <w:rsid w:val="26224FA3"/>
    <w:rsid w:val="26265FC1"/>
    <w:rsid w:val="263E08AF"/>
    <w:rsid w:val="26421026"/>
    <w:rsid w:val="265C26B2"/>
    <w:rsid w:val="26610446"/>
    <w:rsid w:val="267310D2"/>
    <w:rsid w:val="267F4454"/>
    <w:rsid w:val="269D1B21"/>
    <w:rsid w:val="269D1C78"/>
    <w:rsid w:val="26A06F6E"/>
    <w:rsid w:val="26A27E79"/>
    <w:rsid w:val="26AC0D14"/>
    <w:rsid w:val="26AD6D48"/>
    <w:rsid w:val="26B40B71"/>
    <w:rsid w:val="26B53802"/>
    <w:rsid w:val="26B639D7"/>
    <w:rsid w:val="26C729F7"/>
    <w:rsid w:val="26C824F9"/>
    <w:rsid w:val="26DA4775"/>
    <w:rsid w:val="26DE0FD1"/>
    <w:rsid w:val="26E054C2"/>
    <w:rsid w:val="26E23574"/>
    <w:rsid w:val="26E31B2E"/>
    <w:rsid w:val="26EB23C0"/>
    <w:rsid w:val="26EE1790"/>
    <w:rsid w:val="26F86CAF"/>
    <w:rsid w:val="26FA509C"/>
    <w:rsid w:val="27070CA1"/>
    <w:rsid w:val="27144B01"/>
    <w:rsid w:val="27147861"/>
    <w:rsid w:val="27171A7D"/>
    <w:rsid w:val="271871F7"/>
    <w:rsid w:val="271F064B"/>
    <w:rsid w:val="27265D6C"/>
    <w:rsid w:val="272F6449"/>
    <w:rsid w:val="27313F6F"/>
    <w:rsid w:val="274678C6"/>
    <w:rsid w:val="274B31CA"/>
    <w:rsid w:val="2757722E"/>
    <w:rsid w:val="275E11BB"/>
    <w:rsid w:val="275F27AE"/>
    <w:rsid w:val="275F6D2E"/>
    <w:rsid w:val="27686B5B"/>
    <w:rsid w:val="276F4A98"/>
    <w:rsid w:val="277750F7"/>
    <w:rsid w:val="277F4CDB"/>
    <w:rsid w:val="2781405D"/>
    <w:rsid w:val="27814EF7"/>
    <w:rsid w:val="27846795"/>
    <w:rsid w:val="27A6495D"/>
    <w:rsid w:val="27A679CF"/>
    <w:rsid w:val="27BA5E7C"/>
    <w:rsid w:val="27BB04F7"/>
    <w:rsid w:val="27C062DB"/>
    <w:rsid w:val="27C26BB4"/>
    <w:rsid w:val="27CF0043"/>
    <w:rsid w:val="27D05232"/>
    <w:rsid w:val="27D62C03"/>
    <w:rsid w:val="280B3FC1"/>
    <w:rsid w:val="282235BD"/>
    <w:rsid w:val="282D13EE"/>
    <w:rsid w:val="2831343B"/>
    <w:rsid w:val="28407252"/>
    <w:rsid w:val="28533410"/>
    <w:rsid w:val="285E3505"/>
    <w:rsid w:val="286217DB"/>
    <w:rsid w:val="286233FC"/>
    <w:rsid w:val="28636BE1"/>
    <w:rsid w:val="28681C13"/>
    <w:rsid w:val="286D0FD7"/>
    <w:rsid w:val="287149A1"/>
    <w:rsid w:val="28734363"/>
    <w:rsid w:val="287A777E"/>
    <w:rsid w:val="287B7B98"/>
    <w:rsid w:val="287E31E4"/>
    <w:rsid w:val="28913C26"/>
    <w:rsid w:val="28917B2E"/>
    <w:rsid w:val="289947F7"/>
    <w:rsid w:val="28A004D1"/>
    <w:rsid w:val="28A30437"/>
    <w:rsid w:val="28AF344A"/>
    <w:rsid w:val="28B03A75"/>
    <w:rsid w:val="28B14910"/>
    <w:rsid w:val="28B230D4"/>
    <w:rsid w:val="28BF30A6"/>
    <w:rsid w:val="28C87436"/>
    <w:rsid w:val="28CD6CD8"/>
    <w:rsid w:val="28D24FAA"/>
    <w:rsid w:val="28D371D0"/>
    <w:rsid w:val="28DC6898"/>
    <w:rsid w:val="28DF4951"/>
    <w:rsid w:val="28EA2584"/>
    <w:rsid w:val="28FC235B"/>
    <w:rsid w:val="28FE7C39"/>
    <w:rsid w:val="290568FB"/>
    <w:rsid w:val="29094D4C"/>
    <w:rsid w:val="290D6316"/>
    <w:rsid w:val="29106F98"/>
    <w:rsid w:val="29177195"/>
    <w:rsid w:val="291C4B13"/>
    <w:rsid w:val="29226266"/>
    <w:rsid w:val="2927387C"/>
    <w:rsid w:val="292962FB"/>
    <w:rsid w:val="292B0388"/>
    <w:rsid w:val="29313F58"/>
    <w:rsid w:val="293715E5"/>
    <w:rsid w:val="295F2107"/>
    <w:rsid w:val="296412D0"/>
    <w:rsid w:val="2978652E"/>
    <w:rsid w:val="297C23E4"/>
    <w:rsid w:val="29854031"/>
    <w:rsid w:val="29880BEA"/>
    <w:rsid w:val="298E132D"/>
    <w:rsid w:val="298E650A"/>
    <w:rsid w:val="29980F12"/>
    <w:rsid w:val="299F1664"/>
    <w:rsid w:val="29A249E4"/>
    <w:rsid w:val="29AA6EEE"/>
    <w:rsid w:val="29AD2506"/>
    <w:rsid w:val="29AD6A6D"/>
    <w:rsid w:val="29AE5D4B"/>
    <w:rsid w:val="29B175E9"/>
    <w:rsid w:val="29B66771"/>
    <w:rsid w:val="29CE76F2"/>
    <w:rsid w:val="29D55203"/>
    <w:rsid w:val="29D82638"/>
    <w:rsid w:val="29D967F7"/>
    <w:rsid w:val="29E057D9"/>
    <w:rsid w:val="29E24773"/>
    <w:rsid w:val="29EF4A01"/>
    <w:rsid w:val="29F64224"/>
    <w:rsid w:val="29F73D8D"/>
    <w:rsid w:val="29FA20DA"/>
    <w:rsid w:val="29FA49CD"/>
    <w:rsid w:val="2A0267CB"/>
    <w:rsid w:val="2A0C6220"/>
    <w:rsid w:val="2A191A8D"/>
    <w:rsid w:val="2A1A4572"/>
    <w:rsid w:val="2A1E2D00"/>
    <w:rsid w:val="2A230DAE"/>
    <w:rsid w:val="2A2B1BDD"/>
    <w:rsid w:val="2A3A703C"/>
    <w:rsid w:val="2A3B04C1"/>
    <w:rsid w:val="2A3B2255"/>
    <w:rsid w:val="2A3D0E7D"/>
    <w:rsid w:val="2A423861"/>
    <w:rsid w:val="2A4346E5"/>
    <w:rsid w:val="2A467CD8"/>
    <w:rsid w:val="2A4D5059"/>
    <w:rsid w:val="2A7923EC"/>
    <w:rsid w:val="2A8A2314"/>
    <w:rsid w:val="2A8D770F"/>
    <w:rsid w:val="2A8E3487"/>
    <w:rsid w:val="2A8E5B5E"/>
    <w:rsid w:val="2A937F77"/>
    <w:rsid w:val="2A954902"/>
    <w:rsid w:val="2A9D4081"/>
    <w:rsid w:val="2A9F3D3B"/>
    <w:rsid w:val="2AA0196D"/>
    <w:rsid w:val="2AA92FC2"/>
    <w:rsid w:val="2AAF56F4"/>
    <w:rsid w:val="2AB22C1B"/>
    <w:rsid w:val="2AB57EB1"/>
    <w:rsid w:val="2AB63109"/>
    <w:rsid w:val="2AC129F3"/>
    <w:rsid w:val="2ADF0C81"/>
    <w:rsid w:val="2AE74085"/>
    <w:rsid w:val="2AE86769"/>
    <w:rsid w:val="2AEA3A1A"/>
    <w:rsid w:val="2AEC6B2B"/>
    <w:rsid w:val="2B0F09C6"/>
    <w:rsid w:val="2B267866"/>
    <w:rsid w:val="2B2A6DB2"/>
    <w:rsid w:val="2B30489D"/>
    <w:rsid w:val="2B317C0A"/>
    <w:rsid w:val="2B320F6B"/>
    <w:rsid w:val="2B323326"/>
    <w:rsid w:val="2B361B54"/>
    <w:rsid w:val="2B3C4608"/>
    <w:rsid w:val="2B3C72FC"/>
    <w:rsid w:val="2B4A3DF4"/>
    <w:rsid w:val="2B7250D1"/>
    <w:rsid w:val="2B755F1F"/>
    <w:rsid w:val="2B7803BF"/>
    <w:rsid w:val="2B797C93"/>
    <w:rsid w:val="2B824D9A"/>
    <w:rsid w:val="2B862F12"/>
    <w:rsid w:val="2B8D5DF3"/>
    <w:rsid w:val="2BA633E7"/>
    <w:rsid w:val="2BAF3797"/>
    <w:rsid w:val="2BBA09D7"/>
    <w:rsid w:val="2BC96761"/>
    <w:rsid w:val="2BE36C66"/>
    <w:rsid w:val="2BF11F1F"/>
    <w:rsid w:val="2C020C0D"/>
    <w:rsid w:val="2C0D0A34"/>
    <w:rsid w:val="2C0F7A27"/>
    <w:rsid w:val="2C111A47"/>
    <w:rsid w:val="2C15403F"/>
    <w:rsid w:val="2C160BEB"/>
    <w:rsid w:val="2C1857A7"/>
    <w:rsid w:val="2C1D62AF"/>
    <w:rsid w:val="2C207580"/>
    <w:rsid w:val="2C2422F5"/>
    <w:rsid w:val="2C25678C"/>
    <w:rsid w:val="2C3147EE"/>
    <w:rsid w:val="2C3A006E"/>
    <w:rsid w:val="2C3C1A61"/>
    <w:rsid w:val="2C43623E"/>
    <w:rsid w:val="2C51728D"/>
    <w:rsid w:val="2C597423"/>
    <w:rsid w:val="2C5F157F"/>
    <w:rsid w:val="2C610E53"/>
    <w:rsid w:val="2C636846"/>
    <w:rsid w:val="2C640943"/>
    <w:rsid w:val="2C6A2851"/>
    <w:rsid w:val="2C7072E8"/>
    <w:rsid w:val="2C785C7E"/>
    <w:rsid w:val="2C7F076B"/>
    <w:rsid w:val="2C8524FB"/>
    <w:rsid w:val="2C9D7F39"/>
    <w:rsid w:val="2C9F2AD8"/>
    <w:rsid w:val="2CB66978"/>
    <w:rsid w:val="2CB77531"/>
    <w:rsid w:val="2CB9732B"/>
    <w:rsid w:val="2CBE0463"/>
    <w:rsid w:val="2CC61313"/>
    <w:rsid w:val="2CC969F8"/>
    <w:rsid w:val="2CD30388"/>
    <w:rsid w:val="2CD30EEF"/>
    <w:rsid w:val="2CD41F44"/>
    <w:rsid w:val="2CE929DE"/>
    <w:rsid w:val="2CEF21C5"/>
    <w:rsid w:val="2CF268C5"/>
    <w:rsid w:val="2CFA4E04"/>
    <w:rsid w:val="2CFE1960"/>
    <w:rsid w:val="2D07227D"/>
    <w:rsid w:val="2D0933FF"/>
    <w:rsid w:val="2D236108"/>
    <w:rsid w:val="2D2453A4"/>
    <w:rsid w:val="2D266BE2"/>
    <w:rsid w:val="2D2E7AF4"/>
    <w:rsid w:val="2D334E73"/>
    <w:rsid w:val="2D382A79"/>
    <w:rsid w:val="2D4338AB"/>
    <w:rsid w:val="2D441A6F"/>
    <w:rsid w:val="2D452F54"/>
    <w:rsid w:val="2D46589A"/>
    <w:rsid w:val="2D493353"/>
    <w:rsid w:val="2D4940FD"/>
    <w:rsid w:val="2D594914"/>
    <w:rsid w:val="2D5A676F"/>
    <w:rsid w:val="2D62114D"/>
    <w:rsid w:val="2D63088B"/>
    <w:rsid w:val="2D756779"/>
    <w:rsid w:val="2D7A122B"/>
    <w:rsid w:val="2D7C190D"/>
    <w:rsid w:val="2D7E6508"/>
    <w:rsid w:val="2D8A7C55"/>
    <w:rsid w:val="2D912CD3"/>
    <w:rsid w:val="2D9618ED"/>
    <w:rsid w:val="2D9B054D"/>
    <w:rsid w:val="2DBD6096"/>
    <w:rsid w:val="2DC77CAA"/>
    <w:rsid w:val="2DD83354"/>
    <w:rsid w:val="2DDE027E"/>
    <w:rsid w:val="2DE33AEA"/>
    <w:rsid w:val="2DF17CCF"/>
    <w:rsid w:val="2DF43380"/>
    <w:rsid w:val="2DFB0E33"/>
    <w:rsid w:val="2E1D3A94"/>
    <w:rsid w:val="2E2B796A"/>
    <w:rsid w:val="2E33461C"/>
    <w:rsid w:val="2E4835E4"/>
    <w:rsid w:val="2E4C51E8"/>
    <w:rsid w:val="2E515A6E"/>
    <w:rsid w:val="2E543196"/>
    <w:rsid w:val="2E5A6742"/>
    <w:rsid w:val="2E663675"/>
    <w:rsid w:val="2E7108A1"/>
    <w:rsid w:val="2E7C2CD5"/>
    <w:rsid w:val="2E823302"/>
    <w:rsid w:val="2E832A59"/>
    <w:rsid w:val="2E840E29"/>
    <w:rsid w:val="2E895051"/>
    <w:rsid w:val="2E8D0ED5"/>
    <w:rsid w:val="2E917DC3"/>
    <w:rsid w:val="2E926CEC"/>
    <w:rsid w:val="2E932168"/>
    <w:rsid w:val="2E953665"/>
    <w:rsid w:val="2E9A7907"/>
    <w:rsid w:val="2EB15692"/>
    <w:rsid w:val="2EB228ED"/>
    <w:rsid w:val="2EBD4DE0"/>
    <w:rsid w:val="2EC525A4"/>
    <w:rsid w:val="2ECC1AD7"/>
    <w:rsid w:val="2ECF6A3D"/>
    <w:rsid w:val="2ED40002"/>
    <w:rsid w:val="2ED72669"/>
    <w:rsid w:val="2EED06BE"/>
    <w:rsid w:val="2EED2E72"/>
    <w:rsid w:val="2EED69CE"/>
    <w:rsid w:val="2EF41BF8"/>
    <w:rsid w:val="2EF50EC3"/>
    <w:rsid w:val="2EFE2B3C"/>
    <w:rsid w:val="2F0045DD"/>
    <w:rsid w:val="2F025547"/>
    <w:rsid w:val="2F0D2540"/>
    <w:rsid w:val="2F171C9D"/>
    <w:rsid w:val="2F174C5A"/>
    <w:rsid w:val="2F1957E7"/>
    <w:rsid w:val="2F283EAA"/>
    <w:rsid w:val="2F287906"/>
    <w:rsid w:val="2F386C07"/>
    <w:rsid w:val="2F3B4018"/>
    <w:rsid w:val="2F506EF7"/>
    <w:rsid w:val="2F536169"/>
    <w:rsid w:val="2F571653"/>
    <w:rsid w:val="2F586FE4"/>
    <w:rsid w:val="2F5E5B1E"/>
    <w:rsid w:val="2F601DC6"/>
    <w:rsid w:val="2F6755E7"/>
    <w:rsid w:val="2F69244D"/>
    <w:rsid w:val="2F72482A"/>
    <w:rsid w:val="2F7552B2"/>
    <w:rsid w:val="2F8132C6"/>
    <w:rsid w:val="2F846413"/>
    <w:rsid w:val="2F8A06C1"/>
    <w:rsid w:val="2F8C268B"/>
    <w:rsid w:val="2F90142D"/>
    <w:rsid w:val="2F932D42"/>
    <w:rsid w:val="2F9439FB"/>
    <w:rsid w:val="2F9D7121"/>
    <w:rsid w:val="2FA7791A"/>
    <w:rsid w:val="2FB1675F"/>
    <w:rsid w:val="2FCA6D0F"/>
    <w:rsid w:val="2FD33F24"/>
    <w:rsid w:val="2FD62A87"/>
    <w:rsid w:val="2FDA517D"/>
    <w:rsid w:val="2FEA73B1"/>
    <w:rsid w:val="2FED0A2C"/>
    <w:rsid w:val="2FF30C0D"/>
    <w:rsid w:val="2FF66AC0"/>
    <w:rsid w:val="2FFE055A"/>
    <w:rsid w:val="2FFF16BD"/>
    <w:rsid w:val="300541EB"/>
    <w:rsid w:val="300F38D4"/>
    <w:rsid w:val="301D1436"/>
    <w:rsid w:val="302A1EA4"/>
    <w:rsid w:val="302B59D4"/>
    <w:rsid w:val="302F1268"/>
    <w:rsid w:val="303A1923"/>
    <w:rsid w:val="304F161A"/>
    <w:rsid w:val="305D6C29"/>
    <w:rsid w:val="306B4D02"/>
    <w:rsid w:val="307917C7"/>
    <w:rsid w:val="307D149D"/>
    <w:rsid w:val="308415B4"/>
    <w:rsid w:val="30971E16"/>
    <w:rsid w:val="30A56A76"/>
    <w:rsid w:val="30B25B6A"/>
    <w:rsid w:val="30B414D4"/>
    <w:rsid w:val="30C10EB6"/>
    <w:rsid w:val="30C220DC"/>
    <w:rsid w:val="30C322A4"/>
    <w:rsid w:val="30C44089"/>
    <w:rsid w:val="30CA7545"/>
    <w:rsid w:val="30D7336F"/>
    <w:rsid w:val="30DD7C4E"/>
    <w:rsid w:val="30E12B23"/>
    <w:rsid w:val="30E531BD"/>
    <w:rsid w:val="30EA05E3"/>
    <w:rsid w:val="30EB624E"/>
    <w:rsid w:val="30F16673"/>
    <w:rsid w:val="31012C04"/>
    <w:rsid w:val="31081ACF"/>
    <w:rsid w:val="311D09DC"/>
    <w:rsid w:val="31200821"/>
    <w:rsid w:val="31224E29"/>
    <w:rsid w:val="31263339"/>
    <w:rsid w:val="312D57A8"/>
    <w:rsid w:val="312E32CE"/>
    <w:rsid w:val="312F5E08"/>
    <w:rsid w:val="31321C3A"/>
    <w:rsid w:val="313D6565"/>
    <w:rsid w:val="31423006"/>
    <w:rsid w:val="314A45AB"/>
    <w:rsid w:val="31530BE6"/>
    <w:rsid w:val="31557079"/>
    <w:rsid w:val="3157337F"/>
    <w:rsid w:val="31586956"/>
    <w:rsid w:val="315F7392"/>
    <w:rsid w:val="316C6DA3"/>
    <w:rsid w:val="31745184"/>
    <w:rsid w:val="317F669F"/>
    <w:rsid w:val="31802CBA"/>
    <w:rsid w:val="318254C8"/>
    <w:rsid w:val="3183186B"/>
    <w:rsid w:val="31853836"/>
    <w:rsid w:val="318649E7"/>
    <w:rsid w:val="31876ED9"/>
    <w:rsid w:val="319A3595"/>
    <w:rsid w:val="319A5D04"/>
    <w:rsid w:val="319E6C64"/>
    <w:rsid w:val="31A14BE6"/>
    <w:rsid w:val="31A17BC3"/>
    <w:rsid w:val="31B163D9"/>
    <w:rsid w:val="31B50839"/>
    <w:rsid w:val="31C258D5"/>
    <w:rsid w:val="31C2665D"/>
    <w:rsid w:val="31E362E2"/>
    <w:rsid w:val="31E51FB7"/>
    <w:rsid w:val="31E868F5"/>
    <w:rsid w:val="31F16230"/>
    <w:rsid w:val="31F9640B"/>
    <w:rsid w:val="31F97D80"/>
    <w:rsid w:val="3204001F"/>
    <w:rsid w:val="32220548"/>
    <w:rsid w:val="32242AD2"/>
    <w:rsid w:val="3225509A"/>
    <w:rsid w:val="322564A2"/>
    <w:rsid w:val="322A3DF1"/>
    <w:rsid w:val="323064CE"/>
    <w:rsid w:val="323C0851"/>
    <w:rsid w:val="32425283"/>
    <w:rsid w:val="3249206E"/>
    <w:rsid w:val="32495490"/>
    <w:rsid w:val="324B2107"/>
    <w:rsid w:val="324F6C0D"/>
    <w:rsid w:val="325611AD"/>
    <w:rsid w:val="32671BB5"/>
    <w:rsid w:val="327535D1"/>
    <w:rsid w:val="327A3808"/>
    <w:rsid w:val="327C5192"/>
    <w:rsid w:val="328234D4"/>
    <w:rsid w:val="32851613"/>
    <w:rsid w:val="328E0DAA"/>
    <w:rsid w:val="328E1B6C"/>
    <w:rsid w:val="32937FBA"/>
    <w:rsid w:val="329D695D"/>
    <w:rsid w:val="329F32BC"/>
    <w:rsid w:val="32AF0596"/>
    <w:rsid w:val="32B779BE"/>
    <w:rsid w:val="32BC376D"/>
    <w:rsid w:val="32C00A09"/>
    <w:rsid w:val="32C25E96"/>
    <w:rsid w:val="32C4213C"/>
    <w:rsid w:val="32C81A76"/>
    <w:rsid w:val="32C91C94"/>
    <w:rsid w:val="32CA5B69"/>
    <w:rsid w:val="32CE12CA"/>
    <w:rsid w:val="32D81ACB"/>
    <w:rsid w:val="32DD74C1"/>
    <w:rsid w:val="32E22621"/>
    <w:rsid w:val="32F93DAF"/>
    <w:rsid w:val="32FF13C6"/>
    <w:rsid w:val="330341B1"/>
    <w:rsid w:val="330672EA"/>
    <w:rsid w:val="330C17CD"/>
    <w:rsid w:val="331C4C89"/>
    <w:rsid w:val="33226E62"/>
    <w:rsid w:val="3327131B"/>
    <w:rsid w:val="332B50C5"/>
    <w:rsid w:val="33391532"/>
    <w:rsid w:val="333F0CA1"/>
    <w:rsid w:val="334613DD"/>
    <w:rsid w:val="334A30FE"/>
    <w:rsid w:val="334B011D"/>
    <w:rsid w:val="334C19B1"/>
    <w:rsid w:val="33546237"/>
    <w:rsid w:val="336A4FED"/>
    <w:rsid w:val="33886A74"/>
    <w:rsid w:val="338913BC"/>
    <w:rsid w:val="338D4936"/>
    <w:rsid w:val="33912F25"/>
    <w:rsid w:val="3393705E"/>
    <w:rsid w:val="339D7681"/>
    <w:rsid w:val="33A13592"/>
    <w:rsid w:val="33A27233"/>
    <w:rsid w:val="33C61EE3"/>
    <w:rsid w:val="33C92B36"/>
    <w:rsid w:val="33CB12E7"/>
    <w:rsid w:val="33CE41B8"/>
    <w:rsid w:val="33D42114"/>
    <w:rsid w:val="33D72119"/>
    <w:rsid w:val="33D80F2D"/>
    <w:rsid w:val="33DB19C8"/>
    <w:rsid w:val="33DC6658"/>
    <w:rsid w:val="33DD007E"/>
    <w:rsid w:val="33DE35AD"/>
    <w:rsid w:val="33EC26CB"/>
    <w:rsid w:val="33F10EF5"/>
    <w:rsid w:val="33F73CD2"/>
    <w:rsid w:val="33FE3008"/>
    <w:rsid w:val="341449FD"/>
    <w:rsid w:val="341D4C16"/>
    <w:rsid w:val="34270272"/>
    <w:rsid w:val="3432375E"/>
    <w:rsid w:val="343B5701"/>
    <w:rsid w:val="343C4A44"/>
    <w:rsid w:val="344779A5"/>
    <w:rsid w:val="34581401"/>
    <w:rsid w:val="3467553D"/>
    <w:rsid w:val="34724783"/>
    <w:rsid w:val="34767465"/>
    <w:rsid w:val="347831DE"/>
    <w:rsid w:val="34931DC5"/>
    <w:rsid w:val="34933B51"/>
    <w:rsid w:val="349B547C"/>
    <w:rsid w:val="34A001CA"/>
    <w:rsid w:val="34A90CC0"/>
    <w:rsid w:val="34B97EB9"/>
    <w:rsid w:val="34BA71AB"/>
    <w:rsid w:val="34BB12FD"/>
    <w:rsid w:val="34E22D4D"/>
    <w:rsid w:val="34EB153D"/>
    <w:rsid w:val="34F27A73"/>
    <w:rsid w:val="34F6551E"/>
    <w:rsid w:val="34FD36E3"/>
    <w:rsid w:val="3502259B"/>
    <w:rsid w:val="350B54C2"/>
    <w:rsid w:val="35113525"/>
    <w:rsid w:val="35154ED0"/>
    <w:rsid w:val="351C6B65"/>
    <w:rsid w:val="35216666"/>
    <w:rsid w:val="35335E87"/>
    <w:rsid w:val="35337105"/>
    <w:rsid w:val="35380BBF"/>
    <w:rsid w:val="353F7ACA"/>
    <w:rsid w:val="354237EC"/>
    <w:rsid w:val="354D11DF"/>
    <w:rsid w:val="35531555"/>
    <w:rsid w:val="35660A51"/>
    <w:rsid w:val="3569574B"/>
    <w:rsid w:val="357D65D2"/>
    <w:rsid w:val="357F3457"/>
    <w:rsid w:val="35853545"/>
    <w:rsid w:val="35886536"/>
    <w:rsid w:val="358E1AEB"/>
    <w:rsid w:val="35904736"/>
    <w:rsid w:val="35937384"/>
    <w:rsid w:val="359E21D9"/>
    <w:rsid w:val="35AE5D7D"/>
    <w:rsid w:val="35B069A7"/>
    <w:rsid w:val="35B80C45"/>
    <w:rsid w:val="35C032BE"/>
    <w:rsid w:val="35C24CC0"/>
    <w:rsid w:val="35C506A4"/>
    <w:rsid w:val="35CB37E1"/>
    <w:rsid w:val="35D579E0"/>
    <w:rsid w:val="35D9182C"/>
    <w:rsid w:val="35DC154A"/>
    <w:rsid w:val="35EC09B0"/>
    <w:rsid w:val="35ED181F"/>
    <w:rsid w:val="35FD4E0B"/>
    <w:rsid w:val="36032F7B"/>
    <w:rsid w:val="3610209E"/>
    <w:rsid w:val="361F4602"/>
    <w:rsid w:val="362058DB"/>
    <w:rsid w:val="36267C20"/>
    <w:rsid w:val="36372C24"/>
    <w:rsid w:val="364A7A38"/>
    <w:rsid w:val="365612FD"/>
    <w:rsid w:val="365D526F"/>
    <w:rsid w:val="366250C7"/>
    <w:rsid w:val="36667186"/>
    <w:rsid w:val="366D46DB"/>
    <w:rsid w:val="366F23BE"/>
    <w:rsid w:val="367077C6"/>
    <w:rsid w:val="367B7BE0"/>
    <w:rsid w:val="36820DFD"/>
    <w:rsid w:val="368D718F"/>
    <w:rsid w:val="368E33BE"/>
    <w:rsid w:val="369C37C5"/>
    <w:rsid w:val="36A72AC9"/>
    <w:rsid w:val="36AF6C5F"/>
    <w:rsid w:val="36B71024"/>
    <w:rsid w:val="36BD312A"/>
    <w:rsid w:val="36C54EDD"/>
    <w:rsid w:val="36CA2854"/>
    <w:rsid w:val="36DB4D0F"/>
    <w:rsid w:val="36E9222C"/>
    <w:rsid w:val="36E92EE0"/>
    <w:rsid w:val="36F37BFE"/>
    <w:rsid w:val="36F96CD6"/>
    <w:rsid w:val="36FD68CC"/>
    <w:rsid w:val="370733F8"/>
    <w:rsid w:val="37080B9F"/>
    <w:rsid w:val="370B658B"/>
    <w:rsid w:val="370C2303"/>
    <w:rsid w:val="371136DE"/>
    <w:rsid w:val="37166086"/>
    <w:rsid w:val="371812F1"/>
    <w:rsid w:val="373F4487"/>
    <w:rsid w:val="37406AD6"/>
    <w:rsid w:val="374166E4"/>
    <w:rsid w:val="37422BC0"/>
    <w:rsid w:val="37424A1D"/>
    <w:rsid w:val="375201D1"/>
    <w:rsid w:val="37571D5A"/>
    <w:rsid w:val="375C6BFE"/>
    <w:rsid w:val="376D436D"/>
    <w:rsid w:val="37734130"/>
    <w:rsid w:val="377D6A07"/>
    <w:rsid w:val="378779A5"/>
    <w:rsid w:val="378E453E"/>
    <w:rsid w:val="37910FBB"/>
    <w:rsid w:val="379A7F64"/>
    <w:rsid w:val="379C5435"/>
    <w:rsid w:val="37A12CE9"/>
    <w:rsid w:val="37A43A1A"/>
    <w:rsid w:val="37A478D5"/>
    <w:rsid w:val="37A97B52"/>
    <w:rsid w:val="37B55EBC"/>
    <w:rsid w:val="37BD5302"/>
    <w:rsid w:val="37C358B3"/>
    <w:rsid w:val="37CA0D70"/>
    <w:rsid w:val="37DB7DD6"/>
    <w:rsid w:val="37EA22AF"/>
    <w:rsid w:val="37EB72B3"/>
    <w:rsid w:val="37F559B9"/>
    <w:rsid w:val="37FC2378"/>
    <w:rsid w:val="3801031D"/>
    <w:rsid w:val="380263CD"/>
    <w:rsid w:val="3810198E"/>
    <w:rsid w:val="381465D9"/>
    <w:rsid w:val="38176009"/>
    <w:rsid w:val="38250453"/>
    <w:rsid w:val="38341B11"/>
    <w:rsid w:val="383C2D6D"/>
    <w:rsid w:val="384A2968"/>
    <w:rsid w:val="384E755C"/>
    <w:rsid w:val="385641FC"/>
    <w:rsid w:val="386B671F"/>
    <w:rsid w:val="386E6292"/>
    <w:rsid w:val="38737640"/>
    <w:rsid w:val="388233F5"/>
    <w:rsid w:val="3885411B"/>
    <w:rsid w:val="38910986"/>
    <w:rsid w:val="389B230B"/>
    <w:rsid w:val="389D73BE"/>
    <w:rsid w:val="38BD769E"/>
    <w:rsid w:val="38CC5188"/>
    <w:rsid w:val="38D529B2"/>
    <w:rsid w:val="38DB1F8D"/>
    <w:rsid w:val="38E250CA"/>
    <w:rsid w:val="38EC6021"/>
    <w:rsid w:val="38EE3475"/>
    <w:rsid w:val="38F17A02"/>
    <w:rsid w:val="38F968BA"/>
    <w:rsid w:val="38FE535A"/>
    <w:rsid w:val="39022456"/>
    <w:rsid w:val="390A4620"/>
    <w:rsid w:val="390A7481"/>
    <w:rsid w:val="391A7DEA"/>
    <w:rsid w:val="391E0899"/>
    <w:rsid w:val="392C7049"/>
    <w:rsid w:val="393941D4"/>
    <w:rsid w:val="393F0C84"/>
    <w:rsid w:val="39483B8C"/>
    <w:rsid w:val="394E3142"/>
    <w:rsid w:val="39507831"/>
    <w:rsid w:val="395A4147"/>
    <w:rsid w:val="395C1320"/>
    <w:rsid w:val="3971469F"/>
    <w:rsid w:val="39724705"/>
    <w:rsid w:val="39725803"/>
    <w:rsid w:val="397412CC"/>
    <w:rsid w:val="397E4230"/>
    <w:rsid w:val="398048E2"/>
    <w:rsid w:val="398262D7"/>
    <w:rsid w:val="39865CE4"/>
    <w:rsid w:val="399C5DB3"/>
    <w:rsid w:val="399D5494"/>
    <w:rsid w:val="39A37A41"/>
    <w:rsid w:val="39A5499F"/>
    <w:rsid w:val="39A6488C"/>
    <w:rsid w:val="39AD1B7B"/>
    <w:rsid w:val="39AF591A"/>
    <w:rsid w:val="39B31813"/>
    <w:rsid w:val="39B81D19"/>
    <w:rsid w:val="39BB7346"/>
    <w:rsid w:val="39BE1EBD"/>
    <w:rsid w:val="39C95D90"/>
    <w:rsid w:val="39D20B92"/>
    <w:rsid w:val="39D778C9"/>
    <w:rsid w:val="39DE5293"/>
    <w:rsid w:val="39E92D15"/>
    <w:rsid w:val="39EB029D"/>
    <w:rsid w:val="39F80BC6"/>
    <w:rsid w:val="39FC7DAF"/>
    <w:rsid w:val="39FD3633"/>
    <w:rsid w:val="3A054B31"/>
    <w:rsid w:val="3A064DE8"/>
    <w:rsid w:val="3A0B4374"/>
    <w:rsid w:val="3A1825C2"/>
    <w:rsid w:val="3A243F95"/>
    <w:rsid w:val="3A297154"/>
    <w:rsid w:val="3A29797A"/>
    <w:rsid w:val="3A362302"/>
    <w:rsid w:val="3A3C2693"/>
    <w:rsid w:val="3A3C4CAD"/>
    <w:rsid w:val="3A3E0B9C"/>
    <w:rsid w:val="3A3F6CD6"/>
    <w:rsid w:val="3A467009"/>
    <w:rsid w:val="3A481757"/>
    <w:rsid w:val="3A4B50C2"/>
    <w:rsid w:val="3A6B04DA"/>
    <w:rsid w:val="3A6F2B08"/>
    <w:rsid w:val="3A73272E"/>
    <w:rsid w:val="3A755AF0"/>
    <w:rsid w:val="3A7D508C"/>
    <w:rsid w:val="3A8A7887"/>
    <w:rsid w:val="3AA1545B"/>
    <w:rsid w:val="3AB2281A"/>
    <w:rsid w:val="3ABD7BDD"/>
    <w:rsid w:val="3AC33903"/>
    <w:rsid w:val="3AC7566F"/>
    <w:rsid w:val="3ACB7183"/>
    <w:rsid w:val="3ACD3B5A"/>
    <w:rsid w:val="3AD22F41"/>
    <w:rsid w:val="3AD92F2A"/>
    <w:rsid w:val="3AEC222F"/>
    <w:rsid w:val="3AEE2E06"/>
    <w:rsid w:val="3AFB40EF"/>
    <w:rsid w:val="3B0754CA"/>
    <w:rsid w:val="3B091033"/>
    <w:rsid w:val="3B134555"/>
    <w:rsid w:val="3B191137"/>
    <w:rsid w:val="3B2841A1"/>
    <w:rsid w:val="3B2F670A"/>
    <w:rsid w:val="3B3A6C8D"/>
    <w:rsid w:val="3B3E09F3"/>
    <w:rsid w:val="3B46271B"/>
    <w:rsid w:val="3B494429"/>
    <w:rsid w:val="3B5656F4"/>
    <w:rsid w:val="3B6405FB"/>
    <w:rsid w:val="3B6B584A"/>
    <w:rsid w:val="3B7C4AB5"/>
    <w:rsid w:val="3B8228CD"/>
    <w:rsid w:val="3B891DCD"/>
    <w:rsid w:val="3B935CD4"/>
    <w:rsid w:val="3B9528C7"/>
    <w:rsid w:val="3B976D9B"/>
    <w:rsid w:val="3BA2403B"/>
    <w:rsid w:val="3BAD5098"/>
    <w:rsid w:val="3BB6233A"/>
    <w:rsid w:val="3BD258C9"/>
    <w:rsid w:val="3BD45F38"/>
    <w:rsid w:val="3BE71232"/>
    <w:rsid w:val="3BEE0229"/>
    <w:rsid w:val="3BF84C04"/>
    <w:rsid w:val="3BFC5C46"/>
    <w:rsid w:val="3C080212"/>
    <w:rsid w:val="3C0D4B53"/>
    <w:rsid w:val="3C1B7F96"/>
    <w:rsid w:val="3C1C362D"/>
    <w:rsid w:val="3C251DDC"/>
    <w:rsid w:val="3C26613B"/>
    <w:rsid w:val="3C2B4FD9"/>
    <w:rsid w:val="3C335C3C"/>
    <w:rsid w:val="3C4014D1"/>
    <w:rsid w:val="3C4E35B0"/>
    <w:rsid w:val="3C561156"/>
    <w:rsid w:val="3C7A7F21"/>
    <w:rsid w:val="3C88734D"/>
    <w:rsid w:val="3C8B35ED"/>
    <w:rsid w:val="3C8E1824"/>
    <w:rsid w:val="3C94676F"/>
    <w:rsid w:val="3C9C78FC"/>
    <w:rsid w:val="3C9D1EB6"/>
    <w:rsid w:val="3C9F32D2"/>
    <w:rsid w:val="3CA96714"/>
    <w:rsid w:val="3CB9392B"/>
    <w:rsid w:val="3CC463DB"/>
    <w:rsid w:val="3CC66044"/>
    <w:rsid w:val="3CC72F54"/>
    <w:rsid w:val="3CD56599"/>
    <w:rsid w:val="3CD70A39"/>
    <w:rsid w:val="3CE974FE"/>
    <w:rsid w:val="3CED3E2F"/>
    <w:rsid w:val="3CF5749D"/>
    <w:rsid w:val="3D036D02"/>
    <w:rsid w:val="3D264530"/>
    <w:rsid w:val="3D286DF9"/>
    <w:rsid w:val="3D2A703F"/>
    <w:rsid w:val="3D373219"/>
    <w:rsid w:val="3D393E77"/>
    <w:rsid w:val="3D394DEF"/>
    <w:rsid w:val="3D464256"/>
    <w:rsid w:val="3D493E51"/>
    <w:rsid w:val="3D4D3F1A"/>
    <w:rsid w:val="3D5466BA"/>
    <w:rsid w:val="3D61263F"/>
    <w:rsid w:val="3D6B046C"/>
    <w:rsid w:val="3D6D615B"/>
    <w:rsid w:val="3D741A4B"/>
    <w:rsid w:val="3D83785B"/>
    <w:rsid w:val="3D876C24"/>
    <w:rsid w:val="3D891350"/>
    <w:rsid w:val="3D8C258A"/>
    <w:rsid w:val="3D8D547D"/>
    <w:rsid w:val="3D8F6800"/>
    <w:rsid w:val="3D954E00"/>
    <w:rsid w:val="3D9D3B42"/>
    <w:rsid w:val="3DA15C15"/>
    <w:rsid w:val="3DA60DBB"/>
    <w:rsid w:val="3DB12122"/>
    <w:rsid w:val="3DB42DAD"/>
    <w:rsid w:val="3DCC6017"/>
    <w:rsid w:val="3DD80620"/>
    <w:rsid w:val="3DDD67A7"/>
    <w:rsid w:val="3DE05EAE"/>
    <w:rsid w:val="3DE749C8"/>
    <w:rsid w:val="3DEC58B0"/>
    <w:rsid w:val="3DFA2BBE"/>
    <w:rsid w:val="3DFE50A4"/>
    <w:rsid w:val="3E017E1B"/>
    <w:rsid w:val="3E02402C"/>
    <w:rsid w:val="3E077380"/>
    <w:rsid w:val="3E0854F4"/>
    <w:rsid w:val="3E0F3A5D"/>
    <w:rsid w:val="3E165561"/>
    <w:rsid w:val="3E286A41"/>
    <w:rsid w:val="3E354B01"/>
    <w:rsid w:val="3E384D44"/>
    <w:rsid w:val="3E3B28BA"/>
    <w:rsid w:val="3E4740DD"/>
    <w:rsid w:val="3E4D1237"/>
    <w:rsid w:val="3E691926"/>
    <w:rsid w:val="3E6B2874"/>
    <w:rsid w:val="3E6C5B8C"/>
    <w:rsid w:val="3E73003A"/>
    <w:rsid w:val="3E826300"/>
    <w:rsid w:val="3E837422"/>
    <w:rsid w:val="3E956531"/>
    <w:rsid w:val="3E9B44BF"/>
    <w:rsid w:val="3EA260ED"/>
    <w:rsid w:val="3EBC460F"/>
    <w:rsid w:val="3EC6390B"/>
    <w:rsid w:val="3ECF4342"/>
    <w:rsid w:val="3ED54E36"/>
    <w:rsid w:val="3EE310EF"/>
    <w:rsid w:val="3EEE25B4"/>
    <w:rsid w:val="3EF061F0"/>
    <w:rsid w:val="3EF20695"/>
    <w:rsid w:val="3EF43B41"/>
    <w:rsid w:val="3EF85B8F"/>
    <w:rsid w:val="3EFE7E85"/>
    <w:rsid w:val="3F012022"/>
    <w:rsid w:val="3F051B12"/>
    <w:rsid w:val="3F060465"/>
    <w:rsid w:val="3F0739CF"/>
    <w:rsid w:val="3F0874F8"/>
    <w:rsid w:val="3F106124"/>
    <w:rsid w:val="3F113273"/>
    <w:rsid w:val="3F163047"/>
    <w:rsid w:val="3F2040A2"/>
    <w:rsid w:val="3F247041"/>
    <w:rsid w:val="3F264679"/>
    <w:rsid w:val="3F2C3542"/>
    <w:rsid w:val="3F357653"/>
    <w:rsid w:val="3F39320C"/>
    <w:rsid w:val="3F44662B"/>
    <w:rsid w:val="3F4470FC"/>
    <w:rsid w:val="3F4524F3"/>
    <w:rsid w:val="3F4C480D"/>
    <w:rsid w:val="3F5C6CE4"/>
    <w:rsid w:val="3F602397"/>
    <w:rsid w:val="3F661DF1"/>
    <w:rsid w:val="3F69137B"/>
    <w:rsid w:val="3F6B3E9E"/>
    <w:rsid w:val="3F6F5F91"/>
    <w:rsid w:val="3F723BDF"/>
    <w:rsid w:val="3F7D3D9E"/>
    <w:rsid w:val="3F80492C"/>
    <w:rsid w:val="3F874C75"/>
    <w:rsid w:val="3F91415D"/>
    <w:rsid w:val="3F9C404E"/>
    <w:rsid w:val="3F9D6CA0"/>
    <w:rsid w:val="3FA12730"/>
    <w:rsid w:val="3FCC0881"/>
    <w:rsid w:val="3FCF245F"/>
    <w:rsid w:val="3FD37AC5"/>
    <w:rsid w:val="3FD630BA"/>
    <w:rsid w:val="3FDA4D4C"/>
    <w:rsid w:val="3FDE08F5"/>
    <w:rsid w:val="3FEC0F24"/>
    <w:rsid w:val="3FF15B47"/>
    <w:rsid w:val="3FF87ACC"/>
    <w:rsid w:val="400B3158"/>
    <w:rsid w:val="401776B5"/>
    <w:rsid w:val="402661E4"/>
    <w:rsid w:val="402A69BE"/>
    <w:rsid w:val="40384169"/>
    <w:rsid w:val="40397973"/>
    <w:rsid w:val="403E7DA1"/>
    <w:rsid w:val="403F2B3B"/>
    <w:rsid w:val="404708CE"/>
    <w:rsid w:val="404E78EC"/>
    <w:rsid w:val="40517975"/>
    <w:rsid w:val="405745EF"/>
    <w:rsid w:val="405D5908"/>
    <w:rsid w:val="40605AF5"/>
    <w:rsid w:val="40632F94"/>
    <w:rsid w:val="40640ABA"/>
    <w:rsid w:val="406519E9"/>
    <w:rsid w:val="407A1B17"/>
    <w:rsid w:val="407E2BBD"/>
    <w:rsid w:val="407F65D8"/>
    <w:rsid w:val="40871ABF"/>
    <w:rsid w:val="408B03DB"/>
    <w:rsid w:val="40935D5A"/>
    <w:rsid w:val="409E0DFA"/>
    <w:rsid w:val="40A13ABC"/>
    <w:rsid w:val="40A57735"/>
    <w:rsid w:val="40B27A75"/>
    <w:rsid w:val="40B4233F"/>
    <w:rsid w:val="40BB034A"/>
    <w:rsid w:val="40BC2E2B"/>
    <w:rsid w:val="40BD0322"/>
    <w:rsid w:val="40C33A32"/>
    <w:rsid w:val="40C3506B"/>
    <w:rsid w:val="40C50AD3"/>
    <w:rsid w:val="40CB28E7"/>
    <w:rsid w:val="40DC68A2"/>
    <w:rsid w:val="40E125C5"/>
    <w:rsid w:val="40E65833"/>
    <w:rsid w:val="40F260C6"/>
    <w:rsid w:val="40F34C42"/>
    <w:rsid w:val="41085D42"/>
    <w:rsid w:val="41095179"/>
    <w:rsid w:val="410C2426"/>
    <w:rsid w:val="41195D48"/>
    <w:rsid w:val="411C1395"/>
    <w:rsid w:val="412403CF"/>
    <w:rsid w:val="41270465"/>
    <w:rsid w:val="41494794"/>
    <w:rsid w:val="414B09AC"/>
    <w:rsid w:val="414F1A34"/>
    <w:rsid w:val="415215C9"/>
    <w:rsid w:val="41540B2E"/>
    <w:rsid w:val="41657881"/>
    <w:rsid w:val="41717932"/>
    <w:rsid w:val="41727207"/>
    <w:rsid w:val="41867B03"/>
    <w:rsid w:val="418A654E"/>
    <w:rsid w:val="418E52A9"/>
    <w:rsid w:val="41947EA6"/>
    <w:rsid w:val="41B23768"/>
    <w:rsid w:val="41BB0BAE"/>
    <w:rsid w:val="41BD0482"/>
    <w:rsid w:val="41BF1C9D"/>
    <w:rsid w:val="41CF4659"/>
    <w:rsid w:val="41D47F93"/>
    <w:rsid w:val="41DB2FFE"/>
    <w:rsid w:val="41EA105E"/>
    <w:rsid w:val="41F533C3"/>
    <w:rsid w:val="41F6713C"/>
    <w:rsid w:val="42004FD7"/>
    <w:rsid w:val="42014C57"/>
    <w:rsid w:val="420F0A77"/>
    <w:rsid w:val="4211049B"/>
    <w:rsid w:val="42134ADA"/>
    <w:rsid w:val="4214206C"/>
    <w:rsid w:val="42232B48"/>
    <w:rsid w:val="42293CE0"/>
    <w:rsid w:val="423679DD"/>
    <w:rsid w:val="42383FAC"/>
    <w:rsid w:val="423D7815"/>
    <w:rsid w:val="425C5CCA"/>
    <w:rsid w:val="42613503"/>
    <w:rsid w:val="426676F3"/>
    <w:rsid w:val="42764AD5"/>
    <w:rsid w:val="42772D77"/>
    <w:rsid w:val="427778EE"/>
    <w:rsid w:val="427F7E2D"/>
    <w:rsid w:val="42827C77"/>
    <w:rsid w:val="42835FC1"/>
    <w:rsid w:val="42894808"/>
    <w:rsid w:val="42A15BAD"/>
    <w:rsid w:val="42BA0E65"/>
    <w:rsid w:val="42C07614"/>
    <w:rsid w:val="42C42797"/>
    <w:rsid w:val="42C8103A"/>
    <w:rsid w:val="42CD7717"/>
    <w:rsid w:val="42D178AE"/>
    <w:rsid w:val="42D31F27"/>
    <w:rsid w:val="42D642C4"/>
    <w:rsid w:val="42D75B76"/>
    <w:rsid w:val="42E3660E"/>
    <w:rsid w:val="42ED4E42"/>
    <w:rsid w:val="42EF14D9"/>
    <w:rsid w:val="42F6573F"/>
    <w:rsid w:val="43155154"/>
    <w:rsid w:val="43206315"/>
    <w:rsid w:val="432418C0"/>
    <w:rsid w:val="432A76D9"/>
    <w:rsid w:val="433F4FB0"/>
    <w:rsid w:val="43421586"/>
    <w:rsid w:val="43444BFC"/>
    <w:rsid w:val="4351010D"/>
    <w:rsid w:val="435A20B1"/>
    <w:rsid w:val="435C3C0F"/>
    <w:rsid w:val="43613259"/>
    <w:rsid w:val="436F472F"/>
    <w:rsid w:val="43713BB4"/>
    <w:rsid w:val="437255ED"/>
    <w:rsid w:val="43836937"/>
    <w:rsid w:val="43861CD7"/>
    <w:rsid w:val="438A0781"/>
    <w:rsid w:val="438B4FB1"/>
    <w:rsid w:val="4392137D"/>
    <w:rsid w:val="43922183"/>
    <w:rsid w:val="43927B8C"/>
    <w:rsid w:val="43947F98"/>
    <w:rsid w:val="439B601B"/>
    <w:rsid w:val="43A45F3A"/>
    <w:rsid w:val="43A94104"/>
    <w:rsid w:val="43AD078E"/>
    <w:rsid w:val="43AE11BC"/>
    <w:rsid w:val="43B17DCB"/>
    <w:rsid w:val="43B56561"/>
    <w:rsid w:val="43BD5D58"/>
    <w:rsid w:val="43CE0652"/>
    <w:rsid w:val="43E40E07"/>
    <w:rsid w:val="43F202D8"/>
    <w:rsid w:val="44044A8E"/>
    <w:rsid w:val="44184BE4"/>
    <w:rsid w:val="441A4C15"/>
    <w:rsid w:val="442339D8"/>
    <w:rsid w:val="442455D8"/>
    <w:rsid w:val="4425691C"/>
    <w:rsid w:val="443C0CBE"/>
    <w:rsid w:val="4446349A"/>
    <w:rsid w:val="444710C6"/>
    <w:rsid w:val="444C4531"/>
    <w:rsid w:val="444D75A4"/>
    <w:rsid w:val="44563E00"/>
    <w:rsid w:val="44563ED5"/>
    <w:rsid w:val="44605A3B"/>
    <w:rsid w:val="44667D5A"/>
    <w:rsid w:val="44725280"/>
    <w:rsid w:val="44780FD8"/>
    <w:rsid w:val="448D376C"/>
    <w:rsid w:val="44905477"/>
    <w:rsid w:val="449A6732"/>
    <w:rsid w:val="449E02AA"/>
    <w:rsid w:val="44B34E38"/>
    <w:rsid w:val="44B80B0F"/>
    <w:rsid w:val="44C02BD5"/>
    <w:rsid w:val="44C07C4C"/>
    <w:rsid w:val="44D25AAC"/>
    <w:rsid w:val="44E278BC"/>
    <w:rsid w:val="44E95A32"/>
    <w:rsid w:val="44EB17AA"/>
    <w:rsid w:val="44EC2DBF"/>
    <w:rsid w:val="44F92736"/>
    <w:rsid w:val="44F9370C"/>
    <w:rsid w:val="44FF34A7"/>
    <w:rsid w:val="4503096B"/>
    <w:rsid w:val="45030AC7"/>
    <w:rsid w:val="45186730"/>
    <w:rsid w:val="452151CC"/>
    <w:rsid w:val="453063FB"/>
    <w:rsid w:val="453506D6"/>
    <w:rsid w:val="45441531"/>
    <w:rsid w:val="455A248C"/>
    <w:rsid w:val="45647867"/>
    <w:rsid w:val="456B4664"/>
    <w:rsid w:val="456E61AA"/>
    <w:rsid w:val="457052B2"/>
    <w:rsid w:val="457C0654"/>
    <w:rsid w:val="457D1EE7"/>
    <w:rsid w:val="457E617A"/>
    <w:rsid w:val="45821622"/>
    <w:rsid w:val="4584229E"/>
    <w:rsid w:val="458A28C6"/>
    <w:rsid w:val="458D1E80"/>
    <w:rsid w:val="45913BAE"/>
    <w:rsid w:val="45A656D1"/>
    <w:rsid w:val="45B46E64"/>
    <w:rsid w:val="45BA1CB8"/>
    <w:rsid w:val="45BD2770"/>
    <w:rsid w:val="45C049E4"/>
    <w:rsid w:val="45C66607"/>
    <w:rsid w:val="45C76C94"/>
    <w:rsid w:val="45CC4A93"/>
    <w:rsid w:val="45D46798"/>
    <w:rsid w:val="45D55F98"/>
    <w:rsid w:val="45E71F71"/>
    <w:rsid w:val="45FA5E15"/>
    <w:rsid w:val="45FC4D25"/>
    <w:rsid w:val="460847C1"/>
    <w:rsid w:val="460950D9"/>
    <w:rsid w:val="460A2346"/>
    <w:rsid w:val="460E28EF"/>
    <w:rsid w:val="46115319"/>
    <w:rsid w:val="461B2E62"/>
    <w:rsid w:val="46295027"/>
    <w:rsid w:val="462E14CC"/>
    <w:rsid w:val="46316490"/>
    <w:rsid w:val="463B406B"/>
    <w:rsid w:val="463B7E69"/>
    <w:rsid w:val="463D4578"/>
    <w:rsid w:val="46445615"/>
    <w:rsid w:val="46450C4E"/>
    <w:rsid w:val="4650656B"/>
    <w:rsid w:val="465E3302"/>
    <w:rsid w:val="46816C10"/>
    <w:rsid w:val="469814BD"/>
    <w:rsid w:val="469F40B1"/>
    <w:rsid w:val="46C67DD9"/>
    <w:rsid w:val="46C95B1B"/>
    <w:rsid w:val="46C978C9"/>
    <w:rsid w:val="46D626F5"/>
    <w:rsid w:val="46E43E69"/>
    <w:rsid w:val="46F66957"/>
    <w:rsid w:val="46FA0FB1"/>
    <w:rsid w:val="46FD14F1"/>
    <w:rsid w:val="47051512"/>
    <w:rsid w:val="470C7B0E"/>
    <w:rsid w:val="471F45B7"/>
    <w:rsid w:val="47282841"/>
    <w:rsid w:val="47362C1C"/>
    <w:rsid w:val="47372A84"/>
    <w:rsid w:val="473C7619"/>
    <w:rsid w:val="47486233"/>
    <w:rsid w:val="474B29DB"/>
    <w:rsid w:val="474C7D18"/>
    <w:rsid w:val="474E7DCE"/>
    <w:rsid w:val="47532597"/>
    <w:rsid w:val="47567722"/>
    <w:rsid w:val="47664E5A"/>
    <w:rsid w:val="47723ABC"/>
    <w:rsid w:val="47762BB7"/>
    <w:rsid w:val="477A782A"/>
    <w:rsid w:val="47841A42"/>
    <w:rsid w:val="47846F53"/>
    <w:rsid w:val="47852AEE"/>
    <w:rsid w:val="47855EE6"/>
    <w:rsid w:val="478E1953"/>
    <w:rsid w:val="47B00F28"/>
    <w:rsid w:val="47B02837"/>
    <w:rsid w:val="47B73071"/>
    <w:rsid w:val="47BE31A6"/>
    <w:rsid w:val="47C84142"/>
    <w:rsid w:val="47D01EDF"/>
    <w:rsid w:val="47D94970"/>
    <w:rsid w:val="47DD782E"/>
    <w:rsid w:val="47E26EDC"/>
    <w:rsid w:val="47E6506A"/>
    <w:rsid w:val="47EC3C3B"/>
    <w:rsid w:val="47EC7D13"/>
    <w:rsid w:val="47ED2CE0"/>
    <w:rsid w:val="47F06548"/>
    <w:rsid w:val="47F74B66"/>
    <w:rsid w:val="47FB61A8"/>
    <w:rsid w:val="47FC4AB9"/>
    <w:rsid w:val="47FE7A46"/>
    <w:rsid w:val="48006AC6"/>
    <w:rsid w:val="4808727C"/>
    <w:rsid w:val="481822D3"/>
    <w:rsid w:val="482A25E9"/>
    <w:rsid w:val="48313978"/>
    <w:rsid w:val="484A2C8B"/>
    <w:rsid w:val="484E277B"/>
    <w:rsid w:val="485111D9"/>
    <w:rsid w:val="48546AD3"/>
    <w:rsid w:val="48582FD8"/>
    <w:rsid w:val="485B50FF"/>
    <w:rsid w:val="485B5A38"/>
    <w:rsid w:val="485D476D"/>
    <w:rsid w:val="4871654D"/>
    <w:rsid w:val="48783354"/>
    <w:rsid w:val="487F489F"/>
    <w:rsid w:val="488033D9"/>
    <w:rsid w:val="48AB2F86"/>
    <w:rsid w:val="48B70DFF"/>
    <w:rsid w:val="48BC3EF0"/>
    <w:rsid w:val="48BF3D66"/>
    <w:rsid w:val="48C22822"/>
    <w:rsid w:val="48E17FCF"/>
    <w:rsid w:val="48E94252"/>
    <w:rsid w:val="48F74BC1"/>
    <w:rsid w:val="48F83CB0"/>
    <w:rsid w:val="49024397"/>
    <w:rsid w:val="490E4537"/>
    <w:rsid w:val="492C1AD0"/>
    <w:rsid w:val="49333D19"/>
    <w:rsid w:val="493A0E7E"/>
    <w:rsid w:val="49541EE7"/>
    <w:rsid w:val="496438D9"/>
    <w:rsid w:val="4966420A"/>
    <w:rsid w:val="496B2E85"/>
    <w:rsid w:val="496C4368"/>
    <w:rsid w:val="496D45F2"/>
    <w:rsid w:val="498C34BA"/>
    <w:rsid w:val="498E6BA8"/>
    <w:rsid w:val="498F47B8"/>
    <w:rsid w:val="49951247"/>
    <w:rsid w:val="49980CCE"/>
    <w:rsid w:val="49997A26"/>
    <w:rsid w:val="499E6ADA"/>
    <w:rsid w:val="49A00271"/>
    <w:rsid w:val="49AE2DA6"/>
    <w:rsid w:val="49B30E9E"/>
    <w:rsid w:val="49B74350"/>
    <w:rsid w:val="49B8117F"/>
    <w:rsid w:val="49C51AD6"/>
    <w:rsid w:val="49D15948"/>
    <w:rsid w:val="49D179CB"/>
    <w:rsid w:val="49D22F38"/>
    <w:rsid w:val="49D27EBD"/>
    <w:rsid w:val="49DC7913"/>
    <w:rsid w:val="49DF2D60"/>
    <w:rsid w:val="49DF3892"/>
    <w:rsid w:val="49F509D5"/>
    <w:rsid w:val="49F54049"/>
    <w:rsid w:val="4A003787"/>
    <w:rsid w:val="4A072B32"/>
    <w:rsid w:val="4A0A4393"/>
    <w:rsid w:val="4A0B2394"/>
    <w:rsid w:val="4A1F1245"/>
    <w:rsid w:val="4A407EA2"/>
    <w:rsid w:val="4A433F5D"/>
    <w:rsid w:val="4A4467EF"/>
    <w:rsid w:val="4A4554B8"/>
    <w:rsid w:val="4A5232FA"/>
    <w:rsid w:val="4A5566CE"/>
    <w:rsid w:val="4A5E3A9A"/>
    <w:rsid w:val="4A626327"/>
    <w:rsid w:val="4A677B24"/>
    <w:rsid w:val="4A693EDF"/>
    <w:rsid w:val="4A6B1BCF"/>
    <w:rsid w:val="4A6F21D0"/>
    <w:rsid w:val="4A723BBE"/>
    <w:rsid w:val="4A783BC1"/>
    <w:rsid w:val="4A7A52EF"/>
    <w:rsid w:val="4A7E4BAC"/>
    <w:rsid w:val="4A811F05"/>
    <w:rsid w:val="4A813D5D"/>
    <w:rsid w:val="4A8619DF"/>
    <w:rsid w:val="4A8C219C"/>
    <w:rsid w:val="4A8F2BD7"/>
    <w:rsid w:val="4A9A1C0C"/>
    <w:rsid w:val="4AB12B4E"/>
    <w:rsid w:val="4AB70621"/>
    <w:rsid w:val="4ABD162D"/>
    <w:rsid w:val="4AC40765"/>
    <w:rsid w:val="4ACE2F74"/>
    <w:rsid w:val="4AEA39F4"/>
    <w:rsid w:val="4AEA3C2D"/>
    <w:rsid w:val="4B0162CA"/>
    <w:rsid w:val="4B103D18"/>
    <w:rsid w:val="4B105AC6"/>
    <w:rsid w:val="4B115E65"/>
    <w:rsid w:val="4B137669"/>
    <w:rsid w:val="4B184910"/>
    <w:rsid w:val="4B2A74C6"/>
    <w:rsid w:val="4B2B2900"/>
    <w:rsid w:val="4B316469"/>
    <w:rsid w:val="4B3B7535"/>
    <w:rsid w:val="4B3F2B00"/>
    <w:rsid w:val="4B3F7086"/>
    <w:rsid w:val="4B40326D"/>
    <w:rsid w:val="4B4B6AFE"/>
    <w:rsid w:val="4B5B5FF2"/>
    <w:rsid w:val="4B625860"/>
    <w:rsid w:val="4B7A73E4"/>
    <w:rsid w:val="4B7C7600"/>
    <w:rsid w:val="4B7F254F"/>
    <w:rsid w:val="4B8B517E"/>
    <w:rsid w:val="4B8D2521"/>
    <w:rsid w:val="4B8D4239"/>
    <w:rsid w:val="4B93378C"/>
    <w:rsid w:val="4B940A7E"/>
    <w:rsid w:val="4B9626E2"/>
    <w:rsid w:val="4B9B51B7"/>
    <w:rsid w:val="4B9E722B"/>
    <w:rsid w:val="4BC507CD"/>
    <w:rsid w:val="4BCB2508"/>
    <w:rsid w:val="4BCD1415"/>
    <w:rsid w:val="4BD03E62"/>
    <w:rsid w:val="4BD16AA6"/>
    <w:rsid w:val="4BD35E8D"/>
    <w:rsid w:val="4BDD4705"/>
    <w:rsid w:val="4BE40D01"/>
    <w:rsid w:val="4BE60F1D"/>
    <w:rsid w:val="4BEA23ED"/>
    <w:rsid w:val="4BEB208F"/>
    <w:rsid w:val="4BEC0CD5"/>
    <w:rsid w:val="4BF51EB0"/>
    <w:rsid w:val="4C043151"/>
    <w:rsid w:val="4C0C69D1"/>
    <w:rsid w:val="4C101AF6"/>
    <w:rsid w:val="4C1036AB"/>
    <w:rsid w:val="4C243826"/>
    <w:rsid w:val="4C250005"/>
    <w:rsid w:val="4C324B0F"/>
    <w:rsid w:val="4C3C52B0"/>
    <w:rsid w:val="4C4A4923"/>
    <w:rsid w:val="4C516396"/>
    <w:rsid w:val="4C523F4F"/>
    <w:rsid w:val="4C537700"/>
    <w:rsid w:val="4C6458CD"/>
    <w:rsid w:val="4C683BAC"/>
    <w:rsid w:val="4C69722D"/>
    <w:rsid w:val="4C6D7EB5"/>
    <w:rsid w:val="4C7D79F6"/>
    <w:rsid w:val="4C80271E"/>
    <w:rsid w:val="4C8E75EA"/>
    <w:rsid w:val="4C8F106B"/>
    <w:rsid w:val="4C8F3727"/>
    <w:rsid w:val="4C8F6EBF"/>
    <w:rsid w:val="4C96210F"/>
    <w:rsid w:val="4C982217"/>
    <w:rsid w:val="4C9B5863"/>
    <w:rsid w:val="4CA06068"/>
    <w:rsid w:val="4CA53329"/>
    <w:rsid w:val="4CB06962"/>
    <w:rsid w:val="4CD01F92"/>
    <w:rsid w:val="4CD55F67"/>
    <w:rsid w:val="4CE10B4B"/>
    <w:rsid w:val="4CE74F4D"/>
    <w:rsid w:val="4CEB75F7"/>
    <w:rsid w:val="4CED26A4"/>
    <w:rsid w:val="4D021D86"/>
    <w:rsid w:val="4D07114B"/>
    <w:rsid w:val="4D0A0CFE"/>
    <w:rsid w:val="4D145C53"/>
    <w:rsid w:val="4D1D0480"/>
    <w:rsid w:val="4D1E3A2B"/>
    <w:rsid w:val="4D245980"/>
    <w:rsid w:val="4D2E2B7B"/>
    <w:rsid w:val="4D307658"/>
    <w:rsid w:val="4D331F40"/>
    <w:rsid w:val="4D490586"/>
    <w:rsid w:val="4D4B1310"/>
    <w:rsid w:val="4D5123C6"/>
    <w:rsid w:val="4D543B57"/>
    <w:rsid w:val="4D5B6C39"/>
    <w:rsid w:val="4D5E2AFB"/>
    <w:rsid w:val="4D633D5B"/>
    <w:rsid w:val="4D6640C3"/>
    <w:rsid w:val="4D7A64BE"/>
    <w:rsid w:val="4D7E0E31"/>
    <w:rsid w:val="4D8347ED"/>
    <w:rsid w:val="4D834C75"/>
    <w:rsid w:val="4D866514"/>
    <w:rsid w:val="4D8863FB"/>
    <w:rsid w:val="4D97428A"/>
    <w:rsid w:val="4D9A550D"/>
    <w:rsid w:val="4D9D313C"/>
    <w:rsid w:val="4DA447E9"/>
    <w:rsid w:val="4DA9608F"/>
    <w:rsid w:val="4DB52E11"/>
    <w:rsid w:val="4DBD235A"/>
    <w:rsid w:val="4DDA04FF"/>
    <w:rsid w:val="4DDD0583"/>
    <w:rsid w:val="4DEE1044"/>
    <w:rsid w:val="4DF91E57"/>
    <w:rsid w:val="4E045BA1"/>
    <w:rsid w:val="4E0538DC"/>
    <w:rsid w:val="4E0C3F18"/>
    <w:rsid w:val="4E0D2AE6"/>
    <w:rsid w:val="4E101319"/>
    <w:rsid w:val="4E140360"/>
    <w:rsid w:val="4E1C0C26"/>
    <w:rsid w:val="4E276FDB"/>
    <w:rsid w:val="4E281544"/>
    <w:rsid w:val="4E2B7902"/>
    <w:rsid w:val="4E34134D"/>
    <w:rsid w:val="4E3917D8"/>
    <w:rsid w:val="4E467829"/>
    <w:rsid w:val="4E477347"/>
    <w:rsid w:val="4E513DEA"/>
    <w:rsid w:val="4E610C1E"/>
    <w:rsid w:val="4E6545C1"/>
    <w:rsid w:val="4E673352"/>
    <w:rsid w:val="4E6D2CB8"/>
    <w:rsid w:val="4E712D20"/>
    <w:rsid w:val="4E895110"/>
    <w:rsid w:val="4E8B0945"/>
    <w:rsid w:val="4E8D051A"/>
    <w:rsid w:val="4E8D4C9B"/>
    <w:rsid w:val="4EA039E6"/>
    <w:rsid w:val="4EA604F0"/>
    <w:rsid w:val="4EA7554A"/>
    <w:rsid w:val="4EAC1FAA"/>
    <w:rsid w:val="4EB470B0"/>
    <w:rsid w:val="4EBE2321"/>
    <w:rsid w:val="4ED4505D"/>
    <w:rsid w:val="4ED45AAD"/>
    <w:rsid w:val="4ED97DE9"/>
    <w:rsid w:val="4EDB463D"/>
    <w:rsid w:val="4EDF2B9A"/>
    <w:rsid w:val="4EE079C8"/>
    <w:rsid w:val="4EE62204"/>
    <w:rsid w:val="4EF703D2"/>
    <w:rsid w:val="4EFA55FA"/>
    <w:rsid w:val="4EFD0A57"/>
    <w:rsid w:val="4F05223E"/>
    <w:rsid w:val="4F2935FA"/>
    <w:rsid w:val="4F4006B6"/>
    <w:rsid w:val="4F404BC5"/>
    <w:rsid w:val="4F45079D"/>
    <w:rsid w:val="4F5B577E"/>
    <w:rsid w:val="4F6C5DEE"/>
    <w:rsid w:val="4F6F55A2"/>
    <w:rsid w:val="4F734876"/>
    <w:rsid w:val="4F7C2E75"/>
    <w:rsid w:val="4F851663"/>
    <w:rsid w:val="4F8611B9"/>
    <w:rsid w:val="4F87620E"/>
    <w:rsid w:val="4F8E345D"/>
    <w:rsid w:val="4F90397C"/>
    <w:rsid w:val="4FAD7F37"/>
    <w:rsid w:val="4FBF11AA"/>
    <w:rsid w:val="4FC3217F"/>
    <w:rsid w:val="4FCA34D0"/>
    <w:rsid w:val="4FDD2DE8"/>
    <w:rsid w:val="4FE21C5A"/>
    <w:rsid w:val="4FEA47B0"/>
    <w:rsid w:val="4FEF68D8"/>
    <w:rsid w:val="4FF26B7C"/>
    <w:rsid w:val="4FF66A1B"/>
    <w:rsid w:val="50141BB8"/>
    <w:rsid w:val="50163D11"/>
    <w:rsid w:val="50185633"/>
    <w:rsid w:val="501E2A33"/>
    <w:rsid w:val="50220716"/>
    <w:rsid w:val="50274E22"/>
    <w:rsid w:val="5027550C"/>
    <w:rsid w:val="50294957"/>
    <w:rsid w:val="502B6313"/>
    <w:rsid w:val="503049F6"/>
    <w:rsid w:val="50335AEE"/>
    <w:rsid w:val="504865E7"/>
    <w:rsid w:val="504C4DCB"/>
    <w:rsid w:val="504E09F4"/>
    <w:rsid w:val="5054095A"/>
    <w:rsid w:val="50784530"/>
    <w:rsid w:val="507B081A"/>
    <w:rsid w:val="50885B10"/>
    <w:rsid w:val="50A02927"/>
    <w:rsid w:val="50A54F03"/>
    <w:rsid w:val="50A75D18"/>
    <w:rsid w:val="50B47D79"/>
    <w:rsid w:val="50B555F1"/>
    <w:rsid w:val="50B7728A"/>
    <w:rsid w:val="50BA23E4"/>
    <w:rsid w:val="50BC4485"/>
    <w:rsid w:val="50C80BF1"/>
    <w:rsid w:val="50CD1EFF"/>
    <w:rsid w:val="50CD3844"/>
    <w:rsid w:val="50D37572"/>
    <w:rsid w:val="50DA6382"/>
    <w:rsid w:val="50DE43B8"/>
    <w:rsid w:val="50EA66B3"/>
    <w:rsid w:val="50ED6A27"/>
    <w:rsid w:val="50F47C38"/>
    <w:rsid w:val="50FA6A55"/>
    <w:rsid w:val="510163D3"/>
    <w:rsid w:val="51072B40"/>
    <w:rsid w:val="51121E6C"/>
    <w:rsid w:val="51136310"/>
    <w:rsid w:val="51183927"/>
    <w:rsid w:val="511A58F1"/>
    <w:rsid w:val="51200A2D"/>
    <w:rsid w:val="512A4843"/>
    <w:rsid w:val="512E78C4"/>
    <w:rsid w:val="51367953"/>
    <w:rsid w:val="513A40D0"/>
    <w:rsid w:val="514946EA"/>
    <w:rsid w:val="51516E38"/>
    <w:rsid w:val="515A6B83"/>
    <w:rsid w:val="515B1A65"/>
    <w:rsid w:val="51761502"/>
    <w:rsid w:val="5177167E"/>
    <w:rsid w:val="517A073C"/>
    <w:rsid w:val="517C594F"/>
    <w:rsid w:val="517F6B8D"/>
    <w:rsid w:val="518717AE"/>
    <w:rsid w:val="518D028A"/>
    <w:rsid w:val="519B2E9C"/>
    <w:rsid w:val="519C4558"/>
    <w:rsid w:val="519F74D6"/>
    <w:rsid w:val="51A161BE"/>
    <w:rsid w:val="51AB2BC6"/>
    <w:rsid w:val="51B318A1"/>
    <w:rsid w:val="51B7485D"/>
    <w:rsid w:val="51BD00B1"/>
    <w:rsid w:val="51D714C7"/>
    <w:rsid w:val="51DF4444"/>
    <w:rsid w:val="51E00412"/>
    <w:rsid w:val="51EB03DD"/>
    <w:rsid w:val="51F562DF"/>
    <w:rsid w:val="520234EC"/>
    <w:rsid w:val="52121BB5"/>
    <w:rsid w:val="521A3F0F"/>
    <w:rsid w:val="521D0102"/>
    <w:rsid w:val="521D3D08"/>
    <w:rsid w:val="522909D1"/>
    <w:rsid w:val="52383444"/>
    <w:rsid w:val="52505342"/>
    <w:rsid w:val="52595FA5"/>
    <w:rsid w:val="52636E23"/>
    <w:rsid w:val="526861E8"/>
    <w:rsid w:val="52727B76"/>
    <w:rsid w:val="52756B57"/>
    <w:rsid w:val="527C3490"/>
    <w:rsid w:val="527E3C5D"/>
    <w:rsid w:val="527F5459"/>
    <w:rsid w:val="528A5ECA"/>
    <w:rsid w:val="529A56E5"/>
    <w:rsid w:val="529B7651"/>
    <w:rsid w:val="52AD359D"/>
    <w:rsid w:val="52AE7A72"/>
    <w:rsid w:val="52AF3634"/>
    <w:rsid w:val="52B513BE"/>
    <w:rsid w:val="52B725CE"/>
    <w:rsid w:val="52C94A52"/>
    <w:rsid w:val="52CA4470"/>
    <w:rsid w:val="52CE32E5"/>
    <w:rsid w:val="52D10231"/>
    <w:rsid w:val="52D11EE1"/>
    <w:rsid w:val="52E511BE"/>
    <w:rsid w:val="52EC03EB"/>
    <w:rsid w:val="52F83A10"/>
    <w:rsid w:val="52FE3F61"/>
    <w:rsid w:val="530B1DCC"/>
    <w:rsid w:val="530C225C"/>
    <w:rsid w:val="530D6D8F"/>
    <w:rsid w:val="5312149E"/>
    <w:rsid w:val="53141F4E"/>
    <w:rsid w:val="531F0928"/>
    <w:rsid w:val="533544AF"/>
    <w:rsid w:val="533742CA"/>
    <w:rsid w:val="533D0A8C"/>
    <w:rsid w:val="533E08F9"/>
    <w:rsid w:val="534023F3"/>
    <w:rsid w:val="53424C8B"/>
    <w:rsid w:val="5346672E"/>
    <w:rsid w:val="5352117A"/>
    <w:rsid w:val="535444B1"/>
    <w:rsid w:val="5357444A"/>
    <w:rsid w:val="5364677E"/>
    <w:rsid w:val="536809BD"/>
    <w:rsid w:val="537D0DF6"/>
    <w:rsid w:val="537E33D4"/>
    <w:rsid w:val="538117A0"/>
    <w:rsid w:val="53811B2F"/>
    <w:rsid w:val="53820B12"/>
    <w:rsid w:val="538434F5"/>
    <w:rsid w:val="53A019B1"/>
    <w:rsid w:val="53A414A2"/>
    <w:rsid w:val="53B64160"/>
    <w:rsid w:val="53BD07B5"/>
    <w:rsid w:val="53C548B8"/>
    <w:rsid w:val="53C603A1"/>
    <w:rsid w:val="53D67980"/>
    <w:rsid w:val="53EB2884"/>
    <w:rsid w:val="53F96DF7"/>
    <w:rsid w:val="53FB6FBC"/>
    <w:rsid w:val="54063F0A"/>
    <w:rsid w:val="5410342A"/>
    <w:rsid w:val="54105C3A"/>
    <w:rsid w:val="541A5496"/>
    <w:rsid w:val="54267F9B"/>
    <w:rsid w:val="54280325"/>
    <w:rsid w:val="54283CA0"/>
    <w:rsid w:val="542B13D2"/>
    <w:rsid w:val="54481EA7"/>
    <w:rsid w:val="544E24F1"/>
    <w:rsid w:val="54570C85"/>
    <w:rsid w:val="546017DD"/>
    <w:rsid w:val="54640E28"/>
    <w:rsid w:val="546926EB"/>
    <w:rsid w:val="546B11C0"/>
    <w:rsid w:val="546B57C3"/>
    <w:rsid w:val="54736414"/>
    <w:rsid w:val="54776072"/>
    <w:rsid w:val="54782184"/>
    <w:rsid w:val="54790B80"/>
    <w:rsid w:val="547A7DD1"/>
    <w:rsid w:val="547C05A5"/>
    <w:rsid w:val="547F71A4"/>
    <w:rsid w:val="54897CCB"/>
    <w:rsid w:val="54AA22F2"/>
    <w:rsid w:val="54B47E72"/>
    <w:rsid w:val="54BE47E5"/>
    <w:rsid w:val="54D37699"/>
    <w:rsid w:val="54DD7BCA"/>
    <w:rsid w:val="54E15978"/>
    <w:rsid w:val="54F16968"/>
    <w:rsid w:val="54FE7886"/>
    <w:rsid w:val="5509025D"/>
    <w:rsid w:val="55147E09"/>
    <w:rsid w:val="551556A5"/>
    <w:rsid w:val="55213A11"/>
    <w:rsid w:val="552170E4"/>
    <w:rsid w:val="552C5882"/>
    <w:rsid w:val="552D54C7"/>
    <w:rsid w:val="55373480"/>
    <w:rsid w:val="55401D6C"/>
    <w:rsid w:val="55410F72"/>
    <w:rsid w:val="55436361"/>
    <w:rsid w:val="554558D8"/>
    <w:rsid w:val="55470809"/>
    <w:rsid w:val="555962BC"/>
    <w:rsid w:val="555D2832"/>
    <w:rsid w:val="55640783"/>
    <w:rsid w:val="55690BF5"/>
    <w:rsid w:val="55754AD4"/>
    <w:rsid w:val="557708B5"/>
    <w:rsid w:val="557F517D"/>
    <w:rsid w:val="55831CDE"/>
    <w:rsid w:val="55837D21"/>
    <w:rsid w:val="558B778B"/>
    <w:rsid w:val="558C043F"/>
    <w:rsid w:val="558E065B"/>
    <w:rsid w:val="55907D19"/>
    <w:rsid w:val="55AC52D2"/>
    <w:rsid w:val="55C43625"/>
    <w:rsid w:val="55CA19BF"/>
    <w:rsid w:val="55DB77D0"/>
    <w:rsid w:val="55E36E62"/>
    <w:rsid w:val="55EA73C8"/>
    <w:rsid w:val="55ED318A"/>
    <w:rsid w:val="55FA625C"/>
    <w:rsid w:val="56003BBD"/>
    <w:rsid w:val="560721BC"/>
    <w:rsid w:val="56114DE8"/>
    <w:rsid w:val="561D378D"/>
    <w:rsid w:val="562335B2"/>
    <w:rsid w:val="56323543"/>
    <w:rsid w:val="56386702"/>
    <w:rsid w:val="563A60ED"/>
    <w:rsid w:val="563E54BC"/>
    <w:rsid w:val="564E3771"/>
    <w:rsid w:val="565B7F3A"/>
    <w:rsid w:val="567C79AE"/>
    <w:rsid w:val="569110D4"/>
    <w:rsid w:val="5692521A"/>
    <w:rsid w:val="569623B2"/>
    <w:rsid w:val="56A9296F"/>
    <w:rsid w:val="56B406B5"/>
    <w:rsid w:val="56B44C8E"/>
    <w:rsid w:val="56C57B44"/>
    <w:rsid w:val="56C874AB"/>
    <w:rsid w:val="56DE128F"/>
    <w:rsid w:val="56E07512"/>
    <w:rsid w:val="56E11BD7"/>
    <w:rsid w:val="56E74A4D"/>
    <w:rsid w:val="56EB20BC"/>
    <w:rsid w:val="56FD77F1"/>
    <w:rsid w:val="57083947"/>
    <w:rsid w:val="570A3D11"/>
    <w:rsid w:val="570E1A15"/>
    <w:rsid w:val="5714693E"/>
    <w:rsid w:val="571957A0"/>
    <w:rsid w:val="571A2684"/>
    <w:rsid w:val="571E12FD"/>
    <w:rsid w:val="571F24A8"/>
    <w:rsid w:val="5726047E"/>
    <w:rsid w:val="5726518C"/>
    <w:rsid w:val="572C2C5A"/>
    <w:rsid w:val="573742D1"/>
    <w:rsid w:val="573E3DB0"/>
    <w:rsid w:val="574B719F"/>
    <w:rsid w:val="574C3910"/>
    <w:rsid w:val="57545660"/>
    <w:rsid w:val="57547D67"/>
    <w:rsid w:val="57572140"/>
    <w:rsid w:val="57575742"/>
    <w:rsid w:val="576D42A0"/>
    <w:rsid w:val="577079B3"/>
    <w:rsid w:val="577473DD"/>
    <w:rsid w:val="577E64AD"/>
    <w:rsid w:val="578847D1"/>
    <w:rsid w:val="578A4E40"/>
    <w:rsid w:val="578A642E"/>
    <w:rsid w:val="578C1931"/>
    <w:rsid w:val="578D1B19"/>
    <w:rsid w:val="57A7215B"/>
    <w:rsid w:val="57B546D1"/>
    <w:rsid w:val="57B57132"/>
    <w:rsid w:val="57DA2C6C"/>
    <w:rsid w:val="57E04A72"/>
    <w:rsid w:val="57E16251"/>
    <w:rsid w:val="57E74053"/>
    <w:rsid w:val="57F64296"/>
    <w:rsid w:val="580352A2"/>
    <w:rsid w:val="580F12F2"/>
    <w:rsid w:val="5813309A"/>
    <w:rsid w:val="58246274"/>
    <w:rsid w:val="58257AFE"/>
    <w:rsid w:val="582E55FD"/>
    <w:rsid w:val="58367802"/>
    <w:rsid w:val="584202B0"/>
    <w:rsid w:val="58425BDC"/>
    <w:rsid w:val="58705DF6"/>
    <w:rsid w:val="587A5E61"/>
    <w:rsid w:val="58803394"/>
    <w:rsid w:val="588562C6"/>
    <w:rsid w:val="58945D2F"/>
    <w:rsid w:val="58AF10C6"/>
    <w:rsid w:val="58B719C2"/>
    <w:rsid w:val="58BA1767"/>
    <w:rsid w:val="58BE18D5"/>
    <w:rsid w:val="58C21F81"/>
    <w:rsid w:val="58D62954"/>
    <w:rsid w:val="58D6513A"/>
    <w:rsid w:val="58DA5965"/>
    <w:rsid w:val="58DC780C"/>
    <w:rsid w:val="58E6255C"/>
    <w:rsid w:val="58E80082"/>
    <w:rsid w:val="58EE2354"/>
    <w:rsid w:val="58F54541"/>
    <w:rsid w:val="590F045B"/>
    <w:rsid w:val="59205AC8"/>
    <w:rsid w:val="59286E89"/>
    <w:rsid w:val="5943350B"/>
    <w:rsid w:val="59437A7E"/>
    <w:rsid w:val="59495962"/>
    <w:rsid w:val="59522196"/>
    <w:rsid w:val="59654279"/>
    <w:rsid w:val="59667714"/>
    <w:rsid w:val="597102E2"/>
    <w:rsid w:val="59735088"/>
    <w:rsid w:val="597671C9"/>
    <w:rsid w:val="59857F76"/>
    <w:rsid w:val="59912246"/>
    <w:rsid w:val="59964337"/>
    <w:rsid w:val="59975605"/>
    <w:rsid w:val="59A92BA5"/>
    <w:rsid w:val="59AA2204"/>
    <w:rsid w:val="59B2664C"/>
    <w:rsid w:val="59B368E2"/>
    <w:rsid w:val="59C3605A"/>
    <w:rsid w:val="59CF51B4"/>
    <w:rsid w:val="59D16D68"/>
    <w:rsid w:val="59D87034"/>
    <w:rsid w:val="59E3414D"/>
    <w:rsid w:val="59E5018B"/>
    <w:rsid w:val="59E7033A"/>
    <w:rsid w:val="59EC260F"/>
    <w:rsid w:val="59F559AA"/>
    <w:rsid w:val="59FC09E6"/>
    <w:rsid w:val="59FD7B5D"/>
    <w:rsid w:val="5A006E37"/>
    <w:rsid w:val="5A036106"/>
    <w:rsid w:val="5A102F25"/>
    <w:rsid w:val="5A126E9C"/>
    <w:rsid w:val="5A247BF0"/>
    <w:rsid w:val="5A2A6479"/>
    <w:rsid w:val="5A315C9E"/>
    <w:rsid w:val="5A345231"/>
    <w:rsid w:val="5A387FDC"/>
    <w:rsid w:val="5A3D0E9A"/>
    <w:rsid w:val="5A4718D7"/>
    <w:rsid w:val="5A4B3095"/>
    <w:rsid w:val="5A4B4B6E"/>
    <w:rsid w:val="5A507929"/>
    <w:rsid w:val="5A5569F8"/>
    <w:rsid w:val="5A5630AA"/>
    <w:rsid w:val="5A5F7DD4"/>
    <w:rsid w:val="5A622EA5"/>
    <w:rsid w:val="5A625C12"/>
    <w:rsid w:val="5A6731F3"/>
    <w:rsid w:val="5A6C3F68"/>
    <w:rsid w:val="5A6E50A7"/>
    <w:rsid w:val="5A7140A7"/>
    <w:rsid w:val="5A7B23E5"/>
    <w:rsid w:val="5A7D47FA"/>
    <w:rsid w:val="5A842485"/>
    <w:rsid w:val="5A9471A9"/>
    <w:rsid w:val="5A991344"/>
    <w:rsid w:val="5AA12BDF"/>
    <w:rsid w:val="5AA62C84"/>
    <w:rsid w:val="5AAB441A"/>
    <w:rsid w:val="5AAC7A25"/>
    <w:rsid w:val="5AB0260B"/>
    <w:rsid w:val="5ABC0840"/>
    <w:rsid w:val="5ABE6B04"/>
    <w:rsid w:val="5ABF32C5"/>
    <w:rsid w:val="5AC75083"/>
    <w:rsid w:val="5ACA00C3"/>
    <w:rsid w:val="5ACA3CD2"/>
    <w:rsid w:val="5ACC2018"/>
    <w:rsid w:val="5AD5331A"/>
    <w:rsid w:val="5ADF1AF6"/>
    <w:rsid w:val="5AEB3E5A"/>
    <w:rsid w:val="5AEE3DBE"/>
    <w:rsid w:val="5AF364EF"/>
    <w:rsid w:val="5AF83030"/>
    <w:rsid w:val="5AF947C9"/>
    <w:rsid w:val="5B000A77"/>
    <w:rsid w:val="5B0B2327"/>
    <w:rsid w:val="5B0F6FF4"/>
    <w:rsid w:val="5B127721"/>
    <w:rsid w:val="5B280C0A"/>
    <w:rsid w:val="5B343F5B"/>
    <w:rsid w:val="5B3F7D02"/>
    <w:rsid w:val="5B4448D7"/>
    <w:rsid w:val="5B481A42"/>
    <w:rsid w:val="5B4A6146"/>
    <w:rsid w:val="5B5D6299"/>
    <w:rsid w:val="5B6D3C4A"/>
    <w:rsid w:val="5B6F4E81"/>
    <w:rsid w:val="5B707055"/>
    <w:rsid w:val="5B715A14"/>
    <w:rsid w:val="5B7F2E79"/>
    <w:rsid w:val="5B8945B3"/>
    <w:rsid w:val="5B9C20DB"/>
    <w:rsid w:val="5BA203C9"/>
    <w:rsid w:val="5BAE1A77"/>
    <w:rsid w:val="5BB51F3A"/>
    <w:rsid w:val="5BB56A32"/>
    <w:rsid w:val="5BB97AB4"/>
    <w:rsid w:val="5BBA7D7B"/>
    <w:rsid w:val="5BBE5686"/>
    <w:rsid w:val="5BC320A0"/>
    <w:rsid w:val="5BCF55C8"/>
    <w:rsid w:val="5BD347B4"/>
    <w:rsid w:val="5BD42235"/>
    <w:rsid w:val="5BD743DE"/>
    <w:rsid w:val="5BDD2B45"/>
    <w:rsid w:val="5BE33F13"/>
    <w:rsid w:val="5BE701AC"/>
    <w:rsid w:val="5BFA51BE"/>
    <w:rsid w:val="5C0763A8"/>
    <w:rsid w:val="5C11169E"/>
    <w:rsid w:val="5C16314D"/>
    <w:rsid w:val="5C2046D3"/>
    <w:rsid w:val="5C253334"/>
    <w:rsid w:val="5C3257E8"/>
    <w:rsid w:val="5C37188C"/>
    <w:rsid w:val="5C3B728F"/>
    <w:rsid w:val="5C493E38"/>
    <w:rsid w:val="5C493F3B"/>
    <w:rsid w:val="5C497C75"/>
    <w:rsid w:val="5C544CCC"/>
    <w:rsid w:val="5C5932CD"/>
    <w:rsid w:val="5C621EFA"/>
    <w:rsid w:val="5C65786C"/>
    <w:rsid w:val="5C6960F4"/>
    <w:rsid w:val="5C6E0D96"/>
    <w:rsid w:val="5C83608E"/>
    <w:rsid w:val="5C8748AB"/>
    <w:rsid w:val="5C8962D5"/>
    <w:rsid w:val="5C9347A9"/>
    <w:rsid w:val="5CA1109C"/>
    <w:rsid w:val="5CB85FBE"/>
    <w:rsid w:val="5CC958F3"/>
    <w:rsid w:val="5CD22130"/>
    <w:rsid w:val="5CD728E8"/>
    <w:rsid w:val="5CD765E0"/>
    <w:rsid w:val="5CEE4CF7"/>
    <w:rsid w:val="5D07567C"/>
    <w:rsid w:val="5D0B6EBE"/>
    <w:rsid w:val="5D0E5BDE"/>
    <w:rsid w:val="5D110297"/>
    <w:rsid w:val="5D181686"/>
    <w:rsid w:val="5D2744F5"/>
    <w:rsid w:val="5D28720A"/>
    <w:rsid w:val="5D375134"/>
    <w:rsid w:val="5D385380"/>
    <w:rsid w:val="5D46248A"/>
    <w:rsid w:val="5D4B0DC9"/>
    <w:rsid w:val="5D5A6507"/>
    <w:rsid w:val="5D5E03A6"/>
    <w:rsid w:val="5D600B2F"/>
    <w:rsid w:val="5D6D5F69"/>
    <w:rsid w:val="5D6F7A58"/>
    <w:rsid w:val="5D715229"/>
    <w:rsid w:val="5D757B58"/>
    <w:rsid w:val="5D763186"/>
    <w:rsid w:val="5D7A3B24"/>
    <w:rsid w:val="5D9565BD"/>
    <w:rsid w:val="5D9B1B67"/>
    <w:rsid w:val="5D9C7C30"/>
    <w:rsid w:val="5DA6650B"/>
    <w:rsid w:val="5DA80EB7"/>
    <w:rsid w:val="5DAE6829"/>
    <w:rsid w:val="5DCD20F8"/>
    <w:rsid w:val="5DD067F8"/>
    <w:rsid w:val="5DD2457E"/>
    <w:rsid w:val="5DD66F7C"/>
    <w:rsid w:val="5DE02446"/>
    <w:rsid w:val="5DE60909"/>
    <w:rsid w:val="5DE74B3B"/>
    <w:rsid w:val="5DE7666D"/>
    <w:rsid w:val="5DF41277"/>
    <w:rsid w:val="5DF623CB"/>
    <w:rsid w:val="5E0541F9"/>
    <w:rsid w:val="5E066DBB"/>
    <w:rsid w:val="5E0A5621"/>
    <w:rsid w:val="5E0C6505"/>
    <w:rsid w:val="5E116334"/>
    <w:rsid w:val="5E12784F"/>
    <w:rsid w:val="5E1A60C9"/>
    <w:rsid w:val="5E1A77BA"/>
    <w:rsid w:val="5E26061F"/>
    <w:rsid w:val="5E2908F1"/>
    <w:rsid w:val="5E353506"/>
    <w:rsid w:val="5E4341B8"/>
    <w:rsid w:val="5E437B09"/>
    <w:rsid w:val="5E5166CA"/>
    <w:rsid w:val="5E564103"/>
    <w:rsid w:val="5E594F4B"/>
    <w:rsid w:val="5E5C43AA"/>
    <w:rsid w:val="5E713683"/>
    <w:rsid w:val="5E724251"/>
    <w:rsid w:val="5E753992"/>
    <w:rsid w:val="5E99076A"/>
    <w:rsid w:val="5EA04F5B"/>
    <w:rsid w:val="5EA2573D"/>
    <w:rsid w:val="5EA902B4"/>
    <w:rsid w:val="5EA90C1A"/>
    <w:rsid w:val="5EB45C2F"/>
    <w:rsid w:val="5EB4651E"/>
    <w:rsid w:val="5EB53E45"/>
    <w:rsid w:val="5ED46B86"/>
    <w:rsid w:val="5ED50624"/>
    <w:rsid w:val="5ED8702A"/>
    <w:rsid w:val="5EDA6935"/>
    <w:rsid w:val="5EDB591B"/>
    <w:rsid w:val="5EEA22A8"/>
    <w:rsid w:val="5EEC01A1"/>
    <w:rsid w:val="5EF53C60"/>
    <w:rsid w:val="5EFD415C"/>
    <w:rsid w:val="5F096FA4"/>
    <w:rsid w:val="5F0C25F5"/>
    <w:rsid w:val="5F101FF2"/>
    <w:rsid w:val="5F164911"/>
    <w:rsid w:val="5F197C2E"/>
    <w:rsid w:val="5F1B4A14"/>
    <w:rsid w:val="5F1D035A"/>
    <w:rsid w:val="5F292BA5"/>
    <w:rsid w:val="5F2E6A0B"/>
    <w:rsid w:val="5F3560BF"/>
    <w:rsid w:val="5F4C702A"/>
    <w:rsid w:val="5F4F3B85"/>
    <w:rsid w:val="5F550FC4"/>
    <w:rsid w:val="5F59286C"/>
    <w:rsid w:val="5F6441DB"/>
    <w:rsid w:val="5F7C4758"/>
    <w:rsid w:val="5F812FDF"/>
    <w:rsid w:val="5F88669F"/>
    <w:rsid w:val="5F8C70DF"/>
    <w:rsid w:val="5F9C2F5B"/>
    <w:rsid w:val="5FA64732"/>
    <w:rsid w:val="5FAD16DE"/>
    <w:rsid w:val="5FB66D94"/>
    <w:rsid w:val="5FBC7B73"/>
    <w:rsid w:val="5FD375A7"/>
    <w:rsid w:val="5FD50E80"/>
    <w:rsid w:val="5FD56E87"/>
    <w:rsid w:val="5FD62147"/>
    <w:rsid w:val="5FD7297A"/>
    <w:rsid w:val="5FDC6467"/>
    <w:rsid w:val="5FE62CB5"/>
    <w:rsid w:val="5FEE2779"/>
    <w:rsid w:val="5FFE1643"/>
    <w:rsid w:val="5FFF1799"/>
    <w:rsid w:val="6009165A"/>
    <w:rsid w:val="600F2399"/>
    <w:rsid w:val="6017749F"/>
    <w:rsid w:val="601A5418"/>
    <w:rsid w:val="60320BFF"/>
    <w:rsid w:val="603B476D"/>
    <w:rsid w:val="603D5747"/>
    <w:rsid w:val="60402552"/>
    <w:rsid w:val="60405F2E"/>
    <w:rsid w:val="60467201"/>
    <w:rsid w:val="605D64DC"/>
    <w:rsid w:val="60685FC3"/>
    <w:rsid w:val="60697ABA"/>
    <w:rsid w:val="6073700F"/>
    <w:rsid w:val="607F5921"/>
    <w:rsid w:val="60856500"/>
    <w:rsid w:val="60885D14"/>
    <w:rsid w:val="60944B12"/>
    <w:rsid w:val="609A4358"/>
    <w:rsid w:val="609A7E52"/>
    <w:rsid w:val="60A43678"/>
    <w:rsid w:val="60A63E3A"/>
    <w:rsid w:val="60B01D62"/>
    <w:rsid w:val="60B11F84"/>
    <w:rsid w:val="60C159A9"/>
    <w:rsid w:val="60DE4554"/>
    <w:rsid w:val="60E530F9"/>
    <w:rsid w:val="60E762FA"/>
    <w:rsid w:val="60EC092C"/>
    <w:rsid w:val="60F15F42"/>
    <w:rsid w:val="60F45600"/>
    <w:rsid w:val="60F65D62"/>
    <w:rsid w:val="60FD4427"/>
    <w:rsid w:val="610272C3"/>
    <w:rsid w:val="6105554A"/>
    <w:rsid w:val="61072A71"/>
    <w:rsid w:val="61091B57"/>
    <w:rsid w:val="610C4B2A"/>
    <w:rsid w:val="6115578D"/>
    <w:rsid w:val="6116337F"/>
    <w:rsid w:val="61190D9E"/>
    <w:rsid w:val="611A2028"/>
    <w:rsid w:val="611B369C"/>
    <w:rsid w:val="611D42D9"/>
    <w:rsid w:val="612E52C4"/>
    <w:rsid w:val="61327577"/>
    <w:rsid w:val="613314BE"/>
    <w:rsid w:val="613876CD"/>
    <w:rsid w:val="613A1697"/>
    <w:rsid w:val="61411560"/>
    <w:rsid w:val="6145077E"/>
    <w:rsid w:val="614634F8"/>
    <w:rsid w:val="614A6BE5"/>
    <w:rsid w:val="614D3B7C"/>
    <w:rsid w:val="614E48B2"/>
    <w:rsid w:val="615E35D8"/>
    <w:rsid w:val="615F409E"/>
    <w:rsid w:val="61637F86"/>
    <w:rsid w:val="61763B7A"/>
    <w:rsid w:val="61855A0A"/>
    <w:rsid w:val="61873C65"/>
    <w:rsid w:val="6189763D"/>
    <w:rsid w:val="618E2B36"/>
    <w:rsid w:val="619223E8"/>
    <w:rsid w:val="61966FA4"/>
    <w:rsid w:val="619F2D18"/>
    <w:rsid w:val="61A0371C"/>
    <w:rsid w:val="61A90DC9"/>
    <w:rsid w:val="61B52ACC"/>
    <w:rsid w:val="61BA6E71"/>
    <w:rsid w:val="61C04B53"/>
    <w:rsid w:val="61D309F7"/>
    <w:rsid w:val="61DC2E3F"/>
    <w:rsid w:val="61E63DED"/>
    <w:rsid w:val="61ED6709"/>
    <w:rsid w:val="61F51281"/>
    <w:rsid w:val="61FF6328"/>
    <w:rsid w:val="620C168A"/>
    <w:rsid w:val="620D0B5A"/>
    <w:rsid w:val="620D46B6"/>
    <w:rsid w:val="620D6DAC"/>
    <w:rsid w:val="620E0F41"/>
    <w:rsid w:val="620E6E99"/>
    <w:rsid w:val="6213637E"/>
    <w:rsid w:val="62146209"/>
    <w:rsid w:val="62242C2F"/>
    <w:rsid w:val="622660C0"/>
    <w:rsid w:val="62283C0A"/>
    <w:rsid w:val="622B7232"/>
    <w:rsid w:val="62307DF4"/>
    <w:rsid w:val="62315408"/>
    <w:rsid w:val="623E287D"/>
    <w:rsid w:val="623F1E5F"/>
    <w:rsid w:val="624B720F"/>
    <w:rsid w:val="6253469E"/>
    <w:rsid w:val="625E6E56"/>
    <w:rsid w:val="62616200"/>
    <w:rsid w:val="6263726A"/>
    <w:rsid w:val="626562A0"/>
    <w:rsid w:val="627B71A0"/>
    <w:rsid w:val="627C29D4"/>
    <w:rsid w:val="62873F23"/>
    <w:rsid w:val="62925968"/>
    <w:rsid w:val="62A041A2"/>
    <w:rsid w:val="62AE2135"/>
    <w:rsid w:val="62B751F1"/>
    <w:rsid w:val="62BB1799"/>
    <w:rsid w:val="62C8521C"/>
    <w:rsid w:val="62E301DC"/>
    <w:rsid w:val="62F23F48"/>
    <w:rsid w:val="62F260C5"/>
    <w:rsid w:val="62F5671D"/>
    <w:rsid w:val="630B0A45"/>
    <w:rsid w:val="63130619"/>
    <w:rsid w:val="631B334B"/>
    <w:rsid w:val="632A0594"/>
    <w:rsid w:val="632C5010"/>
    <w:rsid w:val="63403778"/>
    <w:rsid w:val="63483071"/>
    <w:rsid w:val="63512424"/>
    <w:rsid w:val="63523E48"/>
    <w:rsid w:val="635C0FBF"/>
    <w:rsid w:val="637D43B1"/>
    <w:rsid w:val="637F009C"/>
    <w:rsid w:val="63800859"/>
    <w:rsid w:val="6384495F"/>
    <w:rsid w:val="63856290"/>
    <w:rsid w:val="63936B74"/>
    <w:rsid w:val="63963EB7"/>
    <w:rsid w:val="63A2113B"/>
    <w:rsid w:val="63B12F1C"/>
    <w:rsid w:val="63B74B0A"/>
    <w:rsid w:val="63C464CF"/>
    <w:rsid w:val="63D062E3"/>
    <w:rsid w:val="63DC4A1F"/>
    <w:rsid w:val="63E0357F"/>
    <w:rsid w:val="63E37DC4"/>
    <w:rsid w:val="63E468FA"/>
    <w:rsid w:val="63E91B17"/>
    <w:rsid w:val="63EA73A4"/>
    <w:rsid w:val="63EF08D9"/>
    <w:rsid w:val="64046C4A"/>
    <w:rsid w:val="640F0BB9"/>
    <w:rsid w:val="64142F5C"/>
    <w:rsid w:val="641A5304"/>
    <w:rsid w:val="641E68E9"/>
    <w:rsid w:val="642F3009"/>
    <w:rsid w:val="643D5487"/>
    <w:rsid w:val="643F45C1"/>
    <w:rsid w:val="64423289"/>
    <w:rsid w:val="645370CC"/>
    <w:rsid w:val="64587C66"/>
    <w:rsid w:val="645B1696"/>
    <w:rsid w:val="645B6C24"/>
    <w:rsid w:val="645F60EA"/>
    <w:rsid w:val="64664551"/>
    <w:rsid w:val="647319F7"/>
    <w:rsid w:val="64744EC0"/>
    <w:rsid w:val="647C5B23"/>
    <w:rsid w:val="647C727B"/>
    <w:rsid w:val="648A12CC"/>
    <w:rsid w:val="64901066"/>
    <w:rsid w:val="6498437F"/>
    <w:rsid w:val="649F268C"/>
    <w:rsid w:val="64A07201"/>
    <w:rsid w:val="64B1636B"/>
    <w:rsid w:val="64B46021"/>
    <w:rsid w:val="64C45F11"/>
    <w:rsid w:val="64C5571C"/>
    <w:rsid w:val="64CC0858"/>
    <w:rsid w:val="64DA59C4"/>
    <w:rsid w:val="64F368E7"/>
    <w:rsid w:val="64F60060"/>
    <w:rsid w:val="64FD6C64"/>
    <w:rsid w:val="6501056A"/>
    <w:rsid w:val="65014674"/>
    <w:rsid w:val="650E12AA"/>
    <w:rsid w:val="651C4934"/>
    <w:rsid w:val="651E07E7"/>
    <w:rsid w:val="65203B1E"/>
    <w:rsid w:val="65293EFC"/>
    <w:rsid w:val="65295CAB"/>
    <w:rsid w:val="65300CE9"/>
    <w:rsid w:val="65367019"/>
    <w:rsid w:val="65384140"/>
    <w:rsid w:val="653C70DC"/>
    <w:rsid w:val="653D3504"/>
    <w:rsid w:val="65442AE4"/>
    <w:rsid w:val="654B2B4E"/>
    <w:rsid w:val="656052AE"/>
    <w:rsid w:val="656055FA"/>
    <w:rsid w:val="6563526B"/>
    <w:rsid w:val="65746E36"/>
    <w:rsid w:val="6589591A"/>
    <w:rsid w:val="658C7FE7"/>
    <w:rsid w:val="659A6D3E"/>
    <w:rsid w:val="65B632DF"/>
    <w:rsid w:val="65C17402"/>
    <w:rsid w:val="65D920A6"/>
    <w:rsid w:val="65E41BD1"/>
    <w:rsid w:val="65E9368C"/>
    <w:rsid w:val="66065FEC"/>
    <w:rsid w:val="660E22DA"/>
    <w:rsid w:val="6612242E"/>
    <w:rsid w:val="66124991"/>
    <w:rsid w:val="6619093D"/>
    <w:rsid w:val="661C75BD"/>
    <w:rsid w:val="661F6E0C"/>
    <w:rsid w:val="66252916"/>
    <w:rsid w:val="66267CE6"/>
    <w:rsid w:val="66283DE4"/>
    <w:rsid w:val="662E109F"/>
    <w:rsid w:val="663667DB"/>
    <w:rsid w:val="663A7A43"/>
    <w:rsid w:val="66401E44"/>
    <w:rsid w:val="664107D0"/>
    <w:rsid w:val="66410DD2"/>
    <w:rsid w:val="66453736"/>
    <w:rsid w:val="664A0786"/>
    <w:rsid w:val="664E0A47"/>
    <w:rsid w:val="66685DBD"/>
    <w:rsid w:val="66730E37"/>
    <w:rsid w:val="66732031"/>
    <w:rsid w:val="667A6BE2"/>
    <w:rsid w:val="667B19B6"/>
    <w:rsid w:val="667C162B"/>
    <w:rsid w:val="6692787F"/>
    <w:rsid w:val="66990B2F"/>
    <w:rsid w:val="66A47292"/>
    <w:rsid w:val="66A47AA4"/>
    <w:rsid w:val="66AC7D60"/>
    <w:rsid w:val="66B229A3"/>
    <w:rsid w:val="66CC7AB7"/>
    <w:rsid w:val="66D47DEA"/>
    <w:rsid w:val="66DB5B21"/>
    <w:rsid w:val="66DC55BD"/>
    <w:rsid w:val="66E153A7"/>
    <w:rsid w:val="66EC34BE"/>
    <w:rsid w:val="66FC49D5"/>
    <w:rsid w:val="67000B16"/>
    <w:rsid w:val="670853FD"/>
    <w:rsid w:val="670A1B0C"/>
    <w:rsid w:val="670C2CA6"/>
    <w:rsid w:val="670C7632"/>
    <w:rsid w:val="670E46A1"/>
    <w:rsid w:val="6712451C"/>
    <w:rsid w:val="67144738"/>
    <w:rsid w:val="67247E05"/>
    <w:rsid w:val="6725508D"/>
    <w:rsid w:val="67267A3D"/>
    <w:rsid w:val="673033F0"/>
    <w:rsid w:val="673B76B2"/>
    <w:rsid w:val="67456D79"/>
    <w:rsid w:val="675B2367"/>
    <w:rsid w:val="675C40F8"/>
    <w:rsid w:val="67602EBD"/>
    <w:rsid w:val="67654990"/>
    <w:rsid w:val="67666032"/>
    <w:rsid w:val="676C7B91"/>
    <w:rsid w:val="67706CC4"/>
    <w:rsid w:val="67724F46"/>
    <w:rsid w:val="67742D74"/>
    <w:rsid w:val="67746F85"/>
    <w:rsid w:val="677867A1"/>
    <w:rsid w:val="677A5055"/>
    <w:rsid w:val="677B6AFA"/>
    <w:rsid w:val="677F761F"/>
    <w:rsid w:val="678655E4"/>
    <w:rsid w:val="67987A5D"/>
    <w:rsid w:val="679C323F"/>
    <w:rsid w:val="67A91325"/>
    <w:rsid w:val="67AD3412"/>
    <w:rsid w:val="67B101D9"/>
    <w:rsid w:val="67B13D35"/>
    <w:rsid w:val="67B233D1"/>
    <w:rsid w:val="67B56E3D"/>
    <w:rsid w:val="67BC5ABE"/>
    <w:rsid w:val="67C83C24"/>
    <w:rsid w:val="67D16185"/>
    <w:rsid w:val="67EB09EF"/>
    <w:rsid w:val="67EE1C9E"/>
    <w:rsid w:val="681349F0"/>
    <w:rsid w:val="68186D01"/>
    <w:rsid w:val="682D7860"/>
    <w:rsid w:val="68330C05"/>
    <w:rsid w:val="68341D56"/>
    <w:rsid w:val="683C64A0"/>
    <w:rsid w:val="683E1A6D"/>
    <w:rsid w:val="683F2814"/>
    <w:rsid w:val="68402ED8"/>
    <w:rsid w:val="6841155D"/>
    <w:rsid w:val="68437083"/>
    <w:rsid w:val="68441402"/>
    <w:rsid w:val="684A3CC7"/>
    <w:rsid w:val="684D4100"/>
    <w:rsid w:val="684F6DEE"/>
    <w:rsid w:val="68511835"/>
    <w:rsid w:val="6852527E"/>
    <w:rsid w:val="68564367"/>
    <w:rsid w:val="68611281"/>
    <w:rsid w:val="68655213"/>
    <w:rsid w:val="686B3DE4"/>
    <w:rsid w:val="686D58E2"/>
    <w:rsid w:val="68701EE1"/>
    <w:rsid w:val="68765D25"/>
    <w:rsid w:val="68776D2D"/>
    <w:rsid w:val="687B0C11"/>
    <w:rsid w:val="687E024B"/>
    <w:rsid w:val="688A7410"/>
    <w:rsid w:val="689773CF"/>
    <w:rsid w:val="689B7277"/>
    <w:rsid w:val="689E0027"/>
    <w:rsid w:val="68A45648"/>
    <w:rsid w:val="68A726C5"/>
    <w:rsid w:val="68B95F70"/>
    <w:rsid w:val="68BD4DDB"/>
    <w:rsid w:val="68BE5982"/>
    <w:rsid w:val="68C60EB9"/>
    <w:rsid w:val="68F30B9F"/>
    <w:rsid w:val="68F91E38"/>
    <w:rsid w:val="68FA020E"/>
    <w:rsid w:val="68FC41FB"/>
    <w:rsid w:val="690B15F3"/>
    <w:rsid w:val="690B5432"/>
    <w:rsid w:val="69107F2E"/>
    <w:rsid w:val="691E189E"/>
    <w:rsid w:val="691E364C"/>
    <w:rsid w:val="691E5A0E"/>
    <w:rsid w:val="6923630A"/>
    <w:rsid w:val="69270753"/>
    <w:rsid w:val="692B0742"/>
    <w:rsid w:val="692E7F1E"/>
    <w:rsid w:val="693B0EE3"/>
    <w:rsid w:val="694403E6"/>
    <w:rsid w:val="69503BFF"/>
    <w:rsid w:val="696A6892"/>
    <w:rsid w:val="6974674E"/>
    <w:rsid w:val="697B05FC"/>
    <w:rsid w:val="698F274B"/>
    <w:rsid w:val="698F343B"/>
    <w:rsid w:val="69940630"/>
    <w:rsid w:val="699636A9"/>
    <w:rsid w:val="6999679A"/>
    <w:rsid w:val="699B4C98"/>
    <w:rsid w:val="699C3288"/>
    <w:rsid w:val="699D27C3"/>
    <w:rsid w:val="699F653B"/>
    <w:rsid w:val="69A973BA"/>
    <w:rsid w:val="69AA3132"/>
    <w:rsid w:val="69AC6C0B"/>
    <w:rsid w:val="69AD4F48"/>
    <w:rsid w:val="69B31084"/>
    <w:rsid w:val="69BE3DA2"/>
    <w:rsid w:val="69C97994"/>
    <w:rsid w:val="69CB37D4"/>
    <w:rsid w:val="69CB40F3"/>
    <w:rsid w:val="69D8731E"/>
    <w:rsid w:val="69E06B54"/>
    <w:rsid w:val="69E8121E"/>
    <w:rsid w:val="69EB0556"/>
    <w:rsid w:val="69EE14E7"/>
    <w:rsid w:val="69F52E16"/>
    <w:rsid w:val="69F61BFF"/>
    <w:rsid w:val="6A015CF8"/>
    <w:rsid w:val="6A0749F0"/>
    <w:rsid w:val="6A0A4516"/>
    <w:rsid w:val="6A0C37A4"/>
    <w:rsid w:val="6A266C5C"/>
    <w:rsid w:val="6A3539AF"/>
    <w:rsid w:val="6A3D00DC"/>
    <w:rsid w:val="6A491970"/>
    <w:rsid w:val="6A4E7F61"/>
    <w:rsid w:val="6A4F12FC"/>
    <w:rsid w:val="6A524ACF"/>
    <w:rsid w:val="6A56249F"/>
    <w:rsid w:val="6A5B21EB"/>
    <w:rsid w:val="6A5C2B8F"/>
    <w:rsid w:val="6A5F4F5C"/>
    <w:rsid w:val="6A6629B3"/>
    <w:rsid w:val="6A707ED8"/>
    <w:rsid w:val="6A764DED"/>
    <w:rsid w:val="6A786D8C"/>
    <w:rsid w:val="6A7A0D56"/>
    <w:rsid w:val="6A7D43A3"/>
    <w:rsid w:val="6A893C1F"/>
    <w:rsid w:val="6A8E035E"/>
    <w:rsid w:val="6A927E4E"/>
    <w:rsid w:val="6A9A0475"/>
    <w:rsid w:val="6AA858C3"/>
    <w:rsid w:val="6ABB674F"/>
    <w:rsid w:val="6ABC311D"/>
    <w:rsid w:val="6AC6424D"/>
    <w:rsid w:val="6ACC065F"/>
    <w:rsid w:val="6AD11C05"/>
    <w:rsid w:val="6AD43995"/>
    <w:rsid w:val="6AD9782B"/>
    <w:rsid w:val="6ADF0BB9"/>
    <w:rsid w:val="6ADF6E0B"/>
    <w:rsid w:val="6AE24359"/>
    <w:rsid w:val="6AEA5C76"/>
    <w:rsid w:val="6AF32019"/>
    <w:rsid w:val="6AFF300A"/>
    <w:rsid w:val="6B1E7934"/>
    <w:rsid w:val="6B252ABC"/>
    <w:rsid w:val="6B2807B2"/>
    <w:rsid w:val="6B291D9C"/>
    <w:rsid w:val="6B2A452A"/>
    <w:rsid w:val="6B3E315F"/>
    <w:rsid w:val="6B3F5C67"/>
    <w:rsid w:val="6B405AFC"/>
    <w:rsid w:val="6B4E4359"/>
    <w:rsid w:val="6B5C2DEB"/>
    <w:rsid w:val="6B6E734F"/>
    <w:rsid w:val="6B8005EE"/>
    <w:rsid w:val="6B825B10"/>
    <w:rsid w:val="6B8911B2"/>
    <w:rsid w:val="6B9C07C6"/>
    <w:rsid w:val="6B9F5E3D"/>
    <w:rsid w:val="6BAA11C7"/>
    <w:rsid w:val="6BAD7F81"/>
    <w:rsid w:val="6BB256BF"/>
    <w:rsid w:val="6BB87077"/>
    <w:rsid w:val="6BBC61A8"/>
    <w:rsid w:val="6BBD0EFB"/>
    <w:rsid w:val="6BC05193"/>
    <w:rsid w:val="6BC31BD8"/>
    <w:rsid w:val="6BCB6558"/>
    <w:rsid w:val="6BCE135A"/>
    <w:rsid w:val="6BD3071E"/>
    <w:rsid w:val="6BD56202"/>
    <w:rsid w:val="6BD61E2E"/>
    <w:rsid w:val="6BE1736E"/>
    <w:rsid w:val="6BE22B55"/>
    <w:rsid w:val="6BE741CA"/>
    <w:rsid w:val="6BEA35B8"/>
    <w:rsid w:val="6BEC40EA"/>
    <w:rsid w:val="6BEF449F"/>
    <w:rsid w:val="6BF74B2E"/>
    <w:rsid w:val="6BFB4ADF"/>
    <w:rsid w:val="6BFE110F"/>
    <w:rsid w:val="6C0928E6"/>
    <w:rsid w:val="6C0B74AF"/>
    <w:rsid w:val="6C1F19CC"/>
    <w:rsid w:val="6C272092"/>
    <w:rsid w:val="6C292B0F"/>
    <w:rsid w:val="6C2B07E3"/>
    <w:rsid w:val="6C364ACB"/>
    <w:rsid w:val="6C3A221C"/>
    <w:rsid w:val="6C3A689C"/>
    <w:rsid w:val="6C3B61EB"/>
    <w:rsid w:val="6C4038DA"/>
    <w:rsid w:val="6C423BC4"/>
    <w:rsid w:val="6C47622F"/>
    <w:rsid w:val="6C484622"/>
    <w:rsid w:val="6C4C227F"/>
    <w:rsid w:val="6C4F7418"/>
    <w:rsid w:val="6C5812EB"/>
    <w:rsid w:val="6C6241DE"/>
    <w:rsid w:val="6C75116C"/>
    <w:rsid w:val="6C78322B"/>
    <w:rsid w:val="6C814A76"/>
    <w:rsid w:val="6C82133A"/>
    <w:rsid w:val="6C8F7D1B"/>
    <w:rsid w:val="6C944351"/>
    <w:rsid w:val="6C964F6D"/>
    <w:rsid w:val="6CA3065E"/>
    <w:rsid w:val="6CAA0195"/>
    <w:rsid w:val="6CAD168C"/>
    <w:rsid w:val="6CAD2E04"/>
    <w:rsid w:val="6CB672C7"/>
    <w:rsid w:val="6CBD35F3"/>
    <w:rsid w:val="6CCE5E2D"/>
    <w:rsid w:val="6CE42E53"/>
    <w:rsid w:val="6CF46378"/>
    <w:rsid w:val="6D1A237D"/>
    <w:rsid w:val="6D1A3C97"/>
    <w:rsid w:val="6D2D7364"/>
    <w:rsid w:val="6D302924"/>
    <w:rsid w:val="6D314925"/>
    <w:rsid w:val="6D341F2A"/>
    <w:rsid w:val="6D3451EC"/>
    <w:rsid w:val="6D3540FE"/>
    <w:rsid w:val="6D400349"/>
    <w:rsid w:val="6D447ADB"/>
    <w:rsid w:val="6D474FD5"/>
    <w:rsid w:val="6D4E79BF"/>
    <w:rsid w:val="6D557757"/>
    <w:rsid w:val="6D577CE7"/>
    <w:rsid w:val="6D5C4743"/>
    <w:rsid w:val="6D5C77E8"/>
    <w:rsid w:val="6D662F10"/>
    <w:rsid w:val="6D6D1AF4"/>
    <w:rsid w:val="6D727209"/>
    <w:rsid w:val="6D756624"/>
    <w:rsid w:val="6D7952F5"/>
    <w:rsid w:val="6D806684"/>
    <w:rsid w:val="6D83780A"/>
    <w:rsid w:val="6D956C3F"/>
    <w:rsid w:val="6D973778"/>
    <w:rsid w:val="6DAA1F76"/>
    <w:rsid w:val="6DAE6835"/>
    <w:rsid w:val="6DB14882"/>
    <w:rsid w:val="6DC213BC"/>
    <w:rsid w:val="6DC347C2"/>
    <w:rsid w:val="6DD344A4"/>
    <w:rsid w:val="6DE201E3"/>
    <w:rsid w:val="6DEB667E"/>
    <w:rsid w:val="6DF2413B"/>
    <w:rsid w:val="6E0124F3"/>
    <w:rsid w:val="6E077F01"/>
    <w:rsid w:val="6E0B736C"/>
    <w:rsid w:val="6E112878"/>
    <w:rsid w:val="6E1839E5"/>
    <w:rsid w:val="6E184B0E"/>
    <w:rsid w:val="6E20323A"/>
    <w:rsid w:val="6E214F78"/>
    <w:rsid w:val="6E283E5B"/>
    <w:rsid w:val="6E453429"/>
    <w:rsid w:val="6E477BCE"/>
    <w:rsid w:val="6E4C47B8"/>
    <w:rsid w:val="6E4E2A84"/>
    <w:rsid w:val="6E500DC6"/>
    <w:rsid w:val="6E534423"/>
    <w:rsid w:val="6E5B69FB"/>
    <w:rsid w:val="6E9357A1"/>
    <w:rsid w:val="6E985C4F"/>
    <w:rsid w:val="6EA64798"/>
    <w:rsid w:val="6EAE0FCF"/>
    <w:rsid w:val="6EAF0CA6"/>
    <w:rsid w:val="6EB140F1"/>
    <w:rsid w:val="6EB52C6B"/>
    <w:rsid w:val="6EB66959"/>
    <w:rsid w:val="6EC61B12"/>
    <w:rsid w:val="6EDA1DC4"/>
    <w:rsid w:val="6EDC35ED"/>
    <w:rsid w:val="6EDC7EB4"/>
    <w:rsid w:val="6EE449F0"/>
    <w:rsid w:val="6EEB3DC4"/>
    <w:rsid w:val="6EEF7CEE"/>
    <w:rsid w:val="6EF342A2"/>
    <w:rsid w:val="6EFC1923"/>
    <w:rsid w:val="6EFC51A7"/>
    <w:rsid w:val="6F040A38"/>
    <w:rsid w:val="6F056BEA"/>
    <w:rsid w:val="6F0D3F47"/>
    <w:rsid w:val="6F134263"/>
    <w:rsid w:val="6F1678D5"/>
    <w:rsid w:val="6F23559F"/>
    <w:rsid w:val="6F2F0361"/>
    <w:rsid w:val="6F321C00"/>
    <w:rsid w:val="6F3D6A44"/>
    <w:rsid w:val="6F4C12B8"/>
    <w:rsid w:val="6F53150A"/>
    <w:rsid w:val="6F5B73A8"/>
    <w:rsid w:val="6F60495D"/>
    <w:rsid w:val="6F610588"/>
    <w:rsid w:val="6F685621"/>
    <w:rsid w:val="6F6A75EB"/>
    <w:rsid w:val="6F6B188D"/>
    <w:rsid w:val="6F81494E"/>
    <w:rsid w:val="6F842A78"/>
    <w:rsid w:val="6F8A52A0"/>
    <w:rsid w:val="6FAD0DF6"/>
    <w:rsid w:val="6FB52AD3"/>
    <w:rsid w:val="6FB66D08"/>
    <w:rsid w:val="6FB97C2B"/>
    <w:rsid w:val="6FBF6F46"/>
    <w:rsid w:val="6FC06D93"/>
    <w:rsid w:val="6FC14633"/>
    <w:rsid w:val="6FD511DF"/>
    <w:rsid w:val="6FD82EE4"/>
    <w:rsid w:val="6FEE0256"/>
    <w:rsid w:val="6FF330B2"/>
    <w:rsid w:val="6FF354DE"/>
    <w:rsid w:val="6FFE6918"/>
    <w:rsid w:val="6FFF33DB"/>
    <w:rsid w:val="70027824"/>
    <w:rsid w:val="70052E70"/>
    <w:rsid w:val="70074E3A"/>
    <w:rsid w:val="70087C0C"/>
    <w:rsid w:val="700A6978"/>
    <w:rsid w:val="700B4620"/>
    <w:rsid w:val="700B5387"/>
    <w:rsid w:val="700C1760"/>
    <w:rsid w:val="700D0B5B"/>
    <w:rsid w:val="701B6B38"/>
    <w:rsid w:val="701F49E7"/>
    <w:rsid w:val="70211C11"/>
    <w:rsid w:val="70223A22"/>
    <w:rsid w:val="70253512"/>
    <w:rsid w:val="70310109"/>
    <w:rsid w:val="703716AB"/>
    <w:rsid w:val="703E3414"/>
    <w:rsid w:val="70406A16"/>
    <w:rsid w:val="704262FC"/>
    <w:rsid w:val="704716DB"/>
    <w:rsid w:val="704851DE"/>
    <w:rsid w:val="70540367"/>
    <w:rsid w:val="7057241B"/>
    <w:rsid w:val="70593DDE"/>
    <w:rsid w:val="70660943"/>
    <w:rsid w:val="70691651"/>
    <w:rsid w:val="706A37E2"/>
    <w:rsid w:val="706E7F9D"/>
    <w:rsid w:val="707149AA"/>
    <w:rsid w:val="7072261C"/>
    <w:rsid w:val="707E657C"/>
    <w:rsid w:val="70803D28"/>
    <w:rsid w:val="70817E8C"/>
    <w:rsid w:val="708725E8"/>
    <w:rsid w:val="708D26E7"/>
    <w:rsid w:val="708E36ED"/>
    <w:rsid w:val="709661BE"/>
    <w:rsid w:val="709E0C71"/>
    <w:rsid w:val="70A0333E"/>
    <w:rsid w:val="70A1528F"/>
    <w:rsid w:val="70A367DC"/>
    <w:rsid w:val="70B328CC"/>
    <w:rsid w:val="70B34FC2"/>
    <w:rsid w:val="70B803D5"/>
    <w:rsid w:val="70B97668"/>
    <w:rsid w:val="70BA604C"/>
    <w:rsid w:val="70C14C3A"/>
    <w:rsid w:val="70C65EC1"/>
    <w:rsid w:val="70D83BC0"/>
    <w:rsid w:val="70DA0EB4"/>
    <w:rsid w:val="70E3593B"/>
    <w:rsid w:val="70E505EB"/>
    <w:rsid w:val="710E7AEC"/>
    <w:rsid w:val="71135339"/>
    <w:rsid w:val="7118655F"/>
    <w:rsid w:val="711A34A8"/>
    <w:rsid w:val="71212AC9"/>
    <w:rsid w:val="71250903"/>
    <w:rsid w:val="712A1799"/>
    <w:rsid w:val="712E20A5"/>
    <w:rsid w:val="71312019"/>
    <w:rsid w:val="71381023"/>
    <w:rsid w:val="713E10C6"/>
    <w:rsid w:val="71437021"/>
    <w:rsid w:val="714A2FA6"/>
    <w:rsid w:val="714A76D4"/>
    <w:rsid w:val="714F04FC"/>
    <w:rsid w:val="715304D9"/>
    <w:rsid w:val="71532D7A"/>
    <w:rsid w:val="71542301"/>
    <w:rsid w:val="715F7D1E"/>
    <w:rsid w:val="71663A93"/>
    <w:rsid w:val="716F713B"/>
    <w:rsid w:val="71715ACE"/>
    <w:rsid w:val="71736F76"/>
    <w:rsid w:val="7175746C"/>
    <w:rsid w:val="71765FDF"/>
    <w:rsid w:val="717D6A19"/>
    <w:rsid w:val="717F043D"/>
    <w:rsid w:val="71920663"/>
    <w:rsid w:val="71920FB5"/>
    <w:rsid w:val="71952DC7"/>
    <w:rsid w:val="719B1CDE"/>
    <w:rsid w:val="719E63B1"/>
    <w:rsid w:val="719E6674"/>
    <w:rsid w:val="71B30EAA"/>
    <w:rsid w:val="71B56B04"/>
    <w:rsid w:val="71B72879"/>
    <w:rsid w:val="71BB5EDC"/>
    <w:rsid w:val="71BE204F"/>
    <w:rsid w:val="71D823DF"/>
    <w:rsid w:val="71E0603B"/>
    <w:rsid w:val="72047B95"/>
    <w:rsid w:val="720C498A"/>
    <w:rsid w:val="72113330"/>
    <w:rsid w:val="721750DD"/>
    <w:rsid w:val="721905E5"/>
    <w:rsid w:val="723F59E4"/>
    <w:rsid w:val="724C7A91"/>
    <w:rsid w:val="725107C2"/>
    <w:rsid w:val="72510C2D"/>
    <w:rsid w:val="725464BE"/>
    <w:rsid w:val="725A196C"/>
    <w:rsid w:val="72600B6D"/>
    <w:rsid w:val="726F7A40"/>
    <w:rsid w:val="72751D4F"/>
    <w:rsid w:val="727A2B5F"/>
    <w:rsid w:val="728241F2"/>
    <w:rsid w:val="728A6DF9"/>
    <w:rsid w:val="728C2DC3"/>
    <w:rsid w:val="728D3B4B"/>
    <w:rsid w:val="72916F3F"/>
    <w:rsid w:val="729270B4"/>
    <w:rsid w:val="729506CB"/>
    <w:rsid w:val="72966949"/>
    <w:rsid w:val="72A14F47"/>
    <w:rsid w:val="72B00DDC"/>
    <w:rsid w:val="72BA1C98"/>
    <w:rsid w:val="72BA3C97"/>
    <w:rsid w:val="72C267D6"/>
    <w:rsid w:val="72C60FDD"/>
    <w:rsid w:val="72C81D33"/>
    <w:rsid w:val="72D73447"/>
    <w:rsid w:val="72D95730"/>
    <w:rsid w:val="72DA4A88"/>
    <w:rsid w:val="72DE3035"/>
    <w:rsid w:val="72E472FA"/>
    <w:rsid w:val="72E54DD2"/>
    <w:rsid w:val="72E61148"/>
    <w:rsid w:val="72E754BB"/>
    <w:rsid w:val="72F3399E"/>
    <w:rsid w:val="72FB6BDD"/>
    <w:rsid w:val="73040FD8"/>
    <w:rsid w:val="73092C77"/>
    <w:rsid w:val="730B69EF"/>
    <w:rsid w:val="73166260"/>
    <w:rsid w:val="731E4B42"/>
    <w:rsid w:val="732062C2"/>
    <w:rsid w:val="732760FC"/>
    <w:rsid w:val="73326919"/>
    <w:rsid w:val="73332A43"/>
    <w:rsid w:val="733A09A1"/>
    <w:rsid w:val="7359610E"/>
    <w:rsid w:val="735E6147"/>
    <w:rsid w:val="736B56E0"/>
    <w:rsid w:val="736C2616"/>
    <w:rsid w:val="73840550"/>
    <w:rsid w:val="73853A00"/>
    <w:rsid w:val="7396227D"/>
    <w:rsid w:val="73B1065D"/>
    <w:rsid w:val="73B115BF"/>
    <w:rsid w:val="73BF76CC"/>
    <w:rsid w:val="73C64D7F"/>
    <w:rsid w:val="73C85151"/>
    <w:rsid w:val="73C93A07"/>
    <w:rsid w:val="73CA5253"/>
    <w:rsid w:val="73D24E02"/>
    <w:rsid w:val="73D2688A"/>
    <w:rsid w:val="73DC7883"/>
    <w:rsid w:val="73E62FB9"/>
    <w:rsid w:val="73EA7419"/>
    <w:rsid w:val="74017DF2"/>
    <w:rsid w:val="7405330B"/>
    <w:rsid w:val="7407412D"/>
    <w:rsid w:val="740D15E2"/>
    <w:rsid w:val="740D74D1"/>
    <w:rsid w:val="7412069D"/>
    <w:rsid w:val="742D0BE7"/>
    <w:rsid w:val="743326A2"/>
    <w:rsid w:val="743D56D1"/>
    <w:rsid w:val="74536AEB"/>
    <w:rsid w:val="7464572C"/>
    <w:rsid w:val="746B5A1F"/>
    <w:rsid w:val="74887320"/>
    <w:rsid w:val="74944C62"/>
    <w:rsid w:val="74964153"/>
    <w:rsid w:val="74980BA6"/>
    <w:rsid w:val="749B7643"/>
    <w:rsid w:val="74A024E4"/>
    <w:rsid w:val="74A4534E"/>
    <w:rsid w:val="74A677B5"/>
    <w:rsid w:val="74A9289C"/>
    <w:rsid w:val="74C0081A"/>
    <w:rsid w:val="74C97D5D"/>
    <w:rsid w:val="74CD2EBC"/>
    <w:rsid w:val="74CF064E"/>
    <w:rsid w:val="74CF3C20"/>
    <w:rsid w:val="74D43AA1"/>
    <w:rsid w:val="74E03573"/>
    <w:rsid w:val="74E81B55"/>
    <w:rsid w:val="74EB687F"/>
    <w:rsid w:val="74F954DE"/>
    <w:rsid w:val="74FC6588"/>
    <w:rsid w:val="74FE041B"/>
    <w:rsid w:val="75011284"/>
    <w:rsid w:val="75045DEC"/>
    <w:rsid w:val="750547F2"/>
    <w:rsid w:val="752175BA"/>
    <w:rsid w:val="753233B2"/>
    <w:rsid w:val="75383CE8"/>
    <w:rsid w:val="753A063A"/>
    <w:rsid w:val="754A4321"/>
    <w:rsid w:val="754E0E15"/>
    <w:rsid w:val="754E52B9"/>
    <w:rsid w:val="756D74E4"/>
    <w:rsid w:val="75721562"/>
    <w:rsid w:val="75892F07"/>
    <w:rsid w:val="758B016F"/>
    <w:rsid w:val="758B395F"/>
    <w:rsid w:val="75947170"/>
    <w:rsid w:val="7595552E"/>
    <w:rsid w:val="75AE74D1"/>
    <w:rsid w:val="75B32061"/>
    <w:rsid w:val="75C15254"/>
    <w:rsid w:val="75C42647"/>
    <w:rsid w:val="75C619F3"/>
    <w:rsid w:val="75C909BA"/>
    <w:rsid w:val="75CF7CE2"/>
    <w:rsid w:val="75D00657"/>
    <w:rsid w:val="75D100C4"/>
    <w:rsid w:val="75ED062E"/>
    <w:rsid w:val="75F47C0F"/>
    <w:rsid w:val="75F94076"/>
    <w:rsid w:val="761476DF"/>
    <w:rsid w:val="762F712D"/>
    <w:rsid w:val="763224AC"/>
    <w:rsid w:val="76342701"/>
    <w:rsid w:val="76360227"/>
    <w:rsid w:val="763B1622"/>
    <w:rsid w:val="76452218"/>
    <w:rsid w:val="76556372"/>
    <w:rsid w:val="76597EB0"/>
    <w:rsid w:val="765A552D"/>
    <w:rsid w:val="765C3ABF"/>
    <w:rsid w:val="765D0AC2"/>
    <w:rsid w:val="765D5F61"/>
    <w:rsid w:val="7663757C"/>
    <w:rsid w:val="76664795"/>
    <w:rsid w:val="767720EA"/>
    <w:rsid w:val="76827360"/>
    <w:rsid w:val="76843B37"/>
    <w:rsid w:val="76853969"/>
    <w:rsid w:val="768D76EB"/>
    <w:rsid w:val="768E4A36"/>
    <w:rsid w:val="76936A84"/>
    <w:rsid w:val="76A31723"/>
    <w:rsid w:val="76B94407"/>
    <w:rsid w:val="76B95C40"/>
    <w:rsid w:val="76BD26F7"/>
    <w:rsid w:val="76BF12EE"/>
    <w:rsid w:val="76C206A1"/>
    <w:rsid w:val="76C27D0D"/>
    <w:rsid w:val="76D061A1"/>
    <w:rsid w:val="76D13EC5"/>
    <w:rsid w:val="76D64AF7"/>
    <w:rsid w:val="76F20380"/>
    <w:rsid w:val="76F21C25"/>
    <w:rsid w:val="76F505EC"/>
    <w:rsid w:val="76FB7CCC"/>
    <w:rsid w:val="7702635B"/>
    <w:rsid w:val="77040325"/>
    <w:rsid w:val="77047B51"/>
    <w:rsid w:val="770A03EB"/>
    <w:rsid w:val="7711583F"/>
    <w:rsid w:val="772054B7"/>
    <w:rsid w:val="772B760F"/>
    <w:rsid w:val="772C2C57"/>
    <w:rsid w:val="772D6395"/>
    <w:rsid w:val="773D31E2"/>
    <w:rsid w:val="773D667A"/>
    <w:rsid w:val="77440722"/>
    <w:rsid w:val="774465B4"/>
    <w:rsid w:val="774605C6"/>
    <w:rsid w:val="774A0BC1"/>
    <w:rsid w:val="77543BCA"/>
    <w:rsid w:val="775E5988"/>
    <w:rsid w:val="77613082"/>
    <w:rsid w:val="77751FDD"/>
    <w:rsid w:val="777B6DE7"/>
    <w:rsid w:val="778238A1"/>
    <w:rsid w:val="77825D59"/>
    <w:rsid w:val="7788580F"/>
    <w:rsid w:val="778D1C32"/>
    <w:rsid w:val="77A05561"/>
    <w:rsid w:val="77A73F2D"/>
    <w:rsid w:val="77A97795"/>
    <w:rsid w:val="77BE10C8"/>
    <w:rsid w:val="77C75C3B"/>
    <w:rsid w:val="77CE656E"/>
    <w:rsid w:val="77DA5085"/>
    <w:rsid w:val="77FB2266"/>
    <w:rsid w:val="781147E5"/>
    <w:rsid w:val="781344C7"/>
    <w:rsid w:val="78173D95"/>
    <w:rsid w:val="78250553"/>
    <w:rsid w:val="78250C4D"/>
    <w:rsid w:val="78296B75"/>
    <w:rsid w:val="782D1CC8"/>
    <w:rsid w:val="78304CBF"/>
    <w:rsid w:val="78322C70"/>
    <w:rsid w:val="78332DE3"/>
    <w:rsid w:val="783E33C3"/>
    <w:rsid w:val="784D6445"/>
    <w:rsid w:val="785901FD"/>
    <w:rsid w:val="786077DD"/>
    <w:rsid w:val="7864356A"/>
    <w:rsid w:val="78711EA5"/>
    <w:rsid w:val="78882890"/>
    <w:rsid w:val="788E598E"/>
    <w:rsid w:val="789E0262"/>
    <w:rsid w:val="78AB54D6"/>
    <w:rsid w:val="78C0668A"/>
    <w:rsid w:val="78C72681"/>
    <w:rsid w:val="78E9475D"/>
    <w:rsid w:val="78F140F2"/>
    <w:rsid w:val="78F227FE"/>
    <w:rsid w:val="78F61EF0"/>
    <w:rsid w:val="78F81A52"/>
    <w:rsid w:val="78FC3F32"/>
    <w:rsid w:val="78FD12BE"/>
    <w:rsid w:val="78FE16CE"/>
    <w:rsid w:val="79031AC3"/>
    <w:rsid w:val="791B1F91"/>
    <w:rsid w:val="791D53A0"/>
    <w:rsid w:val="792F4A18"/>
    <w:rsid w:val="79340079"/>
    <w:rsid w:val="793D18CD"/>
    <w:rsid w:val="79455C0B"/>
    <w:rsid w:val="79464C25"/>
    <w:rsid w:val="794669D3"/>
    <w:rsid w:val="7958747F"/>
    <w:rsid w:val="79621333"/>
    <w:rsid w:val="798766F3"/>
    <w:rsid w:val="799202F7"/>
    <w:rsid w:val="79A2114A"/>
    <w:rsid w:val="79A454A8"/>
    <w:rsid w:val="79BD3F25"/>
    <w:rsid w:val="79BF6786"/>
    <w:rsid w:val="79C618C2"/>
    <w:rsid w:val="79C913B2"/>
    <w:rsid w:val="79CB1C70"/>
    <w:rsid w:val="79D272E4"/>
    <w:rsid w:val="79D7587D"/>
    <w:rsid w:val="79DA2CCB"/>
    <w:rsid w:val="79ED6E4F"/>
    <w:rsid w:val="79EE176D"/>
    <w:rsid w:val="79F0693F"/>
    <w:rsid w:val="79F42583"/>
    <w:rsid w:val="7A07192B"/>
    <w:rsid w:val="7A074F9A"/>
    <w:rsid w:val="7A17211E"/>
    <w:rsid w:val="7A1E525A"/>
    <w:rsid w:val="7A2C259F"/>
    <w:rsid w:val="7A342FF8"/>
    <w:rsid w:val="7A49035F"/>
    <w:rsid w:val="7A4B2C0E"/>
    <w:rsid w:val="7A51009E"/>
    <w:rsid w:val="7A550A3F"/>
    <w:rsid w:val="7A59455C"/>
    <w:rsid w:val="7A5D7D14"/>
    <w:rsid w:val="7A603AC5"/>
    <w:rsid w:val="7A7374E1"/>
    <w:rsid w:val="7A787823"/>
    <w:rsid w:val="7A79626C"/>
    <w:rsid w:val="7A7A33E6"/>
    <w:rsid w:val="7A8465F2"/>
    <w:rsid w:val="7A905722"/>
    <w:rsid w:val="7A971552"/>
    <w:rsid w:val="7A9C2623"/>
    <w:rsid w:val="7AA2452E"/>
    <w:rsid w:val="7AA51E44"/>
    <w:rsid w:val="7AAE020C"/>
    <w:rsid w:val="7AAF05A8"/>
    <w:rsid w:val="7AB6489C"/>
    <w:rsid w:val="7AC40641"/>
    <w:rsid w:val="7AD0650C"/>
    <w:rsid w:val="7ADD0A77"/>
    <w:rsid w:val="7AE03C1F"/>
    <w:rsid w:val="7AE73821"/>
    <w:rsid w:val="7AE8772E"/>
    <w:rsid w:val="7AF070FA"/>
    <w:rsid w:val="7AFC61FA"/>
    <w:rsid w:val="7B015B3B"/>
    <w:rsid w:val="7B1C7F87"/>
    <w:rsid w:val="7B1D5512"/>
    <w:rsid w:val="7B2A1710"/>
    <w:rsid w:val="7B5D15F3"/>
    <w:rsid w:val="7B7315D6"/>
    <w:rsid w:val="7B7D2454"/>
    <w:rsid w:val="7B811D8C"/>
    <w:rsid w:val="7B8B1FA7"/>
    <w:rsid w:val="7B8E43C9"/>
    <w:rsid w:val="7B95779E"/>
    <w:rsid w:val="7B9A6B62"/>
    <w:rsid w:val="7BA2010D"/>
    <w:rsid w:val="7BA443C1"/>
    <w:rsid w:val="7BB73D73"/>
    <w:rsid w:val="7BB822D8"/>
    <w:rsid w:val="7BBB1C1E"/>
    <w:rsid w:val="7BC36BAD"/>
    <w:rsid w:val="7BC738B0"/>
    <w:rsid w:val="7BD455E1"/>
    <w:rsid w:val="7BDD7F86"/>
    <w:rsid w:val="7BE35CBC"/>
    <w:rsid w:val="7BE40EB9"/>
    <w:rsid w:val="7BEF2602"/>
    <w:rsid w:val="7BF22619"/>
    <w:rsid w:val="7BFC04F7"/>
    <w:rsid w:val="7BFC0976"/>
    <w:rsid w:val="7BFD52E5"/>
    <w:rsid w:val="7C0637D4"/>
    <w:rsid w:val="7C14608F"/>
    <w:rsid w:val="7C1C5D6C"/>
    <w:rsid w:val="7C1E7D45"/>
    <w:rsid w:val="7C244DD8"/>
    <w:rsid w:val="7C3654BD"/>
    <w:rsid w:val="7C3C175B"/>
    <w:rsid w:val="7C3E0E3F"/>
    <w:rsid w:val="7C501917"/>
    <w:rsid w:val="7C52568F"/>
    <w:rsid w:val="7C5B3A94"/>
    <w:rsid w:val="7C5C33D9"/>
    <w:rsid w:val="7C5C4760"/>
    <w:rsid w:val="7C6233BA"/>
    <w:rsid w:val="7C6552DE"/>
    <w:rsid w:val="7C7C291D"/>
    <w:rsid w:val="7C7E6B54"/>
    <w:rsid w:val="7C7E76EB"/>
    <w:rsid w:val="7C8313D5"/>
    <w:rsid w:val="7C8E7766"/>
    <w:rsid w:val="7C985AF7"/>
    <w:rsid w:val="7CB04399"/>
    <w:rsid w:val="7CBC6FAC"/>
    <w:rsid w:val="7CCF00C5"/>
    <w:rsid w:val="7CDC328D"/>
    <w:rsid w:val="7CE551BE"/>
    <w:rsid w:val="7CEA2E6F"/>
    <w:rsid w:val="7CEA3B1A"/>
    <w:rsid w:val="7CEC0E28"/>
    <w:rsid w:val="7CEF6506"/>
    <w:rsid w:val="7CF32B43"/>
    <w:rsid w:val="7CF6004F"/>
    <w:rsid w:val="7CFA011A"/>
    <w:rsid w:val="7CFD4FC8"/>
    <w:rsid w:val="7D062CFB"/>
    <w:rsid w:val="7D0F3580"/>
    <w:rsid w:val="7D0F3586"/>
    <w:rsid w:val="7D1E5E65"/>
    <w:rsid w:val="7D251BCC"/>
    <w:rsid w:val="7D2B2C65"/>
    <w:rsid w:val="7D2D3A06"/>
    <w:rsid w:val="7D31799A"/>
    <w:rsid w:val="7D381E56"/>
    <w:rsid w:val="7D4071CA"/>
    <w:rsid w:val="7D407BDD"/>
    <w:rsid w:val="7D42654C"/>
    <w:rsid w:val="7D4A3D77"/>
    <w:rsid w:val="7D4B2BA1"/>
    <w:rsid w:val="7D510DF9"/>
    <w:rsid w:val="7D513B99"/>
    <w:rsid w:val="7D700A72"/>
    <w:rsid w:val="7D73384C"/>
    <w:rsid w:val="7D7976BF"/>
    <w:rsid w:val="7D7C1806"/>
    <w:rsid w:val="7D7D673C"/>
    <w:rsid w:val="7D86315C"/>
    <w:rsid w:val="7D983192"/>
    <w:rsid w:val="7D9E6DEE"/>
    <w:rsid w:val="7DA95065"/>
    <w:rsid w:val="7DB75764"/>
    <w:rsid w:val="7DC93C6B"/>
    <w:rsid w:val="7DD345AE"/>
    <w:rsid w:val="7DD532C9"/>
    <w:rsid w:val="7DD95EE6"/>
    <w:rsid w:val="7DDB2463"/>
    <w:rsid w:val="7DE445A6"/>
    <w:rsid w:val="7DE44A0D"/>
    <w:rsid w:val="7DEE638C"/>
    <w:rsid w:val="7DF34AAF"/>
    <w:rsid w:val="7E0230E5"/>
    <w:rsid w:val="7E08738F"/>
    <w:rsid w:val="7E0A3E44"/>
    <w:rsid w:val="7E0F3B12"/>
    <w:rsid w:val="7E163D29"/>
    <w:rsid w:val="7E17186E"/>
    <w:rsid w:val="7E286E4E"/>
    <w:rsid w:val="7E297C37"/>
    <w:rsid w:val="7E2A03F9"/>
    <w:rsid w:val="7E2A37C8"/>
    <w:rsid w:val="7E442935"/>
    <w:rsid w:val="7E4454AB"/>
    <w:rsid w:val="7E4A0D41"/>
    <w:rsid w:val="7E4D1DE3"/>
    <w:rsid w:val="7E5252B7"/>
    <w:rsid w:val="7E587DBC"/>
    <w:rsid w:val="7E620CB9"/>
    <w:rsid w:val="7E6214F9"/>
    <w:rsid w:val="7E6C2A43"/>
    <w:rsid w:val="7E700404"/>
    <w:rsid w:val="7E7428F7"/>
    <w:rsid w:val="7E745D91"/>
    <w:rsid w:val="7E8400D0"/>
    <w:rsid w:val="7E8435F2"/>
    <w:rsid w:val="7E8B5D95"/>
    <w:rsid w:val="7EA038CE"/>
    <w:rsid w:val="7EA1660A"/>
    <w:rsid w:val="7EA172D9"/>
    <w:rsid w:val="7EA53C41"/>
    <w:rsid w:val="7EB443DF"/>
    <w:rsid w:val="7EB77704"/>
    <w:rsid w:val="7EBE2D77"/>
    <w:rsid w:val="7EC160D6"/>
    <w:rsid w:val="7ECB5FD7"/>
    <w:rsid w:val="7ECD2214"/>
    <w:rsid w:val="7ECD54A1"/>
    <w:rsid w:val="7ED120F7"/>
    <w:rsid w:val="7ED76320"/>
    <w:rsid w:val="7EDA0DB5"/>
    <w:rsid w:val="7EEA1BAF"/>
    <w:rsid w:val="7EEB3B79"/>
    <w:rsid w:val="7EEE62C3"/>
    <w:rsid w:val="7EF90044"/>
    <w:rsid w:val="7F0569E9"/>
    <w:rsid w:val="7F097E40"/>
    <w:rsid w:val="7F1D751E"/>
    <w:rsid w:val="7F242240"/>
    <w:rsid w:val="7F2C6E61"/>
    <w:rsid w:val="7F4438BC"/>
    <w:rsid w:val="7F47172D"/>
    <w:rsid w:val="7F547970"/>
    <w:rsid w:val="7F5B0B7E"/>
    <w:rsid w:val="7F5D1C11"/>
    <w:rsid w:val="7F5D7C3F"/>
    <w:rsid w:val="7F656F0F"/>
    <w:rsid w:val="7F7E7F1B"/>
    <w:rsid w:val="7F837752"/>
    <w:rsid w:val="7F8906FA"/>
    <w:rsid w:val="7F922ED2"/>
    <w:rsid w:val="7FA22BE1"/>
    <w:rsid w:val="7FA620AF"/>
    <w:rsid w:val="7FAA6DE5"/>
    <w:rsid w:val="7FB665F7"/>
    <w:rsid w:val="7FBA383D"/>
    <w:rsid w:val="7FC65CAF"/>
    <w:rsid w:val="7FEE5455"/>
    <w:rsid w:val="7FEF3192"/>
    <w:rsid w:val="7FF433E3"/>
    <w:rsid w:val="7FFD52F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qFormat="1" w:unhideWhenUsed="0" w:uiPriority="99" w:name="toc 4"/>
    <w:lsdException w:qFormat="1" w:unhideWhenUsed="0" w:uiPriority="99" w:name="toc 5"/>
    <w:lsdException w:qFormat="1" w:unhideWhenUsed="0" w:uiPriority="99" w:name="toc 6"/>
    <w:lsdException w:qFormat="1" w:unhideWhenUsed="0" w:uiPriority="99" w:name="toc 7"/>
    <w:lsdException w:qFormat="1" w:unhideWhenUsed="0" w:uiPriority="99" w:name="toc 8"/>
    <w:lsdException w:qFormat="1" w:unhideWhenUsed="0" w:uiPriority="99" w:name="toc 9"/>
    <w:lsdException w:qFormat="1" w:unhideWhenUsed="0" w:uiPriority="99" w:semiHidden="0" w:name="Normal Indent"/>
    <w:lsdException w:qFormat="1" w:unhideWhenUsed="0" w:uiPriority="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semiHidden="0"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qFormat="1" w:unhideWhenUsed="0" w:uiPriority="0" w:semiHidden="0" w:name="Body Text First Indent" w:locked="1"/>
    <w:lsdException w:qFormat="1" w:unhideWhenUsed="0" w:uiPriority="0" w:semiHidden="0"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qFormat="1" w:unhideWhenUsed="0" w:uiPriority="99" w:semiHidden="0" w:name="HTML Acronym"/>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uiPriority="99" w:name="HTML Preformatted" w:locked="1"/>
    <w:lsdException w:qFormat="1" w:unhideWhenUsed="0" w:uiPriority="99" w:semiHidden="0" w:name="HTML Sample"/>
    <w:lsdException w:uiPriority="99" w:name="HTML Typewriter" w:locked="1"/>
    <w:lsdException w:qFormat="1" w:unhideWhenUsed="0" w:uiPriority="99" w:semiHidden="0" w:name="HTML Variable"/>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34"/>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55"/>
    <w:autoRedefine/>
    <w:qFormat/>
    <w:uiPriority w:val="99"/>
    <w:pPr>
      <w:keepNext/>
      <w:keepLines/>
      <w:spacing w:line="360" w:lineRule="auto"/>
      <w:outlineLvl w:val="0"/>
    </w:pPr>
    <w:rPr>
      <w:b/>
      <w:bCs/>
      <w:kern w:val="44"/>
      <w:sz w:val="32"/>
      <w:szCs w:val="32"/>
    </w:rPr>
  </w:style>
  <w:style w:type="paragraph" w:styleId="3">
    <w:name w:val="heading 2"/>
    <w:basedOn w:val="1"/>
    <w:next w:val="1"/>
    <w:link w:val="56"/>
    <w:autoRedefine/>
    <w:qFormat/>
    <w:uiPriority w:val="99"/>
    <w:pPr>
      <w:keepNext/>
      <w:keepLines/>
      <w:spacing w:before="260" w:after="260" w:line="416" w:lineRule="auto"/>
      <w:jc w:val="left"/>
      <w:outlineLvl w:val="1"/>
    </w:pPr>
    <w:rPr>
      <w:rFonts w:ascii="Cambria" w:hAnsi="Cambria" w:cs="Cambria"/>
      <w:b/>
      <w:bCs/>
      <w:sz w:val="32"/>
      <w:szCs w:val="32"/>
    </w:rPr>
  </w:style>
  <w:style w:type="paragraph" w:styleId="4">
    <w:name w:val="heading 3"/>
    <w:basedOn w:val="1"/>
    <w:next w:val="1"/>
    <w:link w:val="57"/>
    <w:autoRedefine/>
    <w:qFormat/>
    <w:uiPriority w:val="99"/>
    <w:pPr>
      <w:keepNext/>
      <w:keepLines/>
      <w:spacing w:line="360" w:lineRule="auto"/>
      <w:outlineLvl w:val="2"/>
    </w:pPr>
    <w:rPr>
      <w:b/>
      <w:bCs/>
      <w:sz w:val="24"/>
      <w:szCs w:val="24"/>
    </w:rPr>
  </w:style>
  <w:style w:type="paragraph" w:styleId="5">
    <w:name w:val="heading 4"/>
    <w:basedOn w:val="1"/>
    <w:next w:val="1"/>
    <w:link w:val="58"/>
    <w:autoRedefine/>
    <w:qFormat/>
    <w:uiPriority w:val="99"/>
    <w:pPr>
      <w:keepNext/>
      <w:keepLines/>
      <w:spacing w:line="360" w:lineRule="auto"/>
      <w:outlineLvl w:val="3"/>
    </w:pPr>
    <w:rPr>
      <w:rFonts w:ascii="Arial" w:hAnsi="Arial" w:cs="Arial"/>
      <w:b/>
      <w:bCs/>
    </w:rPr>
  </w:style>
  <w:style w:type="paragraph" w:styleId="6">
    <w:name w:val="heading 5"/>
    <w:basedOn w:val="1"/>
    <w:next w:val="1"/>
    <w:link w:val="59"/>
    <w:autoRedefine/>
    <w:qFormat/>
    <w:uiPriority w:val="99"/>
    <w:pPr>
      <w:keepNext/>
      <w:keepLines/>
      <w:spacing w:before="280" w:after="290" w:line="376" w:lineRule="auto"/>
      <w:outlineLvl w:val="4"/>
    </w:pPr>
    <w:rPr>
      <w:b/>
      <w:bCs/>
      <w:sz w:val="28"/>
      <w:szCs w:val="28"/>
    </w:rPr>
  </w:style>
  <w:style w:type="paragraph" w:styleId="7">
    <w:name w:val="heading 6"/>
    <w:basedOn w:val="1"/>
    <w:next w:val="1"/>
    <w:link w:val="60"/>
    <w:autoRedefine/>
    <w:qFormat/>
    <w:uiPriority w:val="99"/>
    <w:pPr>
      <w:keepNext/>
      <w:keepLines/>
      <w:spacing w:before="240" w:after="64" w:line="320" w:lineRule="auto"/>
      <w:outlineLvl w:val="5"/>
    </w:pPr>
    <w:rPr>
      <w:rFonts w:ascii="Arial" w:hAnsi="Arial" w:eastAsia="黑体" w:cs="Arial"/>
      <w:b/>
      <w:bCs/>
      <w:sz w:val="24"/>
      <w:szCs w:val="24"/>
    </w:rPr>
  </w:style>
  <w:style w:type="character" w:default="1" w:styleId="39">
    <w:name w:val="Default Paragraph Font"/>
    <w:autoRedefine/>
    <w:unhideWhenUsed/>
    <w:qFormat/>
    <w:uiPriority w:val="1"/>
  </w:style>
  <w:style w:type="table" w:default="1" w:styleId="37">
    <w:name w:val="Normal Table"/>
    <w:autoRedefine/>
    <w:unhideWhenUsed/>
    <w:qFormat/>
    <w:uiPriority w:val="99"/>
    <w:tblPr>
      <w:tblCellMar>
        <w:top w:w="0" w:type="dxa"/>
        <w:left w:w="108" w:type="dxa"/>
        <w:bottom w:w="0" w:type="dxa"/>
        <w:right w:w="108" w:type="dxa"/>
      </w:tblCellMar>
    </w:tblPr>
  </w:style>
  <w:style w:type="paragraph" w:styleId="8">
    <w:name w:val="toc 7"/>
    <w:basedOn w:val="1"/>
    <w:next w:val="1"/>
    <w:autoRedefine/>
    <w:semiHidden/>
    <w:qFormat/>
    <w:uiPriority w:val="99"/>
    <w:pPr>
      <w:ind w:left="1260"/>
      <w:jc w:val="left"/>
    </w:pPr>
    <w:rPr>
      <w:rFonts w:ascii="Calibri" w:hAnsi="Calibri" w:cs="Calibri"/>
      <w:sz w:val="18"/>
      <w:szCs w:val="18"/>
    </w:rPr>
  </w:style>
  <w:style w:type="paragraph" w:styleId="9">
    <w:name w:val="Normal Indent"/>
    <w:basedOn w:val="1"/>
    <w:next w:val="10"/>
    <w:autoRedefine/>
    <w:qFormat/>
    <w:uiPriority w:val="99"/>
    <w:pPr>
      <w:ind w:firstLine="420"/>
    </w:pPr>
  </w:style>
  <w:style w:type="paragraph" w:styleId="10">
    <w:name w:val="footnote text"/>
    <w:basedOn w:val="1"/>
    <w:semiHidden/>
    <w:qFormat/>
    <w:locked/>
    <w:uiPriority w:val="0"/>
    <w:pPr>
      <w:snapToGrid w:val="0"/>
      <w:jc w:val="left"/>
    </w:pPr>
    <w:rPr>
      <w:rFonts w:ascii="DFKai-SB" w:eastAsia="DFKai-SB"/>
      <w:sz w:val="20"/>
      <w:szCs w:val="20"/>
      <w:lang w:eastAsia="zh-TW"/>
    </w:rPr>
  </w:style>
  <w:style w:type="paragraph" w:styleId="11">
    <w:name w:val="Document Map"/>
    <w:basedOn w:val="1"/>
    <w:link w:val="63"/>
    <w:autoRedefine/>
    <w:semiHidden/>
    <w:qFormat/>
    <w:uiPriority w:val="99"/>
    <w:pPr>
      <w:shd w:val="clear" w:color="auto" w:fill="000080"/>
    </w:pPr>
  </w:style>
  <w:style w:type="paragraph" w:styleId="12">
    <w:name w:val="annotation text"/>
    <w:basedOn w:val="1"/>
    <w:link w:val="61"/>
    <w:autoRedefine/>
    <w:semiHidden/>
    <w:qFormat/>
    <w:uiPriority w:val="99"/>
    <w:pPr>
      <w:jc w:val="left"/>
    </w:pPr>
  </w:style>
  <w:style w:type="paragraph" w:styleId="13">
    <w:name w:val="Body Text 3"/>
    <w:basedOn w:val="1"/>
    <w:link w:val="64"/>
    <w:autoRedefine/>
    <w:qFormat/>
    <w:uiPriority w:val="99"/>
    <w:rPr>
      <w:rFonts w:ascii="宋体" w:cs="宋体"/>
      <w:sz w:val="24"/>
      <w:szCs w:val="24"/>
    </w:rPr>
  </w:style>
  <w:style w:type="paragraph" w:styleId="14">
    <w:name w:val="Body Text"/>
    <w:basedOn w:val="1"/>
    <w:next w:val="1"/>
    <w:link w:val="65"/>
    <w:autoRedefine/>
    <w:qFormat/>
    <w:uiPriority w:val="99"/>
    <w:pPr>
      <w:jc w:val="center"/>
    </w:pPr>
  </w:style>
  <w:style w:type="paragraph" w:styleId="15">
    <w:name w:val="Body Text Indent"/>
    <w:basedOn w:val="1"/>
    <w:link w:val="66"/>
    <w:autoRedefine/>
    <w:qFormat/>
    <w:uiPriority w:val="99"/>
    <w:pPr>
      <w:spacing w:line="360" w:lineRule="auto"/>
      <w:ind w:left="424" w:leftChars="202" w:firstLine="567"/>
    </w:pPr>
    <w:rPr>
      <w:sz w:val="24"/>
      <w:szCs w:val="24"/>
    </w:rPr>
  </w:style>
  <w:style w:type="paragraph" w:styleId="16">
    <w:name w:val="toc 5"/>
    <w:basedOn w:val="1"/>
    <w:next w:val="1"/>
    <w:autoRedefine/>
    <w:semiHidden/>
    <w:qFormat/>
    <w:uiPriority w:val="99"/>
    <w:pPr>
      <w:ind w:left="840"/>
      <w:jc w:val="left"/>
    </w:pPr>
    <w:rPr>
      <w:rFonts w:ascii="Calibri" w:hAnsi="Calibri" w:cs="Calibri"/>
      <w:sz w:val="18"/>
      <w:szCs w:val="18"/>
    </w:rPr>
  </w:style>
  <w:style w:type="paragraph" w:styleId="17">
    <w:name w:val="toc 3"/>
    <w:basedOn w:val="1"/>
    <w:next w:val="1"/>
    <w:autoRedefine/>
    <w:semiHidden/>
    <w:qFormat/>
    <w:uiPriority w:val="99"/>
    <w:pPr>
      <w:ind w:left="420"/>
      <w:jc w:val="left"/>
    </w:pPr>
    <w:rPr>
      <w:rFonts w:ascii="Calibri" w:hAnsi="Calibri" w:cs="Calibri"/>
      <w:i/>
      <w:iCs/>
      <w:sz w:val="20"/>
      <w:szCs w:val="20"/>
    </w:rPr>
  </w:style>
  <w:style w:type="paragraph" w:styleId="18">
    <w:name w:val="Plain Text"/>
    <w:basedOn w:val="1"/>
    <w:link w:val="67"/>
    <w:autoRedefine/>
    <w:qFormat/>
    <w:uiPriority w:val="99"/>
    <w:rPr>
      <w:rFonts w:ascii="宋体" w:hAnsi="Courier New" w:cs="宋体"/>
    </w:rPr>
  </w:style>
  <w:style w:type="paragraph" w:styleId="19">
    <w:name w:val="toc 8"/>
    <w:basedOn w:val="1"/>
    <w:next w:val="1"/>
    <w:autoRedefine/>
    <w:semiHidden/>
    <w:qFormat/>
    <w:uiPriority w:val="99"/>
    <w:pPr>
      <w:ind w:left="1470"/>
      <w:jc w:val="left"/>
    </w:pPr>
    <w:rPr>
      <w:rFonts w:ascii="Calibri" w:hAnsi="Calibri" w:cs="Calibri"/>
      <w:sz w:val="18"/>
      <w:szCs w:val="18"/>
    </w:rPr>
  </w:style>
  <w:style w:type="paragraph" w:styleId="20">
    <w:name w:val="Date"/>
    <w:basedOn w:val="1"/>
    <w:next w:val="1"/>
    <w:link w:val="68"/>
    <w:autoRedefine/>
    <w:qFormat/>
    <w:uiPriority w:val="99"/>
    <w:pPr>
      <w:ind w:left="100" w:leftChars="2500"/>
    </w:pPr>
  </w:style>
  <w:style w:type="paragraph" w:styleId="21">
    <w:name w:val="Body Text Indent 2"/>
    <w:basedOn w:val="1"/>
    <w:link w:val="69"/>
    <w:autoRedefine/>
    <w:qFormat/>
    <w:uiPriority w:val="99"/>
    <w:pPr>
      <w:spacing w:line="480" w:lineRule="exact"/>
      <w:ind w:left="-1"/>
    </w:pPr>
    <w:rPr>
      <w:sz w:val="24"/>
      <w:szCs w:val="24"/>
    </w:rPr>
  </w:style>
  <w:style w:type="paragraph" w:styleId="22">
    <w:name w:val="Balloon Text"/>
    <w:basedOn w:val="1"/>
    <w:link w:val="70"/>
    <w:autoRedefine/>
    <w:semiHidden/>
    <w:qFormat/>
    <w:uiPriority w:val="99"/>
    <w:rPr>
      <w:sz w:val="18"/>
      <w:szCs w:val="18"/>
    </w:rPr>
  </w:style>
  <w:style w:type="paragraph" w:styleId="23">
    <w:name w:val="footer"/>
    <w:basedOn w:val="1"/>
    <w:link w:val="71"/>
    <w:autoRedefine/>
    <w:qFormat/>
    <w:uiPriority w:val="99"/>
    <w:pPr>
      <w:tabs>
        <w:tab w:val="center" w:pos="4153"/>
        <w:tab w:val="right" w:pos="8306"/>
      </w:tabs>
      <w:snapToGrid w:val="0"/>
      <w:jc w:val="left"/>
    </w:pPr>
    <w:rPr>
      <w:sz w:val="18"/>
      <w:szCs w:val="18"/>
    </w:rPr>
  </w:style>
  <w:style w:type="paragraph" w:styleId="24">
    <w:name w:val="header"/>
    <w:basedOn w:val="1"/>
    <w:next w:val="1"/>
    <w:link w:val="72"/>
    <w:autoRedefine/>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semiHidden/>
    <w:qFormat/>
    <w:uiPriority w:val="99"/>
    <w:pPr>
      <w:spacing w:before="120" w:after="120"/>
      <w:jc w:val="left"/>
    </w:pPr>
    <w:rPr>
      <w:rFonts w:ascii="Calibri" w:hAnsi="Calibri" w:cs="Calibri"/>
      <w:b/>
      <w:bCs/>
      <w:caps/>
      <w:sz w:val="20"/>
      <w:szCs w:val="20"/>
    </w:rPr>
  </w:style>
  <w:style w:type="paragraph" w:styleId="26">
    <w:name w:val="toc 4"/>
    <w:basedOn w:val="1"/>
    <w:next w:val="1"/>
    <w:autoRedefine/>
    <w:semiHidden/>
    <w:qFormat/>
    <w:uiPriority w:val="99"/>
    <w:pPr>
      <w:ind w:left="630"/>
      <w:jc w:val="left"/>
    </w:pPr>
    <w:rPr>
      <w:rFonts w:ascii="Calibri" w:hAnsi="Calibri" w:cs="Calibri"/>
      <w:sz w:val="18"/>
      <w:szCs w:val="18"/>
    </w:rPr>
  </w:style>
  <w:style w:type="paragraph" w:styleId="27">
    <w:name w:val="Subtitle"/>
    <w:basedOn w:val="1"/>
    <w:next w:val="1"/>
    <w:autoRedefine/>
    <w:qFormat/>
    <w:uiPriority w:val="0"/>
    <w:pPr>
      <w:spacing w:before="240" w:after="60" w:line="312" w:lineRule="auto"/>
      <w:jc w:val="center"/>
      <w:outlineLvl w:val="1"/>
    </w:pPr>
    <w:rPr>
      <w:rFonts w:ascii="Cambria" w:hAnsi="Cambria"/>
      <w:b/>
      <w:bCs/>
      <w:kern w:val="28"/>
      <w:sz w:val="32"/>
      <w:szCs w:val="32"/>
    </w:rPr>
  </w:style>
  <w:style w:type="paragraph" w:styleId="28">
    <w:name w:val="toc 6"/>
    <w:basedOn w:val="1"/>
    <w:next w:val="1"/>
    <w:autoRedefine/>
    <w:semiHidden/>
    <w:qFormat/>
    <w:uiPriority w:val="99"/>
    <w:pPr>
      <w:ind w:left="1050"/>
      <w:jc w:val="left"/>
    </w:pPr>
    <w:rPr>
      <w:rFonts w:ascii="Calibri" w:hAnsi="Calibri" w:cs="Calibri"/>
      <w:sz w:val="18"/>
      <w:szCs w:val="18"/>
    </w:rPr>
  </w:style>
  <w:style w:type="paragraph" w:styleId="29">
    <w:name w:val="Body Text Indent 3"/>
    <w:basedOn w:val="1"/>
    <w:link w:val="73"/>
    <w:autoRedefine/>
    <w:qFormat/>
    <w:uiPriority w:val="99"/>
    <w:pPr>
      <w:spacing w:line="360" w:lineRule="auto"/>
      <w:ind w:left="420" w:firstLine="480"/>
    </w:pPr>
    <w:rPr>
      <w:rFonts w:ascii="宋体" w:hAnsi="宋体" w:cs="宋体"/>
      <w:sz w:val="24"/>
      <w:szCs w:val="24"/>
    </w:rPr>
  </w:style>
  <w:style w:type="paragraph" w:styleId="30">
    <w:name w:val="toc 2"/>
    <w:basedOn w:val="1"/>
    <w:next w:val="1"/>
    <w:autoRedefine/>
    <w:semiHidden/>
    <w:qFormat/>
    <w:uiPriority w:val="99"/>
    <w:pPr>
      <w:ind w:left="210"/>
      <w:jc w:val="left"/>
    </w:pPr>
    <w:rPr>
      <w:rFonts w:ascii="Calibri" w:hAnsi="Calibri" w:cs="Calibri"/>
      <w:smallCaps/>
      <w:sz w:val="20"/>
      <w:szCs w:val="20"/>
    </w:rPr>
  </w:style>
  <w:style w:type="paragraph" w:styleId="31">
    <w:name w:val="toc 9"/>
    <w:basedOn w:val="1"/>
    <w:next w:val="1"/>
    <w:autoRedefine/>
    <w:semiHidden/>
    <w:qFormat/>
    <w:uiPriority w:val="99"/>
    <w:pPr>
      <w:ind w:left="1680"/>
      <w:jc w:val="left"/>
    </w:pPr>
    <w:rPr>
      <w:rFonts w:ascii="Calibri" w:hAnsi="Calibri" w:cs="Calibri"/>
      <w:sz w:val="18"/>
      <w:szCs w:val="18"/>
    </w:rPr>
  </w:style>
  <w:style w:type="paragraph" w:styleId="32">
    <w:name w:val="Body Text 2"/>
    <w:basedOn w:val="1"/>
    <w:link w:val="74"/>
    <w:autoRedefine/>
    <w:qFormat/>
    <w:uiPriority w:val="99"/>
    <w:pPr>
      <w:adjustRightInd w:val="0"/>
      <w:snapToGrid w:val="0"/>
      <w:spacing w:before="60" w:after="60" w:line="300" w:lineRule="auto"/>
    </w:pPr>
    <w:rPr>
      <w:rFonts w:ascii="宋体" w:cs="宋体"/>
      <w:sz w:val="24"/>
      <w:szCs w:val="24"/>
    </w:rPr>
  </w:style>
  <w:style w:type="paragraph" w:styleId="33">
    <w:name w:val="Normal (Web)"/>
    <w:basedOn w:val="1"/>
    <w:autoRedefine/>
    <w:qFormat/>
    <w:uiPriority w:val="99"/>
    <w:pPr>
      <w:widowControl/>
      <w:spacing w:before="100" w:beforeAutospacing="1" w:after="100" w:afterAutospacing="1"/>
      <w:jc w:val="left"/>
    </w:pPr>
    <w:rPr>
      <w:rFonts w:ascii="宋体" w:hAnsi="宋体" w:cs="宋体"/>
      <w:sz w:val="24"/>
      <w:szCs w:val="24"/>
    </w:rPr>
  </w:style>
  <w:style w:type="paragraph" w:styleId="34">
    <w:name w:val="annotation subject"/>
    <w:basedOn w:val="12"/>
    <w:next w:val="12"/>
    <w:link w:val="62"/>
    <w:autoRedefine/>
    <w:semiHidden/>
    <w:qFormat/>
    <w:uiPriority w:val="99"/>
    <w:rPr>
      <w:b/>
      <w:bCs/>
    </w:rPr>
  </w:style>
  <w:style w:type="paragraph" w:styleId="35">
    <w:name w:val="Body Text First Indent"/>
    <w:basedOn w:val="14"/>
    <w:autoRedefine/>
    <w:qFormat/>
    <w:locked/>
    <w:uiPriority w:val="0"/>
    <w:pPr>
      <w:spacing w:line="312" w:lineRule="auto"/>
      <w:ind w:firstLine="420"/>
    </w:pPr>
  </w:style>
  <w:style w:type="paragraph" w:styleId="36">
    <w:name w:val="Body Text First Indent 2"/>
    <w:basedOn w:val="15"/>
    <w:qFormat/>
    <w:locked/>
    <w:uiPriority w:val="0"/>
    <w:pPr>
      <w:ind w:firstLine="420"/>
    </w:pPr>
  </w:style>
  <w:style w:type="table" w:styleId="38">
    <w:name w:val="Table Grid"/>
    <w:basedOn w:val="37"/>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basedOn w:val="39"/>
    <w:autoRedefine/>
    <w:qFormat/>
    <w:uiPriority w:val="99"/>
    <w:rPr>
      <w:b/>
      <w:bCs/>
    </w:rPr>
  </w:style>
  <w:style w:type="character" w:styleId="41">
    <w:name w:val="page number"/>
    <w:basedOn w:val="39"/>
    <w:autoRedefine/>
    <w:qFormat/>
    <w:uiPriority w:val="99"/>
  </w:style>
  <w:style w:type="character" w:styleId="42">
    <w:name w:val="FollowedHyperlink"/>
    <w:basedOn w:val="39"/>
    <w:autoRedefine/>
    <w:qFormat/>
    <w:uiPriority w:val="99"/>
    <w:rPr>
      <w:color w:val="auto"/>
      <w:u w:val="none"/>
    </w:rPr>
  </w:style>
  <w:style w:type="character" w:styleId="43">
    <w:name w:val="Emphasis"/>
    <w:basedOn w:val="39"/>
    <w:autoRedefine/>
    <w:qFormat/>
    <w:uiPriority w:val="99"/>
    <w:rPr>
      <w:i/>
      <w:iCs/>
    </w:rPr>
  </w:style>
  <w:style w:type="character" w:styleId="44">
    <w:name w:val="HTML Definition"/>
    <w:basedOn w:val="39"/>
    <w:autoRedefine/>
    <w:qFormat/>
    <w:uiPriority w:val="99"/>
  </w:style>
  <w:style w:type="character" w:styleId="45">
    <w:name w:val="HTML Acronym"/>
    <w:basedOn w:val="39"/>
    <w:autoRedefine/>
    <w:qFormat/>
    <w:uiPriority w:val="99"/>
  </w:style>
  <w:style w:type="character" w:styleId="46">
    <w:name w:val="HTML Variable"/>
    <w:basedOn w:val="39"/>
    <w:autoRedefine/>
    <w:qFormat/>
    <w:uiPriority w:val="99"/>
  </w:style>
  <w:style w:type="character" w:styleId="47">
    <w:name w:val="Hyperlink"/>
    <w:basedOn w:val="39"/>
    <w:autoRedefine/>
    <w:qFormat/>
    <w:uiPriority w:val="99"/>
    <w:rPr>
      <w:color w:val="auto"/>
      <w:u w:val="none"/>
    </w:rPr>
  </w:style>
  <w:style w:type="character" w:styleId="48">
    <w:name w:val="HTML Code"/>
    <w:basedOn w:val="39"/>
    <w:autoRedefine/>
    <w:qFormat/>
    <w:uiPriority w:val="99"/>
    <w:rPr>
      <w:rFonts w:ascii="monospace" w:hAnsi="monospace" w:cs="monospace"/>
      <w:sz w:val="24"/>
      <w:szCs w:val="24"/>
    </w:rPr>
  </w:style>
  <w:style w:type="character" w:styleId="49">
    <w:name w:val="annotation reference"/>
    <w:basedOn w:val="39"/>
    <w:autoRedefine/>
    <w:semiHidden/>
    <w:qFormat/>
    <w:uiPriority w:val="99"/>
    <w:rPr>
      <w:sz w:val="21"/>
      <w:szCs w:val="21"/>
    </w:rPr>
  </w:style>
  <w:style w:type="character" w:styleId="50">
    <w:name w:val="HTML Cite"/>
    <w:basedOn w:val="39"/>
    <w:autoRedefine/>
    <w:qFormat/>
    <w:uiPriority w:val="99"/>
  </w:style>
  <w:style w:type="character" w:styleId="51">
    <w:name w:val="HTML Keyboard"/>
    <w:basedOn w:val="39"/>
    <w:autoRedefine/>
    <w:qFormat/>
    <w:uiPriority w:val="99"/>
    <w:rPr>
      <w:rFonts w:ascii="monospace" w:hAnsi="monospace" w:cs="monospace"/>
      <w:sz w:val="24"/>
      <w:szCs w:val="24"/>
    </w:rPr>
  </w:style>
  <w:style w:type="character" w:styleId="52">
    <w:name w:val="HTML Sample"/>
    <w:basedOn w:val="39"/>
    <w:autoRedefine/>
    <w:qFormat/>
    <w:uiPriority w:val="99"/>
    <w:rPr>
      <w:rFonts w:ascii="monospace" w:hAnsi="monospace" w:cs="monospace"/>
      <w:sz w:val="24"/>
      <w:szCs w:val="24"/>
    </w:rPr>
  </w:style>
  <w:style w:type="paragraph" w:customStyle="1" w:styleId="53">
    <w:name w:val=" Char"/>
    <w:basedOn w:val="1"/>
    <w:qFormat/>
    <w:uiPriority w:val="0"/>
  </w:style>
  <w:style w:type="paragraph" w:customStyle="1" w:styleId="54">
    <w:name w:val="NormalIndent"/>
    <w:basedOn w:val="1"/>
    <w:autoRedefine/>
    <w:qFormat/>
    <w:uiPriority w:val="0"/>
    <w:pPr>
      <w:spacing w:line="300" w:lineRule="auto"/>
      <w:ind w:firstLine="420" w:firstLineChars="200"/>
      <w:jc w:val="both"/>
      <w:textAlignment w:val="baseline"/>
    </w:pPr>
  </w:style>
  <w:style w:type="character" w:customStyle="1" w:styleId="55">
    <w:name w:val="标题 1 Char"/>
    <w:basedOn w:val="39"/>
    <w:link w:val="2"/>
    <w:autoRedefine/>
    <w:qFormat/>
    <w:locked/>
    <w:uiPriority w:val="99"/>
    <w:rPr>
      <w:b/>
      <w:bCs/>
      <w:kern w:val="44"/>
      <w:sz w:val="44"/>
      <w:szCs w:val="44"/>
    </w:rPr>
  </w:style>
  <w:style w:type="character" w:customStyle="1" w:styleId="56">
    <w:name w:val="标题 2 Char"/>
    <w:basedOn w:val="39"/>
    <w:link w:val="3"/>
    <w:autoRedefine/>
    <w:qFormat/>
    <w:locked/>
    <w:uiPriority w:val="99"/>
    <w:rPr>
      <w:rFonts w:ascii="Cambria" w:hAnsi="Cambria" w:cs="Cambria"/>
      <w:b/>
      <w:bCs/>
      <w:kern w:val="2"/>
      <w:sz w:val="32"/>
      <w:szCs w:val="32"/>
    </w:rPr>
  </w:style>
  <w:style w:type="character" w:customStyle="1" w:styleId="57">
    <w:name w:val="标题 3 Char"/>
    <w:basedOn w:val="39"/>
    <w:link w:val="4"/>
    <w:autoRedefine/>
    <w:qFormat/>
    <w:locked/>
    <w:uiPriority w:val="99"/>
    <w:rPr>
      <w:b/>
      <w:bCs/>
      <w:kern w:val="2"/>
      <w:sz w:val="32"/>
      <w:szCs w:val="32"/>
    </w:rPr>
  </w:style>
  <w:style w:type="character" w:customStyle="1" w:styleId="58">
    <w:name w:val="标题 4 Char"/>
    <w:basedOn w:val="39"/>
    <w:link w:val="5"/>
    <w:autoRedefine/>
    <w:semiHidden/>
    <w:qFormat/>
    <w:locked/>
    <w:uiPriority w:val="99"/>
    <w:rPr>
      <w:rFonts w:ascii="Cambria" w:hAnsi="Cambria" w:eastAsia="宋体" w:cs="Cambria"/>
      <w:b/>
      <w:bCs/>
      <w:sz w:val="28"/>
      <w:szCs w:val="28"/>
    </w:rPr>
  </w:style>
  <w:style w:type="character" w:customStyle="1" w:styleId="59">
    <w:name w:val="标题 5 Char"/>
    <w:basedOn w:val="39"/>
    <w:link w:val="6"/>
    <w:autoRedefine/>
    <w:qFormat/>
    <w:locked/>
    <w:uiPriority w:val="99"/>
    <w:rPr>
      <w:b/>
      <w:bCs/>
      <w:kern w:val="2"/>
      <w:sz w:val="28"/>
      <w:szCs w:val="28"/>
    </w:rPr>
  </w:style>
  <w:style w:type="character" w:customStyle="1" w:styleId="60">
    <w:name w:val="标题 6 Char"/>
    <w:basedOn w:val="39"/>
    <w:link w:val="7"/>
    <w:autoRedefine/>
    <w:semiHidden/>
    <w:qFormat/>
    <w:locked/>
    <w:uiPriority w:val="99"/>
    <w:rPr>
      <w:rFonts w:ascii="Cambria" w:hAnsi="Cambria" w:eastAsia="宋体" w:cs="Cambria"/>
      <w:b/>
      <w:bCs/>
      <w:sz w:val="24"/>
      <w:szCs w:val="24"/>
    </w:rPr>
  </w:style>
  <w:style w:type="character" w:customStyle="1" w:styleId="61">
    <w:name w:val="批注文字 Char"/>
    <w:basedOn w:val="39"/>
    <w:link w:val="12"/>
    <w:autoRedefine/>
    <w:semiHidden/>
    <w:qFormat/>
    <w:locked/>
    <w:uiPriority w:val="99"/>
    <w:rPr>
      <w:sz w:val="21"/>
      <w:szCs w:val="21"/>
    </w:rPr>
  </w:style>
  <w:style w:type="character" w:customStyle="1" w:styleId="62">
    <w:name w:val="批注主题 Char"/>
    <w:basedOn w:val="61"/>
    <w:link w:val="34"/>
    <w:autoRedefine/>
    <w:semiHidden/>
    <w:qFormat/>
    <w:locked/>
    <w:uiPriority w:val="99"/>
    <w:rPr>
      <w:b/>
      <w:bCs/>
      <w:sz w:val="21"/>
      <w:szCs w:val="21"/>
    </w:rPr>
  </w:style>
  <w:style w:type="character" w:customStyle="1" w:styleId="63">
    <w:name w:val="文档结构图 Char"/>
    <w:basedOn w:val="39"/>
    <w:link w:val="11"/>
    <w:autoRedefine/>
    <w:semiHidden/>
    <w:qFormat/>
    <w:locked/>
    <w:uiPriority w:val="99"/>
    <w:rPr>
      <w:sz w:val="2"/>
      <w:szCs w:val="2"/>
    </w:rPr>
  </w:style>
  <w:style w:type="character" w:customStyle="1" w:styleId="64">
    <w:name w:val="正文文本 3 Char"/>
    <w:basedOn w:val="39"/>
    <w:link w:val="13"/>
    <w:autoRedefine/>
    <w:semiHidden/>
    <w:qFormat/>
    <w:locked/>
    <w:uiPriority w:val="99"/>
    <w:rPr>
      <w:sz w:val="16"/>
      <w:szCs w:val="16"/>
    </w:rPr>
  </w:style>
  <w:style w:type="character" w:customStyle="1" w:styleId="65">
    <w:name w:val="正文文本 Char"/>
    <w:basedOn w:val="39"/>
    <w:link w:val="14"/>
    <w:autoRedefine/>
    <w:qFormat/>
    <w:locked/>
    <w:uiPriority w:val="99"/>
    <w:rPr>
      <w:rFonts w:eastAsia="宋体"/>
      <w:kern w:val="2"/>
      <w:sz w:val="21"/>
      <w:szCs w:val="21"/>
      <w:lang w:val="en-US" w:eastAsia="zh-CN"/>
    </w:rPr>
  </w:style>
  <w:style w:type="character" w:customStyle="1" w:styleId="66">
    <w:name w:val="正文文本缩进 Char"/>
    <w:basedOn w:val="39"/>
    <w:link w:val="15"/>
    <w:autoRedefine/>
    <w:qFormat/>
    <w:locked/>
    <w:uiPriority w:val="99"/>
    <w:rPr>
      <w:snapToGrid w:val="0"/>
      <w:sz w:val="24"/>
      <w:szCs w:val="24"/>
    </w:rPr>
  </w:style>
  <w:style w:type="character" w:customStyle="1" w:styleId="67">
    <w:name w:val="纯文本 Char"/>
    <w:basedOn w:val="39"/>
    <w:link w:val="18"/>
    <w:autoRedefine/>
    <w:qFormat/>
    <w:locked/>
    <w:uiPriority w:val="99"/>
    <w:rPr>
      <w:rFonts w:ascii="宋体" w:hAnsi="Courier New" w:eastAsia="宋体" w:cs="宋体"/>
      <w:kern w:val="2"/>
      <w:sz w:val="21"/>
      <w:szCs w:val="21"/>
      <w:lang w:val="en-US" w:eastAsia="zh-CN"/>
    </w:rPr>
  </w:style>
  <w:style w:type="character" w:customStyle="1" w:styleId="68">
    <w:name w:val="日期 Char"/>
    <w:basedOn w:val="39"/>
    <w:link w:val="20"/>
    <w:autoRedefine/>
    <w:semiHidden/>
    <w:qFormat/>
    <w:locked/>
    <w:uiPriority w:val="99"/>
    <w:rPr>
      <w:sz w:val="21"/>
      <w:szCs w:val="21"/>
    </w:rPr>
  </w:style>
  <w:style w:type="character" w:customStyle="1" w:styleId="69">
    <w:name w:val="正文文本缩进 2 Char"/>
    <w:basedOn w:val="39"/>
    <w:link w:val="21"/>
    <w:autoRedefine/>
    <w:qFormat/>
    <w:locked/>
    <w:uiPriority w:val="99"/>
    <w:rPr>
      <w:snapToGrid w:val="0"/>
      <w:sz w:val="24"/>
      <w:szCs w:val="24"/>
    </w:rPr>
  </w:style>
  <w:style w:type="character" w:customStyle="1" w:styleId="70">
    <w:name w:val="批注框文本 Char"/>
    <w:basedOn w:val="39"/>
    <w:link w:val="22"/>
    <w:autoRedefine/>
    <w:qFormat/>
    <w:locked/>
    <w:uiPriority w:val="99"/>
    <w:rPr>
      <w:kern w:val="2"/>
      <w:sz w:val="18"/>
      <w:szCs w:val="18"/>
    </w:rPr>
  </w:style>
  <w:style w:type="character" w:customStyle="1" w:styleId="71">
    <w:name w:val="页脚 Char"/>
    <w:basedOn w:val="39"/>
    <w:link w:val="23"/>
    <w:autoRedefine/>
    <w:qFormat/>
    <w:locked/>
    <w:uiPriority w:val="99"/>
    <w:rPr>
      <w:rFonts w:eastAsia="宋体"/>
      <w:kern w:val="2"/>
      <w:sz w:val="18"/>
      <w:szCs w:val="18"/>
      <w:lang w:val="en-US" w:eastAsia="zh-CN"/>
    </w:rPr>
  </w:style>
  <w:style w:type="character" w:customStyle="1" w:styleId="72">
    <w:name w:val="页眉 Char"/>
    <w:basedOn w:val="39"/>
    <w:link w:val="24"/>
    <w:autoRedefine/>
    <w:semiHidden/>
    <w:qFormat/>
    <w:locked/>
    <w:uiPriority w:val="99"/>
    <w:rPr>
      <w:sz w:val="18"/>
      <w:szCs w:val="18"/>
    </w:rPr>
  </w:style>
  <w:style w:type="character" w:customStyle="1" w:styleId="73">
    <w:name w:val="正文文本缩进 3 Char"/>
    <w:basedOn w:val="39"/>
    <w:link w:val="29"/>
    <w:autoRedefine/>
    <w:qFormat/>
    <w:locked/>
    <w:uiPriority w:val="99"/>
    <w:rPr>
      <w:rFonts w:ascii="宋体" w:eastAsia="宋体" w:cs="宋体"/>
      <w:snapToGrid w:val="0"/>
      <w:sz w:val="24"/>
      <w:szCs w:val="24"/>
    </w:rPr>
  </w:style>
  <w:style w:type="character" w:customStyle="1" w:styleId="74">
    <w:name w:val="正文文本 2 Char"/>
    <w:basedOn w:val="39"/>
    <w:link w:val="32"/>
    <w:autoRedefine/>
    <w:qFormat/>
    <w:locked/>
    <w:uiPriority w:val="99"/>
    <w:rPr>
      <w:rFonts w:ascii="宋体" w:cs="宋体"/>
      <w:kern w:val="2"/>
      <w:sz w:val="24"/>
      <w:szCs w:val="24"/>
    </w:rPr>
  </w:style>
  <w:style w:type="character" w:customStyle="1" w:styleId="75">
    <w:name w:val="Char Char24"/>
    <w:autoRedefine/>
    <w:qFormat/>
    <w:locked/>
    <w:uiPriority w:val="99"/>
    <w:rPr>
      <w:rFonts w:eastAsia="宋体"/>
      <w:b/>
      <w:bCs/>
      <w:kern w:val="2"/>
      <w:sz w:val="32"/>
      <w:szCs w:val="32"/>
      <w:lang w:val="en-US" w:eastAsia="zh-CN"/>
    </w:rPr>
  </w:style>
  <w:style w:type="character" w:customStyle="1" w:styleId="76">
    <w:name w:val="t_tag"/>
    <w:basedOn w:val="39"/>
    <w:autoRedefine/>
    <w:qFormat/>
    <w:uiPriority w:val="99"/>
  </w:style>
  <w:style w:type="character" w:customStyle="1" w:styleId="77">
    <w:name w:val="Char Char3"/>
    <w:autoRedefine/>
    <w:qFormat/>
    <w:uiPriority w:val="99"/>
    <w:rPr>
      <w:rFonts w:eastAsia="宋体"/>
      <w:kern w:val="2"/>
      <w:sz w:val="24"/>
      <w:szCs w:val="24"/>
      <w:lang w:val="en-US" w:eastAsia="zh-CN"/>
    </w:rPr>
  </w:style>
  <w:style w:type="paragraph" w:customStyle="1" w:styleId="78">
    <w:name w:val="Char Char Char Char"/>
    <w:basedOn w:val="1"/>
    <w:autoRedefine/>
    <w:qFormat/>
    <w:uiPriority w:val="99"/>
    <w:rPr>
      <w:rFonts w:ascii="Tahoma" w:hAnsi="Tahoma" w:cs="Tahoma"/>
      <w:sz w:val="24"/>
      <w:szCs w:val="24"/>
    </w:rPr>
  </w:style>
  <w:style w:type="paragraph" w:customStyle="1" w:styleId="79">
    <w:name w:val="Char Char Char"/>
    <w:basedOn w:val="1"/>
    <w:autoRedefine/>
    <w:qFormat/>
    <w:uiPriority w:val="99"/>
    <w:pPr>
      <w:spacing w:line="360" w:lineRule="auto"/>
    </w:pPr>
  </w:style>
  <w:style w:type="paragraph" w:customStyle="1" w:styleId="80">
    <w:name w:val="列出段落1"/>
    <w:basedOn w:val="1"/>
    <w:autoRedefine/>
    <w:qFormat/>
    <w:uiPriority w:val="99"/>
    <w:pPr>
      <w:ind w:firstLine="420" w:firstLineChars="200"/>
    </w:pPr>
    <w:rPr>
      <w:rFonts w:ascii="Calibri" w:hAnsi="Calibri" w:cs="Calibri"/>
    </w:rPr>
  </w:style>
  <w:style w:type="paragraph" w:customStyle="1" w:styleId="81">
    <w:name w:val="Char"/>
    <w:basedOn w:val="1"/>
    <w:autoRedefine/>
    <w:qFormat/>
    <w:uiPriority w:val="99"/>
    <w:pPr>
      <w:spacing w:line="360" w:lineRule="auto"/>
    </w:pPr>
    <w:rPr>
      <w:rFonts w:ascii="仿宋_GB2312" w:eastAsia="仿宋_GB2312" w:cs="仿宋_GB2312"/>
      <w:b/>
      <w:bCs/>
      <w:sz w:val="32"/>
      <w:szCs w:val="32"/>
    </w:rPr>
  </w:style>
  <w:style w:type="paragraph" w:customStyle="1" w:styleId="82">
    <w:name w:val="保留正文"/>
    <w:basedOn w:val="14"/>
    <w:autoRedefine/>
    <w:qFormat/>
    <w:uiPriority w:val="99"/>
    <w:pPr>
      <w:keepNext/>
      <w:spacing w:after="160"/>
      <w:jc w:val="both"/>
    </w:pPr>
  </w:style>
  <w:style w:type="paragraph" w:customStyle="1" w:styleId="83">
    <w:name w:val="普通 (Web)"/>
    <w:basedOn w:val="1"/>
    <w:autoRedefine/>
    <w:qFormat/>
    <w:uiPriority w:val="99"/>
    <w:pPr>
      <w:widowControl/>
      <w:spacing w:before="100" w:beforeAutospacing="1" w:after="100" w:afterAutospacing="1"/>
      <w:jc w:val="left"/>
    </w:pPr>
    <w:rPr>
      <w:rFonts w:ascii="宋体" w:hAnsi="宋体" w:cs="宋体"/>
      <w:sz w:val="24"/>
      <w:szCs w:val="24"/>
    </w:rPr>
  </w:style>
  <w:style w:type="paragraph" w:customStyle="1" w:styleId="84">
    <w:name w:val="目录"/>
    <w:basedOn w:val="1"/>
    <w:autoRedefine/>
    <w:qFormat/>
    <w:uiPriority w:val="99"/>
    <w:pPr>
      <w:widowControl/>
      <w:jc w:val="center"/>
    </w:pPr>
    <w:rPr>
      <w:rFonts w:ascii="宋体" w:cs="宋体"/>
      <w:b/>
      <w:bCs/>
      <w:sz w:val="36"/>
      <w:szCs w:val="36"/>
    </w:rPr>
  </w:style>
  <w:style w:type="paragraph" w:customStyle="1" w:styleId="85">
    <w:name w:val="Char Char Char Char1"/>
    <w:basedOn w:val="1"/>
    <w:autoRedefine/>
    <w:qFormat/>
    <w:uiPriority w:val="99"/>
    <w:pPr>
      <w:adjustRightInd w:val="0"/>
      <w:spacing w:line="440" w:lineRule="exact"/>
    </w:pPr>
    <w:rPr>
      <w:sz w:val="20"/>
      <w:szCs w:val="20"/>
    </w:rPr>
  </w:style>
  <w:style w:type="character" w:customStyle="1" w:styleId="86">
    <w:name w:val="ui-bz-bg-hover"/>
    <w:basedOn w:val="39"/>
    <w:autoRedefine/>
    <w:qFormat/>
    <w:uiPriority w:val="99"/>
    <w:rPr>
      <w:shd w:val="clear" w:color="auto" w:fill="000000"/>
    </w:rPr>
  </w:style>
  <w:style w:type="character" w:customStyle="1" w:styleId="87">
    <w:name w:val="ui-bz-bg-hover1"/>
    <w:basedOn w:val="39"/>
    <w:autoRedefine/>
    <w:qFormat/>
    <w:uiPriority w:val="99"/>
  </w:style>
  <w:style w:type="character" w:customStyle="1" w:styleId="88">
    <w:name w:val="top-icon"/>
    <w:basedOn w:val="39"/>
    <w:autoRedefine/>
    <w:qFormat/>
    <w:uiPriority w:val="99"/>
  </w:style>
  <w:style w:type="character" w:customStyle="1" w:styleId="89">
    <w:name w:val="t-tag"/>
    <w:basedOn w:val="39"/>
    <w:autoRedefine/>
    <w:qFormat/>
    <w:uiPriority w:val="99"/>
    <w:rPr>
      <w:color w:val="FFFFFF"/>
      <w:sz w:val="18"/>
      <w:szCs w:val="18"/>
      <w:shd w:val="clear" w:color="auto" w:fill="auto"/>
    </w:rPr>
  </w:style>
  <w:style w:type="character" w:customStyle="1" w:styleId="90">
    <w:name w:val="bds_more2"/>
    <w:basedOn w:val="39"/>
    <w:autoRedefine/>
    <w:qFormat/>
    <w:uiPriority w:val="99"/>
  </w:style>
  <w:style w:type="character" w:customStyle="1" w:styleId="91">
    <w:name w:val="bds_more3"/>
    <w:basedOn w:val="39"/>
    <w:autoRedefine/>
    <w:qFormat/>
    <w:uiPriority w:val="99"/>
  </w:style>
  <w:style w:type="character" w:customStyle="1" w:styleId="92">
    <w:name w:val="f-star"/>
    <w:basedOn w:val="39"/>
    <w:autoRedefine/>
    <w:qFormat/>
    <w:uiPriority w:val="99"/>
    <w:rPr>
      <w:color w:val="auto"/>
      <w:sz w:val="21"/>
      <w:szCs w:val="21"/>
    </w:rPr>
  </w:style>
  <w:style w:type="character" w:customStyle="1" w:styleId="93">
    <w:name w:val="bds_nopic"/>
    <w:basedOn w:val="39"/>
    <w:autoRedefine/>
    <w:qFormat/>
    <w:uiPriority w:val="99"/>
  </w:style>
  <w:style w:type="character" w:customStyle="1" w:styleId="94">
    <w:name w:val="orange"/>
    <w:basedOn w:val="39"/>
    <w:autoRedefine/>
    <w:qFormat/>
    <w:uiPriority w:val="99"/>
    <w:rPr>
      <w:color w:val="auto"/>
    </w:rPr>
  </w:style>
  <w:style w:type="character" w:customStyle="1" w:styleId="95">
    <w:name w:val="org_name"/>
    <w:basedOn w:val="39"/>
    <w:autoRedefine/>
    <w:qFormat/>
    <w:uiPriority w:val="99"/>
  </w:style>
  <w:style w:type="character" w:customStyle="1" w:styleId="96">
    <w:name w:val="no42"/>
    <w:basedOn w:val="39"/>
    <w:autoRedefine/>
    <w:qFormat/>
    <w:uiPriority w:val="99"/>
  </w:style>
  <w:style w:type="character" w:customStyle="1" w:styleId="97">
    <w:name w:val="no52"/>
    <w:basedOn w:val="39"/>
    <w:autoRedefine/>
    <w:qFormat/>
    <w:uiPriority w:val="99"/>
  </w:style>
  <w:style w:type="character" w:customStyle="1" w:styleId="98">
    <w:name w:val="no62"/>
    <w:basedOn w:val="39"/>
    <w:autoRedefine/>
    <w:qFormat/>
    <w:uiPriority w:val="99"/>
  </w:style>
  <w:style w:type="character" w:customStyle="1" w:styleId="99">
    <w:name w:val="no72"/>
    <w:basedOn w:val="39"/>
    <w:autoRedefine/>
    <w:qFormat/>
    <w:uiPriority w:val="99"/>
  </w:style>
  <w:style w:type="character" w:customStyle="1" w:styleId="100">
    <w:name w:val="ico-jiang"/>
    <w:basedOn w:val="39"/>
    <w:autoRedefine/>
    <w:qFormat/>
    <w:uiPriority w:val="99"/>
  </w:style>
  <w:style w:type="character" w:customStyle="1" w:styleId="101">
    <w:name w:val="ico-jiang1"/>
    <w:basedOn w:val="39"/>
    <w:autoRedefine/>
    <w:qFormat/>
    <w:uiPriority w:val="99"/>
  </w:style>
  <w:style w:type="character" w:customStyle="1" w:styleId="102">
    <w:name w:val="my-notice1"/>
    <w:basedOn w:val="39"/>
    <w:autoRedefine/>
    <w:qFormat/>
    <w:uiPriority w:val="99"/>
  </w:style>
  <w:style w:type="character" w:customStyle="1" w:styleId="103">
    <w:name w:val="my-class"/>
    <w:basedOn w:val="39"/>
    <w:autoRedefine/>
    <w:qFormat/>
    <w:uiPriority w:val="99"/>
  </w:style>
  <w:style w:type="character" w:customStyle="1" w:styleId="104">
    <w:name w:val="tip10"/>
    <w:basedOn w:val="39"/>
    <w:autoRedefine/>
    <w:qFormat/>
    <w:uiPriority w:val="99"/>
    <w:rPr>
      <w:vanish/>
      <w:color w:val="FF0000"/>
      <w:sz w:val="18"/>
      <w:szCs w:val="18"/>
    </w:rPr>
  </w:style>
  <w:style w:type="character" w:customStyle="1" w:styleId="105">
    <w:name w:val="my-class2"/>
    <w:basedOn w:val="39"/>
    <w:autoRedefine/>
    <w:qFormat/>
    <w:uiPriority w:val="99"/>
  </w:style>
  <w:style w:type="character" w:customStyle="1" w:styleId="106">
    <w:name w:val="bds_more"/>
    <w:basedOn w:val="39"/>
    <w:autoRedefine/>
    <w:qFormat/>
    <w:uiPriority w:val="99"/>
  </w:style>
  <w:style w:type="character" w:customStyle="1" w:styleId="107">
    <w:name w:val="bds_more1"/>
    <w:basedOn w:val="39"/>
    <w:autoRedefine/>
    <w:qFormat/>
    <w:uiPriority w:val="99"/>
    <w:rPr>
      <w:rFonts w:ascii="宋体" w:hAnsi="宋体" w:eastAsia="宋体" w:cs="宋体"/>
    </w:rPr>
  </w:style>
  <w:style w:type="character" w:customStyle="1" w:styleId="108">
    <w:name w:val="bds_nopic1"/>
    <w:basedOn w:val="39"/>
    <w:autoRedefine/>
    <w:qFormat/>
    <w:uiPriority w:val="99"/>
  </w:style>
  <w:style w:type="character" w:customStyle="1" w:styleId="109">
    <w:name w:val="bds_nopic2"/>
    <w:basedOn w:val="39"/>
    <w:autoRedefine/>
    <w:qFormat/>
    <w:uiPriority w:val="99"/>
  </w:style>
  <w:style w:type="character" w:customStyle="1" w:styleId="110">
    <w:name w:val="orange6"/>
    <w:basedOn w:val="39"/>
    <w:autoRedefine/>
    <w:qFormat/>
    <w:uiPriority w:val="99"/>
    <w:rPr>
      <w:color w:val="auto"/>
    </w:rPr>
  </w:style>
  <w:style w:type="character" w:customStyle="1" w:styleId="111">
    <w:name w:val="font31"/>
    <w:basedOn w:val="39"/>
    <w:autoRedefine/>
    <w:qFormat/>
    <w:uiPriority w:val="99"/>
    <w:rPr>
      <w:rFonts w:ascii="font-weight : 400" w:hAnsi="font-weight : 400" w:cs="font-weight : 400"/>
      <w:color w:val="000000"/>
      <w:sz w:val="20"/>
      <w:szCs w:val="20"/>
      <w:u w:val="none"/>
      <w:vertAlign w:val="superscript"/>
    </w:rPr>
  </w:style>
  <w:style w:type="character" w:customStyle="1" w:styleId="112">
    <w:name w:val="font01"/>
    <w:basedOn w:val="39"/>
    <w:autoRedefine/>
    <w:qFormat/>
    <w:uiPriority w:val="99"/>
    <w:rPr>
      <w:rFonts w:ascii="宋体" w:hAnsi="宋体" w:eastAsia="宋体" w:cs="宋体"/>
      <w:color w:val="FF0000"/>
      <w:sz w:val="20"/>
      <w:szCs w:val="20"/>
      <w:u w:val="none"/>
    </w:rPr>
  </w:style>
  <w:style w:type="character" w:customStyle="1" w:styleId="113">
    <w:name w:val="font11"/>
    <w:basedOn w:val="39"/>
    <w:autoRedefine/>
    <w:qFormat/>
    <w:uiPriority w:val="99"/>
    <w:rPr>
      <w:rFonts w:ascii="宋体" w:hAnsi="宋体" w:eastAsia="宋体" w:cs="宋体"/>
      <w:color w:val="000000"/>
      <w:sz w:val="20"/>
      <w:szCs w:val="20"/>
      <w:u w:val="none"/>
    </w:rPr>
  </w:style>
  <w:style w:type="paragraph" w:customStyle="1" w:styleId="114">
    <w:name w:val="Revision1"/>
    <w:autoRedefine/>
    <w:hidden/>
    <w:qFormat/>
    <w:uiPriority w:val="99"/>
    <w:rPr>
      <w:rFonts w:ascii="Times New Roman" w:hAnsi="Times New Roman" w:eastAsia="宋体" w:cs="Times New Roman"/>
      <w:kern w:val="2"/>
      <w:sz w:val="21"/>
      <w:szCs w:val="21"/>
      <w:lang w:val="en-US" w:eastAsia="zh-CN" w:bidi="ar-SA"/>
    </w:rPr>
  </w:style>
  <w:style w:type="paragraph" w:customStyle="1" w:styleId="115">
    <w:name w:val="表注1"/>
    <w:basedOn w:val="1"/>
    <w:autoRedefine/>
    <w:unhideWhenUsed/>
    <w:qFormat/>
    <w:uiPriority w:val="0"/>
    <w:pPr>
      <w:adjustRightInd w:val="0"/>
      <w:snapToGrid w:val="0"/>
      <w:spacing w:beforeLines="50" w:line="300" w:lineRule="auto"/>
      <w:ind w:left="350" w:hanging="350" w:hangingChars="350"/>
    </w:pPr>
    <w:rPr>
      <w:rFonts w:hint="eastAsia" w:eastAsia="仿宋_GB2312"/>
      <w:color w:val="000000"/>
    </w:rPr>
  </w:style>
  <w:style w:type="paragraph" w:customStyle="1" w:styleId="116">
    <w:name w:val="列出段落2"/>
    <w:basedOn w:val="1"/>
    <w:autoRedefine/>
    <w:qFormat/>
    <w:uiPriority w:val="34"/>
    <w:pPr>
      <w:ind w:firstLine="420" w:firstLineChars="200"/>
    </w:pPr>
  </w:style>
  <w:style w:type="paragraph" w:customStyle="1" w:styleId="117">
    <w:name w:val="Char1"/>
    <w:basedOn w:val="1"/>
    <w:autoRedefine/>
    <w:qFormat/>
    <w:uiPriority w:val="0"/>
    <w:pPr>
      <w:tabs>
        <w:tab w:val="left" w:pos="360"/>
      </w:tabs>
      <w:ind w:left="360" w:hanging="360" w:hangingChars="200"/>
    </w:pPr>
    <w:rPr>
      <w:sz w:val="24"/>
      <w:szCs w:val="24"/>
    </w:rPr>
  </w:style>
  <w:style w:type="paragraph" w:styleId="118">
    <w:name w:val="List Paragraph"/>
    <w:basedOn w:val="1"/>
    <w:autoRedefine/>
    <w:unhideWhenUsed/>
    <w:qFormat/>
    <w:uiPriority w:val="99"/>
    <w:pPr>
      <w:ind w:firstLine="420" w:firstLineChars="200"/>
    </w:pPr>
  </w:style>
  <w:style w:type="character" w:customStyle="1" w:styleId="119">
    <w:name w:val="phone"/>
    <w:basedOn w:val="39"/>
    <w:autoRedefine/>
    <w:qFormat/>
    <w:uiPriority w:val="0"/>
    <w:rPr>
      <w:color w:val="FF8833"/>
      <w:sz w:val="12"/>
      <w:szCs w:val="12"/>
    </w:rPr>
  </w:style>
  <w:style w:type="character" w:customStyle="1" w:styleId="120">
    <w:name w:val="proollist"/>
    <w:basedOn w:val="39"/>
    <w:autoRedefine/>
    <w:qFormat/>
    <w:uiPriority w:val="0"/>
  </w:style>
  <w:style w:type="character" w:customStyle="1" w:styleId="121">
    <w:name w:val="number"/>
    <w:basedOn w:val="39"/>
    <w:autoRedefine/>
    <w:qFormat/>
    <w:uiPriority w:val="0"/>
    <w:rPr>
      <w:color w:val="FF8833"/>
      <w:sz w:val="12"/>
      <w:szCs w:val="12"/>
    </w:rPr>
  </w:style>
  <w:style w:type="character" w:customStyle="1" w:styleId="122">
    <w:name w:val="stclosebtn"/>
    <w:basedOn w:val="39"/>
    <w:autoRedefine/>
    <w:qFormat/>
    <w:uiPriority w:val="0"/>
  </w:style>
  <w:style w:type="character" w:customStyle="1" w:styleId="123">
    <w:name w:val="beforeinfotext"/>
    <w:basedOn w:val="39"/>
    <w:autoRedefine/>
    <w:qFormat/>
    <w:uiPriority w:val="0"/>
    <w:rPr>
      <w:color w:val="666666"/>
    </w:rPr>
  </w:style>
  <w:style w:type="paragraph" w:customStyle="1" w:styleId="124">
    <w:name w:val="Table Paragraph"/>
    <w:basedOn w:val="1"/>
    <w:autoRedefine/>
    <w:qFormat/>
    <w:uiPriority w:val="0"/>
  </w:style>
  <w:style w:type="character" w:customStyle="1" w:styleId="125">
    <w:name w:val="font41"/>
    <w:basedOn w:val="39"/>
    <w:autoRedefine/>
    <w:qFormat/>
    <w:uiPriority w:val="0"/>
    <w:rPr>
      <w:rFonts w:hint="eastAsia" w:ascii="宋体" w:hAnsi="宋体" w:eastAsia="宋体" w:cs="宋体"/>
      <w:color w:val="000000"/>
      <w:sz w:val="32"/>
      <w:szCs w:val="32"/>
      <w:u w:val="none"/>
    </w:rPr>
  </w:style>
  <w:style w:type="character" w:customStyle="1" w:styleId="126">
    <w:name w:val="font71"/>
    <w:basedOn w:val="39"/>
    <w:autoRedefine/>
    <w:qFormat/>
    <w:uiPriority w:val="0"/>
    <w:rPr>
      <w:rFonts w:hint="eastAsia" w:ascii="仿宋" w:hAnsi="仿宋" w:eastAsia="仿宋" w:cs="仿宋"/>
      <w:color w:val="000000"/>
      <w:sz w:val="32"/>
      <w:szCs w:val="32"/>
      <w:u w:val="none"/>
    </w:rPr>
  </w:style>
  <w:style w:type="character" w:customStyle="1" w:styleId="127">
    <w:name w:val="font61"/>
    <w:basedOn w:val="39"/>
    <w:autoRedefine/>
    <w:qFormat/>
    <w:uiPriority w:val="0"/>
    <w:rPr>
      <w:rFonts w:hint="eastAsia" w:ascii="仿宋" w:hAnsi="仿宋" w:eastAsia="仿宋" w:cs="仿宋"/>
      <w:color w:val="000000"/>
      <w:sz w:val="32"/>
      <w:szCs w:val="32"/>
      <w:u w:val="none"/>
    </w:rPr>
  </w:style>
  <w:style w:type="character" w:customStyle="1" w:styleId="128">
    <w:name w:val="font21"/>
    <w:basedOn w:val="39"/>
    <w:autoRedefine/>
    <w:qFormat/>
    <w:uiPriority w:val="0"/>
    <w:rPr>
      <w:rFonts w:hint="eastAsia" w:ascii="仿宋" w:hAnsi="仿宋" w:eastAsia="仿宋" w:cs="仿宋"/>
      <w:color w:val="000000"/>
      <w:sz w:val="32"/>
      <w:szCs w:val="32"/>
      <w:u w:val="none"/>
    </w:rPr>
  </w:style>
  <w:style w:type="paragraph" w:customStyle="1" w:styleId="129">
    <w:name w:val="样式1"/>
    <w:basedOn w:val="1"/>
    <w:autoRedefine/>
    <w:qFormat/>
    <w:uiPriority w:val="0"/>
    <w:pPr>
      <w:adjustRightInd w:val="0"/>
      <w:textAlignment w:val="baseline"/>
    </w:pPr>
    <w:rPr>
      <w:rFonts w:ascii="宋体" w:hAnsi="宋体"/>
      <w:kern w:val="0"/>
    </w:rPr>
  </w:style>
  <w:style w:type="paragraph" w:customStyle="1" w:styleId="130">
    <w:name w:val="reader-word-layer reader-word-s14-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131">
    <w:name w:val="p0"/>
    <w:basedOn w:val="1"/>
    <w:autoRedefine/>
    <w:qFormat/>
    <w:uiPriority w:val="0"/>
    <w:pPr>
      <w:widowControl/>
    </w:pPr>
    <w:rPr>
      <w:kern w:val="0"/>
    </w:rPr>
  </w:style>
  <w:style w:type="paragraph" w:customStyle="1" w:styleId="132">
    <w:name w:val="正文缩进1"/>
    <w:basedOn w:val="1"/>
    <w:autoRedefine/>
    <w:qFormat/>
    <w:uiPriority w:val="0"/>
    <w:pPr>
      <w:ind w:firstLine="420" w:firstLineChars="200"/>
    </w:pPr>
  </w:style>
  <w:style w:type="paragraph" w:customStyle="1" w:styleId="133">
    <w:name w:val="样式 首行缩进:  2 字符"/>
    <w:basedOn w:val="1"/>
    <w:autoRedefine/>
    <w:qFormat/>
    <w:uiPriority w:val="0"/>
    <w:pPr>
      <w:spacing w:line="400" w:lineRule="exact"/>
      <w:ind w:firstLine="200" w:firstLineChars="200"/>
    </w:pPr>
    <w:rPr>
      <w:rFonts w:cs="宋体"/>
      <w:sz w:val="24"/>
    </w:rPr>
  </w:style>
  <w:style w:type="character" w:customStyle="1" w:styleId="134">
    <w:name w:val="NormalCharacter"/>
    <w:link w:val="1"/>
    <w:autoRedefine/>
    <w:semiHidden/>
    <w:qFormat/>
    <w:uiPriority w:val="0"/>
    <w:rPr>
      <w:rFonts w:ascii="Times New Roman" w:hAnsi="Times New Roman" w:eastAsia="宋体" w:cs="Times New Roman"/>
      <w:kern w:val="2"/>
      <w:sz w:val="21"/>
      <w:szCs w:val="21"/>
      <w:lang w:val="en-US" w:eastAsia="zh-CN" w:bidi="ar-SA"/>
    </w:rPr>
  </w:style>
  <w:style w:type="paragraph" w:customStyle="1" w:styleId="135">
    <w:name w:val="HtmlPre"/>
    <w:basedOn w:val="1"/>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textAlignment w:val="baseline"/>
    </w:pPr>
    <w:rPr>
      <w:rFonts w:ascii="黑体" w:hAnsi="Courier New" w:eastAsia="黑体"/>
      <w:kern w:val="2"/>
      <w:sz w:val="24"/>
      <w:lang w:val="en-US" w:eastAsia="zh-CN" w:bidi="ar-SA"/>
    </w:rPr>
  </w:style>
  <w:style w:type="paragraph" w:customStyle="1" w:styleId="136">
    <w:name w:val="BodyText"/>
    <w:basedOn w:val="1"/>
    <w:next w:val="137"/>
    <w:autoRedefine/>
    <w:qFormat/>
    <w:uiPriority w:val="0"/>
    <w:pPr>
      <w:spacing w:after="120"/>
      <w:jc w:val="both"/>
      <w:textAlignment w:val="baseline"/>
    </w:pPr>
    <w:rPr>
      <w:rFonts w:ascii="Times New Roman" w:hAnsi="Times New Roman" w:eastAsia="宋体"/>
      <w:kern w:val="2"/>
      <w:sz w:val="21"/>
      <w:szCs w:val="24"/>
      <w:lang w:val="en-US" w:eastAsia="zh-CN" w:bidi="ar-SA"/>
    </w:rPr>
  </w:style>
  <w:style w:type="paragraph" w:customStyle="1" w:styleId="137">
    <w:name w:val="TOC9"/>
    <w:basedOn w:val="1"/>
    <w:next w:val="1"/>
    <w:autoRedefine/>
    <w:semiHidden/>
    <w:qFormat/>
    <w:uiPriority w:val="0"/>
    <w:pPr>
      <w:ind w:left="1680"/>
      <w:jc w:val="left"/>
      <w:textAlignment w:val="baseline"/>
    </w:pPr>
    <w:rPr>
      <w:rFonts w:ascii="Calibri" w:hAnsi="Calibri" w:eastAsia="宋体"/>
      <w:kern w:val="2"/>
      <w:sz w:val="18"/>
      <w:szCs w:val="18"/>
      <w:lang w:val="en-US" w:eastAsia="zh-CN" w:bidi="ar-SA"/>
    </w:rPr>
  </w:style>
  <w:style w:type="paragraph" w:customStyle="1" w:styleId="138">
    <w:name w:val="WPSOffice手动目录 1"/>
    <w:autoRedefine/>
    <w:qFormat/>
    <w:uiPriority w:val="0"/>
    <w:pPr>
      <w:ind w:leftChars="0"/>
    </w:pPr>
    <w:rPr>
      <w:rFonts w:ascii="Times New Roman" w:hAnsi="Times New Roman" w:eastAsia="宋体" w:cs="Times New Roman"/>
      <w:sz w:val="20"/>
      <w:szCs w:val="20"/>
    </w:rPr>
  </w:style>
  <w:style w:type="paragraph" w:customStyle="1" w:styleId="139">
    <w:name w:val="title11"/>
    <w:basedOn w:val="1"/>
    <w:autoRedefine/>
    <w:qFormat/>
    <w:uiPriority w:val="0"/>
    <w:pPr>
      <w:spacing w:before="150" w:beforeAutospacing="0" w:after="0" w:afterAutospacing="0" w:line="450" w:lineRule="atLeast"/>
      <w:ind w:left="0" w:right="0"/>
      <w:jc w:val="left"/>
    </w:pPr>
    <w:rPr>
      <w:b/>
      <w:bCs/>
      <w:kern w:val="0"/>
      <w:sz w:val="24"/>
      <w:szCs w:val="24"/>
      <w:lang w:val="en-US" w:eastAsia="zh-CN" w:bidi="ar"/>
    </w:rPr>
  </w:style>
  <w:style w:type="character" w:customStyle="1" w:styleId="140">
    <w:name w:val="button"/>
    <w:basedOn w:val="39"/>
    <w:autoRedefine/>
    <w:qFormat/>
    <w:uiPriority w:val="0"/>
  </w:style>
  <w:style w:type="character" w:customStyle="1" w:styleId="141">
    <w:name w:val="hover3"/>
    <w:basedOn w:val="39"/>
    <w:autoRedefine/>
    <w:qFormat/>
    <w:uiPriority w:val="0"/>
    <w:rPr>
      <w:shd w:val="clear" w:fill="EEEEEE"/>
    </w:rPr>
  </w:style>
  <w:style w:type="character" w:customStyle="1" w:styleId="142">
    <w:name w:val="hour_pm"/>
    <w:basedOn w:val="39"/>
    <w:autoRedefine/>
    <w:qFormat/>
    <w:uiPriority w:val="0"/>
  </w:style>
  <w:style w:type="character" w:customStyle="1" w:styleId="143">
    <w:name w:val="tmpztreemove_arrow"/>
    <w:basedOn w:val="39"/>
    <w:autoRedefine/>
    <w:qFormat/>
    <w:uiPriority w:val="0"/>
    <w:rPr>
      <w:shd w:val="clear" w:fill="FFFFFF"/>
    </w:rPr>
  </w:style>
  <w:style w:type="character" w:customStyle="1" w:styleId="144">
    <w:name w:val="old"/>
    <w:basedOn w:val="39"/>
    <w:autoRedefine/>
    <w:qFormat/>
    <w:uiPriority w:val="0"/>
    <w:rPr>
      <w:color w:val="999999"/>
    </w:rPr>
  </w:style>
  <w:style w:type="character" w:customStyle="1" w:styleId="145">
    <w:name w:val="glyphicon4"/>
    <w:basedOn w:val="39"/>
    <w:autoRedefine/>
    <w:qFormat/>
    <w:uiPriority w:val="0"/>
  </w:style>
  <w:style w:type="character" w:customStyle="1" w:styleId="146">
    <w:name w:val="hour_am"/>
    <w:basedOn w:val="39"/>
    <w:autoRedefine/>
    <w:qFormat/>
    <w:uiPriority w:val="0"/>
  </w:style>
  <w:style w:type="character" w:customStyle="1" w:styleId="147">
    <w:name w:val="indent"/>
    <w:basedOn w:val="39"/>
    <w:autoRedefine/>
    <w:qFormat/>
    <w:uiPriority w:val="0"/>
  </w:style>
  <w:style w:type="paragraph" w:customStyle="1" w:styleId="148">
    <w:name w:val="BodyText1I2"/>
    <w:basedOn w:val="149"/>
    <w:qFormat/>
    <w:uiPriority w:val="0"/>
    <w:pPr>
      <w:snapToGrid w:val="0"/>
      <w:spacing w:after="120" w:line="300" w:lineRule="auto"/>
      <w:ind w:left="420" w:leftChars="200" w:firstLine="420" w:firstLineChars="200"/>
      <w:jc w:val="both"/>
      <w:textAlignment w:val="baseline"/>
    </w:pPr>
    <w:rPr>
      <w:szCs w:val="22"/>
    </w:rPr>
  </w:style>
  <w:style w:type="paragraph" w:customStyle="1" w:styleId="149">
    <w:name w:val="BodyTextIndent"/>
    <w:basedOn w:val="1"/>
    <w:qFormat/>
    <w:uiPriority w:val="0"/>
    <w:pPr>
      <w:spacing w:after="120"/>
      <w:ind w:left="420" w:leftChars="200"/>
      <w:jc w:val="both"/>
      <w:textAlignment w:val="baseline"/>
    </w:p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image" Target="media/image1.pn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53</Pages>
  <Words>871</Words>
  <Characters>957</Characters>
  <Lines>262</Lines>
  <Paragraphs>73</Paragraphs>
  <TotalTime>182</TotalTime>
  <ScaleCrop>false</ScaleCrop>
  <LinksUpToDate>false</LinksUpToDate>
  <CharactersWithSpaces>991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2019-07-22T09:28:00Z</dcterms:created>
  <dc:creator>Longwill-4</dc:creator>
  <cp:lastModifiedBy>A彩虹小姐姐</cp:lastModifiedBy>
  <cp:lastPrinted>2025-07-24T07:06:00Z</cp:lastPrinted>
  <dcterms:modified xsi:type="dcterms:W3CDTF">2025-07-28T01:32:48Z</dcterms:modified>
  <dc:title>招标编号:SXLHZB2009-276</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45858E71AEF54FDF9669BBDC25C6ED97_13</vt:lpwstr>
  </property>
  <property fmtid="{D5CDD505-2E9C-101B-9397-08002B2CF9AE}" pid="4" name="KSOTemplateDocerSaveRecord">
    <vt:lpwstr>eyJoZGlkIjoiZTFiZGU4MzRhNDg1YTM5YWIxNzkwOWQzYzJhN2MzY2QiLCJ1c2VySWQiOiI3NzgzNjAwODYifQ==</vt:lpwstr>
  </property>
</Properties>
</file>