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13" w:name="_GoBack"/>
      <w:bookmarkEnd w:id="13"/>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43"/>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41"/>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pPr>
        <w:widowControl w:val="0"/>
        <w:topLinePunct/>
        <w:spacing w:line="360" w:lineRule="auto"/>
        <w:jc w:val="center"/>
        <w:rPr>
          <w:rFonts w:eastAsia="宋体" w:cs="Tahoma"/>
          <w:sz w:val="36"/>
          <w:szCs w:val="36"/>
        </w:rPr>
      </w:pPr>
    </w:p>
    <w:p>
      <w:pPr>
        <w:pStyle w:val="44"/>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陕西省西安市消防救援支队航空救援培训服务采购项目</w:t>
      </w:r>
    </w:p>
    <w:p>
      <w:pPr>
        <w:pStyle w:val="44"/>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XCZX2025-0032-2</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42"/>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2025年7月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23"/>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9"/>
          <w:rFonts w:hint="eastAsia"/>
        </w:rPr>
        <w:t>第一章　投标邀请函</w:t>
      </w:r>
      <w:r>
        <w:tab/>
      </w:r>
      <w:r>
        <w:fldChar w:fldCharType="begin"/>
      </w:r>
      <w:r>
        <w:instrText xml:space="preserve"> PAGEREF _Toc100219612 \h </w:instrText>
      </w:r>
      <w:r>
        <w:fldChar w:fldCharType="separate"/>
      </w:r>
      <w:r>
        <w:t>1</w:t>
      </w:r>
      <w:r>
        <w:fldChar w:fldCharType="end"/>
      </w:r>
      <w:r>
        <w:fldChar w:fldCharType="end"/>
      </w:r>
    </w:p>
    <w:p>
      <w:pPr>
        <w:pStyle w:val="23"/>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9"/>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pPr>
        <w:pStyle w:val="23"/>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9"/>
          <w:rFonts w:hint="eastAsia"/>
        </w:rPr>
        <w:t>第三章　招标内容及要求</w:t>
      </w:r>
      <w:r>
        <w:tab/>
      </w:r>
      <w:r>
        <w:fldChar w:fldCharType="begin"/>
      </w:r>
      <w:r>
        <w:instrText xml:space="preserve"> PAGEREF _Toc100219614 \h </w:instrText>
      </w:r>
      <w:r>
        <w:fldChar w:fldCharType="separate"/>
      </w:r>
      <w:r>
        <w:t>33</w:t>
      </w:r>
      <w:r>
        <w:fldChar w:fldCharType="end"/>
      </w:r>
      <w:r>
        <w:fldChar w:fldCharType="end"/>
      </w:r>
    </w:p>
    <w:p>
      <w:pPr>
        <w:pStyle w:val="23"/>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9"/>
          <w:rFonts w:hint="eastAsia"/>
        </w:rPr>
        <w:t>第四章　合同文本</w:t>
      </w:r>
      <w:r>
        <w:tab/>
      </w:r>
      <w:r>
        <w:fldChar w:fldCharType="end"/>
      </w:r>
      <w:r>
        <w:t>66</w:t>
      </w:r>
    </w:p>
    <w:p>
      <w:pPr>
        <w:pStyle w:val="23"/>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9"/>
          <w:rFonts w:hint="eastAsia"/>
        </w:rPr>
        <w:t>第五章　投标文件构成及格式</w:t>
      </w:r>
      <w:r>
        <w:tab/>
      </w:r>
      <w:r>
        <w:fldChar w:fldCharType="begin"/>
      </w:r>
      <w:r>
        <w:instrText xml:space="preserve"> PAGEREF _Toc100219616 \h </w:instrText>
      </w:r>
      <w:r>
        <w:fldChar w:fldCharType="separate"/>
      </w:r>
      <w:r>
        <w:t>37</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0" w:name="_Toc100219612"/>
      <w:r>
        <w:rPr>
          <w:rFonts w:hint="eastAsia"/>
        </w:rPr>
        <w:t>第一章　投标邀请函</w:t>
      </w:r>
      <w:bookmarkEnd w:id="0"/>
    </w:p>
    <w:p>
      <w:pPr>
        <w:widowControl w:val="0"/>
        <w:topLinePunct/>
        <w:ind w:firstLine="480" w:firstLineChars="200"/>
        <w:jc w:val="both"/>
      </w:pPr>
      <w:r>
        <w:rPr>
          <w:rFonts w:hint="eastAsia"/>
        </w:rPr>
        <w:t>西安市市级单位政府采购中心受</w:t>
      </w:r>
      <w:r>
        <w:rPr>
          <w:rFonts w:hint="eastAsia"/>
          <w:color w:val="C00000"/>
        </w:rPr>
        <w:t>西安市消防救援支队</w:t>
      </w:r>
      <w:r>
        <w:rPr>
          <w:rFonts w:hint="eastAsia"/>
        </w:rPr>
        <w:t>的委托，经政府采购监管部门批准，按照政府采购程序，对</w:t>
      </w:r>
      <w:r>
        <w:rPr>
          <w:rFonts w:hint="eastAsia"/>
          <w:color w:val="C00000"/>
        </w:rPr>
        <w:t>陕西省西安市消防救援支队航空救援培训服务采购</w:t>
      </w:r>
      <w:r>
        <w:rPr>
          <w:rFonts w:hint="eastAsia"/>
        </w:rPr>
        <w:t>项目进行公开招标，欢迎符合资格条件的、有能力提供本项目所需货物和服务的供应商参加投标。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陕西省西安市消防救援支队航空救援培训服务采购项目</w:t>
      </w:r>
    </w:p>
    <w:p>
      <w:pPr>
        <w:widowControl w:val="0"/>
        <w:topLinePunct/>
        <w:ind w:firstLine="480" w:firstLineChars="200"/>
        <w:jc w:val="both"/>
      </w:pPr>
      <w:r>
        <w:rPr>
          <w:rFonts w:hint="eastAsia"/>
        </w:rPr>
        <w:t>项目编号：</w:t>
      </w:r>
      <w:r>
        <w:rPr>
          <w:rFonts w:hint="eastAsia"/>
          <w:color w:val="C00000"/>
        </w:rPr>
        <w:t>XCZX2025-0032-2</w:t>
      </w:r>
    </w:p>
    <w:p>
      <w:pPr>
        <w:widowControl w:val="0"/>
        <w:topLinePunct/>
        <w:ind w:firstLine="480" w:firstLineChars="200"/>
        <w:jc w:val="both"/>
        <w:rPr>
          <w:color w:val="FF0000"/>
        </w:rPr>
      </w:pPr>
      <w:r>
        <w:rPr>
          <w:color w:val="FF0000"/>
        </w:rPr>
        <w:t>核准编号：</w:t>
      </w:r>
      <w:r>
        <w:rPr>
          <w:rFonts w:hint="eastAsia"/>
          <w:color w:val="FF0000"/>
        </w:rPr>
        <w:t>ZCSP-西安市-2025-00158</w:t>
      </w:r>
    </w:p>
    <w:p>
      <w:pPr>
        <w:widowControl w:val="0"/>
        <w:topLinePunct/>
        <w:ind w:firstLine="480" w:firstLineChars="200"/>
        <w:jc w:val="both"/>
      </w:pPr>
      <w:r>
        <w:rPr>
          <w:rFonts w:hint="eastAsia"/>
          <w:b/>
        </w:rPr>
        <w:t>二、项目性质：</w:t>
      </w:r>
      <w:r>
        <w:rPr>
          <w:rFonts w:hint="eastAsia"/>
          <w:color w:val="C00000"/>
        </w:rPr>
        <w:t>专门面向中小企业的采购项目</w:t>
      </w:r>
    </w:p>
    <w:p>
      <w:pPr>
        <w:widowControl w:val="0"/>
        <w:topLinePunct/>
        <w:ind w:firstLine="480" w:firstLineChars="200"/>
        <w:jc w:val="both"/>
        <w:rPr>
          <w:color w:val="C00000"/>
        </w:rPr>
      </w:pPr>
      <w:r>
        <w:rPr>
          <w:rFonts w:hint="eastAsia"/>
          <w:b/>
        </w:rPr>
        <w:t>三、采购预算：</w:t>
      </w:r>
      <w:r>
        <w:rPr>
          <w:rFonts w:hint="eastAsia"/>
          <w:color w:val="C00000"/>
        </w:rPr>
        <w:t>200.00万元，最高限价193.2万元</w:t>
      </w:r>
    </w:p>
    <w:p>
      <w:pPr>
        <w:widowControl w:val="0"/>
        <w:topLinePunct/>
        <w:ind w:firstLine="480" w:firstLineChars="200"/>
        <w:jc w:val="both"/>
      </w:pPr>
      <w:r>
        <w:rPr>
          <w:b/>
        </w:rPr>
        <w:t>四、采购</w:t>
      </w:r>
      <w:r>
        <w:rPr>
          <w:rFonts w:hint="eastAsia"/>
          <w:b/>
        </w:rPr>
        <w:t>内容和要求：</w:t>
      </w:r>
      <w:r>
        <w:rPr>
          <w:rFonts w:hint="eastAsia"/>
          <w:color w:val="C00000"/>
        </w:rPr>
        <w:t>航空救援培训服务，服务期一个月</w:t>
      </w:r>
      <w:r>
        <w:rPr>
          <w:color w:val="C00000"/>
        </w:rPr>
        <w:t>。</w:t>
      </w:r>
    </w:p>
    <w:p>
      <w:pPr>
        <w:widowControl w:val="0"/>
        <w:topLinePunct/>
        <w:ind w:firstLine="480" w:firstLineChars="200"/>
        <w:jc w:val="both"/>
      </w:pPr>
      <w:r>
        <w:rPr>
          <w:rFonts w:hint="eastAsia"/>
        </w:rPr>
        <w:t>详见第三章「招标内容及要求」。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七、获取招标文件的时间及方式：</w:t>
      </w:r>
    </w:p>
    <w:p>
      <w:pPr>
        <w:widowControl w:val="0"/>
        <w:topLinePunct/>
        <w:ind w:firstLine="480" w:firstLineChars="200"/>
        <w:jc w:val="both"/>
      </w:pPr>
      <w:r>
        <w:rPr>
          <w:rFonts w:hint="eastAsia"/>
        </w:rPr>
        <w:t>1．获取时间：自招标公告发布之日起5个工作日内。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9"/>
          <w:rFonts w:hint="eastAsia"/>
        </w:rPr>
        <w:t>http://sxggzyjy.xa.gov.cn/</w:t>
      </w:r>
      <w:r>
        <w:rPr>
          <w:rStyle w:val="39"/>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八、提交投标文件截止时间及方式：</w:t>
      </w:r>
    </w:p>
    <w:p>
      <w:pPr>
        <w:widowControl w:val="0"/>
        <w:topLinePunct/>
        <w:ind w:firstLine="480" w:firstLineChars="200"/>
        <w:jc w:val="both"/>
      </w:pPr>
      <w:r>
        <w:rPr>
          <w:rFonts w:hint="eastAsia"/>
        </w:rPr>
        <w:t>1．提交投标文件截止时间：</w:t>
      </w:r>
      <w:r>
        <w:rPr>
          <w:rFonts w:hint="eastAsia"/>
          <w:u w:val="single"/>
        </w:rPr>
        <w:t>2</w:t>
      </w:r>
      <w:r>
        <w:rPr>
          <w:u w:val="single"/>
        </w:rPr>
        <w:t>025</w:t>
      </w:r>
      <w:r>
        <w:rPr>
          <w:rFonts w:hint="eastAsia"/>
        </w:rPr>
        <w:t>年</w:t>
      </w:r>
      <w:r>
        <w:rPr>
          <w:u w:val="single"/>
        </w:rPr>
        <w:t>7</w:t>
      </w:r>
      <w:r>
        <w:rPr>
          <w:rFonts w:hint="eastAsia"/>
        </w:rPr>
        <w:t>月</w:t>
      </w:r>
      <w:r>
        <w:rPr>
          <w:u w:val="single"/>
        </w:rPr>
        <w:t>22</w:t>
      </w:r>
      <w:r>
        <w:rPr>
          <w:rFonts w:hint="eastAsia"/>
        </w:rPr>
        <w:t>日10:30，逾期提交的，系统将拒绝接收。</w:t>
      </w:r>
    </w:p>
    <w:p>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pPr>
        <w:widowControl w:val="0"/>
        <w:topLinePunct/>
        <w:ind w:firstLine="480" w:firstLineChars="200"/>
        <w:jc w:val="both"/>
      </w:pPr>
      <w:r>
        <w:rPr>
          <w:rFonts w:hint="eastAsia"/>
          <w:b/>
        </w:rPr>
        <w:t>九、开标时间、地点及形式：</w:t>
      </w:r>
    </w:p>
    <w:p>
      <w:pPr>
        <w:widowControl w:val="0"/>
        <w:topLinePunct/>
        <w:ind w:firstLine="480" w:firstLineChars="200"/>
        <w:jc w:val="both"/>
      </w:pPr>
      <w:r>
        <w:t>1</w:t>
      </w:r>
      <w:r>
        <w:rPr>
          <w:rFonts w:hint="eastAsia"/>
        </w:rPr>
        <w:t>．开标时间：</w:t>
      </w:r>
      <w:r>
        <w:rPr>
          <w:rFonts w:hint="eastAsia"/>
          <w:u w:val="single"/>
        </w:rPr>
        <w:t>2</w:t>
      </w:r>
      <w:r>
        <w:rPr>
          <w:u w:val="single"/>
        </w:rPr>
        <w:t>025</w:t>
      </w:r>
      <w:r>
        <w:rPr>
          <w:rFonts w:hint="eastAsia"/>
        </w:rPr>
        <w:t>年</w:t>
      </w:r>
      <w:r>
        <w:rPr>
          <w:u w:val="single"/>
        </w:rPr>
        <w:t>7</w:t>
      </w:r>
      <w:r>
        <w:rPr>
          <w:rFonts w:hint="eastAsia"/>
        </w:rPr>
        <w:t>月</w:t>
      </w:r>
      <w:r>
        <w:rPr>
          <w:u w:val="single"/>
        </w:rPr>
        <w:t>22</w:t>
      </w:r>
      <w:r>
        <w:rPr>
          <w:rFonts w:hint="eastAsia"/>
        </w:rPr>
        <w:t>日10:30</w:t>
      </w:r>
    </w:p>
    <w:p>
      <w:pPr>
        <w:widowControl w:val="0"/>
        <w:topLinePunct/>
        <w:ind w:firstLine="480" w:firstLineChars="200"/>
        <w:jc w:val="both"/>
      </w:pPr>
      <w:r>
        <w:rPr>
          <w:rFonts w:hint="eastAsia"/>
        </w:rPr>
        <w:t>2．</w:t>
      </w:r>
      <w:r>
        <w:t>开标</w:t>
      </w:r>
      <w:r>
        <w:rPr>
          <w:rFonts w:hint="eastAsia"/>
        </w:rPr>
        <w:t>地点：本集采机构虚拟开标室</w:t>
      </w:r>
      <w:r>
        <w:rPr>
          <w:u w:val="single"/>
        </w:rPr>
        <w:t>4</w:t>
      </w:r>
      <w:r>
        <w:rPr>
          <w:rFonts w:hint="eastAsia"/>
        </w:rPr>
        <w:t>。</w:t>
      </w:r>
    </w:p>
    <w:p>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1．采购人：西安市消防救援支队</w:t>
      </w:r>
    </w:p>
    <w:p>
      <w:pPr>
        <w:widowControl w:val="0"/>
        <w:topLinePunct/>
        <w:ind w:firstLine="480" w:firstLineChars="200"/>
        <w:jc w:val="both"/>
      </w:pPr>
      <w:r>
        <w:rPr>
          <w:rFonts w:hint="eastAsia"/>
        </w:rPr>
        <w:t>地址：西安市高新区丈八沟街道科技七路10号</w:t>
      </w:r>
    </w:p>
    <w:p>
      <w:pPr>
        <w:widowControl w:val="0"/>
        <w:topLinePunct/>
        <w:ind w:firstLine="480" w:firstLineChars="200"/>
        <w:jc w:val="both"/>
      </w:pPr>
      <w:r>
        <w:rPr>
          <w:rFonts w:hint="eastAsia"/>
        </w:rPr>
        <w:t>联系人：杨老师</w:t>
      </w:r>
    </w:p>
    <w:p>
      <w:pPr>
        <w:widowControl w:val="0"/>
        <w:topLinePunct/>
        <w:ind w:firstLine="480" w:firstLineChars="200"/>
        <w:jc w:val="both"/>
      </w:pPr>
      <w:r>
        <w:rPr>
          <w:rFonts w:hint="eastAsia"/>
        </w:rPr>
        <w:t>联系电话：13227013235</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标书联系人及分机号：王老师（</w:t>
      </w:r>
      <w:r>
        <w:t>80848</w:t>
      </w:r>
      <w:r>
        <w:rPr>
          <w:rFonts w:hint="eastAsia"/>
        </w:rPr>
        <w:t>）</w:t>
      </w:r>
    </w:p>
    <w:p>
      <w:pPr>
        <w:widowControl w:val="0"/>
        <w:topLinePunct/>
        <w:ind w:firstLine="480" w:firstLineChars="200"/>
        <w:jc w:val="both"/>
      </w:pPr>
      <w:r>
        <w:rPr>
          <w:rFonts w:hint="eastAsia"/>
        </w:rPr>
        <w:t>开标联系人及分机号：王老师（8080</w:t>
      </w:r>
      <w:r>
        <w:t>7</w:t>
      </w:r>
      <w:r>
        <w:rPr>
          <w:rFonts w:hint="eastAsia"/>
        </w:rPr>
        <w:t>）</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1" w:name="_Toc533363262"/>
      <w:bookmarkStart w:id="2" w:name="_Toc534656409"/>
      <w:bookmarkStart w:id="3" w:name="_Toc534656414"/>
      <w:bookmarkStart w:id="4" w:name="_Toc498349068"/>
      <w:bookmarkStart w:id="5" w:name="_Toc100219613"/>
      <w:bookmarkStart w:id="6" w:name="_Toc97563329"/>
      <w:bookmarkStart w:id="7" w:name="_Toc445407251"/>
      <w:bookmarkStart w:id="8" w:name="_Toc533363235"/>
      <w:r>
        <w:t>第二章</w:t>
      </w:r>
      <w:r>
        <w:rPr>
          <w:rFonts w:hint="eastAsia"/>
        </w:rPr>
        <w:t>　</w:t>
      </w:r>
      <w:r>
        <w:t>供应商须知</w:t>
      </w:r>
      <w:bookmarkEnd w:id="1"/>
      <w:bookmarkEnd w:id="2"/>
      <w:bookmarkEnd w:id="3"/>
      <w:bookmarkEnd w:id="4"/>
      <w:bookmarkEnd w:id="5"/>
      <w:bookmarkEnd w:id="6"/>
      <w:bookmarkEnd w:id="7"/>
      <w:bookmarkEnd w:id="8"/>
    </w:p>
    <w:p>
      <w:pPr>
        <w:jc w:val="center"/>
        <w:outlineLvl w:val="2"/>
        <w:rPr>
          <w:rFonts w:cstheme="minorHAnsi"/>
        </w:rPr>
      </w:pPr>
      <w:r>
        <w:rPr>
          <w:rFonts w:hint="eastAsia" w:ascii="黑体" w:hAnsi="黑体" w:eastAsia="黑体" w:cstheme="minorHAnsi"/>
          <w:color w:val="0070C0"/>
          <w:sz w:val="32"/>
          <w:szCs w:val="32"/>
        </w:rPr>
        <w:t>『前附表』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陕西省西安市消防救援支队航空救援培训服务采购项目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XCZX2025-0032-2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核准编号/核准编号</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color w:val="FF0000"/>
                <w:sz w:val="21"/>
              </w:rPr>
              <w:t>ZCSP-西安市-2025-00158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ascii="Calibri" w:hAnsi="宋体" w:eastAsia="宋体" w:cstheme="minorHAnsi"/>
                <w:sz w:val="21"/>
              </w:rPr>
              <w:t>200.00万元</w:t>
            </w:r>
            <w:r>
              <w:rPr>
                <w:rFonts w:hint="eastAsia" w:ascii="Calibri" w:hAnsi="宋体" w:eastAsia="宋体" w:cstheme="minorHAnsi"/>
                <w:sz w:val="21"/>
              </w:rPr>
              <w:t>（最高限价</w:t>
            </w:r>
            <w:r>
              <w:rPr>
                <w:rFonts w:ascii="Calibri" w:hAnsi="宋体" w:eastAsia="宋体" w:cstheme="minorHAnsi"/>
                <w:sz w:val="21"/>
                <w:u w:val="single"/>
              </w:rPr>
              <w:t>193.2万元</w:t>
            </w:r>
            <w:r>
              <w:rPr>
                <w:rFonts w:hint="eastAsia" w:ascii="Calibri" w:hAnsi="宋体" w:eastAsia="宋体" w:cstheme="minorHAnsi"/>
                <w:sz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见第一章「投标邀请函」中的联系方式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供应商的法定代表人或其授权代表无需到达开标现场，直接在线参加开标大会。</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供应商的法定代表人或其授权代表应当持有效身份证件在提交响应文件截止时间前抵达开标现场，并签到确认。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 xml:space="preserve">暗标盲评 </w:t>
            </w:r>
            <w:r>
              <w:rPr>
                <w:rFonts w:ascii="Calibri" w:hAnsi="宋体" w:eastAsia="宋体" w:cstheme="minorHAnsi"/>
                <w:color w:val="C00000"/>
                <w:sz w:val="21"/>
              </w:rPr>
              <w:t xml:space="preserve">  </w:t>
            </w:r>
            <w:r>
              <w:rPr>
                <w:rFonts w:hint="eastAsia" w:ascii="Calibri" w:hAnsi="宋体" w:eastAsia="宋体" w:cstheme="minorHAnsi"/>
                <w:color w:val="C00000"/>
                <w:sz w:val="21"/>
              </w:rPr>
              <w:t xml:space="preserve"> </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rFonts w:hint="eastAsia" w:ascii="Calibri" w:hAnsi="宋体" w:eastAsia="宋体" w:cstheme="minorHAnsi"/>
                <w:sz w:val="21"/>
                <w:u w:val="single"/>
              </w:rPr>
              <w:t>租赁和商务服务业。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办理数字认证证书（CA）</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1．CA办理方式</w:t>
            </w:r>
          </w:p>
          <w:p>
            <w:pPr>
              <w:spacing w:line="320" w:lineRule="exact"/>
              <w:jc w:val="both"/>
              <w:rPr>
                <w:rFonts w:ascii="Calibri" w:hAnsi="宋体" w:eastAsia="宋体" w:cstheme="minorHAnsi"/>
                <w:sz w:val="21"/>
              </w:rPr>
            </w:pPr>
            <w:r>
              <w:rPr>
                <w:rFonts w:ascii="Calibri" w:hAnsi="宋体" w:eastAsia="宋体" w:cstheme="minorHAnsi"/>
                <w:sz w:val="21"/>
              </w:rPr>
              <w:t xml:space="preserve">① </w:t>
            </w:r>
            <w:r>
              <w:rPr>
                <w:rFonts w:hint="eastAsia" w:ascii="Calibri" w:hAnsi="宋体" w:eastAsia="宋体" w:cstheme="minorHAnsi"/>
                <w:sz w:val="21"/>
              </w:rPr>
              <w:t>到陕西省公共资源交易中心大厅进行现场办理</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地址：陕西省西安市碑林区长安北路14号</w:t>
            </w:r>
          </w:p>
          <w:p>
            <w:pPr>
              <w:spacing w:line="320" w:lineRule="exact"/>
              <w:jc w:val="both"/>
              <w:rPr>
                <w:rFonts w:ascii="Calibri" w:hAnsi="宋体" w:eastAsia="宋体" w:cstheme="minorHAnsi"/>
                <w:sz w:val="21"/>
              </w:rPr>
            </w:pPr>
            <w:r>
              <w:rPr>
                <w:rFonts w:hint="eastAsia" w:ascii="Calibri" w:hAnsi="宋体" w:eastAsia="宋体" w:cstheme="minorHAnsi"/>
                <w:sz w:val="21"/>
              </w:rPr>
              <w:t>② 到西安市公共资源交易中心二楼大厅现场办理</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地址：西安市未央区文景北路16号白桦林国际B座</w:t>
            </w:r>
          </w:p>
          <w:p>
            <w:pPr>
              <w:spacing w:line="320" w:lineRule="exact"/>
              <w:jc w:val="both"/>
              <w:rPr>
                <w:rFonts w:ascii="Calibri" w:hAnsi="宋体" w:eastAsia="宋体" w:cstheme="minorHAnsi"/>
                <w:sz w:val="21"/>
              </w:rPr>
            </w:pPr>
            <w:r>
              <w:rPr>
                <w:rFonts w:hint="eastAsia" w:ascii="Calibri" w:hAnsi="宋体" w:eastAsia="宋体" w:cstheme="minorHAnsi"/>
                <w:sz w:val="21"/>
              </w:rPr>
              <w:t>③ 下载“陕公共资源交易服务”APP，通过APP进行线上业务办理。</w:t>
            </w:r>
          </w:p>
          <w:p>
            <w:pPr>
              <w:spacing w:line="320" w:lineRule="exact"/>
              <w:jc w:val="both"/>
              <w:rPr>
                <w:rFonts w:ascii="Calibri" w:hAnsi="宋体" w:eastAsia="宋体" w:cstheme="minorHAnsi"/>
                <w:sz w:val="21"/>
              </w:rPr>
            </w:pPr>
            <w:r>
              <w:rPr>
                <w:rFonts w:ascii="Calibri" w:hAnsi="宋体" w:eastAsia="宋体" w:cstheme="minorHAnsi"/>
                <w:sz w:val="21"/>
              </w:rPr>
              <w:t>4</w:t>
            </w:r>
            <w:r>
              <w:rPr>
                <w:rFonts w:hint="eastAsia" w:ascii="Calibri" w:hAnsi="宋体" w:eastAsia="宋体" w:cstheme="minorHAnsi"/>
                <w:sz w:val="21"/>
              </w:rPr>
              <w:t>．各CA客服热线：</w:t>
            </w:r>
          </w:p>
          <w:p>
            <w:pPr>
              <w:spacing w:line="320" w:lineRule="exact"/>
              <w:jc w:val="both"/>
              <w:rPr>
                <w:rFonts w:ascii="Calibri" w:hAnsi="宋体" w:eastAsia="宋体" w:cstheme="minorHAnsi"/>
                <w:sz w:val="21"/>
              </w:rPr>
            </w:pPr>
            <w:r>
              <w:rPr>
                <w:rFonts w:ascii="Calibri" w:hAnsi="宋体" w:eastAsia="宋体" w:cstheme="minorHAnsi"/>
                <w:sz w:val="21"/>
              </w:rPr>
              <w:t xml:space="preserve">① </w:t>
            </w:r>
            <w:r>
              <w:rPr>
                <w:rFonts w:hint="eastAsia" w:ascii="Calibri" w:hAnsi="宋体" w:eastAsia="宋体" w:cstheme="minorHAnsi"/>
                <w:sz w:val="21"/>
              </w:rPr>
              <w:t>陕西CA客服热线：4006369888</w:t>
            </w:r>
          </w:p>
          <w:p>
            <w:pPr>
              <w:spacing w:line="320" w:lineRule="exact"/>
              <w:jc w:val="both"/>
              <w:rPr>
                <w:rFonts w:ascii="Calibri" w:hAnsi="宋体" w:eastAsia="宋体" w:cstheme="minorHAnsi"/>
                <w:sz w:val="21"/>
              </w:rPr>
            </w:pPr>
            <w:r>
              <w:rPr>
                <w:rFonts w:hint="eastAsia" w:ascii="Calibri" w:hAnsi="宋体" w:eastAsia="宋体" w:cstheme="minorHAnsi"/>
                <w:sz w:val="21"/>
              </w:rPr>
              <w:t>② 天威CA客服热线：</w:t>
            </w:r>
            <w:r>
              <w:rPr>
                <w:rFonts w:ascii="Calibri" w:hAnsi="宋体" w:eastAsia="宋体" w:cstheme="minorHAnsi"/>
                <w:sz w:val="21"/>
              </w:rPr>
              <w:t>15002930121、</w:t>
            </w:r>
            <w:r>
              <w:rPr>
                <w:rFonts w:hint="eastAsia" w:ascii="Calibri" w:hAnsi="宋体" w:eastAsia="宋体" w:cstheme="minorHAnsi"/>
                <w:sz w:val="21"/>
              </w:rPr>
              <w:t>029-86510029</w:t>
            </w:r>
          </w:p>
          <w:p>
            <w:pPr>
              <w:spacing w:line="320" w:lineRule="exact"/>
              <w:jc w:val="both"/>
              <w:rPr>
                <w:rFonts w:ascii="Calibri" w:hAnsi="宋体" w:eastAsia="宋体" w:cstheme="minorHAnsi"/>
                <w:sz w:val="21"/>
              </w:rPr>
            </w:pPr>
            <w:r>
              <w:rPr>
                <w:rFonts w:hint="eastAsia" w:ascii="Calibri" w:hAnsi="宋体" w:eastAsia="宋体" w:cstheme="minorHAnsi"/>
                <w:sz w:val="21"/>
              </w:rPr>
              <w:t>③ 西部CA客服热线：15389081371、15389081372</w:t>
            </w:r>
          </w:p>
          <w:p>
            <w:pPr>
              <w:spacing w:line="320" w:lineRule="exact"/>
              <w:jc w:val="both"/>
              <w:rPr>
                <w:rFonts w:ascii="Calibri" w:hAnsi="宋体" w:eastAsia="宋体" w:cstheme="minorHAnsi"/>
                <w:sz w:val="21"/>
              </w:rPr>
            </w:pPr>
            <w:r>
              <w:rPr>
                <w:rFonts w:hint="eastAsia" w:ascii="Calibri" w:hAnsi="宋体" w:eastAsia="宋体" w:cstheme="minorHAnsi"/>
                <w:sz w:val="21"/>
              </w:rPr>
              <w:t>④ 北京CA客服热线：4001390123、029-86510029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6"/>
              <w:numPr>
                <w:ilvl w:val="0"/>
                <w:numId w:val="4"/>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现场踏勘和集中答疑</w:t>
            </w:r>
          </w:p>
        </w:tc>
        <w:tc>
          <w:tcPr>
            <w:tcW w:w="5766" w:type="dxa"/>
            <w:shd w:val="clear" w:color="auto" w:fill="auto"/>
            <w:vAlign w:val="center"/>
          </w:tcPr>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318255168"/>
                <w14:checkbox>
                  <w14:checked w14:val="1"/>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不组织</w:t>
            </w:r>
          </w:p>
          <w:p>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617142635"/>
                <w14:checkbox>
                  <w14:checked w14:val="0"/>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采购人组织</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集合时间：</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集合地点：</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联系人：</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联系电话：</w:t>
            </w:r>
          </w:p>
        </w:tc>
      </w:tr>
    </w:tbl>
    <w:p>
      <w:r>
        <w:br w:type="page"/>
      </w:r>
    </w:p>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rPr>
          <w:rFonts w:hint="eastAsia"/>
        </w:rPr>
        <w:fldChar w:fldCharType="begin"/>
      </w:r>
      <w:r>
        <w:instrText xml:space="preserve"> HYPERLINK "http://sxggzyjy.xa.gov.cn/" </w:instrText>
      </w:r>
      <w:r>
        <w:rPr>
          <w:rFonts w:hint="eastAsia"/>
        </w:rPr>
        <w:fldChar w:fldCharType="separate"/>
      </w:r>
      <w:r>
        <w:rPr>
          <w:rStyle w:val="39"/>
          <w:rFonts w:hint="eastAsia" w:cstheme="minorHAnsi"/>
        </w:rPr>
        <w:t>http</w:t>
      </w:r>
      <w:r>
        <w:rPr>
          <w:rStyle w:val="39"/>
          <w:rFonts w:cstheme="minorHAnsi"/>
        </w:rPr>
        <w:t>://sxggzyjy.xa.gov.cn</w:t>
      </w:r>
      <w:r>
        <w:rPr>
          <w:rStyle w:val="39"/>
          <w:rFonts w:hint="eastAsia" w:cstheme="minorHAnsi"/>
        </w:rPr>
        <w:t>/</w:t>
      </w:r>
      <w:r>
        <w:rPr>
          <w:rStyle w:val="39"/>
          <w:rFonts w:hint="eastAsia"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9"/>
          <w:rFonts w:cstheme="minorHAnsi"/>
        </w:rPr>
        <w:t>http://www.sxggzyjy.cn:9002/TPBidder/memberLogin</w:t>
      </w:r>
      <w:r>
        <w:rPr>
          <w:rStyle w:val="39"/>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w:t>
      </w:r>
      <w:r>
        <w:rPr>
          <w:rFonts w:hint="eastAsia"/>
          <w:w w:val="1"/>
        </w:rPr>
        <w:t xml:space="preserve"> </w:t>
      </w:r>
      <w:r>
        <w:rPr>
          <w:rFonts w:hint="eastAsia"/>
        </w:rPr>
        <w:t>标流程</w:t>
      </w:r>
    </w:p>
    <w:p>
      <w:pPr>
        <w:widowControl w:val="0"/>
        <w:ind w:firstLine="480" w:firstLineChars="200"/>
        <w:jc w:val="both"/>
        <w:rPr>
          <w:rFonts w:cstheme="minorHAnsi"/>
        </w:rPr>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p>
    <w:p>
      <w:pPr>
        <w:widowControl w:val="0"/>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办理</w:t>
      </w:r>
      <w:r>
        <w:rPr>
          <w:rFonts w:cstheme="minorHAnsi"/>
        </w:rPr>
        <w:t>诚信</w:t>
      </w:r>
      <w:r>
        <w:rPr>
          <w:rFonts w:hint="eastAsia" w:cstheme="minorHAnsi"/>
        </w:rPr>
        <w:t>入库</w:t>
      </w:r>
      <w:r>
        <w:rPr>
          <w:rFonts w:cstheme="minorHAnsi"/>
        </w:rPr>
        <w:t>注册：在决定参加本项目</w:t>
      </w:r>
      <w:r>
        <w:rPr>
          <w:rFonts w:hint="eastAsia" w:cstheme="minorHAnsi"/>
        </w:rPr>
        <w:t>采购</w:t>
      </w:r>
      <w:r>
        <w:rPr>
          <w:rFonts w:cstheme="minorHAnsi"/>
        </w:rPr>
        <w:t>活动后，供应商应先在西安市公共资源交易平台上完成</w:t>
      </w:r>
      <w:r>
        <w:rPr>
          <w:rFonts w:hint="eastAsia" w:cstheme="minorHAnsi"/>
        </w:rPr>
        <w:t>“诚信入库登记”</w:t>
      </w:r>
      <w:r>
        <w:rPr>
          <w:rFonts w:cstheme="minorHAnsi"/>
        </w:rPr>
        <w:t>；</w:t>
      </w:r>
    </w:p>
    <w:p>
      <w:pPr>
        <w:widowControl w:val="0"/>
        <w:ind w:firstLine="480" w:firstLineChars="200"/>
        <w:jc w:val="both"/>
        <w:rPr>
          <w:rFonts w:cstheme="minorHAnsi"/>
        </w:rPr>
      </w:pPr>
      <w:r>
        <w:rPr>
          <w:rFonts w:cstheme="minorHAnsi"/>
        </w:rPr>
        <w:t>（2）办理数字认证（CA锁）</w:t>
      </w:r>
      <w:r>
        <w:rPr>
          <w:rFonts w:hint="eastAsia" w:cstheme="minorHAnsi"/>
        </w:rPr>
        <w:t>：一般分为法人锁（必选）、企业锁主锁（必选）及副锁（可选）。</w:t>
      </w:r>
      <w:r>
        <w:rPr>
          <w:rFonts w:cstheme="minorHAnsi"/>
        </w:rPr>
        <w:t>CA锁将用于对电子投标文件进行签章、加密、递交及开标时解密等相关操作。CA办理及售后服务由第三方机构负责（见本章「前附表」）。</w:t>
      </w:r>
    </w:p>
    <w:p>
      <w:pPr>
        <w:widowControl w:val="0"/>
        <w:ind w:firstLine="480" w:firstLineChars="200"/>
        <w:jc w:val="both"/>
        <w:rPr>
          <w:rFonts w:cstheme="minorHAnsi"/>
        </w:rPr>
      </w:pPr>
      <w:r>
        <w:rPr>
          <w:rFonts w:cstheme="minorHAnsi"/>
        </w:rPr>
        <w:t>（3）</w:t>
      </w:r>
      <w:r>
        <w:rPr>
          <w:rFonts w:hint="eastAsia" w:cstheme="minorHAnsi"/>
        </w:rPr>
        <w:t>绑定</w:t>
      </w:r>
      <w:r>
        <w:rPr>
          <w:rFonts w:cstheme="minorHAnsi"/>
        </w:rPr>
        <w:t>和激活CA：将数字证书与诚信库中的供应商账户进行绑定。</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w:t>
      </w:r>
      <w:r>
        <w:rPr>
          <w:rFonts w:cstheme="minorHAnsi"/>
          <w:color w:val="C00000"/>
        </w:rPr>
        <w:t>招标文件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在〖招</w:t>
      </w:r>
      <w:r>
        <w:rPr>
          <w:rFonts w:hint="eastAsia" w:cstheme="minorHAnsi"/>
          <w:w w:val="1"/>
        </w:rPr>
        <w:t xml:space="preserve"> </w:t>
      </w:r>
      <w:r>
        <w:rPr>
          <w:rFonts w:hint="eastAsia" w:cstheme="minorHAnsi"/>
        </w:rPr>
        <w:t>标公告/出让公告〗模块中预览全部可供参与的项目，然后选择有意向的项目点击〖项目确认〗，成功后切换到〖我的项目〗模块，依次点选〖项目流程</w:t>
      </w:r>
      <w:r>
        <w:rPr>
          <w:rFonts w:cstheme="minorHAnsi"/>
        </w:rPr>
        <w:t>·</w:t>
      </w:r>
      <w:r>
        <w:rPr>
          <w:rFonts w:hint="eastAsia" w:cstheme="minorHAnsi"/>
        </w:rPr>
        <w:t>〉项目管理</w:t>
      </w:r>
      <w:r>
        <w:rPr>
          <w:rFonts w:cstheme="minorHAnsi"/>
        </w:rPr>
        <w:t>·</w:t>
      </w:r>
      <w:r>
        <w:rPr>
          <w:rFonts w:hint="eastAsia" w:cstheme="minorHAnsi"/>
        </w:rPr>
        <w:t>〉交易文件下载〗免费获取本项目电子招标文件（*.SXSZF）。</w:t>
      </w:r>
      <w:r>
        <w:rPr>
          <w:rFonts w:cstheme="minorHAnsi"/>
          <w:color w:val="C00000"/>
        </w:rPr>
        <w:t>请务必在采购文件获取期限内及时下载电子招标文件并做好备份，逾期无法再下载！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制作电子投标</w:t>
      </w:r>
      <w:r>
        <w:rPr>
          <w:rFonts w:cstheme="minorHAnsi"/>
          <w:color w:val="C00000"/>
        </w:rPr>
        <w:t>文件</w:t>
      </w:r>
      <w:r>
        <w:rPr>
          <w:rFonts w:cstheme="minorHAnsi"/>
        </w:rPr>
        <w:t>：</w:t>
      </w:r>
      <w:r>
        <w:rPr>
          <w:rFonts w:hint="eastAsia" w:cstheme="minorHAnsi"/>
        </w:rPr>
        <w:t>需要使用专用制作软件“</w:t>
      </w:r>
      <w:r>
        <w:rPr>
          <w:rFonts w:hint="eastAsia" w:cstheme="minorHAnsi"/>
          <w:b/>
          <w:color w:val="0070C0"/>
        </w:rPr>
        <w:t>新点投</w:t>
      </w:r>
      <w:r>
        <w:rPr>
          <w:rFonts w:hint="eastAsia" w:cstheme="minorHAnsi"/>
          <w:b/>
          <w:color w:val="0070C0"/>
          <w:w w:val="1"/>
        </w:rPr>
        <w:t xml:space="preserve"> </w:t>
      </w:r>
      <w:r>
        <w:rPr>
          <w:rFonts w:hint="eastAsia" w:cstheme="minorHAnsi"/>
          <w:b/>
          <w:color w:val="0070C0"/>
        </w:rPr>
        <w:t>标文件制作软件（陕西公共资源）</w:t>
      </w:r>
      <w:r>
        <w:rPr>
          <w:rFonts w:hint="eastAsia" w:cstheme="minorHAnsi"/>
        </w:rPr>
        <w:t>”进行编制</w:t>
      </w:r>
      <w:r>
        <w:rPr>
          <w:rFonts w:cstheme="minorHAnsi"/>
        </w:rPr>
        <w:t>，编制完成后使用CA锁对电子投标文件进行签章、加密。详见本章「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w:t>
      </w:r>
      <w:r>
        <w:rPr>
          <w:rFonts w:cstheme="minorHAnsi"/>
          <w:color w:val="C00000"/>
        </w:rPr>
        <w:t>投标文件</w:t>
      </w:r>
      <w:r>
        <w:rPr>
          <w:rFonts w:cstheme="minorHAnsi"/>
        </w:rPr>
        <w:t>：在提交投标文件截止时间前及时提交加密后电子投标文件，逾期提交的，系统将会拒收；</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：开标当日，供应商法定代表人或其授权代表需提前登录</w:t>
      </w:r>
      <w:r>
        <w:rPr>
          <w:rFonts w:hint="eastAsia" w:cstheme="minorHAnsi"/>
        </w:rPr>
        <w:t>“不见面</w:t>
      </w:r>
      <w:r>
        <w:rPr>
          <w:rFonts w:cstheme="minorHAnsi"/>
        </w:rPr>
        <w:t>开</w:t>
      </w:r>
      <w:r>
        <w:rPr>
          <w:rFonts w:hint="eastAsia" w:cstheme="minorHAnsi"/>
          <w:w w:val="1"/>
        </w:rPr>
        <w:t xml:space="preserve"> </w:t>
      </w:r>
      <w:r>
        <w:rPr>
          <w:rFonts w:cstheme="minorHAnsi"/>
        </w:rPr>
        <w:t>标</w:t>
      </w:r>
      <w:r>
        <w:rPr>
          <w:rFonts w:hint="eastAsia" w:cstheme="minorHAnsi"/>
        </w:rPr>
        <w:t>”</w:t>
      </w:r>
      <w:r>
        <w:rPr>
          <w:rFonts w:cstheme="minorHAnsi"/>
        </w:rPr>
        <w:t>系统，</w:t>
      </w:r>
      <w:r>
        <w:rPr>
          <w:rFonts w:hint="eastAsia" w:cstheme="minorHAnsi"/>
        </w:rPr>
        <w:t>收到主持人“开始解密”指令后，使用CA锁（</w:t>
      </w:r>
      <w:r>
        <w:rPr>
          <w:rFonts w:hint="eastAsia" w:cstheme="minorHAnsi"/>
          <w:color w:val="C00000"/>
        </w:rPr>
        <w:t>必须与加密投标文件时使用的CA锁为同一把锁</w:t>
      </w:r>
      <w:r>
        <w:rPr>
          <w:rFonts w:hint="eastAsia" w:cstheme="minorHAnsi"/>
        </w:rPr>
        <w:t>）在线对电子投标文件进行解密。</w:t>
      </w:r>
      <w:r>
        <w:rPr>
          <w:rFonts w:cstheme="minorHAnsi"/>
        </w:rPr>
        <w:t>相关技术问题，请咨询软件开发商。</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：评审期间</w:t>
      </w:r>
      <w:r>
        <w:rPr>
          <w:rFonts w:cstheme="minorHAnsi"/>
        </w:rPr>
        <w:t>，可能需要对评审专家提出的问题进行澄清或答复。在主持人宣布评审结束前，供应商请勿擅自离席；否则，由此造成的不利后果，由供应商自行承担。</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9"/>
        </w:rPr>
        <w:t>http://download.ccgp.gov.cn/2018/zhiyihanfanben.zip</w:t>
      </w:r>
      <w:r>
        <w:rPr>
          <w:rStyle w:val="39"/>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9"/>
          <w:rFonts w:cstheme="minorHAnsi"/>
          <w:color w:val="0070C0"/>
        </w:rPr>
        <w:t>http://download.ccgp.gov.cn/2018/tousushufanben.zip</w:t>
      </w:r>
      <w:r>
        <w:rPr>
          <w:rStyle w:val="39"/>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b/>
        </w:rPr>
        <w:t>投</w:t>
      </w:r>
      <w:r>
        <w:rPr>
          <w:rFonts w:hint="eastAsia"/>
          <w:b/>
          <w:w w:val="1"/>
        </w:rPr>
        <w:t xml:space="preserve"> </w:t>
      </w:r>
      <w:r>
        <w:rPr>
          <w:b/>
        </w:rPr>
        <w:t>标保证金</w:t>
      </w:r>
    </w:p>
    <w:p>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履约保函的内容包括但不限于保函申请人、项目名称（如分标段，还应写明所投</w:t>
      </w:r>
      <w:r>
        <w:rPr>
          <w:rFonts w:hint="eastAsia"/>
          <w:w w:val="1"/>
        </w:rPr>
        <w:t xml:space="preserve"> </w:t>
      </w:r>
      <w:r>
        <w:rPr>
          <w:rFonts w:hint="eastAsia"/>
        </w:rPr>
        <w:t>标段）、担保金额、保函有效期（履约保函的有效期至少应覆盖至合同验收之日，履约保函有效期不足的，供应商应向履约保函签发机构办理担保续期手续）；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财政部门审核同意购买进口产品的，招标文件将明确载明“允许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政府采购信用担保及信用融资政策</w:t>
      </w:r>
    </w:p>
    <w:p>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pPr>
        <w:wordWrap w:val="0"/>
        <w:ind w:firstLine="480" w:firstLineChars="200"/>
        <w:jc w:val="both"/>
        <w:rPr>
          <w:rStyle w:val="39"/>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9"/>
          <w:rFonts w:cstheme="minorHAnsi"/>
          <w:color w:val="0070C0"/>
        </w:rPr>
        <w:t>http://www.ccgp-shaanxi.gov.cn/zcdservice/zcd/shanxi/</w:t>
      </w:r>
    </w:p>
    <w:p>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9"/>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9"/>
          <w:rFonts w:eastAsiaTheme="majorEastAsia" w:cstheme="minorHAnsi"/>
          <w:color w:val="0070C0"/>
        </w:rPr>
        <w:t>https://www.creditchina.gov.cn</w:t>
      </w:r>
      <w:r>
        <w:rPr>
          <w:rStyle w:val="39"/>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9"/>
          <w:rFonts w:eastAsiaTheme="majorEastAsia" w:cstheme="minorHAnsi"/>
          <w:color w:val="0070C0"/>
        </w:rPr>
        <w:t>http://www.ccgp.gov.cn/</w:t>
      </w:r>
      <w:r>
        <w:rPr>
          <w:rStyle w:val="39"/>
          <w:rFonts w:eastAsiaTheme="majorEastAsia" w:cstheme="minorHAnsi"/>
        </w:rPr>
        <w:t>）</w:t>
      </w:r>
      <w:r>
        <w:rPr>
          <w:rStyle w:val="39"/>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pPr>
        <w:pStyle w:val="4"/>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5．商务响应的评审：采购项目以业绩、奖项作为加分或中标条件时，联合体成员中只要有一方具有相应的业绩、奖项即可。联合体成员间出现同一业绩或同一奖项的，不重复计算。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7．联合体出现下列情形之一的，投标无效：</w:t>
      </w:r>
    </w:p>
    <w:p>
      <w:pPr>
        <w:ind w:firstLine="480" w:firstLineChars="200"/>
        <w:jc w:val="both"/>
      </w:pPr>
      <w:r>
        <w:rPr>
          <w:rFonts w:hint="eastAsia"/>
        </w:rPr>
        <w:t>（1）联合体没有提交有效的联合协议的；</w:t>
      </w:r>
    </w:p>
    <w:p>
      <w:pPr>
        <w:ind w:firstLine="480" w:firstLineChars="200"/>
        <w:jc w:val="both"/>
      </w:pPr>
      <w:r>
        <w:rPr>
          <w:rFonts w:hint="eastAsia"/>
        </w:rPr>
        <w:t>（2）进行资格预审的项目，资格预审后联合体增减、更换成员的；</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ind w:firstLine="482"/>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三、招标文件</w:t>
      </w:r>
    </w:p>
    <w:p>
      <w:pPr>
        <w:pStyle w:val="4"/>
        <w:ind w:firstLine="482"/>
      </w:pPr>
      <w:r>
        <w:t>（一）招标</w:t>
      </w:r>
      <w:r>
        <w:rPr>
          <w:rFonts w:hint="eastAsia"/>
        </w:rPr>
        <w:t>文件的解释权</w:t>
      </w:r>
    </w:p>
    <w:p>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pPr>
        <w:pStyle w:val="4"/>
        <w:ind w:firstLine="482"/>
      </w:pPr>
      <w:r>
        <w:t>（二）招标文件主要内容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pPr>
        <w:pStyle w:val="4"/>
        <w:ind w:firstLine="482"/>
      </w:pPr>
      <w:r>
        <w:t>（三）招标文件的检查及阅读</w:t>
      </w:r>
    </w:p>
    <w:p>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pPr>
        <w:pStyle w:val="4"/>
        <w:ind w:firstLine="482"/>
      </w:pPr>
      <w:r>
        <w:t>（四）招标文件的修改、澄清</w:t>
      </w:r>
    </w:p>
    <w:p>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9"/>
          <w:color w:val="0070C0"/>
        </w:rPr>
        <w:t>http://www.ccgp-shaanxi.gov.cn/</w:t>
      </w:r>
      <w:r>
        <w:rPr>
          <w:rStyle w:val="39"/>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9"/>
          <w:rFonts w:hint="eastAsia"/>
          <w:color w:val="0070C0"/>
        </w:rPr>
        <w:t>http://</w:t>
      </w:r>
      <w:r>
        <w:rPr>
          <w:rStyle w:val="39"/>
          <w:color w:val="0070C0"/>
        </w:rPr>
        <w:t>sxggzyjy.xa.gov.cn/</w:t>
      </w:r>
      <w:r>
        <w:rPr>
          <w:rStyle w:val="39"/>
          <w:color w:val="0070C0"/>
        </w:rPr>
        <w:fldChar w:fldCharType="end"/>
      </w:r>
      <w:r>
        <w:t>）中的〖首页·〉交易大厅·〉政府采购〗。</w:t>
      </w:r>
    </w:p>
    <w:p>
      <w:pPr>
        <w:pStyle w:val="3"/>
      </w:pPr>
      <w:r>
        <w:t>四、投标文件</w:t>
      </w:r>
    </w:p>
    <w:p>
      <w:pPr>
        <w:pStyle w:val="4"/>
        <w:ind w:firstLine="482"/>
      </w:pPr>
      <w:r>
        <w:rPr>
          <w:rFonts w:hint="eastAsia"/>
        </w:rPr>
        <w:t>（一）投标文件</w:t>
      </w:r>
      <w:r>
        <w:t>的式样</w:t>
      </w:r>
    </w:p>
    <w:p>
      <w:pPr>
        <w:pStyle w:val="89"/>
        <w:ind w:firstLine="480"/>
      </w:pPr>
      <w:r>
        <w:t>1</w:t>
      </w:r>
      <w:r>
        <w:rPr>
          <w:rFonts w:hint="eastAsia"/>
          <w:color w:val="auto"/>
        </w:rPr>
        <w:t>．</w:t>
      </w:r>
      <w:r>
        <w:rPr>
          <w:rFonts w:hint="eastAsia"/>
        </w:rPr>
        <w:t>组成</w:t>
      </w:r>
      <w:r>
        <w:t>及格式</w:t>
      </w:r>
    </w:p>
    <w:p>
      <w:pPr>
        <w:pStyle w:val="89"/>
        <w:ind w:firstLine="480"/>
      </w:pPr>
      <w:r>
        <w:t>供应商依照招标文件</w:t>
      </w:r>
      <w:r>
        <w:rPr>
          <w:color w:val="C00000"/>
        </w:rPr>
        <w:t>第五章《投标文件构成及格式》</w:t>
      </w:r>
      <w:r>
        <w:t>给定形式进行编制</w:t>
      </w:r>
      <w:r>
        <w:rPr>
          <w:rFonts w:hint="eastAsia"/>
        </w:rPr>
        <w:t>投标文件</w:t>
      </w:r>
      <w:r>
        <w:t>。项目分标段的，应按所投</w:t>
      </w:r>
      <w:r>
        <w:rPr>
          <w:rFonts w:hint="eastAsia"/>
          <w:w w:val="1"/>
        </w:rPr>
        <w:t xml:space="preserve"> </w:t>
      </w:r>
      <w:r>
        <w:t>标段分别准备投标文件。</w:t>
      </w:r>
    </w:p>
    <w:p>
      <w:pPr>
        <w:pStyle w:val="89"/>
        <w:ind w:firstLine="480"/>
      </w:pPr>
      <w:r>
        <w:rPr>
          <w:rFonts w:hint="eastAsia"/>
        </w:rPr>
        <w:t>2</w:t>
      </w:r>
      <w:r>
        <w:rPr>
          <w:rFonts w:hint="eastAsia"/>
          <w:color w:val="auto"/>
        </w:rPr>
        <w:t>．</w:t>
      </w:r>
      <w:r>
        <w:rPr>
          <w:rFonts w:hint="eastAsia"/>
        </w:rPr>
        <w:t>语言</w:t>
      </w:r>
    </w:p>
    <w:p>
      <w:pPr>
        <w:pStyle w:val="89"/>
        <w:ind w:firstLine="480"/>
      </w:pPr>
      <w:r>
        <w:rPr>
          <w:rFonts w:hint="eastAsia"/>
        </w:rPr>
        <w:t>招标活动的所有文件、资料、函电文字均使用简体中文，确需提交用其他语言形成的资料，必须翻译成简体中文，如有差异，以简体中文为准。</w:t>
      </w:r>
    </w:p>
    <w:p>
      <w:pPr>
        <w:pStyle w:val="89"/>
        <w:ind w:firstLine="480"/>
      </w:pPr>
      <w:r>
        <w:rPr>
          <w:rFonts w:hint="eastAsia"/>
        </w:rPr>
        <w:t>3</w:t>
      </w:r>
      <w:r>
        <w:rPr>
          <w:rFonts w:hint="eastAsia"/>
          <w:color w:val="auto"/>
        </w:rPr>
        <w:t>．</w:t>
      </w:r>
      <w:r>
        <w:t>计量单位</w:t>
      </w:r>
    </w:p>
    <w:p>
      <w:pPr>
        <w:pStyle w:val="89"/>
        <w:ind w:firstLine="480"/>
      </w:pPr>
      <w:r>
        <w:rPr>
          <w:rFonts w:hint="eastAsia"/>
        </w:rPr>
        <w:t>投标文件的计量单位应使用中华人民共和国法定计量单位，但招标文件另有规定的除外。</w:t>
      </w:r>
    </w:p>
    <w:p>
      <w:pPr>
        <w:pStyle w:val="4"/>
        <w:ind w:firstLine="482"/>
      </w:pPr>
      <w:r>
        <w:rPr>
          <w:rFonts w:hint="eastAsia"/>
        </w:rPr>
        <w:t>（二）投标文件</w:t>
      </w:r>
      <w:r>
        <w:t>的有效期</w:t>
      </w:r>
    </w:p>
    <w:p>
      <w:pPr>
        <w:pStyle w:val="89"/>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pPr>
        <w:pStyle w:val="4"/>
        <w:ind w:firstLine="482"/>
      </w:pPr>
      <w:r>
        <w:rPr>
          <w:rFonts w:hint="eastAsia"/>
        </w:rPr>
        <w:t>（三）投标</w:t>
      </w:r>
      <w:r>
        <w:t>报价</w:t>
      </w:r>
    </w:p>
    <w:p>
      <w:pPr>
        <w:pStyle w:val="89"/>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9"/>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pPr>
        <w:pStyle w:val="89"/>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pPr>
        <w:pStyle w:val="89"/>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pPr>
        <w:pStyle w:val="89"/>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pPr>
        <w:pStyle w:val="4"/>
        <w:ind w:firstLine="482"/>
      </w:pPr>
      <w:r>
        <w:rPr>
          <w:rFonts w:hint="eastAsia"/>
        </w:rPr>
        <w:t>（四）电子投标文件</w:t>
      </w:r>
      <w:r>
        <w:t>的</w:t>
      </w:r>
      <w:r>
        <w:rPr>
          <w:rFonts w:hint="eastAsia"/>
        </w:rPr>
        <w:t>制作、</w:t>
      </w:r>
      <w:r>
        <w:t>签章及加密</w:t>
      </w:r>
    </w:p>
    <w:p>
      <w:pPr>
        <w:pStyle w:val="89"/>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pPr>
        <w:pStyle w:val="89"/>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9"/>
          <w:rFonts w:asciiTheme="minorHAnsi" w:hAnsiTheme="minorHAnsi" w:eastAsiaTheme="minorEastAsia"/>
          <w:color w:val="0070C0"/>
        </w:rPr>
        <w:t>http://sxggzyjy.xa.gov.cn/fwzn/004003/20181115/4d59c184-e8f6-4d5a-a416-c2f6b0601e66.html</w:t>
      </w:r>
      <w:r>
        <w:rPr>
          <w:rStyle w:val="39"/>
          <w:rFonts w:asciiTheme="minorHAnsi" w:hAnsiTheme="minorHAnsi" w:eastAsiaTheme="minorEastAsia"/>
          <w:color w:val="0070C0"/>
        </w:rPr>
        <w:fldChar w:fldCharType="end"/>
      </w:r>
    </w:p>
    <w:p>
      <w:pPr>
        <w:pStyle w:val="89"/>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89"/>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89"/>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9"/>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89"/>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ind w:firstLine="482"/>
      </w:pPr>
      <w:r>
        <w:rPr>
          <w:rFonts w:hint="eastAsia"/>
        </w:rPr>
        <w:t>（五）电子投标文件</w:t>
      </w:r>
      <w:r>
        <w:t>的提交</w:t>
      </w:r>
    </w:p>
    <w:p>
      <w:pPr>
        <w:pStyle w:val="89"/>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pPr>
        <w:pStyle w:val="89"/>
        <w:ind w:firstLine="480"/>
      </w:pPr>
      <w:r>
        <w:t>出现下述情形的，电子投标文件将被系统拒收：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逾期提交电子投标文件的；</w:t>
      </w:r>
    </w:p>
    <w:p>
      <w:pPr>
        <w:pStyle w:val="89"/>
        <w:ind w:firstLine="480"/>
      </w:pPr>
      <w:r>
        <w:t>3</w:t>
      </w:r>
      <w:r>
        <w:rPr>
          <w:rFonts w:hint="eastAsia"/>
        </w:rPr>
        <w:t>．使用旧版电子招标文件制作电子投标文件的。</w:t>
      </w:r>
    </w:p>
    <w:p>
      <w:pPr>
        <w:pStyle w:val="4"/>
        <w:ind w:firstLine="482"/>
      </w:pPr>
      <w:r>
        <w:t>（</w:t>
      </w:r>
      <w:r>
        <w:rPr>
          <w:rFonts w:hint="eastAsia"/>
        </w:rPr>
        <w:t>六</w:t>
      </w:r>
      <w:r>
        <w:t>）电子</w:t>
      </w:r>
      <w:r>
        <w:rPr>
          <w:rFonts w:hint="eastAsia"/>
        </w:rPr>
        <w:t>投标</w:t>
      </w:r>
      <w:r>
        <w:t>文件的撤回、补充及修改</w:t>
      </w:r>
    </w:p>
    <w:p>
      <w:pPr>
        <w:pStyle w:val="89"/>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pPr>
        <w:pStyle w:val="89"/>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pPr>
        <w:pStyle w:val="4"/>
        <w:ind w:firstLine="482"/>
      </w:pPr>
      <w:r>
        <w:rPr>
          <w:rFonts w:hint="eastAsia"/>
        </w:rPr>
        <w:t>（七）关于电子投标文件的雷同性分析</w:t>
      </w:r>
    </w:p>
    <w:p>
      <w:pPr>
        <w:pStyle w:val="89"/>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pPr>
        <w:pStyle w:val="89"/>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89"/>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pPr>
        <w:pStyle w:val="89"/>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pPr>
        <w:pStyle w:val="4"/>
        <w:ind w:firstLine="482"/>
      </w:pPr>
      <w:r>
        <w:rPr>
          <w:rFonts w:hint="eastAsia"/>
        </w:rPr>
        <w:t>（八）投标文件出现下列情形时，视同供应商串通投标，其投标无效：</w:t>
      </w:r>
    </w:p>
    <w:p>
      <w:pPr>
        <w:pStyle w:val="89"/>
        <w:ind w:firstLine="480"/>
      </w:pPr>
      <w:r>
        <w:rPr>
          <w:rFonts w:hint="eastAsia"/>
        </w:rPr>
        <w:t>1．不同供应商的投标文件由同一单位或者个人编制的；</w:t>
      </w:r>
    </w:p>
    <w:p>
      <w:pPr>
        <w:pStyle w:val="89"/>
        <w:ind w:firstLine="480"/>
      </w:pPr>
      <w:r>
        <w:rPr>
          <w:rFonts w:hint="eastAsia"/>
        </w:rPr>
        <w:t>2．不同供应商委托同一单位或者个人办理投标事宜的；</w:t>
      </w:r>
    </w:p>
    <w:p>
      <w:pPr>
        <w:pStyle w:val="89"/>
        <w:ind w:firstLine="480"/>
      </w:pPr>
      <w:r>
        <w:rPr>
          <w:rFonts w:hint="eastAsia"/>
        </w:rPr>
        <w:t>3．不同供应商的投标文件载明的项目管理成员或者联系人员为同一人的；</w:t>
      </w:r>
    </w:p>
    <w:p>
      <w:pPr>
        <w:pStyle w:val="89"/>
        <w:ind w:firstLine="480"/>
      </w:pPr>
      <w:r>
        <w:rPr>
          <w:rFonts w:hint="eastAsia"/>
        </w:rPr>
        <w:t>4．不同供应商的投标文件异常一致或者投标报价呈规律性差异的。</w:t>
      </w:r>
    </w:p>
    <w:p>
      <w:pPr>
        <w:pStyle w:val="89"/>
        <w:ind w:firstLine="480"/>
      </w:pPr>
      <w:r>
        <w:rPr>
          <w:rFonts w:hint="eastAsia"/>
        </w:rPr>
        <w:t>5．不同供应商的响应文件相互混编或混装的。</w:t>
      </w:r>
    </w:p>
    <w:p>
      <w:pPr>
        <w:pStyle w:val="3"/>
      </w:pPr>
      <w:r>
        <w:rPr>
          <w:rFonts w:hint="eastAsia"/>
        </w:rPr>
        <w:t>五</w:t>
      </w:r>
      <w:r>
        <w:t>、开标</w:t>
      </w:r>
      <w:r>
        <w:rPr>
          <w:rFonts w:hint="eastAsia"/>
        </w:rPr>
        <w:t>程序</w:t>
      </w:r>
    </w:p>
    <w:p>
      <w:pPr>
        <w:pStyle w:val="89"/>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pPr>
        <w:pStyle w:val="89"/>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9"/>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9"/>
          <w:rFonts w:hint="eastAsia"/>
          <w:color w:val="0070C0"/>
        </w:rPr>
        <w:t>http://sxggzyjy.xa.gov.cn/fwzn/004003/20200426/bc8b2c1e-abe2-4168-913c-68ff93345faf.html</w:t>
      </w:r>
      <w:r>
        <w:rPr>
          <w:rStyle w:val="39"/>
          <w:rFonts w:hint="eastAsia"/>
          <w:color w:val="0070C0"/>
        </w:rPr>
        <w:fldChar w:fldCharType="end"/>
      </w:r>
    </w:p>
    <w:p>
      <w:pPr>
        <w:pStyle w:val="4"/>
        <w:ind w:firstLine="482"/>
      </w:pPr>
      <w:r>
        <w:rPr>
          <w:rFonts w:hint="eastAsia"/>
        </w:rPr>
        <w:t>（一）基本流程</w:t>
      </w:r>
    </w:p>
    <w:p>
      <w:pPr>
        <w:pStyle w:val="89"/>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pPr>
        <w:pStyle w:val="89"/>
        <w:ind w:firstLine="480"/>
      </w:pPr>
      <w:r>
        <w:rPr>
          <w:rFonts w:hint="eastAsia"/>
        </w:rPr>
        <w:t>2</w:t>
      </w:r>
      <w:r>
        <w:rPr>
          <w:rFonts w:hint="eastAsia"/>
          <w:color w:val="auto"/>
        </w:rPr>
        <w:t>．</w:t>
      </w:r>
      <w:r>
        <w:rPr>
          <w:rFonts w:hint="eastAsia"/>
        </w:rPr>
        <w:t>主持人宣布开标：提交投标文件截止时间过后，系统将不再接收任何投标文件。</w:t>
      </w:r>
    </w:p>
    <w:p>
      <w:pPr>
        <w:pStyle w:val="89"/>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pPr>
        <w:pStyle w:val="89"/>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pPr>
        <w:pStyle w:val="89"/>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pPr>
        <w:pStyle w:val="4"/>
        <w:ind w:firstLine="480" w:firstLineChars="200"/>
      </w:pPr>
      <w:r>
        <w:rPr>
          <w:rFonts w:hint="eastAsia"/>
        </w:rPr>
        <w:t>（二）开标环节出现以下情形之一的，投标文件将被视为无效：</w:t>
      </w:r>
    </w:p>
    <w:p>
      <w:pPr>
        <w:pStyle w:val="89"/>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pPr>
        <w:pStyle w:val="89"/>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pPr>
        <w:pStyle w:val="89"/>
        <w:ind w:firstLine="480"/>
        <w:rPr>
          <w:color w:val="auto"/>
        </w:rPr>
      </w:pPr>
      <w:r>
        <w:rPr>
          <w:rFonts w:hint="eastAsia"/>
          <w:color w:val="auto"/>
        </w:rPr>
        <w:t>3．上传</w:t>
      </w:r>
      <w:r>
        <w:rPr>
          <w:color w:val="auto"/>
        </w:rPr>
        <w:t>的电子投标文件无法正常打开的；</w:t>
      </w:r>
    </w:p>
    <w:p>
      <w:pPr>
        <w:pStyle w:val="89"/>
        <w:ind w:firstLine="480"/>
        <w:rPr>
          <w:color w:val="auto"/>
        </w:rPr>
      </w:pPr>
      <w:r>
        <w:rPr>
          <w:rFonts w:hint="eastAsia"/>
          <w:color w:val="auto"/>
        </w:rPr>
        <w:t>4．</w:t>
      </w:r>
      <w:r>
        <w:rPr>
          <w:color w:val="auto"/>
        </w:rPr>
        <w:t>政府采购法律法规规定的其他无效情形。</w:t>
      </w:r>
    </w:p>
    <w:p>
      <w:pPr>
        <w:pStyle w:val="4"/>
        <w:ind w:firstLine="482"/>
      </w:pPr>
      <w:r>
        <w:rPr>
          <w:rFonts w:hint="eastAsia"/>
        </w:rPr>
        <w:t>（</w:t>
      </w:r>
      <w:r>
        <w:t>三</w:t>
      </w:r>
      <w:r>
        <w:rPr>
          <w:rFonts w:hint="eastAsia"/>
        </w:rPr>
        <w:t>）突发状况的应急处置</w:t>
      </w:r>
    </w:p>
    <w:p>
      <w:pPr>
        <w:pStyle w:val="89"/>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pPr>
        <w:pStyle w:val="3"/>
      </w:pPr>
      <w:r>
        <w:t>六、资格审查</w:t>
      </w:r>
    </w:p>
    <w:p>
      <w:pPr>
        <w:pStyle w:val="89"/>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pPr>
        <w:pStyle w:val="89"/>
        <w:ind w:firstLine="480"/>
        <w:rPr>
          <w:color w:val="auto"/>
        </w:rPr>
      </w:pPr>
      <w:r>
        <w:rPr>
          <w:color w:val="auto"/>
        </w:rPr>
        <w:t>供应商提供的资格证明文件缺少任何一项或</w:t>
      </w:r>
      <w:r>
        <w:rPr>
          <w:rFonts w:hint="eastAsia"/>
          <w:color w:val="auto"/>
        </w:rPr>
        <w:t>有</w:t>
      </w:r>
      <w:r>
        <w:rPr>
          <w:color w:val="auto"/>
        </w:rPr>
        <w:t>任何一项不满足，</w:t>
      </w:r>
      <w:r>
        <w:rPr>
          <w:rFonts w:hint="eastAsia"/>
          <w:color w:val="auto"/>
        </w:rPr>
        <w:t>都将被视为无效投标。供应商所提供的资格证明文件应图文清晰、易于辨识，否则由此带来的不利后果由供应商自行承担。</w:t>
      </w:r>
    </w:p>
    <w:p>
      <w:pPr>
        <w:pStyle w:val="89"/>
        <w:ind w:firstLine="480"/>
      </w:pPr>
      <w:r>
        <w:t>资格审查结束后，资格审查小组成员应当对审查结果进行签字确认；</w:t>
      </w:r>
      <w:r>
        <w:rPr>
          <w:rFonts w:hint="eastAsia"/>
        </w:rPr>
        <w:t>对未通过资格审查的供应商，资格审查小组应</w:t>
      </w:r>
      <w:r>
        <w:t>当场告知其未通过的原因。</w:t>
      </w:r>
    </w:p>
    <w:p>
      <w:pPr>
        <w:pStyle w:val="89"/>
        <w:ind w:firstLine="480"/>
      </w:pPr>
      <w:r>
        <w:t>合格供应商不足3家的，不得评标。</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32"/>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1．</w:t>
            </w:r>
            <w:r>
              <w:rPr>
                <w:rFonts w:ascii="Calibri" w:hAnsi="宋体" w:eastAsia="宋体" w:cstheme="minorHAnsi"/>
                <w:bCs/>
                <w:sz w:val="21"/>
              </w:rPr>
              <w:t>2023</w:t>
            </w:r>
            <w:r>
              <w:rPr>
                <w:rFonts w:hint="eastAsia" w:ascii="Calibri" w:hAnsi="宋体" w:eastAsia="宋体" w:cstheme="minorHAnsi"/>
                <w:bCs/>
                <w:sz w:val="21"/>
              </w:rPr>
              <w:t>或2024年度经审计的财务会计报告（成立时间至提交投标文件截止时间不足一年的可提供成立后任意时段的资产负债表）；</w:t>
            </w:r>
          </w:p>
          <w:p>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自</w:t>
            </w:r>
            <w:r>
              <w:rPr>
                <w:rFonts w:ascii="Calibri" w:hAnsi="宋体" w:eastAsia="宋体" w:cstheme="minorHAnsi"/>
                <w:bCs/>
                <w:sz w:val="21"/>
              </w:rPr>
              <w:t>2024</w:t>
            </w:r>
            <w:r>
              <w:rPr>
                <w:rFonts w:hint="eastAsia" w:ascii="Calibri" w:hAnsi="宋体" w:eastAsia="宋体" w:cstheme="minorHAnsi"/>
                <w:bCs/>
                <w:sz w:val="21"/>
              </w:rPr>
              <w:t>年</w:t>
            </w:r>
            <w:r>
              <w:rPr>
                <w:rFonts w:ascii="Calibri" w:hAnsi="宋体" w:eastAsia="宋体" w:cstheme="minorHAnsi"/>
                <w:bCs/>
                <w:sz w:val="21"/>
              </w:rPr>
              <w:t>7</w:t>
            </w:r>
            <w:r>
              <w:rPr>
                <w:rFonts w:hint="eastAsia" w:ascii="Calibri" w:hAnsi="宋体" w:eastAsia="宋体" w:cstheme="minorHAnsi"/>
                <w:bCs/>
                <w:sz w:val="21"/>
              </w:rPr>
              <w:t>月</w:t>
            </w:r>
            <w:r>
              <w:rPr>
                <w:rFonts w:ascii="Calibri" w:hAnsi="宋体" w:eastAsia="宋体" w:cstheme="minorHAnsi"/>
                <w:bCs/>
                <w:sz w:val="21"/>
              </w:rPr>
              <w:t>1</w:t>
            </w:r>
            <w:r>
              <w:rPr>
                <w:rFonts w:hint="eastAsia" w:ascii="Calibri" w:hAnsi="宋体" w:eastAsia="宋体" w:cstheme="minorHAnsi"/>
                <w:bCs/>
                <w:sz w:val="21"/>
              </w:rPr>
              <w:t>日以来已缴存的至少一个月的社会保障资金缴存单据或社保机构开具的社会保险参保缴费情况证明，缴费种类至少包括养老保险。单据或证明上应有社保机构或代收机构的公章或业务专用章。</w:t>
            </w:r>
            <w:r>
              <w:rPr>
                <w:rFonts w:ascii="Calibri" w:hAnsi="宋体" w:eastAsia="宋体" w:cstheme="minorHAnsi"/>
                <w:bCs/>
                <w:sz w:val="21"/>
              </w:rPr>
              <w:t>依法不需要缴纳社会保障资金的服务商应提供相关文件证明。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自</w:t>
            </w:r>
            <w:r>
              <w:rPr>
                <w:rFonts w:ascii="Calibri" w:hAnsi="宋体" w:eastAsia="宋体"/>
                <w:sz w:val="21"/>
              </w:rPr>
              <w:t>2024</w:t>
            </w:r>
            <w:r>
              <w:rPr>
                <w:rFonts w:hint="eastAsia" w:ascii="Calibri" w:hAnsi="宋体" w:eastAsia="宋体"/>
                <w:sz w:val="21"/>
              </w:rPr>
              <w:t>年</w:t>
            </w:r>
            <w:r>
              <w:rPr>
                <w:rFonts w:ascii="Calibri" w:hAnsi="宋体" w:eastAsia="宋体"/>
                <w:sz w:val="21"/>
              </w:rPr>
              <w:t>7</w:t>
            </w:r>
            <w:r>
              <w:rPr>
                <w:rFonts w:hint="eastAsia" w:ascii="Calibri" w:hAnsi="宋体" w:eastAsia="宋体"/>
                <w:sz w:val="21"/>
              </w:rPr>
              <w:t>月</w:t>
            </w:r>
            <w:r>
              <w:rPr>
                <w:rFonts w:ascii="Calibri" w:hAnsi="宋体" w:eastAsia="宋体"/>
                <w:sz w:val="21"/>
              </w:rPr>
              <w:t>1</w:t>
            </w:r>
            <w:r>
              <w:rPr>
                <w:rFonts w:hint="eastAsia" w:ascii="Calibri" w:hAnsi="宋体" w:eastAsia="宋体"/>
                <w:sz w:val="21"/>
              </w:rPr>
              <w:t>日以来已缴存的至少一个月的纳税证明或完税证明，税种为增值税或企业所得税。纳税证明或完税证明上应有代收机构或税务机关的公章或业务专用章。</w:t>
            </w:r>
            <w:r>
              <w:rPr>
                <w:rFonts w:ascii="Calibri" w:hAnsi="宋体" w:eastAsia="宋体"/>
                <w:sz w:val="21"/>
              </w:rPr>
              <w:t>依法免税的服务商应提供相关文件证明。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pPr>
              <w:spacing w:line="400" w:lineRule="exact"/>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jc w:val="both"/>
              <w:rPr>
                <w:rFonts w:ascii="Calibri" w:hAnsi="宋体" w:eastAsia="宋体" w:cstheme="minorHAnsi"/>
                <w:b/>
                <w:bCs/>
                <w:color w:val="FF0000"/>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经营许可证</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供应商须具备有效期内的</w:t>
            </w:r>
            <w:r>
              <w:rPr>
                <w:rFonts w:ascii="Calibri" w:hAnsi="宋体" w:eastAsia="宋体" w:cstheme="minorHAnsi"/>
                <w:bCs/>
                <w:sz w:val="21"/>
              </w:rPr>
              <w:t>《通用航空经营许可证》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运行许可证</w:t>
            </w:r>
          </w:p>
        </w:tc>
        <w:tc>
          <w:tcPr>
            <w:tcW w:w="5846" w:type="dxa"/>
            <w:vAlign w:val="center"/>
          </w:tcPr>
          <w:p>
            <w:pPr>
              <w:spacing w:line="400" w:lineRule="exact"/>
              <w:jc w:val="both"/>
              <w:rPr>
                <w:rFonts w:ascii="Calibri" w:hAnsi="宋体" w:eastAsia="宋体" w:cstheme="minorHAnsi"/>
                <w:bCs/>
                <w:color w:val="C00000"/>
                <w:sz w:val="21"/>
              </w:rPr>
            </w:pPr>
            <w:r>
              <w:rPr>
                <w:rFonts w:hint="eastAsia" w:ascii="Calibri" w:hAnsi="宋体" w:eastAsia="宋体" w:cstheme="minorHAnsi"/>
                <w:bCs/>
                <w:sz w:val="21"/>
              </w:rPr>
              <w:t>供应商须具备有效期内的《</w:t>
            </w:r>
            <w:r>
              <w:rPr>
                <w:rFonts w:ascii="Calibri" w:hAnsi="宋体" w:eastAsia="宋体" w:cstheme="minorHAnsi"/>
                <w:sz w:val="21"/>
              </w:rPr>
              <w:t>CCAR-135部运行合格证</w:t>
            </w:r>
            <w:r>
              <w:rPr>
                <w:rFonts w:hint="eastAsia" w:ascii="Calibri" w:hAnsi="宋体" w:eastAsia="宋体" w:cstheme="minorHAnsi"/>
                <w:bCs/>
                <w:sz w:val="21"/>
              </w:rPr>
              <w:t>》</w:t>
            </w:r>
            <w:r>
              <w:rPr>
                <w:rFonts w:ascii="Calibri" w:hAnsi="宋体" w:eastAsia="宋体" w:cstheme="minorHAnsi"/>
                <w:sz w:val="21"/>
              </w:rPr>
              <w:t>、《</w:t>
            </w:r>
            <w:r>
              <w:rPr>
                <w:rFonts w:hint="eastAsia" w:ascii="Calibri" w:hAnsi="宋体" w:eastAsia="宋体" w:cstheme="minorHAnsi"/>
                <w:sz w:val="21"/>
              </w:rPr>
              <w:t>CCAR-136部运行合格证</w:t>
            </w:r>
            <w:r>
              <w:rPr>
                <w:rFonts w:ascii="Calibri" w:hAnsi="宋体" w:eastAsia="宋体" w:cstheme="minorHAnsi"/>
                <w:sz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3"/>
      </w:pPr>
      <w:r>
        <w:t>七、评审方法和程序</w:t>
      </w:r>
    </w:p>
    <w:p>
      <w:pPr>
        <w:pStyle w:val="4"/>
        <w:ind w:firstLine="482"/>
      </w:pPr>
      <w:r>
        <w:t>（一）评标方法</w:t>
      </w:r>
    </w:p>
    <w:p>
      <w:pPr>
        <w:pStyle w:val="89"/>
        <w:ind w:firstLine="480"/>
      </w:pPr>
      <w:r>
        <w:t>本项目采用</w:t>
      </w:r>
      <w:r>
        <w:rPr>
          <w:color w:val="C00000"/>
        </w:rPr>
        <w:t>综合评分法</w:t>
      </w:r>
      <w:r>
        <w:t>，即投标文件满足招标文件全部实质性要求，且按照评审因素的量化指标评审得分最高的供应商为中标候选人。</w:t>
      </w:r>
    </w:p>
    <w:p>
      <w:pPr>
        <w:pStyle w:val="4"/>
        <w:ind w:firstLine="482"/>
      </w:pPr>
      <w:r>
        <w:t>（二）评标形式</w:t>
      </w:r>
    </w:p>
    <w:p>
      <w:pPr>
        <w:pStyle w:val="89"/>
        <w:ind w:firstLine="480"/>
      </w:pPr>
      <w:r>
        <w:rPr>
          <w:rFonts w:hint="eastAsia"/>
        </w:rPr>
        <w:t>1．关于技术标“暗标盲评”</w:t>
      </w:r>
    </w:p>
    <w:p>
      <w:pPr>
        <w:pStyle w:val="89"/>
        <w:ind w:firstLine="480"/>
      </w:pPr>
      <w:r>
        <w:rPr>
          <w:rFonts w:hint="eastAsia"/>
        </w:rPr>
        <w:t>根据西安市发展和改革委员会《关于印发〈西安市深化公共资源交易平台整合共享行动方案〉的通知》（市发改发〔2021〕71号）要求，推动交易平台智慧化转型，西安市公共资源交易平台运用人工智能、云计算、大数据等前沿信息技术，建设模块化、智能化辅助评标系统，实现清标、批量评审、暗标评审等功能，使得评审结果更公正、真实。</w:t>
      </w:r>
    </w:p>
    <w:p>
      <w:pPr>
        <w:pStyle w:val="89"/>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pPr>
        <w:pStyle w:val="89"/>
        <w:ind w:firstLine="480"/>
      </w:pPr>
      <w:r>
        <w:rPr>
          <w:rFonts w:hint="eastAsia"/>
        </w:rPr>
        <w:t>2．“暗标盲评部分”编制要求</w:t>
      </w:r>
    </w:p>
    <w:p>
      <w:pPr>
        <w:pStyle w:val="89"/>
        <w:ind w:firstLine="480"/>
        <w:rPr>
          <w:color w:val="C00000"/>
        </w:rPr>
      </w:pPr>
      <w:r>
        <w:rPr>
          <w:rFonts w:hint="eastAsia"/>
          <w:color w:val="C00000"/>
        </w:rPr>
        <w:t>暗标盲评部分应按如下要求编制，否则，将依据财政部第87号令《政府采购货物和服务招标投标管理办法》第六十三条第六款的规定，视为无效投标。</w:t>
      </w:r>
    </w:p>
    <w:p>
      <w:pPr>
        <w:pStyle w:val="89"/>
        <w:ind w:firstLine="480"/>
        <w:rPr>
          <w:color w:val="C00000"/>
        </w:rPr>
      </w:pPr>
      <w:r>
        <w:rPr>
          <w:rFonts w:hint="eastAsia"/>
          <w:color w:val="C00000"/>
        </w:rPr>
        <w:t>（1）不得出现任何可直接识别投标服务商身份的字符或徽标，包括文字、符号、图案、标志、标识、人员姓名、投标服务商独有的企业标准名称或编号等。</w:t>
      </w:r>
    </w:p>
    <w:p>
      <w:pPr>
        <w:pStyle w:val="89"/>
        <w:ind w:firstLine="480"/>
        <w:rPr>
          <w:color w:val="C00000"/>
        </w:rPr>
      </w:pPr>
      <w:r>
        <w:rPr>
          <w:rFonts w:hint="eastAsia"/>
          <w:color w:val="C00000"/>
        </w:rPr>
        <w:t>（2）签章要求：暗标部分不得进行签章。</w:t>
      </w:r>
    </w:p>
    <w:p>
      <w:pPr>
        <w:pStyle w:val="89"/>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pPr>
        <w:pStyle w:val="4"/>
        <w:ind w:firstLine="482"/>
      </w:pPr>
      <w:r>
        <w:t>（三）评标程序</w:t>
      </w:r>
    </w:p>
    <w:p>
      <w:pPr>
        <w:pStyle w:val="89"/>
        <w:ind w:firstLine="482"/>
        <w:rPr>
          <w:b/>
        </w:rPr>
      </w:pPr>
      <w:r>
        <w:rPr>
          <w:rFonts w:hint="eastAsia"/>
          <w:b/>
        </w:rPr>
        <w:t>1</w:t>
      </w:r>
      <w:r>
        <w:rPr>
          <w:rFonts w:hint="eastAsia"/>
          <w:b/>
          <w:color w:val="auto"/>
        </w:rPr>
        <w:t>．</w:t>
      </w:r>
      <w:r>
        <w:rPr>
          <w:rFonts w:hint="eastAsia"/>
          <w:b/>
        </w:rPr>
        <w:t>组建评标委员会</w:t>
      </w:r>
    </w:p>
    <w:p>
      <w:pPr>
        <w:pStyle w:val="89"/>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pPr>
        <w:pStyle w:val="89"/>
        <w:ind w:firstLine="480"/>
      </w:pPr>
      <w:r>
        <w:rPr>
          <w:rFonts w:hint="eastAsia"/>
        </w:rPr>
        <w:t>由采购代理机构组织评标委员会推选评标组长，采购人代表不得担任组长。</w:t>
      </w:r>
    </w:p>
    <w:p>
      <w:pPr>
        <w:pStyle w:val="89"/>
        <w:ind w:firstLine="482"/>
        <w:rPr>
          <w:b/>
        </w:rPr>
      </w:pPr>
      <w:r>
        <w:rPr>
          <w:rFonts w:hint="eastAsia"/>
          <w:b/>
        </w:rPr>
        <w:t>2</w:t>
      </w:r>
      <w:r>
        <w:rPr>
          <w:rFonts w:hint="eastAsia"/>
          <w:b/>
          <w:color w:val="auto"/>
        </w:rPr>
        <w:t>．</w:t>
      </w:r>
      <w:r>
        <w:rPr>
          <w:b/>
        </w:rPr>
        <w:t>投标文件的符合性审查</w:t>
      </w:r>
    </w:p>
    <w:p>
      <w:pPr>
        <w:pStyle w:val="89"/>
        <w:ind w:firstLine="480"/>
        <w:rPr>
          <w:bCs/>
        </w:rPr>
      </w:pPr>
      <w:r>
        <w:t>供应商资格性审查通过后，</w:t>
      </w:r>
      <w:r>
        <w:rPr>
          <w:rFonts w:hint="eastAsia"/>
          <w:bCs/>
        </w:rPr>
        <w:t>评标委员会对符合资格条件的供应商的投标文件进行符合性审查，以确定其是否满足招标文件的实质性要求。</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32"/>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268"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268"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5944"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5944"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268"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5944" w:type="dxa"/>
            <w:vAlign w:val="center"/>
          </w:tcPr>
          <w:p>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pPr>
              <w:spacing w:line="400" w:lineRule="exact"/>
              <w:jc w:val="both"/>
              <w:rPr>
                <w:rFonts w:ascii="Calibri" w:hAnsi="宋体" w:eastAsia="宋体" w:cstheme="minorHAnsi"/>
                <w:bCs/>
                <w:sz w:val="21"/>
                <w:szCs w:val="21"/>
              </w:rPr>
            </w:pPr>
            <w:r>
              <w:rPr>
                <w:rFonts w:ascii="Calibri" w:hAnsi="宋体" w:eastAsia="宋体" w:cstheme="minorHAnsi"/>
                <w:b/>
                <w:color w:val="C00000"/>
                <w:sz w:val="21"/>
                <w:szCs w:val="21"/>
                <w:highlight w:val="yellow"/>
              </w:rPr>
              <w:t>注意：暗标部分不得进行签章</w:t>
            </w:r>
            <w:r>
              <w:rPr>
                <w:rFonts w:ascii="Calibri" w:hAnsi="宋体" w:eastAsia="宋体" w:cstheme="minorHAnsi"/>
                <w:color w:val="C00000"/>
                <w:sz w:val="21"/>
                <w:szCs w:val="21"/>
                <w:highlight w:val="yellow"/>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5944"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5944"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5944"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5944"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5944"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268"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5944"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268"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5944"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89"/>
        <w:ind w:firstLine="482"/>
        <w:rPr>
          <w:b/>
        </w:rPr>
      </w:pPr>
      <w:r>
        <w:rPr>
          <w:b/>
        </w:rPr>
        <w:t>3</w:t>
      </w:r>
      <w:r>
        <w:rPr>
          <w:rFonts w:hint="eastAsia"/>
          <w:b/>
          <w:color w:val="auto"/>
        </w:rPr>
        <w:t>．投标</w:t>
      </w:r>
      <w:r>
        <w:rPr>
          <w:rFonts w:hint="eastAsia"/>
          <w:b/>
        </w:rPr>
        <w:t>文件的澄清</w:t>
      </w:r>
    </w:p>
    <w:p>
      <w:pPr>
        <w:pStyle w:val="89"/>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pPr>
        <w:pStyle w:val="89"/>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pPr>
        <w:pStyle w:val="89"/>
        <w:ind w:firstLine="482"/>
        <w:rPr>
          <w:b/>
        </w:rPr>
      </w:pPr>
      <w:r>
        <w:rPr>
          <w:rFonts w:hint="eastAsia"/>
          <w:b/>
        </w:rPr>
        <w:t>4．</w:t>
      </w:r>
      <w:r>
        <w:rPr>
          <w:b/>
        </w:rPr>
        <w:t>综合比较与评价</w:t>
      </w:r>
    </w:p>
    <w:p>
      <w:pPr>
        <w:pStyle w:val="89"/>
        <w:ind w:firstLine="480"/>
      </w:pPr>
      <w:r>
        <w:t>评标委员会按「评审要素及分值一览表」中规定的评标方法和标准，对通过符合性审查的投标文件进行商务和技术评估，综合比较与评价。</w:t>
      </w:r>
    </w:p>
    <w:p>
      <w:pPr>
        <w:pStyle w:val="89"/>
        <w:ind w:firstLine="480"/>
        <w:rPr>
          <w:color w:val="C00000"/>
        </w:rPr>
      </w:pPr>
      <w:r>
        <w:rPr>
          <w:color w:val="C00000"/>
        </w:rPr>
        <w:t>出现下列情形的，供应商投标无效：</w:t>
      </w:r>
    </w:p>
    <w:p>
      <w:pPr>
        <w:pStyle w:val="89"/>
        <w:ind w:firstLine="480"/>
      </w:pPr>
      <w:r>
        <w:t>（1）投标文件报价出现本章第</w:t>
      </w:r>
      <w:r>
        <w:rPr>
          <w:rFonts w:hint="eastAsia"/>
        </w:rPr>
        <w:t>四</w:t>
      </w:r>
      <w:r>
        <w:t>小节</w:t>
      </w:r>
      <w:r>
        <w:rPr>
          <w:rFonts w:hint="eastAsia"/>
        </w:rPr>
        <w:t>“</w:t>
      </w:r>
      <w:r>
        <w:t>投标报价</w:t>
      </w:r>
      <w:r>
        <w:rPr>
          <w:rFonts w:hint="eastAsia"/>
        </w:rPr>
        <w:t>”</w:t>
      </w:r>
      <w:r>
        <w:t>所列需要修正情形，但供应商对修正后的报价不予确认的；</w:t>
      </w:r>
    </w:p>
    <w:p>
      <w:pPr>
        <w:pStyle w:val="89"/>
        <w:widowControl w:val="0"/>
        <w:ind w:firstLine="480"/>
      </w:pPr>
      <w: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32"/>
        <w:tblW w:w="94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5809"/>
        <w:gridCol w:w="141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both"/>
              <w:rPr>
                <w:rFonts w:cstheme="minorHAnsi"/>
                <w:b/>
                <w:bCs/>
                <w:sz w:val="21"/>
                <w:szCs w:val="21"/>
              </w:rPr>
            </w:pPr>
            <w:r>
              <w:rPr>
                <w:rFonts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both"/>
              <w:rPr>
                <w:rFonts w:cstheme="minorHAnsi"/>
                <w:b/>
                <w:bCs/>
                <w:sz w:val="21"/>
                <w:szCs w:val="21"/>
              </w:rPr>
            </w:pPr>
            <w:r>
              <w:rPr>
                <w:rFonts w:cstheme="minorHAnsi"/>
                <w:b/>
                <w:bCs/>
                <w:sz w:val="21"/>
                <w:szCs w:val="21"/>
              </w:rPr>
              <w:t>总分值</w:t>
            </w:r>
          </w:p>
        </w:tc>
        <w:tc>
          <w:tcPr>
            <w:tcW w:w="5809"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both"/>
              <w:rPr>
                <w:rFonts w:cstheme="minorHAnsi"/>
                <w:b/>
                <w:bCs/>
                <w:sz w:val="21"/>
                <w:szCs w:val="21"/>
              </w:rPr>
            </w:pPr>
            <w:r>
              <w:rPr>
                <w:rFonts w:cstheme="minorHAnsi"/>
                <w:b/>
                <w:bCs/>
                <w:sz w:val="21"/>
                <w:szCs w:val="21"/>
              </w:rPr>
              <w:t>评审要素</w:t>
            </w:r>
          </w:p>
        </w:tc>
        <w:tc>
          <w:tcPr>
            <w:tcW w:w="1418"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jc w:val="both"/>
              <w:rPr>
                <w:rFonts w:cstheme="minorHAnsi"/>
                <w:b/>
                <w:bCs/>
                <w:sz w:val="21"/>
                <w:szCs w:val="21"/>
              </w:rPr>
            </w:pPr>
            <w:r>
              <w:rPr>
                <w:rFonts w:cstheme="minorHAnsi"/>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both"/>
              <w:rPr>
                <w:rFonts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pPr>
              <w:spacing w:line="320" w:lineRule="exact"/>
              <w:jc w:val="both"/>
              <w:rPr>
                <w:rFonts w:cstheme="minorHAnsi"/>
                <w:b/>
                <w:bCs/>
                <w:sz w:val="21"/>
                <w:szCs w:val="21"/>
              </w:rPr>
            </w:pPr>
            <w:r>
              <w:rPr>
                <w:rFonts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pPr>
              <w:spacing w:line="320" w:lineRule="exact"/>
              <w:jc w:val="both"/>
              <w:rPr>
                <w:rFonts w:cstheme="minorHAnsi"/>
                <w:b/>
                <w:bCs/>
                <w:sz w:val="21"/>
                <w:szCs w:val="21"/>
              </w:rPr>
            </w:pPr>
            <w:r>
              <w:rPr>
                <w:rFonts w:cstheme="minorHAnsi"/>
                <w:b/>
                <w:bCs/>
                <w:sz w:val="21"/>
                <w:szCs w:val="21"/>
              </w:rPr>
              <w:t>分项最高分值</w:t>
            </w:r>
          </w:p>
        </w:tc>
        <w:tc>
          <w:tcPr>
            <w:tcW w:w="5809"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both"/>
              <w:rPr>
                <w:rFonts w:cstheme="minorHAnsi"/>
                <w:bCs/>
                <w:sz w:val="21"/>
                <w:szCs w:val="21"/>
              </w:rPr>
            </w:pPr>
          </w:p>
        </w:tc>
        <w:tc>
          <w:tcPr>
            <w:tcW w:w="1418"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jc w:val="both"/>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tcBorders>
              <w:top w:val="single" w:color="auto" w:sz="2" w:space="0"/>
            </w:tcBorders>
            <w:shd w:val="clear" w:color="auto" w:fill="auto"/>
            <w:vAlign w:val="center"/>
          </w:tcPr>
          <w:p>
            <w:pPr>
              <w:spacing w:line="320" w:lineRule="exact"/>
              <w:jc w:val="both"/>
              <w:rPr>
                <w:rFonts w:cs="宋体"/>
                <w:bCs/>
                <w:sz w:val="21"/>
                <w:szCs w:val="21"/>
              </w:rPr>
            </w:pPr>
            <w:r>
              <w:rPr>
                <w:rFonts w:cs="宋体"/>
                <w:b/>
                <w:sz w:val="21"/>
                <w:szCs w:val="21"/>
              </w:rPr>
              <w:t>价格</w:t>
            </w:r>
          </w:p>
        </w:tc>
        <w:tc>
          <w:tcPr>
            <w:tcW w:w="640" w:type="dxa"/>
            <w:tcBorders>
              <w:top w:val="single" w:color="auto" w:sz="2" w:space="0"/>
            </w:tcBorders>
            <w:shd w:val="clear" w:color="auto" w:fill="auto"/>
            <w:vAlign w:val="center"/>
          </w:tcPr>
          <w:p>
            <w:pPr>
              <w:spacing w:line="320" w:lineRule="exact"/>
              <w:jc w:val="both"/>
              <w:rPr>
                <w:rFonts w:cs="宋体"/>
                <w:bCs/>
                <w:sz w:val="21"/>
                <w:szCs w:val="21"/>
              </w:rPr>
            </w:pPr>
            <w:r>
              <w:rPr>
                <w:rFonts w:cs="宋体"/>
                <w:bCs/>
                <w:sz w:val="21"/>
                <w:szCs w:val="21"/>
              </w:rPr>
              <w:t>10</w:t>
            </w: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10</w:t>
            </w:r>
          </w:p>
        </w:tc>
        <w:tc>
          <w:tcPr>
            <w:tcW w:w="5809" w:type="dxa"/>
            <w:tcBorders>
              <w:top w:val="single" w:color="auto" w:sz="2" w:space="0"/>
            </w:tcBorders>
            <w:shd w:val="clear" w:color="auto" w:fill="auto"/>
            <w:vAlign w:val="center"/>
          </w:tcPr>
          <w:p>
            <w:pPr>
              <w:tabs>
                <w:tab w:val="left" w:pos="547"/>
              </w:tabs>
              <w:spacing w:line="320" w:lineRule="exact"/>
              <w:jc w:val="both"/>
              <w:rPr>
                <w:rFonts w:cs="宋体"/>
                <w:sz w:val="21"/>
                <w:szCs w:val="21"/>
              </w:rPr>
            </w:pPr>
            <w:r>
              <w:rPr>
                <w:rFonts w:cs="宋体"/>
                <w:sz w:val="21"/>
                <w:szCs w:val="21"/>
              </w:rPr>
              <w:t>有效供应商最低报价为基准价得10分，各供应商的报价得分按下列公式计算：（基准价/投标报价）×10%×100分</w:t>
            </w:r>
          </w:p>
        </w:tc>
        <w:tc>
          <w:tcPr>
            <w:tcW w:w="1418" w:type="dxa"/>
            <w:tcBorders>
              <w:top w:val="single" w:color="auto" w:sz="2" w:space="0"/>
            </w:tcBorders>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pPr>
              <w:spacing w:line="320" w:lineRule="exact"/>
              <w:jc w:val="both"/>
              <w:rPr>
                <w:rFonts w:cs="宋体"/>
                <w:bCs/>
                <w:sz w:val="21"/>
                <w:szCs w:val="21"/>
              </w:rPr>
            </w:pPr>
            <w:r>
              <w:rPr>
                <w:rFonts w:cs="宋体"/>
                <w:bCs/>
                <w:sz w:val="21"/>
                <w:szCs w:val="21"/>
              </w:rPr>
              <w:t>技术</w:t>
            </w:r>
          </w:p>
          <w:p>
            <w:pPr>
              <w:spacing w:line="320" w:lineRule="exact"/>
              <w:jc w:val="both"/>
              <w:rPr>
                <w:rFonts w:cs="宋体"/>
                <w:b/>
                <w:sz w:val="21"/>
                <w:szCs w:val="21"/>
              </w:rPr>
            </w:pPr>
            <w:r>
              <w:rPr>
                <w:rFonts w:cs="宋体"/>
                <w:bCs/>
                <w:sz w:val="21"/>
                <w:szCs w:val="21"/>
              </w:rPr>
              <w:t>部分（暗标盲评）</w:t>
            </w:r>
          </w:p>
        </w:tc>
        <w:tc>
          <w:tcPr>
            <w:tcW w:w="640" w:type="dxa"/>
            <w:vMerge w:val="restart"/>
            <w:shd w:val="clear" w:color="auto" w:fill="auto"/>
            <w:vAlign w:val="center"/>
          </w:tcPr>
          <w:p>
            <w:pPr>
              <w:spacing w:line="320" w:lineRule="exact"/>
              <w:jc w:val="both"/>
              <w:rPr>
                <w:rFonts w:cs="宋体"/>
                <w:bCs/>
                <w:sz w:val="21"/>
                <w:szCs w:val="21"/>
              </w:rPr>
            </w:pPr>
            <w:r>
              <w:rPr>
                <w:rFonts w:cs="宋体"/>
                <w:bCs/>
                <w:sz w:val="21"/>
                <w:szCs w:val="21"/>
              </w:rPr>
              <w:t>42</w:t>
            </w: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9</w:t>
            </w:r>
          </w:p>
        </w:tc>
        <w:tc>
          <w:tcPr>
            <w:tcW w:w="5809" w:type="dxa"/>
            <w:shd w:val="clear" w:color="auto" w:fill="auto"/>
            <w:vAlign w:val="center"/>
          </w:tcPr>
          <w:p>
            <w:pPr>
              <w:tabs>
                <w:tab w:val="left" w:pos="547"/>
              </w:tabs>
              <w:spacing w:line="320" w:lineRule="exact"/>
              <w:ind w:firstLine="422"/>
              <w:jc w:val="both"/>
              <w:rPr>
                <w:rFonts w:cs="宋体"/>
                <w:b/>
                <w:color w:val="C00000"/>
                <w:sz w:val="21"/>
                <w:szCs w:val="21"/>
              </w:rPr>
            </w:pPr>
            <w:r>
              <w:rPr>
                <w:rFonts w:cs="宋体"/>
                <w:b/>
                <w:bCs/>
                <w:color w:val="C00000"/>
                <w:sz w:val="21"/>
                <w:szCs w:val="21"/>
                <w:lang w:bidi="ar"/>
              </w:rPr>
              <w:t>总体管理方案</w:t>
            </w:r>
            <w:r>
              <w:rPr>
                <w:rFonts w:cs="宋体"/>
                <w:b/>
                <w:color w:val="C00000"/>
                <w:sz w:val="21"/>
                <w:szCs w:val="21"/>
              </w:rPr>
              <w:t>：</w:t>
            </w:r>
          </w:p>
          <w:p>
            <w:pPr>
              <w:tabs>
                <w:tab w:val="left" w:pos="547"/>
              </w:tabs>
              <w:spacing w:line="320" w:lineRule="exact"/>
              <w:jc w:val="both"/>
              <w:rPr>
                <w:rFonts w:cs="宋体"/>
                <w:sz w:val="21"/>
                <w:szCs w:val="21"/>
              </w:rPr>
            </w:pPr>
            <w:r>
              <w:rPr>
                <w:rFonts w:hint="eastAsia" w:cs="宋体"/>
                <w:sz w:val="21"/>
                <w:szCs w:val="21"/>
              </w:rPr>
              <w:t>一、评审内容</w:t>
            </w:r>
          </w:p>
          <w:p>
            <w:pPr>
              <w:tabs>
                <w:tab w:val="left" w:pos="547"/>
              </w:tabs>
              <w:spacing w:line="320" w:lineRule="exact"/>
              <w:jc w:val="both"/>
              <w:rPr>
                <w:rFonts w:cs="宋体"/>
                <w:color w:val="FF0000"/>
                <w:sz w:val="21"/>
                <w:szCs w:val="21"/>
              </w:rPr>
            </w:pPr>
            <w:r>
              <w:rPr>
                <w:rFonts w:hint="eastAsia" w:cs="宋体"/>
                <w:sz w:val="21"/>
                <w:szCs w:val="21"/>
              </w:rPr>
              <w:t>提出针对于本项目的总体管理</w:t>
            </w:r>
            <w:r>
              <w:rPr>
                <w:rFonts w:hint="eastAsia" w:cs="宋体"/>
                <w:bCs/>
                <w:sz w:val="21"/>
                <w:szCs w:val="21"/>
              </w:rPr>
              <w:t>方案</w:t>
            </w:r>
            <w:r>
              <w:rPr>
                <w:rFonts w:hint="eastAsia" w:cs="宋体"/>
                <w:sz w:val="21"/>
                <w:szCs w:val="21"/>
              </w:rPr>
              <w:t>，方案内容包含但不限于①训练安全管理方案②装备维护方案③培训演练记录管理记录方案</w:t>
            </w:r>
            <w:r>
              <w:rPr>
                <w:rFonts w:hint="eastAsia" w:cs="宋体"/>
                <w:bCs/>
                <w:sz w:val="21"/>
                <w:szCs w:val="21"/>
              </w:rPr>
              <w:t>。</w:t>
            </w:r>
          </w:p>
          <w:p>
            <w:pPr>
              <w:tabs>
                <w:tab w:val="left" w:pos="547"/>
              </w:tabs>
              <w:spacing w:line="320" w:lineRule="exact"/>
              <w:jc w:val="both"/>
              <w:rPr>
                <w:rFonts w:cs="宋体"/>
                <w:sz w:val="21"/>
                <w:szCs w:val="21"/>
              </w:rPr>
            </w:pPr>
            <w:r>
              <w:rPr>
                <w:rFonts w:hint="eastAsia" w:cs="宋体"/>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1、完整性：方案须全面，对评审内容中的各项要求有详细描述及说明；</w:t>
            </w:r>
          </w:p>
          <w:p>
            <w:pPr>
              <w:tabs>
                <w:tab w:val="left" w:pos="547"/>
              </w:tabs>
              <w:spacing w:line="320" w:lineRule="exact"/>
              <w:jc w:val="both"/>
              <w:rPr>
                <w:rFonts w:cs="宋体"/>
                <w:sz w:val="21"/>
                <w:szCs w:val="21"/>
              </w:rPr>
            </w:pPr>
            <w:r>
              <w:rPr>
                <w:rFonts w:hint="eastAsia" w:cs="宋体"/>
                <w:sz w:val="21"/>
                <w:szCs w:val="21"/>
              </w:rPr>
              <w:t>2、可实施性：切合本项目实际情况，实施步骤清晰、合理；</w:t>
            </w:r>
          </w:p>
          <w:p>
            <w:pPr>
              <w:tabs>
                <w:tab w:val="left" w:pos="547"/>
              </w:tabs>
              <w:spacing w:line="320" w:lineRule="exact"/>
              <w:jc w:val="both"/>
              <w:rPr>
                <w:rFonts w:cs="宋体"/>
                <w:sz w:val="21"/>
                <w:szCs w:val="21"/>
              </w:rPr>
            </w:pPr>
            <w:r>
              <w:rPr>
                <w:rFonts w:hint="eastAsia" w:cs="宋体"/>
                <w:sz w:val="21"/>
                <w:szCs w:val="21"/>
              </w:rPr>
              <w:t>3、针对性：方案能够紧扣项目实际情况，内容科学合理。</w:t>
            </w:r>
          </w:p>
          <w:p>
            <w:pPr>
              <w:tabs>
                <w:tab w:val="left" w:pos="547"/>
              </w:tabs>
              <w:spacing w:line="320" w:lineRule="exact"/>
              <w:jc w:val="both"/>
              <w:rPr>
                <w:rFonts w:cs="宋体"/>
                <w:sz w:val="21"/>
                <w:szCs w:val="21"/>
              </w:rPr>
            </w:pPr>
            <w:r>
              <w:rPr>
                <w:rFonts w:hint="eastAsia" w:cs="宋体"/>
                <w:sz w:val="21"/>
                <w:szCs w:val="21"/>
              </w:rPr>
              <w:t>三、赋分标准（满分</w:t>
            </w:r>
            <w:r>
              <w:rPr>
                <w:rFonts w:cs="宋体"/>
                <w:sz w:val="21"/>
                <w:szCs w:val="21"/>
              </w:rPr>
              <w:t>9</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①训练安全管理方案：每完全满足一项评审标准得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spacing w:line="320" w:lineRule="exact"/>
              <w:jc w:val="both"/>
              <w:rPr>
                <w:rFonts w:cs="宋体"/>
                <w:sz w:val="21"/>
                <w:szCs w:val="21"/>
              </w:rPr>
            </w:pPr>
            <w:r>
              <w:rPr>
                <w:rFonts w:hint="eastAsia" w:cs="宋体"/>
                <w:sz w:val="21"/>
                <w:szCs w:val="21"/>
              </w:rPr>
              <w:t xml:space="preserve">②装备维护方案: </w:t>
            </w:r>
            <w:bookmarkStart w:id="9" w:name="OLE_LINK12"/>
            <w:bookmarkStart w:id="10" w:name="OLE_LINK11"/>
            <w:r>
              <w:rPr>
                <w:rFonts w:hint="eastAsia" w:cs="宋体"/>
                <w:sz w:val="21"/>
                <w:szCs w:val="21"/>
              </w:rPr>
              <w:t>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bookmarkEnd w:id="9"/>
            <w:bookmarkEnd w:id="10"/>
            <w:r>
              <w:rPr>
                <w:rFonts w:hint="eastAsia" w:cs="宋体"/>
                <w:sz w:val="21"/>
                <w:szCs w:val="21"/>
              </w:rPr>
              <w:t>；</w:t>
            </w:r>
          </w:p>
          <w:p>
            <w:pPr>
              <w:spacing w:line="320" w:lineRule="exact"/>
              <w:jc w:val="both"/>
              <w:rPr>
                <w:rFonts w:cs="宋体"/>
                <w:sz w:val="21"/>
                <w:szCs w:val="21"/>
              </w:rPr>
            </w:pPr>
            <w:r>
              <w:rPr>
                <w:rFonts w:hint="eastAsia" w:cs="宋体"/>
                <w:sz w:val="21"/>
                <w:szCs w:val="21"/>
              </w:rPr>
              <w:t>③培训演练记录管理记录方案</w:t>
            </w:r>
            <w:r>
              <w:rPr>
                <w:rFonts w:hint="eastAsia" w:cs="宋体"/>
                <w:bCs/>
                <w:sz w:val="21"/>
                <w:szCs w:val="21"/>
              </w:rPr>
              <w:t>：</w:t>
            </w:r>
            <w:r>
              <w:rPr>
                <w:rFonts w:hint="eastAsia" w:cs="宋体"/>
                <w:sz w:val="21"/>
                <w:szCs w:val="21"/>
              </w:rPr>
              <w:t>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tc>
        <w:tc>
          <w:tcPr>
            <w:tcW w:w="1418" w:type="dxa"/>
            <w:vMerge w:val="restart"/>
            <w:shd w:val="clear" w:color="auto" w:fill="auto"/>
            <w:vAlign w:val="center"/>
          </w:tcPr>
          <w:p>
            <w:pPr>
              <w:spacing w:line="320" w:lineRule="exact"/>
              <w:jc w:val="both"/>
              <w:rPr>
                <w:rFonts w:cs="宋体"/>
                <w:bCs/>
                <w:color w:val="FF0000"/>
                <w:sz w:val="21"/>
                <w:szCs w:val="21"/>
              </w:rPr>
            </w:pPr>
            <w:r>
              <w:rPr>
                <w:rFonts w:cs="宋体"/>
                <w:bCs/>
                <w:color w:val="C00000"/>
                <w:sz w:val="21"/>
                <w:szCs w:val="21"/>
              </w:rPr>
              <w:t>按照本章“七、评审方法和程序”的“（二）评标形式”中的暗标盲评部分的响应要求进行编制，否则，其投标视为无效。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both"/>
              <w:rPr>
                <w:rFonts w:cs="宋体"/>
                <w:bCs/>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18</w:t>
            </w:r>
          </w:p>
        </w:tc>
        <w:tc>
          <w:tcPr>
            <w:tcW w:w="5809" w:type="dxa"/>
            <w:shd w:val="clear" w:color="auto" w:fill="auto"/>
            <w:vAlign w:val="center"/>
          </w:tcPr>
          <w:p>
            <w:pPr>
              <w:tabs>
                <w:tab w:val="left" w:pos="547"/>
              </w:tabs>
              <w:spacing w:line="320" w:lineRule="exact"/>
              <w:ind w:firstLine="422"/>
              <w:jc w:val="both"/>
              <w:rPr>
                <w:rFonts w:cs="宋体"/>
                <w:b/>
                <w:color w:val="C00000"/>
                <w:sz w:val="21"/>
                <w:szCs w:val="21"/>
              </w:rPr>
            </w:pPr>
            <w:r>
              <w:rPr>
                <w:rFonts w:hint="eastAsia" w:cs="宋体"/>
                <w:b/>
                <w:bCs/>
                <w:color w:val="C00000"/>
                <w:sz w:val="21"/>
                <w:szCs w:val="21"/>
                <w:lang w:bidi="ar"/>
              </w:rPr>
              <w:t>绞车、索降培训总体方案</w:t>
            </w:r>
            <w:r>
              <w:rPr>
                <w:rFonts w:cs="宋体"/>
                <w:b/>
                <w:color w:val="C00000"/>
                <w:sz w:val="21"/>
                <w:szCs w:val="21"/>
              </w:rPr>
              <w:t>：</w:t>
            </w:r>
          </w:p>
          <w:p>
            <w:pPr>
              <w:tabs>
                <w:tab w:val="left" w:pos="547"/>
              </w:tabs>
              <w:spacing w:line="320" w:lineRule="exact"/>
              <w:jc w:val="both"/>
              <w:rPr>
                <w:rFonts w:cs="宋体"/>
                <w:sz w:val="21"/>
                <w:szCs w:val="21"/>
              </w:rPr>
            </w:pPr>
            <w:r>
              <w:rPr>
                <w:rFonts w:hint="eastAsia" w:cs="宋体"/>
                <w:sz w:val="21"/>
                <w:szCs w:val="21"/>
              </w:rPr>
              <w:t>一、评审内容</w:t>
            </w:r>
          </w:p>
          <w:p>
            <w:pPr>
              <w:tabs>
                <w:tab w:val="left" w:pos="547"/>
              </w:tabs>
              <w:spacing w:line="320" w:lineRule="exact"/>
              <w:jc w:val="both"/>
              <w:rPr>
                <w:rFonts w:cs="宋体"/>
                <w:color w:val="FF0000"/>
                <w:sz w:val="21"/>
                <w:szCs w:val="21"/>
              </w:rPr>
            </w:pPr>
            <w:r>
              <w:rPr>
                <w:rFonts w:hint="eastAsia" w:cs="宋体"/>
                <w:sz w:val="21"/>
                <w:szCs w:val="21"/>
              </w:rPr>
              <w:t>提出针对于本项目的培训总体</w:t>
            </w:r>
            <w:r>
              <w:rPr>
                <w:rFonts w:hint="eastAsia" w:cs="宋体"/>
                <w:bCs/>
                <w:sz w:val="21"/>
                <w:szCs w:val="21"/>
              </w:rPr>
              <w:t>方案</w:t>
            </w:r>
            <w:r>
              <w:rPr>
                <w:rFonts w:hint="eastAsia" w:cs="宋体"/>
                <w:sz w:val="21"/>
                <w:szCs w:val="21"/>
              </w:rPr>
              <w:t>，方案内容包含：①培训大纲②培训课程体系设计方案；③培训目标与考核标准方案。</w:t>
            </w:r>
          </w:p>
          <w:p>
            <w:pPr>
              <w:tabs>
                <w:tab w:val="left" w:pos="547"/>
              </w:tabs>
              <w:spacing w:line="320" w:lineRule="exact"/>
              <w:jc w:val="both"/>
              <w:rPr>
                <w:rFonts w:cs="宋体"/>
                <w:sz w:val="21"/>
                <w:szCs w:val="21"/>
              </w:rPr>
            </w:pPr>
            <w:r>
              <w:rPr>
                <w:rFonts w:hint="eastAsia" w:cs="宋体"/>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1、完整性：方案须全面，对评审内容中的各项要求有详细描述及说明；</w:t>
            </w:r>
          </w:p>
          <w:p>
            <w:pPr>
              <w:tabs>
                <w:tab w:val="left" w:pos="547"/>
              </w:tabs>
              <w:spacing w:line="320" w:lineRule="exact"/>
              <w:jc w:val="both"/>
              <w:rPr>
                <w:rFonts w:cs="宋体"/>
                <w:sz w:val="21"/>
                <w:szCs w:val="21"/>
              </w:rPr>
            </w:pPr>
            <w:r>
              <w:rPr>
                <w:rFonts w:hint="eastAsia" w:cs="宋体"/>
                <w:sz w:val="21"/>
                <w:szCs w:val="21"/>
              </w:rPr>
              <w:t>2、可实施性：切合本项目实际情况，实施步骤清晰、合理；</w:t>
            </w:r>
          </w:p>
          <w:p>
            <w:pPr>
              <w:tabs>
                <w:tab w:val="left" w:pos="547"/>
              </w:tabs>
              <w:spacing w:line="320" w:lineRule="exact"/>
              <w:jc w:val="both"/>
              <w:rPr>
                <w:rFonts w:cs="宋体"/>
                <w:sz w:val="21"/>
                <w:szCs w:val="21"/>
              </w:rPr>
            </w:pPr>
            <w:r>
              <w:rPr>
                <w:rFonts w:hint="eastAsia" w:cs="宋体"/>
                <w:sz w:val="21"/>
                <w:szCs w:val="21"/>
              </w:rPr>
              <w:t>3、针对性：方案能够紧扣项目实际情况，内容科学合理。</w:t>
            </w:r>
          </w:p>
          <w:p>
            <w:pPr>
              <w:tabs>
                <w:tab w:val="left" w:pos="547"/>
              </w:tabs>
              <w:spacing w:line="320" w:lineRule="exact"/>
              <w:jc w:val="both"/>
              <w:rPr>
                <w:rFonts w:cs="宋体"/>
                <w:sz w:val="21"/>
                <w:szCs w:val="21"/>
              </w:rPr>
            </w:pPr>
            <w:r>
              <w:rPr>
                <w:rFonts w:hint="eastAsia" w:cs="宋体"/>
                <w:sz w:val="21"/>
                <w:szCs w:val="21"/>
              </w:rPr>
              <w:t>三、赋分标准（满分</w:t>
            </w:r>
            <w:r>
              <w:rPr>
                <w:rFonts w:cs="宋体"/>
                <w:sz w:val="21"/>
                <w:szCs w:val="21"/>
              </w:rPr>
              <w:t>18</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①培训大纲：每完全满足一项评审标准得</w:t>
            </w:r>
            <w:r>
              <w:rPr>
                <w:rFonts w:cs="宋体"/>
                <w:sz w:val="21"/>
                <w:szCs w:val="21"/>
              </w:rPr>
              <w:t>2</w:t>
            </w:r>
            <w:r>
              <w:rPr>
                <w:rFonts w:hint="eastAsia" w:cs="宋体"/>
                <w:sz w:val="21"/>
                <w:szCs w:val="21"/>
              </w:rPr>
              <w:t>分，满分</w:t>
            </w:r>
            <w:r>
              <w:rPr>
                <w:rFonts w:cs="宋体"/>
                <w:sz w:val="21"/>
                <w:szCs w:val="21"/>
              </w:rPr>
              <w:t>6</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②培训课程体系设计方案：每完全满足一项评审标准得2分，满分</w:t>
            </w:r>
            <w:r>
              <w:rPr>
                <w:rFonts w:cs="宋体"/>
                <w:sz w:val="21"/>
                <w:szCs w:val="21"/>
              </w:rPr>
              <w:t>6</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③培训目标与考核标准方案：每完全满足一项评审标准得</w:t>
            </w:r>
            <w:r>
              <w:rPr>
                <w:rFonts w:cs="宋体"/>
                <w:sz w:val="21"/>
                <w:szCs w:val="21"/>
              </w:rPr>
              <w:t>2</w:t>
            </w:r>
            <w:r>
              <w:rPr>
                <w:rFonts w:hint="eastAsia" w:cs="宋体"/>
                <w:sz w:val="21"/>
                <w:szCs w:val="21"/>
              </w:rPr>
              <w:t>分，满分</w:t>
            </w:r>
            <w:r>
              <w:rPr>
                <w:rFonts w:cs="宋体"/>
                <w:sz w:val="21"/>
                <w:szCs w:val="21"/>
              </w:rPr>
              <w:t>6</w:t>
            </w:r>
            <w:r>
              <w:rPr>
                <w:rFonts w:hint="eastAsia" w:cs="宋体"/>
                <w:sz w:val="21"/>
                <w:szCs w:val="21"/>
              </w:rPr>
              <w:t>分。</w:t>
            </w:r>
          </w:p>
        </w:tc>
        <w:tc>
          <w:tcPr>
            <w:tcW w:w="1418" w:type="dxa"/>
            <w:vMerge w:val="continue"/>
            <w:shd w:val="clear" w:color="auto" w:fill="auto"/>
            <w:vAlign w:val="center"/>
          </w:tcPr>
          <w:p>
            <w:pPr>
              <w:spacing w:line="320" w:lineRule="exact"/>
              <w:jc w:val="both"/>
              <w:rPr>
                <w:rFonts w:cs="宋体"/>
                <w:bCs/>
                <w:color w:val="C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both"/>
              <w:rPr>
                <w:rFonts w:cs="宋体"/>
                <w:b/>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15</w:t>
            </w:r>
          </w:p>
        </w:tc>
        <w:tc>
          <w:tcPr>
            <w:tcW w:w="5809" w:type="dxa"/>
            <w:shd w:val="clear" w:color="auto" w:fill="auto"/>
            <w:vAlign w:val="center"/>
          </w:tcPr>
          <w:p>
            <w:pPr>
              <w:spacing w:line="320" w:lineRule="exact"/>
              <w:ind w:firstLine="422"/>
              <w:jc w:val="both"/>
              <w:rPr>
                <w:rFonts w:cs="Calibri"/>
                <w:b/>
                <w:color w:val="C00000"/>
                <w:kern w:val="2"/>
                <w:sz w:val="21"/>
                <w:szCs w:val="21"/>
              </w:rPr>
            </w:pPr>
            <w:r>
              <w:rPr>
                <w:rFonts w:hint="eastAsia" w:cs="Calibri"/>
                <w:b/>
                <w:color w:val="C00000"/>
                <w:kern w:val="2"/>
                <w:sz w:val="21"/>
                <w:szCs w:val="21"/>
              </w:rPr>
              <w:t>应急预案</w:t>
            </w:r>
            <w:r>
              <w:rPr>
                <w:rFonts w:cs="Calibri"/>
                <w:b/>
                <w:color w:val="C00000"/>
                <w:kern w:val="2"/>
                <w:sz w:val="21"/>
                <w:szCs w:val="21"/>
              </w:rPr>
              <w:t>：</w:t>
            </w:r>
          </w:p>
          <w:p>
            <w:pPr>
              <w:tabs>
                <w:tab w:val="left" w:pos="547"/>
              </w:tabs>
              <w:spacing w:line="320" w:lineRule="exact"/>
              <w:jc w:val="both"/>
              <w:rPr>
                <w:rFonts w:cs="宋体"/>
                <w:sz w:val="21"/>
                <w:szCs w:val="21"/>
              </w:rPr>
            </w:pPr>
            <w:r>
              <w:rPr>
                <w:rFonts w:hint="eastAsia" w:cs="宋体"/>
                <w:sz w:val="21"/>
                <w:szCs w:val="21"/>
              </w:rPr>
              <w:t>一、评审内容</w:t>
            </w:r>
          </w:p>
          <w:p>
            <w:pPr>
              <w:tabs>
                <w:tab w:val="left" w:pos="547"/>
              </w:tabs>
              <w:spacing w:line="320" w:lineRule="exact"/>
              <w:jc w:val="both"/>
              <w:rPr>
                <w:rFonts w:cs="宋体"/>
                <w:sz w:val="21"/>
                <w:szCs w:val="21"/>
              </w:rPr>
            </w:pPr>
            <w:r>
              <w:rPr>
                <w:rFonts w:hint="eastAsia" w:cs="宋体"/>
                <w:sz w:val="21"/>
                <w:szCs w:val="21"/>
              </w:rPr>
              <w:t>提供针对本项目的应急方案，方案内容包含：①突发事件；②训练事故应急响应方案；</w:t>
            </w:r>
            <w:r>
              <w:rPr>
                <w:rFonts w:cs="宋体"/>
                <w:sz w:val="21"/>
                <w:szCs w:val="21"/>
              </w:rPr>
              <w:t>③航空器故障处置方案</w:t>
            </w:r>
            <w:r>
              <w:rPr>
                <w:rFonts w:hint="eastAsia" w:cs="宋体"/>
                <w:sz w:val="21"/>
                <w:szCs w:val="21"/>
              </w:rPr>
              <w:t>；④极端天气终止预案；⑤医疗急救联动机制</w:t>
            </w:r>
            <w:r>
              <w:rPr>
                <w:rFonts w:cs="宋体"/>
                <w:sz w:val="21"/>
                <w:szCs w:val="21"/>
              </w:rPr>
              <w:t>。</w:t>
            </w:r>
          </w:p>
          <w:p>
            <w:pPr>
              <w:tabs>
                <w:tab w:val="left" w:pos="547"/>
              </w:tabs>
              <w:spacing w:line="320" w:lineRule="exact"/>
              <w:jc w:val="both"/>
              <w:rPr>
                <w:rFonts w:cs="宋体"/>
                <w:sz w:val="21"/>
                <w:szCs w:val="21"/>
              </w:rPr>
            </w:pPr>
            <w:r>
              <w:rPr>
                <w:rFonts w:hint="eastAsia" w:cs="宋体"/>
                <w:sz w:val="21"/>
                <w:szCs w:val="21"/>
              </w:rPr>
              <w:t>二、评审标准</w:t>
            </w:r>
          </w:p>
          <w:p>
            <w:pPr>
              <w:tabs>
                <w:tab w:val="left" w:pos="547"/>
              </w:tabs>
              <w:spacing w:line="320" w:lineRule="exact"/>
              <w:jc w:val="both"/>
              <w:rPr>
                <w:rFonts w:cs="宋体"/>
                <w:sz w:val="21"/>
                <w:szCs w:val="21"/>
              </w:rPr>
            </w:pPr>
            <w:r>
              <w:rPr>
                <w:rFonts w:hint="eastAsia" w:cs="宋体"/>
                <w:sz w:val="21"/>
                <w:szCs w:val="21"/>
              </w:rPr>
              <w:t>1、完整性：方案须全面，对评审内容中的各项要求有详细描述及说明；</w:t>
            </w:r>
          </w:p>
          <w:p>
            <w:pPr>
              <w:tabs>
                <w:tab w:val="left" w:pos="547"/>
              </w:tabs>
              <w:spacing w:line="320" w:lineRule="exact"/>
              <w:jc w:val="both"/>
              <w:rPr>
                <w:rFonts w:cs="宋体"/>
                <w:sz w:val="21"/>
                <w:szCs w:val="21"/>
              </w:rPr>
            </w:pPr>
            <w:r>
              <w:rPr>
                <w:rFonts w:hint="eastAsia" w:cs="宋体"/>
                <w:sz w:val="21"/>
                <w:szCs w:val="21"/>
              </w:rPr>
              <w:t>2、可实施性：切合本项目实际情况，实施步骤清晰、合理；</w:t>
            </w:r>
          </w:p>
          <w:p>
            <w:pPr>
              <w:tabs>
                <w:tab w:val="left" w:pos="547"/>
              </w:tabs>
              <w:spacing w:line="320" w:lineRule="exact"/>
              <w:jc w:val="both"/>
              <w:rPr>
                <w:rFonts w:cs="宋体"/>
                <w:sz w:val="21"/>
                <w:szCs w:val="21"/>
              </w:rPr>
            </w:pPr>
            <w:r>
              <w:rPr>
                <w:rFonts w:hint="eastAsia" w:cs="宋体"/>
                <w:sz w:val="21"/>
                <w:szCs w:val="21"/>
              </w:rPr>
              <w:t>3、针对性：方案能够紧扣项目实际情况，内容科学合理。</w:t>
            </w:r>
          </w:p>
          <w:p>
            <w:pPr>
              <w:tabs>
                <w:tab w:val="left" w:pos="547"/>
              </w:tabs>
              <w:spacing w:line="320" w:lineRule="exact"/>
              <w:jc w:val="both"/>
              <w:rPr>
                <w:rFonts w:cs="宋体"/>
                <w:sz w:val="21"/>
                <w:szCs w:val="21"/>
              </w:rPr>
            </w:pPr>
            <w:r>
              <w:rPr>
                <w:rFonts w:hint="eastAsia" w:cs="宋体"/>
                <w:sz w:val="21"/>
                <w:szCs w:val="21"/>
              </w:rPr>
              <w:t>三、赋分标准（满分</w:t>
            </w:r>
            <w:r>
              <w:rPr>
                <w:rFonts w:cs="宋体"/>
                <w:sz w:val="21"/>
                <w:szCs w:val="21"/>
              </w:rPr>
              <w:t>15</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①突发事件：每完全满足一项评审标准得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②训练事故应急响应方案：每完全满足一项评审标准得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tabs>
                <w:tab w:val="left" w:pos="547"/>
              </w:tabs>
              <w:spacing w:line="320" w:lineRule="exact"/>
              <w:jc w:val="both"/>
              <w:rPr>
                <w:rFonts w:cs="宋体"/>
                <w:sz w:val="21"/>
                <w:szCs w:val="21"/>
              </w:rPr>
            </w:pPr>
            <w:r>
              <w:rPr>
                <w:rFonts w:cs="宋体"/>
                <w:sz w:val="21"/>
                <w:szCs w:val="21"/>
              </w:rPr>
              <w:t>③航空器故障处置方案</w:t>
            </w:r>
            <w:r>
              <w:rPr>
                <w:rFonts w:hint="eastAsia" w:cs="宋体"/>
                <w:sz w:val="21"/>
                <w:szCs w:val="21"/>
              </w:rPr>
              <w:t>：每完全满足一项评审标准得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④极端天气终止预案：每完全满足一项评审标准得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p>
            <w:pPr>
              <w:tabs>
                <w:tab w:val="left" w:pos="547"/>
              </w:tabs>
              <w:spacing w:line="320" w:lineRule="exact"/>
              <w:jc w:val="both"/>
              <w:rPr>
                <w:rFonts w:cs="宋体"/>
                <w:sz w:val="21"/>
                <w:szCs w:val="21"/>
              </w:rPr>
            </w:pPr>
            <w:r>
              <w:rPr>
                <w:rFonts w:hint="eastAsia" w:cs="宋体"/>
                <w:sz w:val="21"/>
                <w:szCs w:val="21"/>
              </w:rPr>
              <w:t>⑤医疗急救联动机制：每完全满足一项评审标准得</w:t>
            </w:r>
            <w:r>
              <w:rPr>
                <w:rFonts w:cs="宋体"/>
                <w:sz w:val="21"/>
                <w:szCs w:val="21"/>
              </w:rPr>
              <w:t>1</w:t>
            </w:r>
            <w:r>
              <w:rPr>
                <w:rFonts w:hint="eastAsia" w:cs="宋体"/>
                <w:sz w:val="21"/>
                <w:szCs w:val="21"/>
              </w:rPr>
              <w:t>分，满分</w:t>
            </w:r>
            <w:r>
              <w:rPr>
                <w:rFonts w:cs="宋体"/>
                <w:sz w:val="21"/>
                <w:szCs w:val="21"/>
              </w:rPr>
              <w:t>3</w:t>
            </w:r>
            <w:r>
              <w:rPr>
                <w:rFonts w:hint="eastAsia" w:cs="宋体"/>
                <w:sz w:val="21"/>
                <w:szCs w:val="21"/>
              </w:rPr>
              <w:t>分。</w:t>
            </w:r>
          </w:p>
        </w:tc>
        <w:tc>
          <w:tcPr>
            <w:tcW w:w="1418" w:type="dxa"/>
            <w:vMerge w:val="continue"/>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pPr>
              <w:spacing w:line="320" w:lineRule="exact"/>
              <w:jc w:val="both"/>
              <w:rPr>
                <w:rFonts w:cs="宋体"/>
                <w:bCs/>
                <w:sz w:val="21"/>
                <w:szCs w:val="21"/>
              </w:rPr>
            </w:pPr>
            <w:r>
              <w:rPr>
                <w:rFonts w:cs="宋体"/>
                <w:bCs/>
                <w:sz w:val="21"/>
                <w:szCs w:val="21"/>
              </w:rPr>
              <w:t>商务</w:t>
            </w:r>
          </w:p>
          <w:p>
            <w:pPr>
              <w:spacing w:line="320" w:lineRule="exact"/>
              <w:jc w:val="both"/>
              <w:rPr>
                <w:rFonts w:cs="宋体"/>
                <w:b/>
                <w:sz w:val="21"/>
                <w:szCs w:val="21"/>
              </w:rPr>
            </w:pPr>
            <w:r>
              <w:rPr>
                <w:rFonts w:cs="宋体"/>
                <w:bCs/>
                <w:sz w:val="21"/>
                <w:szCs w:val="21"/>
              </w:rPr>
              <w:t>部分</w:t>
            </w:r>
          </w:p>
        </w:tc>
        <w:tc>
          <w:tcPr>
            <w:tcW w:w="640" w:type="dxa"/>
            <w:vMerge w:val="restart"/>
            <w:shd w:val="clear" w:color="auto" w:fill="auto"/>
            <w:vAlign w:val="center"/>
          </w:tcPr>
          <w:p>
            <w:pPr>
              <w:spacing w:line="320" w:lineRule="exact"/>
              <w:jc w:val="both"/>
              <w:rPr>
                <w:rFonts w:cs="宋体"/>
                <w:bCs/>
                <w:sz w:val="21"/>
                <w:szCs w:val="21"/>
              </w:rPr>
            </w:pPr>
            <w:r>
              <w:rPr>
                <w:rFonts w:cs="宋体"/>
                <w:bCs/>
                <w:sz w:val="21"/>
                <w:szCs w:val="21"/>
              </w:rPr>
              <w:t>48</w:t>
            </w: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15</w:t>
            </w:r>
          </w:p>
        </w:tc>
        <w:tc>
          <w:tcPr>
            <w:tcW w:w="5809" w:type="dxa"/>
            <w:shd w:val="clear" w:color="auto" w:fill="auto"/>
            <w:vAlign w:val="center"/>
          </w:tcPr>
          <w:p>
            <w:pPr>
              <w:spacing w:line="320" w:lineRule="exact"/>
              <w:ind w:firstLine="422"/>
              <w:jc w:val="both"/>
              <w:rPr>
                <w:rFonts w:cs="宋体"/>
                <w:b/>
                <w:color w:val="FF0000"/>
                <w:sz w:val="21"/>
                <w:szCs w:val="21"/>
              </w:rPr>
            </w:pPr>
            <w:r>
              <w:rPr>
                <w:rFonts w:cs="宋体"/>
                <w:b/>
                <w:color w:val="C00000"/>
                <w:sz w:val="21"/>
                <w:szCs w:val="21"/>
              </w:rPr>
              <w:t>人员配备方案：</w:t>
            </w:r>
          </w:p>
          <w:p>
            <w:pPr>
              <w:numPr>
                <w:ilvl w:val="255"/>
                <w:numId w:val="0"/>
              </w:numPr>
              <w:tabs>
                <w:tab w:val="left" w:pos="547"/>
              </w:tabs>
              <w:spacing w:line="320" w:lineRule="exact"/>
              <w:ind w:firstLine="420" w:firstLineChars="200"/>
              <w:rPr>
                <w:rFonts w:cs="宋体"/>
                <w:color w:val="FF0000"/>
                <w:szCs w:val="21"/>
              </w:rPr>
            </w:pPr>
            <w:r>
              <w:rPr>
                <w:rFonts w:hint="eastAsia" w:cs="宋体"/>
                <w:color w:val="FF0000"/>
                <w:sz w:val="21"/>
                <w:szCs w:val="21"/>
              </w:rPr>
              <w:t>一、配备2名飞行员均持有民航局执照，机长飞行时长≥</w:t>
            </w:r>
            <w:r>
              <w:rPr>
                <w:rFonts w:cs="宋体"/>
                <w:color w:val="FF0000"/>
                <w:sz w:val="21"/>
                <w:szCs w:val="21"/>
              </w:rPr>
              <w:t>1</w:t>
            </w:r>
            <w:r>
              <w:rPr>
                <w:rFonts w:hint="eastAsia" w:cs="宋体"/>
                <w:color w:val="FF0000"/>
                <w:sz w:val="21"/>
                <w:szCs w:val="21"/>
              </w:rPr>
              <w:t>000小时得3分，有签注相应机型得2分，有备用飞行员得2分。提供执照原件扫描件并加盖公章，签注机型提供扫描件并加盖公章，不提供不得分。</w:t>
            </w:r>
          </w:p>
          <w:p>
            <w:pPr>
              <w:numPr>
                <w:ilvl w:val="255"/>
                <w:numId w:val="0"/>
              </w:numPr>
              <w:tabs>
                <w:tab w:val="left" w:pos="547"/>
              </w:tabs>
              <w:spacing w:line="320" w:lineRule="exact"/>
              <w:ind w:firstLine="420" w:firstLineChars="200"/>
              <w:rPr>
                <w:rFonts w:cs="宋体"/>
                <w:color w:val="FF0000"/>
                <w:szCs w:val="21"/>
              </w:rPr>
            </w:pPr>
            <w:r>
              <w:rPr>
                <w:rFonts w:hint="eastAsia" w:cs="宋体"/>
                <w:color w:val="FF0000"/>
                <w:sz w:val="21"/>
                <w:szCs w:val="21"/>
              </w:rPr>
              <w:t>二、提供维修人员3人，均持有民航局维修执照得3分，提供执照原件扫描件并加盖公章，不提供不得分。</w:t>
            </w:r>
          </w:p>
          <w:p>
            <w:pPr>
              <w:numPr>
                <w:ilvl w:val="255"/>
                <w:numId w:val="0"/>
              </w:numPr>
              <w:tabs>
                <w:tab w:val="left" w:pos="547"/>
              </w:tabs>
              <w:spacing w:line="320" w:lineRule="exact"/>
              <w:ind w:firstLine="420" w:firstLineChars="200"/>
              <w:rPr>
                <w:rFonts w:ascii="仿宋" w:hAnsi="仿宋" w:eastAsia="仿宋" w:cs="仿宋"/>
                <w:sz w:val="28"/>
                <w:szCs w:val="28"/>
              </w:rPr>
            </w:pPr>
            <w:r>
              <w:rPr>
                <w:rFonts w:hint="eastAsia" w:cs="宋体"/>
                <w:color w:val="FF0000"/>
                <w:sz w:val="21"/>
                <w:szCs w:val="21"/>
              </w:rPr>
              <w:t>三、配备索降绞车培训教员2人，提供个人培训记录、飞行救援记录、授权书等得5分，</w:t>
            </w:r>
            <w:r>
              <w:rPr>
                <w:rFonts w:cs="宋体"/>
                <w:sz w:val="21"/>
                <w:szCs w:val="21"/>
              </w:rPr>
              <w:t>经验经历需提供工作证明材料及加盖单位公章</w:t>
            </w:r>
            <w:r>
              <w:rPr>
                <w:rFonts w:hint="eastAsia" w:cs="宋体"/>
                <w:color w:val="FF0000"/>
                <w:sz w:val="21"/>
                <w:szCs w:val="21"/>
              </w:rPr>
              <w:t>，不提供不得分。</w:t>
            </w:r>
          </w:p>
        </w:tc>
        <w:tc>
          <w:tcPr>
            <w:tcW w:w="1418" w:type="dxa"/>
            <w:vMerge w:val="restart"/>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both"/>
              <w:rPr>
                <w:rFonts w:cs="宋体"/>
                <w:bCs/>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12</w:t>
            </w:r>
          </w:p>
        </w:tc>
        <w:tc>
          <w:tcPr>
            <w:tcW w:w="5809" w:type="dxa"/>
            <w:shd w:val="clear" w:color="auto" w:fill="auto"/>
            <w:vAlign w:val="center"/>
          </w:tcPr>
          <w:p>
            <w:pPr>
              <w:widowControl w:val="0"/>
              <w:ind w:firstLine="420" w:firstLineChars="200"/>
              <w:jc w:val="both"/>
              <w:rPr>
                <w:rFonts w:cs="宋体"/>
                <w:b/>
                <w:bCs/>
                <w:color w:val="C00000"/>
                <w:sz w:val="21"/>
                <w:szCs w:val="21"/>
                <w:lang w:bidi="ar"/>
              </w:rPr>
            </w:pPr>
            <w:r>
              <w:rPr>
                <w:rFonts w:cs="宋体"/>
                <w:b/>
                <w:bCs/>
                <w:color w:val="C00000"/>
                <w:sz w:val="21"/>
                <w:szCs w:val="21"/>
                <w:lang w:bidi="ar"/>
              </w:rPr>
              <w:t>培训设施与装备：</w:t>
            </w:r>
          </w:p>
          <w:p>
            <w:pPr>
              <w:tabs>
                <w:tab w:val="left" w:pos="547"/>
              </w:tabs>
              <w:spacing w:line="320" w:lineRule="exact"/>
              <w:ind w:firstLine="420"/>
              <w:jc w:val="both"/>
              <w:rPr>
                <w:rFonts w:ascii="Calibri" w:hAnsi="宋体" w:eastAsia="宋体" w:cs="宋体"/>
                <w:b/>
                <w:sz w:val="21"/>
                <w:szCs w:val="21"/>
              </w:rPr>
            </w:pPr>
            <w:r>
              <w:rPr>
                <w:rFonts w:hint="eastAsia" w:ascii="Calibri" w:hAnsi="宋体" w:eastAsia="宋体" w:cs="宋体"/>
                <w:sz w:val="21"/>
                <w:szCs w:val="21"/>
              </w:rPr>
              <w:t>1、评审内容：</w:t>
            </w:r>
          </w:p>
          <w:p>
            <w:pPr>
              <w:tabs>
                <w:tab w:val="left" w:pos="547"/>
              </w:tabs>
              <w:spacing w:line="320" w:lineRule="exact"/>
              <w:ind w:firstLine="420"/>
              <w:jc w:val="both"/>
              <w:rPr>
                <w:rFonts w:ascii="宋体" w:hAnsi="宋体" w:eastAsia="宋体" w:cs="Calibri Light"/>
                <w:b/>
                <w:bCs/>
                <w:sz w:val="21"/>
                <w:szCs w:val="21"/>
              </w:rPr>
            </w:pPr>
            <w:r>
              <w:rPr>
                <w:rFonts w:hint="eastAsia" w:ascii="Calibri" w:hAnsi="宋体" w:eastAsia="宋体" w:cs="宋体"/>
                <w:sz w:val="21"/>
                <w:szCs w:val="21"/>
              </w:rPr>
              <w:t>针对本项目拟准备的</w:t>
            </w:r>
            <w:r>
              <w:rPr>
                <w:rFonts w:ascii="Calibri" w:hAnsi="宋体" w:eastAsia="宋体" w:cs="宋体"/>
                <w:sz w:val="21"/>
                <w:szCs w:val="21"/>
              </w:rPr>
              <w:t>设施</w:t>
            </w:r>
            <w:r>
              <w:rPr>
                <w:rFonts w:hint="eastAsia" w:ascii="Calibri" w:hAnsi="宋体" w:eastAsia="宋体" w:cs="宋体"/>
                <w:sz w:val="21"/>
                <w:szCs w:val="21"/>
              </w:rPr>
              <w:t>及装备等，</w:t>
            </w:r>
            <w:r>
              <w:rPr>
                <w:rFonts w:ascii="Calibri" w:hAnsi="宋体" w:eastAsia="宋体" w:cs="宋体"/>
                <w:sz w:val="21"/>
                <w:szCs w:val="21"/>
              </w:rPr>
              <w:t>包括</w:t>
            </w:r>
            <w:r>
              <w:rPr>
                <w:rFonts w:hint="eastAsia" w:cs="宋体"/>
                <w:sz w:val="21"/>
                <w:szCs w:val="21"/>
              </w:rPr>
              <w:t>①航空救援专用装备（双发直升机具备绞车功能、备用直升机等）；②实时监控与评估系统等。</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2、评审标准：</w:t>
            </w:r>
          </w:p>
          <w:p>
            <w:pPr>
              <w:tabs>
                <w:tab w:val="left" w:pos="547"/>
              </w:tabs>
              <w:spacing w:line="320" w:lineRule="exact"/>
              <w:ind w:firstLine="420" w:firstLineChars="200"/>
              <w:jc w:val="both"/>
              <w:rPr>
                <w:rFonts w:ascii="Calibri" w:hAnsi="宋体" w:eastAsia="宋体" w:cs="仿宋"/>
                <w:sz w:val="21"/>
              </w:rPr>
            </w:pPr>
            <w:r>
              <w:rPr>
                <w:rFonts w:ascii="Calibri" w:hAnsi="宋体" w:eastAsia="宋体" w:cs="仿宋"/>
                <w:sz w:val="21"/>
              </w:rPr>
              <w:t>①完整性：</w:t>
            </w:r>
            <w:r>
              <w:rPr>
                <w:rFonts w:hint="eastAsia" w:ascii="Calibri" w:hAnsi="宋体" w:eastAsia="宋体" w:cs="仿宋"/>
                <w:sz w:val="21"/>
              </w:rPr>
              <w:t>对评审内容中的各项工具（或设备）的数量和种类有详细描述，能完全满足招标文件要求；</w:t>
            </w:r>
          </w:p>
          <w:p>
            <w:pPr>
              <w:tabs>
                <w:tab w:val="left" w:pos="547"/>
              </w:tabs>
              <w:spacing w:line="320" w:lineRule="exact"/>
              <w:ind w:firstLine="420" w:firstLineChars="200"/>
              <w:jc w:val="both"/>
              <w:rPr>
                <w:rFonts w:ascii="Calibri" w:hAnsi="宋体" w:eastAsia="宋体" w:cs="仿宋"/>
                <w:sz w:val="21"/>
              </w:rPr>
            </w:pPr>
            <w:r>
              <w:rPr>
                <w:rFonts w:ascii="Calibri" w:hAnsi="宋体" w:eastAsia="宋体" w:cs="仿宋"/>
                <w:sz w:val="21"/>
              </w:rPr>
              <w:t>②</w:t>
            </w:r>
            <w:r>
              <w:rPr>
                <w:rFonts w:hint="eastAsia" w:ascii="Calibri" w:hAnsi="宋体" w:eastAsia="宋体" w:cs="仿宋"/>
                <w:sz w:val="21"/>
              </w:rPr>
              <w:t>实用性：</w:t>
            </w:r>
            <w:r>
              <w:rPr>
                <w:rFonts w:hint="eastAsia" w:ascii="Calibri" w:hAnsi="宋体" w:eastAsia="宋体" w:cs="宋体"/>
                <w:sz w:val="21"/>
                <w:szCs w:val="21"/>
              </w:rPr>
              <w:t>拟准备的</w:t>
            </w:r>
            <w:r>
              <w:rPr>
                <w:rFonts w:ascii="Calibri" w:hAnsi="宋体" w:eastAsia="宋体" w:cs="宋体"/>
                <w:sz w:val="21"/>
                <w:szCs w:val="21"/>
              </w:rPr>
              <w:t>设施</w:t>
            </w:r>
            <w:r>
              <w:rPr>
                <w:rFonts w:hint="eastAsia" w:ascii="Calibri" w:hAnsi="宋体" w:eastAsia="宋体" w:cs="宋体"/>
                <w:sz w:val="21"/>
                <w:szCs w:val="21"/>
              </w:rPr>
              <w:t>及装备</w:t>
            </w:r>
            <w:r>
              <w:rPr>
                <w:rFonts w:hint="eastAsia" w:ascii="Calibri" w:hAnsi="宋体" w:eastAsia="宋体" w:cs="仿宋"/>
                <w:sz w:val="21"/>
              </w:rPr>
              <w:t>质量有保障、使用率高、安全性能强；</w:t>
            </w:r>
          </w:p>
          <w:p>
            <w:pPr>
              <w:tabs>
                <w:tab w:val="left" w:pos="547"/>
              </w:tabs>
              <w:spacing w:line="320" w:lineRule="exact"/>
              <w:ind w:firstLine="420" w:firstLineChars="200"/>
              <w:jc w:val="both"/>
              <w:rPr>
                <w:rFonts w:ascii="Calibri" w:hAnsi="宋体" w:eastAsia="宋体" w:cs="仿宋"/>
                <w:sz w:val="21"/>
              </w:rPr>
            </w:pPr>
            <w:r>
              <w:rPr>
                <w:rFonts w:ascii="Calibri" w:hAnsi="宋体" w:eastAsia="宋体" w:cs="仿宋"/>
                <w:sz w:val="21"/>
              </w:rPr>
              <w:t>③</w:t>
            </w:r>
            <w:r>
              <w:rPr>
                <w:rFonts w:hint="eastAsia" w:ascii="Calibri" w:hAnsi="宋体" w:eastAsia="宋体" w:cs="仿宋"/>
                <w:sz w:val="21"/>
              </w:rPr>
              <w:t>针对性：</w:t>
            </w:r>
            <w:r>
              <w:rPr>
                <w:rFonts w:ascii="Calibri" w:hAnsi="宋体" w:eastAsia="宋体" w:cs="宋体"/>
                <w:sz w:val="21"/>
                <w:szCs w:val="21"/>
              </w:rPr>
              <w:t>设施</w:t>
            </w:r>
            <w:r>
              <w:rPr>
                <w:rFonts w:hint="eastAsia" w:ascii="Calibri" w:hAnsi="宋体" w:eastAsia="宋体" w:cs="宋体"/>
                <w:sz w:val="21"/>
                <w:szCs w:val="21"/>
              </w:rPr>
              <w:t>及装备</w:t>
            </w:r>
            <w:r>
              <w:rPr>
                <w:rFonts w:hint="eastAsia" w:ascii="Calibri" w:hAnsi="宋体" w:eastAsia="宋体" w:cs="仿宋"/>
                <w:sz w:val="21"/>
              </w:rPr>
              <w:t>能紧扣项目实际情况，配置合理科学。</w:t>
            </w:r>
          </w:p>
          <w:p>
            <w:pPr>
              <w:tabs>
                <w:tab w:val="left" w:pos="547"/>
              </w:tabs>
              <w:spacing w:line="320" w:lineRule="exact"/>
              <w:ind w:firstLine="420"/>
              <w:jc w:val="both"/>
              <w:rPr>
                <w:rFonts w:ascii="Calibri" w:hAnsi="宋体" w:eastAsia="宋体" w:cs="宋体"/>
                <w:sz w:val="21"/>
                <w:szCs w:val="21"/>
              </w:rPr>
            </w:pPr>
            <w:r>
              <w:rPr>
                <w:rFonts w:hint="eastAsia" w:ascii="Calibri" w:hAnsi="宋体" w:eastAsia="宋体" w:cs="宋体"/>
                <w:sz w:val="21"/>
                <w:szCs w:val="21"/>
              </w:rPr>
              <w:t>3、赋分标准：</w:t>
            </w:r>
          </w:p>
          <w:p>
            <w:pPr>
              <w:tabs>
                <w:tab w:val="left" w:pos="547"/>
              </w:tabs>
              <w:spacing w:line="320" w:lineRule="exact"/>
              <w:ind w:firstLine="420"/>
              <w:jc w:val="both"/>
              <w:rPr>
                <w:rFonts w:ascii="Calibri" w:hAnsi="宋体" w:eastAsia="宋体" w:cs="宋体"/>
                <w:sz w:val="21"/>
                <w:szCs w:val="21"/>
              </w:rPr>
            </w:pPr>
            <w:r>
              <w:rPr>
                <w:rFonts w:hint="eastAsia" w:cs="宋体"/>
                <w:sz w:val="21"/>
                <w:szCs w:val="21"/>
              </w:rPr>
              <w:t>①航空救援专用装备（双发直升机具备绞车功能、备用直升机等）</w:t>
            </w:r>
            <w:r>
              <w:rPr>
                <w:rFonts w:hint="eastAsia" w:ascii="Calibri" w:hAnsi="宋体" w:eastAsia="宋体" w:cs="宋体"/>
                <w:sz w:val="21"/>
                <w:szCs w:val="21"/>
              </w:rPr>
              <w:t>：每满足一项评审标准得</w:t>
            </w:r>
            <w:r>
              <w:rPr>
                <w:rFonts w:ascii="Calibri" w:hAnsi="宋体" w:eastAsia="宋体" w:cs="宋体"/>
                <w:bCs/>
                <w:color w:val="FF0000"/>
                <w:sz w:val="21"/>
                <w:szCs w:val="21"/>
              </w:rPr>
              <w:t>2</w:t>
            </w:r>
            <w:r>
              <w:rPr>
                <w:rFonts w:hint="eastAsia" w:ascii="Calibri" w:hAnsi="宋体" w:eastAsia="宋体" w:cs="宋体"/>
                <w:sz w:val="21"/>
                <w:szCs w:val="21"/>
              </w:rPr>
              <w:t>分，满分</w:t>
            </w:r>
            <w:r>
              <w:rPr>
                <w:rFonts w:ascii="Calibri" w:hAnsi="宋体" w:eastAsia="宋体" w:cs="宋体"/>
                <w:color w:val="FF0000"/>
                <w:sz w:val="21"/>
                <w:szCs w:val="21"/>
              </w:rPr>
              <w:t>6</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hint="eastAsia" w:cs="宋体"/>
                <w:sz w:val="21"/>
                <w:szCs w:val="21"/>
              </w:rPr>
              <w:t>②实时监控与评估系统等</w:t>
            </w:r>
            <w:r>
              <w:rPr>
                <w:rFonts w:hint="eastAsia" w:ascii="Calibri" w:hAnsi="宋体" w:eastAsia="宋体" w:cs="宋体"/>
                <w:sz w:val="21"/>
                <w:szCs w:val="21"/>
              </w:rPr>
              <w:t>：每满足一项评审标准得</w:t>
            </w:r>
            <w:r>
              <w:rPr>
                <w:rFonts w:ascii="Calibri" w:hAnsi="宋体" w:eastAsia="宋体" w:cs="宋体"/>
                <w:bCs/>
                <w:color w:val="FF0000"/>
                <w:sz w:val="21"/>
                <w:szCs w:val="21"/>
              </w:rPr>
              <w:t>2</w:t>
            </w:r>
            <w:r>
              <w:rPr>
                <w:rFonts w:hint="eastAsia" w:ascii="Calibri" w:hAnsi="宋体" w:eastAsia="宋体" w:cs="宋体"/>
                <w:sz w:val="21"/>
                <w:szCs w:val="21"/>
              </w:rPr>
              <w:t>分，满分</w:t>
            </w:r>
            <w:r>
              <w:rPr>
                <w:rFonts w:ascii="Calibri" w:hAnsi="宋体" w:eastAsia="宋体" w:cs="宋体"/>
                <w:color w:val="FF0000"/>
                <w:sz w:val="21"/>
                <w:szCs w:val="21"/>
              </w:rPr>
              <w:t>6</w:t>
            </w:r>
            <w:r>
              <w:rPr>
                <w:rFonts w:hint="eastAsia" w:ascii="Calibri" w:hAnsi="宋体" w:eastAsia="宋体" w:cs="宋体"/>
                <w:sz w:val="21"/>
                <w:szCs w:val="21"/>
              </w:rPr>
              <w:t>分。</w:t>
            </w:r>
          </w:p>
          <w:p>
            <w:pPr>
              <w:tabs>
                <w:tab w:val="left" w:pos="547"/>
              </w:tabs>
              <w:spacing w:line="320" w:lineRule="exact"/>
              <w:ind w:firstLine="420"/>
              <w:jc w:val="both"/>
              <w:rPr>
                <w:rFonts w:ascii="Calibri" w:hAnsi="宋体" w:eastAsia="宋体" w:cs="宋体"/>
                <w:sz w:val="21"/>
                <w:szCs w:val="21"/>
              </w:rPr>
            </w:pPr>
            <w:r>
              <w:rPr>
                <w:rFonts w:ascii="Calibri" w:hAnsi="宋体" w:eastAsia="宋体" w:cs="宋体"/>
                <w:sz w:val="21"/>
                <w:szCs w:val="21"/>
              </w:rPr>
              <w:t>注：直升机应提供租赁或购买合同扫面件并加盖公章，不提供不得分。</w:t>
            </w:r>
          </w:p>
        </w:tc>
        <w:tc>
          <w:tcPr>
            <w:tcW w:w="1418" w:type="dxa"/>
            <w:vMerge w:val="continue"/>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both"/>
              <w:rPr>
                <w:rFonts w:cs="宋体"/>
                <w:bCs/>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hint="eastAsia" w:cs="宋体"/>
                <w:bCs/>
                <w:sz w:val="21"/>
                <w:szCs w:val="21"/>
              </w:rPr>
              <w:t>5</w:t>
            </w:r>
          </w:p>
        </w:tc>
        <w:tc>
          <w:tcPr>
            <w:tcW w:w="5809" w:type="dxa"/>
            <w:shd w:val="clear" w:color="auto" w:fill="auto"/>
            <w:vAlign w:val="center"/>
          </w:tcPr>
          <w:p>
            <w:pPr>
              <w:widowControl w:val="0"/>
              <w:ind w:firstLine="420" w:firstLineChars="200"/>
              <w:jc w:val="both"/>
              <w:rPr>
                <w:rFonts w:cs="宋体"/>
                <w:b/>
                <w:bCs/>
                <w:color w:val="C00000"/>
                <w:sz w:val="21"/>
                <w:szCs w:val="21"/>
                <w:lang w:bidi="ar"/>
              </w:rPr>
            </w:pPr>
            <w:r>
              <w:rPr>
                <w:rFonts w:cs="宋体"/>
                <w:b/>
                <w:bCs/>
                <w:color w:val="C00000"/>
                <w:sz w:val="21"/>
                <w:szCs w:val="21"/>
                <w:lang w:bidi="ar"/>
              </w:rPr>
              <w:t>服务优化：</w:t>
            </w:r>
          </w:p>
          <w:p>
            <w:pPr>
              <w:spacing w:line="320" w:lineRule="exact"/>
              <w:ind w:firstLine="420" w:firstLineChars="200"/>
              <w:rPr>
                <w:rFonts w:asciiTheme="minorEastAsia" w:hAnsiTheme="minorEastAsia" w:cstheme="majorHAnsi"/>
                <w:szCs w:val="21"/>
              </w:rPr>
            </w:pPr>
            <w:r>
              <w:rPr>
                <w:rFonts w:hint="eastAsia" w:asciiTheme="minorEastAsia" w:hAnsiTheme="minorEastAsia" w:cstheme="majorHAnsi"/>
                <w:sz w:val="21"/>
                <w:szCs w:val="21"/>
              </w:rPr>
              <w:t>1、自2022年1月1日截至开标日期之前，投标人未发生飞行事故得3分，需提供安全运行声明书及证明材料并加盖公章，不提供不得分。</w:t>
            </w:r>
          </w:p>
          <w:p>
            <w:pPr>
              <w:widowControl w:val="0"/>
              <w:ind w:firstLine="420" w:firstLineChars="200"/>
              <w:jc w:val="both"/>
              <w:rPr>
                <w:rFonts w:cs="宋体"/>
                <w:b/>
                <w:bCs/>
                <w:color w:val="C00000"/>
                <w:sz w:val="21"/>
                <w:szCs w:val="21"/>
                <w:lang w:bidi="ar"/>
              </w:rPr>
            </w:pPr>
            <w:r>
              <w:rPr>
                <w:rFonts w:hint="eastAsia" w:asciiTheme="minorEastAsia" w:hAnsiTheme="minorEastAsia" w:cstheme="majorHAnsi"/>
                <w:sz w:val="21"/>
                <w:szCs w:val="21"/>
              </w:rPr>
              <w:t>2、</w:t>
            </w:r>
            <w:r>
              <w:rPr>
                <w:rFonts w:hint="eastAsia" w:cs="宋体"/>
                <w:sz w:val="21"/>
                <w:szCs w:val="21"/>
              </w:rPr>
              <w:t>购买保险中“乘客座位险”每个座位不低于</w:t>
            </w:r>
            <w:r>
              <w:rPr>
                <w:rFonts w:cs="宋体"/>
                <w:sz w:val="21"/>
                <w:szCs w:val="21"/>
              </w:rPr>
              <w:t>200</w:t>
            </w:r>
            <w:r>
              <w:rPr>
                <w:rFonts w:hint="eastAsia" w:cs="宋体"/>
                <w:sz w:val="21"/>
                <w:szCs w:val="21"/>
              </w:rPr>
              <w:t>万得2分。</w:t>
            </w:r>
          </w:p>
        </w:tc>
        <w:tc>
          <w:tcPr>
            <w:tcW w:w="1418" w:type="dxa"/>
            <w:vMerge w:val="continue"/>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both"/>
              <w:rPr>
                <w:rFonts w:cs="宋体"/>
                <w:bCs/>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6</w:t>
            </w:r>
          </w:p>
        </w:tc>
        <w:tc>
          <w:tcPr>
            <w:tcW w:w="5809" w:type="dxa"/>
            <w:shd w:val="clear" w:color="auto" w:fill="auto"/>
            <w:vAlign w:val="center"/>
          </w:tcPr>
          <w:p>
            <w:pPr>
              <w:widowControl w:val="0"/>
              <w:ind w:firstLine="420" w:firstLineChars="200"/>
              <w:jc w:val="both"/>
              <w:rPr>
                <w:rFonts w:cs="宋体"/>
                <w:b/>
                <w:bCs/>
                <w:color w:val="C00000"/>
                <w:sz w:val="21"/>
                <w:szCs w:val="21"/>
                <w:lang w:bidi="ar"/>
              </w:rPr>
            </w:pPr>
            <w:r>
              <w:rPr>
                <w:rFonts w:hint="eastAsia" w:cs="宋体"/>
                <w:b/>
                <w:bCs/>
                <w:color w:val="C00000"/>
                <w:sz w:val="21"/>
                <w:szCs w:val="21"/>
                <w:lang w:bidi="ar"/>
              </w:rPr>
              <w:t>管理体系</w:t>
            </w:r>
            <w:r>
              <w:rPr>
                <w:rFonts w:cs="宋体"/>
                <w:b/>
                <w:bCs/>
                <w:color w:val="C00000"/>
                <w:sz w:val="21"/>
                <w:szCs w:val="21"/>
                <w:lang w:bidi="ar"/>
              </w:rPr>
              <w:t>：</w:t>
            </w:r>
          </w:p>
          <w:p>
            <w:pPr>
              <w:widowControl w:val="0"/>
              <w:spacing w:line="320" w:lineRule="exact"/>
              <w:ind w:firstLine="420" w:firstLineChars="200"/>
              <w:jc w:val="both"/>
              <w:rPr>
                <w:rFonts w:asciiTheme="minorEastAsia" w:hAnsiTheme="minorEastAsia" w:cstheme="majorHAnsi"/>
                <w:sz w:val="21"/>
                <w:szCs w:val="21"/>
              </w:rPr>
            </w:pPr>
            <w:r>
              <w:rPr>
                <w:rFonts w:hint="eastAsia" w:asciiTheme="minorEastAsia" w:hAnsiTheme="minorEastAsia" w:cstheme="majorHAnsi"/>
                <w:sz w:val="21"/>
                <w:szCs w:val="21"/>
              </w:rPr>
              <w:t>服务商具有有效的质量管理体系认证证书、环境管理体系认证证书、职业健康安全管理体系认证证书。</w:t>
            </w:r>
          </w:p>
          <w:p>
            <w:pPr>
              <w:widowControl w:val="0"/>
              <w:spacing w:line="320" w:lineRule="exact"/>
              <w:ind w:firstLine="420" w:firstLineChars="200"/>
              <w:jc w:val="both"/>
              <w:rPr>
                <w:rFonts w:cs="宋体"/>
                <w:b/>
                <w:bCs/>
                <w:color w:val="C00000"/>
                <w:sz w:val="21"/>
                <w:szCs w:val="21"/>
                <w:lang w:bidi="ar"/>
              </w:rPr>
            </w:pPr>
            <w:r>
              <w:rPr>
                <w:rFonts w:hint="eastAsia" w:asciiTheme="minorEastAsia" w:hAnsiTheme="minorEastAsia" w:cstheme="majorHAnsi"/>
                <w:sz w:val="21"/>
                <w:szCs w:val="21"/>
              </w:rPr>
              <w:t>提供证书扫描件加盖公章，并附国家市场监督管理总局全国认证认可信息公共服务平台查询截图的，每提供一项得2分，满分6分。</w:t>
            </w:r>
          </w:p>
        </w:tc>
        <w:tc>
          <w:tcPr>
            <w:tcW w:w="1418" w:type="dxa"/>
            <w:vMerge w:val="continue"/>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pPr>
              <w:spacing w:line="320" w:lineRule="exact"/>
              <w:jc w:val="both"/>
              <w:rPr>
                <w:rFonts w:cs="宋体"/>
                <w:bCs/>
                <w:sz w:val="21"/>
                <w:szCs w:val="21"/>
              </w:rPr>
            </w:pPr>
          </w:p>
        </w:tc>
        <w:tc>
          <w:tcPr>
            <w:tcW w:w="640" w:type="dxa"/>
            <w:vMerge w:val="continue"/>
            <w:shd w:val="clear" w:color="auto" w:fill="auto"/>
            <w:vAlign w:val="center"/>
          </w:tcPr>
          <w:p>
            <w:pPr>
              <w:spacing w:line="320" w:lineRule="exact"/>
              <w:jc w:val="both"/>
              <w:rPr>
                <w:rFonts w:cs="宋体"/>
                <w:bCs/>
                <w:sz w:val="21"/>
                <w:szCs w:val="21"/>
              </w:rPr>
            </w:pPr>
          </w:p>
        </w:tc>
        <w:tc>
          <w:tcPr>
            <w:tcW w:w="860" w:type="dxa"/>
            <w:shd w:val="clear" w:color="auto" w:fill="auto"/>
            <w:vAlign w:val="center"/>
          </w:tcPr>
          <w:p>
            <w:pPr>
              <w:spacing w:line="320" w:lineRule="exact"/>
              <w:jc w:val="center"/>
              <w:rPr>
                <w:rFonts w:cs="宋体"/>
                <w:bCs/>
                <w:sz w:val="21"/>
                <w:szCs w:val="21"/>
              </w:rPr>
            </w:pPr>
            <w:r>
              <w:rPr>
                <w:rFonts w:cs="宋体"/>
                <w:bCs/>
                <w:sz w:val="21"/>
                <w:szCs w:val="21"/>
              </w:rPr>
              <w:t>10</w:t>
            </w:r>
          </w:p>
        </w:tc>
        <w:tc>
          <w:tcPr>
            <w:tcW w:w="5809" w:type="dxa"/>
            <w:shd w:val="clear" w:color="auto" w:fill="auto"/>
            <w:vAlign w:val="center"/>
          </w:tcPr>
          <w:p>
            <w:pPr>
              <w:spacing w:line="320" w:lineRule="exact"/>
              <w:ind w:firstLine="422"/>
              <w:jc w:val="both"/>
              <w:rPr>
                <w:rFonts w:cs="宋体"/>
                <w:b/>
                <w:color w:val="C00000"/>
                <w:sz w:val="21"/>
                <w:szCs w:val="21"/>
              </w:rPr>
            </w:pPr>
            <w:r>
              <w:rPr>
                <w:rFonts w:cs="宋体"/>
                <w:b/>
                <w:bCs/>
                <w:color w:val="C00000"/>
                <w:sz w:val="21"/>
                <w:szCs w:val="21"/>
                <w:lang w:bidi="ar"/>
              </w:rPr>
              <w:t>业绩</w:t>
            </w:r>
            <w:r>
              <w:rPr>
                <w:rFonts w:cs="宋体"/>
                <w:b/>
                <w:color w:val="C00000"/>
                <w:sz w:val="21"/>
                <w:szCs w:val="21"/>
              </w:rPr>
              <w:t>：</w:t>
            </w:r>
          </w:p>
          <w:p>
            <w:pPr>
              <w:widowControl w:val="0"/>
              <w:spacing w:line="320" w:lineRule="exact"/>
              <w:ind w:firstLine="420" w:firstLineChars="200"/>
              <w:jc w:val="both"/>
              <w:rPr>
                <w:rFonts w:asciiTheme="minorEastAsia" w:hAnsiTheme="minorEastAsia" w:cstheme="majorHAnsi"/>
                <w:sz w:val="21"/>
                <w:szCs w:val="21"/>
              </w:rPr>
            </w:pPr>
            <w:r>
              <w:rPr>
                <w:rFonts w:hint="eastAsia" w:asciiTheme="minorEastAsia" w:hAnsiTheme="minorEastAsia" w:cstheme="majorHAnsi"/>
                <w:sz w:val="21"/>
                <w:szCs w:val="21"/>
              </w:rPr>
              <w:t>提供</w:t>
            </w:r>
            <w:r>
              <w:rPr>
                <w:rFonts w:asciiTheme="minorEastAsia" w:hAnsiTheme="minorEastAsia" w:cstheme="majorHAnsi"/>
                <w:sz w:val="21"/>
                <w:szCs w:val="21"/>
              </w:rPr>
              <w:t>2022</w:t>
            </w:r>
            <w:r>
              <w:rPr>
                <w:rFonts w:hint="eastAsia" w:asciiTheme="minorEastAsia" w:hAnsiTheme="minorEastAsia" w:cstheme="majorHAnsi"/>
                <w:sz w:val="21"/>
                <w:szCs w:val="21"/>
              </w:rPr>
              <w:t>年</w:t>
            </w:r>
            <w:r>
              <w:rPr>
                <w:rFonts w:asciiTheme="minorEastAsia" w:hAnsiTheme="minorEastAsia" w:cstheme="majorHAnsi"/>
                <w:sz w:val="21"/>
                <w:szCs w:val="21"/>
              </w:rPr>
              <w:t>1</w:t>
            </w:r>
            <w:r>
              <w:rPr>
                <w:rFonts w:hint="eastAsia" w:asciiTheme="minorEastAsia" w:hAnsiTheme="minorEastAsia" w:cstheme="majorHAnsi"/>
                <w:sz w:val="21"/>
                <w:szCs w:val="21"/>
              </w:rPr>
              <w:t>月</w:t>
            </w:r>
            <w:r>
              <w:rPr>
                <w:rFonts w:asciiTheme="minorEastAsia" w:hAnsiTheme="minorEastAsia" w:cstheme="majorHAnsi"/>
                <w:sz w:val="21"/>
                <w:szCs w:val="21"/>
              </w:rPr>
              <w:t>1</w:t>
            </w:r>
            <w:r>
              <w:rPr>
                <w:rFonts w:hint="eastAsia" w:asciiTheme="minorEastAsia" w:hAnsiTheme="minorEastAsia" w:cstheme="majorHAnsi"/>
                <w:sz w:val="21"/>
                <w:szCs w:val="21"/>
              </w:rPr>
              <w:t>日（以合同签订时间为准）起类似项目业绩证明文件（合同、验收文件(或满意度评价表)、及服务费用发票，三者同时出具方为有效）。评审时以投标文件中的扫描件加盖公章为计分依据，每出具一份业绩证明文件得</w:t>
            </w:r>
            <w:r>
              <w:rPr>
                <w:rFonts w:asciiTheme="minorEastAsia" w:hAnsiTheme="minorEastAsia" w:cstheme="majorHAnsi"/>
                <w:sz w:val="21"/>
                <w:szCs w:val="21"/>
              </w:rPr>
              <w:t>2</w:t>
            </w:r>
            <w:r>
              <w:rPr>
                <w:rFonts w:hint="eastAsia" w:asciiTheme="minorEastAsia" w:hAnsiTheme="minorEastAsia" w:cstheme="majorHAnsi"/>
                <w:sz w:val="21"/>
                <w:szCs w:val="21"/>
              </w:rPr>
              <w:t>分，满分</w:t>
            </w:r>
            <w:r>
              <w:rPr>
                <w:rFonts w:asciiTheme="minorEastAsia" w:hAnsiTheme="minorEastAsia" w:cstheme="majorHAnsi"/>
                <w:sz w:val="21"/>
                <w:szCs w:val="21"/>
              </w:rPr>
              <w:t>10</w:t>
            </w:r>
            <w:r>
              <w:rPr>
                <w:rFonts w:hint="eastAsia" w:asciiTheme="minorEastAsia" w:hAnsiTheme="minorEastAsia" w:cstheme="majorHAnsi"/>
                <w:sz w:val="21"/>
                <w:szCs w:val="21"/>
              </w:rPr>
              <w:t>分。</w:t>
            </w:r>
          </w:p>
          <w:p>
            <w:pPr>
              <w:spacing w:line="320" w:lineRule="exact"/>
              <w:ind w:firstLine="420" w:firstLineChars="200"/>
              <w:jc w:val="both"/>
              <w:rPr>
                <w:rFonts w:ascii="Calibri" w:hAnsi="宋体" w:eastAsia="宋体" w:cs="华文仿宋"/>
                <w:sz w:val="21"/>
                <w:szCs w:val="21"/>
              </w:rPr>
            </w:pPr>
            <w:r>
              <w:rPr>
                <w:rFonts w:hint="eastAsia" w:ascii="Calibri" w:hAnsi="宋体" w:eastAsia="宋体" w:cs="华文仿宋"/>
                <w:b/>
                <w:color w:val="C00000"/>
                <w:sz w:val="21"/>
                <w:szCs w:val="21"/>
              </w:rPr>
              <w:t>注</w:t>
            </w:r>
            <w:r>
              <w:rPr>
                <w:rFonts w:hint="eastAsia" w:ascii="Calibri" w:hAnsi="宋体" w:eastAsia="宋体" w:cs="华文仿宋"/>
                <w:sz w:val="21"/>
                <w:szCs w:val="21"/>
              </w:rPr>
              <w:t>：1、供应商需提供合同关键页扫描件（至少应包含合同首页、合同金额所在页、签字盖章，并加盖公章）</w:t>
            </w:r>
            <w:r>
              <w:rPr>
                <w:rFonts w:ascii="Calibri" w:hAnsi="宋体" w:eastAsia="宋体" w:cs="华文仿宋"/>
                <w:sz w:val="21"/>
                <w:szCs w:val="21"/>
              </w:rPr>
              <w:t>。</w:t>
            </w:r>
          </w:p>
          <w:p>
            <w:pPr>
              <w:widowControl w:val="0"/>
              <w:spacing w:line="320" w:lineRule="exact"/>
              <w:ind w:firstLine="420" w:firstLineChars="200"/>
              <w:jc w:val="both"/>
            </w:pPr>
            <w:r>
              <w:rPr>
                <w:rFonts w:hint="eastAsia" w:ascii="Calibri" w:hAnsi="宋体" w:eastAsia="宋体" w:cs="华文仿宋"/>
                <w:sz w:val="21"/>
                <w:szCs w:val="21"/>
              </w:rPr>
              <w:t>2、</w:t>
            </w:r>
            <w:r>
              <w:rPr>
                <w:rFonts w:hint="eastAsia" w:asciiTheme="minorEastAsia" w:hAnsiTheme="minorEastAsia" w:cstheme="majorHAnsi"/>
                <w:sz w:val="21"/>
                <w:szCs w:val="21"/>
              </w:rPr>
              <w:t>业绩发票开具时间为投标截止日前30日内的不予认可；须同时提供在国家税务总局全国增值税发票查验平台https://inv-veri.chinatax.gov.cn/index.html的查询截图，查询截图查询日期为本项目公告发出之日以后）</w:t>
            </w:r>
          </w:p>
        </w:tc>
        <w:tc>
          <w:tcPr>
            <w:tcW w:w="1418" w:type="dxa"/>
            <w:vMerge w:val="continue"/>
            <w:shd w:val="clear" w:color="auto" w:fill="auto"/>
            <w:vAlign w:val="center"/>
          </w:tcPr>
          <w:p>
            <w:pPr>
              <w:spacing w:line="320" w:lineRule="exact"/>
              <w:jc w:val="both"/>
              <w:rPr>
                <w:rFonts w:cs="宋体"/>
                <w:bCs/>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shd w:val="clear" w:color="auto" w:fill="auto"/>
            <w:vAlign w:val="center"/>
          </w:tcPr>
          <w:p>
            <w:pPr>
              <w:spacing w:line="320" w:lineRule="exact"/>
              <w:jc w:val="both"/>
              <w:rPr>
                <w:rFonts w:cs="宋体"/>
                <w:bCs/>
                <w:sz w:val="21"/>
                <w:szCs w:val="21"/>
              </w:rPr>
            </w:pPr>
            <w:r>
              <w:rPr>
                <w:rFonts w:cs="宋体"/>
                <w:bCs/>
                <w:sz w:val="21"/>
                <w:szCs w:val="21"/>
              </w:rPr>
              <w:t>说明</w:t>
            </w:r>
          </w:p>
        </w:tc>
        <w:tc>
          <w:tcPr>
            <w:tcW w:w="8727" w:type="dxa"/>
            <w:gridSpan w:val="4"/>
            <w:shd w:val="clear" w:color="auto" w:fill="auto"/>
            <w:vAlign w:val="center"/>
          </w:tcPr>
          <w:p>
            <w:pPr>
              <w:spacing w:line="320" w:lineRule="exact"/>
              <w:ind w:firstLine="420"/>
              <w:jc w:val="both"/>
              <w:rPr>
                <w:rFonts w:cs="宋体"/>
                <w:bCs/>
                <w:sz w:val="21"/>
                <w:szCs w:val="21"/>
              </w:rPr>
            </w:pPr>
            <w:r>
              <w:rPr>
                <w:rFonts w:cs="宋体"/>
                <w:bCs/>
                <w:sz w:val="21"/>
                <w:szCs w:val="21"/>
              </w:rPr>
              <w:t>评标委员会成员必须按照本评审要素据实打分，各类数字计算均按“四舍五入”保留小数点后两位</w:t>
            </w:r>
            <w:r>
              <w:rPr>
                <w:rFonts w:hint="eastAsia" w:cs="宋体"/>
                <w:bCs/>
                <w:sz w:val="21"/>
                <w:szCs w:val="21"/>
              </w:rPr>
              <w:t>。</w:t>
            </w:r>
          </w:p>
        </w:tc>
      </w:tr>
    </w:tbl>
    <w:p>
      <w:pPr>
        <w:pStyle w:val="89"/>
        <w:ind w:firstLine="482"/>
        <w:rPr>
          <w:b/>
        </w:rPr>
      </w:pPr>
      <w:r>
        <w:rPr>
          <w:b/>
        </w:rPr>
        <w:t>5</w:t>
      </w:r>
      <w:r>
        <w:rPr>
          <w:rFonts w:hint="eastAsia"/>
          <w:b/>
          <w:color w:val="auto"/>
        </w:rPr>
        <w:t>．</w:t>
      </w:r>
      <w:r>
        <w:rPr>
          <w:b/>
        </w:rPr>
        <w:t>推荐中标候选人</w:t>
      </w:r>
    </w:p>
    <w:p>
      <w:pPr>
        <w:pStyle w:val="89"/>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pPr>
        <w:pStyle w:val="89"/>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89"/>
        <w:ind w:firstLine="482"/>
        <w:rPr>
          <w:b/>
        </w:rPr>
      </w:pPr>
      <w:r>
        <w:rPr>
          <w:b/>
        </w:rPr>
        <w:t>6</w:t>
      </w:r>
      <w:r>
        <w:rPr>
          <w:rFonts w:hint="eastAsia"/>
          <w:b/>
          <w:color w:val="auto"/>
        </w:rPr>
        <w:t>．</w:t>
      </w:r>
      <w:r>
        <w:rPr>
          <w:b/>
        </w:rPr>
        <w:t>编写评审报告</w:t>
      </w:r>
    </w:p>
    <w:p>
      <w:pPr>
        <w:pStyle w:val="89"/>
        <w:ind w:firstLine="480"/>
        <w:rPr>
          <w:rFonts w:hAnsi="华文仿宋"/>
        </w:rPr>
      </w:pPr>
      <w:r>
        <w:rPr>
          <w:rFonts w:hint="eastAsia" w:hAnsi="华文仿宋"/>
        </w:rPr>
        <w:t>评审报告是评标委员会根据全体评标成员签字的原始评标记录和评标结果编写的报告。</w:t>
      </w:r>
    </w:p>
    <w:p>
      <w:pPr>
        <w:pStyle w:val="89"/>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ind w:firstLine="482"/>
      </w:pPr>
      <w:r>
        <w:t>（四）</w:t>
      </w:r>
      <w:r>
        <w:rPr>
          <w:rFonts w:hint="eastAsia"/>
        </w:rPr>
        <w:t>评标争议处理规则</w:t>
      </w:r>
    </w:p>
    <w:p>
      <w:pPr>
        <w:pStyle w:val="89"/>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ind w:firstLine="482"/>
      </w:pPr>
      <w:r>
        <w:t>（五）评审现场人员的保密责任</w:t>
      </w:r>
    </w:p>
    <w:p>
      <w:pPr>
        <w:pStyle w:val="89"/>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ind w:firstLine="482"/>
      </w:pPr>
      <w:r>
        <w:t>（六）出现下列情形时，视同供应商串通投标，其投标无效：</w:t>
      </w:r>
    </w:p>
    <w:p>
      <w:pPr>
        <w:pStyle w:val="89"/>
        <w:ind w:firstLine="480"/>
      </w:pPr>
      <w:r>
        <w:t>1</w:t>
      </w:r>
      <w:r>
        <w:rPr>
          <w:rFonts w:hint="eastAsia"/>
          <w:color w:val="auto"/>
        </w:rPr>
        <w:t>．</w:t>
      </w:r>
      <w:r>
        <w:t>不同供应商的投标文件由同一单位或者个人编制；</w:t>
      </w:r>
    </w:p>
    <w:p>
      <w:pPr>
        <w:pStyle w:val="89"/>
        <w:ind w:firstLine="480"/>
      </w:pPr>
      <w:r>
        <w:t>2</w:t>
      </w:r>
      <w:r>
        <w:rPr>
          <w:rFonts w:hint="eastAsia"/>
          <w:color w:val="auto"/>
        </w:rPr>
        <w:t>．</w:t>
      </w:r>
      <w:r>
        <w:t>不同供应商委托同一单位或者个人办理投标事宜；</w:t>
      </w:r>
    </w:p>
    <w:p>
      <w:pPr>
        <w:pStyle w:val="89"/>
        <w:ind w:firstLine="480"/>
      </w:pPr>
      <w:r>
        <w:t>3</w:t>
      </w:r>
      <w:r>
        <w:rPr>
          <w:rFonts w:hint="eastAsia"/>
          <w:color w:val="auto"/>
        </w:rPr>
        <w:t>．</w:t>
      </w:r>
      <w:r>
        <w:t>不同供应商的投标文件载明的项目管理成员或者联系人员为同一人；</w:t>
      </w:r>
    </w:p>
    <w:p>
      <w:pPr>
        <w:pStyle w:val="89"/>
        <w:ind w:firstLine="480"/>
        <w:rPr>
          <w:strike/>
        </w:rPr>
      </w:pPr>
      <w:r>
        <w:t>4</w:t>
      </w:r>
      <w:r>
        <w:rPr>
          <w:rFonts w:hint="eastAsia"/>
          <w:color w:val="auto"/>
        </w:rPr>
        <w:t>．</w:t>
      </w:r>
      <w:r>
        <w:t>不同供应商的投标文件异常一致或者投标报价呈规律性差异。</w:t>
      </w:r>
    </w:p>
    <w:p>
      <w:pPr>
        <w:pStyle w:val="3"/>
      </w:pPr>
      <w:r>
        <w:t>八、中标</w:t>
      </w:r>
    </w:p>
    <w:p>
      <w:pPr>
        <w:pStyle w:val="89"/>
        <w:ind w:firstLine="480"/>
      </w:pPr>
      <w:r>
        <w:rPr>
          <w:rFonts w:hint="eastAsia"/>
        </w:rPr>
        <w:t>1</w:t>
      </w:r>
      <w:r>
        <w:rPr>
          <w:rFonts w:hint="eastAsia"/>
          <w:color w:val="auto"/>
        </w:rPr>
        <w:t>．</w:t>
      </w:r>
      <w:r>
        <w:t>采购代理机构在评标工作结束后2个工作日内将评审报告送采购人。</w:t>
      </w:r>
    </w:p>
    <w:p>
      <w:pPr>
        <w:pStyle w:val="89"/>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89"/>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9"/>
          <w:color w:val="auto"/>
        </w:rPr>
        <w:t>】</w:t>
      </w:r>
      <w:r>
        <w:t>（</w:t>
      </w:r>
      <w:r>
        <w:fldChar w:fldCharType="begin"/>
      </w:r>
      <w:r>
        <w:instrText xml:space="preserve"> HYPERLINK "http://www.ccgp-shaanxi.gov.cn/" </w:instrText>
      </w:r>
      <w:r>
        <w:fldChar w:fldCharType="separate"/>
      </w:r>
      <w:r>
        <w:rPr>
          <w:rStyle w:val="39"/>
          <w:color w:val="0070C0"/>
        </w:rPr>
        <w:t>http://www.ccgp-shaanxi.gov.cn</w:t>
      </w:r>
      <w:r>
        <w:rPr>
          <w:rStyle w:val="39"/>
          <w:rFonts w:hint="eastAsia"/>
          <w:color w:val="0070C0"/>
        </w:rPr>
        <w:t>/</w:t>
      </w:r>
      <w:r>
        <w:rPr>
          <w:rStyle w:val="39"/>
          <w:rFonts w:hint="eastAsia"/>
          <w:color w:val="0070C0"/>
        </w:rPr>
        <w:fldChar w:fldCharType="end"/>
      </w:r>
      <w:r>
        <w:t>）上公布中标结果。中标公告期限为1个工作日。</w:t>
      </w:r>
    </w:p>
    <w:p>
      <w:pPr>
        <w:pStyle w:val="89"/>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pPr>
        <w:pStyle w:val="89"/>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pPr>
        <w:pStyle w:val="89"/>
        <w:ind w:firstLine="480"/>
      </w:pPr>
      <w:r>
        <w:rPr>
          <w:rFonts w:hint="eastAsia"/>
        </w:rPr>
        <w:t>6</w:t>
      </w:r>
      <w:r>
        <w:rPr>
          <w:rFonts w:hint="eastAsia"/>
          <w:color w:val="auto"/>
        </w:rPr>
        <w:t>．</w:t>
      </w:r>
      <w:r>
        <w:rPr>
          <w:rFonts w:hint="eastAsia"/>
        </w:rPr>
        <w:t>采购代理机构按照相关规定将评审报告送同级政府采购监管部门备案。</w:t>
      </w:r>
    </w:p>
    <w:p>
      <w:pPr>
        <w:pStyle w:val="3"/>
      </w:pPr>
      <w:r>
        <w:t>九、合同签订、履行及验收</w:t>
      </w:r>
    </w:p>
    <w:p>
      <w:pPr>
        <w:pStyle w:val="89"/>
        <w:ind w:firstLine="480"/>
      </w:pPr>
      <w:r>
        <w:t>招标文件、投标文件、澄清、补充合同等为政府采购合同的组成部分，具有同等法律效力。</w:t>
      </w:r>
    </w:p>
    <w:p>
      <w:pPr>
        <w:pStyle w:val="4"/>
        <w:ind w:firstLine="482"/>
      </w:pPr>
      <w:r>
        <w:t>（一）签订政府采购合同</w:t>
      </w:r>
    </w:p>
    <w:p>
      <w:pPr>
        <w:pStyle w:val="89"/>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pPr>
        <w:pStyle w:val="89"/>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pPr>
        <w:pStyle w:val="89"/>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89"/>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pPr>
        <w:pStyle w:val="4"/>
        <w:ind w:firstLine="482"/>
      </w:pPr>
      <w:r>
        <w:t>（二）合同公示</w:t>
      </w:r>
    </w:p>
    <w:p>
      <w:pPr>
        <w:pStyle w:val="89"/>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9"/>
        </w:rPr>
        <w:t>http://www.ccgp-shaanxi.gov.cn/</w:t>
      </w:r>
      <w:r>
        <w:rPr>
          <w:rStyle w:val="39"/>
        </w:rPr>
        <w:fldChar w:fldCharType="end"/>
      </w:r>
      <w:r>
        <w:rPr>
          <w:rFonts w:hint="eastAsia"/>
        </w:rPr>
        <w:t>）对合同进行公示，但政府采购合同中涉及国家秘密、商业秘密的内容除外。</w:t>
      </w:r>
    </w:p>
    <w:p>
      <w:pPr>
        <w:pStyle w:val="4"/>
        <w:ind w:firstLine="482"/>
      </w:pPr>
      <w:r>
        <w:t>（三）合同履行</w:t>
      </w:r>
    </w:p>
    <w:p>
      <w:pPr>
        <w:pStyle w:val="89"/>
        <w:ind w:firstLine="480"/>
      </w:pPr>
      <w:r>
        <w:rPr>
          <w:rFonts w:hint="eastAsia"/>
        </w:rPr>
        <w:t>1</w:t>
      </w:r>
      <w:r>
        <w:rPr>
          <w:rFonts w:hint="eastAsia"/>
          <w:color w:val="auto"/>
        </w:rPr>
        <w:t>．</w:t>
      </w:r>
      <w:r>
        <w:rPr>
          <w:rFonts w:hint="eastAsia"/>
        </w:rPr>
        <w:t>合同一经签订，双方应严格履行合同规定的义务。</w:t>
      </w:r>
    </w:p>
    <w:p>
      <w:pPr>
        <w:pStyle w:val="89"/>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pPr>
        <w:pStyle w:val="4"/>
        <w:ind w:firstLine="482"/>
      </w:pPr>
      <w:r>
        <w:t>（四）验收或考核</w:t>
      </w:r>
    </w:p>
    <w:p>
      <w:pPr>
        <w:pStyle w:val="89"/>
        <w:ind w:firstLine="480"/>
      </w:pPr>
      <w:r>
        <w:rPr>
          <w:rFonts w:hint="eastAsia"/>
        </w:rPr>
        <w:t>1</w:t>
      </w:r>
      <w:r>
        <w:rPr>
          <w:rFonts w:hint="eastAsia"/>
          <w:color w:val="auto"/>
        </w:rPr>
        <w:t>．</w:t>
      </w:r>
      <w:r>
        <w:rPr>
          <w:rFonts w:hint="eastAsia"/>
        </w:rPr>
        <w:t>采购人严格按照国家相关法律法规的要求及招标文件的要求组织验收或考核。</w:t>
      </w:r>
    </w:p>
    <w:p>
      <w:pPr>
        <w:pStyle w:val="89"/>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采购人按《关于促进政府采购公平竞争优化营商环境的通知》（财库〔2019〕38号）、《保障中小企业款项支付条例》（国务院令第728号）等规定及采购合同的约定支付合同款项。</w:t>
      </w:r>
    </w:p>
    <w:p>
      <w:pPr>
        <w:pStyle w:val="3"/>
      </w:pPr>
      <w:r>
        <w:t>十、其他</w:t>
      </w:r>
    </w:p>
    <w:p>
      <w:pPr>
        <w:pStyle w:val="89"/>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pPr>
        <w:pStyle w:val="89"/>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9"/>
        <w:ind w:firstLine="480"/>
      </w:pPr>
      <w:r>
        <w:t>3</w:t>
      </w:r>
      <w:r>
        <w:rPr>
          <w:rFonts w:hint="eastAsia"/>
          <w:color w:val="auto"/>
        </w:rPr>
        <w:t>．</w:t>
      </w:r>
      <w:r>
        <w:t>根据《政府采购法》第三十六条规定，在招标采购中，出现下列情形之一的，本项目按废标处理：</w:t>
      </w:r>
    </w:p>
    <w:p>
      <w:pPr>
        <w:pStyle w:val="89"/>
        <w:ind w:firstLine="480"/>
      </w:pPr>
      <w:r>
        <w:t>（</w:t>
      </w:r>
      <w:r>
        <w:rPr>
          <w:rFonts w:hint="eastAsia"/>
        </w:rPr>
        <w:t>1</w:t>
      </w:r>
      <w:r>
        <w:t>）出现影响采购公正的违法、违规行为的；</w:t>
      </w:r>
    </w:p>
    <w:p>
      <w:pPr>
        <w:pStyle w:val="89"/>
        <w:ind w:firstLine="480"/>
      </w:pPr>
      <w:r>
        <w:t>（</w:t>
      </w:r>
      <w:r>
        <w:rPr>
          <w:rFonts w:hint="eastAsia"/>
        </w:rPr>
        <w:t>2</w:t>
      </w:r>
      <w:r>
        <w:t>）供应商的报价均超过了采购预算，采购人不能支付的；</w:t>
      </w:r>
    </w:p>
    <w:p>
      <w:pPr>
        <w:pStyle w:val="89"/>
        <w:ind w:firstLine="480"/>
      </w:pPr>
      <w:r>
        <w:t>（</w:t>
      </w:r>
      <w:r>
        <w:rPr>
          <w:rFonts w:hint="eastAsia"/>
        </w:rPr>
        <w:t>3</w:t>
      </w:r>
      <w:r>
        <w:t>）因重大变故，采购任务取消的。</w:t>
      </w:r>
    </w:p>
    <w:p>
      <w:pPr>
        <w:pStyle w:val="89"/>
        <w:ind w:firstLine="480"/>
      </w:pPr>
      <w:r>
        <w:t>废标后，除采购任务取消外，本项目将重新组织招标。</w:t>
      </w:r>
    </w:p>
    <w:p>
      <w:pPr>
        <w:pStyle w:val="89"/>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9"/>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9"/>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pPr>
        <w:pStyle w:val="2"/>
        <w:spacing w:before="210" w:after="210"/>
      </w:pPr>
      <w:bookmarkStart w:id="11" w:name="_Toc100219614"/>
      <w:r>
        <w:rPr>
          <w:rFonts w:hint="eastAsia"/>
        </w:rPr>
        <w:t>第三章　招标内容及要求</w:t>
      </w:r>
      <w:bookmarkEnd w:id="11"/>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pPr>
      <w:r>
        <w:rPr>
          <w:rFonts w:hint="eastAsia"/>
        </w:rPr>
        <w:t>一、项目概况</w:t>
      </w:r>
    </w:p>
    <w:p>
      <w:pPr>
        <w:adjustRightInd w:val="0"/>
        <w:ind w:firstLine="480" w:firstLineChars="200"/>
      </w:pPr>
      <w:r>
        <w:rPr>
          <w:rFonts w:hint="eastAsia"/>
        </w:rPr>
        <w:t>为进一步提升队伍应对特殊复杂灾情的专业救援能力，探索建设“空地协同、快速高效、科学专业”的航空消防救援专业队伍，狠抓新质战斗力提升，西安市消防救援支队决定组织开展航空救援技术培训。</w:t>
      </w:r>
    </w:p>
    <w:p>
      <w:pPr>
        <w:pStyle w:val="3"/>
        <w:numPr>
          <w:ilvl w:val="0"/>
          <w:numId w:val="0"/>
        </w:numPr>
      </w:pPr>
      <w:r>
        <w:rPr>
          <w:rFonts w:hint="eastAsia"/>
        </w:rPr>
        <w:t>二、服务要求</w:t>
      </w:r>
    </w:p>
    <w:p>
      <w:pPr>
        <w:ind w:firstLine="480" w:firstLineChars="200"/>
      </w:pPr>
      <w:r>
        <w:rPr>
          <w:rFonts w:hint="eastAsia"/>
        </w:rPr>
        <w:t>（一）供应商应提供拥有适航资质（直升机三证及直升机租赁或融资租赁或购买协议）的双发直升机，提供1架备用直升机。</w:t>
      </w:r>
    </w:p>
    <w:p>
      <w:pPr>
        <w:ind w:firstLine="480" w:firstLineChars="200"/>
      </w:pPr>
      <w:r>
        <w:rPr>
          <w:rFonts w:hint="eastAsia"/>
        </w:rPr>
        <w:t>（二）供应商提供的直升机须配备绞车、索降设备及个人救生装备等，绞车承重不低于250Kg（提供标的物清单、购买装备合同或发票等）。</w:t>
      </w:r>
    </w:p>
    <w:p>
      <w:pPr>
        <w:ind w:firstLine="480" w:firstLineChars="200"/>
      </w:pPr>
      <w:r>
        <w:t>（三）</w:t>
      </w:r>
      <w:r>
        <w:rPr>
          <w:rFonts w:hint="eastAsia"/>
        </w:rPr>
        <w:t>飞行员熟悉通用航空飞行规章及行业规范，持有民航局颁发的有效商用驾驶员执照。（机长飞行小时数</w:t>
      </w:r>
      <w:r>
        <w:t>≥</w:t>
      </w:r>
      <w:r>
        <w:rPr>
          <w:rFonts w:hint="eastAsia"/>
        </w:rPr>
        <w:t>1000H；副驾驶飞行小时数</w:t>
      </w:r>
      <w:r>
        <w:t>≥</w:t>
      </w:r>
      <w:r>
        <w:rPr>
          <w:rFonts w:hint="eastAsia"/>
        </w:rPr>
        <w:t>500H；提供经历汇总、体检合格证）</w:t>
      </w:r>
    </w:p>
    <w:p>
      <w:pPr>
        <w:ind w:firstLine="480" w:firstLineChars="200"/>
      </w:pPr>
      <w:r>
        <w:rPr>
          <w:rFonts w:hint="eastAsia"/>
        </w:rPr>
        <w:t>（四）绞车手、救生员培训人员有绞车救援、索降飞行经历。</w:t>
      </w:r>
    </w:p>
    <w:p>
      <w:pPr>
        <w:ind w:firstLine="480" w:firstLineChars="200"/>
      </w:pPr>
      <w:r>
        <w:t>（五）</w:t>
      </w:r>
      <w:r>
        <w:rPr>
          <w:rFonts w:hint="eastAsia"/>
        </w:rPr>
        <w:t>机务人员具备民用航空器维修人员执照，具备相应机型放行资质证明。</w:t>
      </w:r>
    </w:p>
    <w:p>
      <w:pPr>
        <w:ind w:firstLine="480" w:firstLineChars="200"/>
      </w:pPr>
      <w:r>
        <w:rPr>
          <w:rFonts w:hint="eastAsia"/>
        </w:rPr>
        <w:t>★（六）供应商自身具有或与其他具有CCAR-145部维修许可资质的公司签订维修委托协议。（提供维修资质或维修委托协议）</w:t>
      </w:r>
    </w:p>
    <w:p>
      <w:pPr>
        <w:ind w:firstLine="480" w:firstLineChars="200"/>
      </w:pPr>
      <w:r>
        <w:rPr>
          <w:rFonts w:hint="eastAsia"/>
        </w:rPr>
        <w:t>★</w:t>
      </w:r>
      <w:r>
        <w:t>（七）</w:t>
      </w:r>
      <w:r>
        <w:rPr>
          <w:rFonts w:hint="eastAsia"/>
        </w:rPr>
        <w:t>供应商具备空域、航线协调能力（服务承诺）。</w:t>
      </w:r>
    </w:p>
    <w:p>
      <w:pPr>
        <w:ind w:firstLine="480" w:firstLineChars="200"/>
      </w:pPr>
      <w:r>
        <w:rPr>
          <w:rFonts w:hint="eastAsia"/>
        </w:rPr>
        <w:t>★（八）供应商应按每架直升机实际乘坐人数为乘机人员投保乘客意外险，保险赔偿金额每人不低于200万元人民币。</w:t>
      </w:r>
    </w:p>
    <w:p>
      <w:pPr>
        <w:ind w:firstLine="480" w:firstLineChars="200"/>
      </w:pPr>
      <w:r>
        <w:rPr>
          <w:rFonts w:hint="eastAsia"/>
        </w:rPr>
        <w:t>（九）供应商须提供项目服务方案（包含但不限于公司介绍、飞行保障方案、安全保障措施）。</w:t>
      </w:r>
    </w:p>
    <w:p>
      <w:pPr>
        <w:ind w:firstLine="480" w:firstLineChars="200"/>
      </w:pPr>
      <w:r>
        <w:t>（十）</w:t>
      </w:r>
      <w:r>
        <w:rPr>
          <w:rFonts w:hint="eastAsia"/>
        </w:rPr>
        <w:t>供应商须提供绞车、索降培训方案（包含但不限于课程安排、培训内容、实施方案等）</w:t>
      </w:r>
    </w:p>
    <w:p>
      <w:pPr>
        <w:ind w:firstLine="480" w:firstLineChars="200"/>
      </w:pPr>
      <w:r>
        <w:rPr>
          <w:rFonts w:hint="eastAsia"/>
        </w:rPr>
        <w:t>（十一）供应商须提供应急处置预案。</w:t>
      </w:r>
    </w:p>
    <w:p>
      <w:pPr>
        <w:pStyle w:val="3"/>
        <w:numPr>
          <w:ilvl w:val="0"/>
          <w:numId w:val="0"/>
        </w:numPr>
      </w:pPr>
      <w:r>
        <w:rPr>
          <w:rFonts w:hint="eastAsia"/>
        </w:rPr>
        <w:t>三、商务要求</w:t>
      </w:r>
    </w:p>
    <w:p>
      <w:pPr>
        <w:ind w:firstLine="480" w:firstLineChars="200"/>
        <w:jc w:val="both"/>
        <w:rPr>
          <w:rFonts w:ascii="Calibri Light"/>
        </w:rPr>
      </w:pPr>
      <w:r>
        <w:rPr>
          <w:rFonts w:hint="eastAsia" w:ascii="Calibri" w:hAnsi="Calibri" w:eastAsia="宋体" w:cstheme="minorHAnsi"/>
          <w:color w:val="000000"/>
          <w:kern w:val="24"/>
        </w:rPr>
        <w:t>服务期：一个月，</w:t>
      </w:r>
      <w:r>
        <w:rPr>
          <w:rFonts w:hint="eastAsia" w:ascii="Calibri Light"/>
        </w:rPr>
        <w:t>以双方签订合同时约定的起止时间为准。</w:t>
      </w:r>
    </w:p>
    <w:p>
      <w:pPr>
        <w:rPr>
          <w:rFonts w:ascii="Calibri Light"/>
        </w:rPr>
      </w:pPr>
      <w:r>
        <w:rPr>
          <w:rFonts w:ascii="Calibri Light"/>
        </w:rPr>
        <w:br w:type="page"/>
      </w:r>
    </w:p>
    <w:p>
      <w:pPr>
        <w:pStyle w:val="2"/>
        <w:numPr>
          <w:ilvl w:val="0"/>
          <w:numId w:val="0"/>
        </w:numPr>
        <w:spacing w:before="210" w:after="210"/>
      </w:pPr>
      <w:r>
        <w:rPr>
          <w:rFonts w:hint="eastAsia"/>
        </w:rPr>
        <w:t>第四章　合同文本</w:t>
      </w:r>
    </w:p>
    <w:p>
      <w:pPr>
        <w:wordWrap w:val="0"/>
        <w:spacing w:line="400" w:lineRule="exact"/>
        <w:jc w:val="center"/>
        <w:rPr>
          <w:rFonts w:ascii="Calibri" w:hAnsi="华文仿宋" w:eastAsia="华文仿宋"/>
          <w:color w:val="C00000"/>
          <w:sz w:val="28"/>
          <w:szCs w:val="28"/>
        </w:rPr>
      </w:pPr>
      <w:r>
        <w:rPr>
          <w:rFonts w:ascii="Calibri" w:hAnsi="华文仿宋" w:eastAsia="华文仿宋"/>
          <w:color w:val="C00000"/>
          <w:sz w:val="28"/>
          <w:szCs w:val="28"/>
        </w:rPr>
        <w:t>（</w:t>
      </w:r>
      <w:r>
        <w:rPr>
          <w:rFonts w:hint="eastAsia" w:ascii="Calibri" w:hAnsi="华文仿宋" w:eastAsia="华文仿宋"/>
          <w:color w:val="C00000"/>
          <w:sz w:val="28"/>
          <w:szCs w:val="28"/>
        </w:rPr>
        <w:t>本合同</w:t>
      </w:r>
      <w:r>
        <w:rPr>
          <w:rFonts w:ascii="Calibri" w:hAnsi="华文仿宋" w:eastAsia="华文仿宋"/>
          <w:color w:val="C00000"/>
          <w:sz w:val="28"/>
          <w:szCs w:val="28"/>
        </w:rPr>
        <w:t>为中小企业预留合同）</w:t>
      </w:r>
    </w:p>
    <w:p>
      <w:pPr>
        <w:spacing w:before="210" w:beforeLines="50"/>
        <w:ind w:firstLine="480" w:firstLineChars="200"/>
        <w:rPr>
          <w:b/>
        </w:rPr>
      </w:pPr>
      <w:r>
        <w:rPr>
          <w:b/>
        </w:rPr>
        <w:t>甲方（采购人）：</w:t>
      </w:r>
      <w:r>
        <w:rPr>
          <w:rFonts w:hint="eastAsia"/>
          <w:b/>
          <w:u w:val="single"/>
        </w:rPr>
        <w:t>西安市消防救援支队</w:t>
      </w:r>
    </w:p>
    <w:p>
      <w:pPr>
        <w:ind w:firstLine="480" w:firstLineChars="200"/>
      </w:pPr>
      <w:r>
        <w:rPr>
          <w:b/>
        </w:rPr>
        <w:t>乙方（中标</w:t>
      </w:r>
      <w:r>
        <w:rPr>
          <w:rFonts w:hint="eastAsia"/>
          <w:b/>
        </w:rPr>
        <w:t>服务商</w:t>
      </w:r>
      <w:r>
        <w:rPr>
          <w:b/>
        </w:rPr>
        <w:t>）：</w:t>
      </w:r>
      <w:r>
        <w:rPr>
          <w:rFonts w:hint="eastAsia"/>
        </w:rPr>
        <w:t>_________________</w:t>
      </w:r>
    </w:p>
    <w:p>
      <w:pPr>
        <w:ind w:firstLine="480" w:firstLineChars="200"/>
        <w:rPr>
          <w:b/>
        </w:rPr>
      </w:pPr>
      <w:r>
        <w:rPr>
          <w:rFonts w:hint="eastAsia" w:cstheme="minorHAnsi"/>
        </w:rPr>
        <w:t>甲方所需服务，按照采购程序，确定乙方为中标服务商。依据《中华人民共和国政府采购法》及实施条例、政府采购货物和服务招标投标管理办法、《中华人民共和国民法典》、乙方招投标文件正本、中标通知书，经甲、乙双方协商，达成如下条款</w:t>
      </w:r>
    </w:p>
    <w:p>
      <w:pPr>
        <w:spacing w:before="210" w:beforeLines="50" w:after="210" w:afterLines="50"/>
        <w:jc w:val="both"/>
        <w:rPr>
          <w:rFonts w:cs="Calibri Light" w:asciiTheme="majorHAnsi" w:hAnsiTheme="majorHAnsi"/>
          <w:b/>
        </w:rPr>
      </w:pPr>
      <w:r>
        <w:rPr>
          <w:rFonts w:cs="Calibri Light" w:asciiTheme="majorHAnsi" w:hAnsiTheme="majorHAnsi"/>
          <w:b/>
        </w:rPr>
        <w:t>一、服务条件：</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（一）服务地点：甲方指定点（西安市区域）。</w:t>
      </w:r>
    </w:p>
    <w:p>
      <w:pPr>
        <w:ind w:firstLine="480" w:firstLineChars="200"/>
        <w:jc w:val="both"/>
      </w:pPr>
      <w:r>
        <w:rPr>
          <w:rFonts w:hint="eastAsia" w:ascii="Calibri" w:hAnsi="Calibri" w:eastAsia="宋体" w:cstheme="minorHAnsi"/>
          <w:color w:val="000000"/>
          <w:kern w:val="24"/>
        </w:rPr>
        <w:t>（二）服务期：一个月，</w:t>
      </w:r>
      <w:r>
        <w:rPr>
          <w:rFonts w:hint="eastAsia" w:ascii="Calibri Light"/>
        </w:rPr>
        <w:t>以双方签订合同时约定的起止时间为准</w:t>
      </w:r>
      <w:r>
        <w:rPr>
          <w:rFonts w:hint="eastAsia" w:hAnsi="华文仿宋"/>
        </w:rPr>
        <w:t>。</w:t>
      </w:r>
    </w:p>
    <w:p>
      <w:pPr>
        <w:spacing w:before="210" w:beforeLines="50" w:after="210" w:afterLines="50"/>
        <w:jc w:val="both"/>
        <w:rPr>
          <w:rFonts w:cs="Calibri Light" w:asciiTheme="majorHAnsi" w:hAnsiTheme="majorHAnsi"/>
          <w:b/>
        </w:rPr>
      </w:pPr>
      <w:r>
        <w:rPr>
          <w:rFonts w:cs="Calibri Light" w:asciiTheme="majorHAnsi" w:hAnsiTheme="majorHAnsi"/>
          <w:b/>
        </w:rPr>
        <w:t>二、合同价款</w:t>
      </w:r>
    </w:p>
    <w:p>
      <w:pPr>
        <w:pStyle w:val="89"/>
        <w:ind w:firstLine="480"/>
      </w:pPr>
      <w:r>
        <w:rPr>
          <w:rFonts w:hint="eastAsia"/>
        </w:rPr>
        <w:t>本合同项下总价款为人民币_________元（小写，精确到小数点后两位），即__________（大写）。合同价款</w:t>
      </w:r>
      <w:r>
        <w:t>包括：</w:t>
      </w:r>
      <w:r>
        <w:rPr>
          <w:rFonts w:hint="eastAsia"/>
        </w:rPr>
        <w:t>食宿费、场地使用费、设备使用费、交通费、</w:t>
      </w:r>
      <w:r>
        <w:rPr>
          <w:rFonts w:hint="eastAsia"/>
          <w:bCs/>
        </w:rPr>
        <w:t>人工费、税费、发票等</w:t>
      </w:r>
      <w:r>
        <w:rPr>
          <w:rFonts w:hint="eastAsia"/>
        </w:rPr>
        <w:t>其它费用</w:t>
      </w:r>
      <w:r>
        <w:t>。</w:t>
      </w:r>
    </w:p>
    <w:p>
      <w:pPr>
        <w:spacing w:before="210" w:beforeLines="50" w:after="210" w:afterLines="50"/>
        <w:jc w:val="both"/>
        <w:rPr>
          <w:rFonts w:cs="Calibri Light" w:asciiTheme="majorHAnsi" w:hAnsiTheme="majorHAnsi"/>
          <w:b/>
        </w:rPr>
      </w:pPr>
      <w:r>
        <w:rPr>
          <w:rFonts w:cs="Calibri Light" w:asciiTheme="majorHAnsi" w:hAnsiTheme="majorHAnsi"/>
          <w:b/>
        </w:rPr>
        <w:t>三、款项结算</w:t>
      </w:r>
    </w:p>
    <w:p>
      <w:pPr>
        <w:spacing w:line="400" w:lineRule="exact"/>
        <w:ind w:firstLine="480" w:firstLineChars="200"/>
        <w:rPr>
          <w:rFonts w:asciiTheme="majorHAnsi" w:hAnsiTheme="majorHAnsi"/>
        </w:rPr>
      </w:pPr>
      <w:r>
        <w:rPr>
          <w:rFonts w:hint="eastAsia" w:asciiTheme="majorHAnsi" w:hAnsiTheme="majorHAnsi"/>
        </w:rPr>
        <w:t>（一）合同签订后支付合同款项的70%，乙方根据甲方需求完成全部项目内容并验收完毕后，依据甲乙双方共同确认的结算金额支付剩余款项。</w:t>
      </w:r>
    </w:p>
    <w:p>
      <w:pPr>
        <w:spacing w:line="400" w:lineRule="exact"/>
        <w:ind w:firstLine="480" w:firstLineChars="200"/>
        <w:rPr>
          <w:rFonts w:asciiTheme="majorHAnsi" w:hAnsiTheme="majorHAnsi"/>
        </w:rPr>
      </w:pPr>
      <w:r>
        <w:rPr>
          <w:rFonts w:hint="eastAsia" w:asciiTheme="majorHAnsi" w:hAnsiTheme="majorHAnsi"/>
        </w:rPr>
        <w:t>（二</w:t>
      </w:r>
      <w:r>
        <w:rPr>
          <w:rFonts w:asciiTheme="majorHAnsi" w:hAnsiTheme="majorHAnsi"/>
        </w:rPr>
        <w:t>）支付方式：银行转账。</w:t>
      </w:r>
    </w:p>
    <w:p>
      <w:pPr>
        <w:spacing w:line="400" w:lineRule="exact"/>
        <w:ind w:firstLine="480" w:firstLineChars="200"/>
        <w:rPr>
          <w:rFonts w:asciiTheme="majorHAnsi" w:hAnsiTheme="majorHAnsi"/>
        </w:rPr>
      </w:pPr>
      <w:r>
        <w:rPr>
          <w:rFonts w:asciiTheme="majorHAnsi" w:hAnsiTheme="majorHAnsi"/>
        </w:rPr>
        <w:t>（三）结算方式：验收合格后填写政府采购项目验收单（一式伍份），发票（按合同总价直开</w:t>
      </w:r>
      <w:r>
        <w:rPr>
          <w:rFonts w:hint="eastAsia" w:asciiTheme="majorHAnsi" w:hAnsiTheme="majorHAnsi"/>
        </w:rPr>
        <w:t>甲方</w:t>
      </w:r>
      <w:r>
        <w:rPr>
          <w:rFonts w:asciiTheme="majorHAnsi" w:hAnsiTheme="majorHAnsi"/>
        </w:rPr>
        <w:t>），</w:t>
      </w:r>
      <w:r>
        <w:rPr>
          <w:rFonts w:hint="eastAsia" w:asciiTheme="majorHAnsi" w:hAnsiTheme="majorHAnsi"/>
        </w:rPr>
        <w:t>乙方</w:t>
      </w:r>
      <w:r>
        <w:rPr>
          <w:rFonts w:asciiTheme="majorHAnsi" w:hAnsiTheme="majorHAnsi"/>
        </w:rPr>
        <w:t>持中标通知书、服务合同、</w:t>
      </w:r>
      <w:r>
        <w:rPr>
          <w:rFonts w:hint="eastAsia" w:asciiTheme="majorHAnsi" w:hAnsiTheme="majorHAnsi"/>
        </w:rPr>
        <w:t>正式</w:t>
      </w:r>
      <w:r>
        <w:rPr>
          <w:rFonts w:asciiTheme="majorHAnsi" w:hAnsiTheme="majorHAnsi"/>
        </w:rPr>
        <w:t>发票、政府采购项目验收单，与</w:t>
      </w:r>
      <w:r>
        <w:rPr>
          <w:rFonts w:hint="eastAsia" w:asciiTheme="majorHAnsi" w:hAnsiTheme="majorHAnsi"/>
        </w:rPr>
        <w:t>甲方</w:t>
      </w:r>
      <w:r>
        <w:rPr>
          <w:rFonts w:asciiTheme="majorHAnsi" w:hAnsiTheme="majorHAnsi"/>
        </w:rPr>
        <w:t>结算。</w:t>
      </w:r>
    </w:p>
    <w:p>
      <w:pPr>
        <w:spacing w:before="210" w:beforeLines="50"/>
        <w:rPr>
          <w:rFonts w:cstheme="minorHAnsi"/>
          <w:b/>
        </w:rPr>
      </w:pPr>
      <w:r>
        <w:rPr>
          <w:rFonts w:cstheme="minorHAnsi"/>
          <w:b/>
        </w:rPr>
        <w:t>四、双方的权利与义务</w:t>
      </w:r>
    </w:p>
    <w:p>
      <w:pPr>
        <w:pStyle w:val="89"/>
        <w:ind w:firstLine="480"/>
      </w:pPr>
      <w:r>
        <w:rPr>
          <w:rFonts w:hint="eastAsia"/>
        </w:rPr>
        <w:t>（一）甲方权利与义务</w:t>
      </w:r>
    </w:p>
    <w:p>
      <w:pPr>
        <w:ind w:firstLine="480" w:firstLineChars="200"/>
        <w:rPr>
          <w:rFonts w:cstheme="minorHAnsi"/>
        </w:rPr>
      </w:pPr>
      <w:r>
        <w:rPr>
          <w:rFonts w:hint="eastAsia" w:cstheme="minorHAnsi"/>
        </w:rPr>
        <w:t>1、甲方有权在合同规定的范围内享受服务，对没有达到合同规定的服务质量或标准的服务事项，甲方有权要求乙方在规定的时间内加急提供服务，直至符合要求为止。</w:t>
      </w:r>
    </w:p>
    <w:p>
      <w:pPr>
        <w:ind w:firstLine="480" w:firstLineChars="200"/>
        <w:rPr>
          <w:rFonts w:cstheme="minorHAnsi"/>
        </w:rPr>
      </w:pPr>
      <w:r>
        <w:rPr>
          <w:rFonts w:hint="eastAsia" w:cstheme="minorHAnsi"/>
        </w:rPr>
        <w:t>2、由于乙方服务质量或延误服务的原因，使甲方产生相应经济损失的，甲方有权要求乙方进行经济赔偿。</w:t>
      </w:r>
    </w:p>
    <w:p>
      <w:pPr>
        <w:pStyle w:val="89"/>
        <w:ind w:firstLine="480"/>
      </w:pPr>
      <w:r>
        <w:rPr>
          <w:rFonts w:hint="eastAsia"/>
        </w:rPr>
        <w:t>（二）乙方权利和义务</w:t>
      </w:r>
    </w:p>
    <w:p>
      <w:pPr>
        <w:tabs>
          <w:tab w:val="left" w:pos="480"/>
        </w:tabs>
        <w:ind w:firstLine="480" w:firstLineChars="200"/>
        <w:rPr>
          <w:rFonts w:cstheme="minorHAnsi"/>
        </w:rPr>
      </w:pPr>
      <w:r>
        <w:rPr>
          <w:rFonts w:cstheme="minorHAnsi"/>
        </w:rPr>
        <w:t>1</w:t>
      </w:r>
      <w:r>
        <w:rPr>
          <w:rFonts w:hint="eastAsia" w:cstheme="minorHAnsi"/>
        </w:rPr>
        <w:t>、</w:t>
      </w:r>
      <w:r>
        <w:rPr>
          <w:rFonts w:cstheme="minorHAnsi"/>
        </w:rPr>
        <w:t>要求</w:t>
      </w:r>
      <w:r>
        <w:rPr>
          <w:rFonts w:hint="eastAsia" w:cstheme="minorHAnsi"/>
        </w:rPr>
        <w:t>甲方</w:t>
      </w:r>
      <w:r>
        <w:rPr>
          <w:rFonts w:cstheme="minorHAnsi"/>
        </w:rPr>
        <w:t>为本合同标的的服务工作开展提供必要的资料和便利。</w:t>
      </w:r>
    </w:p>
    <w:p>
      <w:pPr>
        <w:tabs>
          <w:tab w:val="left" w:pos="480"/>
        </w:tabs>
        <w:ind w:firstLine="480" w:firstLineChars="200"/>
        <w:rPr>
          <w:rFonts w:cstheme="minorHAnsi"/>
        </w:rPr>
      </w:pPr>
      <w:r>
        <w:rPr>
          <w:rFonts w:hint="eastAsia" w:cstheme="minorHAnsi"/>
        </w:rPr>
        <w:t>2、</w:t>
      </w:r>
      <w:r>
        <w:rPr>
          <w:rFonts w:cstheme="minorHAnsi"/>
        </w:rPr>
        <w:t>要求</w:t>
      </w:r>
      <w:r>
        <w:rPr>
          <w:rFonts w:hint="eastAsia" w:cstheme="minorHAnsi"/>
        </w:rPr>
        <w:t>甲方</w:t>
      </w:r>
      <w:r>
        <w:rPr>
          <w:rFonts w:cstheme="minorHAnsi"/>
        </w:rPr>
        <w:t>按本合同约定支付合同款项。</w:t>
      </w:r>
    </w:p>
    <w:p>
      <w:pPr>
        <w:pStyle w:val="89"/>
        <w:ind w:firstLine="480"/>
        <w:rPr>
          <w:kern w:val="0"/>
        </w:rPr>
      </w:pPr>
      <w:r>
        <w:rPr>
          <w:kern w:val="0"/>
        </w:rPr>
        <w:t>3</w:t>
      </w:r>
      <w:r>
        <w:rPr>
          <w:rFonts w:hint="eastAsia"/>
          <w:kern w:val="0"/>
        </w:rPr>
        <w:t>、乙方</w:t>
      </w:r>
      <w:r>
        <w:rPr>
          <w:kern w:val="0"/>
        </w:rPr>
        <w:t>不得擅自将本合同委托事项转委托/转包/分包给第三方。</w:t>
      </w:r>
    </w:p>
    <w:p>
      <w:pPr>
        <w:pStyle w:val="89"/>
        <w:ind w:firstLine="196" w:firstLineChars="82"/>
        <w:rPr>
          <w:bCs/>
        </w:rPr>
      </w:pPr>
      <w:r>
        <w:rPr>
          <w:b/>
        </w:rPr>
        <w:t>五、验收</w:t>
      </w:r>
    </w:p>
    <w:p>
      <w:pPr>
        <w:ind w:firstLine="480" w:firstLineChars="200"/>
        <w:jc w:val="both"/>
        <w:rPr>
          <w:rFonts w:cstheme="minorHAnsi"/>
        </w:rPr>
      </w:pPr>
      <w:r>
        <w:rPr>
          <w:rFonts w:hint="eastAsia" w:cstheme="minorHAnsi"/>
        </w:rPr>
        <w:t>（一）服务期满后，甲方根据合同要求，进行验收，确认服务标准和数量。验收合格后，填写政府采购项目验收单（一式伍份）作为对项目的最终认可。</w:t>
      </w:r>
    </w:p>
    <w:p>
      <w:pPr>
        <w:ind w:firstLine="480" w:firstLineChars="200"/>
        <w:jc w:val="both"/>
        <w:rPr>
          <w:rFonts w:cstheme="minorHAnsi"/>
        </w:rPr>
      </w:pPr>
      <w:r>
        <w:rPr>
          <w:rFonts w:hint="eastAsia" w:cstheme="minorHAnsi"/>
        </w:rPr>
        <w:t>（二）验收依据：</w:t>
      </w:r>
    </w:p>
    <w:p>
      <w:pPr>
        <w:ind w:firstLine="480" w:firstLineChars="200"/>
        <w:jc w:val="both"/>
        <w:rPr>
          <w:rFonts w:cstheme="minorHAnsi"/>
        </w:rPr>
      </w:pPr>
      <w:r>
        <w:rPr>
          <w:rFonts w:hint="eastAsia" w:cstheme="minorHAnsi"/>
        </w:rPr>
        <w:t>1、招标文件、投标文件、澄清表（函）；</w:t>
      </w:r>
    </w:p>
    <w:p>
      <w:pPr>
        <w:ind w:firstLine="480" w:firstLineChars="200"/>
        <w:jc w:val="both"/>
        <w:rPr>
          <w:rFonts w:cstheme="minorHAnsi"/>
        </w:rPr>
      </w:pPr>
      <w:r>
        <w:rPr>
          <w:rFonts w:hint="eastAsia" w:cstheme="minorHAnsi"/>
        </w:rPr>
        <w:t>2、本合同及附件文本；</w:t>
      </w:r>
    </w:p>
    <w:p>
      <w:pPr>
        <w:ind w:firstLine="480" w:firstLineChars="200"/>
        <w:jc w:val="both"/>
        <w:rPr>
          <w:rFonts w:cstheme="minorHAnsi"/>
        </w:rPr>
      </w:pPr>
      <w:r>
        <w:rPr>
          <w:rFonts w:hint="eastAsia" w:cstheme="minorHAnsi"/>
        </w:rPr>
        <w:t>3、国家相应的标准、规范。</w:t>
      </w:r>
    </w:p>
    <w:p>
      <w:pPr>
        <w:ind w:firstLine="480" w:firstLineChars="200"/>
        <w:jc w:val="both"/>
        <w:rPr>
          <w:rFonts w:cstheme="minorHAnsi"/>
        </w:rPr>
      </w:pPr>
      <w:r>
        <w:rPr>
          <w:rFonts w:cstheme="minorHAnsi"/>
        </w:rPr>
        <w:t>（三）乙方应向甲方提交项目实施过程中的所有资料，以便甲方日后管理和维护。</w:t>
      </w:r>
    </w:p>
    <w:p>
      <w:pPr>
        <w:spacing w:before="210" w:beforeLines="50" w:after="210" w:afterLines="50"/>
        <w:jc w:val="both"/>
        <w:rPr>
          <w:rFonts w:cs="Calibri Light" w:asciiTheme="majorHAnsi" w:hAnsiTheme="majorHAnsi"/>
          <w:b/>
        </w:rPr>
      </w:pPr>
      <w:r>
        <w:rPr>
          <w:rFonts w:cs="Calibri Light" w:asciiTheme="majorHAnsi" w:hAnsiTheme="majorHAnsi"/>
          <w:b/>
        </w:rPr>
        <w:t>六、违约责任</w:t>
      </w:r>
    </w:p>
    <w:p>
      <w:pPr>
        <w:ind w:firstLine="480" w:firstLineChars="200"/>
        <w:rPr>
          <w:rFonts w:cstheme="minorHAnsi"/>
        </w:rPr>
      </w:pPr>
      <w:r>
        <w:rPr>
          <w:rFonts w:hint="eastAsia" w:cstheme="minorHAnsi"/>
        </w:rPr>
        <w:t>（一）甲乙双方必须遵守本合同并执行合同中的各项规定，保证本合同的正常履行。</w:t>
      </w:r>
    </w:p>
    <w:p>
      <w:pPr>
        <w:ind w:firstLine="480" w:firstLineChars="200"/>
        <w:rPr>
          <w:rFonts w:cstheme="minorHAnsi"/>
        </w:rPr>
      </w:pPr>
      <w:r>
        <w:rPr>
          <w:rFonts w:hint="eastAsia" w:cstheme="minorHAnsi"/>
        </w:rPr>
        <w:t>（二）未按合同要求提供服务或服务质量不能满足合同要求，甲方应当将乙方违约的情况以及拟采取的措施以书面形式报政府采购监管部门，根据政府采购监管部门的处理意见，甲方有权依据《民法典》及</w:t>
      </w:r>
      <w:r>
        <w:rPr>
          <w:rFonts w:cstheme="minorHAnsi"/>
        </w:rPr>
        <w:t>合同</w:t>
      </w:r>
      <w:r>
        <w:rPr>
          <w:rFonts w:hint="eastAsia" w:cstheme="minorHAnsi"/>
        </w:rPr>
        <w:t>有关条款终止合同，并要求乙方承担违约责任。同时，政府采购监管部门有权依据《政府采购法》及相关法律法规对乙方的违法行为进行相应的处罚。</w:t>
      </w:r>
    </w:p>
    <w:p>
      <w:pPr>
        <w:ind w:firstLine="480" w:firstLineChars="200"/>
        <w:rPr>
          <w:rFonts w:cstheme="minorHAnsi"/>
        </w:rPr>
      </w:pPr>
      <w:r>
        <w:rPr>
          <w:rFonts w:hint="eastAsia" w:cstheme="minorHAnsi"/>
        </w:rPr>
        <w:t>（三）由双方按《民法典》中的相关原则经平等协商后补充。</w:t>
      </w:r>
    </w:p>
    <w:p>
      <w:pPr>
        <w:spacing w:before="210" w:beforeLines="50" w:after="210" w:afterLines="50"/>
        <w:jc w:val="both"/>
        <w:rPr>
          <w:rFonts w:cs="Calibri Light" w:asciiTheme="majorHAnsi" w:hAnsiTheme="majorHAnsi"/>
          <w:b/>
        </w:rPr>
      </w:pPr>
      <w:r>
        <w:rPr>
          <w:rFonts w:cs="Calibri Light" w:asciiTheme="majorHAnsi" w:hAnsiTheme="majorHAnsi"/>
          <w:b/>
        </w:rPr>
        <w:t>七、服务培训安全事故责任</w:t>
      </w:r>
    </w:p>
    <w:p>
      <w:pPr>
        <w:ind w:firstLine="480" w:firstLineChars="200"/>
        <w:rPr>
          <w:rFonts w:cstheme="minorHAnsi"/>
        </w:rPr>
      </w:pPr>
      <w:r>
        <w:rPr>
          <w:rFonts w:hint="eastAsia" w:cstheme="minorHAnsi"/>
        </w:rPr>
        <w:t>（一）甲方人员必须接受乙方的安全教育培训，严格遵守乙方安全规定和培训秩序；若因甲方人员违反安全规定和培训秩序，导致人员伤害，由甲方承担责任；未接受乙方安全教育的甲方人员，乙方有权拒绝登机或进入培训区域。</w:t>
      </w:r>
    </w:p>
    <w:p>
      <w:pPr>
        <w:ind w:firstLine="480" w:firstLineChars="200"/>
        <w:rPr>
          <w:rFonts w:cstheme="minorHAnsi"/>
        </w:rPr>
      </w:pPr>
      <w:r>
        <w:rPr>
          <w:rFonts w:hint="eastAsia" w:cstheme="minorHAnsi"/>
        </w:rPr>
        <w:t>（二）甲方接受培训的人员，若未通过教员的相关考核，乙方有权拒绝其登机，因私自登机造成的人员伤害，由甲方承担。</w:t>
      </w:r>
    </w:p>
    <w:p>
      <w:pPr>
        <w:ind w:firstLine="480" w:firstLineChars="200"/>
        <w:rPr>
          <w:rFonts w:cstheme="minorHAnsi"/>
        </w:rPr>
      </w:pPr>
      <w:r>
        <w:rPr>
          <w:rFonts w:hint="eastAsia" w:cstheme="minorHAnsi"/>
        </w:rPr>
        <w:t>（三）乙方按照民航局相关运行规范及手册执行飞行任务，保障飞行安全，</w:t>
      </w:r>
      <w:r>
        <w:rPr>
          <w:rFonts w:cstheme="minorHAnsi"/>
        </w:rPr>
        <w:t>因飞行器故障，或机组人员操作不当导致的</w:t>
      </w:r>
      <w:r>
        <w:rPr>
          <w:rFonts w:hint="eastAsia" w:cstheme="minorHAnsi"/>
        </w:rPr>
        <w:t>安全</w:t>
      </w:r>
      <w:r>
        <w:rPr>
          <w:rFonts w:cstheme="minorHAnsi"/>
        </w:rPr>
        <w:t>事故，由乙方承担责任。</w:t>
      </w:r>
    </w:p>
    <w:p>
      <w:pPr>
        <w:ind w:firstLine="480" w:firstLineChars="200"/>
        <w:rPr>
          <w:rFonts w:cstheme="minorHAnsi"/>
        </w:rPr>
      </w:pPr>
      <w:r>
        <w:rPr>
          <w:rFonts w:cstheme="minorHAnsi"/>
        </w:rPr>
        <w:t>（四）乙方应当负责购买直升机乘客责任险，乘客责任险保额为200万/座，甲方乘机人员按座位保险享受保险公司的保险索赔。</w:t>
      </w:r>
    </w:p>
    <w:p>
      <w:pPr>
        <w:spacing w:before="210" w:beforeLines="50" w:after="210" w:afterLines="50"/>
        <w:jc w:val="both"/>
        <w:rPr>
          <w:rFonts w:cs="Calibri Light" w:asciiTheme="majorHAnsi" w:hAnsiTheme="majorHAnsi"/>
          <w:b/>
        </w:rPr>
      </w:pPr>
      <w:r>
        <w:rPr>
          <w:rFonts w:cs="Calibri Light" w:asciiTheme="majorHAnsi" w:hAnsiTheme="majorHAnsi"/>
          <w:b/>
        </w:rPr>
        <w:t>八、不可抗力</w:t>
      </w:r>
    </w:p>
    <w:p>
      <w:pPr>
        <w:ind w:firstLine="480" w:firstLineChars="200"/>
        <w:rPr>
          <w:rFonts w:cstheme="minorHAnsi"/>
        </w:rPr>
      </w:pPr>
      <w:r>
        <w:rPr>
          <w:rFonts w:hint="eastAsia" w:cstheme="minorHAnsi"/>
        </w:rPr>
        <w:t>（一）“不可抗力”是指不能预见、不能避免并不能克服的客观事件，包括但不限于政府行为、自然灾害、战争、不符合民航飞行安全要求条件或任何其他类似事件。</w:t>
      </w:r>
    </w:p>
    <w:p>
      <w:pPr>
        <w:ind w:firstLine="480" w:firstLineChars="200"/>
        <w:rPr>
          <w:rFonts w:cstheme="minorHAnsi"/>
        </w:rPr>
      </w:pPr>
      <w:r>
        <w:rPr>
          <w:rFonts w:hint="eastAsia" w:cstheme="minorHAnsi"/>
        </w:rPr>
        <w:t>（二）如发生不可抗力事件，遭受不可抗力事件的一方应立即通知对方该事件的性质、发生日期、预计持续事件等有关细节，以及该事件阻碍通知方履行其余本合同义务的程度，并采取合理措施防止损失进一步扩大。</w:t>
      </w:r>
    </w:p>
    <w:p>
      <w:pPr>
        <w:ind w:firstLine="480" w:firstLineChars="200"/>
        <w:rPr>
          <w:rFonts w:cstheme="minorHAnsi"/>
        </w:rPr>
      </w:pPr>
      <w:r>
        <w:rPr>
          <w:rFonts w:hint="eastAsia" w:cstheme="minorHAnsi"/>
        </w:rPr>
        <w:t>（三）在不可抗力事件持续期间，遭受不可抗力的一方应及时地告知对方不可抗力事件的现状，如不可抗力事件结束，应立即通知对方，继续按照合同条款内容履行约定。</w:t>
      </w:r>
    </w:p>
    <w:p>
      <w:pPr>
        <w:ind w:firstLine="480" w:firstLineChars="200"/>
        <w:rPr>
          <w:rFonts w:cstheme="minorHAnsi"/>
        </w:rPr>
      </w:pPr>
      <w:r>
        <w:rPr>
          <w:rFonts w:hint="eastAsia" w:cstheme="minorHAnsi"/>
        </w:rPr>
        <w:t>（四）遭受不可抗力事件的一方可暂行中止履行本合同项下的义务直至不可抗力事件的影响消除为止，由双方根据事件对本合同的影响程度，协商确定部分或全部免除责任，变更或解除合同。</w:t>
      </w:r>
    </w:p>
    <w:p>
      <w:pPr>
        <w:spacing w:before="210" w:beforeLines="50" w:after="210" w:afterLines="50"/>
        <w:jc w:val="both"/>
        <w:rPr>
          <w:rFonts w:cs="Calibri Light" w:asciiTheme="majorHAnsi" w:hAnsiTheme="majorHAnsi"/>
          <w:b/>
        </w:rPr>
      </w:pPr>
      <w:r>
        <w:rPr>
          <w:rFonts w:cs="Calibri Light" w:asciiTheme="majorHAnsi" w:hAnsiTheme="majorHAnsi"/>
          <w:b/>
        </w:rPr>
        <w:t>九、争议解决</w:t>
      </w:r>
    </w:p>
    <w:p>
      <w:pPr>
        <w:pStyle w:val="4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（一）本合同适用法律为中华人民共和国法律。</w:t>
      </w:r>
    </w:p>
    <w:p>
      <w:pPr>
        <w:pStyle w:val="4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（二）凡与本合同有关的一切争议，双方应通过友好协商解决。如经协商后仍不能达成协议时，任何一方都有权向甲方所在地有管辖权的人民法院起诉。</w:t>
      </w:r>
    </w:p>
    <w:p>
      <w:pPr>
        <w:spacing w:before="210" w:beforeLines="50" w:after="210" w:afterLines="50"/>
        <w:jc w:val="both"/>
        <w:rPr>
          <w:rFonts w:cs="Calibri Light" w:asciiTheme="majorHAnsi" w:hAnsiTheme="majorHAnsi"/>
          <w:b/>
        </w:rPr>
      </w:pPr>
      <w:r>
        <w:rPr>
          <w:rFonts w:cs="Calibri Light" w:asciiTheme="majorHAnsi" w:hAnsiTheme="majorHAnsi"/>
          <w:b/>
        </w:rPr>
        <w:t>十、合同生效及其他</w:t>
      </w:r>
    </w:p>
    <w:p>
      <w:pPr>
        <w:pStyle w:val="4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（一）本合同自签订之日起生效。</w:t>
      </w:r>
    </w:p>
    <w:p>
      <w:pPr>
        <w:pStyle w:val="4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（二）合同一式4份，甲方</w:t>
      </w:r>
      <w:r>
        <w:rPr>
          <w:rFonts w:hint="eastAsia" w:asciiTheme="majorHAnsi" w:hAnsiTheme="majorHAnsi" w:eastAsiaTheme="minorEastAsia"/>
          <w:sz w:val="24"/>
          <w:szCs w:val="24"/>
        </w:rPr>
        <w:t>、</w:t>
      </w:r>
      <w:r>
        <w:rPr>
          <w:rFonts w:asciiTheme="majorHAnsi" w:hAnsiTheme="majorHAnsi" w:eastAsiaTheme="minorEastAsia"/>
          <w:sz w:val="24"/>
          <w:szCs w:val="24"/>
        </w:rPr>
        <w:t>乙方各执1份；乙方办理结算2份。</w:t>
      </w:r>
    </w:p>
    <w:p>
      <w:pPr>
        <w:pStyle w:val="48"/>
        <w:spacing w:line="240" w:lineRule="auto"/>
        <w:ind w:firstLine="480" w:firstLineChars="200"/>
        <w:jc w:val="both"/>
        <w:rPr>
          <w:rFonts w:asciiTheme="majorHAnsi" w:hAnsiTheme="majorHAnsi" w:eastAsiaTheme="minorEastAsia"/>
          <w:sz w:val="24"/>
          <w:szCs w:val="24"/>
        </w:rPr>
      </w:pPr>
      <w:r>
        <w:rPr>
          <w:rFonts w:asciiTheme="majorHAnsi" w:hAnsiTheme="majorHAnsi" w:eastAsiaTheme="minorEastAsia"/>
          <w:sz w:val="24"/>
          <w:szCs w:val="24"/>
        </w:rPr>
        <w:t>（三）未尽事宜由双方在签订合同时具体明确或签订补充合同。</w:t>
      </w:r>
    </w:p>
    <w:p>
      <w:pPr>
        <w:rPr>
          <w:rFonts w:asciiTheme="majorHAnsi" w:hAnsiTheme="majorHAnsi"/>
        </w:rPr>
      </w:pPr>
      <w:r>
        <w:rPr>
          <w:rFonts w:asciiTheme="majorHAnsi" w:hAnsiTheme="majorHAnsi"/>
        </w:rPr>
        <w:br w:type="page"/>
      </w:r>
    </w:p>
    <w:p>
      <w:pPr>
        <w:pStyle w:val="2"/>
        <w:spacing w:before="210" w:after="210"/>
      </w:pPr>
      <w:bookmarkStart w:id="12" w:name="_Toc100219616"/>
      <w:r>
        <w:rPr>
          <w:rFonts w:hint="eastAsia"/>
        </w:rPr>
        <w:t>第五章　投标文件构成及格式</w:t>
      </w:r>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ind w:left="991" w:leftChars="413" w:right="1387" w:rightChars="578"/>
        <w:jc w:val="center"/>
        <w:rPr>
          <w:rFonts w:cstheme="minorHAnsi"/>
          <w:b/>
          <w:color w:val="C00000"/>
          <w:sz w:val="44"/>
          <w:szCs w:val="44"/>
        </w:rPr>
      </w:pPr>
      <w:r>
        <w:rPr>
          <w:rFonts w:cstheme="minorHAnsi"/>
          <w:b/>
          <w:color w:val="C00000"/>
          <w:sz w:val="44"/>
          <w:szCs w:val="44"/>
        </w:rPr>
        <w:t>陕西省西安市消防救援支队航空救援培训服务采购项目</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768367872"/>
        </w:rPr>
        <w:t>投标文</w:t>
      </w:r>
      <w:r>
        <w:rPr>
          <w:rFonts w:ascii="华文中宋" w:hAnsi="华文中宋" w:eastAsia="华文中宋" w:cstheme="minorHAnsi"/>
          <w:spacing w:val="0"/>
          <w:kern w:val="0"/>
          <w:sz w:val="96"/>
          <w:szCs w:val="96"/>
          <w:fitText w:val="5778" w:id="-768367872"/>
        </w:rPr>
        <w:t>件</w:t>
      </w:r>
    </w:p>
    <w:p>
      <w:pPr>
        <w:jc w:val="center"/>
        <w:rPr>
          <w:rFonts w:cstheme="minorHAnsi"/>
          <w:sz w:val="36"/>
          <w:szCs w:val="36"/>
        </w:rPr>
      </w:pPr>
      <w:r>
        <w:rPr>
          <w:rFonts w:cstheme="minorHAnsi"/>
          <w:sz w:val="36"/>
          <w:szCs w:val="36"/>
        </w:rPr>
        <w:t>（项目编号：XCZX2025-0032-2）</w:t>
      </w:r>
    </w:p>
    <w:p>
      <w:pPr>
        <w:jc w:val="center"/>
        <w:rPr>
          <w:rFonts w:cstheme="minorHAnsi"/>
          <w:sz w:val="36"/>
          <w:szCs w:val="36"/>
        </w:rPr>
      </w:pPr>
    </w:p>
    <w:p>
      <w:pPr>
        <w:ind w:firstLine="1684" w:firstLineChars="468"/>
        <w:rPr>
          <w:rFonts w:cstheme="minorHAnsi"/>
          <w:sz w:val="36"/>
        </w:rPr>
      </w:pPr>
      <w:r>
        <w:rPr>
          <w:rFonts w:cstheme="minorHAnsi"/>
          <w:sz w:val="36"/>
        </w:rPr>
        <w:t>供应商：__________________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r>
        <w:rPr>
          <w:rFonts w:cstheme="minorHAnsi"/>
          <w:sz w:val="36"/>
        </w:rPr>
        <w:t>注：本章中</w:t>
      </w:r>
      <w:r>
        <w:rPr>
          <w:rFonts w:hint="eastAsia" w:cstheme="minorHAnsi"/>
          <w:sz w:val="36"/>
        </w:rPr>
        <w:t>［项目名称］、［项目编号］等留白处，供应商均应按照「投标邀请函」中所列信息自行填写。</w:t>
      </w:r>
    </w:p>
    <w:p>
      <w:pPr>
        <w:ind w:firstLine="200"/>
        <w:rPr>
          <w:rFonts w:cstheme="minorHAnsi"/>
          <w:sz w:val="36"/>
        </w:rPr>
      </w:pPr>
      <w:r>
        <w:rPr>
          <w:rFonts w:cstheme="minorHAnsi"/>
          <w:sz w:val="36"/>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3" w:type="default"/>
          <w:footerReference r:id="rId14" w:type="even"/>
          <w:pgSz w:w="11906" w:h="16838"/>
          <w:pgMar w:top="1418" w:right="1304" w:bottom="1418" w:left="1701" w:header="851" w:footer="992" w:gutter="0"/>
          <w:cols w:space="425" w:num="1"/>
          <w:docGrid w:type="linesAndChars" w:linePitch="420" w:charSpace="0"/>
        </w:sectPr>
      </w:pPr>
    </w:p>
    <w:p>
      <w:pPr>
        <w:keepNext/>
        <w:spacing w:before="210" w:beforeLines="50" w:after="21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ascii="Calibri Light" w:hAnsi="Calibri Light" w:eastAsia="华文仿宋" w:cs="Calibri Light"/>
          <w:color w:val="000000"/>
          <w:sz w:val="28"/>
          <w:szCs w:val="28"/>
        </w:rPr>
        <w:t>［</w:t>
      </w:r>
      <w:r>
        <w:rPr>
          <w:rFonts w:ascii="Calibri Light" w:hAnsi="Calibri Light" w:eastAsia="华文仿宋" w:cs="Calibri Light"/>
          <w:color w:val="000000"/>
          <w:sz w:val="28"/>
          <w:szCs w:val="28"/>
          <w:u w:val="single"/>
        </w:rPr>
        <w:t>项目名称</w:t>
      </w:r>
      <w:r>
        <w:rPr>
          <w:rFonts w:ascii="Calibri Light" w:hAnsi="Calibri Light" w:eastAsia="华文仿宋" w:cs="Calibri Light"/>
          <w:color w:val="000000"/>
          <w:sz w:val="28"/>
          <w:szCs w:val="28"/>
        </w:rPr>
        <w:t>］</w:t>
      </w:r>
      <w:r>
        <w:rPr>
          <w:rFonts w:cstheme="minorHAnsi"/>
          <w:color w:val="000000"/>
        </w:rPr>
        <w:t>（项目编号：</w:t>
      </w:r>
      <w:r>
        <w:rPr>
          <w:rFonts w:ascii="Calibri Light" w:hAnsi="Calibri Light" w:eastAsia="华文仿宋" w:cs="Calibri Light"/>
          <w:color w:val="000000"/>
          <w:sz w:val="28"/>
          <w:szCs w:val="28"/>
        </w:rPr>
        <w:t>［</w:t>
      </w:r>
      <w:r>
        <w:rPr>
          <w:rFonts w:ascii="Calibri Light" w:hAnsi="Calibri Light" w:eastAsia="华文仿宋" w:cs="Calibri Light"/>
          <w:color w:val="000000"/>
          <w:sz w:val="28"/>
          <w:szCs w:val="28"/>
          <w:u w:val="single"/>
        </w:rPr>
        <w:t>项目编号</w:t>
      </w:r>
      <w:r>
        <w:rPr>
          <w:rFonts w:ascii="Calibri Light" w:hAnsi="Calibri Light" w:eastAsia="华文仿宋" w:cs="Calibri Light"/>
          <w:color w:val="000000"/>
          <w:sz w:val="28"/>
          <w:szCs w:val="28"/>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cstheme="minorHAnsi"/>
        </w:rPr>
        <w:t>的</w:t>
      </w:r>
      <w:r>
        <w:rPr>
          <w:rFonts w:hint="eastAsia" w:cstheme="minorHAnsi"/>
          <w:color w:val="000000"/>
        </w:rPr>
        <w:t>招标</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1．我方已详细阅读了招标文件，完全理解并同意招标文件的所有事项及内容。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3．我方同意向贵中心提供与本次招标有关的全部证明材料，并保证所提交的证明材料真实、合法、有效。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4．我方理解最低价不是中标的唯一条件，并尊重评标委员会的评审结果。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．若我方中标，我方承诺：</w:t>
      </w:r>
    </w:p>
    <w:p>
      <w:pPr>
        <w:ind w:firstLine="567"/>
        <w:jc w:val="both"/>
        <w:rPr>
          <w:rFonts w:cstheme="minorHAnsi"/>
          <w:color w:val="000000"/>
        </w:rPr>
      </w:pPr>
      <w:r>
        <w:rPr>
          <w:rFonts w:hint="eastAsia" w:cstheme="minorHAnsi"/>
          <w:color w:val="000000"/>
        </w:rPr>
        <w:t>（1）将投标文件有效期延长至合同执行完毕；</w:t>
      </w:r>
    </w:p>
    <w:p>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pPr>
        <w:ind w:firstLine="567"/>
        <w:jc w:val="both"/>
        <w:rPr>
          <w:rFonts w:cstheme="minorHAnsi"/>
          <w:color w:val="000000"/>
        </w:rPr>
      </w:pPr>
      <w:r>
        <w:rPr>
          <w:rFonts w:hint="eastAsia" w:cstheme="minorHAnsi"/>
          <w:color w:val="000000"/>
        </w:rPr>
        <w:t>（3）遵照招标文件中的要求，完成本项目的合同责任和义务。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ind w:firstLine="567"/>
        <w:jc w:val="both"/>
        <w:sectPr>
          <w:footerReference r:id="rId15" w:type="default"/>
          <w:footerReference r:id="rId16"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p>
      <w:pPr>
        <w:pStyle w:val="48"/>
        <w:jc w:val="right"/>
        <w:rPr>
          <w:rFonts w:hAnsi="华文仿宋"/>
          <w:b/>
        </w:rPr>
      </w:pPr>
      <w:r>
        <w:rPr>
          <w:rFonts w:hint="eastAsia" w:hAnsi="华文仿宋"/>
          <w:b/>
        </w:rPr>
        <w:t>单位：元</w:t>
      </w:r>
      <w:r>
        <w:rPr>
          <w:rFonts w:hAnsi="华文仿宋"/>
          <w:b/>
        </w:rPr>
        <w:t>（精确到小数点后两位）</w:t>
      </w:r>
    </w:p>
    <w:tbl>
      <w:tblPr>
        <w:tblStyle w:val="32"/>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96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835" w:type="dxa"/>
            <w:vMerge w:val="restart"/>
            <w:tcBorders>
              <w:top w:val="single" w:color="auto" w:sz="12" w:space="0"/>
              <w:left w:val="single" w:color="auto" w:sz="12" w:space="0"/>
              <w:tl2br w:val="single" w:color="auto" w:sz="4" w:space="0"/>
            </w:tcBorders>
          </w:tcPr>
          <w:p>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pPr>
              <w:rPr>
                <w:rFonts w:asciiTheme="majorHAnsi" w:hAnsiTheme="majorHAnsi" w:cstheme="minorHAnsi"/>
                <w:color w:val="000000"/>
              </w:rPr>
            </w:pPr>
          </w:p>
          <w:p>
            <w:pPr>
              <w:spacing w:line="440" w:lineRule="exact"/>
              <w:ind w:right="1540" w:firstLine="120" w:firstLineChars="50"/>
              <w:rPr>
                <w:rFonts w:asciiTheme="majorHAnsi" w:hAnsiTheme="majorHAnsi" w:cstheme="minorHAnsi"/>
                <w:b/>
                <w:color w:val="000000"/>
              </w:rPr>
            </w:pPr>
            <w:r>
              <w:rPr>
                <w:rFonts w:hint="eastAsia" w:asciiTheme="majorHAnsi" w:hAnsiTheme="majorHAnsi" w:cstheme="minorHAnsi"/>
                <w:b/>
                <w:color w:val="000000"/>
              </w:rPr>
              <w:t>项目名称</w:t>
            </w:r>
          </w:p>
        </w:tc>
        <w:tc>
          <w:tcPr>
            <w:tcW w:w="2962" w:type="dxa"/>
            <w:tcBorders>
              <w:top w:val="single" w:color="auto" w:sz="12" w:space="0"/>
            </w:tcBorders>
            <w:vAlign w:val="center"/>
          </w:tcPr>
          <w:p>
            <w:pPr>
              <w:jc w:val="center"/>
              <w:rPr>
                <w:rFonts w:asciiTheme="majorHAnsi" w:hAnsiTheme="majorHAnsi" w:cstheme="minorHAnsi"/>
                <w:b/>
                <w:color w:val="C00000"/>
              </w:rPr>
            </w:pPr>
            <w:r>
              <w:rPr>
                <w:rFonts w:hint="eastAsia" w:asciiTheme="majorHAnsi" w:hAnsiTheme="majorHAnsi" w:cstheme="minorHAnsi"/>
                <w:b/>
                <w:color w:val="C00000"/>
              </w:rPr>
              <w:t>A</w:t>
            </w:r>
          </w:p>
        </w:tc>
        <w:tc>
          <w:tcPr>
            <w:tcW w:w="2693" w:type="dxa"/>
            <w:tcBorders>
              <w:top w:val="single" w:color="auto" w:sz="12" w:space="0"/>
            </w:tcBorders>
          </w:tcPr>
          <w:p>
            <w:pPr>
              <w:jc w:val="center"/>
              <w:rPr>
                <w:rFonts w:asciiTheme="majorHAnsi" w:hAnsiTheme="majorHAnsi" w:cstheme="minorHAnsi"/>
                <w:b/>
                <w:color w:val="C00000"/>
              </w:rPr>
            </w:pPr>
            <w:r>
              <w:rPr>
                <w:rFonts w:asciiTheme="majorHAnsi" w:hAnsiTheme="majorHAnsi" w:cstheme="minorHAnsi"/>
                <w:b/>
                <w:color w:val="C0000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835" w:type="dxa"/>
            <w:vMerge w:val="continue"/>
            <w:tcBorders>
              <w:left w:val="single" w:color="auto" w:sz="12" w:space="0"/>
              <w:tl2br w:val="single" w:color="auto" w:sz="4" w:space="0"/>
            </w:tcBorders>
          </w:tcPr>
          <w:p>
            <w:pPr>
              <w:spacing w:line="440" w:lineRule="exact"/>
              <w:ind w:right="280"/>
              <w:jc w:val="right"/>
              <w:rPr>
                <w:rFonts w:asciiTheme="majorHAnsi" w:hAnsiTheme="majorHAnsi" w:cstheme="minorHAnsi"/>
                <w:b/>
                <w:color w:val="000000"/>
              </w:rPr>
            </w:pPr>
          </w:p>
        </w:tc>
        <w:tc>
          <w:tcPr>
            <w:tcW w:w="2962" w:type="dxa"/>
            <w:vAlign w:val="center"/>
          </w:tcPr>
          <w:p>
            <w:pPr>
              <w:jc w:val="center"/>
              <w:rPr>
                <w:rFonts w:asciiTheme="majorHAnsi" w:hAnsiTheme="majorHAnsi"/>
                <w:b/>
                <w:color w:val="C00000"/>
              </w:rPr>
            </w:pPr>
            <w:r>
              <w:rPr>
                <w:rFonts w:asciiTheme="majorHAnsi" w:hAnsiTheme="majorHAnsi"/>
                <w:b/>
                <w:color w:val="C00000"/>
              </w:rPr>
              <w:t>投标报价</w:t>
            </w:r>
          </w:p>
        </w:tc>
        <w:tc>
          <w:tcPr>
            <w:tcW w:w="2693" w:type="dxa"/>
            <w:vAlign w:val="center"/>
          </w:tcPr>
          <w:p>
            <w:pPr>
              <w:jc w:val="center"/>
              <w:rPr>
                <w:rFonts w:asciiTheme="majorHAnsi" w:hAnsiTheme="majorHAnsi"/>
                <w:b/>
                <w:color w:val="C00000"/>
              </w:rPr>
            </w:pPr>
            <w:r>
              <w:rPr>
                <w:rFonts w:asciiTheme="majorHAnsi" w:hAnsiTheme="majorHAnsi"/>
                <w:b/>
                <w:color w:val="C00000"/>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835" w:type="dxa"/>
            <w:tcBorders>
              <w:left w:val="single" w:color="auto" w:sz="12" w:space="0"/>
            </w:tcBorders>
            <w:vAlign w:val="center"/>
          </w:tcPr>
          <w:p>
            <w:pPr>
              <w:spacing w:line="440" w:lineRule="exact"/>
              <w:jc w:val="center"/>
              <w:rPr>
                <w:rFonts w:cstheme="minorHAnsi"/>
                <w:color w:val="C00000"/>
                <w:szCs w:val="21"/>
              </w:rPr>
            </w:pPr>
            <w:r>
              <w:rPr>
                <w:rFonts w:cstheme="minorHAnsi"/>
                <w:color w:val="C00000"/>
                <w:szCs w:val="21"/>
              </w:rPr>
              <w:t>［项目名称］</w:t>
            </w:r>
          </w:p>
        </w:tc>
        <w:tc>
          <w:tcPr>
            <w:tcW w:w="2962" w:type="dxa"/>
            <w:vAlign w:val="center"/>
          </w:tcPr>
          <w:p>
            <w:pPr>
              <w:spacing w:line="440" w:lineRule="exact"/>
              <w:jc w:val="center"/>
              <w:rPr>
                <w:rFonts w:asciiTheme="majorHAnsi" w:hAnsiTheme="majorHAnsi" w:cstheme="minorHAnsi"/>
                <w:color w:val="000000"/>
              </w:rPr>
            </w:pPr>
          </w:p>
        </w:tc>
        <w:tc>
          <w:tcPr>
            <w:tcW w:w="2693" w:type="dxa"/>
          </w:tcPr>
          <w:p>
            <w:pPr>
              <w:spacing w:line="440" w:lineRule="exact"/>
              <w:jc w:val="center"/>
              <w:rPr>
                <w:rFonts w:asciiTheme="majorHAnsi" w:hAnsiTheme="majorHAnsi"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835" w:type="dxa"/>
            <w:tcBorders>
              <w:left w:val="single" w:color="auto" w:sz="12" w:space="0"/>
            </w:tcBorders>
            <w:vAlign w:val="center"/>
          </w:tcPr>
          <w:p>
            <w:pPr>
              <w:spacing w:line="440" w:lineRule="exact"/>
              <w:jc w:val="center"/>
              <w:rPr>
                <w:rFonts w:asciiTheme="majorHAnsi" w:hAnsiTheme="majorHAnsi" w:cstheme="minorHAnsi"/>
                <w:b/>
                <w:color w:val="C00000"/>
              </w:rPr>
            </w:pPr>
            <w:r>
              <w:rPr>
                <w:rFonts w:asciiTheme="majorHAnsi" w:hAnsiTheme="majorHAnsi" w:cstheme="minorHAnsi"/>
                <w:b/>
                <w:color w:val="000000"/>
              </w:rPr>
              <w:t>投标报价（大写）</w:t>
            </w:r>
          </w:p>
        </w:tc>
        <w:tc>
          <w:tcPr>
            <w:tcW w:w="5655" w:type="dxa"/>
            <w:gridSpan w:val="2"/>
            <w:vAlign w:val="center"/>
          </w:tcPr>
          <w:p>
            <w:pPr>
              <w:spacing w:line="440" w:lineRule="exact"/>
              <w:jc w:val="center"/>
              <w:rPr>
                <w:rFonts w:asciiTheme="majorHAnsi" w:hAnsiTheme="majorHAnsi" w:cstheme="minorHAnsi"/>
                <w:color w:val="000000"/>
              </w:rPr>
            </w:pPr>
          </w:p>
        </w:tc>
      </w:tr>
    </w:tbl>
    <w:p>
      <w:pPr>
        <w:spacing w:before="210" w:beforeLines="50" w:line="480" w:lineRule="exact"/>
        <w:rPr>
          <w:rFonts w:ascii="Calibri Light" w:hAnsi="Calibri Light" w:eastAsia="华文仿宋"/>
          <w:sz w:val="28"/>
          <w:szCs w:val="28"/>
        </w:rPr>
      </w:pPr>
      <w:r>
        <w:rPr>
          <w:rFonts w:eastAsiaTheme="majorEastAsia" w:cstheme="minorHAnsi"/>
          <w:color w:val="000000"/>
          <w:sz w:val="28"/>
          <w:szCs w:val="28"/>
        </w:rPr>
        <w:t>供应商：（</w:t>
      </w:r>
      <w:r>
        <w:rPr>
          <w:rFonts w:eastAsiaTheme="majorEastAsia" w:cstheme="minorHAnsi"/>
          <w:color w:val="C00000"/>
          <w:sz w:val="28"/>
          <w:szCs w:val="28"/>
        </w:rPr>
        <w:t>供应商全称并加盖公章</w:t>
      </w:r>
      <w:r>
        <w:rPr>
          <w:rFonts w:eastAsiaTheme="majorEastAsia" w:cstheme="minorHAnsi"/>
          <w:color w:val="000000"/>
          <w:sz w:val="28"/>
          <w:szCs w:val="28"/>
        </w:rPr>
        <w:t>）</w:t>
      </w:r>
    </w:p>
    <w:p>
      <w:pPr>
        <w:spacing w:before="210" w:beforeLines="50"/>
        <w:rPr>
          <w:rFonts w:ascii="Calibri" w:hAnsi="Calibri" w:eastAsia="宋体"/>
          <w:kern w:val="24"/>
        </w:rPr>
      </w:pPr>
    </w:p>
    <w:p>
      <w:pPr>
        <w:jc w:val="both"/>
        <w:rPr>
          <w:rFonts w:ascii="Calibri" w:hAnsi="Calibri" w:eastAsia="宋体"/>
          <w:kern w:val="24"/>
        </w:rPr>
      </w:pPr>
      <w:r>
        <w:rPr>
          <w:rFonts w:ascii="Calibri" w:hAnsi="Calibri" w:eastAsia="宋体"/>
          <w:kern w:val="24"/>
        </w:rPr>
        <w:t>注：</w:t>
      </w:r>
      <w:r>
        <w:rPr>
          <w:rFonts w:hint="eastAsia" w:ascii="Calibri" w:hAnsi="Calibri" w:eastAsia="宋体"/>
          <w:kern w:val="24"/>
        </w:rPr>
        <w:t>以下情况按无效投标处理：</w:t>
      </w:r>
    </w:p>
    <w:p>
      <w:pPr>
        <w:ind w:firstLine="480" w:firstLineChars="200"/>
        <w:jc w:val="both"/>
        <w:rPr>
          <w:rFonts w:ascii="Calibri" w:hAnsi="Calibri" w:eastAsia="宋体"/>
          <w:kern w:val="24"/>
        </w:rPr>
      </w:pPr>
      <w:r>
        <w:rPr>
          <w:rFonts w:hint="eastAsia" w:ascii="Calibri" w:hAnsi="Calibri" w:eastAsia="宋体"/>
          <w:kern w:val="24"/>
        </w:rPr>
        <w:t>1．</w:t>
      </w:r>
      <w:r>
        <w:rPr>
          <w:kern w:val="24"/>
        </w:rPr>
        <w:t>A栏未按银行小写金额样式填写，B栏未填写服务期。</w:t>
      </w:r>
    </w:p>
    <w:p>
      <w:pPr>
        <w:ind w:firstLine="480" w:firstLineChars="200"/>
        <w:jc w:val="both"/>
        <w:rPr>
          <w:rFonts w:ascii="Calibri" w:hAnsi="Calibri" w:eastAsia="宋体"/>
          <w:kern w:val="24"/>
        </w:rPr>
      </w:pPr>
      <w:r>
        <w:rPr>
          <w:rFonts w:hint="eastAsia" w:ascii="Calibri" w:hAnsi="Calibri" w:eastAsia="宋体"/>
          <w:kern w:val="24"/>
        </w:rPr>
        <w:t>2．“投标报价（大写）”栏未按银行大写金额样式进行填写，样式参考：壹、贰、叁、肆、伍、陆、柒、捌、玖、拾、佰、仟、万、亿、元（圆）、角、分、零、整（正）等。</w:t>
      </w:r>
    </w:p>
    <w:p>
      <w:pPr>
        <w:ind w:firstLine="480" w:firstLineChars="200"/>
        <w:jc w:val="both"/>
        <w:rPr>
          <w:rFonts w:ascii="Calibri" w:hAnsi="Calibri" w:eastAsia="宋体"/>
          <w:kern w:val="24"/>
        </w:rPr>
      </w:pPr>
      <w:r>
        <w:rPr>
          <w:rFonts w:hint="eastAsia" w:ascii="Calibri" w:hAnsi="Calibri" w:eastAsia="宋体"/>
          <w:kern w:val="24"/>
        </w:rPr>
        <w:t>3．本表</w:t>
      </w:r>
      <w:r>
        <w:rPr>
          <w:rFonts w:ascii="Calibri" w:hAnsi="Calibri" w:eastAsia="宋体"/>
          <w:kern w:val="24"/>
        </w:rPr>
        <w:t>A</w:t>
      </w:r>
      <w:r>
        <w:rPr>
          <w:rFonts w:hint="eastAsia" w:ascii="Calibri" w:hAnsi="Calibri" w:eastAsia="宋体"/>
          <w:kern w:val="24"/>
        </w:rPr>
        <w:t>栏值与“</w:t>
      </w:r>
      <w:r>
        <w:rPr>
          <w:rFonts w:ascii="Calibri" w:hAnsi="Calibri" w:eastAsia="宋体"/>
          <w:kern w:val="24"/>
        </w:rPr>
        <w:t>投标报价</w:t>
      </w:r>
      <w:r>
        <w:rPr>
          <w:rFonts w:hint="eastAsia" w:ascii="Calibri" w:hAnsi="Calibri" w:eastAsia="宋体"/>
          <w:kern w:val="24"/>
        </w:rPr>
        <w:t>（大写）”值不一致的。</w:t>
      </w:r>
    </w:p>
    <w:p>
      <w:pPr>
        <w:pStyle w:val="48"/>
        <w:jc w:val="both"/>
        <w:rPr>
          <w:rFonts w:hAnsi="华文仿宋"/>
        </w:rPr>
        <w:sectPr>
          <w:footerReference r:id="rId17" w:type="default"/>
          <w:footerReference r:id="rId18" w:type="even"/>
          <w:pgSz w:w="11906" w:h="16838"/>
          <w:pgMar w:top="1418" w:right="1418" w:bottom="1418" w:left="1588" w:header="851" w:footer="992" w:gutter="0"/>
          <w:cols w:space="425" w:num="1"/>
          <w:docGrid w:type="linesAndChars" w:linePitch="420" w:charSpace="0"/>
        </w:sectPr>
      </w:pPr>
    </w:p>
    <w:p>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费用明细</w:t>
      </w:r>
      <w:r>
        <w:rPr>
          <w:rFonts w:ascii="黑体" w:hAnsi="黑体" w:eastAsia="黑体" w:cs="Calibri Light"/>
          <w:color w:val="1F4E79"/>
          <w:sz w:val="32"/>
          <w:szCs w:val="36"/>
        </w:rPr>
        <w:t>表</w:t>
      </w:r>
    </w:p>
    <w:p>
      <w:pPr>
        <w:ind w:firstLine="1120"/>
        <w:jc w:val="right"/>
        <w:rPr>
          <w:rFonts w:ascii="Calibri Light" w:hAnsi="Calibri Light" w:eastAsia="华文仿宋" w:cs="Calibri Light"/>
          <w:b/>
          <w:color w:val="000000"/>
        </w:rPr>
      </w:pPr>
      <w:r>
        <w:rPr>
          <w:rFonts w:ascii="Calibri Light" w:hAnsi="Calibri Light" w:eastAsia="华文仿宋" w:cs="Calibri Light"/>
          <w:b/>
          <w:color w:val="000000"/>
        </w:rPr>
        <w:t>单位：元</w:t>
      </w:r>
    </w:p>
    <w:tbl>
      <w:tblPr>
        <w:tblStyle w:val="32"/>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9"/>
        <w:gridCol w:w="2410"/>
        <w:gridCol w:w="4110"/>
        <w:gridCol w:w="709"/>
        <w:gridCol w:w="709"/>
        <w:gridCol w:w="9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589"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eastAsia="华文仿宋" w:cs="Calibri Light"/>
                <w:b/>
                <w:color w:val="000000"/>
              </w:rPr>
            </w:pPr>
            <w:r>
              <w:rPr>
                <w:rFonts w:ascii="Calibri Light" w:hAnsi="Calibri Light" w:eastAsia="华文仿宋" w:cs="Calibri Light"/>
                <w:b/>
                <w:color w:val="000000"/>
              </w:rPr>
              <w:t>序号</w:t>
            </w:r>
          </w:p>
        </w:tc>
        <w:tc>
          <w:tcPr>
            <w:tcW w:w="2410"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eastAsia="华文仿宋" w:cs="Calibri Light"/>
                <w:b/>
                <w:color w:val="000000"/>
              </w:rPr>
            </w:pPr>
            <w:r>
              <w:rPr>
                <w:rFonts w:hint="eastAsia" w:ascii="Calibri Light" w:hAnsi="Calibri Light" w:eastAsia="华文仿宋" w:cs="Calibri Light"/>
                <w:b/>
                <w:color w:val="000000"/>
              </w:rPr>
              <w:t>费用名称</w:t>
            </w:r>
          </w:p>
        </w:tc>
        <w:tc>
          <w:tcPr>
            <w:tcW w:w="4110"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eastAsia="华文仿宋" w:cs="Calibri Light"/>
                <w:b/>
                <w:color w:val="000000"/>
              </w:rPr>
            </w:pPr>
            <w:r>
              <w:rPr>
                <w:rFonts w:hint="eastAsia" w:ascii="Calibri Light" w:hAnsi="Calibri Light" w:eastAsia="华文仿宋" w:cs="Calibri Light"/>
                <w:b/>
                <w:color w:val="000000"/>
              </w:rPr>
              <w:t>费用</w:t>
            </w:r>
            <w:r>
              <w:rPr>
                <w:rFonts w:ascii="Calibri Light" w:hAnsi="Calibri Light" w:eastAsia="华文仿宋" w:cs="Calibri Light"/>
                <w:b/>
                <w:color w:val="000000"/>
              </w:rPr>
              <w:t>描述</w:t>
            </w:r>
          </w:p>
        </w:tc>
        <w:tc>
          <w:tcPr>
            <w:tcW w:w="709"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eastAsia="华文仿宋" w:cs="Calibri Light"/>
                <w:b/>
                <w:color w:val="000000"/>
              </w:rPr>
            </w:pPr>
            <w:r>
              <w:rPr>
                <w:rFonts w:ascii="Calibri Light" w:hAnsi="Calibri Light" w:eastAsia="华文仿宋" w:cs="Calibri Light"/>
                <w:b/>
                <w:color w:val="000000"/>
              </w:rPr>
              <w:t>数量</w:t>
            </w:r>
          </w:p>
        </w:tc>
        <w:tc>
          <w:tcPr>
            <w:tcW w:w="709" w:type="dxa"/>
            <w:shd w:val="clear" w:color="auto" w:fill="FFE599"/>
            <w:noWrap/>
            <w:tcMar>
              <w:top w:w="20" w:type="dxa"/>
              <w:left w:w="20" w:type="dxa"/>
              <w:bottom w:w="0" w:type="dxa"/>
              <w:right w:w="20" w:type="dxa"/>
            </w:tcMar>
            <w:vAlign w:val="center"/>
          </w:tcPr>
          <w:p>
            <w:pPr>
              <w:spacing w:line="320" w:lineRule="exact"/>
              <w:jc w:val="center"/>
              <w:rPr>
                <w:rFonts w:ascii="Calibri Light" w:hAnsi="Calibri Light" w:eastAsia="华文仿宋" w:cs="Calibri Light"/>
                <w:b/>
                <w:color w:val="000000"/>
              </w:rPr>
            </w:pPr>
            <w:r>
              <w:rPr>
                <w:rFonts w:ascii="Calibri Light" w:hAnsi="Calibri Light" w:eastAsia="华文仿宋" w:cs="Calibri Light"/>
                <w:b/>
                <w:color w:val="000000"/>
              </w:rPr>
              <w:t>单价</w:t>
            </w:r>
          </w:p>
        </w:tc>
        <w:tc>
          <w:tcPr>
            <w:tcW w:w="902" w:type="dxa"/>
            <w:shd w:val="clear" w:color="auto" w:fill="FFE599"/>
            <w:vAlign w:val="center"/>
          </w:tcPr>
          <w:p>
            <w:pPr>
              <w:spacing w:line="320" w:lineRule="exact"/>
              <w:jc w:val="center"/>
              <w:rPr>
                <w:rFonts w:ascii="Calibri Light" w:hAnsi="Calibri Light" w:eastAsia="华文仿宋" w:cs="Calibri Light"/>
                <w:b/>
                <w:color w:val="000000"/>
              </w:rPr>
            </w:pPr>
            <w:r>
              <w:rPr>
                <w:rFonts w:ascii="Calibri Light" w:hAnsi="Calibri Light" w:eastAsia="华文仿宋" w:cs="Calibri Light"/>
                <w:b/>
                <w:color w:val="000000"/>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58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24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4110"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709" w:type="dxa"/>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p>
        </w:tc>
        <w:tc>
          <w:tcPr>
            <w:tcW w:w="902" w:type="dxa"/>
            <w:vAlign w:val="center"/>
          </w:tcPr>
          <w:p>
            <w:pPr>
              <w:spacing w:line="440" w:lineRule="exact"/>
              <w:jc w:val="center"/>
              <w:rPr>
                <w:rFonts w:ascii="Calibri Light" w:hAnsi="Calibri Light" w:eastAsia="华文仿宋" w:cs="Calibri Light"/>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527" w:type="dxa"/>
            <w:gridSpan w:val="5"/>
            <w:noWrap/>
            <w:tcMar>
              <w:top w:w="20" w:type="dxa"/>
              <w:left w:w="20" w:type="dxa"/>
              <w:bottom w:w="0" w:type="dxa"/>
              <w:right w:w="20" w:type="dxa"/>
            </w:tcMar>
            <w:vAlign w:val="center"/>
          </w:tcPr>
          <w:p>
            <w:pPr>
              <w:spacing w:line="440" w:lineRule="exact"/>
              <w:jc w:val="center"/>
              <w:rPr>
                <w:rFonts w:ascii="Calibri Light" w:hAnsi="Calibri Light" w:eastAsia="华文仿宋" w:cs="Calibri Light"/>
                <w:b/>
                <w:bCs/>
                <w:color w:val="000000"/>
              </w:rPr>
            </w:pPr>
            <w:r>
              <w:rPr>
                <w:rFonts w:hint="eastAsia" w:ascii="Calibri Light" w:hAnsi="Calibri Light" w:eastAsia="华文仿宋" w:cs="Calibri Light"/>
                <w:b/>
                <w:bCs/>
                <w:color w:val="000000"/>
              </w:rPr>
              <w:t>合计</w:t>
            </w:r>
          </w:p>
        </w:tc>
        <w:tc>
          <w:tcPr>
            <w:tcW w:w="902" w:type="dxa"/>
            <w:vAlign w:val="center"/>
          </w:tcPr>
          <w:p>
            <w:pPr>
              <w:spacing w:line="440" w:lineRule="exact"/>
              <w:jc w:val="center"/>
              <w:rPr>
                <w:rFonts w:ascii="Calibri Light" w:hAnsi="Calibri Light" w:eastAsia="华文仿宋" w:cs="Calibri Light"/>
                <w:b/>
                <w:bCs/>
                <w:color w:val="000000"/>
              </w:rPr>
            </w:pPr>
          </w:p>
        </w:tc>
      </w:tr>
    </w:tbl>
    <w:p>
      <w:pPr>
        <w:spacing w:before="210" w:beforeLines="50" w:line="480" w:lineRule="exact"/>
        <w:rPr>
          <w:rFonts w:eastAsiaTheme="majorEastAsia" w:cstheme="minorHAnsi"/>
          <w:color w:val="FF0000"/>
          <w:sz w:val="28"/>
          <w:szCs w:val="28"/>
        </w:rPr>
      </w:pPr>
      <w:r>
        <w:rPr>
          <w:rFonts w:hint="eastAsia" w:eastAsiaTheme="majorEastAsia" w:cstheme="minorHAnsi"/>
          <w:color w:val="000000"/>
          <w:sz w:val="28"/>
          <w:szCs w:val="28"/>
        </w:rPr>
        <w:t>服务商：</w:t>
      </w:r>
      <w:r>
        <w:rPr>
          <w:rFonts w:hint="eastAsia" w:eastAsiaTheme="majorEastAsia" w:cstheme="minorHAnsi"/>
          <w:color w:val="FF0000"/>
          <w:sz w:val="28"/>
          <w:szCs w:val="28"/>
        </w:rPr>
        <w:t>（服务商全称并加盖公章）</w:t>
      </w:r>
    </w:p>
    <w:p>
      <w:pPr>
        <w:tabs>
          <w:tab w:val="right" w:pos="9070"/>
        </w:tabs>
        <w:spacing w:line="440" w:lineRule="exact"/>
        <w:rPr>
          <w:rFonts w:ascii="Calibri Light" w:hAnsi="Calibri Light" w:eastAsia="华文仿宋" w:cs="Calibri Light"/>
          <w:bCs/>
          <w:sz w:val="28"/>
          <w:szCs w:val="28"/>
        </w:rPr>
      </w:pPr>
    </w:p>
    <w:p>
      <w:pPr>
        <w:jc w:val="both"/>
        <w:rPr>
          <w:rFonts w:ascii="Calibri" w:hAnsi="Calibri" w:eastAsia="宋体"/>
          <w:kern w:val="24"/>
        </w:rPr>
      </w:pPr>
      <w:r>
        <w:rPr>
          <w:rFonts w:hint="eastAsia" w:ascii="Calibri" w:hAnsi="Calibri" w:eastAsia="宋体"/>
          <w:kern w:val="24"/>
        </w:rPr>
        <w:t>说明</w:t>
      </w:r>
      <w:r>
        <w:rPr>
          <w:rFonts w:ascii="Calibri" w:hAnsi="Calibri" w:eastAsia="宋体"/>
          <w:kern w:val="24"/>
        </w:rPr>
        <w:t>：1、</w:t>
      </w:r>
      <w:r>
        <w:rPr>
          <w:rFonts w:hint="eastAsia" w:ascii="Calibri" w:hAnsi="Calibri" w:eastAsia="宋体"/>
          <w:kern w:val="24"/>
        </w:rPr>
        <w:t>本表“合计”值应与开标一览表中的“投标报价（大写）”值一致。</w:t>
      </w:r>
    </w:p>
    <w:p>
      <w:pPr>
        <w:ind w:firstLine="720" w:firstLineChars="300"/>
        <w:jc w:val="both"/>
        <w:rPr>
          <w:rFonts w:ascii="Calibri" w:hAnsi="Calibri" w:eastAsia="宋体"/>
          <w:kern w:val="24"/>
        </w:rPr>
      </w:pPr>
      <w:r>
        <w:rPr>
          <w:rFonts w:ascii="Calibri" w:hAnsi="Calibri" w:eastAsia="宋体"/>
          <w:kern w:val="24"/>
        </w:rPr>
        <w:t>2、表格空间不足时，可自行扩展。</w:t>
      </w:r>
    </w:p>
    <w:p>
      <w:pPr>
        <w:rPr>
          <w:rFonts w:ascii="Calibri Light" w:hAnsi="Calibri Light" w:eastAsia="华文仿宋" w:cs="Calibri Light"/>
          <w:bCs/>
          <w:sz w:val="28"/>
          <w:szCs w:val="28"/>
        </w:rPr>
      </w:pPr>
      <w:r>
        <w:rPr>
          <w:rFonts w:ascii="Calibri Light" w:hAnsi="Calibri Light" w:eastAsia="华文仿宋" w:cs="Calibri Light"/>
          <w:bCs/>
          <w:sz w:val="28"/>
          <w:szCs w:val="28"/>
        </w:rPr>
        <w:br w:type="page"/>
      </w: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rFonts w:ascii="Calibri" w:hAnsi="Calibri" w:eastAsia="黑体"/>
          <w:kern w:val="28"/>
          <w:sz w:val="28"/>
        </w:rPr>
      </w:pPr>
      <w:r>
        <w:rPr>
          <w:rFonts w:hint="eastAsia" w:ascii="Calibri" w:hAnsi="Calibri" w:eastAsia="黑体"/>
          <w:kern w:val="28"/>
          <w:sz w:val="28"/>
        </w:rPr>
        <w:t>1．</w:t>
      </w:r>
      <w:r>
        <w:rPr>
          <w:rFonts w:ascii="Calibri" w:hAnsi="Calibri" w:eastAsia="黑体"/>
          <w:kern w:val="28"/>
          <w:sz w:val="28"/>
        </w:rPr>
        <w:t>有效的登记注册证</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2</w:t>
      </w:r>
      <w:r>
        <w:rPr>
          <w:rFonts w:hint="eastAsia" w:ascii="Calibri" w:hAnsi="Calibri" w:eastAsia="黑体"/>
          <w:kern w:val="28"/>
          <w:sz w:val="28"/>
        </w:rPr>
        <w:t>．</w:t>
      </w:r>
      <w:r>
        <w:rPr>
          <w:rFonts w:ascii="Calibri" w:hAnsi="Calibri" w:eastAsia="黑体"/>
          <w:kern w:val="28"/>
          <w:sz w:val="28"/>
        </w:rPr>
        <w:t>财务状况报告</w:t>
      </w:r>
    </w:p>
    <w:p>
      <w:pPr>
        <w:ind w:firstLine="480" w:firstLineChars="200"/>
        <w:jc w:val="both"/>
        <w:rPr>
          <w:rFonts w:ascii="Calibri" w:hAnsi="Calibri" w:eastAsia="宋体" w:cstheme="minorHAnsi"/>
          <w:i/>
          <w:color w:val="7030A0"/>
          <w:kern w:val="24"/>
        </w:rPr>
      </w:pPr>
      <w:r>
        <w:rPr>
          <w:rFonts w:hint="eastAsia" w:ascii="Calibri" w:hAnsi="Calibri" w:eastAsia="宋体" w:cstheme="minorHAnsi"/>
          <w:i/>
          <w:color w:val="7030A0"/>
          <w:kern w:val="24"/>
        </w:rPr>
        <w:t>说明：两种形式任选一种，其中采用第二种形式的供应商须按下方给定格式自行填写基本存款账户信息。</w:t>
      </w:r>
    </w:p>
    <w:p>
      <w:pPr>
        <w:spacing w:before="210" w:beforeLines="50"/>
        <w:jc w:val="center"/>
        <w:rPr>
          <w:rFonts w:ascii="黑体" w:hAnsi="黑体" w:eastAsia="黑体" w:cs="Calibri Light"/>
          <w:color w:val="1F4E79"/>
          <w:sz w:val="28"/>
          <w:szCs w:val="36"/>
        </w:rPr>
      </w:pPr>
      <w:r>
        <w:rPr>
          <w:rFonts w:hint="eastAsia" w:ascii="黑体" w:hAnsi="黑体" w:eastAsia="黑体" w:cs="Calibri Light"/>
          <w:color w:val="1F4E79"/>
          <w:sz w:val="28"/>
          <w:szCs w:val="36"/>
        </w:rPr>
        <w:t>『基本存款</w:t>
      </w:r>
      <w:r>
        <w:rPr>
          <w:rFonts w:ascii="黑体" w:hAnsi="黑体" w:eastAsia="黑体" w:cs="Calibri Light"/>
          <w:color w:val="1F4E79"/>
          <w:sz w:val="28"/>
          <w:szCs w:val="36"/>
        </w:rPr>
        <w:t>账户信息</w:t>
      </w:r>
      <w:r>
        <w:rPr>
          <w:rFonts w:hint="eastAsia" w:ascii="黑体" w:hAnsi="黑体" w:eastAsia="黑体" w:cs="Calibri Light"/>
          <w:color w:val="1F4E79"/>
          <w:sz w:val="28"/>
          <w:szCs w:val="36"/>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账户</w:t>
      </w:r>
      <w:r>
        <w:rPr>
          <w:rFonts w:ascii="Calibri" w:hAnsi="Calibri" w:eastAsia="宋体" w:cstheme="minorHAnsi"/>
          <w:color w:val="000000"/>
          <w:kern w:val="24"/>
        </w:rPr>
        <w:t>名称：</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账户</w:t>
      </w:r>
      <w:r>
        <w:rPr>
          <w:rFonts w:ascii="Calibri" w:hAnsi="Calibri" w:eastAsia="宋体" w:cstheme="minorHAnsi"/>
          <w:color w:val="000000"/>
          <w:kern w:val="24"/>
        </w:rPr>
        <w:t>号码：</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开户银行</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法定代表人（或单位负责人）：（</w:t>
      </w:r>
      <w:r>
        <w:rPr>
          <w:rFonts w:hint="eastAsia" w:ascii="Calibri" w:hAnsi="Calibri" w:eastAsia="宋体" w:cstheme="minorHAnsi"/>
          <w:color w:val="C00000"/>
          <w:kern w:val="24"/>
        </w:rPr>
        <w:t>签字或盖章</w:t>
      </w:r>
      <w:r>
        <w:rPr>
          <w:rFonts w:hint="eastAsia"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基本</w:t>
      </w:r>
      <w:r>
        <w:rPr>
          <w:rFonts w:ascii="Calibri" w:hAnsi="Calibri" w:eastAsia="宋体" w:cstheme="minorHAnsi"/>
          <w:color w:val="000000"/>
          <w:kern w:val="24"/>
        </w:rPr>
        <w:t>存款账户编号：</w:t>
      </w:r>
      <w:r>
        <w:rPr>
          <w:rFonts w:ascii="Calibri" w:hAnsi="Calibri" w:eastAsia="宋体" w:cstheme="minorHAnsi"/>
          <w:i/>
          <w:color w:val="7030A0"/>
          <w:kern w:val="24"/>
        </w:rPr>
        <w:t>向开户银行进行询问</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供应商：</w:t>
      </w:r>
      <w:r>
        <w:rPr>
          <w:rFonts w:ascii="Calibri" w:hAnsi="Calibri" w:eastAsia="宋体" w:cstheme="minorHAnsi"/>
          <w:color w:val="000000"/>
          <w:kern w:val="24"/>
        </w:rPr>
        <w:t>（</w:t>
      </w:r>
      <w:r>
        <w:rPr>
          <w:rFonts w:hint="eastAsia" w:ascii="Calibri" w:hAnsi="Calibri" w:eastAsia="宋体" w:cstheme="minorHAnsi"/>
          <w:color w:val="C00000"/>
          <w:kern w:val="24"/>
        </w:rPr>
        <w:t>供应商</w:t>
      </w:r>
      <w:r>
        <w:rPr>
          <w:rFonts w:ascii="Calibri" w:hAnsi="Calibri" w:eastAsia="宋体" w:cstheme="minorHAnsi"/>
          <w:color w:val="C00000"/>
          <w:kern w:val="24"/>
        </w:rPr>
        <w:t>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日期：　　年　月　日</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3</w:t>
      </w:r>
      <w:r>
        <w:rPr>
          <w:rFonts w:hint="eastAsia" w:ascii="Calibri" w:hAnsi="Calibri" w:eastAsia="黑体"/>
          <w:kern w:val="28"/>
          <w:sz w:val="28"/>
        </w:rPr>
        <w:t>．</w:t>
      </w:r>
      <w:r>
        <w:rPr>
          <w:rFonts w:ascii="Calibri" w:hAnsi="Calibri" w:eastAsia="黑体"/>
          <w:kern w:val="28"/>
          <w:sz w:val="28"/>
        </w:rPr>
        <w:t>社会保障资金缴纳证明</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4</w:t>
      </w:r>
      <w:r>
        <w:rPr>
          <w:rFonts w:hint="eastAsia" w:ascii="Calibri" w:hAnsi="Calibri" w:eastAsia="黑体"/>
          <w:kern w:val="28"/>
          <w:sz w:val="28"/>
        </w:rPr>
        <w:t>．</w:t>
      </w:r>
      <w:r>
        <w:rPr>
          <w:rFonts w:ascii="Calibri" w:hAnsi="Calibri" w:eastAsia="黑体"/>
          <w:kern w:val="28"/>
          <w:sz w:val="28"/>
        </w:rPr>
        <w:t>税收缴纳证明</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p>
    <w:p>
      <w:pPr>
        <w:keepNext/>
        <w:spacing w:before="120" w:after="60"/>
        <w:outlineLvl w:val="3"/>
        <w:rPr>
          <w:rFonts w:ascii="Calibri" w:hAnsi="Calibri" w:eastAsia="黑体"/>
          <w:kern w:val="28"/>
          <w:sz w:val="28"/>
        </w:rPr>
      </w:pPr>
      <w:r>
        <w:rPr>
          <w:rFonts w:ascii="Calibri" w:hAnsi="Calibri" w:eastAsia="黑体"/>
          <w:kern w:val="28"/>
          <w:sz w:val="28"/>
        </w:rPr>
        <w:t>5</w:t>
      </w:r>
      <w:r>
        <w:rPr>
          <w:rFonts w:hint="eastAsia" w:ascii="Calibri" w:hAnsi="Calibri" w:eastAsia="黑体"/>
          <w:kern w:val="28"/>
          <w:sz w:val="28"/>
        </w:rPr>
        <w:t>．</w:t>
      </w:r>
      <w:r>
        <w:rPr>
          <w:rFonts w:ascii="Calibri" w:hAnsi="Calibri" w:eastAsia="黑体"/>
          <w:kern w:val="28"/>
          <w:sz w:val="28"/>
        </w:rPr>
        <w:t>无重大违法记录声明</w:t>
      </w:r>
    </w:p>
    <w:p>
      <w:pPr>
        <w:ind w:firstLine="480" w:firstLineChars="200"/>
        <w:jc w:val="both"/>
        <w:rPr>
          <w:rFonts w:ascii="Calibri" w:hAnsi="Calibri" w:eastAsia="宋体" w:cstheme="minorHAnsi"/>
          <w:i/>
          <w:color w:val="7030A0"/>
          <w:kern w:val="24"/>
        </w:rPr>
      </w:pPr>
      <w:r>
        <w:rPr>
          <w:rFonts w:hint="eastAsia" w:ascii="Calibri" w:hAnsi="Calibri" w:eastAsia="宋体" w:cstheme="minorHAnsi"/>
          <w:i/>
          <w:color w:val="7030A0"/>
          <w:kern w:val="24"/>
        </w:rPr>
        <w:t>提示</w:t>
      </w:r>
      <w:r>
        <w:rPr>
          <w:rFonts w:ascii="Calibri" w:hAnsi="Calibri" w:eastAsia="宋体" w:cstheme="minorHAnsi"/>
          <w:i/>
          <w:color w:val="7030A0"/>
          <w:kern w:val="24"/>
        </w:rPr>
        <w:t>：</w:t>
      </w:r>
      <w:r>
        <w:rPr>
          <w:rFonts w:hint="eastAsia" w:ascii="Calibri" w:hAnsi="Calibri" w:eastAsia="宋体" w:cstheme="minorHAnsi"/>
          <w:i/>
          <w:color w:val="7030A0"/>
          <w:kern w:val="24"/>
        </w:rPr>
        <w:t>按下方给定格式进行填写</w:t>
      </w:r>
    </w:p>
    <w:p>
      <w:pPr>
        <w:ind w:firstLine="480" w:firstLineChars="200"/>
        <w:jc w:val="both"/>
        <w:rPr>
          <w:rFonts w:ascii="Calibri" w:hAnsi="Calibri" w:eastAsia="宋体" w:cstheme="minorHAnsi"/>
          <w:i/>
          <w:color w:val="7030A0"/>
          <w:kern w:val="24"/>
        </w:rPr>
      </w:pPr>
      <w:r>
        <w:rPr>
          <w:rFonts w:hint="eastAsia" w:ascii="Calibri" w:hAnsi="Calibri" w:eastAsia="宋体" w:cstheme="minorHAnsi"/>
          <w:i/>
          <w:color w:val="7030A0"/>
          <w:kern w:val="24"/>
        </w:rPr>
        <w:t>（1）供应商可通过【信用中国</w:t>
      </w:r>
      <w:r>
        <w:rPr>
          <w:rFonts w:ascii="Calibri" w:hAnsi="Calibri" w:eastAsia="宋体" w:cstheme="minorHAnsi"/>
          <w:i/>
          <w:color w:val="7030A0"/>
          <w:kern w:val="24"/>
        </w:rPr>
        <w:t>】</w:t>
      </w:r>
      <w:r>
        <w:rPr>
          <w:rFonts w:hint="eastAsia" w:ascii="Calibri" w:hAnsi="Calibri" w:eastAsia="宋体" w:cstheme="minorHAnsi"/>
          <w:i/>
          <w:color w:val="7030A0"/>
          <w:kern w:val="24"/>
        </w:rPr>
        <w:t>（</w:t>
      </w:r>
      <w:r>
        <w:rPr>
          <w:rFonts w:ascii="Calibri" w:hAnsi="Calibri" w:eastAsia="宋体" w:cstheme="minorHAnsi"/>
          <w:i/>
          <w:color w:val="7030A0"/>
          <w:kern w:val="24"/>
        </w:rPr>
        <w:t>www.creditchina.gov.cn）、【中国政府采购网】（www.ccgp.gov.cn）网站</w:t>
      </w:r>
      <w:r>
        <w:rPr>
          <w:rFonts w:hint="eastAsia" w:ascii="Calibri" w:hAnsi="Calibri" w:eastAsia="宋体" w:cstheme="minorHAnsi"/>
          <w:i/>
          <w:color w:val="7030A0"/>
          <w:kern w:val="24"/>
        </w:rPr>
        <w:t>对自身信用记录进行自查，并按查询结果填写下述声明。</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w:t>
      </w:r>
      <w:r>
        <w:rPr>
          <w:rFonts w:hint="eastAsia" w:ascii="Calibri" w:hAnsi="Calibri" w:eastAsia="宋体" w:cstheme="minorHAnsi"/>
          <w:i/>
          <w:color w:val="7030A0"/>
          <w:kern w:val="24"/>
        </w:rPr>
        <w:t>2</w:t>
      </w:r>
      <w:r>
        <w:rPr>
          <w:rFonts w:ascii="Calibri" w:hAnsi="Calibri" w:eastAsia="宋体" w:cstheme="minorHAnsi"/>
          <w:i/>
          <w:color w:val="7030A0"/>
          <w:kern w:val="24"/>
        </w:rPr>
        <w:t>）供应商在参加政府采购活动前</w:t>
      </w:r>
      <w:r>
        <w:rPr>
          <w:rFonts w:hint="eastAsia" w:ascii="Calibri" w:hAnsi="Calibri" w:eastAsia="宋体" w:cstheme="minorHAnsi"/>
          <w:i/>
          <w:color w:val="7030A0"/>
          <w:kern w:val="24"/>
        </w:rPr>
        <w:t>三</w:t>
      </w:r>
      <w:r>
        <w:rPr>
          <w:rFonts w:ascii="Calibri" w:hAnsi="Calibri" w:eastAsia="宋体" w:cstheme="minorHAnsi"/>
          <w:i/>
          <w:color w:val="7030A0"/>
          <w:kern w:val="24"/>
        </w:rPr>
        <w:t>年内因违法经营被禁止在一定期限内参加政府采购活动，期限届满的，可以参加政府采购活动，但应提供期限届满的证明材料。</w:t>
      </w: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『无重大违法记录声明』</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ascii="Calibri" w:hAnsi="Calibri" w:eastAsia="宋体" w:cstheme="minorHAnsi"/>
          <w:color w:val="000000"/>
          <w:kern w:val="24"/>
        </w:rPr>
        <w:t>的投标</w:t>
      </w:r>
      <w:r>
        <w:rPr>
          <w:rFonts w:hint="eastAsia" w:ascii="Calibri" w:hAnsi="Calibri" w:eastAsia="宋体" w:cstheme="minorHAnsi"/>
          <w:color w:val="000000"/>
          <w:kern w:val="24"/>
        </w:rPr>
        <w:t>供应商</w:t>
      </w:r>
      <w:r>
        <w:rPr>
          <w:rFonts w:ascii="Calibri" w:hAnsi="Calibri" w:eastAsia="宋体" w:cstheme="minorHAnsi"/>
          <w:color w:val="000000"/>
          <w:kern w:val="24"/>
        </w:rPr>
        <w:t>，在此郑重声明：</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1</w:t>
      </w:r>
      <w:r>
        <w:rPr>
          <w:rFonts w:hint="eastAsia" w:ascii="Calibri" w:hAnsi="Calibri" w:eastAsia="宋体" w:cstheme="minorHAnsi"/>
          <w:color w:val="000000"/>
          <w:kern w:val="24"/>
        </w:rPr>
        <w:t>．</w:t>
      </w:r>
      <w:r>
        <w:rPr>
          <w:rFonts w:ascii="Calibri" w:hAnsi="Calibri" w:eastAsia="宋体" w:cstheme="minorHAnsi"/>
          <w:color w:val="000000"/>
          <w:kern w:val="24"/>
        </w:rPr>
        <w:t>在参加本次政府采购活动前3年内的经营活动中___（填“没有”或“有”）重大违法记录。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2</w:t>
      </w:r>
      <w:r>
        <w:rPr>
          <w:rFonts w:hint="eastAsia" w:ascii="Calibri" w:hAnsi="Calibri" w:eastAsia="宋体" w:cstheme="minorHAnsi"/>
          <w:color w:val="000000"/>
          <w:kern w:val="24"/>
        </w:rPr>
        <w:t>．</w:t>
      </w:r>
      <w:r>
        <w:rPr>
          <w:rFonts w:ascii="Calibri" w:hAnsi="Calibri" w:eastAsia="宋体" w:cstheme="minorHAnsi"/>
          <w:color w:val="000000"/>
          <w:kern w:val="24"/>
        </w:rPr>
        <w:t>我方___（填“未被列入”或“被列入”）失信被执行人名单。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3</w:t>
      </w:r>
      <w:r>
        <w:rPr>
          <w:rFonts w:hint="eastAsia" w:ascii="Calibri" w:hAnsi="Calibri" w:eastAsia="宋体" w:cstheme="minorHAnsi"/>
          <w:color w:val="000000"/>
          <w:kern w:val="24"/>
        </w:rPr>
        <w:t>．</w:t>
      </w:r>
      <w:r>
        <w:rPr>
          <w:rFonts w:ascii="Calibri" w:hAnsi="Calibri" w:eastAsia="宋体" w:cstheme="minorHAnsi"/>
          <w:color w:val="000000"/>
          <w:kern w:val="24"/>
        </w:rPr>
        <w:t>我方___（填“未被列入”或“被列入”）重大税收违法案件当事人名单。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4</w:t>
      </w:r>
      <w:r>
        <w:rPr>
          <w:rFonts w:hint="eastAsia" w:ascii="Calibri" w:hAnsi="Calibri" w:eastAsia="宋体" w:cstheme="minorHAnsi"/>
          <w:color w:val="000000"/>
          <w:kern w:val="24"/>
        </w:rPr>
        <w:t>．</w:t>
      </w:r>
      <w:r>
        <w:rPr>
          <w:rFonts w:ascii="Calibri" w:hAnsi="Calibri" w:eastAsia="宋体" w:cstheme="minorHAnsi"/>
          <w:color w:val="000000"/>
          <w:kern w:val="24"/>
        </w:rPr>
        <w:t>我方___（填“未被列入”或“被列入”）政府采购严重违法失信行为记录名单。</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如有不实，我方将无条件地退出本项目的采购活动，并遵照《政府采购法》有关“提供虚假材料的规定”接受处罚。</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特此声明。</w:t>
      </w:r>
    </w:p>
    <w:p>
      <w:pPr>
        <w:tabs>
          <w:tab w:val="center" w:pos="5812"/>
        </w:tabs>
        <w:jc w:val="both"/>
        <w:rPr>
          <w:rFonts w:ascii="Calibri" w:hAnsi="Calibri" w:eastAsia="宋体" w:cstheme="minorHAnsi"/>
          <w:color w:val="000000"/>
          <w:kern w:val="24"/>
        </w:rPr>
      </w:pPr>
      <w:r>
        <w:rPr>
          <w:rFonts w:ascii="Calibri" w:hAnsi="Calibri" w:eastAsia="宋体" w:cstheme="minorHAnsi"/>
          <w:color w:val="000000"/>
          <w:kern w:val="24"/>
        </w:rPr>
        <w:tab/>
      </w:r>
      <w:r>
        <w:rPr>
          <w:rFonts w:ascii="Calibri" w:hAnsi="Calibri" w:eastAsia="宋体" w:cstheme="minorHAnsi"/>
          <w:color w:val="000000"/>
          <w:kern w:val="24"/>
        </w:rPr>
        <w:t>供应商：（</w:t>
      </w:r>
      <w:r>
        <w:rPr>
          <w:rFonts w:ascii="Calibri" w:hAnsi="Calibri" w:eastAsia="宋体" w:cstheme="minorHAnsi"/>
          <w:color w:val="C00000"/>
          <w:kern w:val="24"/>
        </w:rPr>
        <w:t>供应商全称并加盖公章</w:t>
      </w:r>
      <w:r>
        <w:rPr>
          <w:rFonts w:ascii="Calibri" w:hAnsi="Calibri" w:eastAsia="宋体" w:cstheme="minorHAnsi"/>
          <w:color w:val="000000"/>
          <w:kern w:val="24"/>
        </w:rPr>
        <w:t>）</w:t>
      </w:r>
    </w:p>
    <w:p>
      <w:pPr>
        <w:tabs>
          <w:tab w:val="center" w:pos="5812"/>
        </w:tabs>
        <w:jc w:val="both"/>
        <w:rPr>
          <w:rFonts w:ascii="Calibri" w:hAnsi="Calibri" w:eastAsia="宋体" w:cstheme="minorHAnsi"/>
          <w:color w:val="000000"/>
          <w:kern w:val="24"/>
        </w:rPr>
      </w:pPr>
      <w:r>
        <w:rPr>
          <w:rFonts w:ascii="Calibri" w:hAnsi="Calibri" w:eastAsia="宋体" w:cstheme="minorHAnsi"/>
          <w:color w:val="000000"/>
          <w:kern w:val="24"/>
        </w:rPr>
        <w:tab/>
      </w: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tabs>
          <w:tab w:val="center" w:pos="6663"/>
        </w:tabs>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br w:type="page"/>
      </w:r>
    </w:p>
    <w:p>
      <w:pPr>
        <w:keepNext/>
        <w:spacing w:before="120" w:after="60"/>
        <w:outlineLvl w:val="3"/>
        <w:rPr>
          <w:rFonts w:ascii="Calibri" w:hAnsi="Calibri" w:eastAsia="黑体"/>
          <w:kern w:val="28"/>
          <w:sz w:val="28"/>
        </w:rPr>
      </w:pPr>
      <w:r>
        <w:rPr>
          <w:rFonts w:ascii="Calibri" w:hAnsi="Calibri" w:eastAsia="黑体"/>
          <w:kern w:val="28"/>
          <w:sz w:val="28"/>
        </w:rPr>
        <w:t>6</w:t>
      </w:r>
      <w:r>
        <w:rPr>
          <w:rFonts w:hint="eastAsia" w:ascii="Calibri" w:hAnsi="Calibri" w:eastAsia="黑体"/>
          <w:kern w:val="28"/>
          <w:sz w:val="28"/>
        </w:rPr>
        <w:t>．法定代表人（负责人）委托授权书\身份证明</w:t>
      </w:r>
    </w:p>
    <w:p>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法定代表人（负责人）委托代理人参加投标时，提供法定代表人（负责人）委托授权书；法定代表人（负责人）亲自参加投标时，提供法定代表人（负责人）身份证明。</w:t>
      </w:r>
    </w:p>
    <w:p>
      <w:pPr>
        <w:ind w:firstLine="480" w:firstLineChars="200"/>
        <w:jc w:val="both"/>
        <w:rPr>
          <w:rFonts w:ascii="Calibri" w:hAnsi="Calibri" w:eastAsia="宋体" w:cstheme="minorHAnsi"/>
          <w:color w:val="000000"/>
          <w:kern w:val="24"/>
        </w:rPr>
      </w:pP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『法定代表人（负责人）</w:t>
      </w:r>
      <w:r>
        <w:rPr>
          <w:rFonts w:hint="eastAsia" w:ascii="黑体" w:hAnsi="黑体" w:eastAsia="黑体" w:cs="Calibri Light"/>
          <w:color w:val="1F4E79"/>
          <w:sz w:val="28"/>
          <w:szCs w:val="36"/>
        </w:rPr>
        <w:t>身份证明</w:t>
      </w:r>
      <w:r>
        <w:rPr>
          <w:rFonts w:ascii="黑体" w:hAnsi="黑体" w:eastAsia="黑体" w:cs="Calibri Light"/>
          <w:color w:val="1F4E79"/>
          <w:sz w:val="28"/>
          <w:szCs w:val="36"/>
        </w:rPr>
        <w:t>』（格式）</w:t>
      </w:r>
    </w:p>
    <w:p>
      <w:r>
        <w:rPr>
          <w:rFonts w:hint="eastAsia"/>
        </w:rPr>
        <w:t>西安市市级单位政府采购中心</w:t>
      </w:r>
      <w:r>
        <w:rPr>
          <w:rFonts w:cstheme="minorHAnsi"/>
          <w:color w:val="000000"/>
        </w:rPr>
        <w:t>：</w:t>
      </w:r>
    </w:p>
    <w:p>
      <w:pPr>
        <w:spacing w:after="210" w:afterLines="50"/>
        <w:ind w:firstLine="480" w:firstLineChars="200"/>
      </w:pPr>
      <w:r>
        <w:rPr>
          <w:rFonts w:cstheme="minorHAnsi"/>
          <w:color w:val="1F4E79"/>
          <w:u w:val="single"/>
        </w:rPr>
        <w:t>〈法定代表人（负责人）姓名〉</w:t>
      </w:r>
      <w:r>
        <w:t>系</w:t>
      </w:r>
      <w:r>
        <w:rPr>
          <w:rFonts w:cstheme="minorHAnsi"/>
          <w:color w:val="C00000"/>
          <w:u w:val="single"/>
        </w:rPr>
        <w:t>〈供应商全称〉</w:t>
      </w:r>
      <w:r>
        <w:t>的法定代表人（负责人），特此证明。</w:t>
      </w:r>
    </w:p>
    <w:tbl>
      <w:tblPr>
        <w:tblStyle w:val="32"/>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3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10" w:beforeLines="50"/>
        <w:jc w:val="center"/>
        <w:rPr>
          <w:rFonts w:ascii="黑体" w:hAnsi="黑体" w:eastAsia="黑体" w:cs="Calibri Light"/>
          <w:color w:val="1F4E79"/>
          <w:sz w:val="28"/>
          <w:szCs w:val="36"/>
        </w:rPr>
      </w:pPr>
      <w:r>
        <w:rPr>
          <w:rFonts w:ascii="黑体" w:hAnsi="黑体" w:eastAsia="黑体" w:cs="Calibri Light"/>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现委派</w:t>
      </w:r>
      <w:r>
        <w:rPr>
          <w:rFonts w:ascii="Calibri" w:hAnsi="Calibri" w:eastAsia="宋体" w:cstheme="minorHAnsi"/>
          <w:color w:val="1F4E79"/>
          <w:kern w:val="24"/>
          <w:u w:val="single"/>
        </w:rPr>
        <w:t>〈代理人姓名〉</w:t>
      </w:r>
      <w:r>
        <w:rPr>
          <w:rFonts w:hint="eastAsia" w:ascii="Calibri" w:hAnsi="Calibri" w:eastAsia="宋体"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rPr>
        <w:t>的</w:t>
      </w:r>
      <w:r>
        <w:rPr>
          <w:rFonts w:hint="eastAsia" w:ascii="Calibri" w:hAnsi="Calibri" w:eastAsia="宋体" w:cstheme="minorHAnsi"/>
          <w:color w:val="000000"/>
          <w:kern w:val="24"/>
        </w:rPr>
        <w:t>政府采购活动，以我方名义签署、澄清、确认、递交、撤回、修改投标文件，签订合同和全权处理一切与之有关的事宜，其法律后果由我方承担。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本授权有效期与投标文件有效期一致。代理人无转委托权。</w:t>
      </w:r>
    </w:p>
    <w:p>
      <w:pPr>
        <w:tabs>
          <w:tab w:val="left" w:pos="5387"/>
        </w:tabs>
        <w:spacing w:before="21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代理人姓名：_________________________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1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3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委托代理人</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color w:val="C0000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color w:val="C00000"/>
          <w:kern w:val="24"/>
        </w:rPr>
        <w:t>供应商</w:t>
      </w:r>
      <w:r>
        <w:rPr>
          <w:rFonts w:ascii="Calibri" w:hAnsi="Calibri" w:eastAsiaTheme="majorEastAsia" w:cstheme="minorHAnsi"/>
          <w:color w:val="C0000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keepNext/>
        <w:spacing w:before="120" w:after="60"/>
        <w:outlineLvl w:val="3"/>
        <w:rPr>
          <w:color w:val="000000"/>
        </w:rPr>
      </w:pPr>
      <w:r>
        <w:rPr>
          <w:rFonts w:ascii="Calibri" w:hAnsi="Calibri" w:eastAsia="宋体" w:cstheme="minorHAnsi"/>
          <w:color w:val="000000"/>
          <w:kern w:val="24"/>
        </w:rPr>
        <w:br w:type="page"/>
      </w:r>
    </w:p>
    <w:p>
      <w:pPr>
        <w:keepNext/>
        <w:spacing w:before="120" w:after="60"/>
        <w:outlineLvl w:val="2"/>
        <w:rPr>
          <w:rFonts w:ascii="Calibri" w:hAnsi="Calibri" w:eastAsia="黑体"/>
          <w:kern w:val="28"/>
          <w:sz w:val="28"/>
        </w:rPr>
      </w:pPr>
      <w:r>
        <w:rPr>
          <w:rFonts w:ascii="Calibri" w:hAnsi="Calibri" w:eastAsia="黑体"/>
          <w:kern w:val="28"/>
          <w:sz w:val="28"/>
        </w:rPr>
        <w:t>（二）落实</w:t>
      </w:r>
      <w:r>
        <w:rPr>
          <w:rFonts w:hint="eastAsia" w:ascii="Calibri" w:hAnsi="Calibri" w:eastAsia="黑体"/>
          <w:kern w:val="28"/>
          <w:sz w:val="28"/>
        </w:rPr>
        <w:t>采购政策需满足的资格条件</w:t>
      </w:r>
    </w:p>
    <w:p>
      <w:pPr>
        <w:pStyle w:val="48"/>
        <w:wordWrap/>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专面</w:t>
      </w:r>
      <w:r>
        <w:rPr>
          <w:rFonts w:asciiTheme="minorEastAsia" w:hAnsiTheme="minorEastAsia" w:eastAsiaTheme="minorEastAsia"/>
          <w:color w:val="FF0000"/>
          <w:sz w:val="24"/>
          <w:szCs w:val="24"/>
        </w:rPr>
        <w:t>中</w:t>
      </w:r>
      <w:r>
        <w:rPr>
          <w:rFonts w:hint="eastAsia" w:asciiTheme="minorEastAsia" w:hAnsiTheme="minorEastAsia" w:eastAsiaTheme="minorEastAsia"/>
          <w:color w:val="FF0000"/>
          <w:sz w:val="24"/>
          <w:szCs w:val="24"/>
        </w:rPr>
        <w:t>小：</w:t>
      </w:r>
      <w:r>
        <w:rPr>
          <w:rFonts w:asciiTheme="minorEastAsia" w:hAnsiTheme="minorEastAsia" w:eastAsiaTheme="minorEastAsia"/>
          <w:color w:val="FF0000"/>
          <w:sz w:val="24"/>
          <w:szCs w:val="24"/>
        </w:rPr>
        <w:t>（</w:t>
      </w:r>
      <w:r>
        <w:rPr>
          <w:rFonts w:hint="eastAsia" w:asciiTheme="minorEastAsia" w:hAnsiTheme="minorEastAsia" w:eastAsiaTheme="minorEastAsia"/>
          <w:color w:val="FF0000"/>
          <w:sz w:val="24"/>
          <w:szCs w:val="24"/>
        </w:rPr>
        <w:t>1</w:t>
      </w:r>
      <w:r>
        <w:rPr>
          <w:rFonts w:asciiTheme="minorEastAsia" w:hAnsiTheme="minorEastAsia" w:eastAsiaTheme="minorEastAsia"/>
          <w:color w:val="FF0000"/>
          <w:sz w:val="24"/>
          <w:szCs w:val="24"/>
        </w:rPr>
        <w:t>）服务商</w:t>
      </w:r>
      <w:r>
        <w:rPr>
          <w:rFonts w:hint="eastAsia" w:asciiTheme="minorEastAsia" w:hAnsiTheme="minorEastAsia" w:eastAsiaTheme="minorEastAsia"/>
          <w:color w:val="FF0000"/>
          <w:sz w:val="24"/>
          <w:szCs w:val="24"/>
        </w:rPr>
        <w:t>为</w:t>
      </w:r>
      <w:r>
        <w:rPr>
          <w:rFonts w:asciiTheme="minorEastAsia" w:hAnsiTheme="minorEastAsia" w:eastAsiaTheme="minorEastAsia"/>
          <w:color w:val="FF0000"/>
          <w:sz w:val="24"/>
          <w:szCs w:val="24"/>
        </w:rPr>
        <w:t>中小企业</w:t>
      </w:r>
      <w:r>
        <w:rPr>
          <w:rFonts w:hint="eastAsia" w:asciiTheme="minorEastAsia" w:hAnsiTheme="minorEastAsia" w:eastAsiaTheme="minorEastAsia"/>
          <w:color w:val="FF0000"/>
          <w:sz w:val="24"/>
          <w:szCs w:val="24"/>
        </w:rPr>
        <w:t>或</w:t>
      </w:r>
      <w:r>
        <w:rPr>
          <w:rFonts w:asciiTheme="minorEastAsia" w:hAnsiTheme="minorEastAsia" w:eastAsiaTheme="minorEastAsia"/>
          <w:color w:val="FF0000"/>
          <w:sz w:val="24"/>
          <w:szCs w:val="24"/>
        </w:rPr>
        <w:t>残疾人福利性单位</w:t>
      </w:r>
      <w:r>
        <w:rPr>
          <w:rFonts w:hint="eastAsia" w:asciiTheme="minorEastAsia" w:hAnsiTheme="minorEastAsia" w:eastAsiaTheme="minorEastAsia"/>
          <w:color w:val="FF0000"/>
          <w:sz w:val="24"/>
          <w:szCs w:val="24"/>
        </w:rPr>
        <w:t>的</w:t>
      </w:r>
      <w:r>
        <w:rPr>
          <w:rFonts w:asciiTheme="minorEastAsia" w:hAnsiTheme="minorEastAsia" w:eastAsiaTheme="minorEastAsia"/>
          <w:color w:val="FF0000"/>
          <w:sz w:val="24"/>
          <w:szCs w:val="24"/>
        </w:rPr>
        <w:t>，应</w:t>
      </w:r>
      <w:r>
        <w:rPr>
          <w:rFonts w:hint="eastAsia" w:asciiTheme="minorEastAsia" w:hAnsiTheme="minorEastAsia" w:eastAsiaTheme="minorEastAsia"/>
          <w:color w:val="FF0000"/>
          <w:sz w:val="24"/>
          <w:szCs w:val="24"/>
        </w:rPr>
        <w:t>按</w:t>
      </w:r>
      <w:r>
        <w:rPr>
          <w:rFonts w:asciiTheme="minorEastAsia" w:hAnsiTheme="minorEastAsia" w:eastAsiaTheme="minorEastAsia"/>
          <w:color w:val="FF0000"/>
          <w:sz w:val="24"/>
          <w:szCs w:val="24"/>
        </w:rPr>
        <w:t>下文给定格式填写声明函；服务商为监狱企业</w:t>
      </w:r>
      <w:r>
        <w:rPr>
          <w:rFonts w:hint="eastAsia" w:asciiTheme="minorEastAsia" w:hAnsiTheme="minorEastAsia" w:eastAsiaTheme="minorEastAsia"/>
          <w:color w:val="FF0000"/>
          <w:sz w:val="24"/>
          <w:szCs w:val="24"/>
        </w:rPr>
        <w:t>的</w:t>
      </w:r>
      <w:r>
        <w:rPr>
          <w:rFonts w:asciiTheme="minorEastAsia" w:hAnsiTheme="minorEastAsia" w:eastAsiaTheme="minorEastAsia"/>
          <w:color w:val="FF0000"/>
          <w:sz w:val="24"/>
          <w:szCs w:val="24"/>
        </w:rPr>
        <w:t>，应当提供由省级以上监狱管理局、戒毒管理局（含新疆生产建设兵团）出具的属于监狱企业的证明</w:t>
      </w:r>
      <w:r>
        <w:rPr>
          <w:rFonts w:hint="eastAsia" w:asciiTheme="minorEastAsia" w:hAnsiTheme="minorEastAsia" w:eastAsiaTheme="minorEastAsia"/>
          <w:color w:val="FF0000"/>
          <w:sz w:val="24"/>
          <w:szCs w:val="24"/>
        </w:rPr>
        <w:t>函</w:t>
      </w:r>
      <w:r>
        <w:rPr>
          <w:rFonts w:asciiTheme="minorEastAsia" w:hAnsiTheme="minorEastAsia" w:eastAsiaTheme="minorEastAsia"/>
          <w:color w:val="FF0000"/>
          <w:sz w:val="24"/>
          <w:szCs w:val="24"/>
        </w:rPr>
        <w:t>（格式不</w:t>
      </w:r>
      <w:r>
        <w:rPr>
          <w:rFonts w:hint="eastAsia" w:asciiTheme="minorEastAsia" w:hAnsiTheme="minorEastAsia" w:eastAsiaTheme="minorEastAsia"/>
          <w:color w:val="FF0000"/>
          <w:sz w:val="24"/>
          <w:szCs w:val="24"/>
        </w:rPr>
        <w:t>限定</w:t>
      </w:r>
      <w:r>
        <w:rPr>
          <w:rFonts w:asciiTheme="minorEastAsia" w:hAnsiTheme="minorEastAsia" w:eastAsiaTheme="minorEastAsia"/>
          <w:color w:val="FF0000"/>
          <w:sz w:val="24"/>
          <w:szCs w:val="24"/>
        </w:rPr>
        <w:t>）。</w:t>
      </w:r>
    </w:p>
    <w:p>
      <w:pPr>
        <w:ind w:firstLine="480" w:firstLineChars="200"/>
        <w:rPr>
          <w:color w:val="FF0000"/>
        </w:rPr>
      </w:pPr>
      <w:r>
        <w:rPr>
          <w:rFonts w:asciiTheme="minorEastAsia" w:hAnsiTheme="minorEastAsia"/>
          <w:color w:val="FF0000"/>
        </w:rPr>
        <w:t>注：</w:t>
      </w:r>
      <w:r>
        <w:rPr>
          <w:rFonts w:hint="eastAsia"/>
          <w:color w:val="00B050"/>
        </w:rPr>
        <w:t>联合体各方均为中小企业的，联合体视同中小企业。其中，联合体各方均为小微企业的，联合体视同小微企业。</w:t>
      </w:r>
    </w:p>
    <w:p>
      <w:pPr>
        <w:pStyle w:val="48"/>
        <w:wordWrap/>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（2）未按上述要求提供声明函\证明函的，其投标文件无效</w:t>
      </w:r>
      <w:r>
        <w:rPr>
          <w:rFonts w:asciiTheme="minorEastAsia" w:hAnsiTheme="minorEastAsia" w:eastAsiaTheme="minorEastAsia"/>
          <w:sz w:val="24"/>
          <w:szCs w:val="24"/>
        </w:rPr>
        <w:t>。</w:t>
      </w:r>
    </w:p>
    <w:p>
      <w:pPr>
        <w:pStyle w:val="48"/>
        <w:wordWrap/>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3</w:t>
      </w:r>
      <w:r>
        <w:rPr>
          <w:rFonts w:asciiTheme="minorEastAsia" w:hAnsiTheme="minorEastAsia" w:eastAsiaTheme="minorEastAsia"/>
          <w:sz w:val="24"/>
          <w:szCs w:val="24"/>
        </w:rPr>
        <w:t>）服务商性质将随</w:t>
      </w:r>
      <w:r>
        <w:rPr>
          <w:rFonts w:hint="eastAsia" w:asciiTheme="minorEastAsia" w:hAnsiTheme="minorEastAsia" w:eastAsiaTheme="minorEastAsia"/>
          <w:sz w:val="24"/>
          <w:szCs w:val="24"/>
        </w:rPr>
        <w:t>中标</w:t>
      </w:r>
      <w:r>
        <w:rPr>
          <w:rFonts w:asciiTheme="minorEastAsia" w:hAnsiTheme="minorEastAsia" w:eastAsiaTheme="minorEastAsia"/>
          <w:sz w:val="24"/>
          <w:szCs w:val="24"/>
        </w:rPr>
        <w:t>公告一同公布，接受社会监督。</w:t>
      </w:r>
    </w:p>
    <w:p>
      <w:pPr>
        <w:tabs>
          <w:tab w:val="left" w:pos="5670"/>
        </w:tabs>
        <w:jc w:val="center"/>
        <w:rPr>
          <w:rFonts w:ascii="Calibri" w:hAnsi="Calibri" w:eastAsia="黑体"/>
          <w:kern w:val="28"/>
          <w:sz w:val="28"/>
        </w:rPr>
      </w:pPr>
    </w:p>
    <w:p>
      <w:pPr>
        <w:tabs>
          <w:tab w:val="left" w:pos="5670"/>
        </w:tabs>
        <w:jc w:val="center"/>
        <w:rPr>
          <w:rFonts w:ascii="黑体" w:hAnsi="黑体" w:eastAsia="黑体" w:cs="Calibri Light"/>
          <w:color w:val="1F4E79"/>
          <w:sz w:val="28"/>
          <w:szCs w:val="36"/>
        </w:rPr>
      </w:pPr>
      <w:r>
        <w:rPr>
          <w:rFonts w:ascii="黑体" w:hAnsi="黑体" w:eastAsia="黑体" w:cs="Calibri Light"/>
          <w:color w:val="1F4E79"/>
          <w:sz w:val="28"/>
          <w:szCs w:val="36"/>
        </w:rPr>
        <w:t>『中小企业声明函』（服务类格式）</w:t>
      </w:r>
    </w:p>
    <w:p>
      <w:pPr>
        <w:ind w:firstLine="480" w:firstLineChars="200"/>
      </w:pPr>
      <w:r>
        <w:t>本公司（联合体）郑重声明，根据《政府采购促进中小企业发展管理办法》（财库〔2020〕46号）的规定，本公司（联合体）参加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t>的采购活动，服务全部由符合政策要求的中小企业承接。相关企业（含联合体中的中小企业、签订分包意向协议的中小企业）的具体情况如下：</w:t>
      </w:r>
    </w:p>
    <w:p>
      <w:pPr>
        <w:ind w:firstLine="480" w:firstLineChars="200"/>
        <w:rPr>
          <w:u w:color="000000" w:themeColor="text1"/>
        </w:rPr>
      </w:pPr>
      <w:r>
        <w:rPr>
          <w:u w:color="000000" w:themeColor="text1"/>
        </w:rPr>
        <w:t>1、</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pPr>
        <w:ind w:firstLine="480" w:firstLineChars="200"/>
        <w:rPr>
          <w:u w:color="000000" w:themeColor="text1"/>
        </w:rPr>
      </w:pPr>
      <w:r>
        <w:rPr>
          <w:u w:color="000000" w:themeColor="text1"/>
        </w:rPr>
        <w:t>2、</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pPr>
        <w:ind w:firstLine="480" w:firstLineChars="200"/>
      </w:pPr>
      <w:r>
        <w:t>……</w:t>
      </w:r>
    </w:p>
    <w:p>
      <w:pPr>
        <w:ind w:firstLine="480" w:firstLineChars="200"/>
      </w:pPr>
      <w:r>
        <w:t>以上企业，不属于大企业的分支机构，不存在控股股东为大企业的情形，也不存在与大企业的负责人为同一人的情形。</w:t>
      </w:r>
    </w:p>
    <w:p>
      <w:pPr>
        <w:ind w:firstLine="480" w:firstLineChars="200"/>
      </w:pPr>
      <w:r>
        <w:t>本企业对上述声明内容的真实性负责。如有虚假，将依法承担相应责任。</w:t>
      </w:r>
    </w:p>
    <w:p>
      <w:pPr>
        <w:ind w:firstLine="480" w:firstLineChars="200"/>
      </w:pPr>
    </w:p>
    <w:p>
      <w:pPr>
        <w:tabs>
          <w:tab w:val="left" w:pos="5670"/>
        </w:tabs>
        <w:ind w:firstLine="480" w:firstLineChars="200"/>
        <w:rPr>
          <w:rFonts w:cs="Calibri Light"/>
          <w:color w:val="000000"/>
        </w:rPr>
      </w:pPr>
      <w:r>
        <w:rPr>
          <w:color w:val="000000"/>
        </w:rPr>
        <w:t>投标供应商：（</w:t>
      </w:r>
      <w:r>
        <w:rPr>
          <w:color w:val="C00000"/>
        </w:rPr>
        <w:t>供应商全称并加盖公章</w:t>
      </w:r>
      <w:r>
        <w:rPr>
          <w:color w:val="000000"/>
        </w:rPr>
        <w:t>）</w:t>
      </w:r>
    </w:p>
    <w:p>
      <w:pPr>
        <w:tabs>
          <w:tab w:val="left" w:pos="5670"/>
        </w:tabs>
        <w:ind w:firstLine="480" w:firstLineChars="200"/>
        <w:rPr>
          <w:rFonts w:cs="Calibri Light"/>
          <w:color w:val="000000"/>
        </w:rPr>
      </w:pPr>
      <w:r>
        <w:rPr>
          <w:rFonts w:cs="Calibri Light"/>
          <w:color w:val="000000"/>
        </w:rPr>
        <w:t>日　期：　　年　月　日</w:t>
      </w:r>
    </w:p>
    <w:p>
      <w:pPr>
        <w:pStyle w:val="48"/>
        <w:spacing w:before="240" w:after="240" w:line="240" w:lineRule="auto"/>
        <w:ind w:firstLine="480" w:firstLineChars="200"/>
        <w:rPr>
          <w:rFonts w:asciiTheme="minorEastAsia" w:hAnsiTheme="minorEastAsia" w:eastAsiaTheme="minorEastAsia"/>
          <w:color w:val="FF0000"/>
          <w:sz w:val="24"/>
          <w:szCs w:val="24"/>
        </w:rPr>
      </w:pPr>
      <w:r>
        <w:rPr>
          <w:rFonts w:asciiTheme="minorEastAsia" w:hAnsiTheme="minorEastAsia" w:eastAsiaTheme="minorEastAsia"/>
          <w:color w:val="7030A0"/>
          <w:sz w:val="24"/>
          <w:szCs w:val="24"/>
        </w:rPr>
        <w:t>说明：①</w:t>
      </w:r>
      <w:r>
        <w:rPr>
          <w:rFonts w:hint="eastAsia" w:asciiTheme="minorEastAsia" w:hAnsiTheme="minorEastAsia" w:eastAsiaTheme="minorEastAsia"/>
          <w:color w:val="FF0000"/>
          <w:sz w:val="24"/>
          <w:szCs w:val="24"/>
        </w:rPr>
        <w:t>声明函中的中小企业指的是货物制造商、工程承建商或服务承接商。特别地，对于货物类项目，供应商希望获得政府采购优惠政策支持的，应从制造商处获得充分、准确的信息。</w:t>
      </w:r>
    </w:p>
    <w:p>
      <w:pPr>
        <w:pStyle w:val="48"/>
        <w:spacing w:line="240" w:lineRule="auto"/>
        <w:ind w:firstLine="480" w:firstLineChars="200"/>
        <w:rPr>
          <w:rFonts w:asciiTheme="minorEastAsia" w:hAnsiTheme="minorEastAsia" w:eastAsiaTheme="minorEastAsia"/>
          <w:color w:val="7030A0"/>
          <w:sz w:val="24"/>
          <w:szCs w:val="24"/>
        </w:rPr>
      </w:pPr>
      <w:r>
        <w:rPr>
          <w:rFonts w:hint="eastAsia" w:asciiTheme="minorEastAsia" w:hAnsiTheme="minorEastAsia" w:eastAsiaTheme="minorEastAsia"/>
          <w:color w:val="7030A0"/>
          <w:sz w:val="24"/>
          <w:szCs w:val="24"/>
        </w:rPr>
        <w:t>②声明函中“</w:t>
      </w:r>
      <w:r>
        <w:rPr>
          <w:rFonts w:asciiTheme="minorEastAsia" w:hAnsiTheme="minorEastAsia" w:eastAsiaTheme="minorEastAsia"/>
          <w:color w:val="7030A0"/>
          <w:sz w:val="24"/>
          <w:szCs w:val="24"/>
        </w:rPr>
        <w:t>从业人员</w:t>
      </w:r>
      <w:r>
        <w:rPr>
          <w:rFonts w:hint="eastAsia" w:asciiTheme="minorEastAsia" w:hAnsiTheme="minorEastAsia" w:eastAsiaTheme="minorEastAsia"/>
          <w:color w:val="7030A0"/>
          <w:sz w:val="24"/>
          <w:szCs w:val="24"/>
        </w:rPr>
        <w:t>”</w:t>
      </w:r>
      <w:r>
        <w:rPr>
          <w:rFonts w:asciiTheme="minorEastAsia" w:hAnsiTheme="minorEastAsia" w:eastAsiaTheme="minorEastAsia"/>
          <w:color w:val="7030A0"/>
          <w:sz w:val="24"/>
          <w:szCs w:val="24"/>
        </w:rPr>
        <w:t>、</w:t>
      </w:r>
      <w:r>
        <w:rPr>
          <w:rFonts w:hint="eastAsia" w:asciiTheme="minorEastAsia" w:hAnsiTheme="minorEastAsia" w:eastAsiaTheme="minorEastAsia"/>
          <w:color w:val="7030A0"/>
          <w:sz w:val="24"/>
          <w:szCs w:val="24"/>
        </w:rPr>
        <w:t>“</w:t>
      </w:r>
      <w:r>
        <w:rPr>
          <w:rFonts w:asciiTheme="minorEastAsia" w:hAnsiTheme="minorEastAsia" w:eastAsiaTheme="minorEastAsia"/>
          <w:color w:val="7030A0"/>
          <w:sz w:val="24"/>
          <w:szCs w:val="24"/>
        </w:rPr>
        <w:t>营业收入</w:t>
      </w:r>
      <w:r>
        <w:rPr>
          <w:rFonts w:hint="eastAsia" w:asciiTheme="minorEastAsia" w:hAnsiTheme="minorEastAsia" w:eastAsiaTheme="minorEastAsia"/>
          <w:color w:val="7030A0"/>
          <w:sz w:val="24"/>
          <w:szCs w:val="24"/>
        </w:rPr>
        <w:t>”</w:t>
      </w:r>
      <w:r>
        <w:rPr>
          <w:rFonts w:asciiTheme="minorEastAsia" w:hAnsiTheme="minorEastAsia" w:eastAsiaTheme="minorEastAsia"/>
          <w:color w:val="7030A0"/>
          <w:sz w:val="24"/>
          <w:szCs w:val="24"/>
        </w:rPr>
        <w:t>、</w:t>
      </w:r>
      <w:r>
        <w:rPr>
          <w:rFonts w:hint="eastAsia" w:asciiTheme="minorEastAsia" w:hAnsiTheme="minorEastAsia" w:eastAsiaTheme="minorEastAsia"/>
          <w:color w:val="7030A0"/>
          <w:sz w:val="24"/>
          <w:szCs w:val="24"/>
        </w:rPr>
        <w:t>“</w:t>
      </w:r>
      <w:r>
        <w:rPr>
          <w:rFonts w:asciiTheme="minorEastAsia" w:hAnsiTheme="minorEastAsia" w:eastAsiaTheme="minorEastAsia"/>
          <w:color w:val="7030A0"/>
          <w:sz w:val="24"/>
          <w:szCs w:val="24"/>
        </w:rPr>
        <w:t>资产总额</w:t>
      </w:r>
      <w:r>
        <w:rPr>
          <w:rFonts w:hint="eastAsia" w:asciiTheme="minorEastAsia" w:hAnsiTheme="minorEastAsia" w:eastAsiaTheme="minorEastAsia"/>
          <w:color w:val="7030A0"/>
          <w:sz w:val="24"/>
          <w:szCs w:val="24"/>
        </w:rPr>
        <w:t>”</w:t>
      </w:r>
      <w:r>
        <w:rPr>
          <w:rFonts w:asciiTheme="minorEastAsia" w:hAnsiTheme="minorEastAsia" w:eastAsiaTheme="minorEastAsia"/>
          <w:color w:val="7030A0"/>
          <w:sz w:val="24"/>
          <w:szCs w:val="24"/>
        </w:rPr>
        <w:t>填报上一年度数据，无上一年度数据的新成立企业可不填报</w:t>
      </w:r>
      <w:r>
        <w:rPr>
          <w:rFonts w:hint="eastAsia" w:asciiTheme="minorEastAsia" w:hAnsiTheme="minorEastAsia" w:eastAsiaTheme="minorEastAsia"/>
          <w:color w:val="7030A0"/>
          <w:sz w:val="24"/>
          <w:szCs w:val="24"/>
        </w:rPr>
        <w:t>。</w:t>
      </w:r>
    </w:p>
    <w:p>
      <w:pPr>
        <w:pStyle w:val="48"/>
        <w:spacing w:line="240" w:lineRule="auto"/>
        <w:ind w:firstLine="480" w:firstLineChars="200"/>
        <w:rPr>
          <w:rFonts w:asciiTheme="minorEastAsia" w:hAnsiTheme="minorEastAsia" w:eastAsiaTheme="minorEastAsia"/>
          <w:color w:val="7030A0"/>
          <w:sz w:val="24"/>
          <w:szCs w:val="24"/>
        </w:rPr>
      </w:pPr>
      <w:r>
        <w:rPr>
          <w:rFonts w:hint="eastAsia" w:asciiTheme="minorEastAsia" w:hAnsiTheme="minorEastAsia" w:eastAsiaTheme="minorEastAsia"/>
          <w:color w:val="7030A0"/>
          <w:sz w:val="24"/>
          <w:szCs w:val="24"/>
        </w:rPr>
        <w:t>③依据</w:t>
      </w:r>
      <w:r>
        <w:rPr>
          <w:rFonts w:asciiTheme="minorEastAsia" w:hAnsiTheme="minorEastAsia" w:eastAsiaTheme="minorEastAsia"/>
          <w:color w:val="7030A0"/>
          <w:sz w:val="24"/>
          <w:szCs w:val="24"/>
        </w:rPr>
        <w:t>工业和信息化部、国家统计局、国家发展和改革委员会、财政部《关于印发中小企业划型标准规定的通知》（工信部联企业〔2011〕300号），本项目〈采购标的〉对应的中小企业划分标准所属行业为：</w:t>
      </w:r>
      <w:r>
        <w:rPr>
          <w:rFonts w:hint="eastAsia" w:asciiTheme="minorEastAsia" w:hAnsiTheme="minorEastAsia" w:eastAsiaTheme="minorEastAsia"/>
          <w:color w:val="7030A0"/>
          <w:sz w:val="24"/>
          <w:szCs w:val="24"/>
        </w:rPr>
        <w:t>见《前附表》</w:t>
      </w:r>
      <w:r>
        <w:rPr>
          <w:rFonts w:asciiTheme="minorEastAsia" w:hAnsiTheme="minorEastAsia" w:eastAsiaTheme="minorEastAsia"/>
          <w:color w:val="7030A0"/>
          <w:sz w:val="24"/>
          <w:szCs w:val="24"/>
        </w:rPr>
        <w:t>。</w:t>
      </w:r>
    </w:p>
    <w:p>
      <w:pPr>
        <w:tabs>
          <w:tab w:val="left" w:pos="5670"/>
        </w:tabs>
        <w:rPr>
          <w:rFonts w:cs="Calibri Light"/>
          <w:color w:val="000000"/>
        </w:rPr>
      </w:pPr>
    </w:p>
    <w:p>
      <w:pPr>
        <w:jc w:val="center"/>
        <w:rPr>
          <w:rFonts w:ascii="黑体" w:hAnsi="黑体" w:eastAsia="黑体" w:cs="Calibri Light"/>
          <w:color w:val="1F4E79"/>
          <w:sz w:val="28"/>
          <w:szCs w:val="36"/>
        </w:rPr>
      </w:pPr>
      <w:r>
        <w:rPr>
          <w:rFonts w:ascii="黑体" w:hAnsi="黑体" w:eastAsia="黑体" w:cs="Calibri Light"/>
          <w:color w:val="1F4E79"/>
          <w:sz w:val="28"/>
          <w:szCs w:val="36"/>
        </w:rPr>
        <w:t>『残疾人福利性单位声明函』（格式）</w:t>
      </w:r>
    </w:p>
    <w:p>
      <w:pPr>
        <w:ind w:firstLine="480" w:firstLineChars="200"/>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rPr>
          <w:rFonts w:cstheme="minorHAnsi"/>
          <w:color w:val="000000"/>
        </w:rPr>
      </w:pPr>
      <w:r>
        <w:rPr>
          <w:rFonts w:cstheme="minorHAnsi"/>
          <w:color w:val="000000"/>
        </w:rPr>
        <w:t>本单位对上述声明的真实性负责。如有虚假，将依法承担相应责任。</w:t>
      </w:r>
    </w:p>
    <w:p>
      <w:pPr>
        <w:ind w:firstLine="480" w:firstLineChars="200"/>
        <w:rPr>
          <w:rFonts w:cstheme="minorHAnsi"/>
          <w:color w:val="000000"/>
        </w:rPr>
      </w:pPr>
    </w:p>
    <w:p>
      <w:pPr>
        <w:ind w:firstLine="480" w:firstLineChars="200"/>
        <w:rPr>
          <w:rFonts w:cstheme="minorHAnsi"/>
        </w:rPr>
      </w:pPr>
      <w:r>
        <w:rPr>
          <w:rFonts w:cstheme="minorHAnsi"/>
          <w:color w:val="000000"/>
        </w:rPr>
        <w:t>供应商：（</w:t>
      </w:r>
      <w:r>
        <w:rPr>
          <w:rFonts w:cstheme="minorHAnsi"/>
          <w:color w:val="C00000"/>
        </w:rPr>
        <w:t>供应商全称并加盖公章</w:t>
      </w:r>
      <w:r>
        <w:rPr>
          <w:rFonts w:cstheme="minorHAnsi"/>
          <w:color w:val="000000"/>
        </w:rPr>
        <w:t>）</w:t>
      </w:r>
    </w:p>
    <w:p>
      <w:pPr>
        <w:tabs>
          <w:tab w:val="left" w:pos="5670"/>
        </w:tabs>
        <w:ind w:firstLine="480" w:firstLineChars="200"/>
        <w:rPr>
          <w:rFonts w:cstheme="minorHAnsi"/>
          <w:color w:val="000000"/>
        </w:rPr>
      </w:pPr>
      <w:r>
        <w:rPr>
          <w:rFonts w:cstheme="minorHAnsi"/>
          <w:color w:val="000000"/>
        </w:rPr>
        <w:t>日　期：　　年　月　日</w:t>
      </w:r>
    </w:p>
    <w:p>
      <w:pPr>
        <w:tabs>
          <w:tab w:val="left" w:pos="5670"/>
        </w:tabs>
        <w:rPr>
          <w:rFonts w:cstheme="minorHAnsi"/>
          <w:color w:val="000000"/>
        </w:rPr>
      </w:pPr>
    </w:p>
    <w:p>
      <w:pPr>
        <w:tabs>
          <w:tab w:val="left" w:pos="5670"/>
        </w:tabs>
        <w:ind w:firstLine="480" w:firstLineChars="200"/>
        <w:rPr>
          <w:rFonts w:ascii="黑体" w:hAnsi="黑体" w:eastAsia="黑体" w:cs="Calibri Light"/>
          <w:color w:val="1F4E79"/>
          <w:sz w:val="28"/>
          <w:szCs w:val="36"/>
        </w:rPr>
      </w:pPr>
      <w:r>
        <w:rPr>
          <w:rFonts w:cstheme="minorHAnsi"/>
          <w:color w:val="7030A0"/>
        </w:rPr>
        <w:t>说明：供应商在填报前请认真阅读《财政部、民政部、中国残疾人联合会关于促进残疾人就业政府采购政策的通知》</w:t>
      </w:r>
      <w:r>
        <w:rPr>
          <w:rFonts w:hint="eastAsia"/>
          <w:color w:val="7030A0"/>
        </w:rPr>
        <w:t>（财库〔2017〕141号）</w:t>
      </w:r>
      <w:r>
        <w:rPr>
          <w:rFonts w:cstheme="minorHAnsi"/>
          <w:color w:val="7030A0"/>
        </w:rPr>
        <w:t>。</w:t>
      </w:r>
    </w:p>
    <w:p>
      <w:pPr>
        <w:tabs>
          <w:tab w:val="left" w:pos="5670"/>
        </w:tabs>
        <w:rPr>
          <w:rFonts w:cstheme="minorHAnsi"/>
          <w:color w:val="000000"/>
        </w:rPr>
      </w:pPr>
    </w:p>
    <w:p>
      <w:pPr>
        <w:jc w:val="center"/>
        <w:rPr>
          <w:rFonts w:ascii="黑体" w:hAnsi="黑体" w:eastAsia="黑体" w:cs="Calibri Light"/>
          <w:color w:val="1F4E79"/>
          <w:sz w:val="28"/>
          <w:szCs w:val="36"/>
        </w:rPr>
      </w:pPr>
      <w:r>
        <w:rPr>
          <w:rFonts w:ascii="黑体" w:hAnsi="黑体" w:eastAsia="黑体" w:cs="Calibri Light"/>
          <w:color w:val="1F4E79"/>
          <w:sz w:val="28"/>
          <w:szCs w:val="36"/>
        </w:rPr>
        <w:t>『监狱企业证明函』</w:t>
      </w:r>
    </w:p>
    <w:p>
      <w:pPr>
        <w:ind w:firstLine="480" w:firstLineChars="200"/>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exact"/>
        <w:ind w:firstLine="480" w:firstLineChars="200"/>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pPr>
        <w:ind w:firstLine="480" w:firstLineChars="200"/>
        <w:rPr>
          <w:color w:val="7030A0"/>
        </w:rPr>
      </w:pPr>
      <w:r>
        <w:rPr>
          <w:rFonts w:cstheme="minorHAnsi"/>
          <w:color w:val="7030A0"/>
        </w:rPr>
        <w:t>说明：供应商在填报前请认真阅读</w:t>
      </w:r>
      <w:r>
        <w:rPr>
          <w:rFonts w:hint="eastAsia"/>
          <w:color w:val="7030A0"/>
        </w:rPr>
        <w:t>《关于政府采购支持监狱企业发展有关问题的通知》（财库〔2014〕68号）。</w:t>
      </w:r>
    </w:p>
    <w:p>
      <w:pPr>
        <w:rPr>
          <w:color w:val="7030A0"/>
        </w:rPr>
      </w:pPr>
      <w:r>
        <w:rPr>
          <w:color w:val="7030A0"/>
        </w:rPr>
        <w:br w:type="page"/>
      </w:r>
    </w:p>
    <w:p>
      <w:pPr>
        <w:keepNext/>
        <w:spacing w:before="120" w:after="60"/>
        <w:outlineLvl w:val="2"/>
        <w:rPr>
          <w:rFonts w:ascii="Calibri" w:hAnsi="Calibri" w:eastAsia="黑体"/>
          <w:kern w:val="28"/>
          <w:sz w:val="28"/>
        </w:rPr>
      </w:pPr>
      <w:r>
        <w:rPr>
          <w:rFonts w:hint="eastAsia" w:ascii="Calibri" w:hAnsi="Calibri" w:eastAsia="黑体"/>
          <w:kern w:val="28"/>
          <w:sz w:val="28"/>
        </w:rPr>
        <w:t>（三）其他</w:t>
      </w:r>
      <w:r>
        <w:rPr>
          <w:rFonts w:ascii="Calibri" w:hAnsi="Calibri" w:eastAsia="黑体"/>
          <w:kern w:val="28"/>
          <w:sz w:val="28"/>
        </w:rPr>
        <w:t>特定资格条件（</w:t>
      </w:r>
      <w:r>
        <w:rPr>
          <w:rFonts w:hint="eastAsia" w:ascii="Calibri" w:hAnsi="Calibri" w:eastAsia="黑体"/>
          <w:kern w:val="28"/>
          <w:sz w:val="28"/>
        </w:rPr>
        <w:t>如有</w:t>
      </w:r>
      <w:r>
        <w:rPr>
          <w:rFonts w:ascii="Calibri" w:hAnsi="Calibri" w:eastAsia="黑体"/>
          <w:kern w:val="28"/>
          <w:sz w:val="28"/>
        </w:rPr>
        <w:t>）</w:t>
      </w:r>
    </w:p>
    <w:p>
      <w:pPr>
        <w:rPr>
          <w:rFonts w:ascii="Calibri" w:hAnsi="Calibri" w:eastAsia="黑体"/>
          <w:kern w:val="28"/>
          <w:sz w:val="28"/>
        </w:rPr>
      </w:pPr>
      <w:r>
        <w:rPr>
          <w:rFonts w:ascii="Calibri" w:hAnsi="Calibri" w:eastAsia="黑体"/>
          <w:kern w:val="28"/>
          <w:sz w:val="28"/>
        </w:rPr>
        <w:br w:type="page"/>
      </w:r>
    </w:p>
    <w:p>
      <w:pPr>
        <w:keepNext/>
        <w:spacing w:before="210" w:beforeLines="50" w:after="21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cs="Segoe UI Symbol"/>
          <w:color w:val="C00000"/>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的各项实质性要求</w:t>
      </w:r>
      <w:r>
        <w:rPr>
          <w:rFonts w:ascii="Calibri" w:hAnsi="Calibri" w:eastAsia="宋体" w:cstheme="minorHAnsi"/>
          <w:i/>
          <w:color w:val="7030A0"/>
          <w:kern w:val="24"/>
        </w:rPr>
        <w:t>作出响应，若招标文件未设置实质性条款，则请忽略此表。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tcBorders>
              <w:top w:val="single" w:color="auto" w:sz="1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tcBorders>
              <w:top w:val="single" w:color="auto" w:sz="12" w:space="0"/>
              <w:bottom w:val="single" w:color="auto" w:sz="4"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tcBorders>
              <w:top w:val="single" w:color="auto" w:sz="12" w:space="0"/>
              <w:bottom w:val="single" w:color="auto" w:sz="4"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tcBorders>
              <w:top w:val="single" w:color="auto" w:sz="1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tcBorders>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tcBorders>
              <w:top w:val="single" w:color="auto" w:sz="4"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tcBorders>
              <w:top w:val="single" w:color="auto" w:sz="4"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tcBorders>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tcBorders>
              <w:top w:val="single" w:color="auto" w:sz="2" w:space="0"/>
            </w:tcBorders>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示例：</w:t>
            </w:r>
          </w:p>
        </w:tc>
        <w:tc>
          <w:tcPr>
            <w:tcW w:w="3283" w:type="dxa"/>
            <w:tcBorders>
              <w:top w:val="single" w:color="auto" w:sz="2" w:space="0"/>
            </w:tcBorders>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某单位购买扫描设备</w:t>
            </w:r>
          </w:p>
        </w:tc>
        <w:tc>
          <w:tcPr>
            <w:tcW w:w="3276" w:type="dxa"/>
            <w:tcBorders>
              <w:top w:val="single" w:color="auto" w:sz="2" w:space="0"/>
            </w:tcBorders>
            <w:vAlign w:val="center"/>
          </w:tcPr>
          <w:p>
            <w:pPr>
              <w:spacing w:line="320" w:lineRule="exact"/>
              <w:rPr>
                <w:rFonts w:eastAsia="宋体" w:asciiTheme="majorHAnsi" w:hAnsiTheme="majorHAnsi" w:cstheme="minorHAnsi"/>
                <w:color w:val="7030A0"/>
                <w:sz w:val="21"/>
              </w:rPr>
            </w:pPr>
          </w:p>
        </w:tc>
        <w:tc>
          <w:tcPr>
            <w:tcW w:w="1458" w:type="dxa"/>
            <w:tcBorders>
              <w:top w:val="single" w:color="auto" w:sz="2" w:space="0"/>
            </w:tcBorders>
            <w:vAlign w:val="center"/>
          </w:tcPr>
          <w:p>
            <w:pPr>
              <w:spacing w:line="320" w:lineRule="exact"/>
              <w:jc w:val="center"/>
              <w:rPr>
                <w:rFonts w:eastAsia="宋体" w:asciiTheme="majorHAnsi" w:hAnsiTheme="majorHAnsi" w:cstheme="minorHAnsi"/>
                <w:color w:val="7030A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1</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平均无故障时间：≥500小时</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平均无故障时间：</w:t>
            </w:r>
            <w:r>
              <w:rPr>
                <w:rFonts w:hint="eastAsia" w:eastAsia="宋体" w:asciiTheme="majorHAnsi" w:hAnsiTheme="majorHAnsi" w:cstheme="minorHAnsi"/>
                <w:color w:val="7030A0"/>
                <w:sz w:val="21"/>
              </w:rPr>
              <w:t>600小时</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2</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扫描速度：每分钟</w:t>
            </w:r>
            <w:r>
              <w:rPr>
                <w:rFonts w:hint="eastAsia" w:eastAsia="宋体" w:asciiTheme="majorHAnsi" w:hAnsiTheme="majorHAnsi" w:cstheme="minorHAnsi"/>
                <w:color w:val="7030A0"/>
                <w:sz w:val="21"/>
              </w:rPr>
              <w:t>25页以上</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扫描速度：每分钟</w:t>
            </w:r>
            <w:r>
              <w:rPr>
                <w:rFonts w:hint="eastAsia" w:eastAsia="宋体" w:asciiTheme="majorHAnsi" w:hAnsiTheme="majorHAnsi" w:cstheme="minorHAnsi"/>
                <w:color w:val="7030A0"/>
                <w:sz w:val="21"/>
              </w:rPr>
              <w:t>25页</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3</w:t>
            </w:r>
          </w:p>
        </w:tc>
        <w:tc>
          <w:tcPr>
            <w:tcW w:w="3283" w:type="dxa"/>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扫描方式：</w:t>
            </w:r>
            <w:r>
              <w:rPr>
                <w:rFonts w:hint="eastAsia" w:eastAsia="宋体" w:asciiTheme="majorHAnsi" w:hAnsiTheme="majorHAnsi" w:cstheme="minorHAnsi"/>
                <w:color w:val="7030A0"/>
                <w:sz w:val="21"/>
              </w:rPr>
              <w:t>双面高速扫描</w:t>
            </w:r>
          </w:p>
        </w:tc>
        <w:tc>
          <w:tcPr>
            <w:tcW w:w="3276" w:type="dxa"/>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扫描方式：单面高速扫描</w:t>
            </w:r>
          </w:p>
        </w:tc>
        <w:tc>
          <w:tcPr>
            <w:tcW w:w="1458" w:type="dxa"/>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r>
              <w:rPr>
                <w:rFonts w:eastAsia="宋体" w:asciiTheme="majorHAnsi" w:hAnsiTheme="majorHAnsi" w:cstheme="minorHAnsi"/>
                <w:color w:val="7030A0"/>
                <w:sz w:val="21"/>
              </w:rPr>
              <w:t>…</w:t>
            </w: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7030A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eastAsia="宋体" w:asciiTheme="majorHAnsi" w:hAnsiTheme="majorHAnsi" w:cstheme="minorHAnsi"/>
                <w:color w:val="FF0000"/>
                <w:sz w:val="21"/>
              </w:rPr>
            </w:pPr>
          </w:p>
        </w:tc>
        <w:tc>
          <w:tcPr>
            <w:tcW w:w="3283" w:type="dxa"/>
            <w:vAlign w:val="center"/>
          </w:tcPr>
          <w:p>
            <w:pPr>
              <w:spacing w:line="320" w:lineRule="exact"/>
              <w:rPr>
                <w:rFonts w:eastAsia="宋体" w:asciiTheme="majorHAnsi" w:hAnsiTheme="majorHAnsi" w:cstheme="minorHAnsi"/>
                <w:color w:val="FF0000"/>
                <w:sz w:val="21"/>
              </w:rPr>
            </w:pPr>
          </w:p>
        </w:tc>
        <w:tc>
          <w:tcPr>
            <w:tcW w:w="3276" w:type="dxa"/>
            <w:vAlign w:val="center"/>
          </w:tcPr>
          <w:p>
            <w:pPr>
              <w:spacing w:line="320" w:lineRule="exact"/>
              <w:rPr>
                <w:rFonts w:eastAsia="宋体" w:asciiTheme="majorHAnsi" w:hAnsiTheme="majorHAnsi" w:cstheme="minorHAnsi"/>
                <w:color w:val="FF0000"/>
                <w:sz w:val="21"/>
              </w:rPr>
            </w:pPr>
          </w:p>
        </w:tc>
        <w:tc>
          <w:tcPr>
            <w:tcW w:w="1458" w:type="dxa"/>
            <w:vAlign w:val="center"/>
          </w:tcPr>
          <w:p>
            <w:pPr>
              <w:spacing w:line="320" w:lineRule="exact"/>
              <w:jc w:val="center"/>
              <w:rPr>
                <w:rFonts w:eastAsia="宋体" w:asciiTheme="majorHAnsi" w:hAnsiTheme="majorHAnsi" w:cstheme="minorHAnsi"/>
                <w:color w:val="FF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vAlign w:val="center"/>
          </w:tcPr>
          <w:p>
            <w:pPr>
              <w:spacing w:line="320" w:lineRule="exact"/>
              <w:ind w:left="284" w:hanging="284"/>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pPr>
              <w:spacing w:line="320" w:lineRule="exact"/>
              <w:ind w:left="158" w:hanging="158"/>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1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19" w:type="default"/>
          <w:footerReference r:id="rId20"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pPr>
        <w:keepNext/>
        <w:spacing w:before="120" w:after="60"/>
        <w:outlineLvl w:val="2"/>
        <w:rPr>
          <w:rFonts w:ascii="Calibri" w:hAnsi="Calibri" w:eastAsia="黑体"/>
          <w:kern w:val="28"/>
          <w:sz w:val="28"/>
        </w:rPr>
      </w:pPr>
      <w:r>
        <w:rPr>
          <w:rFonts w:ascii="Calibri" w:hAnsi="Calibri" w:eastAsia="黑体"/>
          <w:kern w:val="28"/>
          <w:sz w:val="28"/>
        </w:rPr>
        <w:t>（一）技术条款响应（</w:t>
      </w:r>
      <w:r>
        <w:rPr>
          <w:rFonts w:ascii="Calibri" w:hAnsi="Calibri" w:eastAsia="黑体"/>
          <w:color w:val="C00000"/>
          <w:kern w:val="28"/>
          <w:sz w:val="28"/>
        </w:rPr>
        <w:t>暗标盲评部分</w:t>
      </w:r>
      <w:r>
        <w:rPr>
          <w:rFonts w:ascii="Calibri" w:hAnsi="Calibri" w:eastAsia="黑体"/>
          <w:kern w:val="28"/>
          <w:sz w:val="28"/>
        </w:rPr>
        <w:t>）</w:t>
      </w:r>
    </w:p>
    <w:p>
      <w:pPr>
        <w:tabs>
          <w:tab w:val="center" w:pos="4395"/>
        </w:tabs>
        <w:rPr>
          <w:i/>
          <w:color w:val="C00000"/>
        </w:rPr>
      </w:pPr>
      <w:r>
        <w:rPr>
          <w:rFonts w:hint="eastAsia"/>
          <w:i/>
          <w:color w:val="C00000"/>
        </w:rPr>
        <w:t>①请按照招标文件第二章“七、评审方法和程序”的“（二）评标形式”中的暗标盲评部分的响应要求进行编制，否则，其投标视为无效。</w:t>
      </w:r>
    </w:p>
    <w:p>
      <w:pPr>
        <w:rPr>
          <w:i/>
          <w:color w:val="C00000"/>
        </w:rPr>
      </w:pPr>
      <w:r>
        <w:rPr>
          <w:rFonts w:hint="eastAsia"/>
          <w:i/>
          <w:color w:val="C00000"/>
        </w:rPr>
        <w:t>②暗标盲评部分的响应内容必须在“（一）技术条款响应”下完整体现，不允许引用其他响应部分的内容。</w:t>
      </w:r>
    </w:p>
    <w:p>
      <w:pPr>
        <w:jc w:val="center"/>
        <w:rPr>
          <w:rFonts w:ascii="Calibri" w:hAnsi="Calibri" w:eastAsia="宋体" w:cstheme="minorHAnsi"/>
          <w:b/>
          <w:color w:val="000000"/>
          <w:kern w:val="24"/>
        </w:rPr>
      </w:pPr>
      <w:r>
        <w:rPr>
          <w:rFonts w:ascii="Calibri" w:hAnsi="Calibri" w:eastAsia="宋体" w:cstheme="minorHAnsi"/>
          <w:b/>
          <w:color w:val="000000"/>
          <w:kern w:val="24"/>
        </w:rPr>
        <w:t>1、技术（服务）非实质性</w:t>
      </w:r>
      <w:r>
        <w:rPr>
          <w:rFonts w:hint="eastAsia" w:ascii="Calibri" w:hAnsi="Calibri" w:eastAsia="宋体" w:cstheme="minorHAnsi"/>
          <w:b/>
          <w:color w:val="000000"/>
          <w:kern w:val="24"/>
        </w:rPr>
        <w:t>条款偏差表</w:t>
      </w:r>
    </w:p>
    <w:tbl>
      <w:tblPr>
        <w:tblStyle w:val="3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8"/>
        <w:gridCol w:w="3208"/>
        <w:gridCol w:w="334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49"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16" w:type="dxa"/>
            <w:gridSpan w:val="2"/>
            <w:shd w:val="clear" w:color="auto" w:fill="F1F1F1" w:themeFill="background1" w:themeFillShade="F2"/>
            <w:vAlign w:val="center"/>
          </w:tcPr>
          <w:p>
            <w:pPr>
              <w:spacing w:line="320" w:lineRule="exact"/>
              <w:ind w:firstLine="738" w:firstLineChars="350"/>
              <w:rPr>
                <w:rFonts w:ascii="Calibri" w:hAnsi="宋体" w:eastAsia="宋体" w:cstheme="minorHAnsi"/>
                <w:b/>
                <w:sz w:val="21"/>
              </w:rPr>
            </w:pPr>
            <w:r>
              <w:rPr>
                <w:rFonts w:hint="eastAsia" w:ascii="Calibri" w:hAnsi="宋体" w:eastAsia="宋体"/>
                <w:b/>
                <w:sz w:val="21"/>
              </w:rPr>
              <w:t>招标文件</w:t>
            </w:r>
            <w:r>
              <w:rPr>
                <w:rFonts w:ascii="Calibri" w:hAnsi="宋体" w:eastAsia="宋体"/>
                <w:b/>
                <w:sz w:val="21"/>
              </w:rPr>
              <w:t>条款</w:t>
            </w:r>
            <w:r>
              <w:rPr>
                <w:rFonts w:hint="eastAsia" w:ascii="Calibri" w:hAnsi="宋体" w:eastAsia="宋体"/>
                <w:b/>
                <w:sz w:val="21"/>
              </w:rPr>
              <w:t>明细</w:t>
            </w:r>
          </w:p>
        </w:tc>
        <w:tc>
          <w:tcPr>
            <w:tcW w:w="3345"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投标</w:t>
            </w:r>
            <w:r>
              <w:rPr>
                <w:rFonts w:ascii="Calibri" w:hAnsi="宋体" w:eastAsia="宋体" w:cstheme="minorHAnsi"/>
                <w:b/>
                <w:sz w:val="21"/>
              </w:rPr>
              <w:t>文件</w:t>
            </w:r>
            <w:r>
              <w:rPr>
                <w:rFonts w:hint="eastAsia" w:ascii="Calibri" w:hAnsi="宋体" w:eastAsia="宋体" w:cstheme="minorHAnsi"/>
                <w:b/>
                <w:sz w:val="21"/>
              </w:rPr>
              <w:t>具体响应内容或索引</w:t>
            </w:r>
          </w:p>
        </w:tc>
        <w:tc>
          <w:tcPr>
            <w:tcW w:w="1520"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gridSpan w:val="2"/>
            <w:vAlign w:val="center"/>
          </w:tcPr>
          <w:p>
            <w:pPr>
              <w:spacing w:line="440" w:lineRule="exact"/>
              <w:rPr>
                <w:rFonts w:cstheme="minorHAnsi"/>
                <w:sz w:val="21"/>
                <w:szCs w:val="21"/>
              </w:rPr>
            </w:pPr>
          </w:p>
        </w:tc>
        <w:tc>
          <w:tcPr>
            <w:tcW w:w="3208" w:type="dxa"/>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gridSpan w:val="2"/>
            <w:vAlign w:val="center"/>
          </w:tcPr>
          <w:p>
            <w:pPr>
              <w:spacing w:line="440" w:lineRule="exact"/>
              <w:rPr>
                <w:rFonts w:cstheme="minorHAnsi"/>
                <w:sz w:val="21"/>
                <w:szCs w:val="21"/>
              </w:rPr>
            </w:pPr>
          </w:p>
        </w:tc>
        <w:tc>
          <w:tcPr>
            <w:tcW w:w="3208" w:type="dxa"/>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9" w:type="dxa"/>
            <w:vAlign w:val="center"/>
          </w:tcPr>
          <w:p>
            <w:pPr>
              <w:spacing w:line="440" w:lineRule="exact"/>
              <w:rPr>
                <w:rFonts w:cstheme="minorHAnsi"/>
                <w:sz w:val="21"/>
                <w:szCs w:val="21"/>
              </w:rPr>
            </w:pPr>
          </w:p>
        </w:tc>
        <w:tc>
          <w:tcPr>
            <w:tcW w:w="3216" w:type="dxa"/>
            <w:gridSpan w:val="2"/>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9" w:type="dxa"/>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81" w:type="dxa"/>
            <w:gridSpan w:val="4"/>
            <w:vAlign w:val="center"/>
          </w:tcPr>
          <w:p>
            <w:pPr>
              <w:spacing w:line="320" w:lineRule="exact"/>
              <w:ind w:left="284" w:hanging="284"/>
              <w:rPr>
                <w:rFonts w:ascii="Calibri" w:hAnsi="宋体" w:eastAsia="宋体" w:cstheme="minorHAnsi"/>
                <w:sz w:val="21"/>
              </w:rPr>
            </w:pPr>
            <w:r>
              <w:rPr>
                <w:rFonts w:ascii="Calibri" w:hAnsi="宋体" w:eastAsia="宋体" w:cstheme="minorHAnsi"/>
                <w:sz w:val="21"/>
              </w:rPr>
              <w:t xml:space="preserve">① </w:t>
            </w:r>
            <w:r>
              <w:rPr>
                <w:rFonts w:hint="eastAsia" w:ascii="Calibri" w:hAnsi="宋体" w:eastAsia="宋体" w:cstheme="minorHAnsi"/>
                <w:color w:val="FF0000"/>
                <w:sz w:val="21"/>
              </w:rPr>
              <w:t>只需对第三章</w:t>
            </w:r>
            <w:r>
              <w:rPr>
                <w:rFonts w:ascii="Calibri" w:hAnsi="宋体" w:eastAsia="宋体" w:cstheme="minorHAnsi"/>
                <w:color w:val="FF0000"/>
                <w:sz w:val="21"/>
              </w:rPr>
              <w:t>技术（服务）</w:t>
            </w:r>
            <w:r>
              <w:rPr>
                <w:rFonts w:hint="eastAsia" w:ascii="Calibri" w:hAnsi="宋体" w:eastAsia="宋体" w:cstheme="minorHAnsi"/>
                <w:color w:val="FF0000"/>
                <w:sz w:val="21"/>
              </w:rPr>
              <w:t>要求中的非实质性条款（未标注★的）作出响应。</w:t>
            </w:r>
            <w:r>
              <w:rPr>
                <w:rFonts w:ascii="Calibri" w:hAnsi="宋体" w:eastAsia="宋体" w:cstheme="minorHAnsi"/>
                <w:color w:val="FF0000"/>
                <w:sz w:val="21"/>
              </w:rPr>
              <w:t>表格行数不够时，请自行扩展。</w:t>
            </w:r>
          </w:p>
          <w:p>
            <w:pPr>
              <w:spacing w:line="320" w:lineRule="exact"/>
              <w:ind w:left="284" w:hanging="284"/>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应内容时，</w:t>
            </w:r>
            <w:r>
              <w:rPr>
                <w:rFonts w:hint="eastAsia" w:ascii="Calibri" w:hAnsi="宋体" w:eastAsia="宋体" w:cstheme="minorHAnsi"/>
                <w:sz w:val="21"/>
              </w:rPr>
              <w:t>允许在本表下方另附，但须在“响应内容或索引”中注明引用位置，如“见本表下方</w:t>
            </w:r>
            <w:r>
              <w:rPr>
                <w:rFonts w:ascii="Calibri" w:hAnsi="宋体" w:eastAsia="宋体" w:cstheme="minorHAnsi"/>
                <w:i/>
                <w:sz w:val="21"/>
              </w:rPr>
              <w:t>5.1.1 表题</w:t>
            </w:r>
            <w:r>
              <w:rPr>
                <w:rFonts w:hint="eastAsia" w:ascii="Calibri" w:hAnsi="宋体" w:eastAsia="宋体" w:cstheme="minorHAnsi"/>
                <w:sz w:val="21"/>
              </w:rPr>
              <w:t>”或“见本表下方</w:t>
            </w:r>
            <w:r>
              <w:rPr>
                <w:rFonts w:ascii="Calibri" w:hAnsi="宋体" w:eastAsia="宋体" w:cstheme="minorHAnsi"/>
                <w:i/>
                <w:sz w:val="21"/>
              </w:rPr>
              <w:t>5</w:t>
            </w:r>
            <w:r>
              <w:rPr>
                <w:rFonts w:hint="eastAsia" w:ascii="Calibri" w:hAnsi="宋体" w:eastAsia="宋体" w:cstheme="minorHAnsi"/>
                <w:i/>
                <w:sz w:val="21"/>
              </w:rPr>
              <w:t>-</w:t>
            </w:r>
            <w:r>
              <w:rPr>
                <w:rFonts w:ascii="Calibri" w:hAnsi="宋体" w:eastAsia="宋体" w:cstheme="minorHAnsi"/>
                <w:i/>
                <w:sz w:val="21"/>
              </w:rPr>
              <w:t>1-1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hint="eastAsia" w:ascii="Calibri" w:hAnsi="宋体" w:eastAsia="宋体" w:cstheme="minorHAnsi"/>
                <w:sz w:val="21"/>
              </w:rPr>
              <w:t>。</w:t>
            </w:r>
          </w:p>
        </w:tc>
      </w:tr>
    </w:tbl>
    <w:p>
      <w:pPr>
        <w:jc w:val="center"/>
        <w:rPr>
          <w:rFonts w:cstheme="minorHAnsi"/>
          <w:b/>
        </w:rPr>
      </w:pPr>
    </w:p>
    <w:p>
      <w:pPr>
        <w:jc w:val="center"/>
        <w:rPr>
          <w:rFonts w:cstheme="minorHAnsi"/>
          <w:b/>
        </w:rPr>
      </w:pPr>
      <w:r>
        <w:rPr>
          <w:rFonts w:cstheme="minorHAnsi"/>
          <w:b/>
        </w:rPr>
        <w:t>2</w:t>
      </w:r>
      <w:r>
        <w:rPr>
          <w:rFonts w:hint="eastAsia" w:cstheme="minorHAnsi"/>
          <w:b/>
        </w:rPr>
        <w:t>.</w:t>
      </w:r>
      <w:r>
        <w:rPr>
          <w:rFonts w:hint="eastAsia" w:cstheme="minorHAnsi"/>
          <w:b/>
          <w:i/>
        </w:rPr>
        <w:t>技术（服务）非实质性条款响应方案</w:t>
      </w:r>
    </w:p>
    <w:p>
      <w:pPr>
        <w:rPr>
          <w:i/>
          <w:color w:val="C00000"/>
        </w:rPr>
      </w:pPr>
      <w:r>
        <w:rPr>
          <w:rFonts w:hint="eastAsia"/>
          <w:i/>
          <w:color w:val="C00000"/>
        </w:rPr>
        <w:t>供应商结合第三章《招标内容及要求》相关要求及第二章《评审要素及分值一览表》暗标部分中各评审要素逐项编写方案。</w:t>
      </w:r>
    </w:p>
    <w:p>
      <w:pPr>
        <w:rPr>
          <w:b/>
        </w:rPr>
      </w:pPr>
      <w:r>
        <w:rPr>
          <w:rFonts w:hint="eastAsia"/>
          <w:b/>
        </w:rPr>
        <w:t>（1）总体管理方案：</w:t>
      </w:r>
    </w:p>
    <w:p>
      <w:pPr>
        <w:rPr>
          <w:b/>
        </w:rPr>
      </w:pPr>
    </w:p>
    <w:p>
      <w:pPr>
        <w:rPr>
          <w:b/>
        </w:rPr>
      </w:pPr>
    </w:p>
    <w:p>
      <w:pPr>
        <w:rPr>
          <w:b/>
        </w:rPr>
      </w:pPr>
      <w:r>
        <w:rPr>
          <w:b/>
        </w:rPr>
        <w:t>（</w:t>
      </w:r>
      <w:r>
        <w:rPr>
          <w:rFonts w:hint="eastAsia"/>
          <w:b/>
        </w:rPr>
        <w:t>2</w:t>
      </w:r>
      <w:r>
        <w:rPr>
          <w:b/>
        </w:rPr>
        <w:t>）</w:t>
      </w:r>
      <w:r>
        <w:rPr>
          <w:rFonts w:hint="eastAsia"/>
          <w:b/>
          <w:bCs/>
        </w:rPr>
        <w:t>绞车、索降培训总体方案</w:t>
      </w:r>
      <w:r>
        <w:rPr>
          <w:b/>
        </w:rPr>
        <w:t>：</w:t>
      </w:r>
    </w:p>
    <w:p>
      <w:pPr>
        <w:rPr>
          <w:b/>
        </w:rPr>
      </w:pPr>
    </w:p>
    <w:p>
      <w:pPr>
        <w:rPr>
          <w:b/>
        </w:rPr>
      </w:pPr>
    </w:p>
    <w:p>
      <w:pPr>
        <w:rPr>
          <w:b/>
        </w:rPr>
      </w:pPr>
      <w:r>
        <w:rPr>
          <w:b/>
        </w:rPr>
        <w:t>（</w:t>
      </w:r>
      <w:r>
        <w:rPr>
          <w:rFonts w:hint="eastAsia"/>
          <w:b/>
        </w:rPr>
        <w:t>3</w:t>
      </w:r>
      <w:r>
        <w:rPr>
          <w:b/>
        </w:rPr>
        <w:t>）应急预案：</w:t>
      </w:r>
    </w:p>
    <w:p>
      <w:pPr>
        <w:rPr>
          <w:b/>
        </w:rPr>
      </w:pPr>
    </w:p>
    <w:p>
      <w:pPr>
        <w:rPr>
          <w:b/>
        </w:rPr>
      </w:pPr>
    </w:p>
    <w:p>
      <w:pPr>
        <w:rPr>
          <w:rFonts w:cstheme="minorHAnsi"/>
          <w:b/>
          <w:color w:val="C00000"/>
        </w:rPr>
      </w:pPr>
    </w:p>
    <w:p>
      <w:pPr>
        <w:outlineLvl w:val="2"/>
        <w:rPr>
          <w:rFonts w:cstheme="minorHAnsi"/>
          <w:b/>
          <w:color w:val="C00000"/>
        </w:rPr>
      </w:pPr>
      <w:r>
        <w:rPr>
          <w:rFonts w:ascii="Calibri" w:hAnsi="Calibri" w:eastAsia="黑体"/>
          <w:kern w:val="28"/>
          <w:sz w:val="28"/>
        </w:rPr>
        <w:t>（二）商务条款响应</w:t>
      </w:r>
    </w:p>
    <w:p>
      <w:pPr>
        <w:jc w:val="center"/>
        <w:rPr>
          <w:rFonts w:ascii="Calibri" w:hAnsi="Calibri" w:eastAsia="宋体" w:cstheme="minorHAnsi"/>
          <w:b/>
          <w:color w:val="000000"/>
          <w:kern w:val="24"/>
        </w:rPr>
      </w:pPr>
      <w:r>
        <w:rPr>
          <w:rFonts w:ascii="Calibri" w:hAnsi="Calibri" w:eastAsia="宋体" w:cstheme="minorHAnsi"/>
          <w:b/>
          <w:color w:val="000000"/>
          <w:kern w:val="24"/>
        </w:rPr>
        <w:t>1、</w:t>
      </w:r>
      <w:r>
        <w:rPr>
          <w:rFonts w:hint="eastAsia" w:ascii="Calibri" w:hAnsi="Calibri" w:eastAsia="宋体" w:cstheme="minorHAnsi"/>
          <w:b/>
          <w:color w:val="000000"/>
          <w:kern w:val="24"/>
        </w:rPr>
        <w:t>商务</w:t>
      </w:r>
      <w:r>
        <w:rPr>
          <w:rFonts w:ascii="Calibri" w:hAnsi="Calibri" w:eastAsia="宋体" w:cstheme="minorHAnsi"/>
          <w:b/>
          <w:color w:val="000000"/>
          <w:kern w:val="24"/>
        </w:rPr>
        <w:t>要求</w:t>
      </w:r>
      <w:r>
        <w:rPr>
          <w:rFonts w:hint="eastAsia" w:ascii="Calibri" w:hAnsi="Calibri" w:eastAsia="宋体" w:cstheme="minorHAnsi"/>
          <w:b/>
          <w:color w:val="000000"/>
          <w:kern w:val="24"/>
        </w:rPr>
        <w:t>条款偏差表</w:t>
      </w:r>
    </w:p>
    <w:tbl>
      <w:tblPr>
        <w:tblStyle w:val="3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8"/>
        <w:gridCol w:w="3208"/>
        <w:gridCol w:w="334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49"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16" w:type="dxa"/>
            <w:gridSpan w:val="2"/>
            <w:shd w:val="clear" w:color="auto" w:fill="F1F1F1" w:themeFill="background1" w:themeFillShade="F2"/>
            <w:vAlign w:val="center"/>
          </w:tcPr>
          <w:p>
            <w:pPr>
              <w:spacing w:line="320" w:lineRule="exact"/>
              <w:ind w:firstLine="738" w:firstLineChars="350"/>
              <w:rPr>
                <w:rFonts w:ascii="Calibri" w:hAnsi="宋体" w:eastAsia="宋体" w:cstheme="minorHAnsi"/>
                <w:b/>
                <w:sz w:val="21"/>
              </w:rPr>
            </w:pPr>
            <w:r>
              <w:rPr>
                <w:rFonts w:hint="eastAsia" w:ascii="Calibri" w:hAnsi="宋体" w:eastAsia="宋体"/>
                <w:b/>
                <w:sz w:val="21"/>
              </w:rPr>
              <w:t>招标文件</w:t>
            </w:r>
            <w:r>
              <w:rPr>
                <w:rFonts w:ascii="Calibri" w:hAnsi="宋体" w:eastAsia="宋体"/>
                <w:b/>
                <w:sz w:val="21"/>
              </w:rPr>
              <w:t>条款</w:t>
            </w:r>
            <w:r>
              <w:rPr>
                <w:rFonts w:hint="eastAsia" w:ascii="Calibri" w:hAnsi="宋体" w:eastAsia="宋体"/>
                <w:b/>
                <w:sz w:val="21"/>
              </w:rPr>
              <w:t>明细</w:t>
            </w:r>
          </w:p>
        </w:tc>
        <w:tc>
          <w:tcPr>
            <w:tcW w:w="3345"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投标</w:t>
            </w:r>
            <w:r>
              <w:rPr>
                <w:rFonts w:ascii="Calibri" w:hAnsi="宋体" w:eastAsia="宋体" w:cstheme="minorHAnsi"/>
                <w:b/>
                <w:sz w:val="21"/>
              </w:rPr>
              <w:t>文件</w:t>
            </w:r>
            <w:r>
              <w:rPr>
                <w:rFonts w:hint="eastAsia" w:ascii="Calibri" w:hAnsi="宋体" w:eastAsia="宋体" w:cstheme="minorHAnsi"/>
                <w:b/>
                <w:sz w:val="21"/>
              </w:rPr>
              <w:t>具体响应内容或索引</w:t>
            </w:r>
          </w:p>
        </w:tc>
        <w:tc>
          <w:tcPr>
            <w:tcW w:w="1520"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gridSpan w:val="2"/>
            <w:vAlign w:val="center"/>
          </w:tcPr>
          <w:p>
            <w:pPr>
              <w:spacing w:line="440" w:lineRule="exact"/>
              <w:rPr>
                <w:rFonts w:cstheme="minorHAnsi"/>
                <w:sz w:val="21"/>
                <w:szCs w:val="21"/>
              </w:rPr>
            </w:pPr>
          </w:p>
        </w:tc>
        <w:tc>
          <w:tcPr>
            <w:tcW w:w="3208" w:type="dxa"/>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gridSpan w:val="2"/>
            <w:vAlign w:val="center"/>
          </w:tcPr>
          <w:p>
            <w:pPr>
              <w:spacing w:line="440" w:lineRule="exact"/>
              <w:rPr>
                <w:rFonts w:cstheme="minorHAnsi"/>
                <w:sz w:val="21"/>
                <w:szCs w:val="21"/>
              </w:rPr>
            </w:pPr>
          </w:p>
        </w:tc>
        <w:tc>
          <w:tcPr>
            <w:tcW w:w="3208" w:type="dxa"/>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9" w:type="dxa"/>
            <w:vAlign w:val="center"/>
          </w:tcPr>
          <w:p>
            <w:pPr>
              <w:spacing w:line="440" w:lineRule="exact"/>
              <w:rPr>
                <w:rFonts w:cstheme="minorHAnsi"/>
                <w:sz w:val="21"/>
                <w:szCs w:val="21"/>
              </w:rPr>
            </w:pPr>
          </w:p>
        </w:tc>
        <w:tc>
          <w:tcPr>
            <w:tcW w:w="3216" w:type="dxa"/>
            <w:gridSpan w:val="2"/>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9" w:type="dxa"/>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81" w:type="dxa"/>
            <w:gridSpan w:val="4"/>
            <w:vAlign w:val="center"/>
          </w:tcPr>
          <w:p>
            <w:pPr>
              <w:spacing w:line="320" w:lineRule="exact"/>
              <w:ind w:left="284" w:hanging="284"/>
              <w:rPr>
                <w:rFonts w:ascii="Calibri" w:hAnsi="宋体" w:eastAsia="宋体" w:cstheme="minorHAnsi"/>
                <w:sz w:val="21"/>
              </w:rPr>
            </w:pPr>
            <w:r>
              <w:rPr>
                <w:rFonts w:ascii="Calibri" w:hAnsi="宋体" w:eastAsia="宋体" w:cstheme="minorHAnsi"/>
                <w:sz w:val="21"/>
              </w:rPr>
              <w:t xml:space="preserve">① </w:t>
            </w:r>
            <w:r>
              <w:rPr>
                <w:rFonts w:hint="eastAsia" w:ascii="Calibri" w:hAnsi="宋体" w:eastAsia="宋体" w:cstheme="minorHAnsi"/>
                <w:color w:val="FF0000"/>
                <w:sz w:val="21"/>
              </w:rPr>
              <w:t>只需对第三章商务要求中的非实质性条款（未标注★的）作出响应。</w:t>
            </w:r>
            <w:r>
              <w:rPr>
                <w:rFonts w:ascii="Calibri" w:hAnsi="宋体" w:eastAsia="宋体" w:cstheme="minorHAnsi"/>
                <w:color w:val="FF0000"/>
                <w:sz w:val="21"/>
              </w:rPr>
              <w:t>表格行数不够时，请自行扩展。</w:t>
            </w:r>
          </w:p>
          <w:p>
            <w:pPr>
              <w:spacing w:line="320" w:lineRule="exact"/>
              <w:ind w:left="284" w:hanging="284"/>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应内容时，</w:t>
            </w:r>
            <w:r>
              <w:rPr>
                <w:rFonts w:hint="eastAsia" w:ascii="Calibri" w:hAnsi="宋体" w:eastAsia="宋体" w:cstheme="minorHAnsi"/>
                <w:sz w:val="21"/>
              </w:rPr>
              <w:t>允许在本表下方另附，但须在“响应内容或索引”中注明引用位置，如“见本表下方</w:t>
            </w:r>
            <w:r>
              <w:rPr>
                <w:rFonts w:ascii="Calibri" w:hAnsi="宋体" w:eastAsia="宋体" w:cstheme="minorHAnsi"/>
                <w:i/>
                <w:sz w:val="21"/>
              </w:rPr>
              <w:t>5.1.1 表题</w:t>
            </w:r>
            <w:r>
              <w:rPr>
                <w:rFonts w:hint="eastAsia" w:ascii="Calibri" w:hAnsi="宋体" w:eastAsia="宋体" w:cstheme="minorHAnsi"/>
                <w:sz w:val="21"/>
              </w:rPr>
              <w:t>”或“见本表下方</w:t>
            </w:r>
            <w:r>
              <w:rPr>
                <w:rFonts w:ascii="Calibri" w:hAnsi="宋体" w:eastAsia="宋体" w:cstheme="minorHAnsi"/>
                <w:i/>
                <w:sz w:val="21"/>
              </w:rPr>
              <w:t>5</w:t>
            </w:r>
            <w:r>
              <w:rPr>
                <w:rFonts w:hint="eastAsia" w:ascii="Calibri" w:hAnsi="宋体" w:eastAsia="宋体" w:cstheme="minorHAnsi"/>
                <w:i/>
                <w:sz w:val="21"/>
              </w:rPr>
              <w:t>-</w:t>
            </w:r>
            <w:r>
              <w:rPr>
                <w:rFonts w:ascii="Calibri" w:hAnsi="宋体" w:eastAsia="宋体" w:cstheme="minorHAnsi"/>
                <w:i/>
                <w:sz w:val="21"/>
              </w:rPr>
              <w:t>1-1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hint="eastAsia" w:ascii="Calibri" w:hAnsi="宋体" w:eastAsia="宋体" w:cstheme="minorHAnsi"/>
                <w:sz w:val="21"/>
              </w:rPr>
              <w:t>。</w:t>
            </w:r>
          </w:p>
        </w:tc>
      </w:tr>
    </w:tbl>
    <w:p>
      <w:pPr>
        <w:jc w:val="center"/>
        <w:rPr>
          <w:rFonts w:cstheme="minorHAnsi"/>
          <w:b/>
        </w:rPr>
      </w:pPr>
    </w:p>
    <w:p>
      <w:pPr>
        <w:jc w:val="center"/>
        <w:rPr>
          <w:rFonts w:cstheme="minorHAnsi"/>
          <w:b/>
        </w:rPr>
      </w:pPr>
      <w:r>
        <w:rPr>
          <w:rFonts w:cstheme="minorHAnsi"/>
          <w:b/>
        </w:rPr>
        <w:t>2</w:t>
      </w:r>
      <w:r>
        <w:rPr>
          <w:rFonts w:hint="eastAsia" w:cstheme="minorHAnsi"/>
          <w:b/>
        </w:rPr>
        <w:t>.商务评审部分方案</w:t>
      </w:r>
    </w:p>
    <w:p>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pPr>
        <w:rPr>
          <w:rFonts w:cstheme="minorHAnsi"/>
          <w:b/>
        </w:rPr>
      </w:pPr>
      <w:r>
        <w:rPr>
          <w:rFonts w:cstheme="minorHAnsi"/>
          <w:b/>
        </w:rPr>
        <w:t>（</w:t>
      </w:r>
      <w:r>
        <w:rPr>
          <w:rFonts w:hint="eastAsia" w:cstheme="minorHAnsi"/>
          <w:b/>
        </w:rPr>
        <w:t>1</w:t>
      </w:r>
      <w:r>
        <w:rPr>
          <w:rFonts w:cstheme="minorHAnsi"/>
          <w:b/>
        </w:rPr>
        <w:t>）人员配备方案：</w:t>
      </w:r>
    </w:p>
    <w:tbl>
      <w:tblPr>
        <w:tblStyle w:val="3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23"/>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rPr>
                <w:rFonts w:cstheme="minorHAnsi"/>
                <w:color w:val="000000"/>
                <w:sz w:val="21"/>
                <w:szCs w:val="21"/>
              </w:rPr>
            </w:pPr>
            <w:r>
              <w:rPr>
                <w:rFonts w:cstheme="minorHAnsi"/>
                <w:color w:val="000000"/>
                <w:sz w:val="21"/>
                <w:szCs w:val="21"/>
              </w:rPr>
              <w:t>一、飞行员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pPr>
              <w:jc w:val="center"/>
              <w:rPr>
                <w:rFonts w:cstheme="minorHAnsi"/>
                <w:color w:val="000000"/>
                <w:sz w:val="21"/>
                <w:szCs w:val="21"/>
              </w:rPr>
            </w:pPr>
            <w:r>
              <w:rPr>
                <w:rFonts w:cstheme="minorHAnsi"/>
                <w:color w:val="000000"/>
                <w:sz w:val="21"/>
                <w:szCs w:val="21"/>
              </w:rPr>
              <w:t>年龄</w:t>
            </w:r>
          </w:p>
        </w:tc>
        <w:tc>
          <w:tcPr>
            <w:tcW w:w="1260" w:type="dxa"/>
            <w:vAlign w:val="center"/>
          </w:tcPr>
          <w:p>
            <w:pPr>
              <w:jc w:val="center"/>
              <w:rPr>
                <w:rFonts w:cstheme="minorHAnsi"/>
                <w:color w:val="000000"/>
                <w:sz w:val="21"/>
                <w:szCs w:val="21"/>
              </w:rPr>
            </w:pPr>
            <w:r>
              <w:rPr>
                <w:rFonts w:cstheme="minorHAnsi"/>
                <w:color w:val="000000"/>
                <w:sz w:val="21"/>
                <w:szCs w:val="21"/>
              </w:rPr>
              <w:t>学历</w:t>
            </w:r>
          </w:p>
        </w:tc>
        <w:tc>
          <w:tcPr>
            <w:tcW w:w="1387" w:type="dxa"/>
            <w:gridSpan w:val="2"/>
            <w:vAlign w:val="center"/>
          </w:tcPr>
          <w:p>
            <w:pPr>
              <w:jc w:val="center"/>
              <w:rPr>
                <w:rFonts w:cstheme="minorHAnsi"/>
                <w:color w:val="000000"/>
                <w:sz w:val="21"/>
                <w:szCs w:val="21"/>
              </w:rPr>
            </w:pPr>
            <w:r>
              <w:rPr>
                <w:rFonts w:cstheme="minorHAnsi"/>
                <w:color w:val="000000"/>
                <w:sz w:val="21"/>
                <w:szCs w:val="21"/>
              </w:rPr>
              <w:t>职称</w:t>
            </w:r>
          </w:p>
        </w:tc>
        <w:tc>
          <w:tcPr>
            <w:tcW w:w="1604" w:type="dxa"/>
            <w:gridSpan w:val="2"/>
            <w:vAlign w:val="center"/>
          </w:tcPr>
          <w:p>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40" w:type="dxa"/>
            <w:tcBorders>
              <w:right w:val="single" w:color="auto" w:sz="2" w:space="0"/>
            </w:tcBorders>
            <w:vAlign w:val="center"/>
          </w:tcPr>
          <w:p>
            <w:pPr>
              <w:spacing w:line="240" w:lineRule="exact"/>
              <w:jc w:val="center"/>
              <w:rPr>
                <w:rFonts w:cstheme="minorHAnsi"/>
                <w:color w:val="000000"/>
                <w:sz w:val="21"/>
                <w:szCs w:val="21"/>
              </w:rPr>
            </w:pPr>
            <w:r>
              <w:rPr>
                <w:rFonts w:cstheme="minorHAnsi"/>
                <w:color w:val="000000"/>
                <w:sz w:val="21"/>
                <w:szCs w:val="21"/>
              </w:rPr>
              <w:t>主要工作</w:t>
            </w:r>
          </w:p>
          <w:p>
            <w:pPr>
              <w:spacing w:line="240" w:lineRule="exact"/>
              <w:jc w:val="center"/>
              <w:rPr>
                <w:rFonts w:cstheme="minorHAnsi"/>
                <w:color w:val="000000"/>
                <w:sz w:val="21"/>
                <w:szCs w:val="21"/>
              </w:rPr>
            </w:pPr>
            <w:r>
              <w:rPr>
                <w:rFonts w:cstheme="minorHAnsi"/>
                <w:color w:val="000000"/>
                <w:sz w:val="21"/>
                <w:szCs w:val="21"/>
              </w:rPr>
              <w:t>业绩和经历</w:t>
            </w:r>
          </w:p>
        </w:tc>
        <w:tc>
          <w:tcPr>
            <w:tcW w:w="1091" w:type="dxa"/>
            <w:gridSpan w:val="2"/>
            <w:tcBorders>
              <w:left w:val="single" w:color="auto" w:sz="2" w:space="0"/>
              <w:right w:val="single" w:color="auto" w:sz="12" w:space="0"/>
            </w:tcBorders>
            <w:vAlign w:val="center"/>
          </w:tcPr>
          <w:p>
            <w:pPr>
              <w:spacing w:line="240" w:lineRule="exact"/>
              <w:jc w:val="center"/>
              <w:rPr>
                <w:rFonts w:cstheme="minorHAnsi"/>
                <w:color w:val="000000"/>
                <w:sz w:val="21"/>
                <w:szCs w:val="21"/>
              </w:rPr>
            </w:pPr>
            <w:r>
              <w:rPr>
                <w:rFonts w:cstheme="minorHAnsi"/>
                <w:color w:val="000000"/>
                <w:sz w:val="21"/>
                <w:szCs w:val="21"/>
              </w:rPr>
              <w:t>拟派</w:t>
            </w:r>
          </w:p>
          <w:p>
            <w:pPr>
              <w:spacing w:line="240" w:lineRule="exact"/>
              <w:jc w:val="center"/>
              <w:rPr>
                <w:rFonts w:cstheme="minorHAnsi"/>
                <w:color w:val="000000"/>
                <w:sz w:val="21"/>
                <w:szCs w:val="21"/>
              </w:rPr>
            </w:pPr>
            <w:r>
              <w:rPr>
                <w:rFonts w:cstheme="minorHAnsi"/>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60" w:type="dxa"/>
            <w:vAlign w:val="center"/>
          </w:tcPr>
          <w:p>
            <w:pPr>
              <w:rPr>
                <w:rFonts w:cstheme="minorHAnsi"/>
                <w:color w:val="000000"/>
                <w:sz w:val="21"/>
                <w:szCs w:val="21"/>
              </w:rPr>
            </w:pPr>
          </w:p>
        </w:tc>
        <w:tc>
          <w:tcPr>
            <w:tcW w:w="1387" w:type="dxa"/>
            <w:gridSpan w:val="2"/>
            <w:vAlign w:val="center"/>
          </w:tcPr>
          <w:p>
            <w:pPr>
              <w:rPr>
                <w:rFonts w:cstheme="minorHAnsi"/>
                <w:color w:val="000000"/>
                <w:sz w:val="21"/>
                <w:szCs w:val="21"/>
              </w:rPr>
            </w:pPr>
          </w:p>
        </w:tc>
        <w:tc>
          <w:tcPr>
            <w:tcW w:w="1604" w:type="dxa"/>
            <w:gridSpan w:val="2"/>
            <w:vAlign w:val="center"/>
          </w:tcPr>
          <w:p>
            <w:pPr>
              <w:rPr>
                <w:rFonts w:cstheme="minorHAnsi"/>
                <w:color w:val="000000"/>
                <w:sz w:val="21"/>
                <w:szCs w:val="21"/>
              </w:rPr>
            </w:pPr>
          </w:p>
        </w:tc>
        <w:tc>
          <w:tcPr>
            <w:tcW w:w="1740" w:type="dxa"/>
            <w:tcBorders>
              <w:right w:val="single" w:color="auto" w:sz="2" w:space="0"/>
            </w:tcBorders>
            <w:vAlign w:val="center"/>
          </w:tcPr>
          <w:p>
            <w:pPr>
              <w:rPr>
                <w:rFonts w:cstheme="minorHAnsi"/>
                <w:color w:val="000000"/>
                <w:sz w:val="21"/>
                <w:szCs w:val="21"/>
              </w:rPr>
            </w:pPr>
          </w:p>
        </w:tc>
        <w:tc>
          <w:tcPr>
            <w:tcW w:w="1091" w:type="dxa"/>
            <w:gridSpan w:val="2"/>
            <w:tcBorders>
              <w:left w:val="single" w:color="auto" w:sz="2" w:space="0"/>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60" w:type="dxa"/>
            <w:vAlign w:val="center"/>
          </w:tcPr>
          <w:p>
            <w:pPr>
              <w:rPr>
                <w:rFonts w:cstheme="minorHAnsi"/>
                <w:color w:val="000000"/>
                <w:sz w:val="21"/>
                <w:szCs w:val="21"/>
              </w:rPr>
            </w:pPr>
          </w:p>
        </w:tc>
        <w:tc>
          <w:tcPr>
            <w:tcW w:w="1387" w:type="dxa"/>
            <w:gridSpan w:val="2"/>
            <w:vAlign w:val="center"/>
          </w:tcPr>
          <w:p>
            <w:pPr>
              <w:rPr>
                <w:rFonts w:cstheme="minorHAnsi"/>
                <w:color w:val="000000"/>
                <w:sz w:val="21"/>
                <w:szCs w:val="21"/>
              </w:rPr>
            </w:pPr>
          </w:p>
        </w:tc>
        <w:tc>
          <w:tcPr>
            <w:tcW w:w="1604" w:type="dxa"/>
            <w:gridSpan w:val="2"/>
            <w:vAlign w:val="center"/>
          </w:tcPr>
          <w:p>
            <w:pPr>
              <w:rPr>
                <w:rFonts w:cstheme="minorHAnsi"/>
                <w:color w:val="000000"/>
                <w:sz w:val="21"/>
                <w:szCs w:val="21"/>
              </w:rPr>
            </w:pPr>
          </w:p>
        </w:tc>
        <w:tc>
          <w:tcPr>
            <w:tcW w:w="1740" w:type="dxa"/>
            <w:tcBorders>
              <w:right w:val="single" w:color="auto" w:sz="2" w:space="0"/>
            </w:tcBorders>
            <w:vAlign w:val="center"/>
          </w:tcPr>
          <w:p>
            <w:pPr>
              <w:rPr>
                <w:rFonts w:cstheme="minorHAnsi"/>
                <w:color w:val="000000"/>
                <w:sz w:val="21"/>
                <w:szCs w:val="21"/>
              </w:rPr>
            </w:pPr>
          </w:p>
        </w:tc>
        <w:tc>
          <w:tcPr>
            <w:tcW w:w="1091" w:type="dxa"/>
            <w:gridSpan w:val="2"/>
            <w:tcBorders>
              <w:left w:val="single" w:color="auto" w:sz="2" w:space="0"/>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rPr>
                <w:rFonts w:cstheme="minorHAnsi"/>
                <w:color w:val="000000"/>
                <w:sz w:val="21"/>
                <w:szCs w:val="21"/>
              </w:rPr>
            </w:pPr>
            <w:r>
              <w:rPr>
                <w:rFonts w:cstheme="minorHAnsi"/>
                <w:color w:val="000000"/>
                <w:sz w:val="21"/>
                <w:szCs w:val="21"/>
              </w:rPr>
              <w:t>二、维修人员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pPr>
              <w:spacing w:line="280" w:lineRule="exact"/>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color="auto" w:sz="2" w:space="0"/>
            </w:tcBorders>
            <w:vAlign w:val="center"/>
          </w:tcPr>
          <w:p>
            <w:pPr>
              <w:spacing w:line="280" w:lineRule="exact"/>
              <w:jc w:val="center"/>
              <w:rPr>
                <w:rFonts w:cstheme="minorHAnsi"/>
                <w:color w:val="000000"/>
                <w:sz w:val="21"/>
                <w:szCs w:val="21"/>
              </w:rPr>
            </w:pPr>
            <w:r>
              <w:rPr>
                <w:rFonts w:cstheme="minorHAnsi"/>
                <w:color w:val="000000"/>
                <w:sz w:val="21"/>
                <w:szCs w:val="21"/>
              </w:rPr>
              <w:t>学历</w:t>
            </w:r>
          </w:p>
        </w:tc>
        <w:tc>
          <w:tcPr>
            <w:tcW w:w="1386" w:type="dxa"/>
            <w:gridSpan w:val="2"/>
            <w:tcBorders>
              <w:left w:val="single" w:color="auto" w:sz="2" w:space="0"/>
            </w:tcBorders>
            <w:vAlign w:val="center"/>
          </w:tcPr>
          <w:p>
            <w:pPr>
              <w:spacing w:line="280" w:lineRule="exact"/>
              <w:jc w:val="center"/>
              <w:rPr>
                <w:rFonts w:cstheme="minorHAnsi"/>
                <w:color w:val="000000"/>
                <w:sz w:val="21"/>
                <w:szCs w:val="21"/>
              </w:rPr>
            </w:pPr>
            <w:r>
              <w:rPr>
                <w:rFonts w:cstheme="minorHAnsi"/>
                <w:color w:val="000000"/>
                <w:sz w:val="21"/>
                <w:szCs w:val="21"/>
              </w:rPr>
              <w:t>职称</w:t>
            </w:r>
          </w:p>
        </w:tc>
        <w:tc>
          <w:tcPr>
            <w:tcW w:w="1581" w:type="dxa"/>
            <w:vAlign w:val="center"/>
          </w:tcPr>
          <w:p>
            <w:pPr>
              <w:spacing w:line="280" w:lineRule="exact"/>
              <w:jc w:val="center"/>
              <w:rPr>
                <w:rFonts w:cstheme="minorHAnsi"/>
                <w:color w:val="000000"/>
                <w:sz w:val="21"/>
                <w:szCs w:val="21"/>
              </w:rPr>
            </w:pPr>
            <w:r>
              <w:rPr>
                <w:rFonts w:cstheme="minorHAnsi"/>
                <w:color w:val="000000"/>
                <w:sz w:val="21"/>
                <w:szCs w:val="21"/>
              </w:rPr>
              <w:t>从事类似项目工作年限</w:t>
            </w:r>
          </w:p>
        </w:tc>
        <w:tc>
          <w:tcPr>
            <w:tcW w:w="1782" w:type="dxa"/>
            <w:gridSpan w:val="2"/>
            <w:vAlign w:val="center"/>
          </w:tcPr>
          <w:p>
            <w:pPr>
              <w:spacing w:line="280" w:lineRule="exact"/>
              <w:jc w:val="center"/>
              <w:rPr>
                <w:rFonts w:cstheme="minorHAnsi"/>
                <w:color w:val="000000"/>
                <w:sz w:val="21"/>
                <w:szCs w:val="21"/>
              </w:rPr>
            </w:pPr>
            <w:r>
              <w:rPr>
                <w:rFonts w:cstheme="minorHAnsi"/>
                <w:color w:val="000000"/>
                <w:sz w:val="21"/>
                <w:szCs w:val="21"/>
              </w:rPr>
              <w:t>主要工作</w:t>
            </w:r>
          </w:p>
          <w:p>
            <w:pPr>
              <w:spacing w:line="280" w:lineRule="exact"/>
              <w:jc w:val="center"/>
              <w:rPr>
                <w:rFonts w:cstheme="minorHAnsi"/>
                <w:color w:val="000000"/>
                <w:sz w:val="21"/>
                <w:szCs w:val="21"/>
              </w:rPr>
            </w:pPr>
            <w:r>
              <w:rPr>
                <w:rFonts w:cstheme="minorHAnsi"/>
                <w:color w:val="000000"/>
                <w:sz w:val="21"/>
                <w:szCs w:val="21"/>
              </w:rPr>
              <w:t>业绩和经历</w:t>
            </w:r>
          </w:p>
        </w:tc>
        <w:tc>
          <w:tcPr>
            <w:tcW w:w="1049" w:type="dxa"/>
            <w:tcBorders>
              <w:right w:val="single" w:color="auto" w:sz="12" w:space="0"/>
            </w:tcBorders>
            <w:vAlign w:val="center"/>
          </w:tcPr>
          <w:p>
            <w:pPr>
              <w:spacing w:line="280" w:lineRule="exact"/>
              <w:jc w:val="center"/>
              <w:rPr>
                <w:rFonts w:cstheme="minorHAnsi"/>
                <w:color w:val="000000"/>
                <w:sz w:val="21"/>
                <w:szCs w:val="21"/>
              </w:rPr>
            </w:pPr>
            <w:r>
              <w:rPr>
                <w:rFonts w:cstheme="minorHAnsi"/>
                <w:color w:val="000000"/>
                <w:sz w:val="21"/>
                <w:szCs w:val="21"/>
              </w:rPr>
              <w:t>拟派</w:t>
            </w:r>
          </w:p>
          <w:p>
            <w:pPr>
              <w:spacing w:line="280" w:lineRule="exact"/>
              <w:jc w:val="center"/>
              <w:rPr>
                <w:rFonts w:cstheme="minorHAnsi"/>
                <w:color w:val="000000"/>
                <w:sz w:val="21"/>
                <w:szCs w:val="21"/>
              </w:rPr>
            </w:pPr>
            <w:r>
              <w:rPr>
                <w:rFonts w:cstheme="minorHAnsi"/>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6" w:space="0"/>
              <w:left w:val="single" w:color="auto" w:sz="12" w:space="0"/>
              <w:bottom w:val="single" w:color="auto" w:sz="6" w:space="0"/>
              <w:right w:val="single" w:color="auto" w:sz="12" w:space="0"/>
            </w:tcBorders>
            <w:vAlign w:val="center"/>
          </w:tcPr>
          <w:p>
            <w:pPr>
              <w:rPr>
                <w:rFonts w:cstheme="minorHAnsi"/>
                <w:color w:val="000000"/>
                <w:sz w:val="21"/>
                <w:szCs w:val="21"/>
              </w:rPr>
            </w:pPr>
            <w:r>
              <w:rPr>
                <w:rFonts w:cstheme="minorHAnsi"/>
                <w:color w:val="000000"/>
                <w:sz w:val="21"/>
                <w:szCs w:val="21"/>
              </w:rPr>
              <w:t>三、</w:t>
            </w:r>
            <w:r>
              <w:rPr>
                <w:rFonts w:hint="eastAsia" w:cstheme="minorHAnsi"/>
                <w:color w:val="000000"/>
                <w:sz w:val="21"/>
                <w:szCs w:val="21"/>
              </w:rPr>
              <w:t>索降绞车培训教员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pPr>
              <w:spacing w:line="280" w:lineRule="exact"/>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color="auto" w:sz="2" w:space="0"/>
            </w:tcBorders>
            <w:vAlign w:val="center"/>
          </w:tcPr>
          <w:p>
            <w:pPr>
              <w:spacing w:line="280" w:lineRule="exact"/>
              <w:jc w:val="center"/>
              <w:rPr>
                <w:rFonts w:cstheme="minorHAnsi"/>
                <w:color w:val="000000"/>
                <w:sz w:val="21"/>
                <w:szCs w:val="21"/>
              </w:rPr>
            </w:pPr>
            <w:r>
              <w:rPr>
                <w:rFonts w:cstheme="minorHAnsi"/>
                <w:color w:val="000000"/>
                <w:sz w:val="21"/>
                <w:szCs w:val="21"/>
              </w:rPr>
              <w:t>学历</w:t>
            </w:r>
          </w:p>
        </w:tc>
        <w:tc>
          <w:tcPr>
            <w:tcW w:w="1386" w:type="dxa"/>
            <w:gridSpan w:val="2"/>
            <w:tcBorders>
              <w:left w:val="single" w:color="auto" w:sz="2" w:space="0"/>
            </w:tcBorders>
            <w:vAlign w:val="center"/>
          </w:tcPr>
          <w:p>
            <w:pPr>
              <w:spacing w:line="280" w:lineRule="exact"/>
              <w:jc w:val="center"/>
              <w:rPr>
                <w:rFonts w:cstheme="minorHAnsi"/>
                <w:color w:val="000000"/>
                <w:sz w:val="21"/>
                <w:szCs w:val="21"/>
              </w:rPr>
            </w:pPr>
            <w:r>
              <w:rPr>
                <w:rFonts w:cstheme="minorHAnsi"/>
                <w:color w:val="000000"/>
                <w:sz w:val="21"/>
                <w:szCs w:val="21"/>
              </w:rPr>
              <w:t>职称</w:t>
            </w:r>
          </w:p>
        </w:tc>
        <w:tc>
          <w:tcPr>
            <w:tcW w:w="1581" w:type="dxa"/>
            <w:vAlign w:val="center"/>
          </w:tcPr>
          <w:p>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82" w:type="dxa"/>
            <w:gridSpan w:val="2"/>
            <w:vAlign w:val="center"/>
          </w:tcPr>
          <w:p>
            <w:pPr>
              <w:spacing w:line="280" w:lineRule="exact"/>
              <w:jc w:val="center"/>
              <w:rPr>
                <w:rFonts w:cstheme="minorHAnsi"/>
                <w:color w:val="000000"/>
                <w:sz w:val="21"/>
                <w:szCs w:val="21"/>
              </w:rPr>
            </w:pPr>
            <w:r>
              <w:rPr>
                <w:rFonts w:cstheme="minorHAnsi"/>
                <w:color w:val="000000"/>
                <w:sz w:val="21"/>
                <w:szCs w:val="21"/>
              </w:rPr>
              <w:t>主要工作</w:t>
            </w:r>
          </w:p>
          <w:p>
            <w:pPr>
              <w:spacing w:line="280" w:lineRule="exact"/>
              <w:jc w:val="center"/>
              <w:rPr>
                <w:rFonts w:cstheme="minorHAnsi"/>
                <w:color w:val="000000"/>
                <w:sz w:val="21"/>
                <w:szCs w:val="21"/>
              </w:rPr>
            </w:pPr>
            <w:r>
              <w:rPr>
                <w:rFonts w:cstheme="minorHAnsi"/>
                <w:color w:val="000000"/>
                <w:sz w:val="21"/>
                <w:szCs w:val="21"/>
              </w:rPr>
              <w:t>业绩和经历</w:t>
            </w:r>
          </w:p>
        </w:tc>
        <w:tc>
          <w:tcPr>
            <w:tcW w:w="1049" w:type="dxa"/>
            <w:tcBorders>
              <w:right w:val="single" w:color="auto" w:sz="12" w:space="0"/>
            </w:tcBorders>
            <w:vAlign w:val="center"/>
          </w:tcPr>
          <w:p>
            <w:pPr>
              <w:spacing w:line="280" w:lineRule="exact"/>
              <w:jc w:val="center"/>
              <w:rPr>
                <w:rFonts w:cstheme="minorHAnsi"/>
                <w:color w:val="000000"/>
                <w:sz w:val="21"/>
                <w:szCs w:val="21"/>
              </w:rPr>
            </w:pPr>
            <w:r>
              <w:rPr>
                <w:rFonts w:cstheme="minorHAnsi"/>
                <w:color w:val="000000"/>
                <w:sz w:val="21"/>
                <w:szCs w:val="21"/>
              </w:rPr>
              <w:t>拟派</w:t>
            </w:r>
          </w:p>
          <w:p>
            <w:pPr>
              <w:spacing w:line="280" w:lineRule="exact"/>
              <w:jc w:val="center"/>
              <w:rPr>
                <w:rFonts w:cstheme="minorHAnsi"/>
                <w:color w:val="000000"/>
                <w:sz w:val="21"/>
                <w:szCs w:val="21"/>
              </w:rPr>
            </w:pPr>
            <w:r>
              <w:rPr>
                <w:rFonts w:cstheme="minorHAnsi"/>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6" w:space="0"/>
              <w:left w:val="single" w:color="auto" w:sz="12" w:space="0"/>
              <w:bottom w:val="single" w:color="auto" w:sz="6" w:space="0"/>
              <w:right w:val="single" w:color="auto" w:sz="12" w:space="0"/>
            </w:tcBorders>
            <w:vAlign w:val="center"/>
          </w:tcPr>
          <w:p>
            <w:pPr>
              <w:rPr>
                <w:rFonts w:cstheme="minorHAnsi"/>
                <w:color w:val="000000"/>
                <w:sz w:val="21"/>
                <w:szCs w:val="21"/>
              </w:rPr>
            </w:pPr>
            <w:r>
              <w:rPr>
                <w:rFonts w:cstheme="minorHAnsi"/>
                <w:color w:val="000000"/>
                <w:sz w:val="21"/>
                <w:szCs w:val="21"/>
              </w:rPr>
              <w:t>四、其他人员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pPr>
              <w:rPr>
                <w:rFonts w:cstheme="minorHAnsi"/>
                <w:color w:val="000000"/>
                <w:sz w:val="21"/>
                <w:szCs w:val="21"/>
              </w:rPr>
            </w:pPr>
            <w:r>
              <w:rPr>
                <w:rFonts w:cstheme="minorHAnsi"/>
                <w:color w:val="000000"/>
                <w:sz w:val="21"/>
                <w:szCs w:val="21"/>
              </w:rPr>
              <w:t>年龄</w:t>
            </w:r>
          </w:p>
        </w:tc>
        <w:tc>
          <w:tcPr>
            <w:tcW w:w="1284" w:type="dxa"/>
            <w:gridSpan w:val="2"/>
            <w:tcBorders>
              <w:right w:val="single" w:color="auto" w:sz="2" w:space="0"/>
            </w:tcBorders>
            <w:vAlign w:val="center"/>
          </w:tcPr>
          <w:p>
            <w:pPr>
              <w:rPr>
                <w:rFonts w:cstheme="minorHAnsi"/>
                <w:color w:val="000000"/>
                <w:sz w:val="21"/>
                <w:szCs w:val="21"/>
              </w:rPr>
            </w:pPr>
            <w:r>
              <w:rPr>
                <w:rFonts w:cstheme="minorHAnsi"/>
                <w:color w:val="000000"/>
                <w:sz w:val="21"/>
                <w:szCs w:val="21"/>
              </w:rPr>
              <w:t>学历</w:t>
            </w:r>
          </w:p>
        </w:tc>
        <w:tc>
          <w:tcPr>
            <w:tcW w:w="1386" w:type="dxa"/>
            <w:gridSpan w:val="2"/>
            <w:tcBorders>
              <w:left w:val="single" w:color="auto" w:sz="2" w:space="0"/>
            </w:tcBorders>
            <w:vAlign w:val="center"/>
          </w:tcPr>
          <w:p>
            <w:pPr>
              <w:rPr>
                <w:rFonts w:cstheme="minorHAnsi"/>
                <w:color w:val="000000"/>
                <w:sz w:val="21"/>
                <w:szCs w:val="21"/>
              </w:rPr>
            </w:pPr>
            <w:r>
              <w:rPr>
                <w:rFonts w:cstheme="minorHAnsi"/>
                <w:color w:val="000000"/>
                <w:sz w:val="21"/>
                <w:szCs w:val="21"/>
              </w:rPr>
              <w:t>职称</w:t>
            </w:r>
          </w:p>
        </w:tc>
        <w:tc>
          <w:tcPr>
            <w:tcW w:w="1581" w:type="dxa"/>
            <w:vAlign w:val="center"/>
          </w:tcPr>
          <w:p>
            <w:pPr>
              <w:rPr>
                <w:rFonts w:cstheme="minorHAnsi"/>
                <w:color w:val="000000"/>
                <w:sz w:val="21"/>
                <w:szCs w:val="21"/>
              </w:rPr>
            </w:pPr>
            <w:r>
              <w:rPr>
                <w:rFonts w:cstheme="minorHAnsi"/>
                <w:color w:val="000000"/>
                <w:sz w:val="21"/>
                <w:szCs w:val="21"/>
              </w:rPr>
              <w:t>在本行业从业工作年限</w:t>
            </w:r>
          </w:p>
        </w:tc>
        <w:tc>
          <w:tcPr>
            <w:tcW w:w="1782" w:type="dxa"/>
            <w:gridSpan w:val="2"/>
            <w:vAlign w:val="center"/>
          </w:tcPr>
          <w:p>
            <w:pPr>
              <w:spacing w:line="280" w:lineRule="exact"/>
              <w:jc w:val="center"/>
              <w:rPr>
                <w:rFonts w:cstheme="minorHAnsi"/>
                <w:color w:val="000000"/>
                <w:sz w:val="21"/>
                <w:szCs w:val="21"/>
              </w:rPr>
            </w:pPr>
            <w:r>
              <w:rPr>
                <w:rFonts w:cstheme="minorHAnsi"/>
                <w:color w:val="000000"/>
                <w:sz w:val="21"/>
                <w:szCs w:val="21"/>
              </w:rPr>
              <w:t>主要工作</w:t>
            </w:r>
          </w:p>
          <w:p>
            <w:pPr>
              <w:rPr>
                <w:rFonts w:cstheme="minorHAnsi"/>
                <w:color w:val="000000"/>
                <w:sz w:val="21"/>
                <w:szCs w:val="21"/>
              </w:rPr>
            </w:pPr>
            <w:r>
              <w:rPr>
                <w:rFonts w:cstheme="minorHAnsi"/>
                <w:color w:val="000000"/>
                <w:sz w:val="21"/>
                <w:szCs w:val="21"/>
              </w:rPr>
              <w:t>业绩和经历</w:t>
            </w:r>
          </w:p>
        </w:tc>
        <w:tc>
          <w:tcPr>
            <w:tcW w:w="1049" w:type="dxa"/>
            <w:tcBorders>
              <w:right w:val="single" w:color="auto" w:sz="12" w:space="0"/>
            </w:tcBorders>
            <w:vAlign w:val="center"/>
          </w:tcPr>
          <w:p>
            <w:pPr>
              <w:spacing w:line="280" w:lineRule="exact"/>
              <w:jc w:val="center"/>
              <w:rPr>
                <w:rFonts w:cstheme="minorHAnsi"/>
                <w:color w:val="000000"/>
                <w:sz w:val="21"/>
                <w:szCs w:val="21"/>
              </w:rPr>
            </w:pPr>
            <w:r>
              <w:rPr>
                <w:rFonts w:cstheme="minorHAnsi"/>
                <w:color w:val="000000"/>
                <w:sz w:val="21"/>
                <w:szCs w:val="21"/>
              </w:rPr>
              <w:t>拟派</w:t>
            </w:r>
          </w:p>
          <w:p>
            <w:pPr>
              <w:rPr>
                <w:rFonts w:cstheme="minorHAnsi"/>
                <w:color w:val="000000"/>
                <w:sz w:val="21"/>
                <w:szCs w:val="21"/>
              </w:rPr>
            </w:pPr>
            <w:r>
              <w:rPr>
                <w:rFonts w:cstheme="minorHAnsi"/>
                <w:color w:val="000000"/>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cstheme="minorHAnsi"/>
                <w:color w:val="000000"/>
                <w:sz w:val="21"/>
                <w:szCs w:val="21"/>
              </w:rPr>
            </w:pPr>
          </w:p>
        </w:tc>
        <w:tc>
          <w:tcPr>
            <w:tcW w:w="969" w:type="dxa"/>
            <w:tcBorders>
              <w:left w:val="single" w:color="auto" w:sz="6" w:space="0"/>
            </w:tcBorders>
            <w:vAlign w:val="center"/>
          </w:tcPr>
          <w:p>
            <w:pPr>
              <w:rPr>
                <w:rFonts w:cstheme="minorHAnsi"/>
                <w:color w:val="000000"/>
                <w:sz w:val="21"/>
                <w:szCs w:val="21"/>
              </w:rPr>
            </w:pPr>
          </w:p>
        </w:tc>
        <w:tc>
          <w:tcPr>
            <w:tcW w:w="1284" w:type="dxa"/>
            <w:gridSpan w:val="2"/>
            <w:tcBorders>
              <w:right w:val="single" w:color="auto" w:sz="2" w:space="0"/>
            </w:tcBorders>
            <w:vAlign w:val="center"/>
          </w:tcPr>
          <w:p>
            <w:pPr>
              <w:rPr>
                <w:rFonts w:cstheme="minorHAnsi"/>
                <w:color w:val="000000"/>
                <w:sz w:val="21"/>
                <w:szCs w:val="21"/>
              </w:rPr>
            </w:pPr>
          </w:p>
        </w:tc>
        <w:tc>
          <w:tcPr>
            <w:tcW w:w="1386" w:type="dxa"/>
            <w:gridSpan w:val="2"/>
            <w:tcBorders>
              <w:left w:val="single" w:color="auto" w:sz="2" w:space="0"/>
            </w:tcBorders>
            <w:vAlign w:val="center"/>
          </w:tcPr>
          <w:p>
            <w:pPr>
              <w:rPr>
                <w:rFonts w:cstheme="minorHAnsi"/>
                <w:color w:val="000000"/>
                <w:sz w:val="21"/>
                <w:szCs w:val="21"/>
              </w:rPr>
            </w:pPr>
          </w:p>
        </w:tc>
        <w:tc>
          <w:tcPr>
            <w:tcW w:w="1581" w:type="dxa"/>
            <w:vAlign w:val="center"/>
          </w:tcPr>
          <w:p>
            <w:pPr>
              <w:rPr>
                <w:rFonts w:cstheme="minorHAnsi"/>
                <w:color w:val="000000"/>
                <w:sz w:val="21"/>
                <w:szCs w:val="21"/>
              </w:rPr>
            </w:pPr>
          </w:p>
        </w:tc>
        <w:tc>
          <w:tcPr>
            <w:tcW w:w="1782" w:type="dxa"/>
            <w:gridSpan w:val="2"/>
            <w:vAlign w:val="center"/>
          </w:tcPr>
          <w:p>
            <w:pPr>
              <w:rPr>
                <w:rFonts w:cstheme="minorHAnsi"/>
                <w:color w:val="000000"/>
                <w:sz w:val="21"/>
                <w:szCs w:val="21"/>
              </w:rPr>
            </w:pPr>
          </w:p>
        </w:tc>
        <w:tc>
          <w:tcPr>
            <w:tcW w:w="1049" w:type="dxa"/>
            <w:tcBorders>
              <w:right w:val="single" w:color="auto" w:sz="12" w:space="0"/>
            </w:tcBorders>
            <w:vAlign w:val="center"/>
          </w:tcPr>
          <w:p>
            <w:pPr>
              <w:rPr>
                <w:rFonts w:cstheme="minorHAns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cstheme="minorHAnsi"/>
                <w:color w:val="000000"/>
                <w:sz w:val="21"/>
                <w:szCs w:val="21"/>
              </w:rPr>
            </w:pPr>
            <w:r>
              <w:rPr>
                <w:rFonts w:cstheme="minorHAnsi"/>
                <w:color w:val="000000"/>
                <w:sz w:val="21"/>
                <w:szCs w:val="21"/>
              </w:rPr>
              <w:t>备注</w:t>
            </w:r>
          </w:p>
        </w:tc>
        <w:tc>
          <w:tcPr>
            <w:tcW w:w="8051" w:type="dxa"/>
            <w:gridSpan w:val="9"/>
            <w:tcBorders>
              <w:left w:val="single" w:color="auto" w:sz="6" w:space="0"/>
              <w:bottom w:val="single" w:color="auto" w:sz="12" w:space="0"/>
              <w:right w:val="single" w:color="auto" w:sz="12" w:space="0"/>
            </w:tcBorders>
            <w:vAlign w:val="center"/>
          </w:tcPr>
          <w:p>
            <w:pPr>
              <w:spacing w:line="320" w:lineRule="exact"/>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pPr>
              <w:spacing w:line="320" w:lineRule="exact"/>
              <w:ind w:left="158" w:hanging="157" w:hangingChars="75"/>
              <w:rPr>
                <w:rFonts w:cstheme="minorHAnsi"/>
                <w:color w:val="000000"/>
                <w:sz w:val="21"/>
                <w:szCs w:val="21"/>
              </w:rPr>
            </w:pPr>
            <w:r>
              <w:rPr>
                <w:rFonts w:asciiTheme="minorEastAsia" w:hAnsiTheme="minorEastAsia" w:cstheme="minorHAnsi"/>
                <w:color w:val="000000"/>
                <w:sz w:val="21"/>
                <w:szCs w:val="21"/>
              </w:rPr>
              <w:t>② 招标文件对人员“资格\学历\职称”提出要求的，应在本表下方附相应的“资格证\学历证\职称证”等证明文件。</w:t>
            </w:r>
          </w:p>
        </w:tc>
      </w:tr>
    </w:tbl>
    <w:p>
      <w:pPr>
        <w:rPr>
          <w:rFonts w:cstheme="minorHAnsi"/>
          <w:b/>
        </w:rPr>
      </w:pPr>
    </w:p>
    <w:p>
      <w:pPr>
        <w:rPr>
          <w:rFonts w:cstheme="minorHAnsi"/>
          <w:b/>
        </w:rPr>
      </w:pPr>
      <w:r>
        <w:rPr>
          <w:rFonts w:cstheme="minorHAnsi"/>
          <w:b/>
        </w:rPr>
        <w:t>（</w:t>
      </w:r>
      <w:r>
        <w:rPr>
          <w:rFonts w:hint="eastAsia" w:cstheme="minorHAnsi"/>
          <w:b/>
        </w:rPr>
        <w:t>2</w:t>
      </w:r>
      <w:r>
        <w:rPr>
          <w:rFonts w:cstheme="minorHAnsi"/>
          <w:b/>
        </w:rPr>
        <w:t>）</w:t>
      </w:r>
      <w:r>
        <w:rPr>
          <w:rFonts w:cstheme="minorHAnsi"/>
          <w:b/>
          <w:bCs/>
        </w:rPr>
        <w:t>培训设施与装备</w:t>
      </w:r>
    </w:p>
    <w:p>
      <w:pPr>
        <w:rPr>
          <w:rFonts w:cstheme="minorHAnsi"/>
          <w:b/>
        </w:rPr>
      </w:pPr>
    </w:p>
    <w:p>
      <w:pPr>
        <w:rPr>
          <w:rFonts w:cstheme="minorHAnsi"/>
          <w:b/>
        </w:rPr>
      </w:pPr>
    </w:p>
    <w:p>
      <w:pPr>
        <w:rPr>
          <w:rFonts w:cstheme="minorHAnsi"/>
          <w:b/>
        </w:rPr>
      </w:pPr>
      <w:r>
        <w:rPr>
          <w:rFonts w:cstheme="minorHAnsi"/>
          <w:b/>
        </w:rPr>
        <w:t>（</w:t>
      </w:r>
      <w:r>
        <w:rPr>
          <w:rFonts w:hint="eastAsia" w:cstheme="minorHAnsi"/>
          <w:b/>
        </w:rPr>
        <w:t>3</w:t>
      </w:r>
      <w:r>
        <w:rPr>
          <w:rFonts w:cstheme="minorHAnsi"/>
          <w:b/>
        </w:rPr>
        <w:t>）服务优化</w:t>
      </w:r>
    </w:p>
    <w:p>
      <w:pPr>
        <w:rPr>
          <w:rFonts w:cstheme="minorHAnsi"/>
          <w:b/>
        </w:rPr>
      </w:pPr>
    </w:p>
    <w:p>
      <w:pPr>
        <w:rPr>
          <w:rFonts w:cstheme="minorHAnsi"/>
          <w:b/>
        </w:rPr>
      </w:pPr>
    </w:p>
    <w:p>
      <w:pPr>
        <w:rPr>
          <w:rFonts w:cstheme="minorHAnsi"/>
          <w:b/>
        </w:rPr>
      </w:pPr>
      <w:r>
        <w:rPr>
          <w:rFonts w:cstheme="minorHAnsi"/>
          <w:b/>
        </w:rPr>
        <w:t>（</w:t>
      </w:r>
      <w:r>
        <w:rPr>
          <w:rFonts w:hint="eastAsia" w:cstheme="minorHAnsi"/>
          <w:b/>
        </w:rPr>
        <w:t>4</w:t>
      </w:r>
      <w:r>
        <w:rPr>
          <w:rFonts w:cstheme="minorHAnsi"/>
          <w:b/>
        </w:rPr>
        <w:t>）管理体系</w:t>
      </w:r>
    </w:p>
    <w:p>
      <w:pPr>
        <w:rPr>
          <w:rFonts w:cstheme="minorHAnsi"/>
          <w:b/>
        </w:rPr>
      </w:pPr>
    </w:p>
    <w:p>
      <w:pPr>
        <w:rPr>
          <w:rFonts w:cstheme="minorHAnsi"/>
          <w:b/>
        </w:rPr>
      </w:pPr>
    </w:p>
    <w:p>
      <w:pPr>
        <w:rPr>
          <w:rFonts w:cstheme="minorHAnsi"/>
          <w:b/>
        </w:rPr>
      </w:pPr>
      <w:r>
        <w:rPr>
          <w:rFonts w:hint="eastAsia" w:cstheme="minorHAnsi"/>
          <w:b/>
        </w:rPr>
        <w:t>（5）业绩</w:t>
      </w:r>
    </w:p>
    <w:p>
      <w:pPr>
        <w:rPr>
          <w:rFonts w:cstheme="minorHAnsi"/>
          <w:b/>
        </w:rPr>
      </w:pPr>
    </w:p>
    <w:p>
      <w:pPr>
        <w:rPr>
          <w:rFonts w:cstheme="minorHAnsi"/>
          <w:b/>
        </w:rPr>
      </w:pPr>
    </w:p>
    <w:p>
      <w:pPr>
        <w:rPr>
          <w:rFonts w:cstheme="minorHAnsi"/>
          <w:b/>
        </w:rPr>
      </w:pPr>
    </w:p>
    <w:p>
      <w:pPr>
        <w:rPr>
          <w:rFonts w:cstheme="minorHAnsi"/>
          <w:b/>
        </w:rPr>
      </w:pPr>
      <w:r>
        <w:rPr>
          <w:rFonts w:cstheme="minorHAnsi"/>
          <w:b/>
        </w:rPr>
        <w:br w:type="page"/>
      </w:r>
    </w:p>
    <w:p>
      <w:pPr>
        <w:keepNext/>
        <w:spacing w:before="120" w:after="60"/>
        <w:outlineLvl w:val="2"/>
        <w:rPr>
          <w:rFonts w:ascii="Calibri" w:hAnsi="Calibri" w:eastAsia="黑体"/>
          <w:kern w:val="28"/>
          <w:sz w:val="28"/>
        </w:rPr>
      </w:pPr>
      <w:r>
        <w:rPr>
          <w:rFonts w:ascii="Calibri" w:hAnsi="Calibri" w:eastAsia="黑体"/>
          <w:kern w:val="28"/>
          <w:sz w:val="28"/>
        </w:rPr>
        <w:t>（三）合同条款响应</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1361"/>
        <w:gridCol w:w="1758"/>
        <w:gridCol w:w="2070"/>
        <w:gridCol w:w="1701"/>
        <w:gridCol w:w="11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0" w:type="auto"/>
            <w:gridSpan w:val="6"/>
            <w:tcBorders>
              <w:top w:val="single" w:color="auto" w:sz="12" w:space="0"/>
              <w:bottom w:val="single" w:color="auto" w:sz="2" w:space="0"/>
            </w:tcBorders>
            <w:shd w:val="clear" w:color="auto" w:fill="F1F1F1" w:themeFill="background1" w:themeFillShade="F2"/>
            <w:vAlign w:val="center"/>
          </w:tcPr>
          <w:p>
            <w:pPr>
              <w:spacing w:line="320" w:lineRule="exact"/>
              <w:jc w:val="both"/>
              <w:rPr>
                <w:rFonts w:ascii="Segoe UI Symbol" w:hAnsi="Segoe UI Symbol" w:eastAsia="宋体"/>
                <w:b/>
                <w:color w:val="000000"/>
                <w:sz w:val="21"/>
              </w:rPr>
            </w:pPr>
            <w:r>
              <w:rPr>
                <w:rFonts w:ascii="Calibri" w:hAnsi="宋体" w:eastAsia="宋体"/>
                <w:b/>
                <w:color w:val="000000"/>
                <w:sz w:val="21"/>
              </w:rPr>
              <w:t>对本</w:t>
            </w:r>
            <w:r>
              <w:rPr>
                <w:rFonts w:hint="eastAsia" w:ascii="Calibri" w:hAnsi="宋体" w:eastAsia="宋体"/>
                <w:b/>
                <w:color w:val="000000"/>
                <w:sz w:val="21"/>
              </w:rPr>
              <w:t>项目</w:t>
            </w:r>
            <w:r>
              <w:rPr>
                <w:rFonts w:ascii="Calibri" w:hAnsi="宋体" w:eastAsia="宋体"/>
                <w:b/>
                <w:color w:val="000000"/>
                <w:sz w:val="21"/>
              </w:rPr>
              <w:t>合同条款的偏离情况（请进行勾选Alt+小键盘</w:t>
            </w:r>
            <w:r>
              <w:rPr>
                <w:rFonts w:hint="eastAsia" w:ascii="Calibri" w:hAnsi="宋体" w:eastAsia="宋体"/>
                <w:b/>
                <w:color w:val="000000"/>
                <w:sz w:val="21"/>
              </w:rPr>
              <w:t>9745</w:t>
            </w:r>
            <w:r>
              <w:rPr>
                <w:rFonts w:ascii="Calibri" w:hAnsi="宋体" w:eastAsia="宋体"/>
                <w:b/>
                <w:color w:val="000000"/>
                <w:sz w:val="21"/>
              </w:rPr>
              <w:t>）：</w:t>
            </w:r>
          </w:p>
          <w:p>
            <w:pPr>
              <w:spacing w:line="320" w:lineRule="exact"/>
              <w:jc w:val="both"/>
              <w:rPr>
                <w:rFonts w:ascii="Calibri" w:hAnsi="宋体" w:eastAsia="宋体"/>
                <w:b/>
                <w:color w:val="000000"/>
                <w:sz w:val="21"/>
              </w:rPr>
            </w:pPr>
            <w:r>
              <w:rPr>
                <w:rFonts w:ascii="Calibri" w:hAnsi="宋体" w:eastAsia="宋体"/>
                <w:b/>
                <w:color w:val="000000"/>
                <w:sz w:val="21"/>
              </w:rPr>
              <w:t>□无偏离</w:t>
            </w:r>
            <w:r>
              <w:rPr>
                <w:rFonts w:ascii="Calibri" w:hAnsi="宋体" w:eastAsia="宋体"/>
                <w:color w:val="000000"/>
                <w:sz w:val="21"/>
              </w:rPr>
              <w:t>（</w:t>
            </w:r>
            <w:r>
              <w:rPr>
                <w:rFonts w:ascii="Calibri" w:hAnsi="宋体" w:eastAsia="宋体"/>
                <w:color w:val="000000"/>
                <w:sz w:val="21"/>
                <w:szCs w:val="21"/>
              </w:rPr>
              <w:t>如无偏离，仅勾选无偏离即可</w:t>
            </w:r>
            <w:r>
              <w:rPr>
                <w:rFonts w:ascii="Calibri" w:hAnsi="宋体" w:eastAsia="宋体"/>
                <w:color w:val="000000"/>
                <w:sz w:val="21"/>
              </w:rPr>
              <w:t>）</w:t>
            </w:r>
          </w:p>
          <w:p>
            <w:pPr>
              <w:spacing w:line="320" w:lineRule="exact"/>
              <w:jc w:val="both"/>
              <w:rPr>
                <w:rFonts w:ascii="Calibri" w:hAnsi="宋体" w:eastAsia="宋体"/>
                <w:color w:val="000000"/>
                <w:sz w:val="21"/>
              </w:rPr>
            </w:pPr>
            <w:r>
              <w:rPr>
                <w:rFonts w:ascii="Calibri" w:hAnsi="宋体" w:eastAsia="宋体"/>
                <w:b/>
                <w:color w:val="000000"/>
                <w:sz w:val="21"/>
              </w:rPr>
              <w:t>□有偏离</w:t>
            </w:r>
            <w:r>
              <w:rPr>
                <w:rFonts w:ascii="Calibri" w:hAnsi="宋体" w:eastAsia="宋体"/>
                <w:color w:val="000000"/>
                <w:sz w:val="21"/>
              </w:rPr>
              <w:t>（</w:t>
            </w:r>
            <w:r>
              <w:rPr>
                <w:rFonts w:ascii="Calibri" w:hAnsi="宋体" w:eastAsia="宋体"/>
                <w:color w:val="000000"/>
                <w:sz w:val="21"/>
                <w:szCs w:val="21"/>
              </w:rPr>
              <w:t>如有偏离，</w:t>
            </w:r>
            <w:r>
              <w:rPr>
                <w:rFonts w:ascii="Calibri" w:hAnsi="宋体" w:eastAsia="宋体"/>
                <w:color w:val="000000"/>
                <w:sz w:val="21"/>
              </w:rPr>
              <w:t>则</w:t>
            </w:r>
            <w:r>
              <w:rPr>
                <w:rFonts w:hint="eastAsia" w:ascii="Calibri" w:hAnsi="宋体" w:eastAsia="宋体"/>
                <w:color w:val="000000"/>
                <w:sz w:val="21"/>
              </w:rPr>
              <w:t>应</w:t>
            </w:r>
            <w:r>
              <w:rPr>
                <w:rFonts w:ascii="Calibri" w:hAnsi="宋体" w:eastAsia="宋体"/>
                <w:color w:val="000000"/>
                <w:sz w:val="21"/>
              </w:rPr>
              <w:t>在本表中对偏离项逐一列明）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序号</w:t>
            </w:r>
          </w:p>
        </w:tc>
        <w:tc>
          <w:tcPr>
            <w:tcW w:w="1361"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合同主条款</w:t>
            </w:r>
          </w:p>
        </w:tc>
        <w:tc>
          <w:tcPr>
            <w:tcW w:w="1758"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合同条款明细</w:t>
            </w:r>
          </w:p>
        </w:tc>
        <w:tc>
          <w:tcPr>
            <w:tcW w:w="2070"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投标文件响应内容</w:t>
            </w:r>
          </w:p>
        </w:tc>
        <w:tc>
          <w:tcPr>
            <w:tcW w:w="1701" w:type="dxa"/>
            <w:tcBorders>
              <w:top w:val="single" w:color="auto" w:sz="2" w:space="0"/>
            </w:tcBorders>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偏离情况</w:t>
            </w:r>
          </w:p>
        </w:tc>
        <w:tc>
          <w:tcPr>
            <w:tcW w:w="1177" w:type="dxa"/>
            <w:tcBorders>
              <w:top w:val="single" w:color="auto" w:sz="2" w:space="0"/>
            </w:tcBorders>
            <w:shd w:val="clear" w:color="auto" w:fill="auto"/>
            <w:vAlign w:val="center"/>
          </w:tcPr>
          <w:p>
            <w:pPr>
              <w:spacing w:line="320" w:lineRule="exact"/>
              <w:jc w:val="both"/>
              <w:rPr>
                <w:rFonts w:ascii="Calibri" w:hAnsi="宋体" w:eastAsia="宋体"/>
                <w:color w:val="000000"/>
                <w:sz w:val="21"/>
              </w:rPr>
            </w:pPr>
            <w:r>
              <w:rPr>
                <w:rFonts w:ascii="Calibri" w:hAnsi="宋体" w:eastAsia="宋体"/>
                <w:color w:val="000000"/>
                <w:sz w:val="21"/>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Segoe UI Symbol" w:hAnsi="Segoe UI Symbol"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both"/>
              <w:rPr>
                <w:rFonts w:ascii="Calibri" w:hAnsi="宋体" w:eastAsia="宋体"/>
                <w:color w:val="000000"/>
                <w:sz w:val="21"/>
              </w:rPr>
            </w:pPr>
          </w:p>
        </w:tc>
        <w:tc>
          <w:tcPr>
            <w:tcW w:w="1361" w:type="dxa"/>
            <w:shd w:val="clear" w:color="auto" w:fill="auto"/>
            <w:vAlign w:val="center"/>
          </w:tcPr>
          <w:p>
            <w:pPr>
              <w:spacing w:line="320" w:lineRule="exact"/>
              <w:jc w:val="both"/>
              <w:rPr>
                <w:rFonts w:ascii="Calibri" w:hAnsi="宋体" w:eastAsia="宋体"/>
                <w:color w:val="000000"/>
                <w:sz w:val="21"/>
              </w:rPr>
            </w:pPr>
          </w:p>
        </w:tc>
        <w:tc>
          <w:tcPr>
            <w:tcW w:w="1758" w:type="dxa"/>
            <w:shd w:val="clear" w:color="auto" w:fill="auto"/>
            <w:vAlign w:val="center"/>
          </w:tcPr>
          <w:p>
            <w:pPr>
              <w:spacing w:line="320" w:lineRule="exact"/>
              <w:jc w:val="both"/>
              <w:rPr>
                <w:rFonts w:ascii="Calibri" w:hAnsi="宋体" w:eastAsia="宋体"/>
                <w:color w:val="000000"/>
                <w:sz w:val="21"/>
              </w:rPr>
            </w:pPr>
          </w:p>
        </w:tc>
        <w:tc>
          <w:tcPr>
            <w:tcW w:w="2070" w:type="dxa"/>
            <w:shd w:val="clear" w:color="auto" w:fill="auto"/>
            <w:vAlign w:val="center"/>
          </w:tcPr>
          <w:p>
            <w:pPr>
              <w:spacing w:line="320" w:lineRule="exact"/>
              <w:jc w:val="both"/>
              <w:rPr>
                <w:rFonts w:ascii="Calibri" w:hAnsi="宋体" w:eastAsia="宋体"/>
                <w:color w:val="000000"/>
                <w:sz w:val="21"/>
              </w:rPr>
            </w:pPr>
          </w:p>
        </w:tc>
        <w:tc>
          <w:tcPr>
            <w:tcW w:w="1701" w:type="dxa"/>
            <w:shd w:val="clear" w:color="auto" w:fill="auto"/>
            <w:vAlign w:val="center"/>
          </w:tcPr>
          <w:p>
            <w:pPr>
              <w:spacing w:line="320" w:lineRule="exact"/>
              <w:jc w:val="both"/>
              <w:rPr>
                <w:rFonts w:ascii="Calibri" w:hAnsi="宋体" w:eastAsia="宋体"/>
                <w:color w:val="000000"/>
                <w:sz w:val="21"/>
              </w:rPr>
            </w:pPr>
          </w:p>
        </w:tc>
        <w:tc>
          <w:tcPr>
            <w:tcW w:w="1177" w:type="dxa"/>
            <w:shd w:val="clear" w:color="auto" w:fill="auto"/>
            <w:vAlign w:val="center"/>
          </w:tcPr>
          <w:p>
            <w:pPr>
              <w:spacing w:line="320" w:lineRule="exact"/>
              <w:jc w:val="both"/>
              <w:rPr>
                <w:rFonts w:ascii="Calibri" w:hAnsi="宋体" w:eastAsia="宋体"/>
                <w:color w:val="00000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03" w:type="dxa"/>
            <w:shd w:val="clear" w:color="auto" w:fill="auto"/>
            <w:vAlign w:val="center"/>
          </w:tcPr>
          <w:p>
            <w:pPr>
              <w:spacing w:line="320" w:lineRule="exact"/>
              <w:jc w:val="center"/>
              <w:rPr>
                <w:rFonts w:ascii="Calibri" w:hAnsi="宋体" w:eastAsia="宋体"/>
                <w:color w:val="000000"/>
                <w:sz w:val="21"/>
              </w:rPr>
            </w:pPr>
            <w:r>
              <w:rPr>
                <w:rFonts w:ascii="Calibri" w:hAnsi="宋体" w:eastAsia="宋体"/>
                <w:color w:val="000000"/>
                <w:sz w:val="21"/>
              </w:rPr>
              <w:t>备注</w:t>
            </w:r>
          </w:p>
        </w:tc>
        <w:tc>
          <w:tcPr>
            <w:tcW w:w="8067" w:type="dxa"/>
            <w:gridSpan w:val="5"/>
            <w:shd w:val="clear" w:color="auto" w:fill="auto"/>
            <w:vAlign w:val="center"/>
          </w:tcPr>
          <w:p>
            <w:pPr>
              <w:spacing w:line="320" w:lineRule="exact"/>
              <w:ind w:left="315" w:hanging="315" w:hangingChars="150"/>
              <w:jc w:val="both"/>
              <w:rPr>
                <w:rFonts w:ascii="Calibri" w:hAnsi="宋体" w:eastAsia="宋体" w:cstheme="minorHAnsi"/>
                <w:sz w:val="21"/>
              </w:rPr>
            </w:pPr>
            <w:r>
              <w:rPr>
                <w:rFonts w:hint="eastAsia" w:ascii="Calibri" w:hAnsi="宋体" w:eastAsia="宋体"/>
                <w:color w:val="000000"/>
                <w:sz w:val="21"/>
              </w:rPr>
              <w:t xml:space="preserve">① </w:t>
            </w:r>
            <w:r>
              <w:rPr>
                <w:rFonts w:ascii="Calibri" w:hAnsi="宋体" w:eastAsia="宋体" w:cstheme="minorHAnsi"/>
                <w:sz w:val="21"/>
              </w:rPr>
              <w:t>表格行数不够时，请自行扩展。</w:t>
            </w:r>
          </w:p>
          <w:p>
            <w:pPr>
              <w:spacing w:line="320" w:lineRule="exact"/>
              <w:ind w:left="315" w:hanging="315" w:hangingChars="150"/>
              <w:jc w:val="both"/>
              <w:rPr>
                <w:rFonts w:ascii="Calibri" w:hAnsi="宋体" w:eastAsia="宋体"/>
                <w:color w:val="000000"/>
                <w:sz w:val="21"/>
              </w:rPr>
            </w:pPr>
            <w:r>
              <w:rPr>
                <w:rFonts w:ascii="Calibri" w:hAnsi="宋体" w:eastAsia="宋体" w:cstheme="minorHAnsi"/>
                <w:sz w:val="21"/>
              </w:rPr>
              <w:t xml:space="preserve">② </w:t>
            </w:r>
            <w:r>
              <w:rPr>
                <w:rFonts w:hint="eastAsia" w:ascii="Calibri" w:hAnsi="宋体" w:eastAsia="宋体"/>
                <w:color w:val="000000"/>
                <w:sz w:val="21"/>
              </w:rPr>
              <w:t>对合同条款中的所有要求，除本表所列明的所有偏离外，均视作供应商已对之理解和响应。</w:t>
            </w:r>
          </w:p>
          <w:p>
            <w:pPr>
              <w:spacing w:line="320" w:lineRule="exact"/>
              <w:ind w:left="315" w:hanging="315" w:hangingChars="150"/>
              <w:jc w:val="both"/>
              <w:rPr>
                <w:rFonts w:ascii="Calibri" w:hAnsi="宋体" w:eastAsia="宋体"/>
                <w:color w:val="000000"/>
                <w:sz w:val="21"/>
              </w:rPr>
            </w:pPr>
            <w:r>
              <w:rPr>
                <w:rFonts w:hint="eastAsia" w:ascii="Calibri" w:hAnsi="宋体" w:eastAsia="宋体"/>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Calibri" w:hAnsi="Calibri" w:eastAsia="黑体"/>
          <w:kern w:val="28"/>
          <w:sz w:val="28"/>
        </w:rPr>
      </w:pPr>
      <w:r>
        <w:rPr>
          <w:rFonts w:ascii="Calibri" w:hAnsi="Calibri" w:eastAsia="黑体"/>
          <w:kern w:val="28"/>
          <w:sz w:val="28"/>
        </w:rPr>
        <w:t>（四）其他需要提供的资料</w:t>
      </w:r>
    </w:p>
    <w:p>
      <w:pPr>
        <w:rPr>
          <w:rFonts w:cstheme="minorHAnsi"/>
        </w:rPr>
      </w:pPr>
    </w:p>
    <w:p>
      <w:pPr>
        <w:rPr>
          <w:rFonts w:cstheme="minorHAnsi"/>
        </w:rPr>
        <w:sectPr>
          <w:footerReference r:id="rId21" w:type="default"/>
          <w:footerReference r:id="rId22" w:type="even"/>
          <w:pgSz w:w="11906" w:h="16838"/>
          <w:pgMar w:top="1418" w:right="1418" w:bottom="1418" w:left="1588" w:header="851" w:footer="992" w:gutter="0"/>
          <w:cols w:space="425" w:num="1"/>
          <w:docGrid w:type="lines" w:linePitch="420" w:charSpace="0"/>
        </w:sectPr>
      </w:pPr>
    </w:p>
    <w:p>
      <w:pPr>
        <w:keepNext/>
        <w:spacing w:before="210" w:beforeLines="50" w:after="21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3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tcBorders>
              <w:top w:val="single" w:color="auto" w:sz="6" w:space="0"/>
            </w:tcBorders>
            <w:vAlign w:val="center"/>
          </w:tcPr>
          <w:p>
            <w:pPr>
              <w:autoSpaceDE w:val="0"/>
              <w:autoSpaceDN w:val="0"/>
              <w:adjustRightInd w:val="0"/>
              <w:spacing w:line="320" w:lineRule="exact"/>
              <w:jc w:val="center"/>
              <w:rPr>
                <w:rFonts w:cstheme="minorHAnsi"/>
                <w:sz w:val="21"/>
                <w:szCs w:val="21"/>
              </w:rPr>
            </w:pPr>
          </w:p>
        </w:tc>
        <w:tc>
          <w:tcPr>
            <w:tcW w:w="1701" w:type="dxa"/>
            <w:tcBorders>
              <w:top w:val="single" w:color="auto" w:sz="6"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p>
          <w:p>
            <w:pPr>
              <w:autoSpaceDE w:val="0"/>
              <w:autoSpaceDN w:val="0"/>
              <w:adjustRightInd w:val="0"/>
              <w:spacing w:line="320" w:lineRule="exact"/>
              <w:jc w:val="center"/>
              <w:rPr>
                <w:rFonts w:cstheme="minorHAnsi"/>
                <w:sz w:val="21"/>
                <w:szCs w:val="21"/>
              </w:rPr>
            </w:pPr>
            <w:r>
              <w:rPr>
                <w:rFonts w:cstheme="minorHAnsi"/>
                <w:sz w:val="21"/>
                <w:szCs w:val="21"/>
              </w:rPr>
              <w:t>（主要负责人）</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p>
          <w:p>
            <w:pPr>
              <w:autoSpaceDE w:val="0"/>
              <w:autoSpaceDN w:val="0"/>
              <w:adjustRightInd w:val="0"/>
              <w:spacing w:line="320" w:lineRule="exact"/>
              <w:jc w:val="center"/>
              <w:rPr>
                <w:rFonts w:cstheme="minorHAnsi"/>
                <w:sz w:val="21"/>
                <w:szCs w:val="21"/>
              </w:rPr>
            </w:pPr>
            <w:r>
              <w:rPr>
                <w:rFonts w:cstheme="minorHAnsi"/>
                <w:sz w:val="21"/>
                <w:szCs w:val="21"/>
              </w:rPr>
              <w:t>开户银行</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p>
          <w:p>
            <w:pPr>
              <w:autoSpaceDE w:val="0"/>
              <w:autoSpaceDN w:val="0"/>
              <w:adjustRightInd w:val="0"/>
              <w:spacing w:line="320" w:lineRule="exact"/>
              <w:jc w:val="center"/>
              <w:rPr>
                <w:rFonts w:cstheme="minorHAnsi"/>
                <w:sz w:val="21"/>
                <w:szCs w:val="21"/>
              </w:rPr>
            </w:pPr>
            <w:r>
              <w:rPr>
                <w:rFonts w:cstheme="minorHAnsi"/>
                <w:sz w:val="21"/>
                <w:szCs w:val="21"/>
              </w:rPr>
              <w:t>账户账号</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w:t>
            </w:r>
          </w:p>
          <w:p>
            <w:pPr>
              <w:autoSpaceDE w:val="0"/>
              <w:autoSpaceDN w:val="0"/>
              <w:adjustRightInd w:val="0"/>
              <w:spacing w:line="320" w:lineRule="exact"/>
              <w:jc w:val="center"/>
              <w:rPr>
                <w:rFonts w:cstheme="minorHAnsi"/>
                <w:sz w:val="21"/>
                <w:szCs w:val="21"/>
              </w:rPr>
            </w:pPr>
            <w:r>
              <w:rPr>
                <w:rFonts w:cstheme="minorHAnsi"/>
                <w:sz w:val="21"/>
                <w:szCs w:val="21"/>
              </w:rPr>
              <w:t>营业收入*</w:t>
            </w: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tcBorders>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2718" w:type="dxa"/>
            <w:gridSpan w:val="2"/>
            <w:vAlign w:val="center"/>
          </w:tcPr>
          <w:p>
            <w:pPr>
              <w:autoSpaceDE w:val="0"/>
              <w:autoSpaceDN w:val="0"/>
              <w:adjustRightInd w:val="0"/>
              <w:spacing w:line="320" w:lineRule="exact"/>
              <w:jc w:val="center"/>
              <w:rPr>
                <w:rFonts w:cstheme="minorHAnsi"/>
                <w:sz w:val="21"/>
                <w:szCs w:val="21"/>
              </w:rPr>
            </w:pPr>
          </w:p>
        </w:tc>
        <w:tc>
          <w:tcPr>
            <w:tcW w:w="1701" w:type="dxa"/>
            <w:vAlign w:val="center"/>
          </w:tcPr>
          <w:p>
            <w:pPr>
              <w:autoSpaceDE w:val="0"/>
              <w:autoSpaceDN w:val="0"/>
              <w:adjustRightInd w:val="0"/>
              <w:spacing w:line="320" w:lineRule="exact"/>
              <w:jc w:val="center"/>
              <w:rPr>
                <w:rFonts w:cstheme="minorHAnsi"/>
                <w:sz w:val="21"/>
                <w:szCs w:val="21"/>
              </w:rPr>
            </w:pPr>
          </w:p>
        </w:tc>
        <w:tc>
          <w:tcPr>
            <w:tcW w:w="2791" w:type="dxa"/>
            <w:gridSpan w:val="2"/>
            <w:tcBorders>
              <w:right w:val="single" w:color="auto" w:sz="12" w:space="0"/>
            </w:tcBorders>
            <w:vAlign w:val="center"/>
          </w:tcPr>
          <w:p>
            <w:pPr>
              <w:autoSpaceDE w:val="0"/>
              <w:autoSpaceDN w:val="0"/>
              <w:adjustRightInd w:val="0"/>
              <w:spacing w:line="320" w:lineRule="exact"/>
              <w:jc w:val="center"/>
              <w:rPr>
                <w:rFonts w:cstheme="minorHAnsi"/>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vAlign w:val="center"/>
          </w:tcPr>
          <w:p>
            <w:pPr>
              <w:autoSpaceDE w:val="0"/>
              <w:autoSpaceDN w:val="0"/>
              <w:adjustRightInd w:val="0"/>
              <w:spacing w:line="320" w:lineRule="exact"/>
              <w:jc w:val="center"/>
              <w:rPr>
                <w:rFonts w:cstheme="minorHAnsi"/>
                <w:sz w:val="21"/>
                <w:szCs w:val="21"/>
              </w:rPr>
            </w:pPr>
          </w:p>
        </w:tc>
        <w:tc>
          <w:tcPr>
            <w:tcW w:w="1159"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p>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vAlign w:val="center"/>
          </w:tcPr>
          <w:p>
            <w:pPr>
              <w:autoSpaceDE w:val="0"/>
              <w:autoSpaceDN w:val="0"/>
              <w:adjustRightInd w:val="0"/>
              <w:spacing w:line="320" w:lineRule="exact"/>
              <w:jc w:val="center"/>
              <w:rPr>
                <w:rFonts w:cstheme="minorHAnsi"/>
                <w:sz w:val="21"/>
                <w:szCs w:val="21"/>
              </w:rPr>
            </w:pPr>
          </w:p>
        </w:tc>
        <w:tc>
          <w:tcPr>
            <w:tcW w:w="1275" w:type="dxa"/>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p>
            <w:pPr>
              <w:autoSpaceDE w:val="0"/>
              <w:autoSpaceDN w:val="0"/>
              <w:adjustRightInd w:val="0"/>
              <w:spacing w:line="320" w:lineRule="exact"/>
              <w:jc w:val="center"/>
              <w:rPr>
                <w:rFonts w:cstheme="minorHAnsi"/>
                <w:sz w:val="21"/>
                <w:szCs w:val="21"/>
              </w:rPr>
            </w:pPr>
            <w:r>
              <w:rPr>
                <w:rFonts w:cstheme="minorHAnsi"/>
                <w:sz w:val="21"/>
                <w:szCs w:val="21"/>
              </w:rPr>
              <w:t>人员数量</w:t>
            </w:r>
          </w:p>
        </w:tc>
        <w:tc>
          <w:tcPr>
            <w:tcW w:w="1516" w:type="dxa"/>
            <w:tcBorders>
              <w:right w:val="single" w:color="auto" w:sz="12" w:space="0"/>
            </w:tcBorders>
            <w:vAlign w:val="center"/>
          </w:tcPr>
          <w:p>
            <w:pPr>
              <w:autoSpaceDE w:val="0"/>
              <w:autoSpaceDN w:val="0"/>
              <w:adjustRightInd w:val="0"/>
              <w:spacing w:line="320" w:lineRule="exact"/>
              <w:jc w:val="center"/>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559" w:type="dxa"/>
            <w:vMerge w:val="continue"/>
            <w:tcBorders>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159"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p>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p>
        </w:tc>
        <w:tc>
          <w:tcPr>
            <w:tcW w:w="1275" w:type="dxa"/>
            <w:tcBorders>
              <w:bottom w:val="single" w:color="auto" w:sz="4"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p>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516" w:type="dxa"/>
            <w:tcBorders>
              <w:bottom w:val="single" w:color="auto" w:sz="4" w:space="0"/>
              <w:right w:val="single" w:color="auto" w:sz="12" w:space="0"/>
            </w:tcBorders>
            <w:vAlign w:val="center"/>
          </w:tcPr>
          <w:p>
            <w:pPr>
              <w:autoSpaceDE w:val="0"/>
              <w:autoSpaceDN w:val="0"/>
              <w:adjustRightInd w:val="0"/>
              <w:spacing w:line="320" w:lineRule="exact"/>
              <w:jc w:val="center"/>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tcBorders>
              <w:right w:val="single" w:color="auto" w:sz="12" w:space="0"/>
            </w:tcBorders>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7210" w:type="dxa"/>
            <w:gridSpan w:val="5"/>
            <w:tcBorders>
              <w:right w:val="single" w:color="auto" w:sz="12" w:space="0"/>
            </w:tcBorders>
            <w:vAlign w:val="center"/>
          </w:tcPr>
          <w:p>
            <w:pPr>
              <w:autoSpaceDE w:val="0"/>
              <w:autoSpaceDN w:val="0"/>
              <w:adjustRightInd w:val="0"/>
              <w:spacing w:line="320" w:lineRule="exact"/>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pPr>
              <w:autoSpaceDE w:val="0"/>
              <w:autoSpaceDN w:val="0"/>
              <w:adjustRightInd w:val="0"/>
              <w:spacing w:line="320" w:lineRule="exact"/>
              <w:jc w:val="center"/>
              <w:rPr>
                <w:rFonts w:cstheme="minorHAnsi"/>
                <w:sz w:val="21"/>
                <w:szCs w:val="21"/>
              </w:rPr>
            </w:pPr>
          </w:p>
        </w:tc>
        <w:tc>
          <w:tcPr>
            <w:tcW w:w="7210" w:type="dxa"/>
            <w:gridSpan w:val="5"/>
            <w:tcBorders>
              <w:right w:val="single" w:color="auto" w:sz="12" w:space="0"/>
            </w:tcBorders>
            <w:vAlign w:val="center"/>
          </w:tcPr>
          <w:p>
            <w:pPr>
              <w:autoSpaceDE w:val="0"/>
              <w:autoSpaceDN w:val="0"/>
              <w:adjustRightInd w:val="0"/>
              <w:spacing w:line="320" w:lineRule="exact"/>
              <w:rPr>
                <w:rFonts w:cstheme="minorHAnsi"/>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tcBorders>
              <w:bottom w:val="single" w:color="auto" w:sz="12" w:space="0"/>
              <w:right w:val="single" w:color="auto" w:sz="12" w:space="0"/>
            </w:tcBorders>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③表格空间不足时，请自行扩展。</w:t>
            </w:r>
          </w:p>
        </w:tc>
      </w:tr>
    </w:tbl>
    <w:p>
      <w:pPr>
        <w:rPr>
          <w:rFonts w:ascii="Calibri Light" w:hAnsi="Calibri Light" w:eastAsia="华文仿宋" w:cs="Calibri Light"/>
          <w:color w:val="000000"/>
          <w:sz w:val="28"/>
          <w:szCs w:val="28"/>
        </w:rPr>
        <w:sectPr>
          <w:footerReference r:id="rId23" w:type="default"/>
          <w:footerReference r:id="rId24" w:type="even"/>
          <w:pgSz w:w="11906" w:h="16838"/>
          <w:pgMar w:top="1418" w:right="1418" w:bottom="1418" w:left="1588" w:header="851" w:footer="992" w:gutter="0"/>
          <w:cols w:space="425" w:num="1"/>
          <w:docGrid w:type="lines" w:linePitch="420" w:charSpace="0"/>
        </w:sectPr>
      </w:pPr>
    </w:p>
    <w:p>
      <w:pPr>
        <w:keepNext/>
        <w:spacing w:before="120" w:after="60"/>
        <w:outlineLvl w:val="2"/>
        <w:rPr>
          <w:rFonts w:ascii="Calibri" w:hAnsi="Calibri" w:eastAsia="黑体"/>
          <w:kern w:val="28"/>
          <w:sz w:val="28"/>
        </w:rPr>
      </w:pPr>
      <w:r>
        <w:rPr>
          <w:rFonts w:ascii="Calibri" w:hAnsi="Calibri" w:eastAsia="黑体"/>
          <w:kern w:val="28"/>
          <w:sz w:val="28"/>
        </w:rPr>
        <w:t>（二）供应商参加政府采购活动承诺书</w:t>
      </w:r>
    </w:p>
    <w:p>
      <w:pPr>
        <w:pStyle w:val="89"/>
        <w:ind w:firstLine="480"/>
        <w:rPr>
          <w:i/>
          <w:color w:val="7030A0"/>
        </w:rPr>
      </w:pPr>
      <w:r>
        <w:rPr>
          <w:i/>
          <w:color w:val="7030A0"/>
        </w:rPr>
        <w:t>未签署下列承诺书的，将被视为无效投标，其责任由供应商自行承担。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为保证本采购项目顺利进行，作为投标供应商，现郑重承诺：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color w:val="C00000"/>
          <w:kern w:val="24"/>
        </w:rPr>
        <w:t>供应商全称并加盖公章</w:t>
      </w:r>
      <w:r>
        <w:rPr>
          <w:rFonts w:ascii="Calibri" w:hAnsi="Calibri" w:eastAsia="宋体" w:cstheme="minorHAnsi"/>
          <w:color w:val="000000"/>
          <w:kern w:val="24"/>
        </w:rPr>
        <w:t>）</w:t>
      </w:r>
    </w:p>
    <w:p>
      <w:pPr>
        <w:ind w:firstLine="480" w:firstLineChars="200"/>
        <w:jc w:val="both"/>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bookmarkEnd w:id="12"/>
    <w:p>
      <w:pPr>
        <w:pStyle w:val="89"/>
        <w:ind w:firstLine="0" w:firstLineChars="0"/>
      </w:pPr>
    </w:p>
    <w:sectPr>
      <w:footerReference r:id="rId25" w:type="default"/>
      <w:footerReference r:id="rId26"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公文黑体">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汉仪旗黑-55">
    <w:altName w:val="黑体"/>
    <w:panose1 w:val="00000000000000000000"/>
    <w:charset w:val="86"/>
    <w:family w:val="auto"/>
    <w:pitch w:val="default"/>
    <w:sig w:usb0="00000000" w:usb1="00000000" w:usb2="00000016"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2"/>
        <w:tab w:val="right" w:pos="8901"/>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52"/>
        <w:tab w:val="right" w:pos="8901"/>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65"/>
        <w:tab w:val="right" w:pos="890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left"/>
      <w:rPr>
        <w:rFonts w:ascii="宋体" w:hAnsi="宋体" w:eastAsia="宋体"/>
      </w:rPr>
    </w:pPr>
    <w:r>
      <w:rPr>
        <w:rFonts w:hint="eastAsia" w:ascii="宋体" w:hAnsi="宋体" w:eastAsia="宋体"/>
      </w:rPr>
      <w:t>陕西省西安市消防救援支队航空救援培训服务采购项目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right"/>
      <w:rPr>
        <w:rFonts w:ascii="宋体" w:hAnsi="宋体" w:eastAsia="宋体"/>
      </w:rPr>
    </w:pPr>
    <w:r>
      <w:rPr>
        <w:rFonts w:hint="eastAsia" w:ascii="宋体" w:hAnsi="宋体" w:eastAsia="宋体"/>
      </w:rPr>
      <w:t>陕西省西安市消防救援支队航空救援培训服务采购项目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clear" w:pos="4153"/>
        <w:tab w:val="clear" w:pos="8306"/>
      </w:tabs>
      <w:jc w:val="left"/>
      <w:rPr>
        <w:rFonts w:ascii="宋体" w:hAnsi="宋体" w:eastAsia="宋体"/>
      </w:rPr>
    </w:pPr>
    <w:r>
      <w:rPr>
        <w:rFonts w:hint="eastAsia" w:ascii="宋体" w:hAnsi="宋体" w:eastAsia="宋体"/>
      </w:rPr>
      <w:t>陕西省西安市消防救援支队航空救援培训服务采购项目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1A869"/>
    <w:multiLevelType w:val="multilevel"/>
    <w:tmpl w:val="C751A869"/>
    <w:lvl w:ilvl="0" w:tentative="0">
      <w:start w:val="1"/>
      <w:numFmt w:val="none"/>
      <w:suff w:val="nothing"/>
      <w:lvlText w:val="第一部分"/>
      <w:lvlJc w:val="left"/>
      <w:pPr>
        <w:tabs>
          <w:tab w:val="left" w:pos="0"/>
        </w:tabs>
        <w:ind w:left="0" w:firstLine="402"/>
      </w:pPr>
      <w:rPr>
        <w:rFonts w:hint="default" w:ascii="宋体" w:hAnsi="宋体" w:eastAsia="宋体" w:cs="宋体"/>
      </w:rPr>
    </w:lvl>
    <w:lvl w:ilvl="1" w:tentative="0">
      <w:start w:val="1"/>
      <w:numFmt w:val="none"/>
      <w:suff w:val="nothing"/>
      <w:lvlText w:val="一"/>
      <w:lvlJc w:val="left"/>
      <w:pPr>
        <w:ind w:left="0" w:firstLine="402"/>
      </w:pPr>
      <w:rPr>
        <w:rFonts w:hint="default" w:ascii="宋体" w:hAnsi="宋体" w:eastAsia="宋体" w:cs="宋体"/>
      </w:rPr>
    </w:lvl>
    <w:lvl w:ilvl="2" w:tentative="0">
      <w:start w:val="1"/>
      <w:numFmt w:val="none"/>
      <w:suff w:val="nothing"/>
      <w:lvlText w:val="1."/>
      <w:lvlJc w:val="left"/>
      <w:pPr>
        <w:tabs>
          <w:tab w:val="left" w:pos="0"/>
        </w:tabs>
        <w:ind w:left="0" w:firstLine="402"/>
      </w:pPr>
      <w:rPr>
        <w:rFonts w:hint="default" w:ascii="宋体" w:hAnsi="宋体" w:eastAsia="宋体" w:cs="宋体"/>
      </w:rPr>
    </w:lvl>
    <w:lvl w:ilvl="3" w:tentative="0">
      <w:start w:val="1"/>
      <w:numFmt w:val="none"/>
      <w:pStyle w:val="185"/>
      <w:suff w:val="nothing"/>
      <w:lvlText w:val="1.1"/>
      <w:lvlJc w:val="left"/>
      <w:pPr>
        <w:tabs>
          <w:tab w:val="left" w:pos="0"/>
        </w:tabs>
        <w:ind w:left="78" w:firstLine="402"/>
      </w:pPr>
      <w:rPr>
        <w:rFonts w:hint="default" w:ascii="宋体" w:hAnsi="宋体" w:eastAsia="宋体" w:cs="宋体"/>
      </w:rPr>
    </w:lvl>
    <w:lvl w:ilvl="4" w:tentative="0">
      <w:start w:val="1"/>
      <w:numFmt w:val="none"/>
      <w:suff w:val="nothing"/>
      <w:lvlText w:val="1.1.1"/>
      <w:lvlJc w:val="left"/>
      <w:pPr>
        <w:ind w:left="0" w:firstLine="402"/>
      </w:pPr>
      <w:rPr>
        <w:rFonts w:hint="default" w:ascii="宋体" w:hAnsi="宋体" w:eastAsia="宋体" w:cs="宋体"/>
      </w:rPr>
    </w:lvl>
    <w:lvl w:ilvl="5" w:tentative="0">
      <w:start w:val="1"/>
      <w:numFmt w:val="none"/>
      <w:suff w:val="nothing"/>
      <w:lvlText w:val="1.1.1.1"/>
      <w:lvlJc w:val="left"/>
      <w:pPr>
        <w:ind w:left="0" w:firstLine="402"/>
      </w:pPr>
      <w:rPr>
        <w:rFonts w:hint="default" w:ascii="宋体" w:hAnsi="宋体" w:eastAsia="宋体" w:cs="宋体"/>
      </w:rPr>
    </w:lvl>
    <w:lvl w:ilvl="6" w:tentative="0">
      <w:start w:val="1"/>
      <w:numFmt w:val="none"/>
      <w:suff w:val="nothing"/>
      <w:lvlText w:val="1.1.1.1.1"/>
      <w:lvlJc w:val="left"/>
      <w:pPr>
        <w:ind w:left="0" w:firstLine="402"/>
      </w:pPr>
      <w:rPr>
        <w:rFonts w:hint="default" w:ascii="宋体" w:hAnsi="宋体" w:eastAsia="宋体" w:cs="宋体"/>
        <w:b/>
      </w:rPr>
    </w:lvl>
    <w:lvl w:ilvl="7" w:tentative="0">
      <w:start w:val="1"/>
      <w:numFmt w:val="lowerLetter"/>
      <w:suff w:val="nothing"/>
      <w:lvlText w:val="%8）"/>
      <w:lvlJc w:val="left"/>
      <w:pPr>
        <w:ind w:left="0" w:firstLine="402"/>
      </w:pPr>
      <w:rPr>
        <w:rFonts w:hint="default" w:ascii="宋体" w:hAnsi="宋体" w:eastAsia="宋体" w:cs="宋体"/>
      </w:rPr>
    </w:lvl>
    <w:lvl w:ilvl="8" w:tentative="0">
      <w:start w:val="1"/>
      <w:numFmt w:val="lowerRoman"/>
      <w:suff w:val="nothing"/>
      <w:lvlText w:val="%9. "/>
      <w:lvlJc w:val="left"/>
      <w:pPr>
        <w:ind w:left="0" w:firstLine="402"/>
      </w:pPr>
      <w:rPr>
        <w:rFonts w:hint="default" w:ascii="宋体" w:hAnsi="宋体" w:eastAsia="宋体" w:cs="宋体"/>
      </w:rPr>
    </w:lvl>
  </w:abstractNum>
  <w:abstractNum w:abstractNumId="1">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AC295F"/>
    <w:multiLevelType w:val="multilevel"/>
    <w:tmpl w:val="50AC295F"/>
    <w:lvl w:ilvl="0" w:tentative="0">
      <w:start w:val="1"/>
      <w:numFmt w:val="none"/>
      <w:pStyle w:val="106"/>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863"/>
    <w:rsid w:val="00004F9A"/>
    <w:rsid w:val="00005E26"/>
    <w:rsid w:val="00006A52"/>
    <w:rsid w:val="0000732D"/>
    <w:rsid w:val="00010FED"/>
    <w:rsid w:val="00011A01"/>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257D"/>
    <w:rsid w:val="000434BD"/>
    <w:rsid w:val="00043830"/>
    <w:rsid w:val="000440AF"/>
    <w:rsid w:val="00044F32"/>
    <w:rsid w:val="00047455"/>
    <w:rsid w:val="00051EF3"/>
    <w:rsid w:val="00052177"/>
    <w:rsid w:val="0005253E"/>
    <w:rsid w:val="000543B4"/>
    <w:rsid w:val="00054879"/>
    <w:rsid w:val="000556F1"/>
    <w:rsid w:val="000559AE"/>
    <w:rsid w:val="00055F81"/>
    <w:rsid w:val="0005613F"/>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6D78"/>
    <w:rsid w:val="000B7806"/>
    <w:rsid w:val="000B7B93"/>
    <w:rsid w:val="000C048C"/>
    <w:rsid w:val="000C078B"/>
    <w:rsid w:val="000C21A4"/>
    <w:rsid w:val="000C22A9"/>
    <w:rsid w:val="000C3ADC"/>
    <w:rsid w:val="000C4C29"/>
    <w:rsid w:val="000C538D"/>
    <w:rsid w:val="000C53EF"/>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2085C"/>
    <w:rsid w:val="00121F55"/>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4310"/>
    <w:rsid w:val="001454AD"/>
    <w:rsid w:val="001455F6"/>
    <w:rsid w:val="001456C7"/>
    <w:rsid w:val="00145DA0"/>
    <w:rsid w:val="001479AF"/>
    <w:rsid w:val="00152476"/>
    <w:rsid w:val="001534EC"/>
    <w:rsid w:val="0015361E"/>
    <w:rsid w:val="00156ED5"/>
    <w:rsid w:val="0015782A"/>
    <w:rsid w:val="00157FB1"/>
    <w:rsid w:val="00160A34"/>
    <w:rsid w:val="00162008"/>
    <w:rsid w:val="001620EE"/>
    <w:rsid w:val="00162710"/>
    <w:rsid w:val="001630D0"/>
    <w:rsid w:val="00163F04"/>
    <w:rsid w:val="00164101"/>
    <w:rsid w:val="00164EE1"/>
    <w:rsid w:val="001664B2"/>
    <w:rsid w:val="00166804"/>
    <w:rsid w:val="001668AF"/>
    <w:rsid w:val="00166FD9"/>
    <w:rsid w:val="00167ECE"/>
    <w:rsid w:val="0017054A"/>
    <w:rsid w:val="00170E18"/>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25A"/>
    <w:rsid w:val="00193B5F"/>
    <w:rsid w:val="001947E8"/>
    <w:rsid w:val="00194890"/>
    <w:rsid w:val="0019564E"/>
    <w:rsid w:val="00196A1C"/>
    <w:rsid w:val="00196DD9"/>
    <w:rsid w:val="00197C5C"/>
    <w:rsid w:val="001A0376"/>
    <w:rsid w:val="001A0C97"/>
    <w:rsid w:val="001A127F"/>
    <w:rsid w:val="001A2103"/>
    <w:rsid w:val="001A5309"/>
    <w:rsid w:val="001A5764"/>
    <w:rsid w:val="001B0699"/>
    <w:rsid w:val="001B0C7B"/>
    <w:rsid w:val="001B2019"/>
    <w:rsid w:val="001B2E3B"/>
    <w:rsid w:val="001B49FD"/>
    <w:rsid w:val="001B5302"/>
    <w:rsid w:val="001B6115"/>
    <w:rsid w:val="001B6882"/>
    <w:rsid w:val="001C0A0A"/>
    <w:rsid w:val="001C0BA3"/>
    <w:rsid w:val="001C0BBD"/>
    <w:rsid w:val="001C1076"/>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039"/>
    <w:rsid w:val="00255DBC"/>
    <w:rsid w:val="00256AC1"/>
    <w:rsid w:val="0025777A"/>
    <w:rsid w:val="00257B25"/>
    <w:rsid w:val="00260306"/>
    <w:rsid w:val="002604AB"/>
    <w:rsid w:val="00261898"/>
    <w:rsid w:val="002621C5"/>
    <w:rsid w:val="00264014"/>
    <w:rsid w:val="0026501F"/>
    <w:rsid w:val="00266611"/>
    <w:rsid w:val="0026744B"/>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2C63"/>
    <w:rsid w:val="0029384E"/>
    <w:rsid w:val="00294428"/>
    <w:rsid w:val="002961E2"/>
    <w:rsid w:val="00296372"/>
    <w:rsid w:val="00297703"/>
    <w:rsid w:val="00297866"/>
    <w:rsid w:val="002A26D5"/>
    <w:rsid w:val="002A320E"/>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B7B0F"/>
    <w:rsid w:val="002C03FE"/>
    <w:rsid w:val="002C05A3"/>
    <w:rsid w:val="002C2182"/>
    <w:rsid w:val="002C4511"/>
    <w:rsid w:val="002C45C3"/>
    <w:rsid w:val="002C4DAE"/>
    <w:rsid w:val="002C6442"/>
    <w:rsid w:val="002C6F4A"/>
    <w:rsid w:val="002D2B5F"/>
    <w:rsid w:val="002D327B"/>
    <w:rsid w:val="002D41DD"/>
    <w:rsid w:val="002D5205"/>
    <w:rsid w:val="002D65D4"/>
    <w:rsid w:val="002D7418"/>
    <w:rsid w:val="002E1283"/>
    <w:rsid w:val="002E1660"/>
    <w:rsid w:val="002E2D2F"/>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7A6B"/>
    <w:rsid w:val="003302D2"/>
    <w:rsid w:val="00330EA4"/>
    <w:rsid w:val="0033167F"/>
    <w:rsid w:val="00332A7C"/>
    <w:rsid w:val="00335C58"/>
    <w:rsid w:val="00337CFC"/>
    <w:rsid w:val="0034052E"/>
    <w:rsid w:val="003406B1"/>
    <w:rsid w:val="00343305"/>
    <w:rsid w:val="003443D3"/>
    <w:rsid w:val="003450CD"/>
    <w:rsid w:val="00345F35"/>
    <w:rsid w:val="00346A88"/>
    <w:rsid w:val="00346D43"/>
    <w:rsid w:val="00346E08"/>
    <w:rsid w:val="00347675"/>
    <w:rsid w:val="0035004F"/>
    <w:rsid w:val="003509CA"/>
    <w:rsid w:val="003511FC"/>
    <w:rsid w:val="0035173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2DBF"/>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25DE"/>
    <w:rsid w:val="003B2AF6"/>
    <w:rsid w:val="003B3207"/>
    <w:rsid w:val="003B35A9"/>
    <w:rsid w:val="003B62EA"/>
    <w:rsid w:val="003C06FC"/>
    <w:rsid w:val="003C3325"/>
    <w:rsid w:val="003C4A2A"/>
    <w:rsid w:val="003C61F3"/>
    <w:rsid w:val="003C6AB2"/>
    <w:rsid w:val="003C6CC8"/>
    <w:rsid w:val="003C7C29"/>
    <w:rsid w:val="003D0275"/>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6D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37DD"/>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7136"/>
    <w:rsid w:val="005406CD"/>
    <w:rsid w:val="005412C1"/>
    <w:rsid w:val="00542742"/>
    <w:rsid w:val="005427F5"/>
    <w:rsid w:val="0054287D"/>
    <w:rsid w:val="00542A4A"/>
    <w:rsid w:val="00543027"/>
    <w:rsid w:val="0054390D"/>
    <w:rsid w:val="00544037"/>
    <w:rsid w:val="00544FDF"/>
    <w:rsid w:val="0054537C"/>
    <w:rsid w:val="00545E64"/>
    <w:rsid w:val="00547AD0"/>
    <w:rsid w:val="0055098B"/>
    <w:rsid w:val="005509F0"/>
    <w:rsid w:val="00551012"/>
    <w:rsid w:val="00551DF0"/>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19EF"/>
    <w:rsid w:val="00592CFD"/>
    <w:rsid w:val="00593C8A"/>
    <w:rsid w:val="00594467"/>
    <w:rsid w:val="00594F66"/>
    <w:rsid w:val="005960B9"/>
    <w:rsid w:val="00596DDA"/>
    <w:rsid w:val="005A1806"/>
    <w:rsid w:val="005A20E0"/>
    <w:rsid w:val="005A24F4"/>
    <w:rsid w:val="005A32F2"/>
    <w:rsid w:val="005A3DFC"/>
    <w:rsid w:val="005A43AB"/>
    <w:rsid w:val="005A5A7B"/>
    <w:rsid w:val="005A5B0F"/>
    <w:rsid w:val="005A5C13"/>
    <w:rsid w:val="005A69F8"/>
    <w:rsid w:val="005A6B45"/>
    <w:rsid w:val="005A7B9D"/>
    <w:rsid w:val="005B0579"/>
    <w:rsid w:val="005B155D"/>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51CD"/>
    <w:rsid w:val="005E548A"/>
    <w:rsid w:val="005E5A1C"/>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07D7E"/>
    <w:rsid w:val="00611427"/>
    <w:rsid w:val="00611AC2"/>
    <w:rsid w:val="00611FFE"/>
    <w:rsid w:val="00613BB6"/>
    <w:rsid w:val="0061572C"/>
    <w:rsid w:val="00615E79"/>
    <w:rsid w:val="00616D0D"/>
    <w:rsid w:val="0061777B"/>
    <w:rsid w:val="006229F9"/>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0C54"/>
    <w:rsid w:val="0064101A"/>
    <w:rsid w:val="0064196E"/>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4403"/>
    <w:rsid w:val="0066668A"/>
    <w:rsid w:val="006670D6"/>
    <w:rsid w:val="00667CAB"/>
    <w:rsid w:val="00670BE1"/>
    <w:rsid w:val="00674641"/>
    <w:rsid w:val="00675065"/>
    <w:rsid w:val="00675563"/>
    <w:rsid w:val="00675DAD"/>
    <w:rsid w:val="006777F8"/>
    <w:rsid w:val="00682389"/>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471D"/>
    <w:rsid w:val="0069553A"/>
    <w:rsid w:val="00695670"/>
    <w:rsid w:val="00695B4C"/>
    <w:rsid w:val="00695E20"/>
    <w:rsid w:val="00696F5B"/>
    <w:rsid w:val="00697CAC"/>
    <w:rsid w:val="006A2505"/>
    <w:rsid w:val="006A2D90"/>
    <w:rsid w:val="006A3763"/>
    <w:rsid w:val="006A3BA0"/>
    <w:rsid w:val="006A4EC6"/>
    <w:rsid w:val="006A5001"/>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214E"/>
    <w:rsid w:val="006D2DEA"/>
    <w:rsid w:val="006D2E9C"/>
    <w:rsid w:val="006D30BC"/>
    <w:rsid w:val="006D32F5"/>
    <w:rsid w:val="006D6154"/>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19E2"/>
    <w:rsid w:val="00703F7A"/>
    <w:rsid w:val="00704218"/>
    <w:rsid w:val="0070472C"/>
    <w:rsid w:val="00706102"/>
    <w:rsid w:val="00706B38"/>
    <w:rsid w:val="00711356"/>
    <w:rsid w:val="00713D33"/>
    <w:rsid w:val="00716375"/>
    <w:rsid w:val="007170E9"/>
    <w:rsid w:val="00717B21"/>
    <w:rsid w:val="00717B56"/>
    <w:rsid w:val="00721876"/>
    <w:rsid w:val="00723928"/>
    <w:rsid w:val="007240F9"/>
    <w:rsid w:val="00724763"/>
    <w:rsid w:val="007303C2"/>
    <w:rsid w:val="0073139F"/>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84A48"/>
    <w:rsid w:val="0079003B"/>
    <w:rsid w:val="00791F35"/>
    <w:rsid w:val="0079398D"/>
    <w:rsid w:val="00796382"/>
    <w:rsid w:val="00797959"/>
    <w:rsid w:val="007A0298"/>
    <w:rsid w:val="007A07F3"/>
    <w:rsid w:val="007A0EED"/>
    <w:rsid w:val="007A0F7E"/>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05E"/>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59F"/>
    <w:rsid w:val="007D39B9"/>
    <w:rsid w:val="007D4745"/>
    <w:rsid w:val="007D5763"/>
    <w:rsid w:val="007D596E"/>
    <w:rsid w:val="007D6288"/>
    <w:rsid w:val="007D7193"/>
    <w:rsid w:val="007D7958"/>
    <w:rsid w:val="007D7D00"/>
    <w:rsid w:val="007E0A87"/>
    <w:rsid w:val="007E0EF3"/>
    <w:rsid w:val="007E1576"/>
    <w:rsid w:val="007E1B29"/>
    <w:rsid w:val="007E1F6F"/>
    <w:rsid w:val="007E2BD2"/>
    <w:rsid w:val="007E39A0"/>
    <w:rsid w:val="007E5F41"/>
    <w:rsid w:val="007E6311"/>
    <w:rsid w:val="007E6CF2"/>
    <w:rsid w:val="007F0BE0"/>
    <w:rsid w:val="007F1EB4"/>
    <w:rsid w:val="007F5493"/>
    <w:rsid w:val="007F575C"/>
    <w:rsid w:val="007F5B53"/>
    <w:rsid w:val="007F60D5"/>
    <w:rsid w:val="007F6DC7"/>
    <w:rsid w:val="0080075E"/>
    <w:rsid w:val="00802948"/>
    <w:rsid w:val="00802AAC"/>
    <w:rsid w:val="008051CA"/>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AD"/>
    <w:rsid w:val="00836FBF"/>
    <w:rsid w:val="008376EF"/>
    <w:rsid w:val="00837760"/>
    <w:rsid w:val="00837F02"/>
    <w:rsid w:val="008405BF"/>
    <w:rsid w:val="00840EF2"/>
    <w:rsid w:val="00841C09"/>
    <w:rsid w:val="00842649"/>
    <w:rsid w:val="00842D6E"/>
    <w:rsid w:val="00843A87"/>
    <w:rsid w:val="00843C41"/>
    <w:rsid w:val="00843DDE"/>
    <w:rsid w:val="00843F1C"/>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70585"/>
    <w:rsid w:val="00870FEC"/>
    <w:rsid w:val="0087254B"/>
    <w:rsid w:val="00872837"/>
    <w:rsid w:val="0087394A"/>
    <w:rsid w:val="00873EAC"/>
    <w:rsid w:val="00874D32"/>
    <w:rsid w:val="00876377"/>
    <w:rsid w:val="00880D1C"/>
    <w:rsid w:val="00880EB6"/>
    <w:rsid w:val="00880F52"/>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67FF"/>
    <w:rsid w:val="00897000"/>
    <w:rsid w:val="008A06A4"/>
    <w:rsid w:val="008A0739"/>
    <w:rsid w:val="008A2458"/>
    <w:rsid w:val="008A32D0"/>
    <w:rsid w:val="008A3682"/>
    <w:rsid w:val="008A5D30"/>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64FB"/>
    <w:rsid w:val="008C771B"/>
    <w:rsid w:val="008C77A4"/>
    <w:rsid w:val="008D0DB7"/>
    <w:rsid w:val="008D2DAF"/>
    <w:rsid w:val="008D4EEC"/>
    <w:rsid w:val="008D5B0C"/>
    <w:rsid w:val="008D5BFC"/>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45D5"/>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09"/>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2D75"/>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241E"/>
    <w:rsid w:val="009F410E"/>
    <w:rsid w:val="009F5D47"/>
    <w:rsid w:val="009F68EB"/>
    <w:rsid w:val="009F750B"/>
    <w:rsid w:val="00A00435"/>
    <w:rsid w:val="00A00A4D"/>
    <w:rsid w:val="00A01BCA"/>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C4D"/>
    <w:rsid w:val="00A42D4A"/>
    <w:rsid w:val="00A451FE"/>
    <w:rsid w:val="00A45C6F"/>
    <w:rsid w:val="00A45D7A"/>
    <w:rsid w:val="00A46DCC"/>
    <w:rsid w:val="00A47B0A"/>
    <w:rsid w:val="00A5014E"/>
    <w:rsid w:val="00A50BD1"/>
    <w:rsid w:val="00A528A8"/>
    <w:rsid w:val="00A532C9"/>
    <w:rsid w:val="00A55DD6"/>
    <w:rsid w:val="00A562E3"/>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0311"/>
    <w:rsid w:val="00AA1080"/>
    <w:rsid w:val="00AA16D3"/>
    <w:rsid w:val="00AA18CA"/>
    <w:rsid w:val="00AA1D98"/>
    <w:rsid w:val="00AA3063"/>
    <w:rsid w:val="00AA3BFA"/>
    <w:rsid w:val="00AA4BCE"/>
    <w:rsid w:val="00AA5940"/>
    <w:rsid w:val="00AA5A0A"/>
    <w:rsid w:val="00AA5E84"/>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45BE"/>
    <w:rsid w:val="00AC632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326E"/>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3EB9"/>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A30"/>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CE"/>
    <w:rsid w:val="00BB75BE"/>
    <w:rsid w:val="00BB7E90"/>
    <w:rsid w:val="00BC03CC"/>
    <w:rsid w:val="00BC0AB7"/>
    <w:rsid w:val="00BC0D92"/>
    <w:rsid w:val="00BC11D7"/>
    <w:rsid w:val="00BC1B9C"/>
    <w:rsid w:val="00BC2C14"/>
    <w:rsid w:val="00BC31EE"/>
    <w:rsid w:val="00BC3C19"/>
    <w:rsid w:val="00BC4501"/>
    <w:rsid w:val="00BC4B27"/>
    <w:rsid w:val="00BC4BC8"/>
    <w:rsid w:val="00BC57C1"/>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68EE"/>
    <w:rsid w:val="00C07250"/>
    <w:rsid w:val="00C074A8"/>
    <w:rsid w:val="00C076EF"/>
    <w:rsid w:val="00C07F2A"/>
    <w:rsid w:val="00C1262A"/>
    <w:rsid w:val="00C1444A"/>
    <w:rsid w:val="00C144BA"/>
    <w:rsid w:val="00C15E59"/>
    <w:rsid w:val="00C15E84"/>
    <w:rsid w:val="00C16C84"/>
    <w:rsid w:val="00C17512"/>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FE6"/>
    <w:rsid w:val="00C66713"/>
    <w:rsid w:val="00C67BE9"/>
    <w:rsid w:val="00C70AE3"/>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84A"/>
    <w:rsid w:val="00C86F92"/>
    <w:rsid w:val="00C87FD1"/>
    <w:rsid w:val="00C90072"/>
    <w:rsid w:val="00C91B57"/>
    <w:rsid w:val="00C9533B"/>
    <w:rsid w:val="00C95A92"/>
    <w:rsid w:val="00CA14A2"/>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5F07"/>
    <w:rsid w:val="00CB63F6"/>
    <w:rsid w:val="00CB6CF9"/>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03"/>
    <w:rsid w:val="00D01136"/>
    <w:rsid w:val="00D01432"/>
    <w:rsid w:val="00D03474"/>
    <w:rsid w:val="00D03476"/>
    <w:rsid w:val="00D03C0F"/>
    <w:rsid w:val="00D04372"/>
    <w:rsid w:val="00D04C9A"/>
    <w:rsid w:val="00D04FB0"/>
    <w:rsid w:val="00D04FD4"/>
    <w:rsid w:val="00D06998"/>
    <w:rsid w:val="00D06B71"/>
    <w:rsid w:val="00D06DC1"/>
    <w:rsid w:val="00D10236"/>
    <w:rsid w:val="00D105D9"/>
    <w:rsid w:val="00D11197"/>
    <w:rsid w:val="00D11FB0"/>
    <w:rsid w:val="00D129B0"/>
    <w:rsid w:val="00D1422B"/>
    <w:rsid w:val="00D1756F"/>
    <w:rsid w:val="00D20BC2"/>
    <w:rsid w:val="00D20F6E"/>
    <w:rsid w:val="00D2100C"/>
    <w:rsid w:val="00D21893"/>
    <w:rsid w:val="00D23183"/>
    <w:rsid w:val="00D23A71"/>
    <w:rsid w:val="00D23B6E"/>
    <w:rsid w:val="00D23DB6"/>
    <w:rsid w:val="00D242FC"/>
    <w:rsid w:val="00D24F90"/>
    <w:rsid w:val="00D25BB8"/>
    <w:rsid w:val="00D26400"/>
    <w:rsid w:val="00D264F9"/>
    <w:rsid w:val="00D26E9A"/>
    <w:rsid w:val="00D270C3"/>
    <w:rsid w:val="00D31768"/>
    <w:rsid w:val="00D319D6"/>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2D03"/>
    <w:rsid w:val="00D46FE0"/>
    <w:rsid w:val="00D509A6"/>
    <w:rsid w:val="00D51C08"/>
    <w:rsid w:val="00D51F3E"/>
    <w:rsid w:val="00D52B8F"/>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785"/>
    <w:rsid w:val="00D80653"/>
    <w:rsid w:val="00D80DD2"/>
    <w:rsid w:val="00D827CC"/>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54B"/>
    <w:rsid w:val="00DC3ED2"/>
    <w:rsid w:val="00DC4AE1"/>
    <w:rsid w:val="00DC5939"/>
    <w:rsid w:val="00DC6B38"/>
    <w:rsid w:val="00DC767D"/>
    <w:rsid w:val="00DC7A15"/>
    <w:rsid w:val="00DD0CDD"/>
    <w:rsid w:val="00DD1288"/>
    <w:rsid w:val="00DD26EA"/>
    <w:rsid w:val="00DD2A54"/>
    <w:rsid w:val="00DD2FC8"/>
    <w:rsid w:val="00DD35BB"/>
    <w:rsid w:val="00DD5EDD"/>
    <w:rsid w:val="00DD6551"/>
    <w:rsid w:val="00DD65A8"/>
    <w:rsid w:val="00DD6935"/>
    <w:rsid w:val="00DD6B34"/>
    <w:rsid w:val="00DD7198"/>
    <w:rsid w:val="00DE10B2"/>
    <w:rsid w:val="00DE3B48"/>
    <w:rsid w:val="00DE766D"/>
    <w:rsid w:val="00DF06D5"/>
    <w:rsid w:val="00DF06E1"/>
    <w:rsid w:val="00DF0FF1"/>
    <w:rsid w:val="00DF1557"/>
    <w:rsid w:val="00DF253B"/>
    <w:rsid w:val="00DF3DF0"/>
    <w:rsid w:val="00DF4505"/>
    <w:rsid w:val="00DF49C5"/>
    <w:rsid w:val="00DF6B72"/>
    <w:rsid w:val="00DF7223"/>
    <w:rsid w:val="00DF749E"/>
    <w:rsid w:val="00DF7988"/>
    <w:rsid w:val="00E0112E"/>
    <w:rsid w:val="00E01664"/>
    <w:rsid w:val="00E02056"/>
    <w:rsid w:val="00E036A6"/>
    <w:rsid w:val="00E037D5"/>
    <w:rsid w:val="00E046DC"/>
    <w:rsid w:val="00E05F80"/>
    <w:rsid w:val="00E06820"/>
    <w:rsid w:val="00E070FA"/>
    <w:rsid w:val="00E07564"/>
    <w:rsid w:val="00E07EB9"/>
    <w:rsid w:val="00E10A87"/>
    <w:rsid w:val="00E10EFC"/>
    <w:rsid w:val="00E114BC"/>
    <w:rsid w:val="00E11D50"/>
    <w:rsid w:val="00E13609"/>
    <w:rsid w:val="00E138AE"/>
    <w:rsid w:val="00E14B3C"/>
    <w:rsid w:val="00E16067"/>
    <w:rsid w:val="00E20896"/>
    <w:rsid w:val="00E212E3"/>
    <w:rsid w:val="00E21EB3"/>
    <w:rsid w:val="00E22505"/>
    <w:rsid w:val="00E227F4"/>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4C3"/>
    <w:rsid w:val="00E91684"/>
    <w:rsid w:val="00E9170D"/>
    <w:rsid w:val="00E9198A"/>
    <w:rsid w:val="00E92C29"/>
    <w:rsid w:val="00E931C1"/>
    <w:rsid w:val="00E93508"/>
    <w:rsid w:val="00E93D1C"/>
    <w:rsid w:val="00E93D73"/>
    <w:rsid w:val="00E94BE1"/>
    <w:rsid w:val="00E94BFD"/>
    <w:rsid w:val="00E94E0E"/>
    <w:rsid w:val="00E96277"/>
    <w:rsid w:val="00E97186"/>
    <w:rsid w:val="00E97F6C"/>
    <w:rsid w:val="00EA04D2"/>
    <w:rsid w:val="00EA6401"/>
    <w:rsid w:val="00EA68DB"/>
    <w:rsid w:val="00EA6B0B"/>
    <w:rsid w:val="00EA7277"/>
    <w:rsid w:val="00EA7FFB"/>
    <w:rsid w:val="00EB0764"/>
    <w:rsid w:val="00EB1322"/>
    <w:rsid w:val="00EB1A62"/>
    <w:rsid w:val="00EB4FC8"/>
    <w:rsid w:val="00EB538F"/>
    <w:rsid w:val="00EB5DBD"/>
    <w:rsid w:val="00EB7672"/>
    <w:rsid w:val="00EB7A4C"/>
    <w:rsid w:val="00EC0DD8"/>
    <w:rsid w:val="00EC0FE1"/>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24DA"/>
    <w:rsid w:val="00EE3720"/>
    <w:rsid w:val="00EE3F92"/>
    <w:rsid w:val="00EE4DD2"/>
    <w:rsid w:val="00EE4E4F"/>
    <w:rsid w:val="00EE68DF"/>
    <w:rsid w:val="00EE7634"/>
    <w:rsid w:val="00EF08C2"/>
    <w:rsid w:val="00EF1AA0"/>
    <w:rsid w:val="00EF271D"/>
    <w:rsid w:val="00EF4228"/>
    <w:rsid w:val="00EF473E"/>
    <w:rsid w:val="00EF4DC8"/>
    <w:rsid w:val="00EF4F46"/>
    <w:rsid w:val="00EF59D7"/>
    <w:rsid w:val="00EF659E"/>
    <w:rsid w:val="00EF6A13"/>
    <w:rsid w:val="00F01751"/>
    <w:rsid w:val="00F02CF2"/>
    <w:rsid w:val="00F0385A"/>
    <w:rsid w:val="00F04ADF"/>
    <w:rsid w:val="00F078C6"/>
    <w:rsid w:val="00F1070F"/>
    <w:rsid w:val="00F13BB5"/>
    <w:rsid w:val="00F14992"/>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69"/>
    <w:rsid w:val="00F53CC6"/>
    <w:rsid w:val="00F564CD"/>
    <w:rsid w:val="00F61702"/>
    <w:rsid w:val="00F62E71"/>
    <w:rsid w:val="00F63011"/>
    <w:rsid w:val="00F6306C"/>
    <w:rsid w:val="00F630C8"/>
    <w:rsid w:val="00F64C12"/>
    <w:rsid w:val="00F6552D"/>
    <w:rsid w:val="00F65709"/>
    <w:rsid w:val="00F6573B"/>
    <w:rsid w:val="00F65CFF"/>
    <w:rsid w:val="00F667F5"/>
    <w:rsid w:val="00F67278"/>
    <w:rsid w:val="00F67ABE"/>
    <w:rsid w:val="00F710E9"/>
    <w:rsid w:val="00F733F0"/>
    <w:rsid w:val="00F75E36"/>
    <w:rsid w:val="00F75F28"/>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979C6"/>
    <w:rsid w:val="00FA1393"/>
    <w:rsid w:val="00FA18B4"/>
    <w:rsid w:val="00FA1F53"/>
    <w:rsid w:val="00FA2095"/>
    <w:rsid w:val="00FA244D"/>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060"/>
    <w:rsid w:val="00FF2C7E"/>
    <w:rsid w:val="00FF2E19"/>
    <w:rsid w:val="00FF568F"/>
    <w:rsid w:val="00FF756F"/>
    <w:rsid w:val="03597303"/>
    <w:rsid w:val="0CDB69E6"/>
    <w:rsid w:val="0CFF54CC"/>
    <w:rsid w:val="10615A49"/>
    <w:rsid w:val="17CD1C16"/>
    <w:rsid w:val="2C5D75B5"/>
    <w:rsid w:val="301E705B"/>
    <w:rsid w:val="3BBE2E16"/>
    <w:rsid w:val="3CEF3043"/>
    <w:rsid w:val="3FB13A48"/>
    <w:rsid w:val="40F57964"/>
    <w:rsid w:val="42664A0F"/>
    <w:rsid w:val="5D4D2BAA"/>
    <w:rsid w:val="662A0043"/>
    <w:rsid w:val="686F7E78"/>
    <w:rsid w:val="6A771266"/>
    <w:rsid w:val="6BBB5DF6"/>
    <w:rsid w:val="7C7A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64"/>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65"/>
    <w:unhideWhenUsed/>
    <w:qFormat/>
    <w:uiPriority w:val="0"/>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6"/>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67"/>
    <w:unhideWhenUsed/>
    <w:qFormat/>
    <w:uiPriority w:val="0"/>
    <w:pPr>
      <w:keepNext/>
      <w:numPr>
        <w:ilvl w:val="3"/>
        <w:numId w:val="1"/>
      </w:numPr>
      <w:spacing w:before="240" w:after="60"/>
      <w:outlineLvl w:val="3"/>
    </w:pPr>
    <w:rPr>
      <w:rFonts w:cstheme="majorBidi"/>
      <w:b/>
      <w:bCs/>
      <w:sz w:val="28"/>
      <w:szCs w:val="28"/>
    </w:rPr>
  </w:style>
  <w:style w:type="paragraph" w:styleId="6">
    <w:name w:val="heading 5"/>
    <w:basedOn w:val="1"/>
    <w:next w:val="1"/>
    <w:link w:val="68"/>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9"/>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70"/>
    <w:semiHidden/>
    <w:unhideWhenUsed/>
    <w:qFormat/>
    <w:uiPriority w:val="9"/>
    <w:pPr>
      <w:numPr>
        <w:ilvl w:val="6"/>
        <w:numId w:val="1"/>
      </w:numPr>
      <w:spacing w:before="240" w:after="60"/>
      <w:outlineLvl w:val="6"/>
    </w:pPr>
  </w:style>
  <w:style w:type="paragraph" w:styleId="9">
    <w:name w:val="heading 8"/>
    <w:basedOn w:val="1"/>
    <w:next w:val="1"/>
    <w:link w:val="71"/>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72"/>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qFormat/>
    <w:uiPriority w:val="0"/>
    <w:pPr>
      <w:autoSpaceDE w:val="0"/>
      <w:autoSpaceDN w:val="0"/>
      <w:adjustRightInd w:val="0"/>
      <w:ind w:firstLine="420"/>
    </w:pPr>
    <w:rPr>
      <w:rFonts w:ascii="Copperplate Gothic Bold" w:hAnsi="Copperplate Gothic Bold"/>
      <w:sz w:val="28"/>
      <w:szCs w:val="28"/>
    </w:rPr>
  </w:style>
  <w:style w:type="paragraph" w:styleId="12">
    <w:name w:val="header"/>
    <w:basedOn w:val="1"/>
    <w:link w:val="6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Document Map"/>
    <w:basedOn w:val="1"/>
    <w:link w:val="96"/>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88"/>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link w:val="162"/>
    <w:unhideWhenUsed/>
    <w:qFormat/>
    <w:uiPriority w:val="0"/>
    <w:pPr>
      <w:spacing w:after="120"/>
    </w:pPr>
  </w:style>
  <w:style w:type="paragraph" w:styleId="17">
    <w:name w:val="Body Text Indent"/>
    <w:basedOn w:val="1"/>
    <w:link w:val="179"/>
    <w:semiHidden/>
    <w:unhideWhenUsed/>
    <w:qFormat/>
    <w:uiPriority w:val="0"/>
    <w:pPr>
      <w:spacing w:after="120"/>
      <w:ind w:left="420" w:leftChars="200"/>
    </w:pPr>
  </w:style>
  <w:style w:type="paragraph" w:styleId="18">
    <w:name w:val="Plain Text"/>
    <w:basedOn w:val="1"/>
    <w:link w:val="100"/>
    <w:unhideWhenUsed/>
    <w:qFormat/>
    <w:uiPriority w:val="0"/>
    <w:rPr>
      <w:rFonts w:ascii="宋体" w:hAnsi="Courier New" w:eastAsia="宋体" w:cs="Courier New"/>
      <w:sz w:val="21"/>
      <w:szCs w:val="21"/>
    </w:rPr>
  </w:style>
  <w:style w:type="paragraph" w:styleId="19">
    <w:name w:val="Date"/>
    <w:basedOn w:val="1"/>
    <w:next w:val="1"/>
    <w:link w:val="61"/>
    <w:semiHidden/>
    <w:unhideWhenUsed/>
    <w:qFormat/>
    <w:uiPriority w:val="99"/>
    <w:pPr>
      <w:ind w:left="100" w:leftChars="2500"/>
    </w:pPr>
  </w:style>
  <w:style w:type="paragraph" w:styleId="20">
    <w:name w:val="Body Text Indent 2"/>
    <w:basedOn w:val="1"/>
    <w:link w:val="182"/>
    <w:qFormat/>
    <w:uiPriority w:val="0"/>
    <w:pPr>
      <w:widowControl w:val="0"/>
      <w:ind w:firstLine="200" w:firstLineChars="200"/>
      <w:jc w:val="both"/>
    </w:pPr>
    <w:rPr>
      <w:rFonts w:ascii="Times New Roman" w:hAnsi="Times New Roman" w:eastAsia="仿宋_GB2312"/>
      <w:kern w:val="2"/>
      <w:sz w:val="32"/>
      <w:szCs w:val="32"/>
    </w:rPr>
  </w:style>
  <w:style w:type="paragraph" w:styleId="21">
    <w:name w:val="Balloon Text"/>
    <w:basedOn w:val="1"/>
    <w:link w:val="87"/>
    <w:unhideWhenUsed/>
    <w:qFormat/>
    <w:uiPriority w:val="0"/>
    <w:rPr>
      <w:sz w:val="18"/>
      <w:szCs w:val="18"/>
    </w:rPr>
  </w:style>
  <w:style w:type="paragraph" w:styleId="22">
    <w:name w:val="footer"/>
    <w:basedOn w:val="1"/>
    <w:link w:val="63"/>
    <w:unhideWhenUsed/>
    <w:qFormat/>
    <w:uiPriority w:val="0"/>
    <w:pPr>
      <w:tabs>
        <w:tab w:val="center" w:pos="4153"/>
        <w:tab w:val="right" w:pos="8306"/>
      </w:tabs>
      <w:snapToGrid w:val="0"/>
      <w:spacing w:line="240" w:lineRule="atLeast"/>
    </w:pPr>
    <w:rPr>
      <w:sz w:val="18"/>
      <w:szCs w:val="18"/>
    </w:rPr>
  </w:style>
  <w:style w:type="paragraph" w:styleId="23">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4">
    <w:name w:val="Subtitle"/>
    <w:basedOn w:val="1"/>
    <w:next w:val="1"/>
    <w:link w:val="74"/>
    <w:qFormat/>
    <w:uiPriority w:val="11"/>
    <w:pPr>
      <w:keepNext/>
      <w:spacing w:before="50" w:beforeLines="50" w:after="50" w:afterLines="50"/>
      <w:jc w:val="center"/>
      <w:outlineLvl w:val="1"/>
    </w:pPr>
    <w:rPr>
      <w:rFonts w:ascii="Calibri" w:hAnsi="Calibri" w:eastAsia="黑体" w:cstheme="majorBidi"/>
      <w:sz w:val="32"/>
    </w:rPr>
  </w:style>
  <w:style w:type="paragraph" w:styleId="25">
    <w:name w:val="footnote text"/>
    <w:basedOn w:val="1"/>
    <w:link w:val="183"/>
    <w:unhideWhenUsed/>
    <w:qFormat/>
    <w:uiPriority w:val="0"/>
    <w:pPr>
      <w:widowControl w:val="0"/>
      <w:snapToGrid w:val="0"/>
    </w:pPr>
    <w:rPr>
      <w:rFonts w:ascii="Times New Roman" w:hAnsi="Times New Roman" w:eastAsia="仿宋_GB2312"/>
      <w:kern w:val="2"/>
      <w:sz w:val="18"/>
      <w:szCs w:val="18"/>
    </w:rPr>
  </w:style>
  <w:style w:type="paragraph" w:styleId="26">
    <w:name w:val="HTML Preformatted"/>
    <w:basedOn w:val="1"/>
    <w:link w:val="178"/>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pPr>
    <w:rPr>
      <w:rFonts w:hint="eastAsia" w:ascii="宋体" w:hAnsi="宋体" w:eastAsia="宋体"/>
    </w:rPr>
  </w:style>
  <w:style w:type="paragraph" w:styleId="27">
    <w:name w:val="Normal (Web)"/>
    <w:basedOn w:val="1"/>
    <w:qFormat/>
    <w:uiPriority w:val="0"/>
  </w:style>
  <w:style w:type="paragraph" w:styleId="28">
    <w:name w:val="Title"/>
    <w:basedOn w:val="1"/>
    <w:next w:val="1"/>
    <w:link w:val="73"/>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5"/>
    <w:next w:val="15"/>
    <w:link w:val="95"/>
    <w:unhideWhenUsed/>
    <w:qFormat/>
    <w:uiPriority w:val="99"/>
    <w:rPr>
      <w:b/>
      <w:bCs/>
    </w:rPr>
  </w:style>
  <w:style w:type="paragraph" w:styleId="30">
    <w:name w:val="Body Text First Indent"/>
    <w:basedOn w:val="16"/>
    <w:link w:val="163"/>
    <w:qFormat/>
    <w:uiPriority w:val="0"/>
    <w:pPr>
      <w:widowControl w:val="0"/>
      <w:ind w:firstLine="420" w:firstLineChars="100"/>
      <w:jc w:val="both"/>
    </w:pPr>
    <w:rPr>
      <w:rFonts w:ascii="Times New Roman" w:hAnsi="Times New Roman" w:eastAsia="宋体"/>
      <w:kern w:val="2"/>
      <w:sz w:val="21"/>
    </w:rPr>
  </w:style>
  <w:style w:type="paragraph" w:styleId="31">
    <w:name w:val="Body Text First Indent 2"/>
    <w:basedOn w:val="17"/>
    <w:link w:val="180"/>
    <w:unhideWhenUsed/>
    <w:qFormat/>
    <w:uiPriority w:val="99"/>
    <w:pPr>
      <w:widowControl w:val="0"/>
      <w:ind w:firstLine="420" w:firstLineChars="200"/>
      <w:jc w:val="both"/>
    </w:pPr>
    <w:rPr>
      <w:rFonts w:cstheme="minorBidi"/>
      <w:kern w:val="2"/>
      <w:sz w:val="21"/>
      <w:szCs w:val="2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qFormat/>
    <w:uiPriority w:val="0"/>
    <w:rPr>
      <w:rFonts w:ascii="Times New Roman" w:hAnsi="Times New Roman" w:eastAsia="宋体" w:cs="Times New Roman"/>
    </w:rPr>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0"/>
    <w:rPr>
      <w:rFonts w:asciiTheme="minorHAnsi" w:hAnsiTheme="minorHAnsi"/>
      <w:b/>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paragraph" w:customStyle="1" w:styleId="41">
    <w:name w:val="※封面大标题"/>
    <w:basedOn w:val="1"/>
    <w:next w:val="1"/>
    <w:qFormat/>
    <w:uiPriority w:val="0"/>
    <w:pPr>
      <w:jc w:val="center"/>
    </w:pPr>
    <w:rPr>
      <w:rFonts w:ascii="华文中宋" w:hAnsi="华文中宋" w:eastAsia="华文中宋"/>
      <w:sz w:val="96"/>
      <w:szCs w:val="96"/>
    </w:rPr>
  </w:style>
  <w:style w:type="paragraph" w:customStyle="1" w:styleId="42">
    <w:name w:val="※封面题颌"/>
    <w:basedOn w:val="1"/>
    <w:next w:val="1"/>
    <w:qFormat/>
    <w:uiPriority w:val="0"/>
    <w:pPr>
      <w:jc w:val="center"/>
    </w:pPr>
    <w:rPr>
      <w:rFonts w:ascii="Calibri Light" w:hAnsi="Calibri Light" w:eastAsia="华文仿宋"/>
      <w:sz w:val="36"/>
      <w:szCs w:val="36"/>
    </w:rPr>
  </w:style>
  <w:style w:type="paragraph" w:customStyle="1" w:styleId="43">
    <w:name w:val="※封面题眉"/>
    <w:basedOn w:val="1"/>
    <w:next w:val="41"/>
    <w:qFormat/>
    <w:uiPriority w:val="0"/>
    <w:pPr>
      <w:jc w:val="center"/>
    </w:pPr>
    <w:rPr>
      <w:rFonts w:ascii="华文仿宋" w:hAnsi="华文仿宋" w:eastAsia="华文仿宋"/>
      <w:sz w:val="52"/>
      <w:szCs w:val="28"/>
    </w:rPr>
  </w:style>
  <w:style w:type="paragraph" w:customStyle="1" w:styleId="44">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5">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6">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7">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8">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9">
    <w:name w:val="※小标题 一"/>
    <w:basedOn w:val="48"/>
    <w:next w:val="48"/>
    <w:qFormat/>
    <w:uiPriority w:val="0"/>
    <w:pPr>
      <w:spacing w:before="120" w:line="240" w:lineRule="auto"/>
      <w:outlineLvl w:val="2"/>
    </w:pPr>
    <w:rPr>
      <w:b/>
      <w:color w:val="203864" w:themeColor="accent5" w:themeShade="80"/>
      <w:sz w:val="32"/>
    </w:rPr>
  </w:style>
  <w:style w:type="paragraph" w:customStyle="1" w:styleId="50">
    <w:name w:val="※小标题（1）"/>
    <w:basedOn w:val="1"/>
    <w:next w:val="48"/>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1">
    <w:name w:val="※小标题（一）"/>
    <w:basedOn w:val="1"/>
    <w:next w:val="48"/>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2">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3">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4">
    <w:name w:val="※页眉"/>
    <w:basedOn w:val="48"/>
    <w:qFormat/>
    <w:uiPriority w:val="0"/>
    <w:pPr>
      <w:pBdr>
        <w:bottom w:val="single" w:color="auto" w:sz="4" w:space="1"/>
      </w:pBdr>
      <w:spacing w:line="240" w:lineRule="atLeast"/>
      <w:jc w:val="right"/>
    </w:pPr>
    <w:rPr>
      <w:rFonts w:ascii="宋体" w:hAnsi="宋体" w:eastAsia="宋体"/>
      <w:sz w:val="18"/>
    </w:rPr>
  </w:style>
  <w:style w:type="paragraph" w:customStyle="1" w:styleId="55">
    <w:name w:val="※章节标题（第X章）"/>
    <w:basedOn w:val="1"/>
    <w:qFormat/>
    <w:uiPriority w:val="0"/>
    <w:pPr>
      <w:jc w:val="center"/>
      <w:outlineLvl w:val="0"/>
    </w:pPr>
    <w:rPr>
      <w:rFonts w:ascii="Calibri Light" w:hAnsi="Calibri Light" w:eastAsia="黑体"/>
      <w:sz w:val="36"/>
      <w:szCs w:val="28"/>
    </w:rPr>
  </w:style>
  <w:style w:type="paragraph" w:customStyle="1" w:styleId="56">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7">
    <w:name w:val="※章节标题（第Z部分分项）"/>
    <w:basedOn w:val="56"/>
    <w:qFormat/>
    <w:uiPriority w:val="0"/>
    <w:pPr>
      <w:outlineLvl w:val="2"/>
    </w:pPr>
  </w:style>
  <w:style w:type="paragraph" w:customStyle="1" w:styleId="58">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9">
    <w:name w:val="※正文（缩进2）"/>
    <w:basedOn w:val="48"/>
    <w:qFormat/>
    <w:uiPriority w:val="0"/>
    <w:pPr>
      <w:ind w:firstLine="200" w:firstLineChars="200"/>
    </w:pPr>
  </w:style>
  <w:style w:type="paragraph" w:customStyle="1" w:styleId="60">
    <w:name w:val="※正文（缩进4）"/>
    <w:basedOn w:val="48"/>
    <w:qFormat/>
    <w:uiPriority w:val="0"/>
    <w:pPr>
      <w:ind w:firstLine="400" w:firstLineChars="400"/>
    </w:pPr>
  </w:style>
  <w:style w:type="character" w:customStyle="1" w:styleId="61">
    <w:name w:val="日期 Char"/>
    <w:basedOn w:val="34"/>
    <w:link w:val="19"/>
    <w:semiHidden/>
    <w:qFormat/>
    <w:uiPriority w:val="99"/>
    <w:rPr>
      <w:rFonts w:ascii="华文仿宋" w:hAnsi="华文仿宋" w:eastAsia="华文仿宋"/>
      <w:sz w:val="28"/>
      <w:szCs w:val="28"/>
    </w:rPr>
  </w:style>
  <w:style w:type="character" w:customStyle="1" w:styleId="62">
    <w:name w:val="页眉 Char"/>
    <w:basedOn w:val="34"/>
    <w:link w:val="12"/>
    <w:qFormat/>
    <w:uiPriority w:val="0"/>
    <w:rPr>
      <w:rFonts w:ascii="华文仿宋" w:hAnsi="华文仿宋" w:eastAsia="华文仿宋"/>
      <w:sz w:val="18"/>
      <w:szCs w:val="18"/>
    </w:rPr>
  </w:style>
  <w:style w:type="character" w:customStyle="1" w:styleId="63">
    <w:name w:val="页脚 Char"/>
    <w:basedOn w:val="34"/>
    <w:link w:val="22"/>
    <w:qFormat/>
    <w:uiPriority w:val="0"/>
    <w:rPr>
      <w:rFonts w:ascii="华文仿宋" w:hAnsi="华文仿宋" w:eastAsia="华文仿宋"/>
      <w:sz w:val="18"/>
      <w:szCs w:val="18"/>
    </w:rPr>
  </w:style>
  <w:style w:type="character" w:customStyle="1" w:styleId="64">
    <w:name w:val="标题 1 Char"/>
    <w:basedOn w:val="34"/>
    <w:link w:val="2"/>
    <w:qFormat/>
    <w:uiPriority w:val="9"/>
    <w:rPr>
      <w:rFonts w:ascii="Calibri" w:hAnsi="Calibri" w:eastAsia="黑体"/>
      <w:bCs/>
      <w:kern w:val="36"/>
      <w:sz w:val="32"/>
      <w:szCs w:val="32"/>
    </w:rPr>
  </w:style>
  <w:style w:type="character" w:customStyle="1" w:styleId="65">
    <w:name w:val="标题 2 Char"/>
    <w:basedOn w:val="34"/>
    <w:link w:val="3"/>
    <w:qFormat/>
    <w:uiPriority w:val="0"/>
    <w:rPr>
      <w:rFonts w:ascii="Calibri" w:hAnsi="Calibri" w:eastAsia="黑体" w:cstheme="majorBidi"/>
      <w:bCs/>
      <w:iCs/>
      <w:kern w:val="32"/>
      <w:sz w:val="28"/>
      <w:szCs w:val="28"/>
    </w:rPr>
  </w:style>
  <w:style w:type="character" w:customStyle="1" w:styleId="66">
    <w:name w:val="标题 3 Char"/>
    <w:basedOn w:val="34"/>
    <w:link w:val="4"/>
    <w:qFormat/>
    <w:uiPriority w:val="9"/>
    <w:rPr>
      <w:rFonts w:ascii="Calibri Light" w:hAnsi="Calibri Light" w:eastAsia="宋体"/>
      <w:b/>
      <w:bCs/>
      <w:kern w:val="30"/>
      <w:sz w:val="24"/>
      <w:szCs w:val="26"/>
    </w:rPr>
  </w:style>
  <w:style w:type="character" w:customStyle="1" w:styleId="67">
    <w:name w:val="标题 4 Char"/>
    <w:basedOn w:val="34"/>
    <w:link w:val="5"/>
    <w:qFormat/>
    <w:uiPriority w:val="0"/>
    <w:rPr>
      <w:rFonts w:cstheme="majorBidi"/>
      <w:b/>
      <w:bCs/>
      <w:sz w:val="28"/>
      <w:szCs w:val="28"/>
    </w:rPr>
  </w:style>
  <w:style w:type="character" w:customStyle="1" w:styleId="68">
    <w:name w:val="标题 5 Char"/>
    <w:basedOn w:val="34"/>
    <w:link w:val="6"/>
    <w:semiHidden/>
    <w:qFormat/>
    <w:uiPriority w:val="9"/>
    <w:rPr>
      <w:b/>
      <w:bCs/>
      <w:i/>
      <w:iCs/>
      <w:sz w:val="26"/>
      <w:szCs w:val="26"/>
    </w:rPr>
  </w:style>
  <w:style w:type="character" w:customStyle="1" w:styleId="69">
    <w:name w:val="标题 6 Char"/>
    <w:basedOn w:val="34"/>
    <w:link w:val="7"/>
    <w:semiHidden/>
    <w:qFormat/>
    <w:uiPriority w:val="9"/>
    <w:rPr>
      <w:rFonts w:cstheme="majorBidi"/>
      <w:b/>
      <w:bCs/>
    </w:rPr>
  </w:style>
  <w:style w:type="character" w:customStyle="1" w:styleId="70">
    <w:name w:val="标题 7 Char"/>
    <w:basedOn w:val="34"/>
    <w:link w:val="8"/>
    <w:semiHidden/>
    <w:qFormat/>
    <w:uiPriority w:val="9"/>
    <w:rPr>
      <w:sz w:val="24"/>
      <w:szCs w:val="24"/>
    </w:rPr>
  </w:style>
  <w:style w:type="character" w:customStyle="1" w:styleId="71">
    <w:name w:val="标题 8 Char"/>
    <w:basedOn w:val="34"/>
    <w:link w:val="9"/>
    <w:semiHidden/>
    <w:qFormat/>
    <w:uiPriority w:val="9"/>
    <w:rPr>
      <w:rFonts w:cstheme="majorBidi"/>
      <w:i/>
      <w:iCs/>
      <w:sz w:val="24"/>
      <w:szCs w:val="24"/>
    </w:rPr>
  </w:style>
  <w:style w:type="character" w:customStyle="1" w:styleId="72">
    <w:name w:val="标题 9 Char"/>
    <w:basedOn w:val="34"/>
    <w:link w:val="10"/>
    <w:semiHidden/>
    <w:qFormat/>
    <w:uiPriority w:val="9"/>
    <w:rPr>
      <w:rFonts w:asciiTheme="majorHAnsi" w:hAnsiTheme="majorHAnsi" w:eastAsiaTheme="majorEastAsia" w:cstheme="majorBidi"/>
    </w:rPr>
  </w:style>
  <w:style w:type="character" w:customStyle="1" w:styleId="73">
    <w:name w:val="标题 Char"/>
    <w:basedOn w:val="34"/>
    <w:link w:val="28"/>
    <w:qFormat/>
    <w:uiPriority w:val="10"/>
    <w:rPr>
      <w:rFonts w:asciiTheme="majorHAnsi" w:hAnsiTheme="majorHAnsi" w:eastAsiaTheme="majorEastAsia" w:cstheme="majorBidi"/>
      <w:b/>
      <w:bCs/>
      <w:kern w:val="28"/>
      <w:sz w:val="32"/>
      <w:szCs w:val="32"/>
    </w:rPr>
  </w:style>
  <w:style w:type="character" w:customStyle="1" w:styleId="74">
    <w:name w:val="副标题 Char"/>
    <w:basedOn w:val="34"/>
    <w:link w:val="24"/>
    <w:qFormat/>
    <w:uiPriority w:val="11"/>
    <w:rPr>
      <w:rFonts w:ascii="Calibri" w:hAnsi="Calibri" w:eastAsia="黑体" w:cstheme="majorBidi"/>
      <w:sz w:val="32"/>
      <w:szCs w:val="24"/>
    </w:rPr>
  </w:style>
  <w:style w:type="paragraph" w:styleId="75">
    <w:name w:val="No Spacing"/>
    <w:basedOn w:val="1"/>
    <w:qFormat/>
    <w:uiPriority w:val="1"/>
    <w:rPr>
      <w:szCs w:val="32"/>
    </w:rPr>
  </w:style>
  <w:style w:type="paragraph" w:styleId="76">
    <w:name w:val="List Paragraph"/>
    <w:basedOn w:val="1"/>
    <w:link w:val="167"/>
    <w:qFormat/>
    <w:uiPriority w:val="99"/>
    <w:pPr>
      <w:ind w:left="720"/>
      <w:contextualSpacing/>
    </w:pPr>
  </w:style>
  <w:style w:type="paragraph" w:styleId="77">
    <w:name w:val="Quote"/>
    <w:basedOn w:val="1"/>
    <w:next w:val="1"/>
    <w:link w:val="78"/>
    <w:qFormat/>
    <w:uiPriority w:val="29"/>
    <w:rPr>
      <w:i/>
    </w:rPr>
  </w:style>
  <w:style w:type="character" w:customStyle="1" w:styleId="78">
    <w:name w:val="引用 Char"/>
    <w:basedOn w:val="34"/>
    <w:link w:val="77"/>
    <w:qFormat/>
    <w:uiPriority w:val="29"/>
    <w:rPr>
      <w:i/>
      <w:sz w:val="24"/>
      <w:szCs w:val="24"/>
    </w:rPr>
  </w:style>
  <w:style w:type="paragraph" w:styleId="79">
    <w:name w:val="Intense Quote"/>
    <w:basedOn w:val="1"/>
    <w:next w:val="1"/>
    <w:link w:val="80"/>
    <w:qFormat/>
    <w:uiPriority w:val="30"/>
    <w:pPr>
      <w:ind w:left="720" w:right="720"/>
    </w:pPr>
    <w:rPr>
      <w:b/>
      <w:i/>
      <w:szCs w:val="22"/>
    </w:rPr>
  </w:style>
  <w:style w:type="character" w:customStyle="1" w:styleId="80">
    <w:name w:val="明显引用 Char"/>
    <w:basedOn w:val="34"/>
    <w:link w:val="79"/>
    <w:qFormat/>
    <w:uiPriority w:val="30"/>
    <w:rPr>
      <w:b/>
      <w:i/>
      <w:sz w:val="24"/>
    </w:rPr>
  </w:style>
  <w:style w:type="character" w:customStyle="1" w:styleId="81">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82">
    <w:name w:val="明显强调1"/>
    <w:basedOn w:val="34"/>
    <w:qFormat/>
    <w:uiPriority w:val="21"/>
    <w:rPr>
      <w:b/>
      <w:i/>
      <w:sz w:val="24"/>
      <w:szCs w:val="24"/>
      <w:u w:val="single"/>
    </w:rPr>
  </w:style>
  <w:style w:type="character" w:customStyle="1" w:styleId="83">
    <w:name w:val="不明显参考1"/>
    <w:basedOn w:val="34"/>
    <w:qFormat/>
    <w:uiPriority w:val="31"/>
    <w:rPr>
      <w:sz w:val="24"/>
      <w:szCs w:val="24"/>
      <w:u w:val="single"/>
    </w:rPr>
  </w:style>
  <w:style w:type="character" w:customStyle="1" w:styleId="84">
    <w:name w:val="明显参考1"/>
    <w:basedOn w:val="34"/>
    <w:qFormat/>
    <w:uiPriority w:val="32"/>
    <w:rPr>
      <w:b/>
      <w:sz w:val="24"/>
      <w:u w:val="single"/>
    </w:rPr>
  </w:style>
  <w:style w:type="character" w:customStyle="1" w:styleId="85">
    <w:name w:val="书籍标题1"/>
    <w:basedOn w:val="34"/>
    <w:qFormat/>
    <w:uiPriority w:val="33"/>
    <w:rPr>
      <w:rFonts w:asciiTheme="majorHAnsi" w:hAnsiTheme="majorHAnsi" w:eastAsiaTheme="majorEastAsia"/>
      <w:b/>
      <w:i/>
      <w:sz w:val="24"/>
      <w:szCs w:val="24"/>
    </w:rPr>
  </w:style>
  <w:style w:type="paragraph" w:customStyle="1" w:styleId="86">
    <w:name w:val="TOC 标题1"/>
    <w:basedOn w:val="2"/>
    <w:next w:val="1"/>
    <w:semiHidden/>
    <w:unhideWhenUsed/>
    <w:qFormat/>
    <w:uiPriority w:val="39"/>
    <w:pPr>
      <w:outlineLvl w:val="9"/>
    </w:pPr>
  </w:style>
  <w:style w:type="character" w:customStyle="1" w:styleId="87">
    <w:name w:val="批注框文本 Char"/>
    <w:basedOn w:val="34"/>
    <w:link w:val="21"/>
    <w:qFormat/>
    <w:uiPriority w:val="0"/>
    <w:rPr>
      <w:sz w:val="18"/>
      <w:szCs w:val="18"/>
    </w:rPr>
  </w:style>
  <w:style w:type="character" w:customStyle="1" w:styleId="88">
    <w:name w:val="批注文字 Char"/>
    <w:basedOn w:val="34"/>
    <w:link w:val="15"/>
    <w:qFormat/>
    <w:uiPriority w:val="99"/>
    <w:rPr>
      <w:rFonts w:ascii="Calibri Light" w:hAnsi="Calibri Light" w:eastAsia="华文仿宋" w:cs="Calibri Light"/>
      <w:kern w:val="2"/>
      <w:sz w:val="28"/>
      <w:szCs w:val="28"/>
    </w:rPr>
  </w:style>
  <w:style w:type="paragraph" w:customStyle="1" w:styleId="89">
    <w:name w:val="@正文"/>
    <w:basedOn w:val="48"/>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0">
    <w:name w:val="@一级小标题"/>
    <w:basedOn w:val="1"/>
    <w:next w:val="89"/>
    <w:qFormat/>
    <w:uiPriority w:val="0"/>
    <w:pPr>
      <w:keepNext/>
      <w:spacing w:before="120" w:after="60"/>
      <w:outlineLvl w:val="2"/>
    </w:pPr>
    <w:rPr>
      <w:rFonts w:ascii="Calibri" w:hAnsi="Calibri" w:eastAsia="黑体"/>
      <w:kern w:val="28"/>
      <w:sz w:val="28"/>
    </w:rPr>
  </w:style>
  <w:style w:type="paragraph" w:customStyle="1" w:styleId="91">
    <w:name w:val="@标题"/>
    <w:basedOn w:val="1"/>
    <w:next w:val="89"/>
    <w:qFormat/>
    <w:uiPriority w:val="0"/>
    <w:pPr>
      <w:keepNext/>
      <w:spacing w:before="50" w:beforeLines="50" w:after="50" w:afterLines="50"/>
      <w:jc w:val="center"/>
      <w:outlineLvl w:val="1"/>
    </w:pPr>
    <w:rPr>
      <w:rFonts w:ascii="Calibri" w:hAnsi="Calibri" w:eastAsia="黑体"/>
      <w:kern w:val="32"/>
      <w:sz w:val="32"/>
    </w:rPr>
  </w:style>
  <w:style w:type="table" w:customStyle="1" w:styleId="92">
    <w:name w:val="网格型1"/>
    <w:basedOn w:val="32"/>
    <w:qFormat/>
    <w:uiPriority w:val="9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页眉 Char1"/>
    <w:basedOn w:val="34"/>
    <w:semiHidden/>
    <w:qFormat/>
    <w:uiPriority w:val="99"/>
    <w:rPr>
      <w:rFonts w:cs="Calibri Light"/>
      <w:sz w:val="18"/>
      <w:szCs w:val="18"/>
    </w:rPr>
  </w:style>
  <w:style w:type="character" w:customStyle="1" w:styleId="94">
    <w:name w:val="页脚 Char1"/>
    <w:basedOn w:val="34"/>
    <w:semiHidden/>
    <w:qFormat/>
    <w:uiPriority w:val="99"/>
    <w:rPr>
      <w:rFonts w:cs="Calibri Light"/>
      <w:sz w:val="18"/>
      <w:szCs w:val="18"/>
    </w:rPr>
  </w:style>
  <w:style w:type="character" w:customStyle="1" w:styleId="95">
    <w:name w:val="批注主题 Char"/>
    <w:basedOn w:val="88"/>
    <w:link w:val="29"/>
    <w:qFormat/>
    <w:uiPriority w:val="99"/>
    <w:rPr>
      <w:rFonts w:ascii="Calibri Light" w:hAnsi="Calibri Light" w:eastAsia="华文仿宋" w:cs="Calibri Light"/>
      <w:b/>
      <w:bCs/>
      <w:kern w:val="2"/>
      <w:sz w:val="28"/>
      <w:szCs w:val="28"/>
    </w:rPr>
  </w:style>
  <w:style w:type="character" w:customStyle="1" w:styleId="96">
    <w:name w:val="文档结构图 Char"/>
    <w:basedOn w:val="34"/>
    <w:link w:val="14"/>
    <w:semiHidden/>
    <w:qFormat/>
    <w:uiPriority w:val="99"/>
    <w:rPr>
      <w:rFonts w:ascii="宋体" w:hAnsi="Calibri Light" w:eastAsia="宋体" w:cs="Calibri Light"/>
      <w:kern w:val="2"/>
      <w:sz w:val="18"/>
      <w:szCs w:val="18"/>
    </w:rPr>
  </w:style>
  <w:style w:type="character" w:styleId="97">
    <w:name w:val="Placeholder Text"/>
    <w:basedOn w:val="34"/>
    <w:semiHidden/>
    <w:qFormat/>
    <w:uiPriority w:val="99"/>
    <w:rPr>
      <w:color w:val="808080"/>
    </w:rPr>
  </w:style>
  <w:style w:type="table" w:customStyle="1" w:styleId="98">
    <w:name w:val="网格型11"/>
    <w:basedOn w:val="32"/>
    <w:qFormat/>
    <w:uiPriority w:val="9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纯文本 Char"/>
    <w:basedOn w:val="34"/>
    <w:link w:val="18"/>
    <w:qFormat/>
    <w:uiPriority w:val="0"/>
    <w:rPr>
      <w:rFonts w:ascii="宋体" w:hAnsi="Courier New" w:eastAsia="宋体" w:cs="Courier New"/>
      <w:sz w:val="21"/>
      <w:szCs w:val="21"/>
    </w:rPr>
  </w:style>
  <w:style w:type="character" w:customStyle="1" w:styleId="101">
    <w:name w:val="不明显强调11"/>
    <w:qFormat/>
    <w:uiPriority w:val="19"/>
    <w:rPr>
      <w:i/>
      <w:color w:val="595959" w:themeColor="text1" w:themeTint="A6"/>
      <w14:textFill>
        <w14:solidFill>
          <w14:schemeClr w14:val="tx1">
            <w14:lumMod w14:val="65000"/>
            <w14:lumOff w14:val="35000"/>
          </w14:schemeClr>
        </w14:solidFill>
      </w14:textFill>
    </w:rPr>
  </w:style>
  <w:style w:type="character" w:customStyle="1" w:styleId="102">
    <w:name w:val="明显强调11"/>
    <w:basedOn w:val="34"/>
    <w:qFormat/>
    <w:uiPriority w:val="21"/>
    <w:rPr>
      <w:b/>
      <w:i/>
      <w:sz w:val="24"/>
      <w:szCs w:val="24"/>
      <w:u w:val="single"/>
    </w:rPr>
  </w:style>
  <w:style w:type="character" w:customStyle="1" w:styleId="103">
    <w:name w:val="不明显参考11"/>
    <w:basedOn w:val="34"/>
    <w:qFormat/>
    <w:uiPriority w:val="31"/>
    <w:rPr>
      <w:sz w:val="24"/>
      <w:szCs w:val="24"/>
      <w:u w:val="single"/>
    </w:rPr>
  </w:style>
  <w:style w:type="character" w:customStyle="1" w:styleId="104">
    <w:name w:val="明显参考11"/>
    <w:basedOn w:val="34"/>
    <w:qFormat/>
    <w:uiPriority w:val="32"/>
    <w:rPr>
      <w:b/>
      <w:sz w:val="24"/>
      <w:u w:val="single"/>
    </w:rPr>
  </w:style>
  <w:style w:type="character" w:customStyle="1" w:styleId="105">
    <w:name w:val="书籍标题11"/>
    <w:basedOn w:val="34"/>
    <w:qFormat/>
    <w:uiPriority w:val="33"/>
    <w:rPr>
      <w:rFonts w:asciiTheme="majorHAnsi" w:hAnsiTheme="majorHAnsi" w:eastAsiaTheme="majorEastAsia"/>
      <w:b/>
      <w:i/>
      <w:sz w:val="24"/>
      <w:szCs w:val="24"/>
    </w:rPr>
  </w:style>
  <w:style w:type="paragraph" w:customStyle="1" w:styleId="106">
    <w:name w:val="TOC 标题11"/>
    <w:basedOn w:val="2"/>
    <w:next w:val="1"/>
    <w:semiHidden/>
    <w:unhideWhenUsed/>
    <w:qFormat/>
    <w:uiPriority w:val="39"/>
    <w:pPr>
      <w:numPr>
        <w:numId w:val="2"/>
      </w:numPr>
      <w:outlineLvl w:val="9"/>
    </w:pPr>
  </w:style>
  <w:style w:type="paragraph" w:customStyle="1" w:styleId="107">
    <w:name w:val="Table Paragraph"/>
    <w:basedOn w:val="1"/>
    <w:qFormat/>
    <w:uiPriority w:val="1"/>
    <w:pPr>
      <w:widowControl w:val="0"/>
      <w:autoSpaceDE w:val="0"/>
      <w:autoSpaceDN w:val="0"/>
    </w:pPr>
    <w:rPr>
      <w:rFonts w:ascii="华文仿宋" w:hAnsi="华文仿宋" w:eastAsia="华文仿宋" w:cs="华文仿宋"/>
      <w:sz w:val="22"/>
      <w:szCs w:val="22"/>
      <w:lang w:val="zh-CN" w:bidi="zh-CN"/>
    </w:rPr>
  </w:style>
  <w:style w:type="character" w:customStyle="1" w:styleId="108">
    <w:name w:val="NormalCharacter"/>
    <w:qFormat/>
    <w:uiPriority w:val="0"/>
  </w:style>
  <w:style w:type="paragraph" w:customStyle="1" w:styleId="109">
    <w:name w:val="UserStyle_6"/>
    <w:basedOn w:val="1"/>
    <w:qFormat/>
    <w:uiPriority w:val="0"/>
    <w:pPr>
      <w:ind w:left="1736"/>
      <w:textAlignment w:val="baseline"/>
    </w:pPr>
    <w:rPr>
      <w:rFonts w:ascii="宋体" w:hAnsi="宋体" w:eastAsia="宋体" w:cstheme="minorBidi"/>
      <w:sz w:val="27"/>
      <w:szCs w:val="27"/>
      <w:lang w:eastAsia="en-US"/>
    </w:rPr>
  </w:style>
  <w:style w:type="paragraph" w:customStyle="1" w:styleId="110">
    <w:name w:val="font0"/>
    <w:basedOn w:val="1"/>
    <w:qFormat/>
    <w:uiPriority w:val="0"/>
    <w:pPr>
      <w:spacing w:before="100" w:beforeAutospacing="1" w:after="100" w:afterAutospacing="1"/>
    </w:pPr>
    <w:rPr>
      <w:rFonts w:ascii="宋体" w:hAnsi="宋体" w:eastAsia="宋体" w:cs="宋体"/>
      <w:color w:val="000000"/>
      <w:sz w:val="22"/>
      <w:szCs w:val="22"/>
    </w:rPr>
  </w:style>
  <w:style w:type="paragraph" w:customStyle="1" w:styleId="111">
    <w:name w:val="font5"/>
    <w:basedOn w:val="1"/>
    <w:qFormat/>
    <w:uiPriority w:val="0"/>
    <w:pPr>
      <w:spacing w:before="100" w:beforeAutospacing="1" w:after="100" w:afterAutospacing="1"/>
    </w:pPr>
    <w:rPr>
      <w:rFonts w:ascii="方正公文黑体" w:hAnsi="宋体" w:eastAsia="方正公文黑体" w:cs="宋体"/>
    </w:rPr>
  </w:style>
  <w:style w:type="paragraph" w:customStyle="1" w:styleId="112">
    <w:name w:val="font6"/>
    <w:basedOn w:val="1"/>
    <w:qFormat/>
    <w:uiPriority w:val="0"/>
    <w:pPr>
      <w:spacing w:before="100" w:beforeAutospacing="1" w:after="100" w:afterAutospacing="1"/>
    </w:pPr>
    <w:rPr>
      <w:rFonts w:ascii="方正公文黑体" w:hAnsi="宋体" w:eastAsia="方正公文黑体" w:cs="宋体"/>
      <w:sz w:val="20"/>
      <w:szCs w:val="20"/>
    </w:rPr>
  </w:style>
  <w:style w:type="paragraph" w:customStyle="1" w:styleId="113">
    <w:name w:val="font7"/>
    <w:basedOn w:val="1"/>
    <w:qFormat/>
    <w:uiPriority w:val="0"/>
    <w:pPr>
      <w:spacing w:before="100" w:beforeAutospacing="1" w:after="100" w:afterAutospacing="1"/>
    </w:pPr>
    <w:rPr>
      <w:rFonts w:ascii="方正公文黑体" w:hAnsi="宋体" w:eastAsia="方正公文黑体" w:cs="宋体"/>
      <w:sz w:val="22"/>
      <w:szCs w:val="22"/>
    </w:rPr>
  </w:style>
  <w:style w:type="paragraph" w:customStyle="1" w:styleId="114">
    <w:name w:val="font8"/>
    <w:basedOn w:val="1"/>
    <w:qFormat/>
    <w:uiPriority w:val="0"/>
    <w:pPr>
      <w:spacing w:before="100" w:beforeAutospacing="1" w:after="100" w:afterAutospacing="1"/>
    </w:pPr>
    <w:rPr>
      <w:rFonts w:ascii="方正公文黑体" w:hAnsi="宋体" w:eastAsia="方正公文黑体" w:cs="宋体"/>
      <w:b/>
      <w:bCs/>
      <w:color w:val="000000"/>
      <w:sz w:val="20"/>
      <w:szCs w:val="20"/>
    </w:rPr>
  </w:style>
  <w:style w:type="paragraph" w:customStyle="1" w:styleId="115">
    <w:name w:val="font9"/>
    <w:basedOn w:val="1"/>
    <w:qFormat/>
    <w:uiPriority w:val="0"/>
    <w:pPr>
      <w:spacing w:before="100" w:beforeAutospacing="1" w:after="100" w:afterAutospacing="1"/>
    </w:pPr>
    <w:rPr>
      <w:rFonts w:ascii="方正公文黑体" w:hAnsi="宋体" w:eastAsia="方正公文黑体" w:cs="宋体"/>
      <w:color w:val="000000"/>
      <w:sz w:val="20"/>
      <w:szCs w:val="20"/>
    </w:rPr>
  </w:style>
  <w:style w:type="paragraph" w:customStyle="1" w:styleId="116">
    <w:name w:val="font10"/>
    <w:basedOn w:val="1"/>
    <w:qFormat/>
    <w:uiPriority w:val="0"/>
    <w:pPr>
      <w:spacing w:before="100" w:beforeAutospacing="1" w:after="100" w:afterAutospacing="1"/>
    </w:pPr>
    <w:rPr>
      <w:rFonts w:ascii="宋体" w:hAnsi="宋体" w:eastAsia="宋体" w:cs="宋体"/>
      <w:b/>
      <w:bCs/>
      <w:color w:val="000000"/>
      <w:sz w:val="22"/>
      <w:szCs w:val="22"/>
    </w:rPr>
  </w:style>
  <w:style w:type="paragraph" w:customStyle="1" w:styleId="117">
    <w:name w:val="font11"/>
    <w:basedOn w:val="1"/>
    <w:qFormat/>
    <w:uiPriority w:val="0"/>
    <w:pPr>
      <w:spacing w:before="100" w:beforeAutospacing="1" w:after="100" w:afterAutospacing="1"/>
    </w:pPr>
    <w:rPr>
      <w:rFonts w:ascii="方正公文黑体" w:hAnsi="宋体" w:eastAsia="方正公文黑体" w:cs="宋体"/>
      <w:b/>
      <w:bCs/>
      <w:color w:val="000000"/>
    </w:rPr>
  </w:style>
  <w:style w:type="paragraph" w:customStyle="1" w:styleId="118">
    <w:name w:val="font12"/>
    <w:basedOn w:val="1"/>
    <w:qFormat/>
    <w:uiPriority w:val="0"/>
    <w:pPr>
      <w:spacing w:before="100" w:beforeAutospacing="1" w:after="100" w:afterAutospacing="1"/>
    </w:pPr>
    <w:rPr>
      <w:rFonts w:ascii="方正公文黑体" w:hAnsi="宋体" w:eastAsia="方正公文黑体" w:cs="宋体"/>
      <w:color w:val="000000"/>
    </w:rPr>
  </w:style>
  <w:style w:type="paragraph" w:customStyle="1" w:styleId="119">
    <w:name w:val="font13"/>
    <w:basedOn w:val="1"/>
    <w:qFormat/>
    <w:uiPriority w:val="0"/>
    <w:pPr>
      <w:spacing w:before="100" w:beforeAutospacing="1" w:after="100" w:afterAutospacing="1"/>
    </w:pPr>
    <w:rPr>
      <w:rFonts w:ascii="方正公文黑体" w:hAnsi="宋体" w:eastAsia="方正公文黑体" w:cs="宋体"/>
      <w:b/>
      <w:bCs/>
    </w:rPr>
  </w:style>
  <w:style w:type="paragraph" w:customStyle="1" w:styleId="120">
    <w:name w:val="font14"/>
    <w:basedOn w:val="1"/>
    <w:qFormat/>
    <w:uiPriority w:val="0"/>
    <w:pPr>
      <w:spacing w:before="100" w:beforeAutospacing="1" w:after="100" w:afterAutospacing="1"/>
    </w:pPr>
    <w:rPr>
      <w:rFonts w:ascii="方正公文黑体" w:hAnsi="宋体" w:eastAsia="方正公文黑体" w:cs="宋体"/>
      <w:b/>
      <w:bCs/>
      <w:sz w:val="20"/>
      <w:szCs w:val="20"/>
    </w:rPr>
  </w:style>
  <w:style w:type="paragraph" w:customStyle="1" w:styleId="121">
    <w:name w:val="font15"/>
    <w:basedOn w:val="1"/>
    <w:qFormat/>
    <w:uiPriority w:val="0"/>
    <w:pPr>
      <w:spacing w:before="100" w:beforeAutospacing="1" w:after="100" w:afterAutospacing="1"/>
    </w:pPr>
    <w:rPr>
      <w:rFonts w:ascii="方正公文黑体" w:hAnsi="宋体" w:eastAsia="方正公文黑体" w:cs="宋体"/>
      <w:b/>
      <w:bCs/>
      <w:sz w:val="22"/>
      <w:szCs w:val="22"/>
    </w:rPr>
  </w:style>
  <w:style w:type="paragraph" w:customStyle="1" w:styleId="122">
    <w:name w:val="xl66"/>
    <w:basedOn w:val="1"/>
    <w:qFormat/>
    <w:uiPriority w:val="0"/>
    <w:pPr>
      <w:spacing w:before="100" w:beforeAutospacing="1" w:after="100" w:afterAutospacing="1"/>
      <w:jc w:val="center"/>
    </w:pPr>
    <w:rPr>
      <w:rFonts w:ascii="方正公文黑体" w:hAnsi="宋体" w:eastAsia="方正公文黑体" w:cs="宋体"/>
    </w:rPr>
  </w:style>
  <w:style w:type="paragraph" w:customStyle="1" w:styleId="123">
    <w:name w:val="xl67"/>
    <w:basedOn w:val="1"/>
    <w:qFormat/>
    <w:uiPriority w:val="0"/>
    <w:pPr>
      <w:spacing w:before="100" w:beforeAutospacing="1" w:after="100" w:afterAutospacing="1"/>
    </w:pPr>
    <w:rPr>
      <w:rFonts w:ascii="方正公文黑体" w:hAnsi="宋体" w:eastAsia="方正公文黑体" w:cs="宋体"/>
    </w:rPr>
  </w:style>
  <w:style w:type="paragraph" w:customStyle="1" w:styleId="124">
    <w:name w:val="xl68"/>
    <w:basedOn w:val="1"/>
    <w:qFormat/>
    <w:uiPriority w:val="0"/>
    <w:pPr>
      <w:spacing w:before="100" w:beforeAutospacing="1" w:after="100" w:afterAutospacing="1"/>
      <w:jc w:val="center"/>
    </w:pPr>
    <w:rPr>
      <w:rFonts w:ascii="方正公文黑体" w:hAnsi="宋体" w:eastAsia="方正公文黑体" w:cs="宋体"/>
      <w:color w:val="FF0000"/>
    </w:rPr>
  </w:style>
  <w:style w:type="paragraph" w:customStyle="1" w:styleId="125">
    <w:name w:val="xl6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方正公文黑体" w:hAnsi="宋体" w:eastAsia="方正公文黑体" w:cs="宋体"/>
      <w:b/>
      <w:bCs/>
    </w:rPr>
  </w:style>
  <w:style w:type="paragraph" w:customStyle="1" w:styleId="12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7">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2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3">
    <w:name w:val="xl7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公文黑体" w:hAnsi="宋体" w:eastAsia="方正公文黑体" w:cs="宋体"/>
      <w:b/>
      <w:bCs/>
    </w:rPr>
  </w:style>
  <w:style w:type="paragraph" w:customStyle="1" w:styleId="134">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5">
    <w:name w:val="xl79"/>
    <w:basedOn w:val="1"/>
    <w:qFormat/>
    <w:uiPriority w:val="0"/>
    <w:pPr>
      <w:spacing w:before="100" w:beforeAutospacing="1" w:after="100" w:afterAutospacing="1"/>
    </w:pPr>
    <w:rPr>
      <w:rFonts w:ascii="方正公文黑体" w:hAnsi="宋体" w:eastAsia="方正公文黑体" w:cs="宋体"/>
    </w:rPr>
  </w:style>
  <w:style w:type="paragraph" w:customStyle="1" w:styleId="136">
    <w:name w:val="xl80"/>
    <w:basedOn w:val="1"/>
    <w:qFormat/>
    <w:uiPriority w:val="0"/>
    <w:pPr>
      <w:spacing w:before="100" w:beforeAutospacing="1" w:after="100" w:afterAutospacing="1"/>
    </w:pPr>
    <w:rPr>
      <w:rFonts w:ascii="宋体" w:hAnsi="宋体" w:eastAsia="宋体" w:cs="宋体"/>
    </w:rPr>
  </w:style>
  <w:style w:type="paragraph" w:customStyle="1" w:styleId="13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3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3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sz w:val="20"/>
      <w:szCs w:val="20"/>
    </w:rPr>
  </w:style>
  <w:style w:type="paragraph" w:customStyle="1" w:styleId="14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1">
    <w:name w:val="xl85"/>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方正公文黑体" w:hAnsi="宋体" w:eastAsia="方正公文黑体" w:cs="宋体"/>
    </w:rPr>
  </w:style>
  <w:style w:type="paragraph" w:customStyle="1" w:styleId="142">
    <w:name w:val="xl86"/>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3">
    <w:name w:val="xl87"/>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rPr>
  </w:style>
  <w:style w:type="paragraph" w:customStyle="1" w:styleId="14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公文黑体" w:hAnsi="宋体" w:eastAsia="方正公文黑体" w:cs="宋体"/>
      <w:sz w:val="20"/>
      <w:szCs w:val="20"/>
    </w:rPr>
  </w:style>
  <w:style w:type="paragraph" w:customStyle="1" w:styleId="147">
    <w:name w:val="xl91"/>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sz w:val="20"/>
      <w:szCs w:val="20"/>
    </w:rPr>
  </w:style>
  <w:style w:type="paragraph" w:customStyle="1" w:styleId="148">
    <w:name w:val="xl9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49">
    <w:name w:val="xl93"/>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0">
    <w:name w:val="xl94"/>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1">
    <w:name w:val="xl95"/>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2">
    <w:name w:val="xl96"/>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3">
    <w:name w:val="xl97"/>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4">
    <w:name w:val="xl98"/>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5">
    <w:name w:val="xl99"/>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6">
    <w:name w:val="xl100"/>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7">
    <w:name w:val="xl10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8">
    <w:name w:val="xl102"/>
    <w:basedOn w:val="1"/>
    <w:qFormat/>
    <w:uiPriority w:val="0"/>
    <w:pPr>
      <w:pBdr>
        <w:top w:val="single" w:color="auto" w:sz="4" w:space="0"/>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59">
    <w:name w:val="xl103"/>
    <w:basedOn w:val="1"/>
    <w:qFormat/>
    <w:uiPriority w:val="0"/>
    <w:pPr>
      <w:pBdr>
        <w:left w:val="single" w:color="auto" w:sz="4" w:space="0"/>
        <w:right w:val="single" w:color="auto" w:sz="4" w:space="0"/>
      </w:pBdr>
      <w:spacing w:before="100" w:beforeAutospacing="1" w:after="100" w:afterAutospacing="1"/>
    </w:pPr>
    <w:rPr>
      <w:rFonts w:ascii="方正公文黑体" w:hAnsi="宋体" w:eastAsia="方正公文黑体" w:cs="宋体"/>
    </w:rPr>
  </w:style>
  <w:style w:type="paragraph" w:customStyle="1" w:styleId="160">
    <w:name w:val="xl104"/>
    <w:basedOn w:val="1"/>
    <w:qFormat/>
    <w:uiPriority w:val="0"/>
    <w:pPr>
      <w:pBdr>
        <w:left w:val="single" w:color="auto" w:sz="4" w:space="0"/>
        <w:bottom w:val="single" w:color="auto" w:sz="4" w:space="0"/>
        <w:right w:val="single" w:color="auto" w:sz="4" w:space="0"/>
      </w:pBdr>
      <w:spacing w:before="100" w:beforeAutospacing="1" w:after="100" w:afterAutospacing="1"/>
    </w:pPr>
    <w:rPr>
      <w:rFonts w:ascii="方正公文黑体" w:hAnsi="宋体" w:eastAsia="方正公文黑体" w:cs="宋体"/>
    </w:rPr>
  </w:style>
  <w:style w:type="character" w:customStyle="1" w:styleId="161">
    <w:name w:val="font01"/>
    <w:basedOn w:val="34"/>
    <w:qFormat/>
    <w:uiPriority w:val="0"/>
    <w:rPr>
      <w:rFonts w:hint="eastAsia" w:ascii="宋体" w:hAnsi="宋体" w:eastAsia="宋体" w:cs="宋体"/>
      <w:color w:val="000000"/>
      <w:sz w:val="20"/>
      <w:szCs w:val="20"/>
      <w:u w:val="none"/>
    </w:rPr>
  </w:style>
  <w:style w:type="character" w:customStyle="1" w:styleId="162">
    <w:name w:val="正文文本 Char"/>
    <w:basedOn w:val="34"/>
    <w:link w:val="16"/>
    <w:qFormat/>
    <w:uiPriority w:val="0"/>
    <w:rPr>
      <w:sz w:val="24"/>
      <w:szCs w:val="24"/>
    </w:rPr>
  </w:style>
  <w:style w:type="character" w:customStyle="1" w:styleId="163">
    <w:name w:val="正文首行缩进 Char"/>
    <w:basedOn w:val="162"/>
    <w:link w:val="30"/>
    <w:qFormat/>
    <w:uiPriority w:val="0"/>
    <w:rPr>
      <w:rFonts w:ascii="Times New Roman" w:hAnsi="Times New Roman" w:eastAsia="宋体"/>
      <w:kern w:val="2"/>
      <w:sz w:val="21"/>
      <w:szCs w:val="24"/>
    </w:rPr>
  </w:style>
  <w:style w:type="character" w:customStyle="1" w:styleId="164">
    <w:name w:val="font111"/>
    <w:basedOn w:val="34"/>
    <w:qFormat/>
    <w:uiPriority w:val="0"/>
    <w:rPr>
      <w:rFonts w:ascii="Arial" w:hAnsi="Arial" w:cs="Arial"/>
      <w:color w:val="333300"/>
      <w:sz w:val="20"/>
      <w:szCs w:val="20"/>
      <w:u w:val="none"/>
    </w:rPr>
  </w:style>
  <w:style w:type="character" w:customStyle="1" w:styleId="165">
    <w:name w:val="font122"/>
    <w:basedOn w:val="34"/>
    <w:qFormat/>
    <w:uiPriority w:val="0"/>
    <w:rPr>
      <w:rFonts w:ascii="汉仪旗黑-55" w:hAnsi="汉仪旗黑-55" w:eastAsia="汉仪旗黑-55" w:cs="汉仪旗黑-55"/>
      <w:color w:val="333300"/>
      <w:sz w:val="20"/>
      <w:szCs w:val="20"/>
      <w:u w:val="none"/>
    </w:rPr>
  </w:style>
  <w:style w:type="character" w:customStyle="1" w:styleId="166">
    <w:name w:val="font131"/>
    <w:basedOn w:val="34"/>
    <w:qFormat/>
    <w:uiPriority w:val="0"/>
    <w:rPr>
      <w:rFonts w:hint="default" w:ascii="Times New Roman" w:hAnsi="Times New Roman" w:cs="Times New Roman"/>
      <w:color w:val="333300"/>
      <w:sz w:val="20"/>
      <w:szCs w:val="20"/>
      <w:u w:val="none"/>
    </w:rPr>
  </w:style>
  <w:style w:type="character" w:customStyle="1" w:styleId="167">
    <w:name w:val="列出段落 Char"/>
    <w:link w:val="76"/>
    <w:qFormat/>
    <w:uiPriority w:val="34"/>
    <w:rPr>
      <w:sz w:val="24"/>
      <w:szCs w:val="24"/>
    </w:rPr>
  </w:style>
  <w:style w:type="table" w:customStyle="1" w:styleId="168">
    <w:name w:val="网格型3"/>
    <w:basedOn w:val="32"/>
    <w:unhideWhenUsed/>
    <w:qFormat/>
    <w:uiPriority w:val="39"/>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9">
    <w:name w:val="_Style 8"/>
    <w:qFormat/>
    <w:uiPriority w:val="0"/>
    <w:pPr>
      <w:spacing w:after="160" w:line="240" w:lineRule="exact"/>
    </w:pPr>
    <w:rPr>
      <w:rFonts w:ascii="Times New Roman" w:hAnsi="Times New Roman" w:eastAsia="宋体" w:cs="Times New Roman"/>
      <w:kern w:val="2"/>
      <w:sz w:val="21"/>
      <w:szCs w:val="24"/>
      <w:lang w:val="en-US" w:eastAsia="zh-CN" w:bidi="ar-SA"/>
    </w:rPr>
  </w:style>
  <w:style w:type="table" w:customStyle="1" w:styleId="170">
    <w:name w:val="网格型4"/>
    <w:basedOn w:val="32"/>
    <w:qFormat/>
    <w:uiPriority w:val="5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1">
    <w:name w:val="Default"/>
    <w:qFormat/>
    <w:uiPriority w:val="0"/>
    <w:pPr>
      <w:widowControl w:val="0"/>
      <w:autoSpaceDE w:val="0"/>
      <w:autoSpaceDN w:val="0"/>
      <w:adjustRightInd w:val="0"/>
    </w:pPr>
    <w:rPr>
      <w:rFonts w:ascii="华文仿宋" w:eastAsia="华文仿宋" w:cs="华文仿宋" w:hAnsiTheme="minorHAnsi"/>
      <w:color w:val="000000"/>
      <w:sz w:val="24"/>
      <w:szCs w:val="24"/>
      <w:lang w:val="en-US" w:eastAsia="zh-CN" w:bidi="ar-SA"/>
    </w:rPr>
  </w:style>
  <w:style w:type="paragraph" w:customStyle="1" w:styleId="172">
    <w:name w:val="Table Text"/>
    <w:basedOn w:val="1"/>
    <w:semiHidden/>
    <w:qFormat/>
    <w:uiPriority w:val="0"/>
    <w:pPr>
      <w:widowControl w:val="0"/>
      <w:jc w:val="both"/>
    </w:pPr>
    <w:rPr>
      <w:rFonts w:ascii="宋体" w:hAnsi="宋体" w:eastAsia="宋体" w:cs="宋体"/>
      <w:kern w:val="2"/>
      <w:sz w:val="20"/>
      <w:szCs w:val="20"/>
      <w:lang w:eastAsia="en-US"/>
    </w:rPr>
  </w:style>
  <w:style w:type="table" w:customStyle="1" w:styleId="173">
    <w:name w:val="Table Normal"/>
    <w:unhideWhenUsed/>
    <w:qFormat/>
    <w:uiPriority w:val="0"/>
    <w:rPr>
      <w:rFonts w:ascii="Calibri" w:hAnsi="Calibri" w:eastAsia="宋体"/>
    </w:rPr>
    <w:tblPr>
      <w:tblCellMar>
        <w:top w:w="0" w:type="dxa"/>
        <w:left w:w="0" w:type="dxa"/>
        <w:bottom w:w="0" w:type="dxa"/>
        <w:right w:w="0" w:type="dxa"/>
      </w:tblCellMar>
    </w:tblPr>
  </w:style>
  <w:style w:type="table" w:customStyle="1" w:styleId="174">
    <w:name w:val="Table Normal1"/>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75">
    <w:name w:val="Table Normal2"/>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76">
    <w:name w:val="Table Normal3"/>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table" w:customStyle="1" w:styleId="177">
    <w:name w:val="Table Normal4"/>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178">
    <w:name w:val="HTML 预设格式 Char"/>
    <w:basedOn w:val="34"/>
    <w:link w:val="26"/>
    <w:qFormat/>
    <w:uiPriority w:val="99"/>
    <w:rPr>
      <w:rFonts w:ascii="宋体" w:hAnsi="宋体" w:eastAsia="宋体"/>
      <w:sz w:val="24"/>
      <w:szCs w:val="24"/>
    </w:rPr>
  </w:style>
  <w:style w:type="character" w:customStyle="1" w:styleId="179">
    <w:name w:val="正文文本缩进 Char"/>
    <w:basedOn w:val="34"/>
    <w:link w:val="17"/>
    <w:semiHidden/>
    <w:qFormat/>
    <w:uiPriority w:val="0"/>
    <w:rPr>
      <w:sz w:val="24"/>
      <w:szCs w:val="24"/>
    </w:rPr>
  </w:style>
  <w:style w:type="character" w:customStyle="1" w:styleId="180">
    <w:name w:val="正文首行缩进 2 Char"/>
    <w:basedOn w:val="179"/>
    <w:link w:val="31"/>
    <w:qFormat/>
    <w:uiPriority w:val="99"/>
    <w:rPr>
      <w:rFonts w:cstheme="minorBidi"/>
      <w:kern w:val="2"/>
      <w:sz w:val="21"/>
      <w:szCs w:val="24"/>
    </w:rPr>
  </w:style>
  <w:style w:type="paragraph" w:customStyle="1" w:styleId="181">
    <w:name w:val="_Style 3"/>
    <w:next w:val="1"/>
    <w:qFormat/>
    <w:uiPriority w:val="0"/>
    <w:pPr>
      <w:wordWrap w:val="0"/>
    </w:pPr>
    <w:rPr>
      <w:rFonts w:ascii="Calibri" w:hAnsi="Calibri" w:eastAsia="宋体" w:cs="Times New Roman"/>
      <w:sz w:val="32"/>
      <w:lang w:val="en-US" w:eastAsia="zh-CN" w:bidi="ar-SA"/>
    </w:rPr>
  </w:style>
  <w:style w:type="character" w:customStyle="1" w:styleId="182">
    <w:name w:val="正文文本缩进 2 Char"/>
    <w:basedOn w:val="34"/>
    <w:link w:val="20"/>
    <w:qFormat/>
    <w:uiPriority w:val="0"/>
    <w:rPr>
      <w:rFonts w:ascii="Times New Roman" w:hAnsi="Times New Roman" w:eastAsia="仿宋_GB2312"/>
      <w:kern w:val="2"/>
      <w:sz w:val="32"/>
      <w:szCs w:val="32"/>
    </w:rPr>
  </w:style>
  <w:style w:type="character" w:customStyle="1" w:styleId="183">
    <w:name w:val="脚注文本 Char"/>
    <w:basedOn w:val="34"/>
    <w:link w:val="25"/>
    <w:qFormat/>
    <w:uiPriority w:val="0"/>
    <w:rPr>
      <w:rFonts w:ascii="Times New Roman" w:hAnsi="Times New Roman" w:eastAsia="仿宋_GB2312"/>
      <w:kern w:val="2"/>
      <w:sz w:val="18"/>
      <w:szCs w:val="18"/>
    </w:rPr>
  </w:style>
  <w:style w:type="paragraph" w:customStyle="1" w:styleId="184">
    <w:name w:val="@新正文"/>
    <w:basedOn w:val="48"/>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85">
    <w:name w:val="标题 41"/>
    <w:basedOn w:val="1"/>
    <w:next w:val="5"/>
    <w:qFormat/>
    <w:uiPriority w:val="0"/>
    <w:pPr>
      <w:keepNext/>
      <w:keepLines/>
      <w:widowControl w:val="0"/>
      <w:numPr>
        <w:ilvl w:val="3"/>
        <w:numId w:val="3"/>
      </w:numPr>
      <w:ind w:left="0" w:firstLine="643" w:firstLineChars="200"/>
      <w:jc w:val="both"/>
      <w:outlineLvl w:val="3"/>
    </w:pPr>
    <w:rPr>
      <w:rFonts w:asciiTheme="majorHAnsi" w:hAnsiTheme="majorHAnsi" w:eastAsiaTheme="majorEastAsia" w:cstheme="majorBidi"/>
      <w:b/>
      <w:bCs/>
      <w:kern w:val="2"/>
      <w:sz w:val="28"/>
      <w:szCs w:val="28"/>
    </w:rPr>
  </w:style>
  <w:style w:type="paragraph" w:customStyle="1" w:styleId="186">
    <w:name w:val="页脚1"/>
    <w:basedOn w:val="1"/>
    <w:next w:val="22"/>
    <w:unhideWhenUsed/>
    <w:qFormat/>
    <w:uiPriority w:val="99"/>
    <w:pPr>
      <w:widowControl w:val="0"/>
      <w:tabs>
        <w:tab w:val="center" w:pos="4153"/>
        <w:tab w:val="right" w:pos="8306"/>
      </w:tabs>
      <w:snapToGrid w:val="0"/>
    </w:pPr>
    <w:rPr>
      <w:rFonts w:cstheme="minorBidi"/>
      <w:kern w:val="2"/>
      <w:sz w:val="18"/>
      <w:szCs w:val="22"/>
    </w:rPr>
  </w:style>
  <w:style w:type="paragraph" w:customStyle="1" w:styleId="187">
    <w:name w:val="页眉1"/>
    <w:basedOn w:val="1"/>
    <w:next w:val="12"/>
    <w:unhideWhenUsed/>
    <w:qFormat/>
    <w:uiPriority w:val="0"/>
    <w:pPr>
      <w:widowControl w:val="0"/>
      <w:pBdr>
        <w:bottom w:val="single" w:color="auto" w:sz="6" w:space="1"/>
      </w:pBdr>
      <w:tabs>
        <w:tab w:val="center" w:pos="4153"/>
        <w:tab w:val="right" w:pos="8306"/>
      </w:tabs>
      <w:snapToGrid w:val="0"/>
      <w:jc w:val="center"/>
    </w:pPr>
    <w:rPr>
      <w:rFonts w:cstheme="minorBidi"/>
      <w:kern w:val="2"/>
      <w:sz w:val="18"/>
      <w:szCs w:val="22"/>
    </w:rPr>
  </w:style>
  <w:style w:type="character" w:customStyle="1" w:styleId="188">
    <w:name w:val="访问过的超链接1"/>
    <w:basedOn w:val="34"/>
    <w:semiHidden/>
    <w:unhideWhenUsed/>
    <w:qFormat/>
    <w:uiPriority w:val="99"/>
    <w:rPr>
      <w:color w:val="954F72"/>
      <w:u w:val="single"/>
    </w:rPr>
  </w:style>
  <w:style w:type="character" w:customStyle="1" w:styleId="189">
    <w:name w:val="页眉 Char2"/>
    <w:basedOn w:val="34"/>
    <w:semiHidden/>
    <w:qFormat/>
    <w:uiPriority w:val="99"/>
    <w:rPr>
      <w:sz w:val="18"/>
      <w:szCs w:val="18"/>
    </w:rPr>
  </w:style>
  <w:style w:type="character" w:customStyle="1" w:styleId="190">
    <w:name w:val="页脚 Char2"/>
    <w:basedOn w:val="34"/>
    <w:semiHidden/>
    <w:qFormat/>
    <w:uiPriority w:val="99"/>
    <w:rPr>
      <w:sz w:val="18"/>
      <w:szCs w:val="18"/>
    </w:rPr>
  </w:style>
  <w:style w:type="paragraph" w:customStyle="1" w:styleId="191">
    <w:name w:val="修订1"/>
    <w:next w:val="19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2">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3">
    <w:name w:val="font71"/>
    <w:basedOn w:val="34"/>
    <w:qFormat/>
    <w:uiPriority w:val="0"/>
    <w:rPr>
      <w:rFonts w:hint="eastAsia" w:ascii="仿宋_GB2312" w:eastAsia="仿宋_GB2312" w:cs="仿宋_GB2312"/>
      <w:color w:val="000000"/>
      <w:sz w:val="21"/>
      <w:szCs w:val="21"/>
      <w:u w:val="none"/>
    </w:rPr>
  </w:style>
  <w:style w:type="paragraph" w:customStyle="1" w:styleId="194">
    <w:name w:val="无间隔1"/>
    <w:qFormat/>
    <w:uiPriority w:val="99"/>
    <w:rPr>
      <w:rFonts w:ascii="Calibri" w:hAnsi="Calibri" w:eastAsia="宋体" w:cs="Times New Roman"/>
      <w:kern w:val="2"/>
      <w:sz w:val="21"/>
      <w:szCs w:val="22"/>
      <w:lang w:val="en-US" w:eastAsia="zh-CN" w:bidi="ar-SA"/>
    </w:rPr>
  </w:style>
  <w:style w:type="paragraph" w:customStyle="1" w:styleId="195">
    <w:name w:val="正文缩进1"/>
    <w:basedOn w:val="1"/>
    <w:qFormat/>
    <w:uiPriority w:val="0"/>
    <w:pPr>
      <w:widowControl w:val="0"/>
      <w:ind w:firstLine="200" w:firstLineChars="200"/>
      <w:jc w:val="both"/>
    </w:pPr>
    <w:rPr>
      <w:rFonts w:ascii="Times New Roman" w:hAnsi="Times New Roman" w:eastAsia="楷体_GB2312"/>
      <w:kern w:val="2"/>
      <w:sz w:val="32"/>
      <w:szCs w:val="32"/>
    </w:rPr>
  </w:style>
  <w:style w:type="character" w:customStyle="1" w:styleId="196">
    <w:name w:val="apple-style-span"/>
    <w:qFormat/>
    <w:uiPriority w:val="0"/>
  </w:style>
  <w:style w:type="character" w:customStyle="1" w:styleId="197">
    <w:name w:val="标题 4 Char1"/>
    <w:basedOn w:val="34"/>
    <w:qFormat/>
    <w:uiPriority w:val="9"/>
    <w:rPr>
      <w:rFonts w:asciiTheme="majorHAnsi" w:hAnsiTheme="majorHAnsi" w:eastAsiaTheme="majorEastAsia" w:cstheme="majorBidi"/>
      <w:b/>
      <w:bCs/>
      <w:sz w:val="28"/>
      <w:szCs w:val="28"/>
    </w:rPr>
  </w:style>
  <w:style w:type="character" w:customStyle="1" w:styleId="198">
    <w:name w:val="页脚 Char3"/>
    <w:basedOn w:val="34"/>
    <w:qFormat/>
    <w:uiPriority w:val="99"/>
    <w:rPr>
      <w:sz w:val="18"/>
      <w:szCs w:val="18"/>
    </w:rPr>
  </w:style>
  <w:style w:type="character" w:customStyle="1" w:styleId="199">
    <w:name w:val="页眉 Char3"/>
    <w:basedOn w:val="3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D661-0EDE-4C74-859F-DA90AB0797B1}">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35</Pages>
  <Words>16974</Words>
  <Characters>20709</Characters>
  <Lines>941</Lines>
  <Paragraphs>1018</Paragraphs>
  <TotalTime>67</TotalTime>
  <ScaleCrop>false</ScaleCrop>
  <LinksUpToDate>false</LinksUpToDate>
  <CharactersWithSpaces>36665</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2025-06-30T01:40:00Z</dcterms:created>
  <dc:creator>admin</dc:creator>
  <cp:lastModifiedBy>趋之若鹜</cp:lastModifiedBy>
  <cp:lastPrinted>2025-06-30T01:42:00Z</cp:lastPrinted>
  <dcterms:modified xsi:type="dcterms:W3CDTF">2025-07-30T01:01:39Z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eyJoZGlkIjoiMWJlZTEwNWI1NDQzOGM1Yjg3OWYyZmQ5MTU3YWIyNzgiLCJ1c2VySWQiOiIzNDgxNzQ0NTUifQ==</vt:lpwstr>
  </property>
  <property fmtid="{D5CDD505-2E9C-101B-9397-08002B2CF9AE}" pid="3" name="KSOProductBuildVer">
    <vt:lpwstr>2052-11.8.2.12265</vt:lpwstr>
  </property>
  <property fmtid="{D5CDD505-2E9C-101B-9397-08002B2CF9AE}" pid="4" name="ICV">
    <vt:lpwstr>62BFC742B4F242769561F1E84DCCAE6C</vt:lpwstr>
  </property>
</Properties>
</file>