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CABC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一、项目概况   </w:t>
      </w:r>
    </w:p>
    <w:p w14:paraId="3DD0EEFD">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浐灞国际港管委会财政业务专网是西安市浐灞国际港重要的政务信息服务专网。2022年度在原财政网的基础上进行网络重新规划、网络设备更新，目前已实现浐灞国际港管委会下属的共计87家接入单位与市财政金财网开展上下级信息传送、预算编制、预算执行、财政总账、财政决算、财务报告等财政业务工作及办公管理工作的重要支撑。</w:t>
      </w:r>
    </w:p>
    <w:p w14:paraId="2CD6E55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作为浐灞国际港管委会重要的政务信息服务专网，是连接各级财政部门、预算单位、内部机构以及有关信息资源共享部门的大型网络系统，是浐灞国际港管委会财政信息系统运行的基础。如何保障财政专网的稳定、高效、安全的运行当前需要重点考虑的问题。</w:t>
      </w:r>
    </w:p>
    <w:p w14:paraId="64093A2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随着财政专网的使用单位的不断增多，提供2025-2027年度陕西财政云服务保障，为保证陕西财政云一体化系统能准时、高效、平稳运行。                    </w:t>
      </w:r>
    </w:p>
    <w:p w14:paraId="18C87F50">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二、采购内容</w:t>
      </w:r>
    </w:p>
    <w:p w14:paraId="2A474D5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浐灞国际港财政专网使用和运行中面临多种问题，同时为了响应市财政下发关于强化网络安全的要求，迫切需要专业的运维服务团队协助保障浐灞国际港财政专网安全稳定运行。根据财政专网业务需求，财政专网通过安全管理系统平台可实现访问控制，权限管理和应用层防护等，网络安全及其他各横向外联网络单位的网络接入，安全防护、应用访问服务、与内部网络的隔离与信息交换。根据财政专网业务需求，加强防病毒措施，防范恶意代码传播和攻击，按照财政厅要求提供杀毒软件平台服务。</w:t>
      </w:r>
    </w:p>
    <w:p w14:paraId="5FE2FED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根据西安浐灞国际港管委会财政专网业务需求，此次网络运维服务中包含共计有58个点位需接入网络，横向网络接入单位58个，包括管委会内部机构、预算单位和非预算单位。还涉及5G网络CPE+卡，含专网主干；专线、卡、基站绑定，保证数据安全。作为解决物理资源困难的接入方式，满足正常运行。为整体项目提供整体集成及各个点位安装和调测服务,保证项目的顺利开展和完成。</w:t>
      </w:r>
    </w:p>
    <w:p w14:paraId="5FC20B7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三、技术要求</w:t>
      </w:r>
    </w:p>
    <w:p w14:paraId="1DAC634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1.浐灞财政网</w:t>
      </w:r>
      <w:bookmarkStart w:id="0" w:name="_Toc66125145"/>
      <w:r>
        <w:rPr>
          <w:rFonts w:hint="eastAsia" w:ascii="仿宋" w:hAnsi="仿宋" w:eastAsia="仿宋" w:cs="仿宋"/>
          <w:color w:val="auto"/>
          <w:kern w:val="2"/>
          <w:sz w:val="24"/>
          <w:szCs w:val="24"/>
          <w:highlight w:val="none"/>
          <w:lang w:val="en-US" w:eastAsia="zh-CN" w:bidi="ar-SA"/>
        </w:rPr>
        <w:t>核心交换中心节点建设</w:t>
      </w:r>
      <w:bookmarkEnd w:id="0"/>
      <w:r>
        <w:rPr>
          <w:rFonts w:hint="eastAsia" w:ascii="仿宋" w:hAnsi="仿宋" w:eastAsia="仿宋" w:cs="仿宋"/>
          <w:color w:val="auto"/>
          <w:kern w:val="2"/>
          <w:sz w:val="24"/>
          <w:szCs w:val="24"/>
          <w:highlight w:val="none"/>
          <w:lang w:val="en-US" w:eastAsia="zh-CN" w:bidi="ar-SA"/>
        </w:rPr>
        <w:t>、</w:t>
      </w:r>
      <w:bookmarkStart w:id="1" w:name="_Toc66125146"/>
      <w:r>
        <w:rPr>
          <w:rFonts w:hint="eastAsia" w:ascii="仿宋" w:hAnsi="仿宋" w:eastAsia="仿宋" w:cs="仿宋"/>
          <w:color w:val="auto"/>
          <w:kern w:val="2"/>
          <w:sz w:val="24"/>
          <w:szCs w:val="24"/>
          <w:highlight w:val="none"/>
          <w:lang w:val="en-US" w:eastAsia="zh-CN" w:bidi="ar-SA"/>
        </w:rPr>
        <w:t>横向、纵向网络延伸建设</w:t>
      </w:r>
      <w:bookmarkEnd w:id="1"/>
      <w:bookmarkStart w:id="2" w:name="_Toc66125147"/>
      <w:r>
        <w:rPr>
          <w:rFonts w:hint="eastAsia" w:ascii="仿宋" w:hAnsi="仿宋" w:eastAsia="仿宋" w:cs="仿宋"/>
          <w:color w:val="auto"/>
          <w:kern w:val="2"/>
          <w:sz w:val="24"/>
          <w:szCs w:val="24"/>
          <w:highlight w:val="none"/>
          <w:lang w:val="en-US" w:eastAsia="zh-CN" w:bidi="ar-SA"/>
        </w:rPr>
        <w:t>、安全防护体系建设</w:t>
      </w:r>
      <w:bookmarkEnd w:id="2"/>
      <w:r>
        <w:rPr>
          <w:rFonts w:hint="eastAsia" w:ascii="仿宋" w:hAnsi="仿宋" w:eastAsia="仿宋" w:cs="仿宋"/>
          <w:color w:val="auto"/>
          <w:kern w:val="2"/>
          <w:sz w:val="24"/>
          <w:szCs w:val="24"/>
          <w:highlight w:val="none"/>
          <w:lang w:val="en-US" w:eastAsia="zh-CN" w:bidi="ar-SA"/>
        </w:rPr>
        <w:t>三个方面。</w:t>
      </w:r>
    </w:p>
    <w:p w14:paraId="29EAF71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2.基于STN承载网进行财政专网组网、现网割接及相关线路运维服务，包括纵向及横向网络接入单位58个，其中横向网络包括浐灞国际港本地相关内部机构及外联学校等相关预算单位。</w:t>
      </w:r>
    </w:p>
    <w:p w14:paraId="79E3B939">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3.财政网系统的从网络总体设计、</w:t>
      </w:r>
      <w:bookmarkStart w:id="3" w:name="_Toc66125152"/>
      <w:r>
        <w:rPr>
          <w:rFonts w:hint="eastAsia" w:ascii="仿宋" w:hAnsi="仿宋" w:eastAsia="仿宋" w:cs="仿宋"/>
          <w:color w:val="auto"/>
          <w:kern w:val="2"/>
          <w:sz w:val="24"/>
          <w:szCs w:val="24"/>
          <w:highlight w:val="none"/>
          <w:lang w:val="en-US" w:eastAsia="zh-CN" w:bidi="ar-SA"/>
        </w:rPr>
        <w:t>总体网络系统结构示意图、纵向网络节点设计</w:t>
      </w:r>
      <w:bookmarkEnd w:id="3"/>
      <w:bookmarkStart w:id="4" w:name="_Toc66125153"/>
      <w:r>
        <w:rPr>
          <w:rFonts w:hint="eastAsia" w:ascii="仿宋" w:hAnsi="仿宋" w:eastAsia="仿宋" w:cs="仿宋"/>
          <w:color w:val="auto"/>
          <w:kern w:val="2"/>
          <w:sz w:val="24"/>
          <w:szCs w:val="24"/>
          <w:highlight w:val="none"/>
          <w:lang w:val="en-US" w:eastAsia="zh-CN" w:bidi="ar-SA"/>
        </w:rPr>
        <w:t>、横向网络节点设计</w:t>
      </w:r>
      <w:bookmarkEnd w:id="4"/>
      <w:bookmarkStart w:id="5" w:name="_Toc66125154"/>
      <w:r>
        <w:rPr>
          <w:rFonts w:hint="eastAsia" w:ascii="仿宋" w:hAnsi="仿宋" w:eastAsia="仿宋" w:cs="仿宋"/>
          <w:color w:val="auto"/>
          <w:kern w:val="2"/>
          <w:sz w:val="24"/>
          <w:szCs w:val="24"/>
          <w:highlight w:val="none"/>
          <w:lang w:val="en-US" w:eastAsia="zh-CN" w:bidi="ar-SA"/>
        </w:rPr>
        <w:t>、网络路由设计</w:t>
      </w:r>
      <w:bookmarkEnd w:id="5"/>
      <w:r>
        <w:rPr>
          <w:rFonts w:hint="eastAsia" w:ascii="仿宋" w:hAnsi="仿宋" w:eastAsia="仿宋" w:cs="仿宋"/>
          <w:color w:val="auto"/>
          <w:kern w:val="2"/>
          <w:sz w:val="24"/>
          <w:szCs w:val="24"/>
          <w:highlight w:val="none"/>
          <w:lang w:val="en-US" w:eastAsia="zh-CN" w:bidi="ar-SA"/>
        </w:rPr>
        <w:t>、网络路由总体规划设计图、路由设置规范、</w:t>
      </w:r>
      <w:bookmarkStart w:id="6" w:name="_Toc66125155"/>
      <w:r>
        <w:rPr>
          <w:rFonts w:hint="eastAsia" w:ascii="仿宋" w:hAnsi="仿宋" w:eastAsia="仿宋" w:cs="仿宋"/>
          <w:color w:val="auto"/>
          <w:kern w:val="2"/>
          <w:sz w:val="24"/>
          <w:szCs w:val="24"/>
          <w:highlight w:val="none"/>
          <w:lang w:val="en-US" w:eastAsia="zh-CN" w:bidi="ar-SA"/>
        </w:rPr>
        <w:t>网络服务质量设计</w:t>
      </w:r>
      <w:bookmarkEnd w:id="6"/>
      <w:bookmarkStart w:id="7" w:name="_Toc66125156"/>
      <w:r>
        <w:rPr>
          <w:rFonts w:hint="eastAsia" w:ascii="仿宋" w:hAnsi="仿宋" w:eastAsia="仿宋" w:cs="仿宋"/>
          <w:color w:val="auto"/>
          <w:kern w:val="2"/>
          <w:sz w:val="24"/>
          <w:szCs w:val="24"/>
          <w:highlight w:val="none"/>
          <w:lang w:val="en-US" w:eastAsia="zh-CN" w:bidi="ar-SA"/>
        </w:rPr>
        <w:t>、浐灞国际港内部网络连接</w:t>
      </w:r>
      <w:bookmarkEnd w:id="7"/>
      <w:r>
        <w:rPr>
          <w:rFonts w:hint="eastAsia" w:ascii="仿宋" w:hAnsi="仿宋" w:eastAsia="仿宋" w:cs="仿宋"/>
          <w:color w:val="auto"/>
          <w:kern w:val="2"/>
          <w:sz w:val="24"/>
          <w:szCs w:val="24"/>
          <w:highlight w:val="none"/>
          <w:lang w:val="en-US" w:eastAsia="zh-CN" w:bidi="ar-SA"/>
        </w:rPr>
        <w:t>等方面进行建设。</w:t>
      </w:r>
    </w:p>
    <w:p w14:paraId="2A8AD1AA">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 对IP地址与VLAN规划原则、浐灞国际港财政专网IP地址及VLAN总体规划表</w:t>
      </w:r>
      <w:bookmarkStart w:id="8" w:name="_Toc66125180"/>
      <w:r>
        <w:rPr>
          <w:rFonts w:hint="eastAsia" w:ascii="仿宋" w:hAnsi="仿宋" w:eastAsia="仿宋" w:cs="仿宋"/>
          <w:color w:val="auto"/>
          <w:kern w:val="2"/>
          <w:sz w:val="24"/>
          <w:szCs w:val="24"/>
          <w:highlight w:val="none"/>
          <w:lang w:val="en-US" w:eastAsia="zh-CN" w:bidi="ar-SA"/>
        </w:rPr>
        <w:t>、纵向网络节点</w:t>
      </w:r>
      <w:bookmarkEnd w:id="8"/>
      <w:bookmarkStart w:id="9" w:name="_Toc66125181"/>
      <w:r>
        <w:rPr>
          <w:rFonts w:hint="eastAsia" w:ascii="仿宋" w:hAnsi="仿宋" w:eastAsia="仿宋" w:cs="仿宋"/>
          <w:color w:val="auto"/>
          <w:kern w:val="2"/>
          <w:sz w:val="24"/>
          <w:szCs w:val="24"/>
          <w:highlight w:val="none"/>
          <w:lang w:val="en-US" w:eastAsia="zh-CN" w:bidi="ar-SA"/>
        </w:rPr>
        <w:t>、横向网络节点</w:t>
      </w:r>
      <w:bookmarkEnd w:id="9"/>
      <w:r>
        <w:rPr>
          <w:rFonts w:hint="eastAsia" w:ascii="仿宋" w:hAnsi="仿宋" w:eastAsia="仿宋" w:cs="仿宋"/>
          <w:color w:val="auto"/>
          <w:kern w:val="2"/>
          <w:sz w:val="24"/>
          <w:szCs w:val="24"/>
          <w:highlight w:val="none"/>
          <w:lang w:val="en-US" w:eastAsia="zh-CN" w:bidi="ar-SA"/>
        </w:rPr>
        <w:t>、 横向网单位IP地址及VLAN规划表、横向网外联单位IP地址及VLAN规划表等进行建设。</w:t>
      </w:r>
    </w:p>
    <w:p w14:paraId="54CAE74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5．从割接方案设计思路</w:t>
      </w:r>
      <w:bookmarkStart w:id="10" w:name="_Toc66125184"/>
      <w:r>
        <w:rPr>
          <w:rFonts w:hint="eastAsia" w:ascii="仿宋" w:hAnsi="仿宋" w:eastAsia="仿宋" w:cs="仿宋"/>
          <w:color w:val="auto"/>
          <w:kern w:val="2"/>
          <w:sz w:val="24"/>
          <w:szCs w:val="24"/>
          <w:highlight w:val="none"/>
          <w:lang w:val="en-US" w:eastAsia="zh-CN" w:bidi="ar-SA"/>
        </w:rPr>
        <w:t>、割接准备</w:t>
      </w:r>
      <w:bookmarkEnd w:id="10"/>
      <w:bookmarkStart w:id="11" w:name="_Toc66125185"/>
      <w:r>
        <w:rPr>
          <w:rFonts w:hint="eastAsia" w:ascii="仿宋" w:hAnsi="仿宋" w:eastAsia="仿宋" w:cs="仿宋"/>
          <w:color w:val="auto"/>
          <w:kern w:val="2"/>
          <w:sz w:val="24"/>
          <w:szCs w:val="24"/>
          <w:highlight w:val="none"/>
          <w:lang w:val="en-US" w:eastAsia="zh-CN" w:bidi="ar-SA"/>
        </w:rPr>
        <w:t>、核心节点割接方案</w:t>
      </w:r>
      <w:bookmarkEnd w:id="11"/>
      <w:bookmarkStart w:id="12" w:name="_Toc66125186"/>
      <w:r>
        <w:rPr>
          <w:rFonts w:hint="eastAsia" w:ascii="仿宋" w:hAnsi="仿宋" w:eastAsia="仿宋" w:cs="仿宋"/>
          <w:color w:val="auto"/>
          <w:kern w:val="2"/>
          <w:sz w:val="24"/>
          <w:szCs w:val="24"/>
          <w:highlight w:val="none"/>
          <w:lang w:val="en-US" w:eastAsia="zh-CN" w:bidi="ar-SA"/>
        </w:rPr>
        <w:t>、回退方案</w:t>
      </w:r>
      <w:bookmarkEnd w:id="12"/>
      <w:bookmarkStart w:id="13" w:name="_Toc66125187"/>
      <w:r>
        <w:rPr>
          <w:rFonts w:hint="eastAsia" w:ascii="仿宋" w:hAnsi="仿宋" w:eastAsia="仿宋" w:cs="仿宋"/>
          <w:color w:val="auto"/>
          <w:kern w:val="2"/>
          <w:sz w:val="24"/>
          <w:szCs w:val="24"/>
          <w:highlight w:val="none"/>
          <w:lang w:val="en-US" w:eastAsia="zh-CN" w:bidi="ar-SA"/>
        </w:rPr>
        <w:t>、割接后续工作</w:t>
      </w:r>
      <w:bookmarkEnd w:id="13"/>
      <w:r>
        <w:rPr>
          <w:rFonts w:hint="eastAsia" w:ascii="仿宋" w:hAnsi="仿宋" w:eastAsia="仿宋" w:cs="仿宋"/>
          <w:color w:val="auto"/>
          <w:kern w:val="2"/>
          <w:sz w:val="24"/>
          <w:szCs w:val="24"/>
          <w:highlight w:val="none"/>
          <w:lang w:val="en-US" w:eastAsia="zh-CN" w:bidi="ar-SA"/>
        </w:rPr>
        <w:t>等方面进行建设维护。</w:t>
      </w:r>
    </w:p>
    <w:p w14:paraId="0F0E522C">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6.财政局科室及预算单位软件操作培训（预算管理、指标管理、国库集中支付、公务卡及会计核算）。</w:t>
      </w:r>
    </w:p>
    <w:p w14:paraId="338B4DA7">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7.财政云系统人员、科室、角色等预算管理、指标管理、国库集中支付、公务卡、会计核算等基础数据、权限配置及财政云一体化系统的调试等工作。</w:t>
      </w:r>
    </w:p>
    <w:p w14:paraId="1E4D1118">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8.财政云运行过程中预算管理、指标管理、国库集中支付、公务卡、会计核算使用过程中的问题处理。</w:t>
      </w:r>
    </w:p>
    <w:p w14:paraId="6302DDE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9.所有运维工作都基于区划管理员权限范围内的建设。</w:t>
      </w:r>
    </w:p>
    <w:p w14:paraId="32FDE1EB">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四、服务要求</w:t>
      </w:r>
    </w:p>
    <w:p w14:paraId="558C8453">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提供技术支持服务，针对财政专网使用中的网络问题、线路问题、终端使用问题、安全问题等提供技术支持咨询服务。</w:t>
      </w:r>
    </w:p>
    <w:p w14:paraId="79A65164">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2.财政局科室及预算单位软件</w:t>
      </w:r>
      <w:bookmarkStart w:id="14" w:name="_GoBack"/>
      <w:bookmarkEnd w:id="14"/>
      <w:r>
        <w:rPr>
          <w:rFonts w:hint="eastAsia" w:ascii="仿宋" w:hAnsi="仿宋" w:eastAsia="仿宋" w:cs="仿宋"/>
          <w:color w:val="auto"/>
          <w:kern w:val="2"/>
          <w:sz w:val="24"/>
          <w:szCs w:val="24"/>
          <w:highlight w:val="none"/>
          <w:lang w:val="en-US" w:eastAsia="zh-CN" w:bidi="ar-SA"/>
        </w:rPr>
        <w:t>操作培训（预算管理、指标管理、国库集中支付、公务卡及会计核算）。</w:t>
      </w:r>
    </w:p>
    <w:p w14:paraId="597CEC82">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3.财政云系统人员、科室、角色等预算管理、指标管理、国库集中支付、公务卡、会计核算等基础数据、权限配置及财政云一体化系统的调试等工作。</w:t>
      </w:r>
    </w:p>
    <w:p w14:paraId="240522D1">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80" w:firstLineChars="200"/>
        <w:textAlignment w:val="auto"/>
        <w:outlineLvl w:val="9"/>
      </w:pPr>
      <w:r>
        <w:rPr>
          <w:rFonts w:hint="eastAsia" w:ascii="仿宋" w:hAnsi="仿宋" w:eastAsia="仿宋" w:cs="仿宋"/>
          <w:color w:val="auto"/>
          <w:kern w:val="2"/>
          <w:sz w:val="24"/>
          <w:szCs w:val="24"/>
          <w:highlight w:val="none"/>
          <w:lang w:val="en-US" w:eastAsia="zh-CN" w:bidi="ar-SA"/>
        </w:rPr>
        <w:t>4.财政云上线运行后预算管理、指标管理、国库集中支付、公务卡、会计核算使用过程中的问题处理。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243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2025-07-30T02:23:23Z</dcterms:created>
  <dc:creator>Administrator</dc:creator>
  <cp:lastModifiedBy>Jun</cp:lastModifiedBy>
  <dcterms:modified xsi:type="dcterms:W3CDTF">2025-07-30T02:23:27Z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eyJoZGlkIjoiZDU3NDQxYWM0MTczYjBhMzlmYjdkYmMwMzBhMmYwMWMiLCJ1c2VySWQiOiIyNTQ0OTA1OTQifQ==</vt:lpwstr>
  </property>
  <property fmtid="{D5CDD505-2E9C-101B-9397-08002B2CF9AE}" pid="4" name="ICV">
    <vt:lpwstr>600065CC185C4D4AAEAB9BBE2F75D70B_12</vt:lpwstr>
  </property>
</Properties>
</file>