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采购项目编号：SCZC2025-ZB-1422-001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4F5AB70">
      <w:pPr>
        <w:autoSpaceDE w:val="0"/>
        <w:autoSpaceDN w:val="0"/>
        <w:adjustRightInd w:val="0"/>
        <w:snapToGrid w:val="0"/>
        <w:spacing w:line="360" w:lineRule="auto"/>
        <w:jc w:val="center"/>
        <w:rPr>
          <w:b/>
          <w:bCs/>
          <w:color w:val="auto"/>
          <w:sz w:val="56"/>
          <w:szCs w:val="56"/>
          <w:highlight w:val="none"/>
        </w:rPr>
      </w:pPr>
      <w:r>
        <w:rPr>
          <w:rFonts w:hint="eastAsia"/>
          <w:b/>
          <w:bCs/>
          <w:color w:val="auto"/>
          <w:sz w:val="44"/>
          <w:szCs w:val="44"/>
          <w:highlight w:val="none"/>
          <w:lang w:val="en-US" w:eastAsia="zh-CN"/>
        </w:rPr>
        <w:t>西安浐灞国际港教育局2025年全区学校教育教学设施设备采购项目第二批（家具类）</w:t>
      </w: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p>
    <w:p w14:paraId="0011AC60">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2"/>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1A75ED48">
      <w:pPr>
        <w:spacing w:line="240" w:lineRule="atLeast"/>
        <w:ind w:left="1080" w:leftChars="257" w:hanging="540"/>
        <w:jc w:val="center"/>
        <w:rPr>
          <w:rFonts w:eastAsia="仿宋_GB2312"/>
          <w:b/>
          <w:color w:val="auto"/>
          <w:sz w:val="48"/>
          <w:szCs w:val="48"/>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采购人：西安浐灞国际港教育局</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4"/>
        <w:tabs>
          <w:tab w:val="right" w:leader="dot" w:pos="8278"/>
        </w:tabs>
        <w:rPr>
          <w:rFonts w:hint="eastAsia" w:ascii="仿宋" w:hAnsi="仿宋" w:eastAsia="仿宋" w:cs="仿宋"/>
          <w:color w:val="auto"/>
          <w:sz w:val="28"/>
          <w:szCs w:val="28"/>
          <w:highlight w:val="none"/>
        </w:rPr>
      </w:pPr>
      <w:bookmarkStart w:id="0" w:name="_Toc17230"/>
      <w:bookmarkStart w:id="1" w:name="_Toc22782"/>
      <w:bookmarkStart w:id="2" w:name="_Toc216582804"/>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4"/>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4"/>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4"/>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4"/>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4"/>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66</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3B4300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bookmarkStart w:id="5" w:name="_Toc62194293"/>
      <w:r>
        <w:rPr>
          <w:rFonts w:hint="eastAsia" w:ascii="仿宋" w:hAnsi="仿宋" w:eastAsia="仿宋" w:cs="仿宋"/>
          <w:color w:val="auto"/>
          <w:sz w:val="24"/>
          <w:szCs w:val="24"/>
          <w:highlight w:val="none"/>
        </w:rPr>
        <w:t>项目概况</w:t>
      </w:r>
    </w:p>
    <w:p w14:paraId="3E7DE1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2025年全区学校教育教学设施设备采购项目第二批（家具类）招标项目的潜在投标人应在全国公共资源交易平台（陕西省·西安市）网站〖首页〉电子交易平台〉陕西政府采购交易系统〉企业端〗下载本项目电子招标文件（*.SXSZF）获取招标文件，并于 2025年07月31日 09时00分 （北京时间）前递交投标文件。</w:t>
      </w:r>
    </w:p>
    <w:p w14:paraId="0D14662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3581FE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项目编号：SCZC2025-ZB-1422-001</w:t>
      </w:r>
    </w:p>
    <w:p w14:paraId="7BCD1A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项目名称：2025年全区学校教育教学设施设备采购项目第二批（家具类）</w:t>
      </w:r>
    </w:p>
    <w:p w14:paraId="794AC88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60AB0F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预算金额：11,312,044.00元</w:t>
      </w:r>
    </w:p>
    <w:p w14:paraId="63FD42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44B3D6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合同包1(2025年全区学校教育教学设施设备采购项目第二批（家具类）第1包):</w:t>
      </w:r>
    </w:p>
    <w:p w14:paraId="31B7F2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合同包预算金额：3,380,795.00元</w:t>
      </w:r>
    </w:p>
    <w:p w14:paraId="4BDF807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合同包最高限价：3,380,795.00元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788"/>
        <w:gridCol w:w="3091"/>
        <w:gridCol w:w="1056"/>
        <w:gridCol w:w="1213"/>
        <w:gridCol w:w="1680"/>
      </w:tblGrid>
      <w:tr w14:paraId="41180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8E59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F3CD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C89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A7E8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1740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A94C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r>
      <w:tr w14:paraId="5BAF2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5C4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489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其他室内装具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D7D17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西安浐灞国际港教育局2025年全区学校教育教学设施设备采购项目第二批（家具类）第1包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430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4EF37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84A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3,380,795.00</w:t>
            </w:r>
          </w:p>
        </w:tc>
      </w:tr>
    </w:tbl>
    <w:p w14:paraId="280930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5A5A7C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合同履行期限：2025年8月15日前完成供货、安装、调试</w:t>
      </w:r>
    </w:p>
    <w:p w14:paraId="54DC7BF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合同包2(2025年全区学校教育教学设施设备采购项目第二批（家具类）第2包):</w:t>
      </w:r>
    </w:p>
    <w:p w14:paraId="246A17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合同包预算金额：2,207,410.00元</w:t>
      </w:r>
    </w:p>
    <w:p w14:paraId="4A15A5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合同包最高限价：2,207,410.00元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788"/>
        <w:gridCol w:w="3091"/>
        <w:gridCol w:w="1056"/>
        <w:gridCol w:w="1213"/>
        <w:gridCol w:w="1680"/>
      </w:tblGrid>
      <w:tr w14:paraId="3B2E39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85937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32B18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37D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5E12D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1F782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5722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r>
      <w:tr w14:paraId="0222E4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8B6B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CF9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其他室内装具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A33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西安浐灞国际港教育局2025年全区学校教育教学设施设备采购项目第二批（家具类）第2包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9C8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969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5A4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2,207,410.00</w:t>
            </w:r>
          </w:p>
        </w:tc>
      </w:tr>
    </w:tbl>
    <w:p w14:paraId="4FF569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41A7DD5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合同履行期限：2025年8月15日前完成供货、安装、调试</w:t>
      </w:r>
    </w:p>
    <w:p w14:paraId="004431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合同包3(2025年全区学校教育教学设施设备采购项目第二批（家具类）第3包):</w:t>
      </w:r>
    </w:p>
    <w:p w14:paraId="03D2C3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合同包预算金额：2,351,760.00元</w:t>
      </w:r>
    </w:p>
    <w:p w14:paraId="4A1BCF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合同包最高限价：2,351,760.00元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788"/>
        <w:gridCol w:w="3091"/>
        <w:gridCol w:w="1056"/>
        <w:gridCol w:w="1213"/>
        <w:gridCol w:w="1680"/>
      </w:tblGrid>
      <w:tr w14:paraId="0E8B10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5A23D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1500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282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F507B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DE50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D338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r>
      <w:tr w14:paraId="63D34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8CB4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F887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其他室内装具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96A2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西安浐灞国际港教育局2025年全区学校教育教学设施设备采购项目第二批（家具类）第3包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46E18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84F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B489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2,351,760.00</w:t>
            </w:r>
          </w:p>
        </w:tc>
      </w:tr>
    </w:tbl>
    <w:p w14:paraId="143A59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468058C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合同履行期限：2025年8月15日前完成供货、安装、调试</w:t>
      </w:r>
    </w:p>
    <w:p w14:paraId="463C65F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合同包4(2025年全区学校教育教学设施设备采购项目第二批（家具类）第4包):</w:t>
      </w:r>
    </w:p>
    <w:p w14:paraId="0B188EB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合同包预算金额：1,965,515.00元</w:t>
      </w:r>
    </w:p>
    <w:p w14:paraId="54DE1FD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合同包最高限价：1,965,515.00元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788"/>
        <w:gridCol w:w="3091"/>
        <w:gridCol w:w="1056"/>
        <w:gridCol w:w="1213"/>
        <w:gridCol w:w="1680"/>
      </w:tblGrid>
      <w:tr w14:paraId="716F9B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DE07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D58C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F1697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BC64C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6E18A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1119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r>
      <w:tr w14:paraId="7B13F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40F7D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C144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其他室内装具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00A8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西安浐灞国际港教育局2025年全区学校教育教学设施设备采购项目第二批（家具类）第4包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0BB7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015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BA9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1,965,515.00</w:t>
            </w:r>
          </w:p>
        </w:tc>
      </w:tr>
    </w:tbl>
    <w:p w14:paraId="5F6EB69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375A849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合同履行期限：2025年8月15日前完成供货、安装、调试</w:t>
      </w:r>
    </w:p>
    <w:p w14:paraId="1DC0B0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合同包5(2025年全区学校教育教学设施设备采购项目第二批（家具类）第5包):</w:t>
      </w:r>
    </w:p>
    <w:p w14:paraId="5C5712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合同包预算金额：1,406,564.00元</w:t>
      </w:r>
    </w:p>
    <w:p w14:paraId="66FC69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合同包最高限价：1,406,564.00元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788"/>
        <w:gridCol w:w="3091"/>
        <w:gridCol w:w="1056"/>
        <w:gridCol w:w="1213"/>
        <w:gridCol w:w="1680"/>
      </w:tblGrid>
      <w:tr w14:paraId="12840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7589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848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2C1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DD19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DC3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2610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品目预算(元)</w:t>
            </w:r>
          </w:p>
        </w:tc>
      </w:tr>
      <w:tr w14:paraId="63A59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2527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D4D4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其他室内装具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A605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西安浐灞国际港教育局2025年全区学校教育教学设施设备采购项目第二批（家具类）第5包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57A5C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851FA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D238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1,406,564.00</w:t>
            </w:r>
          </w:p>
        </w:tc>
      </w:tr>
    </w:tbl>
    <w:p w14:paraId="5A1312E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69077B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合同履行期限：2025年8月15日前完成供货、安装、调试</w:t>
      </w:r>
    </w:p>
    <w:p w14:paraId="0BD7F39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537587B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4D3B3C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294B307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合同包1(2025年全区学校教育教学设施设备采购项目第二批（家具类）第1包)落实政府采购政策需满足的资格要求如下:</w:t>
      </w:r>
    </w:p>
    <w:p w14:paraId="682AF1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无，本项目非专门面向中小企业。</w:t>
      </w:r>
    </w:p>
    <w:p w14:paraId="555E33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合同包2(2025年全区学校教育教学设施设备采购项目第二批（家具类）第2包)落实政府采购政策需满足的资格要求如下:</w:t>
      </w:r>
    </w:p>
    <w:p w14:paraId="6FCDF8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无，本项目非专门面向中小企业。</w:t>
      </w:r>
    </w:p>
    <w:p w14:paraId="24AF29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合同包3(2025年全区学校教育教学设施设备采购项目第二批（家具类）第3包)落实政府采购政策需满足的资格要求如下:</w:t>
      </w:r>
    </w:p>
    <w:p w14:paraId="5F3E7FC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无，本项目非专门面向中小企业。</w:t>
      </w:r>
    </w:p>
    <w:p w14:paraId="0A2E58E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合同包4(2025年全区学校教育教学设施设备采购项目第二批（家具类）第4包)落实政府采购政策需满足的资格要求如下:</w:t>
      </w:r>
    </w:p>
    <w:p w14:paraId="5075A3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无，本项目非专门面向中小企业。</w:t>
      </w:r>
    </w:p>
    <w:p w14:paraId="2A0F86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合同包5(2025年全区学校教育教学设施设备采购项目第二批（家具类）第5包)落实政府采购政策需满足的资格要求如下:</w:t>
      </w:r>
    </w:p>
    <w:p w14:paraId="241F03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无，本项目非专门面向中小企业。</w:t>
      </w:r>
    </w:p>
    <w:p w14:paraId="7FCBBD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6F0CE47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合同包1(2025年全区学校教育教学设施设备采购项目第二批（家具类）第1包)特定资格要求如下:</w:t>
      </w:r>
    </w:p>
    <w:p w14:paraId="50B0011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6AC718E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704FA7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445F3BF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合同包2(2025年全区学校教育教学设施设备采购项目第二批（家具类）第2包)特定资格要求如下:</w:t>
      </w:r>
    </w:p>
    <w:p w14:paraId="34DD40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129966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689F04D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61AF9EC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合同包3(2025年全区学校教育教学设施设备采购项目第二批（家具类）第3包)特定资格要求如下:</w:t>
      </w:r>
    </w:p>
    <w:p w14:paraId="714443F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30B047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6E2BA5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67BE88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合同包4(2025年全区学校教育教学设施设备采购项目第二批（家具类）第4包)特定资格要求如下:</w:t>
      </w:r>
    </w:p>
    <w:p w14:paraId="1F704BA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066BCB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6E8C10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4039112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合同包5(2025年全区学校教育教学设施设备采购项目第二批（家具类）第5包)特定资格要求如下:</w:t>
      </w:r>
    </w:p>
    <w:p w14:paraId="0AA29D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0021A4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3.2投标人不得存在下列情形之一：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（2）为本项目提供整体设计、规范编制或者项目管理、监理、检测等服务的投标人，不得再参加该采购项目的其他采购活动。</w:t>
      </w:r>
    </w:p>
    <w:p w14:paraId="1C5B0C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755989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1EC5C2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2025年07月11日 至 2025年07月17日 ，每天上午 00:00:00 至 12:00:00 ，下午 12:00:00 至 23:59:59 （北京时间）</w:t>
      </w:r>
    </w:p>
    <w:p w14:paraId="6E5D02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途径：全国公共资源交易平台（陕西省·西安市）网站〖首页〉电子交易平台〉陕西政府采购交易系统〉企业端〗下载本项目电子招标文件（*.SXSZF）</w:t>
      </w:r>
    </w:p>
    <w:p w14:paraId="2A1179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方式：在线获取</w:t>
      </w:r>
    </w:p>
    <w:p w14:paraId="1035B6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 0元</w:t>
      </w:r>
    </w:p>
    <w:p w14:paraId="7B430F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6371F3B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2025年07月31日 09时00分00秒 （北京时间）</w:t>
      </w:r>
    </w:p>
    <w:p w14:paraId="58E9BF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提交投标文件地点：全国公共资源交易平台（陕西省·西安市）网站〖首页〉电子交易平台〉陕西政府采购交易系统〉企业端〗，在线提交</w:t>
      </w:r>
    </w:p>
    <w:p w14:paraId="63B4C1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开标地点：全国公共资源交易平台（陕西省·西安市）网站〖首页〉不见面开标〗</w:t>
      </w:r>
    </w:p>
    <w:p w14:paraId="0F36D5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03E1127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1CB5159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六、其他补充事宜</w:t>
      </w:r>
    </w:p>
    <w:p w14:paraId="441415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1、落实政府采购政策：</w:t>
      </w:r>
    </w:p>
    <w:p w14:paraId="184FF4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23D7E6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862DBA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737E11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1.4《国家互联网信息办公室 工业和信息化部 公安部 财政部 国家认证认可监督管理委员会关于调整网络安全专用产品安全管理有关事项的公告》（2023年第1号）。</w:t>
      </w:r>
    </w:p>
    <w:p w14:paraId="2FCE41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6984F1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58871D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若享受以上政策优惠的企业，提供相应声明函或品目清单范围内产品的有效认证证书或相关证明。</w:t>
      </w:r>
    </w:p>
    <w:p w14:paraId="7C9DAB3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2.开标形式：本项目将采用“不见面开标”形式。操作说明详见平台〖首页·〉服务指南·〉下载专区〗中的《西安公共资源交易不见面开标大厅供应商操作手册》。</w:t>
      </w:r>
    </w:p>
    <w:p w14:paraId="53940B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19A173A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709A175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44849E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请投标人务必及时下载项目招标文件并做好备份,否则会影响投标文件编制及后续投标活动。</w:t>
      </w:r>
    </w:p>
    <w:p w14:paraId="5D6FC83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C5C83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626B8F6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47A986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67A1F7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3.8.按照陕西省财政厅《关于政府采购供应商注册登记有关事项的通知》中的要求,投标人应通过陕西省政府采购网(http://www.ccgp-shaanxi.gov.cn/)注册登记 ,加入陕西省政府采购供应商库。</w:t>
      </w:r>
    </w:p>
    <w:p w14:paraId="6675E0C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七、对本次招标提出询问，请按以下方式联系。</w:t>
      </w:r>
    </w:p>
    <w:p w14:paraId="199A534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38BEF29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名称：西安浐灞国际港教育局</w:t>
      </w:r>
    </w:p>
    <w:p w14:paraId="67AB12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地址：西安浐灞国际港浐灞大道一号浐灞商务中心</w:t>
      </w:r>
    </w:p>
    <w:p w14:paraId="7AC7C32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联系方式：029-83592327</w:t>
      </w:r>
    </w:p>
    <w:p w14:paraId="1037BD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1B57015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名称：陕西省采购招标有限责任公司</w:t>
      </w:r>
    </w:p>
    <w:p w14:paraId="64984C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地址：西安市高新区锦业路1号都市之门C座9层</w:t>
      </w:r>
    </w:p>
    <w:p w14:paraId="677009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联系方式：029-85257505</w:t>
      </w:r>
    </w:p>
    <w:p w14:paraId="6AAC52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66740D8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项目联系人：李峻豪、王莉</w:t>
      </w:r>
    </w:p>
    <w:p w14:paraId="6569FE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电话：029-85257505</w:t>
      </w:r>
    </w:p>
    <w:p w14:paraId="735D73A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陕西省采购招标有限责任公司</w:t>
      </w:r>
    </w:p>
    <w:p w14:paraId="6F6078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宋体" w:hAnsi="宋体" w:eastAsia="仿宋" w:cs="Times New Roman"/>
          <w:b/>
          <w:color w:val="auto"/>
          <w:kern w:val="44"/>
          <w:sz w:val="32"/>
          <w:szCs w:val="20"/>
          <w:highlight w:val="none"/>
          <w:lang w:val="en-US" w:eastAsia="zh-CN" w:bidi="ar-SA"/>
        </w:rPr>
      </w:pPr>
      <w:r>
        <w:rPr>
          <w:rFonts w:hint="eastAsia" w:ascii="仿宋" w:hAnsi="仿宋" w:eastAsia="仿宋" w:cs="仿宋"/>
          <w:i w:val="0"/>
          <w:iCs w:val="0"/>
          <w:caps w:val="0"/>
          <w:color w:val="auto"/>
          <w:spacing w:val="0"/>
          <w:sz w:val="24"/>
          <w:szCs w:val="24"/>
          <w:highlight w:val="none"/>
          <w:shd w:val="clear" w:fill="FFFFFF"/>
        </w:rPr>
        <w:t>2025年</w:t>
      </w:r>
      <w:r>
        <w:rPr>
          <w:rFonts w:hint="eastAsia" w:ascii="仿宋" w:hAnsi="仿宋" w:eastAsia="仿宋" w:cs="仿宋"/>
          <w:i w:val="0"/>
          <w:iCs w:val="0"/>
          <w:caps w:val="0"/>
          <w:color w:val="auto"/>
          <w:spacing w:val="0"/>
          <w:sz w:val="24"/>
          <w:szCs w:val="24"/>
          <w:highlight w:val="none"/>
          <w:shd w:val="clear" w:fill="FFFFFF"/>
          <w:lang w:val="en-US" w:eastAsia="zh-CN"/>
        </w:rPr>
        <w:t>07</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10</w:t>
      </w:r>
      <w:r>
        <w:rPr>
          <w:rFonts w:hint="eastAsia" w:ascii="仿宋" w:hAnsi="仿宋" w:eastAsia="仿宋" w:cs="仿宋"/>
          <w:i w:val="0"/>
          <w:iCs w:val="0"/>
          <w:caps w:val="0"/>
          <w:color w:val="auto"/>
          <w:spacing w:val="0"/>
          <w:sz w:val="24"/>
          <w:szCs w:val="24"/>
          <w:highlight w:val="none"/>
          <w:shd w:val="clear" w:fill="FFFFFF"/>
        </w:rPr>
        <w:t>日</w:t>
      </w: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15647756"/>
      <w:bookmarkStart w:id="8" w:name="_Toc532473448"/>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62194294"/>
      <w:bookmarkStart w:id="10" w:name="_Toc1902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18"/>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西安浐灞国际港教育局</w:t>
            </w:r>
            <w:r>
              <w:rPr>
                <w:rFonts w:hint="eastAsia" w:ascii="仿宋" w:hAnsi="仿宋" w:eastAsia="仿宋" w:cs="仿宋"/>
                <w:color w:val="auto"/>
                <w:sz w:val="24"/>
                <w:highlight w:val="none"/>
              </w:rPr>
              <w:t>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i w:val="0"/>
                <w:iCs w:val="0"/>
                <w:caps w:val="0"/>
                <w:color w:val="auto"/>
                <w:spacing w:val="0"/>
                <w:sz w:val="24"/>
                <w:szCs w:val="24"/>
                <w:highlight w:val="none"/>
                <w:shd w:val="clear" w:fill="FFFFFF"/>
              </w:rPr>
              <w:t>西安浐灞国际港浐灞大道一号浐灞商务中心</w:t>
            </w:r>
            <w:r>
              <w:rPr>
                <w:rFonts w:hint="eastAsia" w:ascii="仿宋" w:hAnsi="仿宋" w:eastAsia="仿宋" w:cs="仿宋"/>
                <w:color w:val="auto"/>
                <w:sz w:val="24"/>
                <w:highlight w:val="none"/>
              </w:rPr>
              <w:t>　</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话：029-83592327</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西安市高新区锦业路1号都市之门C座9层</w:t>
            </w:r>
            <w:r>
              <w:rPr>
                <w:rFonts w:hint="eastAsia" w:ascii="仿宋" w:hAnsi="仿宋" w:eastAsia="仿宋" w:cs="仿宋"/>
                <w:color w:val="auto"/>
                <w:sz w:val="24"/>
                <w:highlight w:val="none"/>
              </w:rPr>
              <w:t>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default" w:ascii="Times New Roman" w:hAnsi="Times New Roman" w:eastAsia="仿宋" w:cs="Times New Roman"/>
                <w:color w:val="auto"/>
                <w:highlight w:val="none"/>
                <w:lang w:val="en-US"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否</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2EEBB6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所属行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8126D1">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注：本项目为货物采购，根据《政府采购促进中小企业发展管理办法》，在货物采购项目中，供应商提供的货物既有中小企业制造货物，也有大型企业制造货物的，不享受中小企业扶持政策。</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3BA20619">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lang w:eastAsia="zh-CN"/>
              </w:rPr>
              <w:t>11,312,044.00</w:t>
            </w:r>
            <w:r>
              <w:rPr>
                <w:rFonts w:hint="eastAsia" w:ascii="仿宋" w:hAnsi="仿宋" w:eastAsia="仿宋" w:cs="仿宋"/>
                <w:color w:val="auto"/>
                <w:sz w:val="24"/>
                <w:highlight w:val="none"/>
              </w:rPr>
              <w:t>元</w:t>
            </w:r>
          </w:p>
          <w:p w14:paraId="5E3ED5F0">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合同包1预算：</w:t>
            </w:r>
            <w:r>
              <w:rPr>
                <w:rFonts w:hint="eastAsia" w:ascii="仿宋" w:hAnsi="仿宋" w:eastAsia="仿宋" w:cs="仿宋"/>
                <w:i w:val="0"/>
                <w:iCs w:val="0"/>
                <w:caps w:val="0"/>
                <w:color w:val="auto"/>
                <w:spacing w:val="0"/>
                <w:sz w:val="24"/>
                <w:szCs w:val="24"/>
                <w:highlight w:val="none"/>
                <w:shd w:val="clear" w:fill="FFFFFF"/>
              </w:rPr>
              <w:t>3</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380</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795</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655E9FC2">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合同包2预算：</w:t>
            </w:r>
            <w:r>
              <w:rPr>
                <w:rFonts w:hint="eastAsia" w:ascii="仿宋" w:hAnsi="仿宋" w:eastAsia="仿宋" w:cs="仿宋"/>
                <w:i w:val="0"/>
                <w:iCs w:val="0"/>
                <w:caps w:val="0"/>
                <w:color w:val="auto"/>
                <w:spacing w:val="0"/>
                <w:sz w:val="24"/>
                <w:szCs w:val="24"/>
                <w:highlight w:val="none"/>
                <w:shd w:val="clear" w:fill="FFFFFF"/>
              </w:rPr>
              <w:t>2</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207</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410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2D521976">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合同包3预算：</w:t>
            </w:r>
            <w:r>
              <w:rPr>
                <w:rFonts w:hint="eastAsia" w:ascii="仿宋" w:hAnsi="仿宋" w:eastAsia="仿宋" w:cs="仿宋"/>
                <w:i w:val="0"/>
                <w:iCs w:val="0"/>
                <w:caps w:val="0"/>
                <w:color w:val="auto"/>
                <w:spacing w:val="0"/>
                <w:sz w:val="24"/>
                <w:szCs w:val="24"/>
                <w:highlight w:val="none"/>
                <w:shd w:val="clear" w:fill="FFFFFF"/>
              </w:rPr>
              <w:t>2</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351</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760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4C2D032E">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合同包4预算：</w:t>
            </w:r>
            <w:r>
              <w:rPr>
                <w:rFonts w:hint="eastAsia" w:ascii="仿宋" w:hAnsi="仿宋" w:eastAsia="仿宋" w:cs="仿宋"/>
                <w:i w:val="0"/>
                <w:iCs w:val="0"/>
                <w:caps w:val="0"/>
                <w:color w:val="auto"/>
                <w:spacing w:val="0"/>
                <w:sz w:val="24"/>
                <w:szCs w:val="24"/>
                <w:highlight w:val="none"/>
                <w:shd w:val="clear" w:fill="FFFFFF"/>
              </w:rPr>
              <w:t>1</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965</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515</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149A968F">
            <w:pPr>
              <w:shd w:val="clear" w:color="auto" w:fill="auto"/>
              <w:spacing w:line="360" w:lineRule="auto"/>
              <w:rPr>
                <w:rFonts w:hint="default" w:eastAsia="仿宋"/>
                <w:highlight w:val="none"/>
                <w:lang w:val="en-US" w:eastAsia="zh-CN"/>
              </w:rPr>
            </w:pPr>
            <w:r>
              <w:rPr>
                <w:rFonts w:hint="eastAsia" w:ascii="仿宋" w:hAnsi="仿宋" w:eastAsia="仿宋" w:cs="仿宋"/>
                <w:color w:val="auto"/>
                <w:sz w:val="24"/>
                <w:highlight w:val="none"/>
                <w:lang w:val="en-US" w:eastAsia="zh-CN"/>
              </w:rPr>
              <w:t>合同包5预算：</w:t>
            </w:r>
            <w:r>
              <w:rPr>
                <w:rFonts w:hint="eastAsia" w:ascii="仿宋" w:hAnsi="仿宋" w:eastAsia="仿宋" w:cs="仿宋"/>
                <w:i w:val="0"/>
                <w:iCs w:val="0"/>
                <w:caps w:val="0"/>
                <w:color w:val="auto"/>
                <w:spacing w:val="0"/>
                <w:sz w:val="24"/>
                <w:szCs w:val="24"/>
                <w:highlight w:val="none"/>
                <w:shd w:val="clear" w:fill="FFFFFF"/>
              </w:rPr>
              <w:t>1</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406</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eastAsia="仿宋" w:cs="仿宋"/>
                <w:i w:val="0"/>
                <w:iCs w:val="0"/>
                <w:caps w:val="0"/>
                <w:color w:val="auto"/>
                <w:spacing w:val="0"/>
                <w:sz w:val="24"/>
                <w:szCs w:val="24"/>
                <w:highlight w:val="none"/>
                <w:shd w:val="clear" w:fill="FFFFFF"/>
              </w:rPr>
              <w:t>564</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每个合同包选择不同中标人，</w:t>
            </w:r>
            <w:r>
              <w:rPr>
                <w:rFonts w:hint="eastAsia" w:ascii="仿宋" w:hAnsi="仿宋" w:eastAsia="仿宋" w:cs="仿宋"/>
                <w:b w:val="0"/>
                <w:bCs w:val="0"/>
                <w:color w:val="auto"/>
                <w:sz w:val="24"/>
                <w:highlight w:val="none"/>
              </w:rPr>
              <w:t>在评标过程中，将按</w:t>
            </w:r>
            <w:r>
              <w:rPr>
                <w:rFonts w:hint="eastAsia" w:ascii="仿宋" w:hAnsi="仿宋" w:eastAsia="仿宋" w:cs="仿宋"/>
                <w:b w:val="0"/>
                <w:bCs w:val="0"/>
                <w:color w:val="auto"/>
                <w:sz w:val="24"/>
                <w:highlight w:val="none"/>
                <w:lang w:val="en-US" w:eastAsia="zh-CN"/>
              </w:rPr>
              <w:t>标包顺序</w:t>
            </w:r>
            <w:r>
              <w:rPr>
                <w:rFonts w:hint="eastAsia" w:ascii="仿宋" w:hAnsi="仿宋" w:eastAsia="仿宋" w:cs="仿宋"/>
                <w:b w:val="0"/>
                <w:bCs w:val="0"/>
                <w:color w:val="auto"/>
                <w:sz w:val="24"/>
                <w:highlight w:val="none"/>
              </w:rPr>
              <w:t>依次</w:t>
            </w:r>
            <w:r>
              <w:rPr>
                <w:rFonts w:hint="eastAsia" w:ascii="仿宋" w:hAnsi="仿宋" w:eastAsia="仿宋" w:cs="仿宋"/>
                <w:b w:val="0"/>
                <w:bCs w:val="0"/>
                <w:color w:val="auto"/>
                <w:sz w:val="24"/>
                <w:highlight w:val="none"/>
                <w:lang w:val="en-US" w:eastAsia="zh-CN"/>
              </w:rPr>
              <w:t>进行</w:t>
            </w:r>
            <w:r>
              <w:rPr>
                <w:rFonts w:hint="eastAsia" w:ascii="仿宋" w:hAnsi="仿宋" w:eastAsia="仿宋" w:cs="仿宋"/>
                <w:b w:val="0"/>
                <w:bCs w:val="0"/>
                <w:color w:val="auto"/>
                <w:sz w:val="24"/>
                <w:highlight w:val="none"/>
              </w:rPr>
              <w:t>评审</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经评审后在上一合同包排名第一的</w:t>
            </w: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将在后续合同包</w:t>
            </w:r>
            <w:r>
              <w:rPr>
                <w:rFonts w:hint="eastAsia" w:ascii="仿宋" w:hAnsi="仿宋" w:eastAsia="仿宋" w:cs="仿宋"/>
                <w:b w:val="0"/>
                <w:bCs w:val="0"/>
                <w:color w:val="auto"/>
                <w:sz w:val="24"/>
                <w:highlight w:val="none"/>
                <w:lang w:val="en-US" w:eastAsia="zh-CN"/>
              </w:rPr>
              <w:t>的评审过程中</w:t>
            </w:r>
            <w:r>
              <w:rPr>
                <w:rFonts w:hint="eastAsia" w:ascii="仿宋" w:hAnsi="仿宋" w:eastAsia="仿宋" w:cs="仿宋"/>
                <w:b w:val="0"/>
                <w:bCs w:val="0"/>
                <w:color w:val="auto"/>
                <w:sz w:val="24"/>
                <w:highlight w:val="none"/>
              </w:rPr>
              <w:t>不再推荐为中标候选人。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评审顺序：</w:t>
            </w:r>
            <w:r>
              <w:rPr>
                <w:rFonts w:hint="eastAsia" w:ascii="仿宋" w:hAnsi="仿宋" w:eastAsia="仿宋" w:cs="仿宋"/>
                <w:color w:val="auto"/>
                <w:sz w:val="24"/>
                <w:highlight w:val="none"/>
                <w:lang w:val="en-US" w:eastAsia="zh-CN"/>
              </w:rPr>
              <w:t>合同包1、合同包2、合同包3、合同包4、合同包5</w:t>
            </w:r>
            <w:r>
              <w:rPr>
                <w:rFonts w:hint="eastAsia" w:ascii="仿宋" w:hAnsi="仿宋" w:eastAsia="仿宋" w:cs="仿宋"/>
                <w:b w:val="0"/>
                <w:bCs w:val="0"/>
                <w:color w:val="auto"/>
                <w:sz w:val="24"/>
                <w:highlight w:val="none"/>
                <w:lang w:eastAsia="zh-CN"/>
              </w:rPr>
              <w:t>）</w:t>
            </w:r>
            <w:r>
              <w:rPr>
                <w:rFonts w:hint="eastAsia" w:ascii="仿宋" w:hAnsi="仿宋" w:eastAsia="仿宋" w:cs="仿宋"/>
                <w:color w:val="auto"/>
                <w:sz w:val="24"/>
                <w:highlight w:val="none"/>
                <w:lang w:eastAsia="zh-CN"/>
              </w:rPr>
              <w:t>。</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5618BAD1">
            <w:pPr>
              <w:shd w:val="clear" w:color="auto" w:fill="auto"/>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w:t>
            </w:r>
            <w:r>
              <w:rPr>
                <w:rFonts w:hint="eastAsia" w:ascii="仿宋" w:hAnsi="仿宋" w:eastAsia="仿宋" w:cs="仿宋"/>
                <w:color w:val="auto"/>
                <w:sz w:val="24"/>
                <w:highlight w:val="none"/>
                <w:lang w:val="en-US" w:eastAsia="zh-CN"/>
              </w:rPr>
              <w:t>在60分钟内</w:t>
            </w:r>
            <w:r>
              <w:rPr>
                <w:rFonts w:hint="eastAsia" w:ascii="仿宋" w:hAnsi="仿宋" w:eastAsia="仿宋" w:cs="仿宋"/>
                <w:color w:val="auto"/>
                <w:sz w:val="24"/>
                <w:highlight w:val="none"/>
              </w:rPr>
              <w:t>无法解密或无法打开的，按无效投标处理。</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4F63AF93">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p>
          <w:p w14:paraId="0EC1DD01">
            <w:pPr>
              <w:shd w:val="clear" w:color="auto" w:fill="auto"/>
              <w:spacing w:line="360" w:lineRule="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第1包：浐灞国际港第一学校（暂定名）“课桌椅”</w:t>
            </w:r>
          </w:p>
          <w:p w14:paraId="52329760">
            <w:pPr>
              <w:shd w:val="clear" w:color="auto" w:fill="auto"/>
              <w:spacing w:line="360" w:lineRule="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第2包：浐灞第四小学“课桌椅”</w:t>
            </w:r>
          </w:p>
          <w:p w14:paraId="20D2F0ED">
            <w:pPr>
              <w:shd w:val="clear" w:color="auto" w:fill="auto"/>
              <w:spacing w:line="360" w:lineRule="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第3包：浐灞第四初级中学分校（暂定名）“课桌凳”</w:t>
            </w:r>
          </w:p>
          <w:p w14:paraId="201DC207">
            <w:pPr>
              <w:shd w:val="clear" w:color="auto" w:fill="auto"/>
              <w:spacing w:line="360" w:lineRule="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第4包：西安市第三十四中学教室“课桌椅”</w:t>
            </w:r>
          </w:p>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第5包：浐灞御锦城小学“可升降课桌椅”</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否</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提交履约保证金的时间：</w:t>
            </w:r>
            <w:r>
              <w:rPr>
                <w:rFonts w:hint="eastAsia" w:ascii="仿宋" w:hAnsi="仿宋" w:eastAsia="仿宋" w:cs="仿宋"/>
                <w:color w:val="auto"/>
                <w:sz w:val="24"/>
                <w:highlight w:val="none"/>
                <w:lang w:val="en-US" w:eastAsia="zh-CN"/>
              </w:rPr>
              <w:t>/</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w:t>
            </w:r>
            <w:r>
              <w:rPr>
                <w:rFonts w:hint="eastAsia" w:ascii="仿宋" w:hAnsi="仿宋" w:eastAsia="仿宋" w:cs="仿宋"/>
                <w:color w:val="auto"/>
                <w:sz w:val="24"/>
                <w:highlight w:val="none"/>
                <w:lang w:val="en-US" w:eastAsia="zh-CN"/>
              </w:rPr>
              <w:t>30%</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029-85235014 </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216582805"/>
      <w:bookmarkStart w:id="14" w:name="_Toc520356143"/>
      <w:bookmarkStart w:id="15" w:name="_Toc515647757"/>
      <w:bookmarkStart w:id="16" w:name="_Toc21015"/>
      <w:bookmarkStart w:id="17" w:name="_Toc21215"/>
      <w:bookmarkStart w:id="18" w:name="_Toc62194296"/>
      <w:bookmarkStart w:id="19" w:name="_Toc532473449"/>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62194297"/>
      <w:bookmarkStart w:id="21" w:name="_Toc32623"/>
      <w:bookmarkStart w:id="22" w:name="_Toc515647758"/>
      <w:bookmarkStart w:id="23" w:name="_Toc520356144"/>
      <w:bookmarkStart w:id="24" w:name="_Toc532473450"/>
      <w:bookmarkStart w:id="25" w:name="_Toc32189"/>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5286"/>
      <w:bookmarkStart w:id="27" w:name="_Toc12139"/>
      <w:bookmarkStart w:id="28" w:name="_Toc515647759"/>
      <w:bookmarkStart w:id="29" w:name="_Toc532473451"/>
      <w:bookmarkStart w:id="30" w:name="_Toc62194298"/>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520356145"/>
      <w:bookmarkStart w:id="32" w:name="_Toc20526"/>
      <w:bookmarkStart w:id="33" w:name="_Toc62194299"/>
      <w:bookmarkStart w:id="34" w:name="_Toc532473452"/>
      <w:bookmarkStart w:id="35" w:name="_Toc15936"/>
      <w:bookmarkStart w:id="36" w:name="_Toc515647760"/>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62194300"/>
      <w:bookmarkStart w:id="38" w:name="_Toc4463"/>
      <w:bookmarkStart w:id="39" w:name="_Toc532473453"/>
      <w:bookmarkStart w:id="40" w:name="_Toc515647761"/>
      <w:bookmarkStart w:id="41" w:name="_Toc6116"/>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520356146"/>
      <w:bookmarkStart w:id="43" w:name="_Toc4365"/>
      <w:bookmarkStart w:id="44" w:name="_Toc532473454"/>
      <w:bookmarkStart w:id="45" w:name="_Toc216582806"/>
      <w:bookmarkStart w:id="46" w:name="_Toc515647762"/>
      <w:bookmarkStart w:id="47" w:name="_Toc21566"/>
      <w:bookmarkStart w:id="48" w:name="_Toc62194301"/>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62194302"/>
      <w:bookmarkStart w:id="50" w:name="_Toc14084"/>
      <w:bookmarkStart w:id="51" w:name="_Toc520356147"/>
      <w:bookmarkStart w:id="52" w:name="_Toc515647763"/>
      <w:bookmarkStart w:id="53" w:name="_Toc25743"/>
      <w:bookmarkStart w:id="54" w:name="_Toc532473455"/>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20356148"/>
      <w:bookmarkStart w:id="56" w:name="_Toc515904805"/>
      <w:bookmarkStart w:id="57" w:name="_Toc26044"/>
      <w:bookmarkStart w:id="58" w:name="_Toc9232"/>
      <w:bookmarkStart w:id="59" w:name="_Toc532473456"/>
      <w:bookmarkStart w:id="60" w:name="_Toc62194303"/>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Toc520356149"/>
      <w:bookmarkStart w:id="62" w:name="_Toc515904806"/>
      <w:bookmarkStart w:id="63" w:name="_Ref467378678"/>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532473457"/>
      <w:bookmarkStart w:id="65" w:name="_Toc14569"/>
      <w:bookmarkStart w:id="66" w:name="_Toc62194304"/>
      <w:bookmarkStart w:id="67" w:name="_Toc25635"/>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30808"/>
      <w:bookmarkStart w:id="70" w:name="_Toc7636"/>
      <w:bookmarkStart w:id="71" w:name="_Toc62194305"/>
      <w:bookmarkStart w:id="72" w:name="_Toc520356150"/>
      <w:bookmarkStart w:id="73" w:name="_Toc515647766"/>
      <w:bookmarkStart w:id="74" w:name="_Toc216582807"/>
      <w:bookmarkStart w:id="75" w:name="_Toc532473458"/>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515647767"/>
      <w:bookmarkStart w:id="77" w:name="_Toc532473459"/>
      <w:bookmarkStart w:id="78" w:name="_Toc62194306"/>
      <w:bookmarkStart w:id="79" w:name="_Toc3553"/>
      <w:bookmarkStart w:id="80" w:name="_Toc520356151"/>
      <w:bookmarkStart w:id="81" w:name="_Toc516367021"/>
      <w:bookmarkStart w:id="82" w:name="_Toc7786"/>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Toc516367022"/>
      <w:bookmarkStart w:id="84" w:name="_Ref467306676"/>
      <w:bookmarkStart w:id="85" w:name="_Ref467306195"/>
      <w:bookmarkStart w:id="86" w:name="_Toc10364"/>
      <w:bookmarkStart w:id="87" w:name="_Toc28307"/>
      <w:bookmarkStart w:id="88" w:name="_Toc532473460"/>
      <w:bookmarkStart w:id="89" w:name="_Toc520356152"/>
      <w:bookmarkStart w:id="90" w:name="_Toc515647768"/>
      <w:bookmarkStart w:id="91" w:name="_Toc62194307"/>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62194308"/>
      <w:bookmarkStart w:id="94" w:name="_Toc520356153"/>
      <w:bookmarkStart w:id="95" w:name="_Toc516367023"/>
      <w:bookmarkStart w:id="96" w:name="_Toc10379"/>
      <w:bookmarkStart w:id="97" w:name="_Toc515647769"/>
      <w:bookmarkStart w:id="98" w:name="_Toc532473461"/>
      <w:bookmarkStart w:id="99" w:name="_Toc4601"/>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532473462"/>
      <w:bookmarkStart w:id="102" w:name="_Toc23231"/>
      <w:bookmarkStart w:id="103" w:name="_Toc515647770"/>
      <w:bookmarkStart w:id="104" w:name="_Toc2248"/>
      <w:bookmarkStart w:id="105" w:name="_Toc520356155"/>
      <w:bookmarkStart w:id="106" w:name="_Toc62194309"/>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62194310"/>
      <w:bookmarkStart w:id="108" w:name="_Toc520356156"/>
      <w:bookmarkStart w:id="109" w:name="_Toc515647771"/>
      <w:bookmarkStart w:id="110" w:name="_Toc532473463"/>
      <w:bookmarkStart w:id="111" w:name="_Toc17788"/>
      <w:bookmarkStart w:id="112" w:name="_Ref467306513"/>
      <w:bookmarkStart w:id="113" w:name="_Toc11514"/>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515647772"/>
      <w:bookmarkStart w:id="116" w:name="_Toc32569"/>
      <w:bookmarkStart w:id="117" w:name="_Toc62194311"/>
      <w:bookmarkStart w:id="118" w:name="_Toc532473464"/>
      <w:bookmarkStart w:id="119" w:name="_Toc520356157"/>
      <w:bookmarkStart w:id="120" w:name="_Toc23590"/>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15647773"/>
      <w:bookmarkStart w:id="122" w:name="_Toc520356158"/>
      <w:bookmarkStart w:id="123" w:name="_Toc493"/>
      <w:bookmarkStart w:id="124" w:name="_Toc17074"/>
      <w:bookmarkStart w:id="125" w:name="_Toc532473465"/>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11179"/>
      <w:bookmarkStart w:id="128" w:name="_Toc515647774"/>
      <w:bookmarkStart w:id="129" w:name="_Toc62194313"/>
      <w:bookmarkStart w:id="130" w:name="_Toc532473466"/>
      <w:bookmarkStart w:id="131" w:name="_Toc216582808"/>
      <w:bookmarkStart w:id="132" w:name="_Toc16865"/>
      <w:bookmarkStart w:id="133" w:name="_Toc520356159"/>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32337"/>
      <w:bookmarkStart w:id="135" w:name="_Toc520356160"/>
      <w:bookmarkStart w:id="136" w:name="_Toc62194314"/>
      <w:bookmarkStart w:id="137" w:name="_Toc21645"/>
      <w:bookmarkStart w:id="138" w:name="_Toc515647775"/>
      <w:bookmarkStart w:id="139" w:name="_Toc532473467"/>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515647776"/>
      <w:bookmarkStart w:id="141" w:name="_Toc520356161"/>
      <w:bookmarkStart w:id="142" w:name="_Toc9840"/>
      <w:bookmarkStart w:id="143" w:name="_Toc12751"/>
      <w:bookmarkStart w:id="144" w:name="_Toc62194315"/>
      <w:bookmarkStart w:id="145" w:name="_Toc532473468"/>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62194316"/>
      <w:bookmarkStart w:id="147" w:name="_Toc18537"/>
      <w:bookmarkStart w:id="148" w:name="_Toc24275"/>
      <w:bookmarkStart w:id="149" w:name="_Toc520356162"/>
      <w:bookmarkStart w:id="150" w:name="_Toc515647777"/>
      <w:bookmarkStart w:id="151" w:name="_Toc532473469"/>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216582809"/>
      <w:bookmarkStart w:id="153" w:name="_Toc62194317"/>
      <w:bookmarkStart w:id="154" w:name="_Toc515647778"/>
      <w:bookmarkStart w:id="155" w:name="_Toc12436"/>
      <w:bookmarkStart w:id="156" w:name="_Toc532473470"/>
      <w:bookmarkStart w:id="157" w:name="_Toc520356163"/>
      <w:bookmarkStart w:id="158" w:name="_Toc28398"/>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520356164"/>
      <w:bookmarkStart w:id="160" w:name="_Toc515647779"/>
      <w:bookmarkStart w:id="161" w:name="_Toc62194318"/>
      <w:bookmarkStart w:id="162" w:name="_Toc532473471"/>
      <w:bookmarkStart w:id="163" w:name="_Toc7186"/>
      <w:bookmarkStart w:id="164" w:name="_Toc25345"/>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62194319"/>
      <w:bookmarkStart w:id="167" w:name="_Toc532473472"/>
      <w:bookmarkStart w:id="168" w:name="_Toc515647780"/>
      <w:bookmarkStart w:id="169" w:name="_Toc19296"/>
      <w:bookmarkStart w:id="170" w:name="_Toc21372"/>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515647781"/>
      <w:bookmarkStart w:id="173" w:name="_Toc19949"/>
      <w:bookmarkStart w:id="174" w:name="_Toc532473473"/>
      <w:bookmarkStart w:id="175" w:name="_Toc62194320"/>
      <w:bookmarkStart w:id="176" w:name="_Toc28479"/>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62194321"/>
      <w:bookmarkStart w:id="180" w:name="_Toc9469"/>
      <w:bookmarkStart w:id="181" w:name="_Toc6364"/>
      <w:bookmarkStart w:id="182" w:name="_Toc532473474"/>
      <w:bookmarkStart w:id="183" w:name="_Toc515647782"/>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4950"/>
      <w:bookmarkStart w:id="186" w:name="_Toc532473475"/>
      <w:bookmarkStart w:id="187" w:name="_Toc62194322"/>
      <w:bookmarkStart w:id="188" w:name="_Toc6092"/>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13652"/>
      <w:bookmarkStart w:id="190" w:name="_Toc515647784"/>
      <w:bookmarkStart w:id="191" w:name="_Toc62194323"/>
      <w:bookmarkStart w:id="192" w:name="_Toc532473476"/>
      <w:bookmarkStart w:id="193" w:name="_Toc22941"/>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9378"/>
      <w:bookmarkStart w:id="197" w:name="_Toc515647785"/>
      <w:bookmarkStart w:id="198" w:name="_Toc20227"/>
      <w:bookmarkStart w:id="199" w:name="_Toc62194324"/>
      <w:bookmarkStart w:id="200" w:name="_Toc532473477"/>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31289"/>
      <w:bookmarkStart w:id="202" w:name="_Toc24972"/>
      <w:bookmarkStart w:id="203" w:name="_Toc515647786"/>
      <w:bookmarkStart w:id="204" w:name="_Toc62194325"/>
      <w:bookmarkStart w:id="205" w:name="_Toc532473478"/>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12143"/>
      <w:bookmarkStart w:id="208" w:name="_Toc62194326"/>
      <w:bookmarkStart w:id="209" w:name="_Toc23904"/>
      <w:bookmarkStart w:id="210" w:name="_Toc216582810"/>
      <w:bookmarkStart w:id="211" w:name="_Toc515647787"/>
      <w:bookmarkStart w:id="212" w:name="_Toc532473479"/>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520356170"/>
      <w:bookmarkStart w:id="214" w:name="_Ref467307010"/>
      <w:bookmarkStart w:id="215" w:name="_Toc23762"/>
      <w:bookmarkStart w:id="216" w:name="_Toc515647788"/>
      <w:bookmarkStart w:id="217" w:name="_Toc62194327"/>
      <w:bookmarkStart w:id="218" w:name="_Toc532473480"/>
      <w:bookmarkStart w:id="219" w:name="_Toc23617"/>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532473481"/>
      <w:bookmarkStart w:id="223" w:name="_Toc23951"/>
      <w:bookmarkStart w:id="224" w:name="_Toc9653"/>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6"/>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31099"/>
      <w:bookmarkStart w:id="228" w:name="_Toc30170"/>
      <w:bookmarkStart w:id="229" w:name="_Toc515647791"/>
      <w:bookmarkStart w:id="230" w:name="_Toc532473483"/>
      <w:bookmarkStart w:id="231" w:name="_Toc520356174"/>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Ref467307062"/>
      <w:bookmarkStart w:id="234" w:name="_Toc7779"/>
      <w:bookmarkStart w:id="235" w:name="_Ref467307204"/>
      <w:bookmarkStart w:id="236" w:name="_Ref467306377"/>
      <w:bookmarkStart w:id="237" w:name="_Toc532473484"/>
      <w:bookmarkStart w:id="238" w:name="_Ref467306978"/>
      <w:bookmarkStart w:id="239" w:name="_Toc515647792"/>
      <w:bookmarkStart w:id="240" w:name="_Toc62194331"/>
      <w:bookmarkStart w:id="241" w:name="_Toc520356175"/>
      <w:bookmarkStart w:id="242" w:name="_Toc790"/>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30.1   中标人应当自发出中标通知书之日起30日内，与采购人签订合同</w:t>
      </w:r>
      <w:r>
        <w:rPr>
          <w:rFonts w:hint="eastAsia" w:ascii="仿宋" w:hAnsi="仿宋" w:eastAsia="仿宋" w:cs="仿宋"/>
          <w:color w:val="auto"/>
          <w:sz w:val="24"/>
          <w:szCs w:val="24"/>
          <w:highlight w:val="none"/>
          <w:lang w:eastAsia="zh-CN"/>
        </w:rPr>
        <w:t>，本项目由西安浐灞国际港教育局统一组织实施采购，确定中标供应商后由中标供应商与各学校分别签订采购合同。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Ref467307090"/>
      <w:bookmarkStart w:id="244" w:name="_Ref467306425"/>
      <w:bookmarkStart w:id="245" w:name="_Toc520356176"/>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515647793"/>
      <w:bookmarkStart w:id="247" w:name="_Toc62194332"/>
      <w:bookmarkStart w:id="248" w:name="_Toc14080"/>
      <w:bookmarkStart w:id="249" w:name="_Toc22555"/>
      <w:bookmarkStart w:id="250" w:name="_Toc532473485"/>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515647794"/>
      <w:bookmarkStart w:id="255" w:name="_Toc29408"/>
      <w:bookmarkStart w:id="256" w:name="_Toc532473486"/>
      <w:bookmarkStart w:id="257" w:name="_Toc3090"/>
      <w:bookmarkStart w:id="258" w:name="_Toc2582300"/>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6"/>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518923099"/>
      <w:bookmarkStart w:id="261" w:name="_Toc2583660"/>
      <w:bookmarkStart w:id="262" w:name="_Toc62194335"/>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1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166235" cy="2396490"/>
                    </a:xfrm>
                    <a:prstGeom prst="rect">
                      <a:avLst/>
                    </a:prstGeom>
                    <a:noFill/>
                    <a:ln>
                      <a:noFill/>
                    </a:ln>
                  </pic:spPr>
                </pic:pic>
              </a:graphicData>
            </a:graphic>
          </wp:anchor>
        </w:drawing>
      </w:r>
    </w:p>
    <w:p w14:paraId="08FDDE45">
      <w:pPr>
        <w:pStyle w:val="10"/>
        <w:spacing w:line="360" w:lineRule="auto"/>
        <w:rPr>
          <w:rFonts w:hint="eastAsia" w:ascii="仿宋" w:hAnsi="仿宋" w:eastAsia="仿宋" w:cs="仿宋"/>
          <w:color w:val="auto"/>
          <w:highlight w:val="none"/>
        </w:rPr>
      </w:pPr>
    </w:p>
    <w:p w14:paraId="2D404A01">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2336"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10"/>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18"/>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10"/>
        <w:rPr>
          <w:rFonts w:hint="eastAsia" w:ascii="仿宋" w:hAnsi="仿宋" w:eastAsia="仿宋" w:cs="仿宋"/>
          <w:color w:val="auto"/>
          <w:sz w:val="21"/>
          <w:szCs w:val="21"/>
          <w:highlight w:val="none"/>
        </w:rPr>
      </w:pPr>
    </w:p>
    <w:p w14:paraId="5665C5C3">
      <w:pPr>
        <w:pStyle w:val="10"/>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6"/>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62194336"/>
      <w:bookmarkStart w:id="264" w:name="_Toc2583661"/>
      <w:bookmarkStart w:id="265" w:name="_Toc518923100"/>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2583662"/>
      <w:bookmarkStart w:id="267" w:name="_Toc518923101"/>
      <w:bookmarkStart w:id="268" w:name="_Toc62194337"/>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62194338"/>
      <w:bookmarkStart w:id="270" w:name="_Toc2583663"/>
      <w:bookmarkStart w:id="271" w:name="_Toc518923102"/>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193B2421">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37.5   恶意质疑、投诉的法律后果</w:t>
      </w:r>
    </w:p>
    <w:p w14:paraId="6B430D2A">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对捏造事实、提供虚假材料进行质疑、投诉的行为予以严肃处理：《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AA58CBC">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jc w:val="both"/>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2）对捏造事实诬告陷害他人、诽谤他人的法律适用：《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7971"/>
      <w:bookmarkStart w:id="273" w:name="_Toc515647832"/>
      <w:bookmarkStart w:id="274" w:name="_Toc532473756"/>
      <w:bookmarkStart w:id="275" w:name="_Toc32647"/>
      <w:bookmarkStart w:id="276" w:name="_Toc62194341"/>
      <w:bookmarkStart w:id="277" w:name="_Toc532044540"/>
      <w:bookmarkStart w:id="278" w:name="_Toc507399907"/>
      <w:bookmarkStart w:id="279" w:name="_Toc532473493"/>
      <w:bookmarkStart w:id="280" w:name="_Toc702"/>
      <w:bookmarkStart w:id="281" w:name="_Toc728"/>
      <w:bookmarkStart w:id="282" w:name="_Toc515647802"/>
      <w:bookmarkStart w:id="283" w:name="_Toc216582812"/>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采购人或采购代理机构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5"/>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361"/>
        <w:gridCol w:w="6392"/>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361" w:type="dxa"/>
            <w:noWrap w:val="0"/>
            <w:vAlign w:val="center"/>
          </w:tcPr>
          <w:p w14:paraId="3579554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392" w:type="dxa"/>
            <w:noWrap w:val="0"/>
            <w:vAlign w:val="center"/>
          </w:tcPr>
          <w:p w14:paraId="10FA5F9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1" w:type="dxa"/>
            <w:noWrap w:val="0"/>
            <w:vAlign w:val="center"/>
          </w:tcPr>
          <w:p w14:paraId="61AF2DC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392" w:type="dxa"/>
            <w:noWrap w:val="0"/>
            <w:vAlign w:val="top"/>
          </w:tcPr>
          <w:p w14:paraId="61D986D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61" w:type="dxa"/>
            <w:vMerge w:val="restart"/>
            <w:noWrap w:val="0"/>
            <w:vAlign w:val="center"/>
          </w:tcPr>
          <w:p w14:paraId="54246CB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392" w:type="dxa"/>
            <w:noWrap w:val="0"/>
            <w:vAlign w:val="top"/>
          </w:tcPr>
          <w:p w14:paraId="6963FF0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2024</w:t>
            </w:r>
            <w:r>
              <w:rPr>
                <w:rFonts w:hint="eastAsia" w:ascii="仿宋" w:hAnsi="仿宋" w:eastAsia="仿宋" w:cs="仿宋"/>
                <w:color w:val="auto"/>
                <w:spacing w:val="0"/>
                <w:sz w:val="24"/>
                <w:szCs w:val="24"/>
                <w:highlight w:val="none"/>
              </w:rPr>
              <w:t>年度财务报表复印件，应满足以下要求：</w:t>
            </w:r>
          </w:p>
          <w:p w14:paraId="3F925C1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w:t>
            </w:r>
            <w:r>
              <w:rPr>
                <w:rFonts w:hint="eastAsia" w:ascii="仿宋" w:hAnsi="仿宋" w:eastAsia="仿宋" w:cs="仿宋"/>
                <w:color w:val="auto"/>
                <w:spacing w:val="0"/>
                <w:sz w:val="24"/>
                <w:szCs w:val="24"/>
                <w:highlight w:val="none"/>
                <w:lang w:val="en-US" w:eastAsia="zh-CN"/>
              </w:rPr>
              <w:t>报告</w:t>
            </w:r>
            <w:r>
              <w:rPr>
                <w:rFonts w:hint="eastAsia" w:ascii="仿宋" w:hAnsi="仿宋" w:eastAsia="仿宋" w:cs="仿宋"/>
                <w:color w:val="auto"/>
                <w:spacing w:val="0"/>
                <w:sz w:val="24"/>
                <w:szCs w:val="24"/>
                <w:highlight w:val="none"/>
              </w:rPr>
              <w:t>是指经会计师事务所审计的上述指定年度整个会计年度财务报表（须提供会计师事务所出具的审计报告复印件）,复印件至少须包括</w:t>
            </w:r>
            <w:r>
              <w:rPr>
                <w:rFonts w:hint="eastAsia" w:ascii="仿宋" w:hAnsi="仿宋" w:eastAsia="仿宋" w:cs="仿宋"/>
                <w:color w:val="auto"/>
                <w:spacing w:val="0"/>
                <w:sz w:val="24"/>
                <w:szCs w:val="24"/>
                <w:highlight w:val="none"/>
                <w:lang w:val="en-US" w:eastAsia="zh-CN"/>
              </w:rPr>
              <w:t>报告正文、</w:t>
            </w:r>
            <w:r>
              <w:rPr>
                <w:rFonts w:hint="eastAsia" w:ascii="仿宋" w:hAnsi="仿宋" w:eastAsia="仿宋" w:cs="仿宋"/>
                <w:color w:val="auto"/>
                <w:spacing w:val="0"/>
                <w:sz w:val="24"/>
                <w:szCs w:val="24"/>
                <w:highlight w:val="none"/>
              </w:rPr>
              <w:t>资产负债表、现金流量表、利润表</w:t>
            </w:r>
            <w:r>
              <w:rPr>
                <w:rFonts w:hint="eastAsia" w:ascii="仿宋" w:hAnsi="仿宋" w:eastAsia="仿宋" w:cs="仿宋"/>
                <w:color w:val="auto"/>
                <w:spacing w:val="0"/>
                <w:sz w:val="24"/>
                <w:szCs w:val="24"/>
                <w:highlight w:val="none"/>
                <w:lang w:val="en-US" w:eastAsia="zh-CN"/>
              </w:rPr>
              <w:t>、附注和会计师事务所营业执照，报告正文应当有会计师事务所公章和2名注册会计师的签字及盖章。且审计报告应当经过注册会计师行业统一监管平台备案赋码。</w:t>
            </w:r>
          </w:p>
          <w:p w14:paraId="27FF071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361"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392" w:type="dxa"/>
            <w:noWrap w:val="0"/>
            <w:vAlign w:val="top"/>
          </w:tcPr>
          <w:p w14:paraId="4BC44B8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361" w:type="dxa"/>
            <w:noWrap w:val="0"/>
            <w:vAlign w:val="center"/>
          </w:tcPr>
          <w:p w14:paraId="5C75CB3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392" w:type="dxa"/>
            <w:noWrap w:val="0"/>
            <w:vAlign w:val="top"/>
          </w:tcPr>
          <w:p w14:paraId="23AE88C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361" w:type="dxa"/>
            <w:noWrap w:val="0"/>
            <w:vAlign w:val="center"/>
          </w:tcPr>
          <w:p w14:paraId="449256A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392" w:type="dxa"/>
            <w:noWrap w:val="0"/>
            <w:vAlign w:val="top"/>
          </w:tcPr>
          <w:p w14:paraId="2011F98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361" w:type="dxa"/>
            <w:noWrap w:val="0"/>
            <w:vAlign w:val="center"/>
          </w:tcPr>
          <w:p w14:paraId="6F30524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392" w:type="dxa"/>
            <w:noWrap w:val="0"/>
            <w:vAlign w:val="center"/>
          </w:tcPr>
          <w:p w14:paraId="34AA5BB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361" w:type="dxa"/>
            <w:noWrap w:val="0"/>
            <w:vAlign w:val="center"/>
          </w:tcPr>
          <w:p w14:paraId="29DF21B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392" w:type="dxa"/>
            <w:noWrap w:val="0"/>
            <w:vAlign w:val="center"/>
          </w:tcPr>
          <w:p w14:paraId="3834A2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361" w:type="dxa"/>
            <w:noWrap w:val="0"/>
            <w:vAlign w:val="center"/>
          </w:tcPr>
          <w:p w14:paraId="1F03534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392" w:type="dxa"/>
            <w:noWrap w:val="0"/>
            <w:vAlign w:val="top"/>
          </w:tcPr>
          <w:p w14:paraId="7CF24275">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361" w:type="dxa"/>
            <w:noWrap w:val="0"/>
            <w:vAlign w:val="center"/>
          </w:tcPr>
          <w:p w14:paraId="1E36A25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392" w:type="dxa"/>
            <w:noWrap w:val="0"/>
            <w:vAlign w:val="center"/>
          </w:tcPr>
          <w:p w14:paraId="568F085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361" w:type="dxa"/>
            <w:noWrap w:val="0"/>
            <w:vAlign w:val="center"/>
          </w:tcPr>
          <w:p w14:paraId="664C14E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392" w:type="dxa"/>
            <w:noWrap w:val="0"/>
            <w:vAlign w:val="center"/>
          </w:tcPr>
          <w:p w14:paraId="4CE82E8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67A0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3628AEA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361" w:type="dxa"/>
            <w:shd w:val="clear" w:color="auto" w:fill="auto"/>
            <w:noWrap w:val="0"/>
            <w:vAlign w:val="center"/>
          </w:tcPr>
          <w:p w14:paraId="5567CC4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其他条件</w:t>
            </w:r>
          </w:p>
        </w:tc>
        <w:tc>
          <w:tcPr>
            <w:tcW w:w="6392" w:type="dxa"/>
            <w:shd w:val="clear" w:color="auto" w:fill="auto"/>
            <w:noWrap w:val="0"/>
            <w:vAlign w:val="center"/>
          </w:tcPr>
          <w:p w14:paraId="7208F82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不存在违反法律法规的其他条件</w:t>
            </w:r>
          </w:p>
        </w:tc>
      </w:tr>
    </w:tbl>
    <w:p w14:paraId="67B90142">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751"/>
        <w:gridCol w:w="6668"/>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42"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3924"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3924"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w:t>
            </w:r>
            <w:r>
              <w:rPr>
                <w:rFonts w:hint="eastAsia" w:ascii="仿宋" w:hAnsi="仿宋" w:eastAsia="仿宋" w:cs="仿宋"/>
                <w:color w:val="auto"/>
                <w:sz w:val="24"/>
                <w:szCs w:val="24"/>
                <w:highlight w:val="none"/>
                <w:u w:val="none"/>
                <w:lang w:val="en-US" w:eastAsia="zh-CN"/>
              </w:rPr>
              <w:t>分</w:t>
            </w:r>
            <w:r>
              <w:rPr>
                <w:rFonts w:hint="eastAsia" w:ascii="仿宋" w:hAnsi="仿宋" w:eastAsia="仿宋" w:cs="仿宋"/>
                <w:color w:val="auto"/>
                <w:sz w:val="24"/>
                <w:szCs w:val="24"/>
                <w:highlight w:val="none"/>
                <w:u w:val="none"/>
              </w:rPr>
              <w:t>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投标人202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至今（以合同签订日期为准）具有</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业绩，投标文件中</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提供合同关键页（合同首页、服务内容页及双方签字盖章页）复印件并加盖投标人公章，</w:t>
            </w:r>
            <w:r>
              <w:rPr>
                <w:rFonts w:hint="eastAsia" w:ascii="仿宋" w:hAnsi="仿宋" w:eastAsia="仿宋" w:cs="仿宋"/>
                <w:snapToGrid w:val="0"/>
                <w:color w:val="auto"/>
                <w:kern w:val="0"/>
                <w:sz w:val="24"/>
                <w:szCs w:val="24"/>
                <w:highlight w:val="none"/>
              </w:rPr>
              <w:t>提供1个得</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分，满分</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分，没有不得分。</w:t>
            </w:r>
          </w:p>
        </w:tc>
      </w:tr>
      <w:tr w14:paraId="5717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28FA4B">
            <w:pPr>
              <w:widowControl/>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节能、环境标志优惠</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00225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36D148">
            <w:pPr>
              <w:snapToGrid w:val="0"/>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highlight w:val="none"/>
              </w:rPr>
              <w:t>所投产品属于优先采购的节能、环境标志产品，提供相应</w:t>
            </w:r>
            <w:r>
              <w:rPr>
                <w:rFonts w:hint="eastAsia" w:ascii="仿宋" w:hAnsi="仿宋" w:eastAsia="仿宋" w:cs="仿宋"/>
                <w:color w:val="auto"/>
                <w:sz w:val="24"/>
                <w:highlight w:val="none"/>
                <w:lang w:val="zh-CN"/>
              </w:rPr>
              <w:t>认证证书，</w:t>
            </w:r>
            <w:r>
              <w:rPr>
                <w:rFonts w:hint="eastAsia" w:ascii="仿宋" w:hAnsi="仿宋" w:eastAsia="仿宋" w:cs="仿宋"/>
                <w:color w:val="auto"/>
                <w:kern w:val="0"/>
                <w:sz w:val="24"/>
                <w:highlight w:val="none"/>
                <w:lang w:val="en-US" w:eastAsia="zh-CN"/>
              </w:rPr>
              <w:t>每提供一种产品的证书得1分，最高得5分</w:t>
            </w:r>
            <w:r>
              <w:rPr>
                <w:rFonts w:hint="eastAsia" w:ascii="仿宋" w:hAnsi="仿宋" w:eastAsia="仿宋" w:cs="仿宋"/>
                <w:color w:val="auto"/>
                <w:kern w:val="0"/>
                <w:sz w:val="24"/>
                <w:highlight w:val="none"/>
              </w:rPr>
              <w:t>。</w:t>
            </w:r>
            <w:bookmarkStart w:id="385" w:name="_GoBack"/>
            <w:bookmarkEnd w:id="385"/>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技术</w:t>
            </w:r>
            <w:r>
              <w:rPr>
                <w:rFonts w:hint="eastAsia" w:ascii="仿宋" w:hAnsi="仿宋" w:eastAsia="仿宋" w:cs="仿宋"/>
                <w:color w:val="auto"/>
                <w:kern w:val="0"/>
                <w:sz w:val="24"/>
                <w:highlight w:val="none"/>
                <w:lang w:val="en-US" w:eastAsia="zh-CN"/>
              </w:rPr>
              <w:t>规格</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136F">
            <w:pPr>
              <w:snapToGrid w:val="0"/>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rPr>
              <w:t>所投产品规格及技术</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满足招标文件要求，得1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分，每有一项负偏离的减1分，扣完为止。</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widowControl/>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zh-CN"/>
              </w:rPr>
              <w:t>供货渠道</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55174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lang w:val="zh-CN"/>
              </w:rPr>
              <w:t>标的物供货渠道合法，提供来源渠道合法证明文件（</w:t>
            </w:r>
            <w:r>
              <w:rPr>
                <w:rFonts w:hint="eastAsia" w:ascii="仿宋" w:hAnsi="仿宋" w:eastAsia="仿宋" w:cs="仿宋"/>
                <w:color w:val="auto"/>
                <w:sz w:val="24"/>
                <w:highlight w:val="none"/>
              </w:rPr>
              <w:t>不限于原厂授权、销售协议、代理协议等资料</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渠道</w:t>
            </w:r>
            <w:r>
              <w:rPr>
                <w:rFonts w:hint="eastAsia" w:ascii="仿宋" w:hAnsi="仿宋" w:eastAsia="仿宋" w:cs="仿宋"/>
                <w:color w:val="auto"/>
                <w:sz w:val="24"/>
                <w:highlight w:val="none"/>
                <w:lang w:val="zh-CN"/>
              </w:rPr>
              <w:t>证明文件</w:t>
            </w:r>
            <w:r>
              <w:rPr>
                <w:rFonts w:hint="eastAsia" w:ascii="仿宋" w:hAnsi="仿宋" w:eastAsia="仿宋" w:cs="仿宋"/>
                <w:color w:val="auto"/>
                <w:sz w:val="24"/>
                <w:highlight w:val="none"/>
              </w:rPr>
              <w:t>完整、齐全</w:t>
            </w:r>
            <w:r>
              <w:rPr>
                <w:rFonts w:hint="eastAsia" w:ascii="仿宋" w:hAnsi="仿宋" w:eastAsia="仿宋" w:cs="仿宋"/>
                <w:color w:val="auto"/>
                <w:sz w:val="24"/>
                <w:highlight w:val="none"/>
                <w:lang w:val="en-US" w:eastAsia="zh-CN"/>
              </w:rPr>
              <w:t>得5分，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73AD903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2BF86A2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1E999C27">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67635F1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0D28A42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22E221E0">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3EE0454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3E9F1A57">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449E209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6BBAE695">
            <w:pPr>
              <w:snapToGrid w:val="0"/>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rPr>
              <w:t>⑨地点区域错误，或项名称错误等。</w:t>
            </w:r>
          </w:p>
        </w:tc>
      </w:tr>
      <w:tr w14:paraId="3FD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25A93B">
            <w:pPr>
              <w:widowControl/>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zh-CN"/>
              </w:rPr>
              <w:t>技术资料配置</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741C96">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B9FEC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lang w:val="zh-CN"/>
              </w:rPr>
              <w:t>产品技术资料（包括但不限于</w:t>
            </w:r>
            <w:r>
              <w:rPr>
                <w:rFonts w:hint="eastAsia" w:ascii="仿宋" w:hAnsi="仿宋" w:eastAsia="仿宋" w:cs="仿宋"/>
                <w:color w:val="auto"/>
                <w:sz w:val="24"/>
                <w:highlight w:val="none"/>
              </w:rPr>
              <w:t>检测报告、</w:t>
            </w:r>
            <w:r>
              <w:rPr>
                <w:rFonts w:hint="eastAsia" w:ascii="仿宋" w:hAnsi="仿宋" w:eastAsia="仿宋" w:cs="仿宋"/>
                <w:color w:val="auto"/>
                <w:sz w:val="24"/>
                <w:highlight w:val="none"/>
                <w:lang w:val="zh-CN"/>
              </w:rPr>
              <w:t>产品彩页、官网截图、厂家证明等材料）配置齐全，真实、</w:t>
            </w:r>
            <w:r>
              <w:rPr>
                <w:rFonts w:hint="eastAsia" w:ascii="仿宋" w:hAnsi="仿宋" w:eastAsia="仿宋" w:cs="仿宋"/>
                <w:color w:val="auto"/>
                <w:sz w:val="24"/>
                <w:highlight w:val="none"/>
              </w:rPr>
              <w:t>与偏离表</w:t>
            </w:r>
            <w:r>
              <w:rPr>
                <w:rFonts w:hint="eastAsia" w:ascii="仿宋" w:hAnsi="仿宋" w:eastAsia="仿宋" w:cs="仿宋"/>
                <w:color w:val="auto"/>
                <w:sz w:val="24"/>
                <w:highlight w:val="none"/>
                <w:lang w:val="zh-CN"/>
              </w:rPr>
              <w:t>表述一致</w:t>
            </w:r>
            <w:r>
              <w:rPr>
                <w:rFonts w:hint="eastAsia" w:ascii="仿宋" w:hAnsi="仿宋" w:eastAsia="仿宋" w:cs="仿宋"/>
                <w:color w:val="auto"/>
                <w:sz w:val="24"/>
                <w:highlight w:val="none"/>
                <w:lang w:val="en-US" w:eastAsia="zh-CN"/>
              </w:rPr>
              <w:t>得5分，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4E196E85">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EBAAF6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1D0823C9">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0435FE5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14B8812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4B72CF0D">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44796EED">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92363EC">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67E2852C">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57F2DFA8">
            <w:pPr>
              <w:snapToGrid w:val="0"/>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074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0C680">
            <w:pPr>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生产、</w:t>
            </w:r>
            <w:r>
              <w:rPr>
                <w:rFonts w:hint="eastAsia" w:ascii="仿宋" w:hAnsi="仿宋" w:eastAsia="仿宋" w:cs="仿宋"/>
                <w:color w:val="auto"/>
                <w:kern w:val="0"/>
                <w:sz w:val="24"/>
                <w:highlight w:val="none"/>
              </w:rPr>
              <w:t>供货方案</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98F0EB">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10</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E272A8">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lang w:val="en-US" w:eastAsia="zh-CN"/>
              </w:rPr>
              <w:t>生产、</w:t>
            </w:r>
            <w:r>
              <w:rPr>
                <w:rFonts w:hint="eastAsia" w:ascii="仿宋" w:hAnsi="仿宋" w:eastAsia="仿宋" w:cs="仿宋"/>
                <w:color w:val="auto"/>
                <w:sz w:val="24"/>
                <w:highlight w:val="none"/>
              </w:rPr>
              <w:t>供货实施计划、组织计划、进度计划、人员投入方案完整、科学合理、切实可行</w:t>
            </w:r>
            <w:r>
              <w:rPr>
                <w:rFonts w:hint="eastAsia" w:ascii="仿宋" w:hAnsi="仿宋" w:eastAsia="仿宋" w:cs="仿宋"/>
                <w:color w:val="auto"/>
                <w:sz w:val="24"/>
                <w:highlight w:val="none"/>
                <w:lang w:val="en-US" w:eastAsia="zh-CN"/>
              </w:rPr>
              <w:t>得10分，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1998D06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5075FD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046F8887">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1F2E167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70D872A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7F1CA1F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192C086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48DB0D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5682261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0581805F">
            <w:pPr>
              <w:snapToGrid w:val="0"/>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795E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A1C919">
            <w:pPr>
              <w:snapToGrid w:val="0"/>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安装、验收方案</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4F1D6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DC4D99">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供应商针对本项目提供具体可行的安装、验收方案及</w:t>
            </w:r>
            <w:r>
              <w:rPr>
                <w:rFonts w:hint="eastAsia" w:ascii="仿宋" w:hAnsi="仿宋" w:eastAsia="仿宋" w:cs="仿宋"/>
                <w:color w:val="auto"/>
                <w:sz w:val="24"/>
                <w:highlight w:val="none"/>
                <w:lang w:val="en-US" w:eastAsia="zh-CN"/>
              </w:rPr>
              <w:t>项目进度表或横道图</w:t>
            </w:r>
            <w:r>
              <w:rPr>
                <w:rFonts w:hint="eastAsia" w:ascii="仿宋" w:hAnsi="仿宋" w:eastAsia="仿宋" w:cs="仿宋"/>
                <w:color w:val="auto"/>
                <w:sz w:val="24"/>
                <w:highlight w:val="none"/>
              </w:rPr>
              <w:t>，方案详细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时间安排合理、</w:t>
            </w:r>
            <w:r>
              <w:rPr>
                <w:rFonts w:hint="eastAsia" w:ascii="仿宋" w:hAnsi="仿宋" w:eastAsia="仿宋" w:cs="仿宋"/>
                <w:color w:val="auto"/>
                <w:sz w:val="24"/>
                <w:highlight w:val="none"/>
              </w:rPr>
              <w:t>具备可行性、针对性强</w:t>
            </w:r>
            <w:r>
              <w:rPr>
                <w:rFonts w:hint="eastAsia" w:ascii="仿宋" w:hAnsi="仿宋" w:eastAsia="仿宋" w:cs="仿宋"/>
                <w:color w:val="auto"/>
                <w:sz w:val="24"/>
                <w:highlight w:val="none"/>
                <w:lang w:val="en-US" w:eastAsia="zh-CN"/>
              </w:rPr>
              <w:t>得5分，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4AB4F3D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460212D9">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7ECBB2C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67E49A0E">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2A9A28A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310A9F2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7B59FB6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69806E1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68B9BF75">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2418D7D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630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57C19B">
            <w:pPr>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保障措施</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01B3">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10</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5B084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为完成项目的各项保障措施齐全，保障内容全面，包括了人员组织保障措施、项目进度保障措施、产品安装保障措施等内容，</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完整、科学合理、切实可行</w:t>
            </w:r>
            <w:r>
              <w:rPr>
                <w:rFonts w:hint="eastAsia" w:ascii="仿宋" w:hAnsi="仿宋" w:eastAsia="仿宋" w:cs="仿宋"/>
                <w:color w:val="auto"/>
                <w:sz w:val="24"/>
                <w:highlight w:val="none"/>
                <w:lang w:val="en-US" w:eastAsia="zh-CN"/>
              </w:rPr>
              <w:t>得10分，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580BADC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215EB2B6">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03345A2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351DDA8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377324D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65AD1F6D">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6EA524C8">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59CC061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43CAE1A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6E43084E">
            <w:pPr>
              <w:snapToGrid w:val="0"/>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7CD6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BDDD62">
            <w:pPr>
              <w:widowControl/>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备品备件</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663CD5">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EC39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备品备件</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专用工具齐全，清单清晰，易损易耗</w:t>
            </w:r>
            <w:r>
              <w:rPr>
                <w:rFonts w:hint="eastAsia" w:ascii="仿宋" w:hAnsi="仿宋" w:eastAsia="仿宋" w:cs="仿宋"/>
                <w:color w:val="auto"/>
                <w:sz w:val="24"/>
                <w:highlight w:val="none"/>
                <w:lang w:val="en-US" w:eastAsia="zh-CN"/>
              </w:rPr>
              <w:t>品等配备充足得5分，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6E30DBDF">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0BEA617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65AAA5F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1B75557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130F399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7FC1C2FB">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03D014AF">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CCA59D2">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02279E85">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29ACDED4">
            <w:pPr>
              <w:snapToGrid w:val="0"/>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3566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80451">
            <w:pPr>
              <w:snapToGrid w:val="0"/>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售后服务</w:t>
            </w:r>
          </w:p>
        </w:tc>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5D12D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39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60241A">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售后服务制度健全、有专人负责</w:t>
            </w:r>
            <w:r>
              <w:rPr>
                <w:rFonts w:hint="eastAsia" w:ascii="仿宋" w:hAnsi="仿宋" w:eastAsia="仿宋" w:cs="仿宋"/>
                <w:color w:val="auto"/>
                <w:sz w:val="24"/>
                <w:highlight w:val="none"/>
                <w:lang w:val="en-US" w:eastAsia="zh-CN"/>
              </w:rPr>
              <w:t>售后</w:t>
            </w:r>
            <w:r>
              <w:rPr>
                <w:rFonts w:hint="eastAsia" w:ascii="仿宋" w:hAnsi="仿宋" w:eastAsia="仿宋" w:cs="仿宋"/>
                <w:color w:val="auto"/>
                <w:sz w:val="24"/>
                <w:highlight w:val="none"/>
              </w:rPr>
              <w:t>维修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定期进行维护</w:t>
            </w:r>
            <w:r>
              <w:rPr>
                <w:rFonts w:hint="eastAsia" w:ascii="仿宋" w:hAnsi="仿宋" w:eastAsia="仿宋" w:cs="仿宋"/>
                <w:color w:val="auto"/>
                <w:sz w:val="24"/>
                <w:highlight w:val="none"/>
                <w:lang w:val="en-US" w:eastAsia="zh-CN"/>
              </w:rPr>
              <w:t>的相关方案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科学合理、切实可行</w:t>
            </w:r>
            <w:r>
              <w:rPr>
                <w:rFonts w:hint="eastAsia" w:ascii="仿宋" w:hAnsi="仿宋" w:eastAsia="仿宋" w:cs="仿宋"/>
                <w:color w:val="auto"/>
                <w:sz w:val="24"/>
                <w:highlight w:val="none"/>
                <w:lang w:val="en-US" w:eastAsia="zh-CN"/>
              </w:rPr>
              <w:t>售后服务承诺得5分，</w:t>
            </w:r>
            <w:r>
              <w:rPr>
                <w:rFonts w:hint="eastAsia" w:ascii="仿宋" w:hAnsi="仿宋" w:eastAsia="仿宋" w:cs="仿宋"/>
                <w:color w:val="auto"/>
                <w:kern w:val="0"/>
                <w:sz w:val="24"/>
                <w:szCs w:val="24"/>
                <w:highlight w:val="none"/>
                <w:lang w:val="en-US" w:eastAsia="zh-CN"/>
              </w:rPr>
              <w:t>若上述内容存在缺陷，每出现一处缺陷扣1分，扣完为止。</w:t>
            </w:r>
          </w:p>
          <w:p w14:paraId="6363DC25">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738A6BC">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0D7ABDF5">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280E8284">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44968903">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135DA916">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62C65DBF">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C5D8031">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3809DF68">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740CFD26">
            <w:pPr>
              <w:snapToGrid w:val="0"/>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⑨地点区域错误，或项名称错误等。</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5"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3924"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4C67BC95">
      <w:pPr>
        <w:shd w:val="clear" w:color="auto" w:fill="auto"/>
        <w:spacing w:line="360" w:lineRule="auto"/>
        <w:ind w:left="1080" w:leftChars="257" w:hanging="540"/>
        <w:jc w:val="center"/>
        <w:rPr>
          <w:rFonts w:hint="eastAsia" w:ascii="仿宋" w:hAnsi="仿宋" w:eastAsia="仿宋" w:cs="仿宋"/>
          <w:color w:val="auto"/>
          <w:highlight w:val="none"/>
        </w:rPr>
      </w:pPr>
    </w:p>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4796"/>
      <w:bookmarkStart w:id="286" w:name="_Toc6865"/>
      <w:bookmarkStart w:id="287" w:name="_Toc532473757"/>
      <w:bookmarkStart w:id="288" w:name="_Toc532044541"/>
      <w:bookmarkStart w:id="289" w:name="_Toc515647833"/>
      <w:bookmarkStart w:id="290" w:name="_Toc1909"/>
      <w:bookmarkStart w:id="291" w:name="_Toc62194342"/>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487900382"/>
      <w:bookmarkStart w:id="294" w:name="_Toc216513788"/>
      <w:r>
        <w:rPr>
          <w:rFonts w:hint="eastAsia" w:ascii="宋体" w:hAnsi="宋体" w:eastAsia="仿宋" w:cs="Times New Roman"/>
          <w:b/>
          <w:color w:val="auto"/>
          <w:kern w:val="44"/>
          <w:sz w:val="32"/>
          <w:highlight w:val="none"/>
        </w:rPr>
        <w:t>文本</w:t>
      </w:r>
      <w:bookmarkEnd w:id="290"/>
      <w:bookmarkEnd w:id="291"/>
    </w:p>
    <w:bookmarkEnd w:id="293"/>
    <w:bookmarkEnd w:id="294"/>
    <w:p w14:paraId="63FB071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color w:val="auto"/>
          <w:sz w:val="24"/>
          <w:highlight w:val="none"/>
          <w:lang w:val="zh-CN"/>
        </w:rPr>
      </w:pPr>
      <w:bookmarkStart w:id="295" w:name="_Toc62194343"/>
      <w:r>
        <w:rPr>
          <w:rFonts w:hint="eastAsia" w:ascii="仿宋" w:hAnsi="仿宋" w:eastAsia="仿宋" w:cs="仿宋"/>
          <w:b/>
          <w:bCs/>
          <w:color w:val="auto"/>
          <w:sz w:val="24"/>
          <w:highlight w:val="none"/>
          <w:lang w:val="zh-CN"/>
        </w:rPr>
        <w:t>甲方：</w:t>
      </w:r>
      <w:r>
        <w:rPr>
          <w:rFonts w:hint="eastAsia" w:ascii="仿宋" w:hAnsi="仿宋" w:eastAsia="仿宋" w:cs="仿宋"/>
          <w:bCs/>
          <w:color w:val="auto"/>
          <w:sz w:val="24"/>
          <w:highlight w:val="none"/>
          <w:lang w:val="zh-CN"/>
        </w:rPr>
        <w:t>（前款所称采购人）     住所：</w:t>
      </w:r>
    </w:p>
    <w:p w14:paraId="6DE86362">
      <w:pPr>
        <w:tabs>
          <w:tab w:val="left" w:pos="735"/>
        </w:tabs>
        <w:autoSpaceDE w:val="0"/>
        <w:autoSpaceDN w:val="0"/>
        <w:adjustRightInd w:val="0"/>
        <w:snapToGrid w:val="0"/>
        <w:spacing w:line="360" w:lineRule="auto"/>
        <w:ind w:firstLine="482" w:firstLineChars="200"/>
        <w:rPr>
          <w:rFonts w:hint="eastAsia" w:ascii="仿宋" w:hAnsi="仿宋" w:eastAsia="仿宋" w:cs="仿宋"/>
          <w:bCs/>
          <w:color w:val="auto"/>
          <w:sz w:val="24"/>
          <w:highlight w:val="none"/>
          <w:lang w:val="zh-CN"/>
        </w:rPr>
      </w:pPr>
      <w:r>
        <w:rPr>
          <w:rFonts w:hint="eastAsia" w:ascii="仿宋" w:hAnsi="仿宋" w:eastAsia="仿宋" w:cs="仿宋"/>
          <w:b/>
          <w:bCs/>
          <w:color w:val="auto"/>
          <w:sz w:val="24"/>
          <w:highlight w:val="none"/>
          <w:lang w:val="zh-CN"/>
        </w:rPr>
        <w:t>乙方：</w:t>
      </w:r>
      <w:r>
        <w:rPr>
          <w:rFonts w:hint="eastAsia" w:ascii="仿宋" w:hAnsi="仿宋" w:eastAsia="仿宋" w:cs="仿宋"/>
          <w:bCs/>
          <w:color w:val="auto"/>
          <w:sz w:val="24"/>
          <w:highlight w:val="none"/>
          <w:lang w:val="zh-CN"/>
        </w:rPr>
        <w:t>（前款所称中标人）     住所：</w:t>
      </w:r>
    </w:p>
    <w:p w14:paraId="55F84C20">
      <w:pPr>
        <w:tabs>
          <w:tab w:val="left" w:pos="735"/>
        </w:tabs>
        <w:autoSpaceDE w:val="0"/>
        <w:autoSpaceDN w:val="0"/>
        <w:adjustRightInd w:val="0"/>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注：本项目由西安浐灞国际港教育局统一组织实施采购，确定中标供应商后由中标供应商与各学校分别签订采购合同</w:t>
      </w:r>
      <w:r>
        <w:rPr>
          <w:rFonts w:hint="eastAsia" w:ascii="仿宋" w:hAnsi="仿宋" w:eastAsia="仿宋" w:cs="仿宋"/>
          <w:color w:val="auto"/>
          <w:sz w:val="24"/>
          <w:szCs w:val="24"/>
          <w:highlight w:val="none"/>
          <w:lang w:eastAsia="zh-CN"/>
        </w:rPr>
        <w:t>。</w:t>
      </w:r>
    </w:p>
    <w:p w14:paraId="2A4E0612">
      <w:pPr>
        <w:adjustRightInd w:val="0"/>
        <w:snapToGrid w:val="0"/>
        <w:spacing w:line="360" w:lineRule="auto"/>
        <w:ind w:firstLine="480" w:firstLineChars="200"/>
        <w:rPr>
          <w:rFonts w:hint="eastAsia" w:ascii="仿宋" w:hAnsi="仿宋" w:eastAsia="仿宋" w:cs="仿宋"/>
          <w:color w:val="auto"/>
          <w:sz w:val="24"/>
          <w:highlight w:val="none"/>
        </w:rPr>
      </w:pPr>
      <w:bookmarkStart w:id="296" w:name="_Toc19515384"/>
      <w:r>
        <w:rPr>
          <w:rFonts w:hint="eastAsia" w:ascii="仿宋" w:hAnsi="仿宋" w:eastAsia="仿宋" w:cs="仿宋"/>
          <w:color w:val="auto"/>
          <w:sz w:val="24"/>
          <w:highlight w:val="none"/>
        </w:rPr>
        <w:t>一、合同内容（标的、数量、规格等）:</w:t>
      </w:r>
      <w:bookmarkEnd w:id="296"/>
    </w:p>
    <w:p w14:paraId="1A134E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供货清单：</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342"/>
        <w:gridCol w:w="1384"/>
        <w:gridCol w:w="1055"/>
        <w:gridCol w:w="936"/>
        <w:gridCol w:w="1201"/>
        <w:gridCol w:w="926"/>
        <w:gridCol w:w="825"/>
      </w:tblGrid>
      <w:tr w14:paraId="2EA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6E5CF77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90" w:type="pct"/>
            <w:noWrap w:val="0"/>
            <w:vAlign w:val="center"/>
          </w:tcPr>
          <w:p w14:paraId="63E7FD43">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p>
          <w:p w14:paraId="730C3A33">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15" w:type="pct"/>
            <w:noWrap w:val="0"/>
            <w:vAlign w:val="center"/>
          </w:tcPr>
          <w:p w14:paraId="730678D9">
            <w:pPr>
              <w:adjustRightInd w:val="0"/>
              <w:snapToGrid w:val="0"/>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规格</w:t>
            </w:r>
          </w:p>
          <w:p w14:paraId="65CB39DF">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参数</w:t>
            </w:r>
          </w:p>
        </w:tc>
        <w:tc>
          <w:tcPr>
            <w:tcW w:w="621" w:type="pct"/>
            <w:noWrap w:val="0"/>
            <w:vAlign w:val="center"/>
          </w:tcPr>
          <w:p w14:paraId="75A5D77B">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w:t>
            </w:r>
          </w:p>
          <w:p w14:paraId="56D068EC">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551" w:type="pct"/>
            <w:noWrap w:val="0"/>
            <w:vAlign w:val="center"/>
          </w:tcPr>
          <w:p w14:paraId="4244C57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07" w:type="pct"/>
            <w:noWrap w:val="0"/>
            <w:vAlign w:val="center"/>
          </w:tcPr>
          <w:p w14:paraId="1C96625C">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545" w:type="pct"/>
            <w:noWrap w:val="0"/>
            <w:vAlign w:val="center"/>
          </w:tcPr>
          <w:p w14:paraId="087B393C">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482" w:type="pct"/>
            <w:noWrap w:val="0"/>
            <w:vAlign w:val="center"/>
          </w:tcPr>
          <w:p w14:paraId="45DE1A59">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9BE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5A43D391">
            <w:pPr>
              <w:adjustRightInd w:val="0"/>
              <w:snapToGrid w:val="0"/>
              <w:spacing w:line="360" w:lineRule="auto"/>
              <w:rPr>
                <w:rFonts w:hint="eastAsia" w:ascii="仿宋" w:hAnsi="仿宋" w:eastAsia="仿宋" w:cs="仿宋"/>
                <w:color w:val="auto"/>
                <w:sz w:val="24"/>
                <w:szCs w:val="24"/>
                <w:highlight w:val="none"/>
              </w:rPr>
            </w:pPr>
          </w:p>
        </w:tc>
        <w:tc>
          <w:tcPr>
            <w:tcW w:w="790" w:type="pct"/>
            <w:noWrap w:val="0"/>
            <w:vAlign w:val="center"/>
          </w:tcPr>
          <w:p w14:paraId="7FAC62F4">
            <w:pPr>
              <w:adjustRightInd w:val="0"/>
              <w:snapToGrid w:val="0"/>
              <w:spacing w:line="360" w:lineRule="auto"/>
              <w:rPr>
                <w:rFonts w:hint="eastAsia" w:ascii="仿宋" w:hAnsi="仿宋" w:eastAsia="仿宋" w:cs="仿宋"/>
                <w:color w:val="auto"/>
                <w:sz w:val="24"/>
                <w:szCs w:val="24"/>
                <w:highlight w:val="none"/>
              </w:rPr>
            </w:pPr>
          </w:p>
        </w:tc>
        <w:tc>
          <w:tcPr>
            <w:tcW w:w="815" w:type="pct"/>
            <w:noWrap w:val="0"/>
            <w:vAlign w:val="top"/>
          </w:tcPr>
          <w:p w14:paraId="48EB7F9D">
            <w:pPr>
              <w:adjustRightInd w:val="0"/>
              <w:snapToGrid w:val="0"/>
              <w:spacing w:line="360" w:lineRule="auto"/>
              <w:rPr>
                <w:rFonts w:hint="eastAsia" w:ascii="仿宋" w:hAnsi="仿宋" w:eastAsia="仿宋" w:cs="仿宋"/>
                <w:color w:val="auto"/>
                <w:sz w:val="24"/>
                <w:szCs w:val="24"/>
                <w:highlight w:val="none"/>
              </w:rPr>
            </w:pPr>
          </w:p>
        </w:tc>
        <w:tc>
          <w:tcPr>
            <w:tcW w:w="621" w:type="pct"/>
            <w:noWrap w:val="0"/>
            <w:vAlign w:val="top"/>
          </w:tcPr>
          <w:p w14:paraId="5487EC5C">
            <w:pPr>
              <w:adjustRightInd w:val="0"/>
              <w:snapToGrid w:val="0"/>
              <w:spacing w:line="360" w:lineRule="auto"/>
              <w:rPr>
                <w:rFonts w:hint="eastAsia" w:ascii="仿宋" w:hAnsi="仿宋" w:eastAsia="仿宋" w:cs="仿宋"/>
                <w:color w:val="auto"/>
                <w:sz w:val="24"/>
                <w:szCs w:val="24"/>
                <w:highlight w:val="none"/>
              </w:rPr>
            </w:pPr>
          </w:p>
        </w:tc>
        <w:tc>
          <w:tcPr>
            <w:tcW w:w="551" w:type="pct"/>
            <w:noWrap w:val="0"/>
            <w:vAlign w:val="center"/>
          </w:tcPr>
          <w:p w14:paraId="33674D82">
            <w:pPr>
              <w:adjustRightInd w:val="0"/>
              <w:snapToGrid w:val="0"/>
              <w:spacing w:line="360" w:lineRule="auto"/>
              <w:rPr>
                <w:rFonts w:hint="eastAsia" w:ascii="仿宋" w:hAnsi="仿宋" w:eastAsia="仿宋" w:cs="仿宋"/>
                <w:color w:val="auto"/>
                <w:sz w:val="24"/>
                <w:szCs w:val="24"/>
                <w:highlight w:val="none"/>
              </w:rPr>
            </w:pPr>
          </w:p>
        </w:tc>
        <w:tc>
          <w:tcPr>
            <w:tcW w:w="707" w:type="pct"/>
            <w:noWrap w:val="0"/>
            <w:vAlign w:val="center"/>
          </w:tcPr>
          <w:p w14:paraId="4561F8DA">
            <w:pPr>
              <w:adjustRightInd w:val="0"/>
              <w:snapToGrid w:val="0"/>
              <w:spacing w:line="360" w:lineRule="auto"/>
              <w:rPr>
                <w:rFonts w:hint="eastAsia" w:ascii="仿宋" w:hAnsi="仿宋" w:eastAsia="仿宋" w:cs="仿宋"/>
                <w:color w:val="auto"/>
                <w:sz w:val="24"/>
                <w:szCs w:val="24"/>
                <w:highlight w:val="none"/>
              </w:rPr>
            </w:pPr>
          </w:p>
        </w:tc>
        <w:tc>
          <w:tcPr>
            <w:tcW w:w="545" w:type="pct"/>
            <w:noWrap w:val="0"/>
            <w:vAlign w:val="center"/>
          </w:tcPr>
          <w:p w14:paraId="7BBFAF9E">
            <w:pPr>
              <w:adjustRightInd w:val="0"/>
              <w:snapToGrid w:val="0"/>
              <w:spacing w:line="360" w:lineRule="auto"/>
              <w:rPr>
                <w:rFonts w:hint="eastAsia" w:ascii="仿宋" w:hAnsi="仿宋" w:eastAsia="仿宋" w:cs="仿宋"/>
                <w:color w:val="auto"/>
                <w:sz w:val="24"/>
                <w:szCs w:val="24"/>
                <w:highlight w:val="none"/>
              </w:rPr>
            </w:pPr>
          </w:p>
        </w:tc>
        <w:tc>
          <w:tcPr>
            <w:tcW w:w="482" w:type="pct"/>
            <w:noWrap w:val="0"/>
            <w:vAlign w:val="center"/>
          </w:tcPr>
          <w:p w14:paraId="71DAF6B3">
            <w:pPr>
              <w:adjustRightInd w:val="0"/>
              <w:snapToGrid w:val="0"/>
              <w:spacing w:line="360" w:lineRule="auto"/>
              <w:rPr>
                <w:rFonts w:hint="eastAsia" w:ascii="仿宋" w:hAnsi="仿宋" w:eastAsia="仿宋" w:cs="仿宋"/>
                <w:color w:val="auto"/>
                <w:sz w:val="24"/>
                <w:szCs w:val="24"/>
                <w:highlight w:val="none"/>
              </w:rPr>
            </w:pPr>
          </w:p>
        </w:tc>
      </w:tr>
      <w:tr w14:paraId="1025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4DA62971">
            <w:pPr>
              <w:adjustRightInd w:val="0"/>
              <w:snapToGrid w:val="0"/>
              <w:spacing w:line="360" w:lineRule="auto"/>
              <w:rPr>
                <w:rFonts w:hint="eastAsia" w:ascii="仿宋" w:hAnsi="仿宋" w:eastAsia="仿宋" w:cs="仿宋"/>
                <w:color w:val="auto"/>
                <w:sz w:val="24"/>
                <w:szCs w:val="24"/>
                <w:highlight w:val="none"/>
              </w:rPr>
            </w:pPr>
          </w:p>
        </w:tc>
        <w:tc>
          <w:tcPr>
            <w:tcW w:w="790" w:type="pct"/>
            <w:noWrap w:val="0"/>
            <w:vAlign w:val="center"/>
          </w:tcPr>
          <w:p w14:paraId="628CE27F">
            <w:pPr>
              <w:adjustRightInd w:val="0"/>
              <w:snapToGrid w:val="0"/>
              <w:spacing w:line="360" w:lineRule="auto"/>
              <w:rPr>
                <w:rFonts w:hint="eastAsia" w:ascii="仿宋" w:hAnsi="仿宋" w:eastAsia="仿宋" w:cs="仿宋"/>
                <w:color w:val="auto"/>
                <w:sz w:val="24"/>
                <w:szCs w:val="24"/>
                <w:highlight w:val="none"/>
              </w:rPr>
            </w:pPr>
          </w:p>
        </w:tc>
        <w:tc>
          <w:tcPr>
            <w:tcW w:w="815" w:type="pct"/>
            <w:noWrap w:val="0"/>
            <w:vAlign w:val="top"/>
          </w:tcPr>
          <w:p w14:paraId="536C0B54">
            <w:pPr>
              <w:adjustRightInd w:val="0"/>
              <w:snapToGrid w:val="0"/>
              <w:spacing w:line="360" w:lineRule="auto"/>
              <w:rPr>
                <w:rFonts w:hint="eastAsia" w:ascii="仿宋" w:hAnsi="仿宋" w:eastAsia="仿宋" w:cs="仿宋"/>
                <w:color w:val="auto"/>
                <w:sz w:val="24"/>
                <w:szCs w:val="24"/>
                <w:highlight w:val="none"/>
              </w:rPr>
            </w:pPr>
          </w:p>
        </w:tc>
        <w:tc>
          <w:tcPr>
            <w:tcW w:w="621" w:type="pct"/>
            <w:noWrap w:val="0"/>
            <w:vAlign w:val="top"/>
          </w:tcPr>
          <w:p w14:paraId="5D07EBFE">
            <w:pPr>
              <w:adjustRightInd w:val="0"/>
              <w:snapToGrid w:val="0"/>
              <w:spacing w:line="360" w:lineRule="auto"/>
              <w:rPr>
                <w:rFonts w:hint="eastAsia" w:ascii="仿宋" w:hAnsi="仿宋" w:eastAsia="仿宋" w:cs="仿宋"/>
                <w:color w:val="auto"/>
                <w:sz w:val="24"/>
                <w:szCs w:val="24"/>
                <w:highlight w:val="none"/>
              </w:rPr>
            </w:pPr>
          </w:p>
        </w:tc>
        <w:tc>
          <w:tcPr>
            <w:tcW w:w="551" w:type="pct"/>
            <w:noWrap w:val="0"/>
            <w:vAlign w:val="center"/>
          </w:tcPr>
          <w:p w14:paraId="21ABC309">
            <w:pPr>
              <w:adjustRightInd w:val="0"/>
              <w:snapToGrid w:val="0"/>
              <w:spacing w:line="360" w:lineRule="auto"/>
              <w:rPr>
                <w:rFonts w:hint="eastAsia" w:ascii="仿宋" w:hAnsi="仿宋" w:eastAsia="仿宋" w:cs="仿宋"/>
                <w:color w:val="auto"/>
                <w:sz w:val="24"/>
                <w:szCs w:val="24"/>
                <w:highlight w:val="none"/>
              </w:rPr>
            </w:pPr>
          </w:p>
        </w:tc>
        <w:tc>
          <w:tcPr>
            <w:tcW w:w="707" w:type="pct"/>
            <w:noWrap w:val="0"/>
            <w:vAlign w:val="center"/>
          </w:tcPr>
          <w:p w14:paraId="139E37E7">
            <w:pPr>
              <w:adjustRightInd w:val="0"/>
              <w:snapToGrid w:val="0"/>
              <w:spacing w:line="360" w:lineRule="auto"/>
              <w:rPr>
                <w:rFonts w:hint="eastAsia" w:ascii="仿宋" w:hAnsi="仿宋" w:eastAsia="仿宋" w:cs="仿宋"/>
                <w:color w:val="auto"/>
                <w:sz w:val="24"/>
                <w:szCs w:val="24"/>
                <w:highlight w:val="none"/>
              </w:rPr>
            </w:pPr>
          </w:p>
        </w:tc>
        <w:tc>
          <w:tcPr>
            <w:tcW w:w="545" w:type="pct"/>
            <w:noWrap w:val="0"/>
            <w:vAlign w:val="center"/>
          </w:tcPr>
          <w:p w14:paraId="6390756E">
            <w:pPr>
              <w:adjustRightInd w:val="0"/>
              <w:snapToGrid w:val="0"/>
              <w:spacing w:line="360" w:lineRule="auto"/>
              <w:rPr>
                <w:rFonts w:hint="eastAsia" w:ascii="仿宋" w:hAnsi="仿宋" w:eastAsia="仿宋" w:cs="仿宋"/>
                <w:color w:val="auto"/>
                <w:sz w:val="24"/>
                <w:szCs w:val="24"/>
                <w:highlight w:val="none"/>
              </w:rPr>
            </w:pPr>
          </w:p>
        </w:tc>
        <w:tc>
          <w:tcPr>
            <w:tcW w:w="482" w:type="pct"/>
            <w:noWrap w:val="0"/>
            <w:vAlign w:val="center"/>
          </w:tcPr>
          <w:p w14:paraId="3C09AA58">
            <w:pPr>
              <w:adjustRightInd w:val="0"/>
              <w:snapToGrid w:val="0"/>
              <w:spacing w:line="360" w:lineRule="auto"/>
              <w:rPr>
                <w:rFonts w:hint="eastAsia" w:ascii="仿宋" w:hAnsi="仿宋" w:eastAsia="仿宋" w:cs="仿宋"/>
                <w:color w:val="auto"/>
                <w:sz w:val="24"/>
                <w:szCs w:val="24"/>
                <w:highlight w:val="none"/>
              </w:rPr>
            </w:pPr>
          </w:p>
        </w:tc>
      </w:tr>
      <w:tr w14:paraId="1C13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8"/>
            <w:noWrap w:val="0"/>
            <w:vAlign w:val="center"/>
          </w:tcPr>
          <w:p w14:paraId="431EFD70">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r>
    </w:tbl>
    <w:p w14:paraId="520136E0">
      <w:pPr>
        <w:pStyle w:val="29"/>
        <w:rPr>
          <w:rFonts w:hint="eastAsia"/>
          <w:color w:val="auto"/>
          <w:highlight w:val="none"/>
        </w:rPr>
      </w:pPr>
    </w:p>
    <w:p w14:paraId="25ECEF49">
      <w:pPr>
        <w:adjustRightInd w:val="0"/>
        <w:snapToGrid w:val="0"/>
        <w:spacing w:line="360" w:lineRule="auto"/>
        <w:ind w:firstLine="480" w:firstLineChars="200"/>
        <w:rPr>
          <w:rFonts w:hint="eastAsia" w:ascii="仿宋" w:hAnsi="仿宋" w:eastAsia="仿宋" w:cs="仿宋"/>
          <w:color w:val="auto"/>
          <w:sz w:val="24"/>
          <w:highlight w:val="none"/>
        </w:rPr>
      </w:pPr>
      <w:bookmarkStart w:id="297" w:name="_Toc19515385"/>
      <w:r>
        <w:rPr>
          <w:rFonts w:hint="eastAsia" w:ascii="仿宋" w:hAnsi="仿宋" w:eastAsia="仿宋" w:cs="仿宋"/>
          <w:color w:val="auto"/>
          <w:sz w:val="24"/>
          <w:highlight w:val="none"/>
        </w:rPr>
        <w:t>二、合同价款</w:t>
      </w:r>
      <w:bookmarkEnd w:id="297"/>
    </w:p>
    <w:p w14:paraId="0957882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1、合同总价：</w:t>
      </w:r>
    </w:p>
    <w:p w14:paraId="121428E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2、合同总价包括：</w:t>
      </w:r>
    </w:p>
    <w:p w14:paraId="6311E3D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w:t>
      </w:r>
      <w:r>
        <w:rPr>
          <w:rFonts w:hint="eastAsia" w:ascii="仿宋" w:hAnsi="仿宋" w:eastAsia="仿宋" w:cs="仿宋"/>
          <w:color w:val="auto"/>
          <w:sz w:val="24"/>
          <w:highlight w:val="none"/>
          <w:lang w:val="en-US" w:eastAsia="zh-CN"/>
        </w:rPr>
        <w:t>价格</w:t>
      </w:r>
      <w:r>
        <w:rPr>
          <w:rFonts w:hint="eastAsia" w:ascii="仿宋" w:hAnsi="仿宋" w:eastAsia="仿宋" w:cs="仿宋"/>
          <w:color w:val="auto"/>
          <w:sz w:val="24"/>
          <w:highlight w:val="none"/>
        </w:rPr>
        <w:t>不受市场价变化影响。</w:t>
      </w:r>
    </w:p>
    <w:p w14:paraId="16D4F88F">
      <w:pPr>
        <w:adjustRightInd w:val="0"/>
        <w:snapToGrid w:val="0"/>
        <w:spacing w:line="360" w:lineRule="auto"/>
        <w:ind w:firstLine="480" w:firstLineChars="200"/>
        <w:rPr>
          <w:rFonts w:hint="eastAsia" w:ascii="仿宋" w:hAnsi="仿宋" w:eastAsia="仿宋" w:cs="仿宋"/>
          <w:color w:val="auto"/>
          <w:sz w:val="24"/>
          <w:highlight w:val="none"/>
        </w:rPr>
      </w:pPr>
      <w:bookmarkStart w:id="298" w:name="_Toc19515386"/>
      <w:r>
        <w:rPr>
          <w:rFonts w:hint="eastAsia" w:ascii="仿宋" w:hAnsi="仿宋" w:eastAsia="仿宋" w:cs="仿宋"/>
          <w:color w:val="auto"/>
          <w:sz w:val="24"/>
          <w:highlight w:val="none"/>
        </w:rPr>
        <w:t>三、合同结算</w:t>
      </w:r>
      <w:bookmarkEnd w:id="298"/>
    </w:p>
    <w:p w14:paraId="4565E97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1、付款方式：合同签订后支付预付款</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0%，项目</w:t>
      </w:r>
      <w:r>
        <w:rPr>
          <w:rFonts w:hint="eastAsia" w:ascii="仿宋" w:hAnsi="仿宋" w:eastAsia="仿宋" w:cs="仿宋"/>
          <w:color w:val="auto"/>
          <w:sz w:val="24"/>
          <w:highlight w:val="none"/>
          <w:lang w:val="en-US" w:eastAsia="zh-CN"/>
        </w:rPr>
        <w:t>最终</w:t>
      </w:r>
      <w:r>
        <w:rPr>
          <w:rFonts w:hint="eastAsia" w:ascii="仿宋" w:hAnsi="仿宋" w:eastAsia="仿宋" w:cs="仿宋"/>
          <w:color w:val="auto"/>
          <w:sz w:val="24"/>
          <w:highlight w:val="none"/>
        </w:rPr>
        <w:t>验收合格后，支付合同总价的</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w:t>
      </w:r>
    </w:p>
    <w:p w14:paraId="5223150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2、结算方式：银行转账。</w:t>
      </w:r>
    </w:p>
    <w:p w14:paraId="5088E8A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3、结算单位：由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负责结算，乙方开具合同总价数的全额发票交采购人</w:t>
      </w:r>
      <w:r>
        <w:rPr>
          <w:rFonts w:hint="eastAsia" w:ascii="仿宋" w:hAnsi="仿宋" w:eastAsia="仿宋" w:cs="仿宋"/>
          <w:color w:val="auto"/>
          <w:sz w:val="24"/>
          <w:highlight w:val="none"/>
          <w:lang w:val="en-US" w:eastAsia="zh-CN"/>
        </w:rPr>
        <w:t>或采购人指定单位</w:t>
      </w:r>
      <w:r>
        <w:rPr>
          <w:rFonts w:hint="eastAsia" w:ascii="仿宋" w:hAnsi="仿宋" w:eastAsia="仿宋" w:cs="仿宋"/>
          <w:color w:val="auto"/>
          <w:sz w:val="24"/>
          <w:highlight w:val="none"/>
        </w:rPr>
        <w:t>。</w:t>
      </w:r>
    </w:p>
    <w:p w14:paraId="746A5393">
      <w:pPr>
        <w:adjustRightInd w:val="0"/>
        <w:snapToGrid w:val="0"/>
        <w:spacing w:line="360" w:lineRule="auto"/>
        <w:ind w:firstLine="480" w:firstLineChars="200"/>
        <w:rPr>
          <w:rFonts w:hint="eastAsia" w:ascii="仿宋" w:hAnsi="仿宋" w:eastAsia="仿宋" w:cs="仿宋"/>
          <w:color w:val="auto"/>
          <w:sz w:val="24"/>
          <w:highlight w:val="none"/>
        </w:rPr>
      </w:pPr>
      <w:bookmarkStart w:id="299" w:name="_Toc19515387"/>
      <w:r>
        <w:rPr>
          <w:rFonts w:hint="eastAsia" w:ascii="仿宋" w:hAnsi="仿宋" w:eastAsia="仿宋" w:cs="仿宋"/>
          <w:color w:val="auto"/>
          <w:sz w:val="24"/>
          <w:highlight w:val="none"/>
        </w:rPr>
        <w:t>四、</w:t>
      </w: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地点及方式:</w:t>
      </w:r>
      <w:bookmarkEnd w:id="299"/>
    </w:p>
    <w:p w14:paraId="7DBF5ED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i w:val="0"/>
          <w:iCs w:val="0"/>
          <w:caps w:val="0"/>
          <w:color w:val="auto"/>
          <w:spacing w:val="0"/>
          <w:sz w:val="24"/>
          <w:szCs w:val="24"/>
          <w:highlight w:val="none"/>
          <w:shd w:val="clear" w:fill="FFFFFF"/>
        </w:rPr>
        <w:t>合同履行期限：2025年</w:t>
      </w:r>
      <w:r>
        <w:rPr>
          <w:rFonts w:hint="eastAsia" w:ascii="仿宋" w:hAnsi="仿宋" w:eastAsia="仿宋" w:cs="仿宋"/>
          <w:i w:val="0"/>
          <w:iCs w:val="0"/>
          <w:caps w:val="0"/>
          <w:color w:val="auto"/>
          <w:spacing w:val="0"/>
          <w:sz w:val="24"/>
          <w:szCs w:val="24"/>
          <w:highlight w:val="none"/>
          <w:shd w:val="clear" w:fill="FFFFFF"/>
          <w:lang w:val="en-US" w:eastAsia="zh-CN"/>
        </w:rPr>
        <w:t>8</w:t>
      </w:r>
      <w:r>
        <w:rPr>
          <w:rFonts w:hint="eastAsia" w:ascii="仿宋" w:hAnsi="仿宋" w:eastAsia="仿宋" w:cs="仿宋"/>
          <w:i w:val="0"/>
          <w:iCs w:val="0"/>
          <w:caps w:val="0"/>
          <w:color w:val="auto"/>
          <w:spacing w:val="0"/>
          <w:sz w:val="24"/>
          <w:szCs w:val="24"/>
          <w:highlight w:val="none"/>
          <w:shd w:val="clear" w:fill="FFFFFF"/>
        </w:rPr>
        <w:t>月</w:t>
      </w:r>
      <w:r>
        <w:rPr>
          <w:rFonts w:hint="eastAsia" w:ascii="仿宋" w:hAnsi="仿宋" w:eastAsia="仿宋" w:cs="仿宋"/>
          <w:i w:val="0"/>
          <w:iCs w:val="0"/>
          <w:caps w:val="0"/>
          <w:color w:val="auto"/>
          <w:spacing w:val="0"/>
          <w:sz w:val="24"/>
          <w:szCs w:val="24"/>
          <w:highlight w:val="none"/>
          <w:shd w:val="clear" w:fill="FFFFFF"/>
          <w:lang w:val="en-US" w:eastAsia="zh-CN"/>
        </w:rPr>
        <w:t>15</w:t>
      </w:r>
      <w:r>
        <w:rPr>
          <w:rFonts w:hint="eastAsia" w:ascii="仿宋" w:hAnsi="仿宋" w:eastAsia="仿宋" w:cs="仿宋"/>
          <w:i w:val="0"/>
          <w:iCs w:val="0"/>
          <w:caps w:val="0"/>
          <w:color w:val="auto"/>
          <w:spacing w:val="0"/>
          <w:sz w:val="24"/>
          <w:szCs w:val="24"/>
          <w:highlight w:val="none"/>
          <w:shd w:val="clear" w:fill="FFFFFF"/>
        </w:rPr>
        <w:t>日前完成供货、安装、调试</w:t>
      </w:r>
    </w:p>
    <w:p w14:paraId="60B9CC5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地点：采购人指定地点</w:t>
      </w:r>
    </w:p>
    <w:p w14:paraId="1236DE2F">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3、方式：</w:t>
      </w:r>
      <w:r>
        <w:rPr>
          <w:rFonts w:hint="eastAsia" w:ascii="仿宋" w:hAnsi="仿宋" w:eastAsia="仿宋" w:cs="仿宋"/>
          <w:color w:val="auto"/>
          <w:sz w:val="24"/>
          <w:highlight w:val="none"/>
          <w:lang w:val="en-US" w:eastAsia="zh-CN"/>
        </w:rPr>
        <w:t>于</w:t>
      </w:r>
      <w:r>
        <w:rPr>
          <w:rFonts w:hint="eastAsia" w:ascii="仿宋" w:hAnsi="仿宋" w:eastAsia="仿宋" w:cs="仿宋"/>
          <w:color w:val="auto"/>
          <w:sz w:val="24"/>
          <w:highlight w:val="none"/>
        </w:rPr>
        <w:t>采购人指定地点现场交货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安装、调试</w:t>
      </w:r>
    </w:p>
    <w:p w14:paraId="33912556">
      <w:pPr>
        <w:adjustRightInd w:val="0"/>
        <w:snapToGrid w:val="0"/>
        <w:spacing w:line="360" w:lineRule="auto"/>
        <w:ind w:firstLine="480" w:firstLineChars="200"/>
        <w:rPr>
          <w:rFonts w:hint="eastAsia" w:ascii="仿宋" w:hAnsi="仿宋" w:eastAsia="仿宋" w:cs="仿宋"/>
          <w:color w:val="auto"/>
          <w:sz w:val="24"/>
          <w:highlight w:val="none"/>
        </w:rPr>
      </w:pPr>
      <w:bookmarkStart w:id="300" w:name="_Toc19515390"/>
      <w:r>
        <w:rPr>
          <w:rFonts w:hint="eastAsia" w:ascii="仿宋" w:hAnsi="仿宋" w:eastAsia="仿宋" w:cs="仿宋"/>
          <w:color w:val="auto"/>
          <w:sz w:val="24"/>
          <w:highlight w:val="none"/>
        </w:rPr>
        <w:t>五、技术服务</w:t>
      </w:r>
      <w:bookmarkEnd w:id="300"/>
    </w:p>
    <w:p w14:paraId="51A795C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1、对技术服务的要求：</w:t>
      </w:r>
    </w:p>
    <w:p w14:paraId="61551AD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2、技术资料：</w:t>
      </w:r>
    </w:p>
    <w:p w14:paraId="7A81292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3、技术培训：</w:t>
      </w:r>
    </w:p>
    <w:p w14:paraId="053624C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3-1、培训内容：</w:t>
      </w:r>
    </w:p>
    <w:p w14:paraId="6C1A2F7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3-2、培训地点：</w:t>
      </w:r>
    </w:p>
    <w:p w14:paraId="5F5D410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3-3、培训时间：</w:t>
      </w:r>
    </w:p>
    <w:p w14:paraId="4353E5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3-4、培训人数：</w:t>
      </w:r>
    </w:p>
    <w:p w14:paraId="154E507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3-5、培训费用：受训人员的食宿费、资料费、培训场地费、耗材（包括水电费等）费等已包含在合同总价中，甲方不再另行支付。</w:t>
      </w:r>
    </w:p>
    <w:p w14:paraId="701FD59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4、售后服务</w:t>
      </w:r>
    </w:p>
    <w:p w14:paraId="670868A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4-1、质保期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p w14:paraId="159CD78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4-2、质保期内乙方在接到甲方电话通知后在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小时内派出合格的服务人员到达现场进行服务，并由乙方承担相应费用。</w:t>
      </w:r>
    </w:p>
    <w:p w14:paraId="4B50F3A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4-3、如果乙方在收到通知后两天内没有弥补缺陷，甲方可采取必要的补救措施，但其风险和费用将由乙方承担，甲方根据合同规定对乙方行使的其它权力不受影响。</w:t>
      </w:r>
    </w:p>
    <w:p w14:paraId="79D31C02">
      <w:pPr>
        <w:adjustRightInd w:val="0"/>
        <w:snapToGrid w:val="0"/>
        <w:spacing w:line="360" w:lineRule="auto"/>
        <w:ind w:firstLine="480" w:firstLineChars="200"/>
        <w:rPr>
          <w:rFonts w:hint="eastAsia" w:ascii="仿宋" w:hAnsi="仿宋" w:eastAsia="仿宋" w:cs="仿宋"/>
          <w:color w:val="auto"/>
          <w:sz w:val="24"/>
          <w:highlight w:val="none"/>
        </w:rPr>
      </w:pPr>
      <w:bookmarkStart w:id="301" w:name="_Toc19515391"/>
      <w:r>
        <w:rPr>
          <w:rFonts w:hint="eastAsia" w:ascii="仿宋" w:hAnsi="仿宋" w:eastAsia="仿宋" w:cs="仿宋"/>
          <w:color w:val="auto"/>
          <w:sz w:val="24"/>
          <w:highlight w:val="none"/>
        </w:rPr>
        <w:t>六、验收</w:t>
      </w:r>
      <w:bookmarkEnd w:id="301"/>
    </w:p>
    <w:p w14:paraId="4F8055E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1、验收：乙方完成服务内容后，向甲方提出验收申请，甲方接到乙方验收申请后组织验收（必要时可聘请相应专家或委托相应部门验收），验收合格后，出具使用验收合格证明。</w:t>
      </w:r>
    </w:p>
    <w:p w14:paraId="2FE7B66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2、最终验收：最终验收结果作为付款依据，乙方填写验收单，并向甲方提交实施过程中的所有资料，以便甲方日后管理和维护。</w:t>
      </w:r>
    </w:p>
    <w:p w14:paraId="78B7B22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3、质保期满后：由乙方出具质保期运行质量报告，若存在质量问题，应按相应规定协商处理。</w:t>
      </w:r>
    </w:p>
    <w:p w14:paraId="11B1C08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4、验收依据：</w:t>
      </w:r>
    </w:p>
    <w:p w14:paraId="225E506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4-1、合同文本、合同附件、招标文件、投标文件。</w:t>
      </w:r>
    </w:p>
    <w:p w14:paraId="45DA087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4-2、国内相应的标准、规范。</w:t>
      </w:r>
    </w:p>
    <w:p w14:paraId="68B4CE50">
      <w:pPr>
        <w:adjustRightInd w:val="0"/>
        <w:snapToGrid w:val="0"/>
        <w:spacing w:line="360" w:lineRule="auto"/>
        <w:ind w:firstLine="480" w:firstLineChars="200"/>
        <w:rPr>
          <w:rFonts w:hint="eastAsia" w:ascii="仿宋" w:hAnsi="仿宋" w:eastAsia="仿宋" w:cs="仿宋"/>
          <w:color w:val="auto"/>
          <w:sz w:val="24"/>
          <w:highlight w:val="none"/>
        </w:rPr>
      </w:pPr>
      <w:bookmarkStart w:id="302" w:name="_Toc19515392"/>
      <w:r>
        <w:rPr>
          <w:rFonts w:hint="eastAsia" w:ascii="仿宋" w:hAnsi="仿宋" w:eastAsia="仿宋" w:cs="仿宋"/>
          <w:color w:val="auto"/>
          <w:sz w:val="24"/>
          <w:highlight w:val="none"/>
        </w:rPr>
        <w:t>七、违约责任</w:t>
      </w:r>
      <w:bookmarkEnd w:id="302"/>
    </w:p>
    <w:p w14:paraId="23DB5BE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1、按《中华人民共和国民法典》中的相关条款执行。</w:t>
      </w:r>
    </w:p>
    <w:p w14:paraId="51CA4B4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2、乙方履约延误</w:t>
      </w:r>
    </w:p>
    <w:p w14:paraId="12BF214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2-1、如乙方事先未征得甲方同意并得到甲方的谅解而单方面延迟执行合同，将按违约终止合同。</w:t>
      </w:r>
    </w:p>
    <w:p w14:paraId="2DC5D93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2-2、在履行合同过程中，如果乙方遇到可能妨碍按时提供</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的情况，应及时以书面形式将拖延的事实，可能拖延的期限和理由通知甲方。甲方在收到乙方通知后，应尽快对情况进行评价，并确定是否通过修改合同，酌情延长交货时间或对乙方加收误期赔偿金。每延误一</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的赔偿费按合同金额的百分之</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%）计收，直至</w:t>
      </w:r>
      <w:r>
        <w:rPr>
          <w:rFonts w:hint="eastAsia" w:ascii="仿宋" w:hAnsi="仿宋" w:eastAsia="仿宋" w:cs="仿宋"/>
          <w:color w:val="auto"/>
          <w:sz w:val="24"/>
          <w:highlight w:val="none"/>
          <w:lang w:val="en-US" w:eastAsia="zh-CN"/>
        </w:rPr>
        <w:t>全部完成</w:t>
      </w:r>
      <w:r>
        <w:rPr>
          <w:rFonts w:hint="eastAsia" w:ascii="仿宋" w:hAnsi="仿宋" w:eastAsia="仿宋" w:cs="仿宋"/>
          <w:color w:val="auto"/>
          <w:sz w:val="24"/>
          <w:highlight w:val="none"/>
        </w:rPr>
        <w:t>为止。误期赔偿费的最高限额为合同价格的百分之</w:t>
      </w: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%）。一旦达到误期赔偿费的最高限额，甲方可终止合同。</w:t>
      </w:r>
    </w:p>
    <w:p w14:paraId="558D63E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3、违约终止合同：未按合同要求提供服务或不能满足技术要求，甲方会同监督机构有权终止合同，对乙方违约行为进行追究，同时按政府采购法的有关规定进行相应的处罚。</w:t>
      </w:r>
    </w:p>
    <w:p w14:paraId="2378D575">
      <w:pPr>
        <w:adjustRightInd w:val="0"/>
        <w:snapToGrid w:val="0"/>
        <w:spacing w:line="360" w:lineRule="auto"/>
        <w:ind w:firstLine="480" w:firstLineChars="200"/>
        <w:rPr>
          <w:rFonts w:hint="eastAsia" w:ascii="仿宋" w:hAnsi="仿宋" w:eastAsia="仿宋" w:cs="仿宋"/>
          <w:color w:val="auto"/>
          <w:sz w:val="24"/>
          <w:highlight w:val="none"/>
        </w:rPr>
      </w:pPr>
      <w:bookmarkStart w:id="303" w:name="_Toc19515393"/>
      <w:r>
        <w:rPr>
          <w:rFonts w:hint="eastAsia" w:ascii="仿宋" w:hAnsi="仿宋" w:eastAsia="仿宋" w:cs="仿宋"/>
          <w:color w:val="auto"/>
          <w:sz w:val="24"/>
          <w:highlight w:val="none"/>
        </w:rPr>
        <w:t>八、合同组成</w:t>
      </w:r>
      <w:bookmarkEnd w:id="303"/>
    </w:p>
    <w:p w14:paraId="0EAE085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w:t>
      </w:r>
    </w:p>
    <w:p w14:paraId="6256937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2、合同文件</w:t>
      </w:r>
    </w:p>
    <w:p w14:paraId="0857A1B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3、国家相关规范及标准</w:t>
      </w:r>
    </w:p>
    <w:p w14:paraId="5FA0620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4、招标文件</w:t>
      </w:r>
    </w:p>
    <w:p w14:paraId="0699175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w:t>
      </w:r>
    </w:p>
    <w:p w14:paraId="0EEFEABC">
      <w:pPr>
        <w:adjustRightInd w:val="0"/>
        <w:snapToGrid w:val="0"/>
        <w:spacing w:line="360" w:lineRule="auto"/>
        <w:ind w:firstLine="480" w:firstLineChars="200"/>
        <w:rPr>
          <w:rFonts w:hint="eastAsia" w:ascii="仿宋" w:hAnsi="仿宋" w:eastAsia="仿宋" w:cs="仿宋"/>
          <w:color w:val="auto"/>
          <w:sz w:val="24"/>
          <w:highlight w:val="none"/>
        </w:rPr>
      </w:pPr>
      <w:bookmarkStart w:id="304" w:name="_Toc19515394"/>
      <w:r>
        <w:rPr>
          <w:rFonts w:hint="eastAsia" w:ascii="仿宋" w:hAnsi="仿宋" w:eastAsia="仿宋" w:cs="仿宋"/>
          <w:color w:val="auto"/>
          <w:sz w:val="24"/>
          <w:highlight w:val="none"/>
        </w:rPr>
        <w:t>九、解决争议的方法</w:t>
      </w:r>
      <w:bookmarkEnd w:id="304"/>
    </w:p>
    <w:p w14:paraId="2374DE78">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凡因本合同引起的或与本合同有关的争议，双方应友好协商解决。协商不成时，双方均同意采用以下第（  ）种争议解决方式：</w:t>
      </w:r>
    </w:p>
    <w:p w14:paraId="058FF234">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1、甲、乙双方均同意向（甲方所在地人民法院）提起诉讼。</w:t>
      </w:r>
    </w:p>
    <w:p w14:paraId="42B5D90C">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2、甲、乙双方均同意向（</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仲裁委员会</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）提起仲裁。</w:t>
      </w:r>
    </w:p>
    <w:p w14:paraId="69EA9887">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bookmarkStart w:id="305" w:name="_Toc19515395"/>
      <w:r>
        <w:rPr>
          <w:rFonts w:hint="eastAsia" w:ascii="仿宋" w:hAnsi="仿宋" w:eastAsia="仿宋" w:cs="仿宋"/>
          <w:color w:val="auto"/>
          <w:sz w:val="24"/>
          <w:highlight w:val="none"/>
        </w:rPr>
        <w:t>十、合同生效及其它</w:t>
      </w:r>
      <w:bookmarkEnd w:id="305"/>
      <w:r>
        <w:rPr>
          <w:rFonts w:hint="eastAsia" w:ascii="仿宋" w:hAnsi="仿宋" w:eastAsia="仿宋" w:cs="仿宋"/>
          <w:color w:val="auto"/>
          <w:sz w:val="24"/>
          <w:highlight w:val="none"/>
          <w:lang w:val="en-US" w:eastAsia="zh-CN"/>
        </w:rPr>
        <w:t>约定</w:t>
      </w:r>
    </w:p>
    <w:p w14:paraId="2FF21CE3">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1、合同未尽事宜、由甲、乙双方协商，作为合同补充，与原合同具有同等法律效力。</w:t>
      </w:r>
    </w:p>
    <w:p w14:paraId="25FB46B9">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403E9AA">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 本合同一式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份，甲方、乙方双方分别执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备案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24AD0892">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、合同经甲乙双方盖章、签字后生效，合同签订地点为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83B5DC1">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、生效时间：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059188B">
      <w:pPr>
        <w:widowControl/>
        <w:tabs>
          <w:tab w:val="left" w:pos="8391"/>
        </w:tabs>
        <w:autoSpaceDE w:val="0"/>
        <w:autoSpaceDN w:val="0"/>
        <w:snapToGrid w:val="0"/>
        <w:spacing w:line="360" w:lineRule="auto"/>
        <w:ind w:right="-69" w:firstLine="840" w:firstLineChars="350"/>
        <w:textAlignment w:val="bottom"/>
        <w:rPr>
          <w:rFonts w:hint="eastAsia" w:ascii="仿宋" w:hAnsi="仿宋" w:eastAsia="仿宋" w:cs="仿宋"/>
          <w:color w:val="auto"/>
          <w:kern w:val="0"/>
          <w:sz w:val="24"/>
          <w:highlight w:val="none"/>
        </w:rPr>
      </w:pPr>
    </w:p>
    <w:tbl>
      <w:tblPr>
        <w:tblStyle w:val="18"/>
        <w:tblW w:w="0" w:type="auto"/>
        <w:jc w:val="center"/>
        <w:tblLayout w:type="fixed"/>
        <w:tblCellMar>
          <w:top w:w="0" w:type="dxa"/>
          <w:left w:w="108" w:type="dxa"/>
          <w:bottom w:w="0" w:type="dxa"/>
          <w:right w:w="108" w:type="dxa"/>
        </w:tblCellMar>
      </w:tblPr>
      <w:tblGrid>
        <w:gridCol w:w="4643"/>
        <w:gridCol w:w="4643"/>
      </w:tblGrid>
      <w:tr w14:paraId="7AA7279B">
        <w:tblPrEx>
          <w:tblCellMar>
            <w:top w:w="0" w:type="dxa"/>
            <w:left w:w="108" w:type="dxa"/>
            <w:bottom w:w="0" w:type="dxa"/>
            <w:right w:w="108" w:type="dxa"/>
          </w:tblCellMar>
        </w:tblPrEx>
        <w:trPr>
          <w:jc w:val="center"/>
        </w:trPr>
        <w:tc>
          <w:tcPr>
            <w:tcW w:w="4643" w:type="dxa"/>
            <w:noWrap w:val="0"/>
            <w:vAlign w:val="top"/>
          </w:tcPr>
          <w:p w14:paraId="6A7EFB1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14:paraId="65B95A6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56D2CDD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1B90715A">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2108A2BD">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28CE306F">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c>
          <w:tcPr>
            <w:tcW w:w="4643" w:type="dxa"/>
            <w:noWrap w:val="0"/>
            <w:vAlign w:val="top"/>
          </w:tcPr>
          <w:p w14:paraId="1100F1E2">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14:paraId="3A1C684B">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5C149681">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37626EA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025349E9">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55EEF70B">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bl>
    <w:p w14:paraId="31599D64">
      <w:pPr>
        <w:tabs>
          <w:tab w:val="left" w:pos="891"/>
        </w:tabs>
        <w:bidi w:val="0"/>
        <w:jc w:val="left"/>
        <w:rPr>
          <w:rFonts w:hint="eastAsia" w:ascii="Times New Roman" w:hAnsi="Times New Roman" w:eastAsia="宋体" w:cs="Times New Roman"/>
          <w:color w:val="auto"/>
          <w:szCs w:val="20"/>
          <w:highlight w:val="none"/>
          <w:lang w:val="en-US" w:eastAsia="zh-CN"/>
        </w:rPr>
      </w:pPr>
    </w:p>
    <w:p w14:paraId="454A4845">
      <w:pPr>
        <w:rPr>
          <w:rFonts w:hint="eastAsia" w:ascii="宋体" w:hAnsi="宋体" w:eastAsia="仿宋" w:cs="Times New Roman"/>
          <w:b/>
          <w:bCs w:val="0"/>
          <w:color w:val="auto"/>
          <w:kern w:val="44"/>
          <w:sz w:val="32"/>
          <w:szCs w:val="24"/>
          <w:highlight w:val="none"/>
          <w:lang w:val="en-US" w:eastAsia="zh-CN" w:bidi="ar-SA"/>
        </w:rPr>
        <w:sectPr>
          <w:headerReference r:id="rId6" w:type="default"/>
          <w:footerReference r:id="rId7" w:type="default"/>
          <w:pgSz w:w="11907" w:h="16840"/>
          <w:pgMar w:top="1474" w:right="1814" w:bottom="1474" w:left="1814" w:header="851" w:footer="680" w:gutter="0"/>
          <w:pgBorders w:offsetFrom="page">
            <w:top w:val="none" w:sz="0" w:space="0"/>
            <w:left w:val="none" w:sz="0" w:space="0"/>
            <w:bottom w:val="none" w:sz="0" w:space="0"/>
            <w:right w:val="none" w:sz="0" w:space="0"/>
          </w:pgBorders>
          <w:pgNumType w:fmt="decimal" w:start="1"/>
          <w:cols w:space="720" w:num="1"/>
          <w:docGrid w:linePitch="462" w:charSpace="0"/>
        </w:sectPr>
      </w:pPr>
    </w:p>
    <w:p w14:paraId="71CD1DAC">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06" w:name="_Toc3961"/>
      <w:r>
        <w:rPr>
          <w:rFonts w:hint="eastAsia" w:ascii="宋体" w:hAnsi="宋体" w:eastAsia="仿宋" w:cs="Times New Roman"/>
          <w:b/>
          <w:color w:val="auto"/>
          <w:kern w:val="44"/>
          <w:sz w:val="32"/>
          <w:szCs w:val="20"/>
          <w:highlight w:val="none"/>
          <w:lang w:val="en-US" w:eastAsia="zh-CN" w:bidi="ar-SA"/>
        </w:rPr>
        <w:t>第五章  采购需求及要求</w:t>
      </w:r>
      <w:bookmarkEnd w:id="295"/>
      <w:bookmarkEnd w:id="306"/>
    </w:p>
    <w:p w14:paraId="7DBD0104">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bookmarkStart w:id="307" w:name="_Toc62194344"/>
      <w:r>
        <w:rPr>
          <w:rFonts w:hint="eastAsia" w:ascii="仿宋" w:hAnsi="仿宋" w:eastAsia="仿宋" w:cs="仿宋"/>
          <w:b/>
          <w:bCs/>
          <w:i w:val="0"/>
          <w:iCs w:val="0"/>
          <w:caps w:val="0"/>
          <w:color w:val="auto"/>
          <w:spacing w:val="0"/>
          <w:sz w:val="24"/>
          <w:szCs w:val="24"/>
          <w:highlight w:val="none"/>
          <w:shd w:val="clear" w:fill="FFFFFF"/>
          <w:lang w:eastAsia="zh-CN"/>
        </w:rPr>
        <w:t>西安浐灞国际港教育局2025年全区学校教育教学设施设备采购项目第二批（家具类）</w:t>
      </w:r>
      <w:r>
        <w:rPr>
          <w:rFonts w:hint="eastAsia" w:ascii="仿宋" w:hAnsi="仿宋" w:eastAsia="仿宋" w:cs="仿宋"/>
          <w:b/>
          <w:bCs/>
          <w:i w:val="0"/>
          <w:iCs w:val="0"/>
          <w:caps w:val="0"/>
          <w:color w:val="auto"/>
          <w:spacing w:val="0"/>
          <w:sz w:val="24"/>
          <w:szCs w:val="24"/>
          <w:highlight w:val="none"/>
          <w:shd w:val="clear" w:fill="FFFFFF"/>
          <w:lang w:val="en-US" w:eastAsia="zh-CN"/>
        </w:rPr>
        <w:t>第1包</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387"/>
        <w:gridCol w:w="9792"/>
        <w:gridCol w:w="1944"/>
        <w:gridCol w:w="899"/>
      </w:tblGrid>
      <w:tr w14:paraId="6351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F8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FB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货物名称</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58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9A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学校名称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09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r>
      <w:tr w14:paraId="19B0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1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15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E11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10000*2200*760mm桌面厚度：≥50mm。桌面配2个金属线盒，每个线盒内置三个五孔插座1、基材：采用中密度纤维板，达国家E1级标准；2、贴面：优质天然木皮贴面；3、油漆：底漆、面漆均采用优质环保漆；4、配置：优质五金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55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A6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72C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DEF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881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553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1、饰面：优质环保西皮2、海绵：一次成型海绵；3、框架：选用优质橡木，表面做胡桃色喷涂处理。4、五金：采用优质五金</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7A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DF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52</w:t>
            </w:r>
          </w:p>
        </w:tc>
      </w:tr>
      <w:tr w14:paraId="68B2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35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37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EDB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尺寸：1500*450*800mm1、基材：采用中密度纤维板，达国家E1级标准；2、贴面：优质天然木皮贴面；3、油漆：底漆、面漆均采用优质环保漆；4、配置：优质五金件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9D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9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1DBD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1FF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EC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8B0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尺寸：12000*2200*760mm 桌面厚度：≥50mm。桌面配2个金属多媒体信息盒。1、基材：采用中密度纤维板，达国家E1级标准；2、贴面：优质天然木皮贴面；3、油漆：底漆、面漆均采用优质环保漆；4、配置：优质五金件中标方与使用方协调开孔安装26套显示器升降机构，报价不含升降机构。</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1C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E0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73AD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BD4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E3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条桌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6D1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尺寸：1200*450*750mm1、基材：采用实木多层板，达国家E1级标准；2、贴面：优质天然木皮贴面；3、油漆：底漆、面漆均采用优质环保漆；4、配置：优质五金件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D7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BB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r>
      <w:tr w14:paraId="3F40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C3A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541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B93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1、饰面：优质环保西皮2、海绵：一次成型海绵；3、框架：选用优质橡木，表面作胡桃色喷涂处理。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31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46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110</w:t>
            </w:r>
          </w:p>
        </w:tc>
      </w:tr>
      <w:tr w14:paraId="6BD2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A36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88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8B9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sz w:val="18"/>
                <w:szCs w:val="18"/>
                <w:highlight w:val="none"/>
                <w:u w:val="none"/>
              </w:rPr>
              <w:t>规格：桌面：</w:t>
            </w:r>
            <w:r>
              <w:rPr>
                <w:rFonts w:hint="eastAsia" w:ascii="仿宋" w:hAnsi="仿宋" w:eastAsia="仿宋" w:cs="仿宋"/>
                <w:i w:val="0"/>
                <w:iCs w:val="0"/>
                <w:color w:val="000000"/>
                <w:sz w:val="18"/>
                <w:szCs w:val="18"/>
                <w:highlight w:val="none"/>
                <w:u w:val="none"/>
                <w:lang w:val="en-US" w:eastAsia="zh-CN"/>
              </w:rPr>
              <w:t>≥</w:t>
            </w:r>
            <w:r>
              <w:rPr>
                <w:rFonts w:hint="eastAsia" w:ascii="仿宋" w:hAnsi="仿宋" w:eastAsia="仿宋" w:cs="仿宋"/>
                <w:i w:val="0"/>
                <w:iCs w:val="0"/>
                <w:color w:val="000000"/>
                <w:sz w:val="18"/>
                <w:szCs w:val="18"/>
                <w:highlight w:val="none"/>
                <w:u w:val="none"/>
              </w:rPr>
              <w:t>6</w:t>
            </w:r>
            <w:r>
              <w:rPr>
                <w:rFonts w:hint="eastAsia" w:ascii="仿宋" w:hAnsi="仿宋" w:eastAsia="仿宋" w:cs="仿宋"/>
                <w:i w:val="0"/>
                <w:iCs w:val="0"/>
                <w:color w:val="000000"/>
                <w:sz w:val="18"/>
                <w:szCs w:val="18"/>
                <w:highlight w:val="none"/>
                <w:u w:val="none"/>
                <w:lang w:val="en-US" w:eastAsia="zh-CN"/>
              </w:rPr>
              <w:t>0</w:t>
            </w:r>
            <w:r>
              <w:rPr>
                <w:rFonts w:hint="eastAsia" w:ascii="仿宋" w:hAnsi="仿宋" w:eastAsia="仿宋" w:cs="仿宋"/>
                <w:i w:val="0"/>
                <w:iCs w:val="0"/>
                <w:color w:val="000000"/>
                <w:sz w:val="18"/>
                <w:szCs w:val="18"/>
                <w:highlight w:val="none"/>
                <w:u w:val="none"/>
              </w:rPr>
              <w:t>0*4</w:t>
            </w:r>
            <w:r>
              <w:rPr>
                <w:rFonts w:hint="eastAsia" w:ascii="仿宋" w:hAnsi="仿宋" w:eastAsia="仿宋" w:cs="仿宋"/>
                <w:i w:val="0"/>
                <w:iCs w:val="0"/>
                <w:color w:val="000000"/>
                <w:sz w:val="18"/>
                <w:szCs w:val="18"/>
                <w:highlight w:val="none"/>
                <w:u w:val="none"/>
                <w:lang w:val="en-US" w:eastAsia="zh-CN"/>
              </w:rPr>
              <w:t>0</w:t>
            </w:r>
            <w:r>
              <w:rPr>
                <w:rFonts w:hint="eastAsia" w:ascii="仿宋" w:hAnsi="仿宋" w:eastAsia="仿宋" w:cs="仿宋"/>
                <w:i w:val="0"/>
                <w:iCs w:val="0"/>
                <w:color w:val="000000"/>
                <w:sz w:val="18"/>
                <w:szCs w:val="18"/>
                <w:highlight w:val="none"/>
                <w:u w:val="none"/>
              </w:rPr>
              <w:t>0mm</w:t>
            </w:r>
            <w:r>
              <w:rPr>
                <w:rFonts w:hint="eastAsia" w:ascii="仿宋" w:hAnsi="仿宋" w:eastAsia="仿宋" w:cs="仿宋"/>
                <w:i w:val="0"/>
                <w:iCs w:val="0"/>
                <w:color w:val="000000"/>
                <w:sz w:val="18"/>
                <w:szCs w:val="18"/>
                <w:highlight w:val="none"/>
                <w:u w:val="none"/>
                <w:lang w:eastAsia="zh-CN"/>
              </w:rPr>
              <w:t>，</w:t>
            </w:r>
            <w:r>
              <w:rPr>
                <w:rFonts w:hint="eastAsia" w:ascii="仿宋" w:hAnsi="仿宋" w:eastAsia="仿宋" w:cs="仿宋"/>
                <w:i w:val="0"/>
                <w:iCs w:val="0"/>
                <w:color w:val="000000"/>
                <w:sz w:val="18"/>
                <w:szCs w:val="18"/>
                <w:highlight w:val="none"/>
                <w:u w:val="none"/>
              </w:rPr>
              <w:t>桌面板采用18mm厚E1级中密度板；桌面板的后端（靠近学生身体），向内平凹10mm；桌面板后端左右两角部略向下倾斜，四周为圆弧设计；在课桌面板的前端有1个笔槽，笔槽规格：240*33mm，桌面板上的笔槽与注塑封边一次成型，并且成为一体；3、桌斗：材质采用环保PP塑料一次性注塑成型；桌斗左右两侧有透气孔，后侧斗壁有透气孔；桌斗前方靠人体位置为内凹弧形设计，贴合人体，并在内侧设有弧形三段式笔槽用以放置文具。4、桌架：地脚管采用30mm±1mm*60mm±1mm*1.2mm椭圆钢管，立柱采用40mm±1mm*72mm±1mm*1.2mm椭圆管，升降管采用31mm±1mm*61mm±1mm*1.2mm椭圆管，立柱连接横挡采用20mm±1mm*50mm±1mm*1.0mm椭圆钢管。5、书包挂钩：外侧设有一个书包挂钩，材质采用PP塑料一次性注塑成型6、桌面桌斗翻转结构：整体分为上方支撑架、中间塑料扳手和下方底座三个部分组成，底座扣在支撑架内；7、脚套：采用PP塑料一体注塑成型脚套；9、课桌升降结构：</w:t>
            </w:r>
            <w:r>
              <w:rPr>
                <w:rFonts w:hint="eastAsia" w:ascii="仿宋" w:hAnsi="仿宋" w:eastAsia="仿宋" w:cs="仿宋"/>
                <w:i w:val="0"/>
                <w:iCs w:val="0"/>
                <w:color w:val="000000"/>
                <w:sz w:val="18"/>
                <w:szCs w:val="18"/>
                <w:highlight w:val="none"/>
                <w:u w:val="none"/>
                <w:lang w:val="en-US" w:eastAsia="zh-CN"/>
              </w:rPr>
              <w:t>可自由</w:t>
            </w:r>
            <w:r>
              <w:rPr>
                <w:rFonts w:hint="eastAsia" w:ascii="仿宋" w:hAnsi="仿宋" w:eastAsia="仿宋" w:cs="仿宋"/>
                <w:i w:val="0"/>
                <w:iCs w:val="0"/>
                <w:color w:val="000000"/>
                <w:sz w:val="18"/>
                <w:szCs w:val="18"/>
                <w:highlight w:val="none"/>
                <w:u w:val="none"/>
              </w:rPr>
              <w:t>调节高度。二、可躺式午休椅技术参数：1、坐板：坐板整体呈内凹形，前端适当凸起后端内凹；坐板带有散热孔；坐板后方带有一个后盖；坐板及后盖采用环保PP塑料一次性注塑一体成型，不得采用分体结构以及无螺丝连接；2、靠背板：①靠背板采用环保PP塑料一次性注塑成型；靠背板整体呈曲线形，两侧向内弯曲包裹住腰部；靠背板带有散热孔。②靠背上端设有一个头枕，采用环保PP塑料一次性注塑成型；头枕可上下滑动调节；③靠背支架采用环保PP塑料一次性注塑成型。3、腿托板：采用环保PP塑料一次性注塑成型4、椅架：地脚管采用30mm±1mm*60mm±1mm*1.2mm椭圆钢管，立柱采用40mm±1mm*72mm±1mm*1.2mm椭圆管，升降管采用31mm±1mm*61mm±1mm*1.2mm椭圆管，立柱连接横档采用20mm±1mm*40mm±1mm*1.0mm椭圆钢管，靠背支架采用直径25mm±1mm*1.5mm厚圆管。5、储物篮：材质采用环保PP塑料一次性注塑成型；6、靠背板后躺结构：椅架内安装有气杆机构，靠背可在90°-165°范围内任意调节。7、脚套：采用PP塑料一体注塑成型脚套；8、课椅升降结构：</w:t>
            </w:r>
            <w:r>
              <w:rPr>
                <w:rFonts w:hint="eastAsia" w:ascii="仿宋" w:hAnsi="仿宋" w:eastAsia="仿宋" w:cs="仿宋"/>
                <w:i w:val="0"/>
                <w:iCs w:val="0"/>
                <w:color w:val="000000"/>
                <w:sz w:val="18"/>
                <w:szCs w:val="18"/>
                <w:highlight w:val="none"/>
                <w:u w:val="none"/>
                <w:lang w:val="en-US" w:eastAsia="zh-CN"/>
              </w:rPr>
              <w:t>可自由</w:t>
            </w:r>
            <w:r>
              <w:rPr>
                <w:rFonts w:hint="eastAsia" w:ascii="仿宋" w:hAnsi="仿宋" w:eastAsia="仿宋" w:cs="仿宋"/>
                <w:i w:val="0"/>
                <w:iCs w:val="0"/>
                <w:color w:val="000000"/>
                <w:sz w:val="18"/>
                <w:szCs w:val="18"/>
                <w:highlight w:val="none"/>
                <w:u w:val="none"/>
              </w:rPr>
              <w:t>调节高度</w:t>
            </w:r>
            <w:r>
              <w:rPr>
                <w:rFonts w:hint="eastAsia" w:ascii="仿宋" w:hAnsi="仿宋" w:eastAsia="仿宋" w:cs="仿宋"/>
                <w:i w:val="0"/>
                <w:iCs w:val="0"/>
                <w:color w:val="000000"/>
                <w:sz w:val="18"/>
                <w:szCs w:val="18"/>
                <w:highlight w:val="none"/>
                <w:u w:val="none"/>
                <w:lang w:eastAsia="zh-CN"/>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30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93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72</w:t>
            </w:r>
          </w:p>
        </w:tc>
      </w:tr>
      <w:tr w14:paraId="2A89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4B4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6F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机柜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DE8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1200*600*600mm材质：钢制机柜，正面钢化玻璃门，背面带散热孔。</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758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AC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3684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24A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A75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445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尺寸：1600*800*750mm1.材质：E1级三聚氰胺饰面板；2.封边：采用同色PVC封边条3.五金配件：优质五金件，三节静音导轨4.桌面有金属线盒，隐藏式走线。质量符合国家及行业标准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C3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F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r>
      <w:tr w14:paraId="3785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AC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0D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椅子</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C69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椅背：PP+玻纤背框黑色PP+软包活动腰靠,可前后上下滑动椅座：中软高弹力定型海绵，高弹力优质透气座布，座板为多层弯曲板扶手：PP+玻纤分体固定扶手底盘：中班蝴蝶底盘（长手柄）30万次倾仰测试椅脚：黑色PP脚，15万次升降测试，测试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F4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BD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r>
      <w:tr w14:paraId="5120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16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65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二门书柜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C18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尺寸：800*400*2000 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39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F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48</w:t>
            </w:r>
          </w:p>
        </w:tc>
      </w:tr>
      <w:tr w14:paraId="7D8F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FAA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DA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740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尺寸：1820*900*350mm厚度为0.8mm冷轧钢板；静电喷塑，优质锁具。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72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A0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r>
      <w:tr w14:paraId="3433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1BB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FD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592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尺寸：800*400*800mm1.材质：E1级三聚氰胺饰面板；2.封边：采用同色PVC封边条3.五金配件：优质五金件，三节静音导轨质量符合国家及行业标准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68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548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r>
      <w:tr w14:paraId="69A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6F9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D4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班台</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CD3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尺寸：2200*1800*750mm1.材质：E1级三聚氰胺饰面板；2.封边：采用同色PVC封边条3.五金配件：优质五金件，三节静音导轨质量符合国家及行业标准4.桌面含有可翻式金属走线盒，隐藏式走线系统，带长副柜。</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B8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0D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7C55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D18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04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班椅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FDD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面料：环保超纤皮，厚度1.5mm。2、海绵：坐垫使用环保高密度聚氨酯高弹海绵，达到国家阻燃标准；3、曲木板：12mm座板；4、气杆：升降顺滑、平稳，无漏气，升降时无声响，升降行程60-120mm；5、五星脚：尼龙五星脚；6、椅轮：尼龙PA轮；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E4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D7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37D3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762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5FE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班前椅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FD6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1、面料：优质西皮；2、基材：优质硬木木方及多层夹板,经防虫、防腐等化学处理；3、辅料：采用PU成型发泡高密度海绵,表面有一层保护面,可防氧化,防碎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CC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51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3B5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64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3F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三门书柜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626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尺寸：1200*400*2000mm1.材质：E1级三聚氰胺饰面板；2.封边：采用同色PVC封边条3.五金配件：优质五金件质量符合国家及行业标准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CA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D4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69D1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42B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36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沙发</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72D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1+1+3组合1、面料：优质西皮；2、基材：优质硬木木方及多层夹板,经防虫、防腐等化学处理；3、辅料：采用PU成型发泡高密度海绵,表面有一层保护面,可防氧化,防碎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1A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DB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5A46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54A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57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C32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尺寸：1200*600*450mm1.材质：E1级三聚氰胺饰面板；2.封边：采用同色PVC封边条3.五金配件：优质五金件质量符合国家及行业标准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AB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BD3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623F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06A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65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2EB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智能背板，下置水桶，全自动控温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0A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1F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583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69F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96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C26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尺寸：1180*400*850mm1.材质：E1级三聚氰胺饰面板；2.封边：采用同色PVC封边条3.五金配件：优质五金件质量符合国家及行业标准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2A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29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3E10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487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CA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班台</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736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1800*1600*750mm1.材质：E1级三聚氰胺饰面板；2.封边：采用同色PVC封边条3.五金配件：优质五金件，优质锁具，三节静音导轨4.脚架：钢制下架,表面静电喷塑；5.桌面含有可翻式金属走线盒，隐藏式走线系统，带长副柜。三抽屉立板侧边采用Z字薄边处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78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6B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21E3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3BB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D8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中班椅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CF1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优质西皮饰面高弹力海绵底盘可进行4档倾仰任意锁定                    三级100拉深4公分电镀杆铝合金脚PU静音脚轮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50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5F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53F5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73C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A4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三门书柜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265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尺寸：1200*400*2000mm1.材质：E1级三聚氰胺饰面板；2.封边：采用同色PVC封边条3.五金配件：优质五金件质量符合国家及行业标准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5D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FB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74F6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1DF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75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文件柜铁皮</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11F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规格：1850*900*400mm1、四门文件柜，上部为玻璃门下部为钢制门。2、优质冷轧钢板，厚度 0.8mm。3、表面静电粉末喷塑。优质锁具。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B0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64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r>
      <w:tr w14:paraId="0DB9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55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56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三人沙发</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56D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1、面料：优质西皮；2、基材：优质硬木木方及多层夹板,经防虫、防腐等化学处理；3、辅料：采用PU成型发泡高密度海绵,表面有一层保护面,可防氧化,防碎。</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85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72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5F0E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918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81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6CD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尺寸：1200*600*450mm1.材质：E1级三聚氰胺饰面板；2.封边：采用同色PVC封边条3.五金配件：优质五金件4.脚架：钢制下架,表面静电喷塑；质量符合国家及行业标准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E2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55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148F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169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F0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042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智能背板，下置水桶，全自动控温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67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04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41B3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79F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64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272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尺寸：800*400*800mm1.材质：E1级三聚氰胺饰面板；2.封边：采用同色PVC封边条3.五金配件：优质五金件质量符合国家及行业标准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7D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DCA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21DD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A70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33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财务桌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A2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规格：桌面1500*1400*760mm，加侧柜1400*400*1200mm1.材质：E1级三聚氰胺饰面板；2.封边：采用同色PVC封边条3.五金配件：优质五金件质量符合国家及行业标准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9A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27C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3655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CCC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6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网面转椅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DFF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62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5A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4497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322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753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凭证柜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881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规格：850*390*1850mm,0.8mm冷轧钢板；表面静电喷塑。</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52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9C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0D57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7F5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FA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758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智能背板，下置水桶，全自动控温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7FA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31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24F1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BF2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F29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39C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尺寸：1820*900*350mm，0.8mm冷轧钢板；表面静电喷塑</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2A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F3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1D2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C13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4F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教师工位</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FA8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规格：1500*1400*1100mm1.基材：E1级实木多层板，三聚氰胺饰面。2.优质五金件，优质PVC同色封边。3.带边桌组合成L型，含抽屉、柜子。4.配活动柜、键盘、主机托。具体款式以使用方确认为准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98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6E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210</w:t>
            </w:r>
          </w:p>
        </w:tc>
      </w:tr>
      <w:tr w14:paraId="3EBB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0EC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36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网面转椅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D35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B8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3E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210</w:t>
            </w:r>
          </w:p>
        </w:tc>
      </w:tr>
      <w:tr w14:paraId="6564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F8C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40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衣柜2门木质</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037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规格：800*400*2000mm1.材质：E1级三聚氰胺饰面板；2.封边：采用同色PVC封边条3.五金配件：优质五金件质量符合国家及行业标准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3B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BE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105</w:t>
            </w:r>
          </w:p>
        </w:tc>
      </w:tr>
      <w:tr w14:paraId="2AEF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370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83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E2C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智能背板，下置水桶，全自动控温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F7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32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r w14:paraId="5142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C40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CA6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F47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规格：800W*400D*800H1.材质：E1级三聚氰胺饰面板；2.封边：采用同色PVC封边条3.五金配件：优质五金件质量符合国家及行业标准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4C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36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r w14:paraId="66EC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B67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20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文件柜铁皮</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FDF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规格：1850*900*400mm1、四门文件柜，上部为玻璃门下部为钢制门。2、优质冷轧钢板，厚度 0.8mm3、表面静电粉末喷涂。优质锁具。</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AC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7A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r>
      <w:tr w14:paraId="73F8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2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7F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三门书柜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12D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尺寸：1200*400*2000mm1.材质：E1级三聚氰胺饰面板；2.封边：采用同色PVC封边条3.五金配件：优质五金件质量符合国家及行业标准。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1B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CD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r>
      <w:tr w14:paraId="7C9F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05F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28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三人沙发</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78A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1、面料：优质西皮；2、基材：优质硬木木方及多层夹板,经防虫、防腐等化学处理；3、辅料：采用PU成型发泡高密度海绵,表面有一层保护面,可防氧化,防碎。</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FE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17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r>
      <w:tr w14:paraId="7AA3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511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E0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F49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尺寸：1200*600*450mm1.材质：E1级三聚氰胺饰面板；2.封边：采用同色PVC封边条3.五金配件：优质五金件4.脚架：钢制下架,表面静电喷塑；质量符合国家及行业标准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CF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AD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r>
      <w:tr w14:paraId="65E5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6F4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4E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C69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智能背板，下置水桶，全自动控温</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DFD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7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r>
      <w:tr w14:paraId="38EE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AAC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B0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ADC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尺寸：800*400*800mm1.材质：E1级三聚氰胺饰面板；2.封边：采用同色PVC封边条3.五金配件：优质五金件质量符合国家及行业标准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BF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1C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r>
      <w:tr w14:paraId="7DBA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951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13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045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现代简约式办公桌：1600*700*740mm金属与板木结合。现代简约式办公椅：背高 48cm，座宽57cm，总高87cm。尼龙扶手，电镀半架支脚架，优质环保网布。</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82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0DE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2C07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89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1D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5D5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1、优质冷轧钢板。厚度0.8mm；2、锁具：优质锁具。3、钢制扣手4、喷涂：静电粉末喷涂5、柜子分上下两层，上层柜门为中间玻璃，周围钢制，下层为钢制柜门6、尺寸：1850*900*400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49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47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90</w:t>
            </w:r>
          </w:p>
        </w:tc>
      </w:tr>
      <w:tr w14:paraId="5DB0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891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23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沙发</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915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尺寸：950*850*900mm1、饰面：优质麻绒。2、海绵：优质高密度定型海绵，密度为30KG/M3，实木框架。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5C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BC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r>
      <w:tr w14:paraId="19D0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4CA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3F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960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尺寸：450*650mm1、基材：E1 级环保纤维板材；2、饰面：表面≥0.5mm 厚木皮饰面；3、油漆：环保油漆；4、五金配件：优质五金件；质量符合国家及行业标准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1EF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86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r>
      <w:tr w14:paraId="3F08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1E6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06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66A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尺寸：1200*400*900mm1、基材：E1 级环保纤维板材；2、饰面：表面≥0.5mm 厚木皮饰面；3、油漆：环保油漆；4、五金配件：优质五金件；5、封边：采用实木封边，双面贴木皮。质量符合国家及行业标准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37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0D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62C9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404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FF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4A5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现代简约式办公桌：1400*600*750mm金属与板木结合。现代简约式办公椅：背高 48cm，座宽57cm，总高87cm。尼龙扶手，电镀半架支脚架，优质环保网布。</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45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F0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784A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EC0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86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397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1、优质冷轧钢板。厚度0.8mm；2、锁具：优质锁具。3、钢制扣手4、喷涂：静电粉末喷涂5、柜子分上下两层，上层柜门为中间玻璃，周围钢制，下层为钢制柜门6、尺寸：1850*900*400</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7E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4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1FB9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F45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13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主席台会议桌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46FA">
            <w:pPr>
              <w:keepNext w:val="0"/>
              <w:keepLines w:val="0"/>
              <w:widowControl/>
              <w:suppressLineNumbers w:val="0"/>
              <w:jc w:val="both"/>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规格：1400*600*760mm</w:t>
            </w:r>
          </w:p>
          <w:p w14:paraId="045C121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1、基材：E1 级环保纤维板材；2、饰面：表面≥0.5mm 厚木皮饰面；3、油漆：环保油漆；4、五金配件：优质五金件；5、挡板落地，桌面有挡条，台面安装线盒孔，侧面两桌间预留线盒孔。6、实木封边质量符合国家及行业标准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BA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D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2ED7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DA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2E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会议座椅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81D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全实木架，内板采用多层实木板，采用优质环保皮，海绵：高密度成型PU，椅背和椅座之间无缝隙。质量符合国家及行业标准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92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FB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r w14:paraId="6005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322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D0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条桌</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B25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规格：1200*400*750mm1、基材：E1 级环保纤维板材；2、饰面：表面≥0.5mm 厚木皮饰面；3、油漆：环保油漆；4、五金配件：优质五金件；5、封边：采用实木封边，双面贴木皮。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E55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65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r w14:paraId="325D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77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86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演讲报告台</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EBA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规格：700*500*1150mm1、基材：E1 级环保纤维板材；2、饰面：表面≥0.5mm 厚木皮饰面；3、油漆：环保油漆；4、五金配件：优质五金件；5、封边：采用实木封边，双面贴木皮。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EB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C7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79D8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6A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46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23F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sz w:val="18"/>
                <w:szCs w:val="18"/>
                <w:highlight w:val="none"/>
                <w:u w:val="none"/>
              </w:rPr>
              <w:t>规格：桌面：</w:t>
            </w:r>
            <w:r>
              <w:rPr>
                <w:rFonts w:hint="eastAsia" w:ascii="仿宋" w:hAnsi="仿宋" w:eastAsia="仿宋" w:cs="仿宋"/>
                <w:i w:val="0"/>
                <w:iCs w:val="0"/>
                <w:color w:val="000000"/>
                <w:sz w:val="18"/>
                <w:szCs w:val="18"/>
                <w:highlight w:val="none"/>
                <w:u w:val="none"/>
                <w:lang w:val="en-US" w:eastAsia="zh-CN"/>
              </w:rPr>
              <w:t>≥</w:t>
            </w:r>
            <w:r>
              <w:rPr>
                <w:rFonts w:hint="eastAsia" w:ascii="仿宋" w:hAnsi="仿宋" w:eastAsia="仿宋" w:cs="仿宋"/>
                <w:i w:val="0"/>
                <w:iCs w:val="0"/>
                <w:color w:val="000000"/>
                <w:sz w:val="18"/>
                <w:szCs w:val="18"/>
                <w:highlight w:val="none"/>
                <w:u w:val="none"/>
              </w:rPr>
              <w:t>6</w:t>
            </w:r>
            <w:r>
              <w:rPr>
                <w:rFonts w:hint="eastAsia" w:ascii="仿宋" w:hAnsi="仿宋" w:eastAsia="仿宋" w:cs="仿宋"/>
                <w:i w:val="0"/>
                <w:iCs w:val="0"/>
                <w:color w:val="000000"/>
                <w:sz w:val="18"/>
                <w:szCs w:val="18"/>
                <w:highlight w:val="none"/>
                <w:u w:val="none"/>
                <w:lang w:val="en-US" w:eastAsia="zh-CN"/>
              </w:rPr>
              <w:t>0</w:t>
            </w:r>
            <w:r>
              <w:rPr>
                <w:rFonts w:hint="eastAsia" w:ascii="仿宋" w:hAnsi="仿宋" w:eastAsia="仿宋" w:cs="仿宋"/>
                <w:i w:val="0"/>
                <w:iCs w:val="0"/>
                <w:color w:val="000000"/>
                <w:sz w:val="18"/>
                <w:szCs w:val="18"/>
                <w:highlight w:val="none"/>
                <w:u w:val="none"/>
              </w:rPr>
              <w:t>0*4</w:t>
            </w:r>
            <w:r>
              <w:rPr>
                <w:rFonts w:hint="eastAsia" w:ascii="仿宋" w:hAnsi="仿宋" w:eastAsia="仿宋" w:cs="仿宋"/>
                <w:i w:val="0"/>
                <w:iCs w:val="0"/>
                <w:color w:val="000000"/>
                <w:sz w:val="18"/>
                <w:szCs w:val="18"/>
                <w:highlight w:val="none"/>
                <w:u w:val="none"/>
                <w:lang w:val="en-US" w:eastAsia="zh-CN"/>
              </w:rPr>
              <w:t>0</w:t>
            </w:r>
            <w:r>
              <w:rPr>
                <w:rFonts w:hint="eastAsia" w:ascii="仿宋" w:hAnsi="仿宋" w:eastAsia="仿宋" w:cs="仿宋"/>
                <w:i w:val="0"/>
                <w:iCs w:val="0"/>
                <w:color w:val="000000"/>
                <w:sz w:val="18"/>
                <w:szCs w:val="18"/>
                <w:highlight w:val="none"/>
                <w:u w:val="none"/>
              </w:rPr>
              <w:t>0mm</w:t>
            </w:r>
            <w:r>
              <w:rPr>
                <w:rFonts w:hint="eastAsia" w:ascii="仿宋" w:hAnsi="仿宋" w:eastAsia="仿宋" w:cs="仿宋"/>
                <w:i w:val="0"/>
                <w:iCs w:val="0"/>
                <w:color w:val="000000"/>
                <w:sz w:val="18"/>
                <w:szCs w:val="18"/>
                <w:highlight w:val="none"/>
                <w:u w:val="none"/>
                <w:lang w:eastAsia="zh-CN"/>
              </w:rPr>
              <w:t>，</w:t>
            </w:r>
            <w:r>
              <w:rPr>
                <w:rFonts w:hint="eastAsia" w:ascii="仿宋" w:hAnsi="仿宋" w:eastAsia="仿宋" w:cs="仿宋"/>
                <w:i w:val="0"/>
                <w:iCs w:val="0"/>
                <w:color w:val="000000"/>
                <w:sz w:val="18"/>
                <w:szCs w:val="18"/>
                <w:highlight w:val="none"/>
                <w:u w:val="none"/>
              </w:rPr>
              <w:t>桌面板采用18mm厚E1级中密度板；桌面板的后端（靠近学生身体），向内平凹10mm；桌面板后端左右两角部略向下倾斜，四周为圆弧设计；在课桌面板的前端有1个笔槽，笔槽规格：240*33mm，桌面板上的笔槽与注塑封边一次成型，并且成为一体；3、桌斗：材质采用环保PP塑料一次性注塑成型；桌斗左右两侧有透气孔，后侧斗壁有透气孔；桌斗前方靠人体位置为内凹弧形设计，贴合人体，并在内侧设有弧形三段式笔槽用以放置文具。4、桌架：地脚管采用30mm±1mm*60mm±1mm*1.2mm椭圆钢管，立柱采用40mm±1mm*72mm±1mm*1.2mm椭圆管，升降管采用31mm±1mm*61mm±1mm*1.2mm椭圆管，立柱连接横挡采用20mm±1mm*50mm±1mm*1.0mm椭圆钢管。5、书包挂钩：外侧设有一个书包挂钩，材质采用PP塑料一次性注塑成型6、桌面桌斗翻转结构：整体分为上方支撑架、中间塑料扳手和下方底座三个部分组成，底座扣在支撑架内；7、脚套：采用PP塑料一体注塑成型脚套；9、课桌升降结构：</w:t>
            </w:r>
            <w:r>
              <w:rPr>
                <w:rFonts w:hint="eastAsia" w:ascii="仿宋" w:hAnsi="仿宋" w:eastAsia="仿宋" w:cs="仿宋"/>
                <w:i w:val="0"/>
                <w:iCs w:val="0"/>
                <w:color w:val="000000"/>
                <w:sz w:val="18"/>
                <w:szCs w:val="18"/>
                <w:highlight w:val="none"/>
                <w:u w:val="none"/>
                <w:lang w:val="en-US" w:eastAsia="zh-CN"/>
              </w:rPr>
              <w:t>可自由</w:t>
            </w:r>
            <w:r>
              <w:rPr>
                <w:rFonts w:hint="eastAsia" w:ascii="仿宋" w:hAnsi="仿宋" w:eastAsia="仿宋" w:cs="仿宋"/>
                <w:i w:val="0"/>
                <w:iCs w:val="0"/>
                <w:color w:val="000000"/>
                <w:sz w:val="18"/>
                <w:szCs w:val="18"/>
                <w:highlight w:val="none"/>
                <w:u w:val="none"/>
              </w:rPr>
              <w:t>调节高度。二、可躺式午休椅技术参数：1、坐板：坐板整体呈内凹形，前端适当凸起后端内凹；坐板带有散热孔；坐板后方带有一个后盖；坐板及后盖采用环保PP塑料一次性注塑一体成型，不得采用分体结构以及无螺丝连接；2、靠背板：①靠背板采用环保PP塑料一次性注塑成型；靠背板整体呈曲线形，两侧向内弯曲包裹住腰部；靠背板带有散热孔。②靠背上端设有一个头枕，采用环保PP塑料一次性注塑成型；头枕可上下滑动调节；③靠背支架采用环保PP塑料一次性注塑成型。3、腿托板：采用环保PP塑料一次性注塑成型4、椅架：地脚管采用30mm±1mm*60mm±1mm*1.2mm椭圆钢管，立柱采用40mm±1mm*72mm±1mm*1.2mm椭圆管，升降管采用31mm±1mm*61mm±1mm*1.2mm椭圆管，立柱连接横档采用20mm±1mm*40mm±1mm*1.0mm椭圆钢管，靠背支架采用直径25mm±1mm*1.5mm厚圆管。5、储物篮：材质采用环保PP塑料一次性注塑成型；6、靠背板后躺结构：椅架内安装有气杆机构，靠背可在90°-165°范围内任意调节。7、脚套：采用PP塑料一体注塑成型脚套；8、课椅升降结构：</w:t>
            </w:r>
            <w:r>
              <w:rPr>
                <w:rFonts w:hint="eastAsia" w:ascii="仿宋" w:hAnsi="仿宋" w:eastAsia="仿宋" w:cs="仿宋"/>
                <w:i w:val="0"/>
                <w:iCs w:val="0"/>
                <w:color w:val="000000"/>
                <w:sz w:val="18"/>
                <w:szCs w:val="18"/>
                <w:highlight w:val="none"/>
                <w:u w:val="none"/>
                <w:lang w:val="en-US" w:eastAsia="zh-CN"/>
              </w:rPr>
              <w:t>可自由</w:t>
            </w:r>
            <w:r>
              <w:rPr>
                <w:rFonts w:hint="eastAsia" w:ascii="仿宋" w:hAnsi="仿宋" w:eastAsia="仿宋" w:cs="仿宋"/>
                <w:i w:val="0"/>
                <w:iCs w:val="0"/>
                <w:color w:val="000000"/>
                <w:sz w:val="18"/>
                <w:szCs w:val="18"/>
                <w:highlight w:val="none"/>
                <w:u w:val="none"/>
              </w:rPr>
              <w:t>调节高度</w:t>
            </w:r>
            <w:r>
              <w:rPr>
                <w:rFonts w:hint="eastAsia" w:ascii="仿宋" w:hAnsi="仿宋" w:eastAsia="仿宋" w:cs="仿宋"/>
                <w:i w:val="0"/>
                <w:iCs w:val="0"/>
                <w:color w:val="000000"/>
                <w:sz w:val="18"/>
                <w:szCs w:val="18"/>
                <w:highlight w:val="none"/>
                <w:u w:val="none"/>
                <w:lang w:eastAsia="zh-CN"/>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DB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9E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3000</w:t>
            </w:r>
          </w:p>
        </w:tc>
      </w:tr>
      <w:tr w14:paraId="2A93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EC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63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546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sz w:val="18"/>
                <w:szCs w:val="18"/>
                <w:highlight w:val="none"/>
                <w:u w:val="none"/>
                <w:lang w:val="en-US" w:eastAsia="zh-CN"/>
              </w:rPr>
              <w:t>1、规格： 高310*宽385*深500 2、材质：书包柜门板由ABS塑料制成，柜体采用高强度工程塑料制成，柜门与柜体连接采用耐磨尼龙铰链，精确尺寸根据现场实测调整。颜色提供样板，使用方确认为准。3、组合3层17列：高990*宽6545*深500±2mm。4.1 门板内侧加装多功能置物盒。 4.2 柜门带有工程塑料材质的号牌。 4.3 柜门与柜体采用尼龙塑料铰链连接。</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846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浐灞国际港第一学校（暂定名）</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6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3000</w:t>
            </w:r>
          </w:p>
        </w:tc>
      </w:tr>
    </w:tbl>
    <w:p w14:paraId="5622FE75">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p>
    <w:p w14:paraId="4361281E">
      <w:pPr>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br w:type="page"/>
      </w:r>
    </w:p>
    <w:p w14:paraId="0E35757A">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r>
        <w:rPr>
          <w:rFonts w:hint="eastAsia" w:ascii="仿宋" w:hAnsi="仿宋" w:eastAsia="仿宋" w:cs="仿宋"/>
          <w:b/>
          <w:bCs/>
          <w:i w:val="0"/>
          <w:iCs w:val="0"/>
          <w:caps w:val="0"/>
          <w:color w:val="auto"/>
          <w:spacing w:val="0"/>
          <w:sz w:val="24"/>
          <w:szCs w:val="24"/>
          <w:highlight w:val="none"/>
          <w:shd w:val="clear" w:fill="FFFFFF"/>
          <w:lang w:eastAsia="zh-CN"/>
        </w:rPr>
        <w:t>西安浐灞国际港教育局2025年全区学校教育教学设施设备采购项目第二批（家具类）</w:t>
      </w:r>
      <w:r>
        <w:rPr>
          <w:rFonts w:hint="eastAsia" w:ascii="仿宋" w:hAnsi="仿宋" w:eastAsia="仿宋" w:cs="仿宋"/>
          <w:b/>
          <w:bCs/>
          <w:i w:val="0"/>
          <w:iCs w:val="0"/>
          <w:caps w:val="0"/>
          <w:color w:val="auto"/>
          <w:spacing w:val="0"/>
          <w:sz w:val="24"/>
          <w:szCs w:val="24"/>
          <w:highlight w:val="none"/>
          <w:shd w:val="clear" w:fill="FFFFFF"/>
          <w:lang w:val="en-US" w:eastAsia="zh-CN"/>
        </w:rPr>
        <w:t>第2包</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408"/>
        <w:gridCol w:w="9809"/>
        <w:gridCol w:w="1938"/>
        <w:gridCol w:w="905"/>
      </w:tblGrid>
      <w:tr w14:paraId="75C2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F4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4E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货物名称</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A9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FD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学校名称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1D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r>
      <w:tr w14:paraId="296C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77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EA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B59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桌子：1200*600*750mm、桌上屏：1000*300mm侧柜：1400*300*1200mm材质：采用E0级三聚氰胺饰面板，同色PVC封边颜色与款式以使用方确认为准。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1D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浐灞第一小学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C3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r w14:paraId="428C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E3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88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957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黑色网布饰面。海绵：采用PU成型45#高密度海绵，尼龙玻纤头枕/尼龙玻纤椅背，带脚踏（后仰角度≥155°），三级气压棒。尼龙五星脚架。配PU静音轮。质量符合国家及行业标准。颜色与款式以使用方确认为准。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EE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浐灞第一小学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A0A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r w14:paraId="654B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BA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B9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四门文件柜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DB6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尺寸：850*390*1800mm；材质：采用0.8mm厚冷轧钢板，颜色：浅灰；双开门；四隔板。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86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浐灞第一小学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8B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r>
      <w:tr w14:paraId="6CDD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C0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1A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ABC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1200*400*740mm1、桌面：桌面选用18mm厚灰白色多层板，3MM厚聚丙乙烯注塑封边处理，带2个笔槽。2、桌斗：1050*370*170mm，桌斗采用钢制；3、桌斗侧板≥0.8冷轧钢板；桌斗内切，4、桌腿、下脚及拉筋采用30*40*1.2mm钢管。桌两侧各带1个挂钩。  凳箱：1120*350*400，采用16MM厚优质环保三聚氰胺板，1.0MM厚PVC封边。带合页，可打开放物品。前挡板降低30MM，以防夹手。中间带1块立板，两侧带拉手，2个侧板及中立板包5MM厚毛毡，减噪。课桌及凳箱见样品,(含毛毡及安装)，其中10个带靠背</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15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2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80</w:t>
            </w:r>
          </w:p>
        </w:tc>
      </w:tr>
      <w:tr w14:paraId="1BA0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1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69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9E8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390*400*500mm（±20）（单门）白色、黄色、灰色组合，跳色摆放。材质：书包柜门板由ABS塑料制成，柜体采用高强度工程塑料制成，柜门与柜体连接采用耐磨尼龙铰链，精确尺寸根据现场实测调整。颜色提供样板，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06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C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75</w:t>
            </w:r>
          </w:p>
        </w:tc>
      </w:tr>
      <w:tr w14:paraId="4EE0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F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8F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办公桌含午休椅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D5E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1400*700*750mm，E0级三聚氰胺板，颜色与款式以使用方确认为准午休椅：面料：高筋网布。透气性强,海绵：采用PU成型45#高密度海绵。气压杆：可升降；脚架：尼龙五星脚架。可躺平休息。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9C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FF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r>
      <w:tr w14:paraId="0EF9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DB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83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B96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1200*600mm、桌上屏：1000*300侧边柜子：1400*300*1200mm采用E0级三聚氰胺板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698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浐灞第三小学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6A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r>
      <w:tr w14:paraId="3B14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9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57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CDC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5F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浐灞第三小学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3C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r>
      <w:tr w14:paraId="6CC7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4C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18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教室双人课桌凳</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143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1200*400*740。（±20）桌面：桌面选用≥18mm厚灰白色多层板，≥3mm厚聚丙乙烯注塑封边处理，带2个笔槽。2、桌斗：1050*370*170mm，（±20）桌斗采用钢制；3、桌斗侧板≥0.8冷轧钢板；4、桌腿、下脚及拉筋采用≥30*40*1.2mm钢管。桌两侧各带1个挂钩。凳箱:1120*350*400（±20）， 采用≥16mm厚灰白色优质环保三聚氰胺板，≥1.5mm厚PVC封边。带合页，可打开放物品。前挡板降低30mm，以防夹手。中间带1块立板。精确尺寸及桌面颜色以使用方确认为准。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C6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浐灞第三小学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1C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214</w:t>
            </w:r>
          </w:p>
        </w:tc>
      </w:tr>
      <w:tr w14:paraId="1B1E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95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DE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D5A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1.规格:高310*宽385*深4001.1单门 高310*宽385*深400(士2mm)1.2底座60mm士2mm。1.3组合3层拓列:高990*宽6545*深400±2mm。2.材质工艺;采用钢制模具注塑一次成型。3.其他3.1门板内侧加装多功能置物盒。3.2柜门带有工程塑料材质的号码牌。3.3柜门与柜体采用尼龙塑料铰链连接。3.4每门加装拉手</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C2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浐灞第三小学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2A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624</w:t>
            </w:r>
          </w:p>
        </w:tc>
      </w:tr>
      <w:tr w14:paraId="3DD6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455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80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教师工位</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49C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1400*1400*1200(mm)1.基材:采用E0级刨花板2.面材:防火板3.封边:同色PVC封边颜色与款式以使用方确认为准带一个上抽屉下柜门固定柜，一个主机车、一个键盘架。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D0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12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3D23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A9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DC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家具-座椅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112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材质：选用优质PU扶手，普通底盘，优质网布，经液态浸色及防潮、防污等工艺处理，45#发泡高密度海绵；采用优质气压棒；尼龙五星脚架。颜色：全黑色</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E7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4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481F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FE5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34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C5A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桌椅（可午休式）1.桌面：采用厚度18mm中纤板，一次注塑封边，规格：650mm*450mm。桌面前端带有笔槽，笔槽内径长238mm，宽35mm；直角直边设计。2.桌斗：采用冷轧钢板一次冲压成型，书斗内径规格：宽450mm*深300mm，高140mm；3.桌架：桌脚底部弯管钢管尺寸(mm)30×60×1.3，内管(mm)25×50×1.3桌脚连接管尺寸为:25*50*1.3mm椭圆管。4.椅子背板，座板，托脚板：采用全新环保PP原料，一次注塑成型,椅背板规格：高417*宽373mm，靠背上方带有头枕，规格300*170mm；椅座板规格：宽415mm*深445mm,脚托塑料板规格：78*65*45mm；内嵌直径16mm圆管。5.椅架：采用优质冷轧钢管上下套管结构，脚架采用直径30*60椭管，壁厚1.2mm；椅立柱管采用30*60椭圆管，厚度1.2mm；升降管采用25*50椭圆管，厚度1.2mm；椅子坐板支撑管(mm)20×39×1.2 扁管，椅子坐板支连接撑管(mm)15*30×1.2 方管，椅靠背管采用椅子坐板支撑管(mm)20×39×1.2扁管。6.钢制部分表面静电粉末喷涂。7.功能：桌子和椅子转换午休模式时，不需要调节桌椅高度；一键式操控椅子放倒，即可直接转换午休模式。</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9E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86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1100</w:t>
            </w:r>
          </w:p>
        </w:tc>
      </w:tr>
      <w:tr w14:paraId="1A44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0B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50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7F5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382*310*500，柜体学生储物柜，采用ABS全新工程塑料制成，强度高，韧性好.耐冲击，环保耐用。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C7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62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450</w:t>
            </w:r>
          </w:p>
        </w:tc>
      </w:tr>
      <w:tr w14:paraId="7028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6A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DFF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8C8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定制原木·实木颗粒板柜子，1100*240*1350mm。(书柜两边飞檐为100mm,后背板为150mm,颜色为橡木色)</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D0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浐灞实验小学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03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6260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4B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85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FF5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办公桌:1200*600mm，桌面高度750mm侧边柜1500*300mm屏风高度1200mm材质:铝合金加实木颗粒板。颜色与款式以使用方确认为准。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7F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浐灞实验小学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40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r>
      <w:tr w14:paraId="0299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15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AF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5EF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办公椅：联体头枕加黑色尼龙加纤背架配300mm推背伸缩线控气杆:高密度海绵:联动可拉伸尼龙扶手;方形底盘配总长 195 mm行程100升降气杆;可拉伸265mm行程脚托配可180度旋转脚踏:340mm 黑色铝合金五星脚，中55mm黑色耐磨尼龙轮,倾仰最大角度165°，颜色:全黑。</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55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浐灞实验小学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60F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r>
      <w:tr w14:paraId="19DE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8D2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7F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铁皮柜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572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尺寸：1800*850*390mm冷轧钢板，厚≥0.8mm，静电粉末喷塑。颜色与款式以使用方确认为准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D6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浐灞实验小学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3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r>
      <w:tr w14:paraId="23DF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26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5C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条桌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A9A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尺寸1200*400*760,材质：基材E1级中密度纤维板，贴实木木皮，环保油漆，黑胡桃色（颜色可根据现场实际情况调整）</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CE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浐灞实验小学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38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3070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A0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3B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讲桌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C27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外形尺寸：总体尺寸≥800*560*880mm。2.讲台桌面采用平面设计，可以放置不同型号笔记本电脑，桌面四周半包围结构，有效防止物品滑落；3.讲台前面设置隐藏式抽拉储物盒，可放置笔记本电脑、键盘鼠标、板擦、粉笔等教学用具；4.扶手采用高档木质材料，颜色为木纹色，讲台下体桔纹色和银灰搭配，整个讲台三种颜色结合，美观大方；5.整体冲压成型，整体结构紧凑，空间设计合理；6.讲台下体左右侧门均可打开，下体可作为储物柜使用；7.采用两面进线结构，所有布线孔均采用绝缘品装置隔离电源线，安全可靠；8.全部的加工件均采用模具成型</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06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8F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r>
      <w:tr w14:paraId="14E9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7F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A0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D74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黑色网布饰面。海绵：采用PU成型45#高密度海绵，尼龙玻纤头枕/尼龙玻纤椅背，带脚踏（后仰角度≥155°），三级气压棒。尼龙五星脚架。配PU静音轮。质量符合国家及行业标准，颜色与款式以使用方确认为准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D9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91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r>
      <w:tr w14:paraId="68BA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D9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E8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3AE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暖白色桌子：1200*600mm、 桌上屏：1000*300mm侧边柜子：1400*300*1200mm采用E0级三聚氰胺板、优质五金挡板暖白色、固定柜柜背暖白色、台面及柜体颜色：左右各16套、侧边柜子：背板暖白色</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5B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8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r>
      <w:tr w14:paraId="15F0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F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DF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储物柜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B7F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单门尺寸310*382*500mm；（±20）结构说明：56门书包柜,4层，每层14门，柜门统一做圆弧角处理。材质：书包柜门板由ABS塑料制成，柜体采用高强度工程塑料制成，柜门与柜体连接采用耐磨尼龙铰链，精确尺寸根据现场实测调整。颜色提供样板，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0C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D1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400</w:t>
            </w:r>
          </w:p>
        </w:tc>
      </w:tr>
      <w:tr w14:paraId="4D8C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9F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4F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FDF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桌子规格：1200*400（450）*650-760mm （高度可调节）。椅子规格：1200*300*350-450mm （高度可调节，带靠背）1.课桌椅结构采用钢制升降结构，固定高度，符合国家现行标准。课桌椅结构采用钢木结构，具有升降功能，为穿孔式四脚固定高度，钢管壁厚1.2mm,钢架为静电喷塑,桌架主管采用60x30x1.2mm优质高频椭圆管，升降套管材均采用50x20x1.2mm 优质高频椭圆管，横支撑采用50x20x1.2mm优质椭圆管，高度可调，外管60*30，内管 50*20,加长内滑套。桌面支撑采用30x30x1.2mm优质方管；桌兜为钢斗（980*320*150mm）, 采用0.8mm厚度以上冷轧钢板一体冲压成型。课椅要求带靠背，主管采用60x30x1.2mm 优质高频椭圆管，升降套管材均采用50x20x1.2mm优质高频椭圆管，横支撑采用 50x20x1.2mm优质椭圆管，以上的管材均采用优质高频焊管。钢制框架凡有螺栓结构处，必须加装防退安全螺母。2.桌面及靠背板材质采用优质模压板材料，椅面采用圆边防火板材料，厚度18mm.具有防酸，防碱，防腐，耐磨的特点。采用拉铆钉连接，颜色为榉木色。双人课椅椅背采用独立设计，有一定曲线，符合人体工程学。3.桌腿、椅腿与地面接触部分需采用原生橡胶包裹，耐磨减少噪声。4.双人桌两边加挂钩，挂钩采用钢制结构，螺栓连接，表面圆滑，不得有直角，挂钩不得超出桌面边缘。精确尺寸及桌面颜色以使用方确认为准。</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04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0E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240</w:t>
            </w:r>
          </w:p>
        </w:tc>
      </w:tr>
      <w:tr w14:paraId="04CB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B3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D7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电动折叠伸缩椅及伸缩看台</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AB9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座椅：</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1、伸缩看台手动折叠座椅。</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2、软包扶手，扶手随座椅自动折叠。扶手支撑部分为ABS塑料，扶手与人体接触部分采用海绵包布工艺。</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3、椅座为加厚中空吹塑。</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4、座椅面料颜色、品种可根据使用方选择，并做阻燃处理。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5、座椅靠背可折叠，由手动控制座椅的折叠翻起。</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座椅间距:500mm看台层宽:850mm看台层高:300mm(首层高310mm)，具体尺寸以现场实测为准。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伸缩看台：</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6、座椅使用环保喷胶，看台在满足承载座椅本身重量外，还满足承受下述载荷：每平方米动载荷为450kg：每米长可承受左右摆动负载36kg。</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7、护栏设计满足承受水平力如下：顶端满足承受每米65kg,护栏中间满足承受每米135kg。</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8、看台两边及前沿有安全的护栏，表面喷塑。看台前沿外表用铝合金包边，看台踏步材质为12mm以上多层实木板组装而成，做防滑处理。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9、脚轮：（1）采用宽幅PU轮，内层采用滚珠轴承，中间为尼龙层，再覆以高韧性耐磨聚氨酯层，能承受巨力且不磨损地板。（2）驱动轮有多条加强筋PU结构，提供看台所需驱动摩擦力，可轻易克服地面缺陷，满足看台使用需求，且不磨损地板。（3）伸缩脚：每排伸缩脚的数量可根据场地的大小及要求设置。每只伸缩脚下装有脚轮。在地板上滚动时，不伤害地板并不会留下滚动痕迹。</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10、同步伸缩装置：采用双层导向设计，底部伸缩脚处滑道，顶部带有导向滑道。各驱动装置采用刚性轴连接，看台支撑结构采用机械反馈式同步伸缩装置，确保伸展与回缩同步一致，无定向跑偏。看台走轮支架采用定拉型材，设计导向滑槽，保证在伸缩及制动时，均为平衡的直线运动，运动无噪声。 （4）伸缩看台根据现场情况定制，满足600位</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11、活动看台电动系统采用线遥控和遥控。操作时，可配合一个活动式控制开关执行前进、后退。</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12、驱动系统能保证遇到地面缺陷和障碍时，提供充足动力，运动不跑偏。驱动机构：采用电动控制式，具备遥控和有线手控两项功能。电机功率满足使用要求，电压380V，安装有防跑偏装置，保证活动看台伸缩时不会产生跑偏等现象。伸缩机构动作灵活，工作噪声小，不划伤地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FA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72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600</w:t>
            </w:r>
          </w:p>
        </w:tc>
      </w:tr>
      <w:tr w14:paraId="7D2A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B8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F2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081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尺寸：850*390*1800mm；材质：厚度0.8mm冷轧钢板，静电喷塑；颜色：浅灰；双开门；四隔板。</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59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浐灞第六小学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77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bl>
    <w:p w14:paraId="640EC1AF">
      <w:pPr>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br w:type="page"/>
      </w:r>
    </w:p>
    <w:p w14:paraId="5C21A3B2">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r>
        <w:rPr>
          <w:rFonts w:hint="eastAsia" w:ascii="仿宋" w:hAnsi="仿宋" w:eastAsia="仿宋" w:cs="仿宋"/>
          <w:b/>
          <w:bCs/>
          <w:i w:val="0"/>
          <w:iCs w:val="0"/>
          <w:caps w:val="0"/>
          <w:color w:val="auto"/>
          <w:spacing w:val="0"/>
          <w:sz w:val="24"/>
          <w:szCs w:val="24"/>
          <w:highlight w:val="none"/>
          <w:shd w:val="clear" w:fill="FFFFFF"/>
          <w:lang w:eastAsia="zh-CN"/>
        </w:rPr>
        <w:t>西安浐灞国际港教育局2025年全区学校教育教学设施设备采购项目第二批（家具类）</w:t>
      </w:r>
      <w:r>
        <w:rPr>
          <w:rFonts w:hint="eastAsia" w:ascii="仿宋" w:hAnsi="仿宋" w:eastAsia="仿宋" w:cs="仿宋"/>
          <w:b/>
          <w:bCs/>
          <w:i w:val="0"/>
          <w:iCs w:val="0"/>
          <w:caps w:val="0"/>
          <w:color w:val="auto"/>
          <w:spacing w:val="0"/>
          <w:sz w:val="24"/>
          <w:szCs w:val="24"/>
          <w:highlight w:val="none"/>
          <w:shd w:val="clear" w:fill="FFFFFF"/>
          <w:lang w:val="en-US" w:eastAsia="zh-CN"/>
        </w:rPr>
        <w:t>第3包</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414"/>
        <w:gridCol w:w="9810"/>
        <w:gridCol w:w="1934"/>
        <w:gridCol w:w="908"/>
      </w:tblGrid>
      <w:tr w14:paraId="014A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CAE5">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b/>
                <w:bCs/>
                <w:i w:val="0"/>
                <w:iCs w:val="0"/>
                <w:caps w:val="0"/>
                <w:color w:val="auto"/>
                <w:spacing w:val="0"/>
                <w:sz w:val="18"/>
                <w:szCs w:val="18"/>
                <w:highlight w:val="none"/>
                <w:shd w:val="clear" w:fill="FFFFFF"/>
                <w:lang w:eastAsia="zh-CN"/>
              </w:rPr>
              <w:br w:type="page"/>
            </w:r>
            <w:r>
              <w:rPr>
                <w:rFonts w:hint="eastAsia" w:ascii="仿宋" w:hAnsi="仿宋" w:eastAsia="仿宋" w:cs="仿宋"/>
                <w:i w:val="0"/>
                <w:iCs w:val="0"/>
                <w:color w:val="000000"/>
                <w:kern w:val="0"/>
                <w:sz w:val="18"/>
                <w:szCs w:val="18"/>
                <w:highlight w:val="none"/>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CF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货物名称</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F2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F5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学校名称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325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r>
      <w:tr w14:paraId="3DFE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CB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6A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135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教师办公室/文件柜钢制文件柜，尺寸≥1850*970*500mm，采用≥0.8mm厚冷轧钢板，外观静电粉末喷涂</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0C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西安市第五十七中学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4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r>
      <w:tr w14:paraId="2CB8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B0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7E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教师办公桌椅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35E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桌面长度：111-120cm；桌面材质：人造板；不可升降适用人数：1人附加组件：带柜子，带抽屉，带边桌组合方式：L型桌面形状：转角型；椅子：颜色：胡蓝  灰色</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背框竹结网面</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固定腰垫和黑色PP玻纤背筐和扶手</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坐垫棉高密度海绵</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中班蝴蝶底盘</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xml:space="preserve">50MM黑色中山尼龙轮 </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100行程气杆，灵活旋转，升降自如</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C0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西安市第五十七中学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6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r>
      <w:tr w14:paraId="31C0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8D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76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FF7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增加教室/课桌椅1.板材:桌面:采用长660mm*宽460mm*高750mm厚18mm中密度纤维板，注塑封边2.铁斗:50mm*34mm*15mm采用0.7铁片冲孔压制焊接而成。3.管材:桌架采用25MM*50MM*1.2椭圆管磨具焊接而成。4.桌下架横管采用40MM*20MM*1.2椭圆管模具焊接而成5.椅架:采用20MM*40MM*1.2椭圆管焊接而成。6.座背板:采用中空控吹塑模具一次成型而成。所有铁架经过去油,酸洗,磷化,高温静电喷粉以实物封样为准,实物单人(寸:600*400*750H)</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86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西安市第五十七中学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BF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440</w:t>
            </w:r>
          </w:p>
        </w:tc>
      </w:tr>
      <w:tr w14:paraId="681F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83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72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课桌凳</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0C9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1.板材:桌面:采用长600mm*宽400mm*高750mm厚18mm中密度纤维板，注塑封边</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2.铁斗:500mm*340mm*170mm采用0.7铁片冲孔压制焊接而成。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3.管材:桌架采用25MM*50MM*1.2椭圆管模具焊接而成。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4.桌下架横管采用40MM*20MM*1.2椭圆管模具焊接而成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5.椅架:采用20MM*40MM*1.2椭圆管焊接而成。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6.座背板:采用中空控吹塑模具一次成型而成。所有铁架经过去油,酸洗,磷化,高温静电喷粉以实物封样为准,实物单人(寸:600*400*750H)</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35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西安市第七十九中学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C5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500</w:t>
            </w:r>
          </w:p>
        </w:tc>
      </w:tr>
      <w:tr w14:paraId="0E92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69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EF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6CD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桌面尺寸：1100*550*750mm桌面材质：采用25mm厚E0级三聚氰胺浸渍纸双饰面刨花板，同色 PVC 封边。附加组件：带柜子，带抽屉带边桌组合方式：L型桌面形状：转角型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83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西安市第七十九中学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9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63C9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F5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32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AF0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椅黑色网布饰面。海绵：采用PU成型45#高密度海绵，尼龙玻纤头枕/尼龙玻纤椅背，带脚踏（后仰角度≥155°），三级气压棒。尼龙五星脚架。配PU静音轮。质量符合国家及行业标准，颜色与款式以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D7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西安市第七十九中学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1B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3385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5E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E0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FD5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课桌椅规格：桌子L650*W445mm，椅子宽度不带扶手425mm，椅背竖立时高度910mm，前后距离615mm，椅背打下和椅脚托打开后的前后距离1370mm，桌面和椅面的高度可调节，根据学生实际身高调节高度。材质要求：①桌架采用冷轧钢管，手摇升降；立柱外管25*50*1.2mm椭圆管，立柱内管20*40*1.2mm椭圆管，连接20*50*1.2mm椭圆管。②椅架采用冷轧钢管，螺栓固定的升降功能；立柱外管30*60*1.2mm椭圆管，内管50*25*1.2mm椭圆管，横梁50*25*1.2mm椭圆管，椅座和椅背的支撑架采用39*20*1.5mm的扁管，椅座中间2根横管采用15*30*1.2mm的方管；③椅子倾斜功能的调节机构，椅子座背使用铝合金调节机构连接件连接，由铝合金把手一键式操控连接机构。倾斜155度。（带锁死装置，防误触）桌面：①采用PP（聚丙烯）耐冲击塑料全新料一体注塑成型。②桌面靠胸前处设有内弧造型，桌面前边左右两边采用斜角设计，面板上设有防落凸条，左上方、右上方各有一条，可防止笔掉落，注塑成型后外观良好无色差，四周及底部无毛边、不刮手，面板四周边、角全部采用圆弧工艺设计，提高使用安全性，防棱角磕碰撞伤。③组合设计：面板底部有强化承重钢管，壁厚1.0mm。桌斗：①采用PP（聚丙烯）塑料全新料一体注塑成型。②内径尺寸：450×335×110-145mm（±5）；③书箱底部设有≥9条排水槽缝;每条槽缝长40×宽4，书箱正前方有≧9 条透气槽，以利保持通风干爽；④书箱向后并倾斜：①采用PP（聚丙烯）塑料全新料一体注塑成型；②尺寸：300×170(±5)；③头枕根据青少年头部曲线设计；椅背：①采用PP（聚丙烯）塑料全新料一体注塑成型。②尺寸：417×373(±5)，椅背上方左右各自带一个三角梯形提手孔。三角梯形孔尺寸49mm*44mm(±1)；③背板采用冲击塑料一体射出成型套入背架后锁入，六角螺栓固定椅座：①采用PP（聚丙烯）塑料全新料一体注塑成型。②尺寸：427×420(±5)；③座板采用人体工学型设计，坐垫倾斜式设计。椅脚踏：①采用PP（聚丙烯）塑料全新料一体注塑成型。②尺寸：340×190(±5)；③脚踏有抽出来后的翻转功能；④脚踏架子，外管φ25*1.5mm，内管φ20*2.0mm。脚垫：①采用全新塑料注塑成型，经久耐用；配可升降扶手工艺要求：所有钢制件部分焊接完成，表面静电粉末喷涂。</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9E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浐灞国际港第四初级中学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E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900</w:t>
            </w:r>
          </w:p>
        </w:tc>
      </w:tr>
      <w:tr w14:paraId="2F5E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D4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EE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99C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单门尺寸310*382*500mm；（±20）结构说明：56门书包柜,4层，每层14门，柜门统一做圆弧角处理。材质：书包柜门板由ABS塑料制成，柜体采用高强度工程塑料制成，柜门与柜体连接采用耐磨尼龙铰链，精确尺寸根据现场实测调整。颜色提供样板，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5A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浐灞国际港第四初级中学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2F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900</w:t>
            </w:r>
          </w:p>
        </w:tc>
      </w:tr>
      <w:tr w14:paraId="78BA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2F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97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教师办公桌椅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157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桌面尺寸：（1110-1200）*550*750mm桌面材质：采用25mm厚E0级三聚氰胺浸渍纸双饰面刨花板，同色 PVC 封边。附加组件：带柜子，带抽屉带边桌组合方式：L型桌面形状：转角型教师椅黑色网布饰面。海绵：采用PU成型45#高密度海绵，尼龙玻纤头枕/尼龙玻纤椅背，带脚踏（后仰角度≥155°），三级气压棒。尼龙五星脚架。配PU静音轮。质量符合国家及行业标准，颜色与款式以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D2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浐灞国际港第四初级中学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9E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63</w:t>
            </w:r>
          </w:p>
        </w:tc>
      </w:tr>
      <w:tr w14:paraId="2176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0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16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办公铁皮柜</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020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白色灰框边，冷轧钢板，带衣柜，高1800*宽1000*深390mm，厚≥0.8mm，静电粉末喷涂。颜色与款式以使用方确认为准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2F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浐灞国际港第四初级中学</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3F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63</w:t>
            </w:r>
          </w:p>
        </w:tc>
      </w:tr>
      <w:tr w14:paraId="58B5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1D9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1A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教师桌</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898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桌面尺寸：（1110-1200）*550*750mm桌面材质：采用25mm厚E0级三聚氰胺浸渍纸双饰面刨花板，同色 PVC 封边。附加组件：带柜子，带抽屉带边桌组合方式：L型桌面形状：转角型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2E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F3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4A21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F5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3F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5AB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椅黑色网布饰面。海绵：采用PU成型45#高密度海绵，尼龙玻纤头枕/尼龙玻纤椅背，带脚踏（后仰角度≥155°），三级气压棒。尼龙五星脚架。配PU静音轮。质量符合国家及行业标准，颜色与款式以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0B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55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457F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5D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D2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柜子</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8DC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白色灰框边，冷轧钢板，带衣柜，高1800*宽1000*深390mm，厚≥0.8mm，静电粉末喷涂。颜色与款式以使用方确认为准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4FE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F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2DE7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3E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F8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校长办公桌</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FFA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校长办公桌规格2000*1600*760mm1、面材：采用E0级三聚氰胺饰面板2、封边用材：同色PVC封边3、五金件：三级静音滑轨，阻尼铰链，优质金属三合一连接件，优质锁具。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10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67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820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C5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2E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副校长办公桌</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299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副校长办公桌规格1800/1600/7601、面材：采用E0级三聚氰胺饰面板2、封边用材：同色PVC封边3、五金件：三级静音滑轨，阻尼铰链，优质金属三合一连接件，优质锁具。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49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F01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59AA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BF3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F3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校长办公凳</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9CA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椅630*580*1080mm扶手：采用3D扶手，表面PU软扶手面。座面采用网面。网布：采用弹力网布。靠背支撑：PP（黑色）底盘：采用自负载底盘，可根据人体重量自动调节后仰力度。脚架：采用2.5mm管壁厚度铝合金高脚质量符合国家及行业标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223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D6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68F0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76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B0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校长办公室柜子</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95F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校长办公室柜子尺寸2000*400*2000mm1、面材：采用E0级三聚氰胺饰面板2、封边用材：同色PVC封边3、五金件：三级静音滑轨，阻尼铰链，优质金属三合一连接件，优质锁具。质量符合国家及行业标准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18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B2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0B9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04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F2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副校长办公室柜子</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5A9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副校长办公室柜子尺寸1600*400*2000mm1、面材：采用E0级三聚氰胺饰面板2、封边用材：同色PVC封边3、五金件：三级静音滑轨，阻尼铰链，优质金属三合一连接件，优质锁具。质量符合国家及行业标准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53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4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13BA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4B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9F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校长桌前椅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D49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校长桌前椅620*670*820采用优质西皮，40密度高弹力切割海绵。PP+纤维+电镀件扶手；椅架采用壁厚≥1.8mm厚钢管，表面镀铬</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78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E8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r>
      <w:tr w14:paraId="7451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1A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AF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茶水柜</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15F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1、面材：采用E0级三聚氰胺饰面板2、封边用材：同色PVC封边3、五金件：三级静音滑轨，阻尼铰链，优质金属三合一连接件，优质锁具。质量符合国家及行业标准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C0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D5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3692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29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F9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三人沙发</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FD3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三人沙发三人位尺寸：长2000mm,宽820mm,高820mm材质：环保皮，实木框架</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79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28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21C7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C79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71C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917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茶几尺寸：1200*600*450mm材质：优质实木打造</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5F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36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55B2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74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A7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会议桌</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17F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会议桌规格：8000*2000*760mm桌面厚度：≥50mm。1、面材：采用E0级三聚氰胺饰面板2、封边用材：同色PVC封边3、五金件：优质五金件。质量符合国家及行业标准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09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C1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63DD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3D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FF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会议椅</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892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会议椅620*670*820mm采用优质西皮，40密度高弹力切割海绵。PP+纤维+电镀件扶手；椅架采用壁厚≥1.8mm厚钢管，表面镀铬</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55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8F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1727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1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F6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课桌凳</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AF7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课桌椅规格：桌子L650*W445mm，椅子宽度不带扶手425mm，椅背竖立时高度910mm，前后距离615mm，椅背打下和椅脚托打开后的前后距离1370mm，桌面和椅面的高度可调节，根据学生实际身高调节高度。材质要求：①桌架采用冷轧钢管，手摇升降；立柱外管25*50*1.2mm椭圆管，立柱内管20*40*1.2mm椭圆管，连接20*50*1.2mm椭圆管。②椅架采用冷轧钢管，螺栓固定的升降功能；立柱外管30*60*1.2mm椭圆管，内管50*25*1.2mm椭圆管，横梁50*25*1.2mm椭圆管，椅座和椅背的支撑架采用39*20*1.5mm的扁管，椅座中间2根横管采用15*30*1.2mm的方管；③椅子倾斜功能的调节机构，椅子座背使用铝合金调节机构连接件连接，由铝合金把手一键式操控连接机构。倾斜155度。（带锁死装置，防误触）桌面：①采用PP（聚丙烯）耐冲击塑料全新料一体注塑成型。②桌面靠胸前处设有内弧造型，桌面前边左右两边采用斜角设计，桌面正前方笔槽尺寸为:345*22*6(± 0.5)，面板上设有防落凸条，左上方、右上方各有一条，可防止笔掉落，注塑成型后外观良好无色差，四周及底部无毛边、不刮手，面板四周边、角全部采用圆弧工艺设计，提高使用安全性，防棱角磕碰撞伤。③组合设计：面板底部有强化承重钢管，壁厚1.0mm。桌斗：①采用PP（聚丙烯）塑料全新料一体注塑成型。②内径尺寸：450×335×110-145mm（±5）；③书箱底部设有≥9条排水槽缝;每条槽缝长40×宽4，书箱正前方有≧9 条透气槽，以利保持通风干爽；④书箱向后并倾斜：①采用PP（聚丙烯）塑料全新料一体注塑成型；②尺寸：300×170(±5)；③头枕根据青少年头部曲线设计；椅背：①采用PP（聚丙烯）塑料全新料一体注塑成型。②尺寸：417×373(±5)，椅背上方左右各自带一个三角梯形提手孔。三角梯形孔尺寸49mm*44mm(±1)；③背板采用冲击塑料一体射出成型套入背架后锁入，六角螺栓固定椅座：①采用PP（聚丙烯）塑料全新料一体注塑成型。②尺寸：427×420(±5)；③座板采用人体工学型设计，坐垫倾斜式设计。椅脚踏：①采用PP（聚丙烯）塑料全新料一体注塑成型。②尺寸：340×190(±5)；③脚踏有抽出来后的翻转功能；④脚踏架子，外管φ25*1.5mm，内管φ20*2.0mm。脚垫：①采用全新塑料注塑成型，经久耐用；配可升降扶手工艺要求：所有钢制件部分焊接完成，表面静电粉末喷涂。</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DF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2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w:t>
            </w:r>
          </w:p>
        </w:tc>
      </w:tr>
      <w:tr w14:paraId="51E6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B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C8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C57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单门尺寸310*382*500mm；（±20）结构说明：56门书包柜,4层，每层14门，柜门统一做圆弧角处理。材质：书包柜门板由ABS塑料制成，柜体采用高强度工程塑料制成，柜门与柜体连接采用耐磨尼龙铰链，精确尺寸根据现场实测调整。颜色提供样板，使用方确认为准。</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94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浐灞第四初级中学分校（暂定名）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19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w:t>
            </w:r>
          </w:p>
        </w:tc>
      </w:tr>
    </w:tbl>
    <w:p w14:paraId="61E4EDFF">
      <w:pPr>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br w:type="page"/>
      </w:r>
    </w:p>
    <w:p w14:paraId="04539920">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r>
        <w:rPr>
          <w:rFonts w:hint="eastAsia" w:ascii="仿宋" w:hAnsi="仿宋" w:eastAsia="仿宋" w:cs="仿宋"/>
          <w:b/>
          <w:bCs/>
          <w:i w:val="0"/>
          <w:iCs w:val="0"/>
          <w:caps w:val="0"/>
          <w:color w:val="auto"/>
          <w:spacing w:val="0"/>
          <w:sz w:val="24"/>
          <w:szCs w:val="24"/>
          <w:highlight w:val="none"/>
          <w:shd w:val="clear" w:fill="FFFFFF"/>
          <w:lang w:eastAsia="zh-CN"/>
        </w:rPr>
        <w:t>西安浐灞国际港教育局2025年全区学校教育教学设施设备采购项目第二批（家具类）</w:t>
      </w:r>
      <w:r>
        <w:rPr>
          <w:rFonts w:hint="eastAsia" w:ascii="仿宋" w:hAnsi="仿宋" w:eastAsia="仿宋" w:cs="仿宋"/>
          <w:b/>
          <w:bCs/>
          <w:i w:val="0"/>
          <w:iCs w:val="0"/>
          <w:caps w:val="0"/>
          <w:color w:val="auto"/>
          <w:spacing w:val="0"/>
          <w:sz w:val="24"/>
          <w:szCs w:val="24"/>
          <w:highlight w:val="none"/>
          <w:shd w:val="clear" w:fill="FFFFFF"/>
          <w:lang w:val="en-US" w:eastAsia="zh-CN"/>
        </w:rPr>
        <w:t>第4包</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417"/>
        <w:gridCol w:w="9825"/>
        <w:gridCol w:w="1917"/>
        <w:gridCol w:w="920"/>
      </w:tblGrid>
      <w:tr w14:paraId="320D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BE35">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b/>
                <w:bCs/>
                <w:i w:val="0"/>
                <w:iCs w:val="0"/>
                <w:caps w:val="0"/>
                <w:color w:val="auto"/>
                <w:spacing w:val="0"/>
                <w:sz w:val="18"/>
                <w:szCs w:val="18"/>
                <w:highlight w:val="none"/>
                <w:shd w:val="clear" w:fill="FFFFFF"/>
                <w:lang w:eastAsia="zh-CN"/>
              </w:rPr>
              <w:br w:type="page"/>
            </w:r>
            <w:r>
              <w:rPr>
                <w:rFonts w:hint="eastAsia" w:ascii="仿宋" w:hAnsi="仿宋" w:eastAsia="仿宋" w:cs="仿宋"/>
                <w:i w:val="0"/>
                <w:iCs w:val="0"/>
                <w:color w:val="000000"/>
                <w:kern w:val="0"/>
                <w:sz w:val="18"/>
                <w:szCs w:val="18"/>
                <w:highlight w:val="none"/>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02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货物名称</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B8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20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学校名称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BE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r>
      <w:tr w14:paraId="5BA1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92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3B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教师公寓用床及床头柜含床垫</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5D3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教师公寓用床及床头柜（含床垫）规格：1200*400-450（床屏高度980-1100）*2000mm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饰面材料：三聚氰胺浸渍纸2、基材：采用E1级刨花板，板材厚度≥20mm，质量符合国家及行业标准；3、封边用材：同色PVC封边；4、床垫：≥5cm天然棕垫5、功能特点：1）需提供色板选择不同的色彩、纹路；2）按不同的用途选择不同的厚度；3) 具有防水、防烫、防污、防酸、防碱、防火。</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3A5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西大附中浐灞中学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23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56</w:t>
            </w:r>
          </w:p>
        </w:tc>
      </w:tr>
      <w:tr w14:paraId="1AB9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DF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52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教师公寓用组合柜及椅子</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335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教师公寓用组合柜及椅子2900*550*1800mm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1、板材：采用E1级三聚氰胺饰面板，质量符合国家及行业标准                                              3、五金配件：需采用优质五金配件，锁具、三合一等五金配件.4、封边用材：同色PVC封边                                                                                                                                             5、功能特点：1）需提供色板选择不同的色彩、纹路；2）按不同的用途选择不同的厚度（其厚度12mm、16mm、25mm、18mm等)；3) 具有防水、防烫、防污、防酸、防碱、防火。</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椅子：1.椅子选用高密度编织优质网布，，透气性强。2.加厚管径≥18mm，管壁壁厚≥1.0mm。3.椅架：椅架为优质钢架，表面电镀处理。4.高强度承重弓形脚架。5.座面和靠背颜色可选。</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A6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西大附中浐灞中学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BD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r>
      <w:tr w14:paraId="251F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C5D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07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男生公寓上床下桌含椅子</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DF1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男生公寓上床下桌（含椅子）采用上床下桌结构规格 1950mm*900mm*2000mm 侧护栏:1400*300mm 踏板 400mm*200*1.8mm（压花钢板）用材:立柱:50x50mm 壁厚 1.5mm爬梯:φ25mm 壁厚 1.2mm 横梁:50*30mm 壁厚 1.2mm横撑:25*30mm(1.2mm)竖撑:25X25mm(1.2mm)护栏:φ25mm 壁厚 1.2mm床下柜:0.8mm厚的冷轧钢板，上门内挂衣杆，门内有大镜子，下层门内隔板一块，扣手铝合金 u 型拉手，桌面25mm厚的三聚氰胺板</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椅子：木板材质，厚度≥23mm优质三聚氰胺板，椅子总高810mm,椅背高度360mm,椅凳高度450mm,凳面宽度350mm。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A6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西大附中浐灞中学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10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182</w:t>
            </w:r>
          </w:p>
        </w:tc>
      </w:tr>
      <w:tr w14:paraId="0025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CD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CF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防盗门</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08F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教室部室防盗门尺寸定制（含运输安装）技术参数：  1. 采用B级以上锁芯。   2. 用材：框板≥1.5㎜，内外扇板≥1.0㎜，门扇厚度≥70㎜；；   3. 窗带钢化玻璃≥8㎜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DB2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西大附中浐灞中学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37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62</w:t>
            </w:r>
          </w:p>
        </w:tc>
      </w:tr>
      <w:tr w14:paraId="4B1F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15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26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501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桌子：1200*600*750mm、桌上屏：1000*300mm侧柜：1400*300*1200mm材质：采用E0级三聚氰胺饰面板，同色PVC封边颜色与款式以使用方确认为准。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97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交大附中浐灞右岸学校</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6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r>
      <w:tr w14:paraId="1764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C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62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1BA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黑色网布饰面。海绵：采用PU成型45#高密度海绵，尼龙玻纤头枕/尼龙玻纤椅背，带脚踏（后仰角度≥155°），三级气压棒。尼龙五星脚架。配PU静音轮。质量符合国家及行业标准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99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交大附中浐灞右岸学校</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EB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r>
      <w:tr w14:paraId="135C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D75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B9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五门柜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C58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H1850*W970*D420mm全钢制五门柜，一侧带衣柜，内有挂衣杆，带一个锁；另一侧为上下双开门，上下都有隔板，带二个锁。材质：0.8mm厚冷轧钢板，表面静电粉末喷涂</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B4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交大附中浐灞右岸学校</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7D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4D06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ED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C4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教室课桌椅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3EC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课桌椅规格：桌子L650*W445mm，椅子宽度不带扶手425mm，椅背竖立时高度910mm，前后距离615mm，椅背打下和椅脚托打开后的前后距离1370mm，桌面和椅面的高度可调节，根据学生实际身高调节高度。材质要求：①桌架采用冷轧钢管，手摇升降；立柱外管25*50*1.2mm椭圆管，立柱内管20*40*1.2mm椭圆管，连接20*50*1.2mm椭圆管。②椅架采用冷轧钢管，螺栓固定的升降功能；立柱外管30*60*1.2mm椭圆管，内管50*25*1.2mm椭圆管，横梁50*25*1.2mm椭圆管，椅座和椅背的支撑架采用39*20*1.5mm的扁管，椅座中间2根横管采用15*30*1.2mm的方管；③椅子倾斜功能的调节机构，椅子座背使用铝合金调节机构连接件连接，由铝合金把手一键式操控连接机构。倾斜155度。（带锁死装置，防误触）桌面：①采用PP（聚丙烯）耐冲击塑料全新料一体注塑成型。②桌面靠胸前处设有内弧造型，桌面前边左右两边采用斜角设计，面板上设有防落凸条，左上方、右上方各有一条，可防止笔掉落，注塑成型后外观良好无色差，四周及底部无毛边、不刮手，面板四周边、角全部采用圆弧工艺设计，提高使用安全性，防棱角磕碰撞伤。③组合设计：面板底部有强化承重钢管，壁厚1.0mm。桌斗：①采用PP（聚丙烯）塑料全新料一体注塑成型。②内径尺寸：450×335×110-145mm（±5）；③书箱底部设有≥9条排水槽缝;每条槽缝长40×宽4，书箱正前方有≧9 条透气槽，以利保持通风干爽；④书箱向后并倾斜：①采用PP（聚丙烯）塑料全新料一体注塑成型；②尺寸：300×170(±5)；③头枕根据青少年头部曲线设计；椅背：①采用PP（聚丙烯）塑料全新料一体注塑成型。②尺寸：417×373(±5)，椅背上方左右各自带一个三角梯形提手孔。三角梯形孔尺寸49mm*44mm(±1)；③背板采用冲击塑料一体射出成型套入背架后锁入，六角螺栓固定椅座：①采用PP（聚丙烯）塑料全新料一体注塑成型。②尺寸：427×420(±5)；③座板采用人体工学型设计，坐垫倾斜式设计。椅脚踏：①采用PP（聚丙烯）塑料全新料一体注塑成型。②尺寸：340×190(±5)；③脚踏有抽出来后的翻转功能；④脚踏架子，外管φ25*1.5mm，内管φ20*2.0mm。脚垫：①采用全新塑料注塑成型，经久耐用；配可升降扶手工艺要求：所有钢制件部分焊接完成，表面静电粉末喷涂。</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DB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西安市第三十四中学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6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1050</w:t>
            </w:r>
          </w:p>
        </w:tc>
      </w:tr>
      <w:tr w14:paraId="194C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7B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91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单人桌椅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972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板材:桌面:采用长660mm*宽460mm*高750mm厚18mm中密度纤维板，注塑封边2.铁斗:50mm*34mm*15mm采用0.7铁片冲孔压制焊接而成。3.管材:桌架采用25MM*50MM*1.2椭圆管模具焊接而成。4.桌下架横管采用40MM*20MM*1.2椭圆管模具焊接而成5.椅架:采用20MM*40MM*1.2椭圆管焊接而成。6.座背板:采用中空控吹塑模具一次成型而成。所有铁架经过去油,酸洗,磷化,高温静电喷粉以实物封样为准,实物单人(寸:600*400*750H)</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34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浐灞丝路学校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AE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500</w:t>
            </w:r>
          </w:p>
        </w:tc>
      </w:tr>
      <w:tr w14:paraId="6F4B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16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1F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D6A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文件柜：尺寸：900*400*1850mm，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材质：冷轧钢制，厚≥0.8mm，静电粉末喷塑。颜色与款式以使用方确认为准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E6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2F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r>
      <w:tr w14:paraId="26E6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DA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5C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办公桌及隔断</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AF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办公桌及隔断：尺寸：1500*1500*1200mm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办公桌整体采用E0级三聚氰胺板，落地屏风，上桌下板，铝合金框架。L型，含走线功能，颜色与款式以使用方确认为准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A9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CEE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r>
      <w:tr w14:paraId="11FB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38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42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1E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黑色网布饰面。海绵：采用PU成型45#高密度海绵，尼龙玻纤头枕/尼龙玻纤椅背，带脚踏（后仰角度≥155°），三级气压棒。尼龙五星脚架。配PU静音轮。质量符合国家及行业标准，颜色与款式以使用方确认为准。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01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A3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r>
      <w:tr w14:paraId="64D9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639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C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057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学生课桌椅（桌＋凳子)：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学习桌:600*400*750mm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学习椅：360-420mm调节</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材质：整桌优质环保板材，注塑封边，升降可调节。质量符合国家及行业标准，颜色与款式以使用方确认为准。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FB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429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r>
      <w:tr w14:paraId="3F72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4C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40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4门书包柜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308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4门书包柜800*350*980mm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款式：4门两层4格</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材质：木质</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17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48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r>
      <w:tr w14:paraId="5F58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CB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33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保洁柜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97A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尺寸：1200*400*1500mm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材质：冷轧不锈钢，厚≥0.8mm静电粉末喷塑。颜色与款式以使用方确认为准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68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浐灞第七初级中学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3C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53B3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4A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61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A60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小学课桌椅（单人）桌子规格：600*400（450）*650-780mm （高度可调节）。椅子规格：400*380*380-440mm （高度可调节，带靠背）1.课桌椅结构采用钢制升降结构，固定高度，符合国家现行标准。课桌椅结构采用钢木结构，具有升降功能， 为穿孔式四脚固定高度，钢管壁厚1.2mm,钢架为环保静电塑粉喷涂工艺,桌架主 管采用桌架主管采用60x30x1.2mm优质高频椭圆管，升降套管材均采用50x20x1.2mm 优质高频椭圆管，横支撑采用50x20x1.2mm优质椭圆管，高度可调，外管60*30，内管 50*20,加长内滑套。桌面支撑采用30x30x1.2mm优质方管；桌兜为钢斗（490*320*150mm）, 采用0.8mm厚度以上冷轧钢板一体冲压成型。课椅要求带靠背，主管采用60x30x1.2mm 优质高频椭圆管，升降套管材均采用50x20x1.2mm优质高频椭圆管，横支撑采用 50x20x1.2mm优质椭圆管，以上的管材均采用优质高频焊管。钢制框架凡有螺栓结构处，必须加装防退安全螺母。2.桌面及靠背板材质采用优质模压板材料，椅面采用圆边防火板材料，厚度18mm.具有防酸，防碱，防腐，耐磨的特点。采用拉铆钉连接，颜色为榉木色。双人课椅椅背采用独立设计，有一定曲线，符合人体工程学。3.桌腿、椅腿与地面接触部分需采用原生橡胶包裹。4.桌两边加挂钩，挂钩采用钢制结构，螺栓连接，表面圆滑，不得有直角，挂钩不得超出桌面边缘。精确尺寸及桌面颜色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4E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6F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225</w:t>
            </w:r>
          </w:p>
        </w:tc>
      </w:tr>
      <w:tr w14:paraId="012B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8F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74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四门文件柜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FFAF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白色，高1800*宽850*深390mm厚度0.8mm冷轧钢板，静电喷塑</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73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AAC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739D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E3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E8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25E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尺寸：1500*1500*760mm材质:采用E0级三聚氰胺饰面板。封边:选用同色PVC封边优质五金。</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54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D4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r>
      <w:tr w14:paraId="176B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B1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95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FA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B0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DB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r>
      <w:tr w14:paraId="635E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10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52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D3E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总尺寸:5348*500*1330mm,单门尺寸310*382*500mm；结构说明：56门书包柜,4层，每层14门，柜门统一做圆弧角处理，规避安全隐患。柜门颜色可定制。材质：书包柜门板由ABS塑料制成，柜体采用高强度工程塑料制成，柜门与柜体连接采用耐磨尼龙铰链，精确尺寸根据现场实测调整。颜色提供样板，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E9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C4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r>
      <w:tr w14:paraId="3B9D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5B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25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书架</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F4E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尺寸：1280mm*1200mm*300mm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材质</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柜体：采用E1级环保颗粒板。</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搁板：厚度不低于18mm。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五金配件：优质五金</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结构设计</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层数：设计为4 层，层间距在280mm。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背部：背部采用10mm厚背板。</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工艺与表面处理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封边：同色封边。</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表面涂装：环保哑光漆，颜色：浅木色。</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承重能力</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每层书架承重能力不低于50公斤。</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其他细节</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边角处理：书架边角进行圆润处理。</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 可调节性：搁板高度可调节。</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77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浐灞第八小学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5EE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r>
      <w:tr w14:paraId="17B9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98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8C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清洁柜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AC1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钢制清洁柜,钢板厚度0.6mm不小于1200*1500*600mm，颜色根据使用方需求。</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73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浐灞第二十三小学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27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5B74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94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3E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263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尺寸：高465*宽382*厚500mm （单门净高不含底座）一列4门整体高度≥1940； 材质：书包柜门板由ABS塑料制成，柜体采用高强度工程塑料制成，柜门与柜体连接采用耐磨尼龙铰链，精确尺寸根据现场实测调整。颜色提供样板，使用方确认为准。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86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浐灞第二十三小学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B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16B6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C0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C1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课桌椅子</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FF8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桌子规格：1200*400（450）*650-760mm （高度可调节）。椅子规格：1200*300*350-450mm （高度可调节，带靠背）1.课桌椅结构采用钢制升降结构，固定高度，符合国家现行标准。课桌椅结构采用钢木结构，具有升降功能，为穿孔式四脚固定高度，钢管壁厚1.2mm,钢架为静电喷塑,桌架主管采用60x30x1.2mm优质高频椭圆管，升降套管材均采用50x20x1.2mm 优质高频椭圆管，横支撑采用50x20x1.2mm优质椭圆管，高度可调，外管60*30，内管 50*20,加长内滑套。桌面支撑采用30x30x1.2mm优质方管；桌兜为钢斗（980*320*150mm）, 采用0.8mm厚度以上冷轧钢板一体冲压成型。课椅要求带靠背，主管采用60x30x1.2mm 优质高频椭圆管，升降套管材均采用50x20x1.2mm优质高频椭圆管，横支撑采用 50x20x1.2mm优质椭圆管，以上的管材均采用优质高频焊管。钢制框架凡有螺栓结构处，必须加装防退安全螺母。2.桌面及靠背板材质采用优质模压板材料，椅面采用圆边防火板材料，厚度18mm.具有防酸，防碱，防腐，耐磨的特点。采用拉铆钉连接，颜色为榉木色。双人课椅椅背采用独立设计，有一定曲线，符合人体工程学。3.桌腿、椅腿与地面接触部分需采用原生橡胶包裹，耐磨减少噪声。4.双人桌两边加挂钩，挂钩采用钢制结构，螺栓连接，表面圆滑，不得有直角，挂钩不得超出桌面边缘。精确尺寸及桌面颜色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CE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浐灞第二十三小学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DE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80</w:t>
            </w:r>
          </w:p>
        </w:tc>
      </w:tr>
      <w:tr w14:paraId="1239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9A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EF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讲桌</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E5A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外形尺寸：总体尺寸≥800*560*880mm。2.讲台桌面采用平面设计，可以放置不同型号笔记本电脑，桌面四周半包围结构，有效防止物品滑落；3.讲台前面设置隐藏式抽拉储物盒，可放置笔记本电脑、键盘鼠标、板擦、粉笔等教学用具；4.扶手采用高档木质材料，颜色为木纹色，讲台下体桔纹色和银灰搭配，整个讲台三种颜色结合，美观大方；5.整体冲压成型，整体结构紧凑，空间设计合理；6.讲台下体左右侧门均可打开，下体可作为储物柜使用；7.采用两面进线结构，所有布线孔均采用绝缘品装置隔离电源线，安全可靠；8.全部的加工件均采用模具成型9.具体款式和尺寸以使用方需求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2F5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浐灞第二十三小学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4A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474E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EF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8E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铁皮档案柜</w:t>
            </w:r>
          </w:p>
        </w:tc>
        <w:tc>
          <w:tcPr>
            <w:tcW w:w="3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1C0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1850*850*390厚≥0.8mm冷轧钢板，静电粉末喷塑。颜色与款式以使用方确认为准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4D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浐灞第二十三小学</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36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r>
    </w:tbl>
    <w:p w14:paraId="78F70155">
      <w:pPr>
        <w:rPr>
          <w:rFonts w:hint="eastAsia" w:ascii="仿宋" w:hAnsi="仿宋" w:eastAsia="仿宋" w:cs="仿宋"/>
          <w:b/>
          <w:bCs/>
          <w:i w:val="0"/>
          <w:iCs w:val="0"/>
          <w:caps w:val="0"/>
          <w:color w:val="auto"/>
          <w:spacing w:val="0"/>
          <w:sz w:val="24"/>
          <w:szCs w:val="24"/>
          <w:highlight w:val="none"/>
          <w:shd w:val="clear" w:fill="FFFFFF"/>
          <w:lang w:eastAsia="zh-CN"/>
        </w:rPr>
      </w:pPr>
      <w:r>
        <w:rPr>
          <w:rFonts w:hint="eastAsia" w:ascii="仿宋" w:hAnsi="仿宋" w:eastAsia="仿宋" w:cs="仿宋"/>
          <w:b/>
          <w:bCs/>
          <w:i w:val="0"/>
          <w:iCs w:val="0"/>
          <w:caps w:val="0"/>
          <w:color w:val="auto"/>
          <w:spacing w:val="0"/>
          <w:sz w:val="24"/>
          <w:szCs w:val="24"/>
          <w:highlight w:val="none"/>
          <w:shd w:val="clear" w:fill="FFFFFF"/>
          <w:lang w:eastAsia="zh-CN"/>
        </w:rPr>
        <w:br w:type="page"/>
      </w:r>
    </w:p>
    <w:p w14:paraId="2D19540E">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r>
        <w:rPr>
          <w:rFonts w:hint="eastAsia" w:ascii="仿宋" w:hAnsi="仿宋" w:eastAsia="仿宋" w:cs="仿宋"/>
          <w:b/>
          <w:bCs/>
          <w:i w:val="0"/>
          <w:iCs w:val="0"/>
          <w:caps w:val="0"/>
          <w:color w:val="auto"/>
          <w:spacing w:val="0"/>
          <w:sz w:val="24"/>
          <w:szCs w:val="24"/>
          <w:highlight w:val="none"/>
          <w:shd w:val="clear" w:fill="FFFFFF"/>
          <w:lang w:eastAsia="zh-CN"/>
        </w:rPr>
        <w:t>西安浐灞国际港教育局2025年全区学校教育教学设施设备采购项目第二批（家具类）</w:t>
      </w:r>
      <w:r>
        <w:rPr>
          <w:rFonts w:hint="eastAsia" w:ascii="仿宋" w:hAnsi="仿宋" w:eastAsia="仿宋" w:cs="仿宋"/>
          <w:b/>
          <w:bCs/>
          <w:i w:val="0"/>
          <w:iCs w:val="0"/>
          <w:caps w:val="0"/>
          <w:color w:val="auto"/>
          <w:spacing w:val="0"/>
          <w:sz w:val="24"/>
          <w:szCs w:val="24"/>
          <w:highlight w:val="none"/>
          <w:shd w:val="clear" w:fill="FFFFFF"/>
          <w:lang w:val="en-US" w:eastAsia="zh-CN"/>
        </w:rPr>
        <w:t>第5包</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1426"/>
        <w:gridCol w:w="9845"/>
        <w:gridCol w:w="1914"/>
        <w:gridCol w:w="911"/>
      </w:tblGrid>
      <w:tr w14:paraId="6FD6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8B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7E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货物名称</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64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B9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学校名称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F0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r>
      <w:tr w14:paraId="6D82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AE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80B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课桌椅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7D1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板材:桌面:采用长660mm*宽460mm*高750mm厚18mm，一次成型模压板2.桌斗:50mm*34mm*15mm采用0.7钢板冲孔压制焊接而成。3.管材:桌架采用25MM*50MM*1.2椭圆管模具焊接而成。4.桌下架横管采用40MM*20MM*1.2椭圆管模具焊接而成5.椅架:采用20MM*40MM*1.2椭圆管焊接而成。6.座背板:采用中空控吹塑模具一次成型而成。钢架经过去油,酸洗,磷化,高温静电喷粉以实物封样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BD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A3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275</w:t>
            </w:r>
          </w:p>
        </w:tc>
      </w:tr>
      <w:tr w14:paraId="7ECA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479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19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讲桌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E3D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1400*600/400*900板式结构，桌面基材采用E0级实木多层双贴面板，桌面厚度为25mm，部件裸露周边用1.2mm厚的PVC封边条，桌面颜色为原木色。讲桌前面为书架设计，兼放置计算机功能，需根据实际现场情况提供设计方案。精确尺寸根据现场实测调整。桌面颜色按提供样板，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28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7C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r>
      <w:tr w14:paraId="168C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4D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59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书架</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4B9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规格：1200mm*250mm*1600mm材质与要求：钢木结构，五层斜式设计。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8A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EF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55B9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9D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F1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947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规格：单个箱体尺寸380mm*320mm*500mm,可拼装材质：优质塑料材质结实耐用，带门带锁。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2A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54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280</w:t>
            </w:r>
          </w:p>
        </w:tc>
      </w:tr>
      <w:tr w14:paraId="238F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BB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F5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座椅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BD6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黑色网布饰面。海绵：采用PU成型45#高密度海绵，尼龙玻纤头枕/尼龙玻纤椅背，带脚踏（后仰角度≥155°），三级气压棒。尼龙五星脚架。配PU静音轮。质量符合国家及行业标准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71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4D2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r>
      <w:tr w14:paraId="2FAB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92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D9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教师工位</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50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尺寸：1500*1500*760mm1.基材:采用E0级刨花板2.面材:防火板3.封边:同色PVC封边颜色与款式以使用方确认为准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51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0D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r>
      <w:tr w14:paraId="14B3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4A2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C9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单门衣柜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0BF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规格：单人位，400mmX1850mmX500mm材质工艺要求：全钢结构，上下双开门设计，采用0.8mm高强度镀锌钢板。上下可以调节钢制衣柜，表层喷塑。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F4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浐灞第十学校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0E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r>
      <w:tr w14:paraId="0AAC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B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AD3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可升降课桌椅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B82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板材:桌面:采用长650mm*宽450mm*高（660-760mm），厚18mm中密度纤维板，注塑封边2.桌兜:50mm*34mm*15mm采用0.7钢板冲孔压制焊接而成。3.管材:桌架采用25MM*50MM*1.2椭圆管模具焊接而成。4.桌下架横管采用40MM*20MM*1.2椭圆管模具焊接而成5.椅架:双柱升降，采用20MM*40MM*1.2椭圆管焊接而成。6.座背板同课桌面材质一致，钢架经过去油,酸洗,磷化,高温静电喷粉，以实物封样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2F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E7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770</w:t>
            </w:r>
          </w:p>
        </w:tc>
      </w:tr>
      <w:tr w14:paraId="42E3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0DD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6D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书包柜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C12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规格：单个箱体尺寸380mm*320mm*500mm,可拼装材质：优质塑料材质结实耐用，带门带锁。</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3F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7D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770</w:t>
            </w:r>
          </w:p>
        </w:tc>
      </w:tr>
      <w:tr w14:paraId="30DC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31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9C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60A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规格：1500*1400*1100mm1.基材：E1级实木多层板，三聚氰胺饰面。2.优质五金件，优质PVC同色封边。3.带边桌组合成L型，含抽屉、柜子。4.配活动柜、键盘、主机托。具体款式以使用方确认为准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FB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4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r w14:paraId="6B04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4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26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衣柜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7DF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规格：单人位，400mmX1850mmX500mm工艺要求：全钢结构，上下双开门设计，采用0.8mm高强度镀锌钢板。上下可以调节钢制衣柜，表层喷塑。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48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0B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r w14:paraId="47E9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A3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7B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铁皮办公柜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2E4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1000*500*2000mm1、柜体：全钢结构，上下双开门设计，采用0.8mm高强度镀锌钢板。上下可以调节钢制衣柜，表层喷塑。2、柜门：上门为钢制整板开孔门框，内嵌玻璃；下门组装式设计，保证单层钢板双面都喷涂处理，门板中间填充隔音材料。3、拉手：采用不锈钢拉手。4、隔板：采用0.8mm高强度镀锌钢板，成型后20mm一体成型，柜体内带调节孔，上下可以调节</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C7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DE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512E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B8C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D15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办公座椅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E06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E1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浐灞御锦城小学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A1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w:t>
            </w:r>
          </w:p>
        </w:tc>
      </w:tr>
      <w:tr w14:paraId="4691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71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FA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办公桌园长</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8F6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尺寸：2000*800（侧柜长1610）*750mm  1、面材：采用E0级三聚氰胺饰面板2、封边用材：同色PVC封边3、五金件：三级静音滑轨，阻尼铰链，优质金属三合一连接件，优质锁具。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64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59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1A4F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2A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CAB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办公椅园长</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99B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材质：优质西皮、软包扶手、乳胶海绵填充、液压底盘，金属五星脚。</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CF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F4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DB8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3E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DE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六门柜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BD7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尺寸：2400*400*2000  材质：胡桃木色人造板1、面材：采用E0级三聚氰胺饰面板2、封边用材：同色PVC封边3、五金件：三级静音滑轨，阻尼铰链，优质金属三合一连接件，优质锁具。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8B2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A9A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878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25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E9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三人位沙发</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883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尺寸：2080*850*630 材质：优质西皮+海绵+实木框架+软包扶手  风格：简约风  具体颜色、款式以使用方确认为准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B2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23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2673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4F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84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单人位沙发</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69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尺寸：970/850/630  材质：优质西皮+海绵+实木框架+软包扶手  风格：简约风  具体颜色、款式以使用方确认为准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757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1C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r>
      <w:tr w14:paraId="17BC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A8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B2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茶几</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6E4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尺寸：1200*600*450 1.材质：E1级三聚氰胺饰面板；2.封边：采用同色PVC封边条3.五金配件：优质五金件质量符合国家及行业标准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BD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D53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337A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CF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15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茶吧机</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5DB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烧水壶容量：0.8L/316L 材质：不锈钢保温壶容量：0.9L 材质：高硅硼玻璃</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0AE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97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r>
      <w:tr w14:paraId="78AE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E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C3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958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尺寸：1400/1400/1100  1.材质：E1级三聚氰胺饰面板；2.封边：采用同色PVC封边条3.五金配件：优质五金件4.L型，带集线孔、带柜子5、厚度≥30mm铝合金落地屏风，上玻下板质量符合国家及行业标准，具体颜色、款式以使用方确认为准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0C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DF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00A9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CF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6D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B29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尺寸：1200/720/500 1.材质：E1级三聚氰胺饰面板；2.封边：采用同色PVC封边条3.五金配件：优质五金件4.桌下三抽固定柜质量符合国家及行业标准，具体颜色、款式以使用方确认为准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57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74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r>
      <w:tr w14:paraId="4569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BC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4E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办公椅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32B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网布饰面。海绵：采用PU成型45#高密度海绵，尼龙玻纤头枕/尼龙玻纤椅背，带脚踏（后仰角度≥155°），三级气压棒。尼龙五星脚架。配PU静音轮。质量符合国家及行业标准，颜色与款式以使用方确认为准。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13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9FC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r>
      <w:tr w14:paraId="2CCB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16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1A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折叠桌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B95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尺寸：1200*500*750mm 1.材质：E1级三聚氰胺饰面板；2.封边：采用同色PVC封边条3.钢制折叠桌架4.五金配件：优质五金件5.功能: 折叠 自由组合 移动颜色与款式以使用方确认为准。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8A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C0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6F60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7D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43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卡通组合沙发</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A5D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单人：600*440*520mm双人：1060*440*520mm材质：布艺+海绵+实木框架+软包扶手颜色与款式以使用方确认为准。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BF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D4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5170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C71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125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五门文更柜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A24A">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尺寸：1180*500*1850mm 1、全钢制，一侧为通门挂衣、一侧上部为玻璃门下部为钢制门，共4门。2、优质冷轧钢板，厚度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38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0E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r>
      <w:tr w14:paraId="3251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87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55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三保文件柜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EFC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尺寸：900*400*1850mm 1、全钢制，上部为玻璃门下部为钢制门,一侧加三抽。2、优质冷轧钢板，厚度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8B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516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F78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5D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F4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二斗文件柜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5E0D">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尺寸：900*400*1850mm 1、全钢制，上部为玻璃门下部为钢制门,一侧加两抽。2、优质冷轧钢板，厚度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92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7F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r w14:paraId="5AD4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D4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5D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文件柜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57B9">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尺寸：850*390*1800mm 1、全钢制，上下通玻璃，内置7层可调节隔板。2、优质冷轧钢板，厚度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AF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9E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r>
      <w:tr w14:paraId="6D53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0C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41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会议室桌椅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D7F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桌子：尺寸：4000*1400mm桌子材质：采用E1级三聚氰胺板，5厘米加厚桌面会议椅45个：椅子：尺寸：450*450*1000材质：优质西皮，海绵坐垫，金属弓型椅架，带扶手。颜色与款式以使用方确认为准。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DA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6D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33B5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D9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16D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六门更衣柜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DBFE">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900*420*1800优质冷轧钢板，厚度≥0.6mm，表面静电粉末喷塑。优质锁具。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F9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51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069C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7D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D8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钢制凭证柜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F3D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850*350*1800优质冷轧钢板，厚度≥0.6mm，表面静电粉末喷塑。优质锁具。颜色与款式以使用方确认为准。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61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6E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438F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D5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383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凭证柜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582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白色，七层高1800*宽850*深390mm1、全钢制，上部为玻璃门下部为钢制门，共4门。2、优质冷轧钢板，厚度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C4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1D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449F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2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D0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电动式档案柜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FAE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双面档案柜尺寸：800*600*2000mm 材质：冷轧钢板，立柱厚≥1.0mm，底座厚≥1.2mm，顶板、层板厚≥0.8mm，表面静电粉末喷塑颜色与款式以使用方确认为准。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3B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61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r>
      <w:tr w14:paraId="2285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D3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38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实木讲台</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216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1400*550*760mm、实木贴皮。1、基材选用E1级中密度板；表面选用胡桃木皮贴面。2、优质五金件。                                                                                           3、油漆采用高级聚酯环保油漆，色泽美观，不变色，光滑耐磨，耐酸碱、耐腐蚀、耐油性。颜色与款式以使用方确认为准。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7B8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77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7B43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1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2A9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多功能厅椅子</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9C78">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 椅架：架子可折叠；优质钢材。2. 椅背：采用人体工学一体成型框架。材料采用工程pp材料。3. 网布：选用高弹性透气耐磨密孔网布，拉力强。4. 坐垫面料：为高弹性弹力布。5. 坐垫海绵：采用高密度定型棉。6. 坐垫底：无纺布底7. 扶手：带可翻转写字板，PP材料颜色与款式以使用方确认为准。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5D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77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r>
      <w:tr w14:paraId="2AFC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E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3A0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器械柜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5F9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规格：1000*400*2000mm1、全钢制，上部为玻璃门下部为钢制门，共4门。2、优质冷轧钢板，厚度 0.8mm。3、表面静电粉末喷塑。优质锁具。颜色与款式以使用方确认为准。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75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E3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1D2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862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C5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教师办公室吊柜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E65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约4200mm*2400mm,根据实际场地测量定制1.材质：E0级三聚氰胺饰面板；2.封边：采用同色PVC封边条3.五金配件：优质五金件质量符合国家及行业标准，具体颜色、款式以使用方确认为准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D2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浐灞一幼灞柳园区（暂定名）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30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r>
      <w:tr w14:paraId="61D3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E65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D5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园长办公桌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607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规格：1600*1600*760mm。1、面材：采用E0级三聚氰胺饰面板2、封边用材：同色PVC封边3、五金件：三级静音滑轨，阻尼铰链，优质金属三合一连接件，优质锁具。质量符合国家及行业标准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9F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555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1E42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0E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63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园长办公凳</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F7B1">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630*580*1080cm。符合人体工学。办公网布饰面；尼龙玻纤头枕/尼龙玻纤椅背；带脚踏（后仰角度可达 155°)三级气压棒；尼龙五星高脚，配黑色PU静音轮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636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56E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53AA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70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4E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行政办公桌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E665">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规格参数：尺寸1500*900*750mm含侧边柜子1、面材：采用E0级三聚氰胺饰面板2、封边用材：同色PVC封边3、五金件：三级静音滑轨，阻尼铰链，优质金属三合一连接件，优质锁具。质量符合国家及行业标准</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CD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0F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r>
      <w:tr w14:paraId="193C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8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73C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E9BF">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6000*2000*760mm。密度板，贴皮工艺1、桌面采用25mmE0级中密度纤维板，表面贴0.6mm厚木皮。实木封边，边缘厚度可根据需要大于板厚。表面pv漆（亚光）（或水性亚光漆）涂饰2、桌架：门字形或口字形金属桌架，表面静电喷塑，颜色以使用方确认为准。（如板式桌架，其板厚为16mm，其他工艺同桌面）</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7D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6F3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2319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25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F9E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会议凳子</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9F9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规格参数：会议凳子常规专业办公网布饰面、尼龙玻纤椅背，稳定性强，符合人体工学。</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86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1E7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r>
      <w:tr w14:paraId="5794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862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52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凭证柜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0C42">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白色冷轧钢板高1800*宽850*深390MM厚≥1.1MM静电粉末喷塑1、接触人体部分均采用翻边工艺，杜绝缺口，不易伤手；采用顶尖，无味，无污染。2、产品经过脱脂、纯净水清洗、加温除油磷化、表调、干燥工艺，确保表面不含油污及锈蚀；具有耐阳光强射，不易褪色而且易于清洗；3、焊接部分采用高标准熔接焊，表面平整光洁；表面涂层坚固耐用，耐冲压，耐腐蚀，防潮不易变形。</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A3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DE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r>
      <w:tr w14:paraId="5C94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92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9C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教师办公桌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E94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规格参数：尺寸1400*900*750mm  浅木纹色材质:采用E0级三聚氰胺饰面板。封边:选用同色PVC封边优质五金。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80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63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r>
      <w:tr w14:paraId="6C05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D6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2F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教职工椅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DA56">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尺寸620/580/1080；符合人体工学。办公网布饰面；尼龙玻纤头枕/尼龙玻纤椅背；带脚踏（后仰角度可达155°)三级气压棒；尼龙五星高脚，配黑色PU静音轮</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44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CC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r>
      <w:tr w14:paraId="6E1F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A3F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C4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三座沙发3+1+1含茶几</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9B2C">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三座沙发：215*85*95cm 单人沙发：120*85*95cm 框架：木骨架  内部填充物：高弹泡沫海绵材质：科技布 茶几：100*60*40cm    材质：木质+钢架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22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D5E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1C93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B8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E0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书柜</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8844">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五门柜3300mmx2000mmx600mm1、采用25mmE0级中密度纤维板，表面贴0.6厚木皮。实木封边，边缘厚度可根据需要大于板厚。表面pv漆（亚光）（或水性亚光漆）涂饰，经防潮、防虫、防腐处理，抗弯力强，不易变形。2、五金配件：采用国家标准五金配件，所有五金件做防锈、防腐处理。3、封边：采用封边带，同色封边。</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D8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33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3A19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7F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B1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档案柜4开门</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26D3">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规格：1800*850*390mm；白色灰框边，冷轧钢板，高1800*宽850*深390mm，钢板柜体0.6mm，搁板0.8mm，边缘3折边，门板1mm，静电粉末喷塑接触人体部分均采用翻边工艺</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9D3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301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r w14:paraId="4D3E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1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A5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折叠椅</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0B80">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规格参数：尺寸：620/580/1080mm1. 椅架：架子可折叠；优质钢材。2. 椅背：采用人体工学一体成型框架。材料采用工程pp材料。3. 网布：选用高弹性透气耐磨密孔网布，拉力强。4. 坐垫面料：为高弹性弹力布。5. 坐垫海绵：采用高密度定型棉。6. 座板：可翻转收纳7. 坐垫底：无纺布底8. 扶手：固定扶手9. 椅架脚垫：防滑PP脚垫。</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D5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427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150</w:t>
            </w:r>
          </w:p>
        </w:tc>
      </w:tr>
      <w:tr w14:paraId="3481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B3B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83A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折叠桌</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13F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尺寸：1200*500*750mm 材质: 钢木   功能: 折叠 自由组合 移动板材：采用E1级人造板。五金配件：优质五金。</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5B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浐灞二幼奥园誉府（暂定名）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EC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r>
    </w:tbl>
    <w:p w14:paraId="45A32B0D">
      <w:pPr>
        <w:jc w:val="center"/>
        <w:rPr>
          <w:rFonts w:hint="eastAsia" w:ascii="仿宋" w:hAnsi="仿宋" w:eastAsia="仿宋" w:cs="仿宋"/>
          <w:b/>
          <w:bCs/>
          <w:i w:val="0"/>
          <w:iCs w:val="0"/>
          <w:caps w:val="0"/>
          <w:color w:val="auto"/>
          <w:spacing w:val="0"/>
          <w:sz w:val="24"/>
          <w:szCs w:val="24"/>
          <w:highlight w:val="none"/>
          <w:shd w:val="clear" w:fill="FFFFFF"/>
          <w:lang w:val="en-US" w:eastAsia="zh-CN"/>
        </w:rPr>
      </w:pPr>
    </w:p>
    <w:p w14:paraId="177CE17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footerReference r:id="rId8" w:type="default"/>
          <w:pgSz w:w="16840" w:h="11907" w:orient="landscape"/>
          <w:pgMar w:top="1134" w:right="1134" w:bottom="1134" w:left="1134" w:header="851" w:footer="851" w:gutter="0"/>
          <w:pgBorders w:offsetFrom="page">
            <w:top w:val="none" w:sz="0" w:space="0"/>
            <w:left w:val="none" w:sz="0" w:space="0"/>
            <w:bottom w:val="none" w:sz="0" w:space="0"/>
            <w:right w:val="none" w:sz="0" w:space="0"/>
          </w:pgBorders>
          <w:pgNumType w:fmt="decimal"/>
          <w:cols w:space="720" w:num="1"/>
          <w:docGrid w:linePitch="462" w:charSpace="0"/>
        </w:sectPr>
      </w:pP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08"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307"/>
      <w:bookmarkEnd w:id="308"/>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551985F1">
      <w:pPr>
        <w:shd w:val="clear" w:color="auto" w:fill="auto"/>
        <w:rPr>
          <w:rFonts w:hint="eastAsia" w:ascii="仿宋" w:hAnsi="仿宋" w:eastAsia="仿宋" w:cs="仿宋"/>
          <w:b/>
          <w:bCs/>
          <w:color w:val="auto"/>
          <w:sz w:val="30"/>
          <w:szCs w:val="30"/>
          <w:highlight w:val="none"/>
          <w:lang w:val="zh-CN"/>
        </w:rPr>
      </w:pP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采购项目编号：SCZC2025-ZB-1422-001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16A15D83">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21BA0167">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西安浐灞国际港教育局2025年全区学校教育教学设施设备采购项目第二批（家具类）</w:t>
      </w: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3B1F8C8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spacing w:line="24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包号：第</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lang w:val="en-US" w:eastAsia="zh-CN"/>
        </w:rPr>
        <w:t>包</w:t>
      </w: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9" w:name="_Toc18974"/>
      <w:bookmarkStart w:id="310" w:name="_Toc60929126"/>
      <w:bookmarkStart w:id="311" w:name="_Toc18694"/>
      <w:bookmarkStart w:id="312" w:name="_Toc515647803"/>
      <w:bookmarkStart w:id="313" w:name="_Toc532473494"/>
      <w:bookmarkStart w:id="314"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9"/>
      <w:bookmarkEnd w:id="310"/>
      <w:bookmarkEnd w:id="311"/>
      <w:bookmarkEnd w:id="312"/>
      <w:bookmarkEnd w:id="313"/>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w:t>
      </w:r>
      <w:r>
        <w:rPr>
          <w:rFonts w:hint="eastAsia" w:ascii="仿宋" w:hAnsi="仿宋" w:eastAsia="仿宋" w:cs="仿宋"/>
          <w:color w:val="auto"/>
          <w:sz w:val="24"/>
          <w:highlight w:val="none"/>
        </w:rPr>
        <w:t>按照招标文件的规定，我公司投标总价为：</w:t>
      </w:r>
      <w:r>
        <w:rPr>
          <w:rFonts w:hint="eastAsia" w:ascii="仿宋" w:hAnsi="仿宋" w:eastAsia="仿宋" w:cs="仿宋"/>
          <w:color w:val="auto"/>
          <w:sz w:val="24"/>
          <w:highlight w:val="none"/>
          <w:u w:val="single"/>
        </w:rPr>
        <w:t>人民币（大写）　　  元（</w:t>
      </w:r>
      <w:r>
        <w:rPr>
          <w:rFonts w:hint="eastAsia" w:ascii="仿宋" w:hAnsi="仿宋" w:eastAsia="仿宋" w:cs="仿宋"/>
          <w:color w:val="auto"/>
          <w:sz w:val="24"/>
          <w:highlight w:val="none"/>
          <w:u w:val="single"/>
          <w:lang w:val="en-US" w:eastAsia="zh-CN"/>
        </w:rPr>
        <w:t>小写</w:t>
      </w:r>
      <w:r>
        <w:rPr>
          <w:rFonts w:hint="eastAsia" w:ascii="仿宋" w:hAnsi="仿宋" w:eastAsia="仿宋" w:cs="仿宋"/>
          <w:color w:val="auto"/>
          <w:sz w:val="24"/>
          <w:highlight w:val="none"/>
          <w:u w:val="single"/>
        </w:rPr>
        <w:t>￥：   元）</w:t>
      </w:r>
      <w:r>
        <w:rPr>
          <w:rFonts w:hint="eastAsia" w:ascii="仿宋" w:hAnsi="仿宋" w:eastAsia="仿宋" w:cs="仿宋"/>
          <w:color w:val="auto"/>
          <w:sz w:val="24"/>
          <w:highlight w:val="none"/>
        </w:rPr>
        <w:t>，其中由小型和微型企业制造产品的价格为</w:t>
      </w:r>
      <w:r>
        <w:rPr>
          <w:rFonts w:hint="eastAsia" w:ascii="仿宋" w:hAnsi="仿宋" w:eastAsia="仿宋" w:cs="仿宋"/>
          <w:color w:val="auto"/>
          <w:sz w:val="24"/>
          <w:highlight w:val="none"/>
          <w:u w:val="single"/>
        </w:rPr>
        <w:t>人民币（大写）　　  元（</w:t>
      </w:r>
      <w:r>
        <w:rPr>
          <w:rFonts w:hint="eastAsia" w:ascii="仿宋" w:hAnsi="仿宋" w:eastAsia="仿宋" w:cs="仿宋"/>
          <w:color w:val="auto"/>
          <w:sz w:val="24"/>
          <w:highlight w:val="none"/>
          <w:u w:val="single"/>
          <w:lang w:val="en-US" w:eastAsia="zh-CN"/>
        </w:rPr>
        <w:t>小写</w:t>
      </w:r>
      <w:r>
        <w:rPr>
          <w:rFonts w:hint="eastAsia" w:ascii="仿宋" w:hAnsi="仿宋" w:eastAsia="仿宋" w:cs="仿宋"/>
          <w:color w:val="auto"/>
          <w:sz w:val="24"/>
          <w:highlight w:val="none"/>
          <w:u w:val="single"/>
        </w:rPr>
        <w:t>￥：   元），占投标总价的   %。</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0E87C1B4">
      <w:pPr>
        <w:widowControl w:val="0"/>
        <w:shd w:val="clear" w:color="auto" w:fill="auto"/>
        <w:spacing w:before="120" w:line="22" w:lineRule="atLeast"/>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2C0212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tbl>
      <w:tblPr>
        <w:tblStyle w:val="18"/>
        <w:tblW w:w="4998" w:type="pct"/>
        <w:jc w:val="center"/>
        <w:tblLayout w:type="autofit"/>
        <w:tblCellMar>
          <w:top w:w="0" w:type="dxa"/>
          <w:left w:w="0" w:type="dxa"/>
          <w:bottom w:w="0" w:type="dxa"/>
          <w:right w:w="0" w:type="dxa"/>
        </w:tblCellMar>
      </w:tblPr>
      <w:tblGrid>
        <w:gridCol w:w="3051"/>
        <w:gridCol w:w="1884"/>
        <w:gridCol w:w="1980"/>
        <w:gridCol w:w="1381"/>
      </w:tblGrid>
      <w:tr w14:paraId="364815D4">
        <w:tblPrEx>
          <w:tblCellMar>
            <w:top w:w="0" w:type="dxa"/>
            <w:left w:w="0" w:type="dxa"/>
            <w:bottom w:w="0" w:type="dxa"/>
            <w:right w:w="0" w:type="dxa"/>
          </w:tblCellMar>
        </w:tblPrEx>
        <w:trPr>
          <w:trHeight w:val="662" w:hRule="atLeast"/>
          <w:jc w:val="center"/>
        </w:trPr>
        <w:tc>
          <w:tcPr>
            <w:tcW w:w="1838" w:type="pct"/>
            <w:tcBorders>
              <w:top w:val="single" w:color="auto" w:sz="4" w:space="0"/>
              <w:left w:val="single" w:color="auto" w:sz="8" w:space="0"/>
              <w:bottom w:val="single" w:color="auto" w:sz="8" w:space="0"/>
              <w:right w:val="single" w:color="auto" w:sz="4" w:space="0"/>
            </w:tcBorders>
            <w:noWrap w:val="0"/>
            <w:vAlign w:val="center"/>
          </w:tcPr>
          <w:p w14:paraId="022BE665">
            <w:pPr>
              <w:tabs>
                <w:tab w:val="left" w:pos="5580"/>
              </w:tabs>
              <w:jc w:val="center"/>
              <w:rPr>
                <w:rFonts w:eastAsia="黑体"/>
                <w:color w:val="auto"/>
                <w:sz w:val="24"/>
                <w:highlight w:val="none"/>
              </w:rPr>
            </w:pPr>
            <w:r>
              <w:rPr>
                <w:rFonts w:eastAsia="黑体"/>
                <w:color w:val="auto"/>
                <w:sz w:val="24"/>
                <w:highlight w:val="none"/>
              </w:rPr>
              <w:t>投标总价（单位：元）</w:t>
            </w:r>
          </w:p>
        </w:tc>
        <w:tc>
          <w:tcPr>
            <w:tcW w:w="1135" w:type="pct"/>
            <w:tcBorders>
              <w:top w:val="single" w:color="auto" w:sz="8" w:space="0"/>
              <w:left w:val="nil"/>
              <w:bottom w:val="single" w:color="auto" w:sz="8" w:space="0"/>
              <w:right w:val="single" w:color="auto" w:sz="4" w:space="0"/>
            </w:tcBorders>
            <w:noWrap w:val="0"/>
            <w:vAlign w:val="center"/>
          </w:tcPr>
          <w:p w14:paraId="2AD75680">
            <w:pPr>
              <w:tabs>
                <w:tab w:val="left" w:pos="5580"/>
              </w:tabs>
              <w:jc w:val="center"/>
              <w:rPr>
                <w:rFonts w:eastAsia="黑体"/>
                <w:color w:val="auto"/>
                <w:sz w:val="24"/>
                <w:highlight w:val="none"/>
              </w:rPr>
            </w:pPr>
            <w:r>
              <w:rPr>
                <w:rFonts w:hint="eastAsia" w:eastAsia="黑体"/>
                <w:color w:val="auto"/>
                <w:sz w:val="24"/>
                <w:highlight w:val="none"/>
              </w:rPr>
              <w:t>合同履行期限</w:t>
            </w:r>
          </w:p>
        </w:tc>
        <w:tc>
          <w:tcPr>
            <w:tcW w:w="1193" w:type="pct"/>
            <w:tcBorders>
              <w:top w:val="single" w:color="auto" w:sz="8" w:space="0"/>
              <w:left w:val="nil"/>
              <w:bottom w:val="single" w:color="auto" w:sz="8" w:space="0"/>
              <w:right w:val="single" w:color="auto" w:sz="4" w:space="0"/>
            </w:tcBorders>
            <w:noWrap w:val="0"/>
            <w:vAlign w:val="center"/>
          </w:tcPr>
          <w:p w14:paraId="60FFF6AC">
            <w:pPr>
              <w:tabs>
                <w:tab w:val="left" w:pos="5580"/>
              </w:tabs>
              <w:jc w:val="center"/>
              <w:rPr>
                <w:rFonts w:eastAsia="黑体"/>
                <w:color w:val="auto"/>
                <w:sz w:val="24"/>
                <w:highlight w:val="none"/>
              </w:rPr>
            </w:pPr>
            <w:r>
              <w:rPr>
                <w:rFonts w:eastAsia="黑体"/>
                <w:color w:val="auto"/>
                <w:sz w:val="24"/>
                <w:highlight w:val="none"/>
              </w:rPr>
              <w:t>交货地点</w:t>
            </w:r>
          </w:p>
        </w:tc>
        <w:tc>
          <w:tcPr>
            <w:tcW w:w="832" w:type="pct"/>
            <w:tcBorders>
              <w:top w:val="single" w:color="auto" w:sz="8" w:space="0"/>
              <w:left w:val="single" w:color="auto" w:sz="4" w:space="0"/>
              <w:bottom w:val="single" w:color="auto" w:sz="8" w:space="0"/>
              <w:right w:val="single" w:color="auto" w:sz="8" w:space="0"/>
            </w:tcBorders>
            <w:noWrap w:val="0"/>
            <w:vAlign w:val="center"/>
          </w:tcPr>
          <w:p w14:paraId="401CC613">
            <w:pPr>
              <w:tabs>
                <w:tab w:val="left" w:pos="5580"/>
              </w:tabs>
              <w:jc w:val="center"/>
              <w:rPr>
                <w:rFonts w:hint="eastAsia" w:eastAsia="黑体"/>
                <w:color w:val="auto"/>
                <w:sz w:val="24"/>
                <w:highlight w:val="none"/>
                <w:lang w:val="en-US" w:eastAsia="zh-CN"/>
              </w:rPr>
            </w:pPr>
            <w:r>
              <w:rPr>
                <w:rFonts w:hint="eastAsia" w:eastAsia="黑体"/>
                <w:color w:val="auto"/>
                <w:sz w:val="24"/>
                <w:highlight w:val="none"/>
                <w:lang w:val="en-US" w:eastAsia="zh-CN"/>
              </w:rPr>
              <w:t>质保期</w:t>
            </w:r>
          </w:p>
        </w:tc>
      </w:tr>
      <w:tr w14:paraId="346765E9">
        <w:tblPrEx>
          <w:tblCellMar>
            <w:top w:w="0" w:type="dxa"/>
            <w:left w:w="0" w:type="dxa"/>
            <w:bottom w:w="0" w:type="dxa"/>
            <w:right w:w="0" w:type="dxa"/>
          </w:tblCellMar>
        </w:tblPrEx>
        <w:trPr>
          <w:cantSplit/>
          <w:trHeight w:val="1640" w:hRule="atLeast"/>
          <w:jc w:val="center"/>
        </w:trPr>
        <w:tc>
          <w:tcPr>
            <w:tcW w:w="1838" w:type="pct"/>
            <w:tcBorders>
              <w:top w:val="single" w:color="auto" w:sz="8" w:space="0"/>
              <w:left w:val="single" w:color="auto" w:sz="8" w:space="0"/>
              <w:bottom w:val="single" w:color="auto" w:sz="4" w:space="0"/>
              <w:right w:val="single" w:color="auto" w:sz="4" w:space="0"/>
            </w:tcBorders>
            <w:noWrap w:val="0"/>
            <w:vAlign w:val="center"/>
          </w:tcPr>
          <w:p w14:paraId="242000D4">
            <w:pPr>
              <w:tabs>
                <w:tab w:val="left" w:pos="5580"/>
              </w:tabs>
              <w:spacing w:line="360" w:lineRule="auto"/>
              <w:jc w:val="left"/>
              <w:rPr>
                <w:rFonts w:eastAsia="仿宋_GB2312"/>
                <w:color w:val="auto"/>
                <w:sz w:val="24"/>
                <w:highlight w:val="none"/>
              </w:rPr>
            </w:pPr>
            <w:r>
              <w:rPr>
                <w:rFonts w:eastAsia="仿宋_GB2312"/>
                <w:color w:val="auto"/>
                <w:sz w:val="24"/>
                <w:highlight w:val="none"/>
              </w:rPr>
              <w:t>大写：</w:t>
            </w:r>
          </w:p>
          <w:p w14:paraId="32A63167">
            <w:pPr>
              <w:tabs>
                <w:tab w:val="left" w:pos="5580"/>
              </w:tabs>
              <w:spacing w:line="360" w:lineRule="auto"/>
              <w:jc w:val="left"/>
              <w:rPr>
                <w:rFonts w:eastAsia="仿宋_GB2312"/>
                <w:color w:val="auto"/>
                <w:sz w:val="24"/>
                <w:highlight w:val="none"/>
              </w:rPr>
            </w:pPr>
            <w:r>
              <w:rPr>
                <w:rFonts w:eastAsia="仿宋_GB2312"/>
                <w:color w:val="auto"/>
                <w:sz w:val="24"/>
                <w:highlight w:val="none"/>
              </w:rPr>
              <w:t>小写：</w:t>
            </w:r>
          </w:p>
        </w:tc>
        <w:tc>
          <w:tcPr>
            <w:tcW w:w="1135" w:type="pct"/>
            <w:tcBorders>
              <w:top w:val="single" w:color="auto" w:sz="8" w:space="0"/>
              <w:left w:val="nil"/>
              <w:bottom w:val="single" w:color="auto" w:sz="4" w:space="0"/>
              <w:right w:val="single" w:color="auto" w:sz="4" w:space="0"/>
            </w:tcBorders>
            <w:noWrap w:val="0"/>
            <w:vAlign w:val="center"/>
          </w:tcPr>
          <w:p w14:paraId="3CB1443C">
            <w:pPr>
              <w:tabs>
                <w:tab w:val="left" w:pos="5580"/>
              </w:tabs>
              <w:spacing w:line="360" w:lineRule="auto"/>
              <w:ind w:left="1080" w:leftChars="257" w:hanging="540"/>
              <w:jc w:val="center"/>
              <w:rPr>
                <w:rFonts w:eastAsia="仿宋_GB2312"/>
                <w:color w:val="auto"/>
                <w:sz w:val="24"/>
                <w:highlight w:val="none"/>
              </w:rPr>
            </w:pPr>
          </w:p>
        </w:tc>
        <w:tc>
          <w:tcPr>
            <w:tcW w:w="1193" w:type="pct"/>
            <w:tcBorders>
              <w:top w:val="single" w:color="auto" w:sz="8" w:space="0"/>
              <w:left w:val="nil"/>
              <w:bottom w:val="single" w:color="auto" w:sz="4" w:space="0"/>
              <w:right w:val="single" w:color="auto" w:sz="4" w:space="0"/>
            </w:tcBorders>
            <w:noWrap w:val="0"/>
            <w:vAlign w:val="center"/>
          </w:tcPr>
          <w:p w14:paraId="39C3800C">
            <w:pPr>
              <w:tabs>
                <w:tab w:val="left" w:pos="5580"/>
              </w:tabs>
              <w:spacing w:line="360" w:lineRule="auto"/>
              <w:ind w:left="1080" w:leftChars="257" w:hanging="540"/>
              <w:jc w:val="center"/>
              <w:rPr>
                <w:rFonts w:eastAsia="仿宋_GB2312"/>
                <w:color w:val="auto"/>
                <w:sz w:val="24"/>
                <w:highlight w:val="none"/>
              </w:rPr>
            </w:pPr>
          </w:p>
        </w:tc>
        <w:tc>
          <w:tcPr>
            <w:tcW w:w="832" w:type="pct"/>
            <w:tcBorders>
              <w:top w:val="single" w:color="auto" w:sz="8" w:space="0"/>
              <w:left w:val="single" w:color="auto" w:sz="4" w:space="0"/>
              <w:bottom w:val="single" w:color="auto" w:sz="4" w:space="0"/>
              <w:right w:val="single" w:color="auto" w:sz="8" w:space="0"/>
            </w:tcBorders>
            <w:noWrap w:val="0"/>
            <w:vAlign w:val="center"/>
          </w:tcPr>
          <w:p w14:paraId="3DD11214">
            <w:pPr>
              <w:tabs>
                <w:tab w:val="left" w:pos="5580"/>
              </w:tabs>
              <w:spacing w:line="360" w:lineRule="auto"/>
              <w:ind w:left="1080" w:leftChars="257" w:hanging="540"/>
              <w:jc w:val="center"/>
              <w:rPr>
                <w:rFonts w:eastAsia="仿宋_GB2312"/>
                <w:color w:val="auto"/>
                <w:sz w:val="24"/>
                <w:highlight w:val="none"/>
              </w:rPr>
            </w:pPr>
          </w:p>
        </w:tc>
      </w:tr>
    </w:tbl>
    <w:p w14:paraId="194B4124">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r>
        <w:rPr>
          <w:rFonts w:hint="eastAsia" w:ascii="仿宋" w:hAnsi="仿宋" w:eastAsia="仿宋" w:cs="仿宋"/>
          <w:color w:val="auto"/>
          <w:sz w:val="24"/>
          <w:highlight w:val="none"/>
        </w:rPr>
        <w:t>此表中，每</w:t>
      </w:r>
      <w:r>
        <w:rPr>
          <w:rFonts w:hint="eastAsia" w:ascii="仿宋" w:hAnsi="仿宋" w:eastAsia="仿宋" w:cs="仿宋"/>
          <w:color w:val="auto"/>
          <w:sz w:val="24"/>
          <w:highlight w:val="none"/>
          <w:lang w:val="en-US" w:eastAsia="zh-CN"/>
        </w:rPr>
        <w:t>标包</w:t>
      </w:r>
      <w:r>
        <w:rPr>
          <w:rFonts w:hint="eastAsia" w:ascii="仿宋" w:hAnsi="仿宋" w:eastAsia="仿宋" w:cs="仿宋"/>
          <w:color w:val="auto"/>
          <w:sz w:val="24"/>
          <w:highlight w:val="none"/>
        </w:rPr>
        <w:t>的投标总价应和投标分项报价表的总价相一致。</w:t>
      </w:r>
    </w:p>
    <w:p w14:paraId="0E7FE7A3">
      <w:pPr>
        <w:shd w:val="clear" w:color="auto" w:fill="auto"/>
        <w:jc w:val="left"/>
        <w:rPr>
          <w:rFonts w:hint="default" w:ascii="仿宋" w:hAnsi="仿宋" w:eastAsia="仿宋" w:cs="仿宋"/>
          <w:color w:val="auto"/>
          <w:sz w:val="24"/>
          <w:highlight w:val="none"/>
          <w:lang w:val="en-US" w:eastAsia="zh-CN"/>
        </w:rPr>
      </w:pP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0"/>
          <w:highlight w:val="none"/>
          <w:lang w:val="en-US" w:eastAsia="zh-CN" w:bidi="ar-SA"/>
        </w:rPr>
        <w:t>盖</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u w:val="single"/>
          <w:lang w:val="en-US" w:eastAsia="zh-CN" w:bidi="ar-SA"/>
        </w:rPr>
        <w:sectPr>
          <w:footerReference r:id="rId9"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51ADA697">
      <w:pPr>
        <w:pStyle w:val="6"/>
        <w:tabs>
          <w:tab w:val="left" w:pos="588"/>
        </w:tabs>
        <w:jc w:val="both"/>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分项报价表</w:t>
      </w:r>
    </w:p>
    <w:p w14:paraId="77D7D5EB">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3B0C68C">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7273529A">
      <w:pPr>
        <w:pStyle w:val="10"/>
        <w:rPr>
          <w:rFonts w:ascii="仿宋" w:hAnsi="仿宋" w:eastAsia="仿宋" w:cs="仿宋"/>
          <w:color w:val="auto"/>
          <w:sz w:val="24"/>
          <w:highlight w:val="none"/>
          <w:u w:val="singl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3E8C2775">
      <w:pPr>
        <w:pStyle w:val="10"/>
        <w:rPr>
          <w:rFonts w:hint="eastAsia"/>
          <w:highlight w:val="none"/>
          <w:lang w:eastAsia="zh-CN"/>
        </w:rPr>
      </w:pPr>
    </w:p>
    <w:tbl>
      <w:tblPr>
        <w:tblStyle w:val="1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22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504924">
            <w:pPr>
              <w:adjustRightInd w:val="0"/>
              <w:snapToGrid w:val="0"/>
              <w:spacing w:line="360" w:lineRule="auto"/>
              <w:jc w:val="center"/>
              <w:rPr>
                <w:rFonts w:eastAsia="黑体"/>
                <w:color w:val="auto"/>
                <w:sz w:val="24"/>
                <w:highlight w:val="none"/>
              </w:rPr>
            </w:pPr>
            <w:r>
              <w:rPr>
                <w:rFonts w:eastAsia="黑体"/>
                <w:color w:val="auto"/>
                <w:sz w:val="24"/>
                <w:highlight w:val="none"/>
              </w:rPr>
              <w:t>序号</w:t>
            </w:r>
          </w:p>
        </w:tc>
        <w:tc>
          <w:tcPr>
            <w:tcW w:w="1428" w:type="dxa"/>
            <w:noWrap w:val="0"/>
            <w:vAlign w:val="center"/>
          </w:tcPr>
          <w:p w14:paraId="3F207A37">
            <w:pPr>
              <w:adjustRightInd w:val="0"/>
              <w:snapToGrid w:val="0"/>
              <w:spacing w:line="360" w:lineRule="auto"/>
              <w:jc w:val="center"/>
              <w:rPr>
                <w:rFonts w:eastAsia="黑体"/>
                <w:color w:val="auto"/>
                <w:sz w:val="24"/>
                <w:highlight w:val="none"/>
              </w:rPr>
            </w:pPr>
            <w:r>
              <w:rPr>
                <w:rFonts w:eastAsia="黑体"/>
                <w:color w:val="auto"/>
                <w:sz w:val="24"/>
                <w:highlight w:val="none"/>
              </w:rPr>
              <w:t>产品</w:t>
            </w:r>
          </w:p>
          <w:p w14:paraId="36CEA6B4">
            <w:pPr>
              <w:adjustRightInd w:val="0"/>
              <w:snapToGrid w:val="0"/>
              <w:spacing w:line="360" w:lineRule="auto"/>
              <w:jc w:val="center"/>
              <w:rPr>
                <w:rFonts w:eastAsia="黑体"/>
                <w:color w:val="auto"/>
                <w:sz w:val="24"/>
                <w:highlight w:val="none"/>
              </w:rPr>
            </w:pPr>
            <w:r>
              <w:rPr>
                <w:rFonts w:eastAsia="黑体"/>
                <w:color w:val="auto"/>
                <w:sz w:val="24"/>
                <w:highlight w:val="none"/>
              </w:rPr>
              <w:t>名称</w:t>
            </w:r>
          </w:p>
        </w:tc>
        <w:tc>
          <w:tcPr>
            <w:tcW w:w="1188" w:type="dxa"/>
            <w:noWrap w:val="0"/>
            <w:vAlign w:val="center"/>
          </w:tcPr>
          <w:p w14:paraId="0EFDE95F">
            <w:pPr>
              <w:adjustRightInd w:val="0"/>
              <w:snapToGrid w:val="0"/>
              <w:spacing w:line="360" w:lineRule="auto"/>
              <w:jc w:val="center"/>
              <w:rPr>
                <w:rFonts w:hint="eastAsia" w:eastAsia="黑体"/>
                <w:color w:val="auto"/>
                <w:sz w:val="24"/>
                <w:highlight w:val="none"/>
                <w:lang w:val="zh-CN"/>
              </w:rPr>
            </w:pPr>
            <w:r>
              <w:rPr>
                <w:rFonts w:hint="eastAsia" w:eastAsia="黑体"/>
                <w:color w:val="auto"/>
                <w:sz w:val="24"/>
                <w:highlight w:val="none"/>
                <w:lang w:val="zh-CN"/>
              </w:rPr>
              <w:t>规格</w:t>
            </w:r>
          </w:p>
          <w:p w14:paraId="5DD88A36">
            <w:pPr>
              <w:adjustRightInd w:val="0"/>
              <w:snapToGrid w:val="0"/>
              <w:spacing w:line="360" w:lineRule="auto"/>
              <w:jc w:val="center"/>
              <w:rPr>
                <w:rFonts w:hint="eastAsia" w:eastAsia="黑体"/>
                <w:color w:val="auto"/>
                <w:sz w:val="24"/>
                <w:highlight w:val="none"/>
                <w:lang w:eastAsia="zh-CN"/>
              </w:rPr>
            </w:pPr>
            <w:r>
              <w:rPr>
                <w:rFonts w:hint="eastAsia" w:eastAsia="黑体"/>
                <w:color w:val="auto"/>
                <w:sz w:val="24"/>
                <w:highlight w:val="none"/>
                <w:lang w:val="en-US" w:eastAsia="zh-CN"/>
              </w:rPr>
              <w:t>参数</w:t>
            </w:r>
          </w:p>
        </w:tc>
        <w:tc>
          <w:tcPr>
            <w:tcW w:w="1560" w:type="dxa"/>
            <w:noWrap w:val="0"/>
            <w:vAlign w:val="center"/>
          </w:tcPr>
          <w:p w14:paraId="11B2A51B">
            <w:pPr>
              <w:adjustRightInd w:val="0"/>
              <w:snapToGrid w:val="0"/>
              <w:spacing w:line="360" w:lineRule="auto"/>
              <w:jc w:val="center"/>
              <w:rPr>
                <w:rFonts w:eastAsia="黑体"/>
                <w:color w:val="auto"/>
                <w:sz w:val="24"/>
                <w:highlight w:val="none"/>
              </w:rPr>
            </w:pPr>
            <w:r>
              <w:rPr>
                <w:rFonts w:eastAsia="黑体"/>
                <w:color w:val="auto"/>
                <w:sz w:val="24"/>
                <w:highlight w:val="none"/>
              </w:rPr>
              <w:t>制造</w:t>
            </w:r>
          </w:p>
          <w:p w14:paraId="744707BB">
            <w:pPr>
              <w:adjustRightInd w:val="0"/>
              <w:snapToGrid w:val="0"/>
              <w:spacing w:line="360" w:lineRule="auto"/>
              <w:jc w:val="center"/>
              <w:rPr>
                <w:rFonts w:eastAsia="黑体"/>
                <w:color w:val="auto"/>
                <w:sz w:val="24"/>
                <w:highlight w:val="none"/>
              </w:rPr>
            </w:pPr>
            <w:r>
              <w:rPr>
                <w:rFonts w:eastAsia="黑体"/>
                <w:color w:val="auto"/>
                <w:sz w:val="24"/>
                <w:highlight w:val="none"/>
              </w:rPr>
              <w:t>厂家</w:t>
            </w:r>
          </w:p>
        </w:tc>
        <w:tc>
          <w:tcPr>
            <w:tcW w:w="992" w:type="dxa"/>
            <w:noWrap w:val="0"/>
            <w:vAlign w:val="center"/>
          </w:tcPr>
          <w:p w14:paraId="20E9B937">
            <w:pPr>
              <w:adjustRightInd w:val="0"/>
              <w:snapToGrid w:val="0"/>
              <w:spacing w:line="360" w:lineRule="auto"/>
              <w:jc w:val="center"/>
              <w:rPr>
                <w:rFonts w:eastAsia="黑体"/>
                <w:color w:val="auto"/>
                <w:sz w:val="24"/>
                <w:highlight w:val="none"/>
              </w:rPr>
            </w:pPr>
            <w:r>
              <w:rPr>
                <w:rFonts w:eastAsia="黑体"/>
                <w:color w:val="auto"/>
                <w:sz w:val="24"/>
                <w:highlight w:val="none"/>
              </w:rPr>
              <w:t>数量</w:t>
            </w:r>
          </w:p>
        </w:tc>
        <w:tc>
          <w:tcPr>
            <w:tcW w:w="1276" w:type="dxa"/>
            <w:noWrap w:val="0"/>
            <w:vAlign w:val="center"/>
          </w:tcPr>
          <w:p w14:paraId="4EBE9BA4">
            <w:pPr>
              <w:adjustRightInd w:val="0"/>
              <w:snapToGrid w:val="0"/>
              <w:spacing w:line="360" w:lineRule="auto"/>
              <w:jc w:val="center"/>
              <w:rPr>
                <w:rFonts w:eastAsia="黑体"/>
                <w:color w:val="auto"/>
                <w:sz w:val="24"/>
                <w:highlight w:val="none"/>
              </w:rPr>
            </w:pPr>
            <w:r>
              <w:rPr>
                <w:rFonts w:eastAsia="黑体"/>
                <w:color w:val="auto"/>
                <w:sz w:val="24"/>
                <w:highlight w:val="none"/>
              </w:rPr>
              <w:t>单价</w:t>
            </w:r>
          </w:p>
        </w:tc>
        <w:tc>
          <w:tcPr>
            <w:tcW w:w="1134" w:type="dxa"/>
            <w:noWrap w:val="0"/>
            <w:vAlign w:val="center"/>
          </w:tcPr>
          <w:p w14:paraId="4BF65EBC">
            <w:pPr>
              <w:adjustRightInd w:val="0"/>
              <w:snapToGrid w:val="0"/>
              <w:spacing w:line="360" w:lineRule="auto"/>
              <w:jc w:val="center"/>
              <w:rPr>
                <w:rFonts w:eastAsia="黑体"/>
                <w:color w:val="auto"/>
                <w:sz w:val="24"/>
                <w:highlight w:val="none"/>
              </w:rPr>
            </w:pPr>
            <w:r>
              <w:rPr>
                <w:rFonts w:eastAsia="黑体"/>
                <w:color w:val="auto"/>
                <w:sz w:val="24"/>
                <w:highlight w:val="none"/>
              </w:rPr>
              <w:t>小计</w:t>
            </w:r>
          </w:p>
        </w:tc>
        <w:tc>
          <w:tcPr>
            <w:tcW w:w="708" w:type="dxa"/>
            <w:noWrap w:val="0"/>
            <w:vAlign w:val="center"/>
          </w:tcPr>
          <w:p w14:paraId="63C99D66">
            <w:pPr>
              <w:adjustRightInd w:val="0"/>
              <w:snapToGrid w:val="0"/>
              <w:spacing w:line="360" w:lineRule="auto"/>
              <w:jc w:val="center"/>
              <w:rPr>
                <w:rFonts w:eastAsia="黑体"/>
                <w:color w:val="auto"/>
                <w:sz w:val="24"/>
                <w:highlight w:val="none"/>
              </w:rPr>
            </w:pPr>
            <w:r>
              <w:rPr>
                <w:rFonts w:eastAsia="黑体"/>
                <w:color w:val="auto"/>
                <w:sz w:val="24"/>
                <w:highlight w:val="none"/>
              </w:rPr>
              <w:t>备注</w:t>
            </w:r>
          </w:p>
        </w:tc>
      </w:tr>
      <w:tr w14:paraId="64C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0EF17ED">
            <w:pPr>
              <w:adjustRightInd w:val="0"/>
              <w:snapToGrid w:val="0"/>
              <w:spacing w:line="360" w:lineRule="auto"/>
              <w:rPr>
                <w:rFonts w:eastAsia="仿宋_GB2312"/>
                <w:color w:val="auto"/>
                <w:sz w:val="24"/>
                <w:highlight w:val="none"/>
              </w:rPr>
            </w:pPr>
          </w:p>
        </w:tc>
        <w:tc>
          <w:tcPr>
            <w:tcW w:w="1428" w:type="dxa"/>
            <w:noWrap w:val="0"/>
            <w:vAlign w:val="center"/>
          </w:tcPr>
          <w:p w14:paraId="22B43D34">
            <w:pPr>
              <w:adjustRightInd w:val="0"/>
              <w:snapToGrid w:val="0"/>
              <w:spacing w:line="360" w:lineRule="auto"/>
              <w:rPr>
                <w:rFonts w:eastAsia="仿宋_GB2312"/>
                <w:color w:val="auto"/>
                <w:sz w:val="24"/>
                <w:highlight w:val="none"/>
              </w:rPr>
            </w:pPr>
          </w:p>
        </w:tc>
        <w:tc>
          <w:tcPr>
            <w:tcW w:w="1188" w:type="dxa"/>
            <w:noWrap w:val="0"/>
            <w:vAlign w:val="top"/>
          </w:tcPr>
          <w:p w14:paraId="26E6508C">
            <w:pPr>
              <w:adjustRightInd w:val="0"/>
              <w:snapToGrid w:val="0"/>
              <w:spacing w:line="360" w:lineRule="auto"/>
              <w:rPr>
                <w:rFonts w:eastAsia="仿宋_GB2312"/>
                <w:color w:val="auto"/>
                <w:sz w:val="24"/>
                <w:highlight w:val="none"/>
              </w:rPr>
            </w:pPr>
          </w:p>
        </w:tc>
        <w:tc>
          <w:tcPr>
            <w:tcW w:w="1560" w:type="dxa"/>
            <w:noWrap w:val="0"/>
            <w:vAlign w:val="top"/>
          </w:tcPr>
          <w:p w14:paraId="6CDCBED1">
            <w:pPr>
              <w:adjustRightInd w:val="0"/>
              <w:snapToGrid w:val="0"/>
              <w:spacing w:line="360" w:lineRule="auto"/>
              <w:rPr>
                <w:rFonts w:eastAsia="仿宋_GB2312"/>
                <w:color w:val="auto"/>
                <w:sz w:val="24"/>
                <w:highlight w:val="none"/>
              </w:rPr>
            </w:pPr>
          </w:p>
        </w:tc>
        <w:tc>
          <w:tcPr>
            <w:tcW w:w="992" w:type="dxa"/>
            <w:noWrap w:val="0"/>
            <w:vAlign w:val="center"/>
          </w:tcPr>
          <w:p w14:paraId="27A097E1">
            <w:pPr>
              <w:adjustRightInd w:val="0"/>
              <w:snapToGrid w:val="0"/>
              <w:spacing w:line="360" w:lineRule="auto"/>
              <w:rPr>
                <w:rFonts w:eastAsia="仿宋_GB2312"/>
                <w:color w:val="auto"/>
                <w:sz w:val="24"/>
                <w:highlight w:val="none"/>
              </w:rPr>
            </w:pPr>
          </w:p>
        </w:tc>
        <w:tc>
          <w:tcPr>
            <w:tcW w:w="1276" w:type="dxa"/>
            <w:noWrap w:val="0"/>
            <w:vAlign w:val="center"/>
          </w:tcPr>
          <w:p w14:paraId="328D4805">
            <w:pPr>
              <w:adjustRightInd w:val="0"/>
              <w:snapToGrid w:val="0"/>
              <w:spacing w:line="360" w:lineRule="auto"/>
              <w:rPr>
                <w:rFonts w:eastAsia="仿宋_GB2312"/>
                <w:color w:val="auto"/>
                <w:sz w:val="24"/>
                <w:highlight w:val="none"/>
              </w:rPr>
            </w:pPr>
          </w:p>
        </w:tc>
        <w:tc>
          <w:tcPr>
            <w:tcW w:w="1134" w:type="dxa"/>
            <w:noWrap w:val="0"/>
            <w:vAlign w:val="center"/>
          </w:tcPr>
          <w:p w14:paraId="6A6E67B3">
            <w:pPr>
              <w:adjustRightInd w:val="0"/>
              <w:snapToGrid w:val="0"/>
              <w:spacing w:line="360" w:lineRule="auto"/>
              <w:rPr>
                <w:rFonts w:eastAsia="仿宋_GB2312"/>
                <w:color w:val="auto"/>
                <w:sz w:val="24"/>
                <w:highlight w:val="none"/>
              </w:rPr>
            </w:pPr>
          </w:p>
        </w:tc>
        <w:tc>
          <w:tcPr>
            <w:tcW w:w="708" w:type="dxa"/>
            <w:noWrap w:val="0"/>
            <w:vAlign w:val="center"/>
          </w:tcPr>
          <w:p w14:paraId="350E40F0">
            <w:pPr>
              <w:adjustRightInd w:val="0"/>
              <w:snapToGrid w:val="0"/>
              <w:spacing w:line="360" w:lineRule="auto"/>
              <w:rPr>
                <w:rFonts w:eastAsia="仿宋_GB2312"/>
                <w:color w:val="auto"/>
                <w:sz w:val="24"/>
                <w:highlight w:val="none"/>
              </w:rPr>
            </w:pPr>
          </w:p>
        </w:tc>
      </w:tr>
      <w:tr w14:paraId="554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1DC1C1">
            <w:pPr>
              <w:adjustRightInd w:val="0"/>
              <w:snapToGrid w:val="0"/>
              <w:spacing w:line="360" w:lineRule="auto"/>
              <w:rPr>
                <w:rFonts w:eastAsia="仿宋_GB2312"/>
                <w:color w:val="auto"/>
                <w:sz w:val="24"/>
                <w:highlight w:val="none"/>
              </w:rPr>
            </w:pPr>
          </w:p>
        </w:tc>
        <w:tc>
          <w:tcPr>
            <w:tcW w:w="1428" w:type="dxa"/>
            <w:noWrap w:val="0"/>
            <w:vAlign w:val="center"/>
          </w:tcPr>
          <w:p w14:paraId="48CD3853">
            <w:pPr>
              <w:adjustRightInd w:val="0"/>
              <w:snapToGrid w:val="0"/>
              <w:spacing w:line="360" w:lineRule="auto"/>
              <w:rPr>
                <w:rFonts w:eastAsia="仿宋_GB2312"/>
                <w:color w:val="auto"/>
                <w:sz w:val="24"/>
                <w:highlight w:val="none"/>
              </w:rPr>
            </w:pPr>
          </w:p>
        </w:tc>
        <w:tc>
          <w:tcPr>
            <w:tcW w:w="1188" w:type="dxa"/>
            <w:noWrap w:val="0"/>
            <w:vAlign w:val="top"/>
          </w:tcPr>
          <w:p w14:paraId="609D9B3E">
            <w:pPr>
              <w:adjustRightInd w:val="0"/>
              <w:snapToGrid w:val="0"/>
              <w:spacing w:line="360" w:lineRule="auto"/>
              <w:rPr>
                <w:rFonts w:eastAsia="仿宋_GB2312"/>
                <w:color w:val="auto"/>
                <w:sz w:val="24"/>
                <w:highlight w:val="none"/>
              </w:rPr>
            </w:pPr>
          </w:p>
        </w:tc>
        <w:tc>
          <w:tcPr>
            <w:tcW w:w="1560" w:type="dxa"/>
            <w:noWrap w:val="0"/>
            <w:vAlign w:val="top"/>
          </w:tcPr>
          <w:p w14:paraId="1E21B90F">
            <w:pPr>
              <w:adjustRightInd w:val="0"/>
              <w:snapToGrid w:val="0"/>
              <w:spacing w:line="360" w:lineRule="auto"/>
              <w:rPr>
                <w:rFonts w:eastAsia="仿宋_GB2312"/>
                <w:color w:val="auto"/>
                <w:sz w:val="24"/>
                <w:highlight w:val="none"/>
              </w:rPr>
            </w:pPr>
          </w:p>
        </w:tc>
        <w:tc>
          <w:tcPr>
            <w:tcW w:w="992" w:type="dxa"/>
            <w:noWrap w:val="0"/>
            <w:vAlign w:val="center"/>
          </w:tcPr>
          <w:p w14:paraId="26474431">
            <w:pPr>
              <w:adjustRightInd w:val="0"/>
              <w:snapToGrid w:val="0"/>
              <w:spacing w:line="360" w:lineRule="auto"/>
              <w:rPr>
                <w:rFonts w:eastAsia="仿宋_GB2312"/>
                <w:color w:val="auto"/>
                <w:sz w:val="24"/>
                <w:highlight w:val="none"/>
              </w:rPr>
            </w:pPr>
          </w:p>
        </w:tc>
        <w:tc>
          <w:tcPr>
            <w:tcW w:w="1276" w:type="dxa"/>
            <w:noWrap w:val="0"/>
            <w:vAlign w:val="center"/>
          </w:tcPr>
          <w:p w14:paraId="2F44BA2C">
            <w:pPr>
              <w:adjustRightInd w:val="0"/>
              <w:snapToGrid w:val="0"/>
              <w:spacing w:line="360" w:lineRule="auto"/>
              <w:rPr>
                <w:rFonts w:eastAsia="仿宋_GB2312"/>
                <w:color w:val="auto"/>
                <w:sz w:val="24"/>
                <w:highlight w:val="none"/>
              </w:rPr>
            </w:pPr>
          </w:p>
        </w:tc>
        <w:tc>
          <w:tcPr>
            <w:tcW w:w="1134" w:type="dxa"/>
            <w:noWrap w:val="0"/>
            <w:vAlign w:val="center"/>
          </w:tcPr>
          <w:p w14:paraId="7B070A99">
            <w:pPr>
              <w:adjustRightInd w:val="0"/>
              <w:snapToGrid w:val="0"/>
              <w:spacing w:line="360" w:lineRule="auto"/>
              <w:rPr>
                <w:rFonts w:eastAsia="仿宋_GB2312"/>
                <w:color w:val="auto"/>
                <w:sz w:val="24"/>
                <w:highlight w:val="none"/>
              </w:rPr>
            </w:pPr>
          </w:p>
        </w:tc>
        <w:tc>
          <w:tcPr>
            <w:tcW w:w="708" w:type="dxa"/>
            <w:noWrap w:val="0"/>
            <w:vAlign w:val="center"/>
          </w:tcPr>
          <w:p w14:paraId="749534E0">
            <w:pPr>
              <w:adjustRightInd w:val="0"/>
              <w:snapToGrid w:val="0"/>
              <w:spacing w:line="360" w:lineRule="auto"/>
              <w:rPr>
                <w:rFonts w:eastAsia="仿宋_GB2312"/>
                <w:color w:val="auto"/>
                <w:sz w:val="24"/>
                <w:highlight w:val="none"/>
              </w:rPr>
            </w:pPr>
          </w:p>
        </w:tc>
      </w:tr>
      <w:tr w14:paraId="74A4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ADF9DA4">
            <w:pPr>
              <w:adjustRightInd w:val="0"/>
              <w:snapToGrid w:val="0"/>
              <w:spacing w:line="360" w:lineRule="auto"/>
              <w:rPr>
                <w:rFonts w:eastAsia="仿宋_GB2312"/>
                <w:color w:val="auto"/>
                <w:sz w:val="24"/>
                <w:highlight w:val="none"/>
              </w:rPr>
            </w:pPr>
          </w:p>
        </w:tc>
        <w:tc>
          <w:tcPr>
            <w:tcW w:w="1428" w:type="dxa"/>
            <w:noWrap w:val="0"/>
            <w:vAlign w:val="center"/>
          </w:tcPr>
          <w:p w14:paraId="5A04F67E">
            <w:pPr>
              <w:adjustRightInd w:val="0"/>
              <w:snapToGrid w:val="0"/>
              <w:spacing w:line="360" w:lineRule="auto"/>
              <w:rPr>
                <w:rFonts w:eastAsia="仿宋_GB2312"/>
                <w:color w:val="auto"/>
                <w:sz w:val="24"/>
                <w:highlight w:val="none"/>
              </w:rPr>
            </w:pPr>
          </w:p>
        </w:tc>
        <w:tc>
          <w:tcPr>
            <w:tcW w:w="1188" w:type="dxa"/>
            <w:noWrap w:val="0"/>
            <w:vAlign w:val="top"/>
          </w:tcPr>
          <w:p w14:paraId="7308F6C5">
            <w:pPr>
              <w:adjustRightInd w:val="0"/>
              <w:snapToGrid w:val="0"/>
              <w:spacing w:line="360" w:lineRule="auto"/>
              <w:rPr>
                <w:rFonts w:eastAsia="仿宋_GB2312"/>
                <w:color w:val="auto"/>
                <w:sz w:val="24"/>
                <w:highlight w:val="none"/>
              </w:rPr>
            </w:pPr>
          </w:p>
        </w:tc>
        <w:tc>
          <w:tcPr>
            <w:tcW w:w="1560" w:type="dxa"/>
            <w:noWrap w:val="0"/>
            <w:vAlign w:val="top"/>
          </w:tcPr>
          <w:p w14:paraId="564DCB0B">
            <w:pPr>
              <w:adjustRightInd w:val="0"/>
              <w:snapToGrid w:val="0"/>
              <w:spacing w:line="360" w:lineRule="auto"/>
              <w:rPr>
                <w:rFonts w:eastAsia="仿宋_GB2312"/>
                <w:color w:val="auto"/>
                <w:sz w:val="24"/>
                <w:highlight w:val="none"/>
              </w:rPr>
            </w:pPr>
          </w:p>
        </w:tc>
        <w:tc>
          <w:tcPr>
            <w:tcW w:w="992" w:type="dxa"/>
            <w:noWrap w:val="0"/>
            <w:vAlign w:val="center"/>
          </w:tcPr>
          <w:p w14:paraId="03A1727D">
            <w:pPr>
              <w:adjustRightInd w:val="0"/>
              <w:snapToGrid w:val="0"/>
              <w:spacing w:line="360" w:lineRule="auto"/>
              <w:rPr>
                <w:rFonts w:eastAsia="仿宋_GB2312"/>
                <w:color w:val="auto"/>
                <w:sz w:val="24"/>
                <w:highlight w:val="none"/>
              </w:rPr>
            </w:pPr>
          </w:p>
        </w:tc>
        <w:tc>
          <w:tcPr>
            <w:tcW w:w="1276" w:type="dxa"/>
            <w:noWrap w:val="0"/>
            <w:vAlign w:val="center"/>
          </w:tcPr>
          <w:p w14:paraId="6FBE3297">
            <w:pPr>
              <w:adjustRightInd w:val="0"/>
              <w:snapToGrid w:val="0"/>
              <w:spacing w:line="360" w:lineRule="auto"/>
              <w:rPr>
                <w:rFonts w:eastAsia="仿宋_GB2312"/>
                <w:color w:val="auto"/>
                <w:sz w:val="24"/>
                <w:highlight w:val="none"/>
              </w:rPr>
            </w:pPr>
          </w:p>
        </w:tc>
        <w:tc>
          <w:tcPr>
            <w:tcW w:w="1134" w:type="dxa"/>
            <w:noWrap w:val="0"/>
            <w:vAlign w:val="center"/>
          </w:tcPr>
          <w:p w14:paraId="3CFE8F93">
            <w:pPr>
              <w:adjustRightInd w:val="0"/>
              <w:snapToGrid w:val="0"/>
              <w:spacing w:line="360" w:lineRule="auto"/>
              <w:rPr>
                <w:rFonts w:eastAsia="仿宋_GB2312"/>
                <w:color w:val="auto"/>
                <w:sz w:val="24"/>
                <w:highlight w:val="none"/>
              </w:rPr>
            </w:pPr>
          </w:p>
        </w:tc>
        <w:tc>
          <w:tcPr>
            <w:tcW w:w="708" w:type="dxa"/>
            <w:noWrap w:val="0"/>
            <w:vAlign w:val="center"/>
          </w:tcPr>
          <w:p w14:paraId="7D87FD6B">
            <w:pPr>
              <w:adjustRightInd w:val="0"/>
              <w:snapToGrid w:val="0"/>
              <w:spacing w:line="360" w:lineRule="auto"/>
              <w:rPr>
                <w:rFonts w:eastAsia="仿宋_GB2312"/>
                <w:color w:val="auto"/>
                <w:sz w:val="24"/>
                <w:highlight w:val="none"/>
              </w:rPr>
            </w:pPr>
          </w:p>
        </w:tc>
      </w:tr>
      <w:tr w14:paraId="7B4C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91AB9F2">
            <w:pPr>
              <w:adjustRightInd w:val="0"/>
              <w:snapToGrid w:val="0"/>
              <w:spacing w:line="360" w:lineRule="auto"/>
              <w:rPr>
                <w:rFonts w:eastAsia="仿宋_GB2312"/>
                <w:color w:val="auto"/>
                <w:sz w:val="24"/>
                <w:highlight w:val="none"/>
              </w:rPr>
            </w:pPr>
          </w:p>
        </w:tc>
        <w:tc>
          <w:tcPr>
            <w:tcW w:w="1428" w:type="dxa"/>
            <w:noWrap w:val="0"/>
            <w:vAlign w:val="center"/>
          </w:tcPr>
          <w:p w14:paraId="50C58B14">
            <w:pPr>
              <w:adjustRightInd w:val="0"/>
              <w:snapToGrid w:val="0"/>
              <w:spacing w:line="360" w:lineRule="auto"/>
              <w:rPr>
                <w:rFonts w:eastAsia="仿宋_GB2312"/>
                <w:color w:val="auto"/>
                <w:sz w:val="24"/>
                <w:highlight w:val="none"/>
              </w:rPr>
            </w:pPr>
          </w:p>
        </w:tc>
        <w:tc>
          <w:tcPr>
            <w:tcW w:w="1188" w:type="dxa"/>
            <w:noWrap w:val="0"/>
            <w:vAlign w:val="top"/>
          </w:tcPr>
          <w:p w14:paraId="6E9688B1">
            <w:pPr>
              <w:adjustRightInd w:val="0"/>
              <w:snapToGrid w:val="0"/>
              <w:spacing w:line="360" w:lineRule="auto"/>
              <w:rPr>
                <w:rFonts w:eastAsia="仿宋_GB2312"/>
                <w:color w:val="auto"/>
                <w:sz w:val="24"/>
                <w:highlight w:val="none"/>
              </w:rPr>
            </w:pPr>
          </w:p>
        </w:tc>
        <w:tc>
          <w:tcPr>
            <w:tcW w:w="1560" w:type="dxa"/>
            <w:noWrap w:val="0"/>
            <w:vAlign w:val="top"/>
          </w:tcPr>
          <w:p w14:paraId="17B9BA6E">
            <w:pPr>
              <w:adjustRightInd w:val="0"/>
              <w:snapToGrid w:val="0"/>
              <w:spacing w:line="360" w:lineRule="auto"/>
              <w:rPr>
                <w:rFonts w:eastAsia="仿宋_GB2312"/>
                <w:color w:val="auto"/>
                <w:sz w:val="24"/>
                <w:highlight w:val="none"/>
              </w:rPr>
            </w:pPr>
          </w:p>
        </w:tc>
        <w:tc>
          <w:tcPr>
            <w:tcW w:w="992" w:type="dxa"/>
            <w:noWrap w:val="0"/>
            <w:vAlign w:val="center"/>
          </w:tcPr>
          <w:p w14:paraId="1411013A">
            <w:pPr>
              <w:adjustRightInd w:val="0"/>
              <w:snapToGrid w:val="0"/>
              <w:spacing w:line="360" w:lineRule="auto"/>
              <w:rPr>
                <w:rFonts w:eastAsia="仿宋_GB2312"/>
                <w:color w:val="auto"/>
                <w:sz w:val="24"/>
                <w:highlight w:val="none"/>
              </w:rPr>
            </w:pPr>
          </w:p>
        </w:tc>
        <w:tc>
          <w:tcPr>
            <w:tcW w:w="1276" w:type="dxa"/>
            <w:noWrap w:val="0"/>
            <w:vAlign w:val="center"/>
          </w:tcPr>
          <w:p w14:paraId="579EF646">
            <w:pPr>
              <w:adjustRightInd w:val="0"/>
              <w:snapToGrid w:val="0"/>
              <w:spacing w:line="360" w:lineRule="auto"/>
              <w:rPr>
                <w:rFonts w:eastAsia="仿宋_GB2312"/>
                <w:color w:val="auto"/>
                <w:sz w:val="24"/>
                <w:highlight w:val="none"/>
              </w:rPr>
            </w:pPr>
          </w:p>
        </w:tc>
        <w:tc>
          <w:tcPr>
            <w:tcW w:w="1134" w:type="dxa"/>
            <w:noWrap w:val="0"/>
            <w:vAlign w:val="center"/>
          </w:tcPr>
          <w:p w14:paraId="53FBBC11">
            <w:pPr>
              <w:adjustRightInd w:val="0"/>
              <w:snapToGrid w:val="0"/>
              <w:spacing w:line="360" w:lineRule="auto"/>
              <w:rPr>
                <w:rFonts w:eastAsia="仿宋_GB2312"/>
                <w:color w:val="auto"/>
                <w:sz w:val="24"/>
                <w:highlight w:val="none"/>
              </w:rPr>
            </w:pPr>
          </w:p>
        </w:tc>
        <w:tc>
          <w:tcPr>
            <w:tcW w:w="708" w:type="dxa"/>
            <w:noWrap w:val="0"/>
            <w:vAlign w:val="center"/>
          </w:tcPr>
          <w:p w14:paraId="6BD35903">
            <w:pPr>
              <w:adjustRightInd w:val="0"/>
              <w:snapToGrid w:val="0"/>
              <w:spacing w:line="360" w:lineRule="auto"/>
              <w:rPr>
                <w:rFonts w:eastAsia="仿宋_GB2312"/>
                <w:color w:val="auto"/>
                <w:sz w:val="24"/>
                <w:highlight w:val="none"/>
              </w:rPr>
            </w:pPr>
          </w:p>
        </w:tc>
      </w:tr>
      <w:tr w14:paraId="291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C431C6">
            <w:pPr>
              <w:adjustRightInd w:val="0"/>
              <w:snapToGrid w:val="0"/>
              <w:spacing w:line="360" w:lineRule="auto"/>
              <w:rPr>
                <w:rFonts w:eastAsia="仿宋_GB2312"/>
                <w:color w:val="auto"/>
                <w:sz w:val="24"/>
                <w:highlight w:val="none"/>
              </w:rPr>
            </w:pPr>
          </w:p>
        </w:tc>
        <w:tc>
          <w:tcPr>
            <w:tcW w:w="1428" w:type="dxa"/>
            <w:noWrap w:val="0"/>
            <w:vAlign w:val="center"/>
          </w:tcPr>
          <w:p w14:paraId="7437DA47">
            <w:pPr>
              <w:adjustRightInd w:val="0"/>
              <w:snapToGrid w:val="0"/>
              <w:spacing w:line="360" w:lineRule="auto"/>
              <w:rPr>
                <w:rFonts w:eastAsia="仿宋_GB2312"/>
                <w:color w:val="auto"/>
                <w:sz w:val="24"/>
                <w:highlight w:val="none"/>
              </w:rPr>
            </w:pPr>
          </w:p>
        </w:tc>
        <w:tc>
          <w:tcPr>
            <w:tcW w:w="1188" w:type="dxa"/>
            <w:noWrap w:val="0"/>
            <w:vAlign w:val="top"/>
          </w:tcPr>
          <w:p w14:paraId="232019BF">
            <w:pPr>
              <w:adjustRightInd w:val="0"/>
              <w:snapToGrid w:val="0"/>
              <w:spacing w:line="360" w:lineRule="auto"/>
              <w:rPr>
                <w:rFonts w:eastAsia="仿宋_GB2312"/>
                <w:color w:val="auto"/>
                <w:sz w:val="24"/>
                <w:highlight w:val="none"/>
              </w:rPr>
            </w:pPr>
          </w:p>
        </w:tc>
        <w:tc>
          <w:tcPr>
            <w:tcW w:w="1560" w:type="dxa"/>
            <w:noWrap w:val="0"/>
            <w:vAlign w:val="top"/>
          </w:tcPr>
          <w:p w14:paraId="5904394C">
            <w:pPr>
              <w:adjustRightInd w:val="0"/>
              <w:snapToGrid w:val="0"/>
              <w:spacing w:line="360" w:lineRule="auto"/>
              <w:rPr>
                <w:rFonts w:eastAsia="仿宋_GB2312"/>
                <w:color w:val="auto"/>
                <w:sz w:val="24"/>
                <w:highlight w:val="none"/>
              </w:rPr>
            </w:pPr>
          </w:p>
        </w:tc>
        <w:tc>
          <w:tcPr>
            <w:tcW w:w="992" w:type="dxa"/>
            <w:noWrap w:val="0"/>
            <w:vAlign w:val="center"/>
          </w:tcPr>
          <w:p w14:paraId="05C898DF">
            <w:pPr>
              <w:adjustRightInd w:val="0"/>
              <w:snapToGrid w:val="0"/>
              <w:spacing w:line="360" w:lineRule="auto"/>
              <w:rPr>
                <w:rFonts w:eastAsia="仿宋_GB2312"/>
                <w:color w:val="auto"/>
                <w:sz w:val="24"/>
                <w:highlight w:val="none"/>
              </w:rPr>
            </w:pPr>
          </w:p>
        </w:tc>
        <w:tc>
          <w:tcPr>
            <w:tcW w:w="1276" w:type="dxa"/>
            <w:noWrap w:val="0"/>
            <w:vAlign w:val="center"/>
          </w:tcPr>
          <w:p w14:paraId="4C4A7FCA">
            <w:pPr>
              <w:adjustRightInd w:val="0"/>
              <w:snapToGrid w:val="0"/>
              <w:spacing w:line="360" w:lineRule="auto"/>
              <w:rPr>
                <w:rFonts w:eastAsia="仿宋_GB2312"/>
                <w:color w:val="auto"/>
                <w:sz w:val="24"/>
                <w:highlight w:val="none"/>
              </w:rPr>
            </w:pPr>
          </w:p>
        </w:tc>
        <w:tc>
          <w:tcPr>
            <w:tcW w:w="1134" w:type="dxa"/>
            <w:noWrap w:val="0"/>
            <w:vAlign w:val="center"/>
          </w:tcPr>
          <w:p w14:paraId="2785A926">
            <w:pPr>
              <w:adjustRightInd w:val="0"/>
              <w:snapToGrid w:val="0"/>
              <w:spacing w:line="360" w:lineRule="auto"/>
              <w:rPr>
                <w:rFonts w:eastAsia="仿宋_GB2312"/>
                <w:color w:val="auto"/>
                <w:sz w:val="24"/>
                <w:highlight w:val="none"/>
              </w:rPr>
            </w:pPr>
          </w:p>
        </w:tc>
        <w:tc>
          <w:tcPr>
            <w:tcW w:w="708" w:type="dxa"/>
            <w:noWrap w:val="0"/>
            <w:vAlign w:val="center"/>
          </w:tcPr>
          <w:p w14:paraId="141D412E">
            <w:pPr>
              <w:adjustRightInd w:val="0"/>
              <w:snapToGrid w:val="0"/>
              <w:spacing w:line="360" w:lineRule="auto"/>
              <w:rPr>
                <w:rFonts w:eastAsia="仿宋_GB2312"/>
                <w:color w:val="auto"/>
                <w:sz w:val="24"/>
                <w:highlight w:val="none"/>
              </w:rPr>
            </w:pPr>
          </w:p>
        </w:tc>
      </w:tr>
      <w:tr w14:paraId="48D9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651596">
            <w:pPr>
              <w:adjustRightInd w:val="0"/>
              <w:snapToGrid w:val="0"/>
              <w:spacing w:line="360" w:lineRule="auto"/>
              <w:rPr>
                <w:rFonts w:eastAsia="仿宋_GB2312"/>
                <w:color w:val="auto"/>
                <w:sz w:val="24"/>
                <w:highlight w:val="none"/>
              </w:rPr>
            </w:pPr>
          </w:p>
        </w:tc>
        <w:tc>
          <w:tcPr>
            <w:tcW w:w="1428" w:type="dxa"/>
            <w:noWrap w:val="0"/>
            <w:vAlign w:val="center"/>
          </w:tcPr>
          <w:p w14:paraId="37E2C488">
            <w:pPr>
              <w:adjustRightInd w:val="0"/>
              <w:snapToGrid w:val="0"/>
              <w:spacing w:line="360" w:lineRule="auto"/>
              <w:rPr>
                <w:rFonts w:eastAsia="仿宋_GB2312"/>
                <w:color w:val="auto"/>
                <w:sz w:val="24"/>
                <w:highlight w:val="none"/>
              </w:rPr>
            </w:pPr>
          </w:p>
        </w:tc>
        <w:tc>
          <w:tcPr>
            <w:tcW w:w="1188" w:type="dxa"/>
            <w:noWrap w:val="0"/>
            <w:vAlign w:val="top"/>
          </w:tcPr>
          <w:p w14:paraId="3AA2A2BE">
            <w:pPr>
              <w:adjustRightInd w:val="0"/>
              <w:snapToGrid w:val="0"/>
              <w:spacing w:line="360" w:lineRule="auto"/>
              <w:rPr>
                <w:rFonts w:eastAsia="仿宋_GB2312"/>
                <w:color w:val="auto"/>
                <w:sz w:val="24"/>
                <w:highlight w:val="none"/>
              </w:rPr>
            </w:pPr>
          </w:p>
        </w:tc>
        <w:tc>
          <w:tcPr>
            <w:tcW w:w="1560" w:type="dxa"/>
            <w:noWrap w:val="0"/>
            <w:vAlign w:val="top"/>
          </w:tcPr>
          <w:p w14:paraId="53A6ED1C">
            <w:pPr>
              <w:adjustRightInd w:val="0"/>
              <w:snapToGrid w:val="0"/>
              <w:spacing w:line="360" w:lineRule="auto"/>
              <w:rPr>
                <w:rFonts w:eastAsia="仿宋_GB2312"/>
                <w:color w:val="auto"/>
                <w:sz w:val="24"/>
                <w:highlight w:val="none"/>
              </w:rPr>
            </w:pPr>
          </w:p>
        </w:tc>
        <w:tc>
          <w:tcPr>
            <w:tcW w:w="992" w:type="dxa"/>
            <w:noWrap w:val="0"/>
            <w:vAlign w:val="center"/>
          </w:tcPr>
          <w:p w14:paraId="168D4418">
            <w:pPr>
              <w:adjustRightInd w:val="0"/>
              <w:snapToGrid w:val="0"/>
              <w:spacing w:line="360" w:lineRule="auto"/>
              <w:rPr>
                <w:rFonts w:eastAsia="仿宋_GB2312"/>
                <w:color w:val="auto"/>
                <w:sz w:val="24"/>
                <w:highlight w:val="none"/>
              </w:rPr>
            </w:pPr>
          </w:p>
        </w:tc>
        <w:tc>
          <w:tcPr>
            <w:tcW w:w="1276" w:type="dxa"/>
            <w:noWrap w:val="0"/>
            <w:vAlign w:val="center"/>
          </w:tcPr>
          <w:p w14:paraId="77E7CC2B">
            <w:pPr>
              <w:adjustRightInd w:val="0"/>
              <w:snapToGrid w:val="0"/>
              <w:spacing w:line="360" w:lineRule="auto"/>
              <w:rPr>
                <w:rFonts w:eastAsia="仿宋_GB2312"/>
                <w:color w:val="auto"/>
                <w:sz w:val="24"/>
                <w:highlight w:val="none"/>
              </w:rPr>
            </w:pPr>
          </w:p>
        </w:tc>
        <w:tc>
          <w:tcPr>
            <w:tcW w:w="1134" w:type="dxa"/>
            <w:noWrap w:val="0"/>
            <w:vAlign w:val="center"/>
          </w:tcPr>
          <w:p w14:paraId="74AF1328">
            <w:pPr>
              <w:adjustRightInd w:val="0"/>
              <w:snapToGrid w:val="0"/>
              <w:spacing w:line="360" w:lineRule="auto"/>
              <w:rPr>
                <w:rFonts w:eastAsia="仿宋_GB2312"/>
                <w:color w:val="auto"/>
                <w:sz w:val="24"/>
                <w:highlight w:val="none"/>
              </w:rPr>
            </w:pPr>
          </w:p>
        </w:tc>
        <w:tc>
          <w:tcPr>
            <w:tcW w:w="708" w:type="dxa"/>
            <w:noWrap w:val="0"/>
            <w:vAlign w:val="center"/>
          </w:tcPr>
          <w:p w14:paraId="3DE28BB1">
            <w:pPr>
              <w:adjustRightInd w:val="0"/>
              <w:snapToGrid w:val="0"/>
              <w:spacing w:line="360" w:lineRule="auto"/>
              <w:rPr>
                <w:rFonts w:eastAsia="仿宋_GB2312"/>
                <w:color w:val="auto"/>
                <w:sz w:val="24"/>
                <w:highlight w:val="none"/>
              </w:rPr>
            </w:pPr>
          </w:p>
        </w:tc>
      </w:tr>
      <w:tr w14:paraId="0EC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BB082B4">
            <w:pPr>
              <w:adjustRightInd w:val="0"/>
              <w:snapToGrid w:val="0"/>
              <w:spacing w:line="360" w:lineRule="auto"/>
              <w:rPr>
                <w:rFonts w:eastAsia="仿宋_GB2312"/>
                <w:color w:val="auto"/>
                <w:sz w:val="24"/>
                <w:highlight w:val="none"/>
              </w:rPr>
            </w:pPr>
          </w:p>
        </w:tc>
        <w:tc>
          <w:tcPr>
            <w:tcW w:w="1428" w:type="dxa"/>
            <w:noWrap w:val="0"/>
            <w:vAlign w:val="center"/>
          </w:tcPr>
          <w:p w14:paraId="5776EDDF">
            <w:pPr>
              <w:adjustRightInd w:val="0"/>
              <w:snapToGrid w:val="0"/>
              <w:spacing w:line="360" w:lineRule="auto"/>
              <w:rPr>
                <w:rFonts w:eastAsia="仿宋_GB2312"/>
                <w:color w:val="auto"/>
                <w:sz w:val="24"/>
                <w:highlight w:val="none"/>
              </w:rPr>
            </w:pPr>
          </w:p>
        </w:tc>
        <w:tc>
          <w:tcPr>
            <w:tcW w:w="1188" w:type="dxa"/>
            <w:noWrap w:val="0"/>
            <w:vAlign w:val="top"/>
          </w:tcPr>
          <w:p w14:paraId="0947A256">
            <w:pPr>
              <w:adjustRightInd w:val="0"/>
              <w:snapToGrid w:val="0"/>
              <w:spacing w:line="360" w:lineRule="auto"/>
              <w:rPr>
                <w:rFonts w:eastAsia="仿宋_GB2312"/>
                <w:color w:val="auto"/>
                <w:sz w:val="24"/>
                <w:highlight w:val="none"/>
              </w:rPr>
            </w:pPr>
          </w:p>
        </w:tc>
        <w:tc>
          <w:tcPr>
            <w:tcW w:w="1560" w:type="dxa"/>
            <w:noWrap w:val="0"/>
            <w:vAlign w:val="top"/>
          </w:tcPr>
          <w:p w14:paraId="19EE0A70">
            <w:pPr>
              <w:adjustRightInd w:val="0"/>
              <w:snapToGrid w:val="0"/>
              <w:spacing w:line="360" w:lineRule="auto"/>
              <w:rPr>
                <w:rFonts w:eastAsia="仿宋_GB2312"/>
                <w:color w:val="auto"/>
                <w:sz w:val="24"/>
                <w:highlight w:val="none"/>
              </w:rPr>
            </w:pPr>
          </w:p>
        </w:tc>
        <w:tc>
          <w:tcPr>
            <w:tcW w:w="992" w:type="dxa"/>
            <w:noWrap w:val="0"/>
            <w:vAlign w:val="center"/>
          </w:tcPr>
          <w:p w14:paraId="7B2B3C24">
            <w:pPr>
              <w:adjustRightInd w:val="0"/>
              <w:snapToGrid w:val="0"/>
              <w:spacing w:line="360" w:lineRule="auto"/>
              <w:rPr>
                <w:rFonts w:eastAsia="仿宋_GB2312"/>
                <w:color w:val="auto"/>
                <w:sz w:val="24"/>
                <w:highlight w:val="none"/>
              </w:rPr>
            </w:pPr>
          </w:p>
        </w:tc>
        <w:tc>
          <w:tcPr>
            <w:tcW w:w="1276" w:type="dxa"/>
            <w:noWrap w:val="0"/>
            <w:vAlign w:val="center"/>
          </w:tcPr>
          <w:p w14:paraId="6FAA9E28">
            <w:pPr>
              <w:adjustRightInd w:val="0"/>
              <w:snapToGrid w:val="0"/>
              <w:spacing w:line="360" w:lineRule="auto"/>
              <w:rPr>
                <w:rFonts w:eastAsia="仿宋_GB2312"/>
                <w:color w:val="auto"/>
                <w:sz w:val="24"/>
                <w:highlight w:val="none"/>
              </w:rPr>
            </w:pPr>
          </w:p>
        </w:tc>
        <w:tc>
          <w:tcPr>
            <w:tcW w:w="1134" w:type="dxa"/>
            <w:noWrap w:val="0"/>
            <w:vAlign w:val="center"/>
          </w:tcPr>
          <w:p w14:paraId="70C2DD31">
            <w:pPr>
              <w:adjustRightInd w:val="0"/>
              <w:snapToGrid w:val="0"/>
              <w:spacing w:line="360" w:lineRule="auto"/>
              <w:rPr>
                <w:rFonts w:eastAsia="仿宋_GB2312"/>
                <w:color w:val="auto"/>
                <w:sz w:val="24"/>
                <w:highlight w:val="none"/>
              </w:rPr>
            </w:pPr>
          </w:p>
        </w:tc>
        <w:tc>
          <w:tcPr>
            <w:tcW w:w="708" w:type="dxa"/>
            <w:noWrap w:val="0"/>
            <w:vAlign w:val="center"/>
          </w:tcPr>
          <w:p w14:paraId="7B43F60A">
            <w:pPr>
              <w:adjustRightInd w:val="0"/>
              <w:snapToGrid w:val="0"/>
              <w:spacing w:line="360" w:lineRule="auto"/>
              <w:rPr>
                <w:rFonts w:eastAsia="仿宋_GB2312"/>
                <w:color w:val="auto"/>
                <w:sz w:val="24"/>
                <w:highlight w:val="none"/>
              </w:rPr>
            </w:pPr>
          </w:p>
        </w:tc>
      </w:tr>
      <w:tr w14:paraId="0458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4E081BC">
            <w:pPr>
              <w:adjustRightInd w:val="0"/>
              <w:snapToGrid w:val="0"/>
              <w:spacing w:line="360" w:lineRule="auto"/>
              <w:rPr>
                <w:rFonts w:eastAsia="仿宋_GB2312"/>
                <w:color w:val="auto"/>
                <w:sz w:val="24"/>
                <w:highlight w:val="none"/>
              </w:rPr>
            </w:pPr>
          </w:p>
        </w:tc>
        <w:tc>
          <w:tcPr>
            <w:tcW w:w="1428" w:type="dxa"/>
            <w:noWrap w:val="0"/>
            <w:vAlign w:val="center"/>
          </w:tcPr>
          <w:p w14:paraId="1E8387F8">
            <w:pPr>
              <w:adjustRightInd w:val="0"/>
              <w:snapToGrid w:val="0"/>
              <w:spacing w:line="360" w:lineRule="auto"/>
              <w:rPr>
                <w:rFonts w:eastAsia="仿宋_GB2312"/>
                <w:color w:val="auto"/>
                <w:sz w:val="24"/>
                <w:highlight w:val="none"/>
              </w:rPr>
            </w:pPr>
          </w:p>
        </w:tc>
        <w:tc>
          <w:tcPr>
            <w:tcW w:w="1188" w:type="dxa"/>
            <w:noWrap w:val="0"/>
            <w:vAlign w:val="top"/>
          </w:tcPr>
          <w:p w14:paraId="78C79244">
            <w:pPr>
              <w:adjustRightInd w:val="0"/>
              <w:snapToGrid w:val="0"/>
              <w:spacing w:line="360" w:lineRule="auto"/>
              <w:rPr>
                <w:rFonts w:eastAsia="仿宋_GB2312"/>
                <w:color w:val="auto"/>
                <w:sz w:val="24"/>
                <w:highlight w:val="none"/>
              </w:rPr>
            </w:pPr>
          </w:p>
        </w:tc>
        <w:tc>
          <w:tcPr>
            <w:tcW w:w="1560" w:type="dxa"/>
            <w:noWrap w:val="0"/>
            <w:vAlign w:val="top"/>
          </w:tcPr>
          <w:p w14:paraId="1BE7C1F5">
            <w:pPr>
              <w:adjustRightInd w:val="0"/>
              <w:snapToGrid w:val="0"/>
              <w:spacing w:line="360" w:lineRule="auto"/>
              <w:rPr>
                <w:rFonts w:eastAsia="仿宋_GB2312"/>
                <w:color w:val="auto"/>
                <w:sz w:val="24"/>
                <w:highlight w:val="none"/>
              </w:rPr>
            </w:pPr>
          </w:p>
        </w:tc>
        <w:tc>
          <w:tcPr>
            <w:tcW w:w="992" w:type="dxa"/>
            <w:noWrap w:val="0"/>
            <w:vAlign w:val="center"/>
          </w:tcPr>
          <w:p w14:paraId="2A82E8EE">
            <w:pPr>
              <w:adjustRightInd w:val="0"/>
              <w:snapToGrid w:val="0"/>
              <w:spacing w:line="360" w:lineRule="auto"/>
              <w:rPr>
                <w:rFonts w:eastAsia="仿宋_GB2312"/>
                <w:color w:val="auto"/>
                <w:sz w:val="24"/>
                <w:highlight w:val="none"/>
              </w:rPr>
            </w:pPr>
          </w:p>
        </w:tc>
        <w:tc>
          <w:tcPr>
            <w:tcW w:w="1276" w:type="dxa"/>
            <w:noWrap w:val="0"/>
            <w:vAlign w:val="center"/>
          </w:tcPr>
          <w:p w14:paraId="4BF4F469">
            <w:pPr>
              <w:adjustRightInd w:val="0"/>
              <w:snapToGrid w:val="0"/>
              <w:spacing w:line="360" w:lineRule="auto"/>
              <w:rPr>
                <w:rFonts w:eastAsia="仿宋_GB2312"/>
                <w:color w:val="auto"/>
                <w:sz w:val="24"/>
                <w:highlight w:val="none"/>
              </w:rPr>
            </w:pPr>
          </w:p>
        </w:tc>
        <w:tc>
          <w:tcPr>
            <w:tcW w:w="1134" w:type="dxa"/>
            <w:noWrap w:val="0"/>
            <w:vAlign w:val="center"/>
          </w:tcPr>
          <w:p w14:paraId="3F996D4E">
            <w:pPr>
              <w:adjustRightInd w:val="0"/>
              <w:snapToGrid w:val="0"/>
              <w:spacing w:line="360" w:lineRule="auto"/>
              <w:rPr>
                <w:rFonts w:eastAsia="仿宋_GB2312"/>
                <w:color w:val="auto"/>
                <w:sz w:val="24"/>
                <w:highlight w:val="none"/>
              </w:rPr>
            </w:pPr>
          </w:p>
        </w:tc>
        <w:tc>
          <w:tcPr>
            <w:tcW w:w="708" w:type="dxa"/>
            <w:noWrap w:val="0"/>
            <w:vAlign w:val="center"/>
          </w:tcPr>
          <w:p w14:paraId="4A142B3B">
            <w:pPr>
              <w:adjustRightInd w:val="0"/>
              <w:snapToGrid w:val="0"/>
              <w:spacing w:line="360" w:lineRule="auto"/>
              <w:rPr>
                <w:rFonts w:eastAsia="仿宋_GB2312"/>
                <w:color w:val="auto"/>
                <w:sz w:val="24"/>
                <w:highlight w:val="none"/>
              </w:rPr>
            </w:pPr>
          </w:p>
        </w:tc>
      </w:tr>
      <w:tr w14:paraId="765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501FFA">
            <w:pPr>
              <w:adjustRightInd w:val="0"/>
              <w:snapToGrid w:val="0"/>
              <w:spacing w:line="360" w:lineRule="auto"/>
              <w:rPr>
                <w:rFonts w:eastAsia="仿宋_GB2312"/>
                <w:color w:val="auto"/>
                <w:sz w:val="24"/>
                <w:highlight w:val="none"/>
              </w:rPr>
            </w:pPr>
          </w:p>
        </w:tc>
        <w:tc>
          <w:tcPr>
            <w:tcW w:w="1428" w:type="dxa"/>
            <w:noWrap w:val="0"/>
            <w:vAlign w:val="center"/>
          </w:tcPr>
          <w:p w14:paraId="523227C7">
            <w:pPr>
              <w:adjustRightInd w:val="0"/>
              <w:snapToGrid w:val="0"/>
              <w:spacing w:line="360" w:lineRule="auto"/>
              <w:rPr>
                <w:rFonts w:eastAsia="仿宋_GB2312"/>
                <w:color w:val="auto"/>
                <w:sz w:val="24"/>
                <w:highlight w:val="none"/>
              </w:rPr>
            </w:pPr>
          </w:p>
        </w:tc>
        <w:tc>
          <w:tcPr>
            <w:tcW w:w="1188" w:type="dxa"/>
            <w:noWrap w:val="0"/>
            <w:vAlign w:val="top"/>
          </w:tcPr>
          <w:p w14:paraId="65D402FE">
            <w:pPr>
              <w:adjustRightInd w:val="0"/>
              <w:snapToGrid w:val="0"/>
              <w:spacing w:line="360" w:lineRule="auto"/>
              <w:rPr>
                <w:rFonts w:eastAsia="仿宋_GB2312"/>
                <w:color w:val="auto"/>
                <w:sz w:val="24"/>
                <w:highlight w:val="none"/>
              </w:rPr>
            </w:pPr>
          </w:p>
        </w:tc>
        <w:tc>
          <w:tcPr>
            <w:tcW w:w="1560" w:type="dxa"/>
            <w:noWrap w:val="0"/>
            <w:vAlign w:val="top"/>
          </w:tcPr>
          <w:p w14:paraId="4DFDCC38">
            <w:pPr>
              <w:adjustRightInd w:val="0"/>
              <w:snapToGrid w:val="0"/>
              <w:spacing w:line="360" w:lineRule="auto"/>
              <w:rPr>
                <w:rFonts w:eastAsia="仿宋_GB2312"/>
                <w:color w:val="auto"/>
                <w:sz w:val="24"/>
                <w:highlight w:val="none"/>
              </w:rPr>
            </w:pPr>
          </w:p>
        </w:tc>
        <w:tc>
          <w:tcPr>
            <w:tcW w:w="992" w:type="dxa"/>
            <w:noWrap w:val="0"/>
            <w:vAlign w:val="center"/>
          </w:tcPr>
          <w:p w14:paraId="33E3B017">
            <w:pPr>
              <w:adjustRightInd w:val="0"/>
              <w:snapToGrid w:val="0"/>
              <w:spacing w:line="360" w:lineRule="auto"/>
              <w:rPr>
                <w:rFonts w:eastAsia="仿宋_GB2312"/>
                <w:color w:val="auto"/>
                <w:sz w:val="24"/>
                <w:highlight w:val="none"/>
              </w:rPr>
            </w:pPr>
          </w:p>
        </w:tc>
        <w:tc>
          <w:tcPr>
            <w:tcW w:w="1276" w:type="dxa"/>
            <w:noWrap w:val="0"/>
            <w:vAlign w:val="center"/>
          </w:tcPr>
          <w:p w14:paraId="3FBA3478">
            <w:pPr>
              <w:adjustRightInd w:val="0"/>
              <w:snapToGrid w:val="0"/>
              <w:spacing w:line="360" w:lineRule="auto"/>
              <w:rPr>
                <w:rFonts w:eastAsia="仿宋_GB2312"/>
                <w:color w:val="auto"/>
                <w:sz w:val="24"/>
                <w:highlight w:val="none"/>
              </w:rPr>
            </w:pPr>
          </w:p>
        </w:tc>
        <w:tc>
          <w:tcPr>
            <w:tcW w:w="1134" w:type="dxa"/>
            <w:noWrap w:val="0"/>
            <w:vAlign w:val="center"/>
          </w:tcPr>
          <w:p w14:paraId="6741EE78">
            <w:pPr>
              <w:adjustRightInd w:val="0"/>
              <w:snapToGrid w:val="0"/>
              <w:spacing w:line="360" w:lineRule="auto"/>
              <w:rPr>
                <w:rFonts w:eastAsia="仿宋_GB2312"/>
                <w:color w:val="auto"/>
                <w:sz w:val="24"/>
                <w:highlight w:val="none"/>
              </w:rPr>
            </w:pPr>
          </w:p>
        </w:tc>
        <w:tc>
          <w:tcPr>
            <w:tcW w:w="708" w:type="dxa"/>
            <w:noWrap w:val="0"/>
            <w:vAlign w:val="center"/>
          </w:tcPr>
          <w:p w14:paraId="69D0AD05">
            <w:pPr>
              <w:adjustRightInd w:val="0"/>
              <w:snapToGrid w:val="0"/>
              <w:spacing w:line="360" w:lineRule="auto"/>
              <w:rPr>
                <w:rFonts w:eastAsia="仿宋_GB2312"/>
                <w:color w:val="auto"/>
                <w:sz w:val="24"/>
                <w:highlight w:val="none"/>
              </w:rPr>
            </w:pPr>
          </w:p>
        </w:tc>
      </w:tr>
      <w:tr w14:paraId="6E08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5387C1D">
            <w:pPr>
              <w:adjustRightInd w:val="0"/>
              <w:snapToGrid w:val="0"/>
              <w:spacing w:line="360" w:lineRule="auto"/>
              <w:rPr>
                <w:rFonts w:eastAsia="仿宋_GB2312"/>
                <w:color w:val="auto"/>
                <w:sz w:val="24"/>
                <w:highlight w:val="none"/>
              </w:rPr>
            </w:pPr>
          </w:p>
        </w:tc>
        <w:tc>
          <w:tcPr>
            <w:tcW w:w="1428" w:type="dxa"/>
            <w:noWrap w:val="0"/>
            <w:vAlign w:val="center"/>
          </w:tcPr>
          <w:p w14:paraId="004CC81F">
            <w:pPr>
              <w:adjustRightInd w:val="0"/>
              <w:snapToGrid w:val="0"/>
              <w:spacing w:line="360" w:lineRule="auto"/>
              <w:rPr>
                <w:rFonts w:eastAsia="仿宋_GB2312"/>
                <w:color w:val="auto"/>
                <w:sz w:val="24"/>
                <w:highlight w:val="none"/>
              </w:rPr>
            </w:pPr>
          </w:p>
        </w:tc>
        <w:tc>
          <w:tcPr>
            <w:tcW w:w="1188" w:type="dxa"/>
            <w:noWrap w:val="0"/>
            <w:vAlign w:val="top"/>
          </w:tcPr>
          <w:p w14:paraId="532BBF71">
            <w:pPr>
              <w:adjustRightInd w:val="0"/>
              <w:snapToGrid w:val="0"/>
              <w:spacing w:line="360" w:lineRule="auto"/>
              <w:rPr>
                <w:rFonts w:eastAsia="仿宋_GB2312"/>
                <w:color w:val="auto"/>
                <w:sz w:val="24"/>
                <w:highlight w:val="none"/>
              </w:rPr>
            </w:pPr>
          </w:p>
        </w:tc>
        <w:tc>
          <w:tcPr>
            <w:tcW w:w="1560" w:type="dxa"/>
            <w:noWrap w:val="0"/>
            <w:vAlign w:val="top"/>
          </w:tcPr>
          <w:p w14:paraId="4F6233F4">
            <w:pPr>
              <w:adjustRightInd w:val="0"/>
              <w:snapToGrid w:val="0"/>
              <w:spacing w:line="360" w:lineRule="auto"/>
              <w:rPr>
                <w:rFonts w:eastAsia="仿宋_GB2312"/>
                <w:color w:val="auto"/>
                <w:sz w:val="24"/>
                <w:highlight w:val="none"/>
              </w:rPr>
            </w:pPr>
          </w:p>
        </w:tc>
        <w:tc>
          <w:tcPr>
            <w:tcW w:w="992" w:type="dxa"/>
            <w:noWrap w:val="0"/>
            <w:vAlign w:val="center"/>
          </w:tcPr>
          <w:p w14:paraId="086FD97D">
            <w:pPr>
              <w:adjustRightInd w:val="0"/>
              <w:snapToGrid w:val="0"/>
              <w:spacing w:line="360" w:lineRule="auto"/>
              <w:rPr>
                <w:rFonts w:eastAsia="仿宋_GB2312"/>
                <w:color w:val="auto"/>
                <w:sz w:val="24"/>
                <w:highlight w:val="none"/>
              </w:rPr>
            </w:pPr>
          </w:p>
        </w:tc>
        <w:tc>
          <w:tcPr>
            <w:tcW w:w="1276" w:type="dxa"/>
            <w:noWrap w:val="0"/>
            <w:vAlign w:val="center"/>
          </w:tcPr>
          <w:p w14:paraId="0DCC4DCE">
            <w:pPr>
              <w:adjustRightInd w:val="0"/>
              <w:snapToGrid w:val="0"/>
              <w:spacing w:line="360" w:lineRule="auto"/>
              <w:rPr>
                <w:rFonts w:eastAsia="仿宋_GB2312"/>
                <w:color w:val="auto"/>
                <w:sz w:val="24"/>
                <w:highlight w:val="none"/>
              </w:rPr>
            </w:pPr>
          </w:p>
        </w:tc>
        <w:tc>
          <w:tcPr>
            <w:tcW w:w="1134" w:type="dxa"/>
            <w:noWrap w:val="0"/>
            <w:vAlign w:val="center"/>
          </w:tcPr>
          <w:p w14:paraId="0E85E882">
            <w:pPr>
              <w:adjustRightInd w:val="0"/>
              <w:snapToGrid w:val="0"/>
              <w:spacing w:line="360" w:lineRule="auto"/>
              <w:rPr>
                <w:rFonts w:eastAsia="仿宋_GB2312"/>
                <w:color w:val="auto"/>
                <w:sz w:val="24"/>
                <w:highlight w:val="none"/>
              </w:rPr>
            </w:pPr>
          </w:p>
        </w:tc>
        <w:tc>
          <w:tcPr>
            <w:tcW w:w="708" w:type="dxa"/>
            <w:noWrap w:val="0"/>
            <w:vAlign w:val="center"/>
          </w:tcPr>
          <w:p w14:paraId="6CB62CF4">
            <w:pPr>
              <w:adjustRightInd w:val="0"/>
              <w:snapToGrid w:val="0"/>
              <w:spacing w:line="360" w:lineRule="auto"/>
              <w:rPr>
                <w:rFonts w:eastAsia="仿宋_GB2312"/>
                <w:color w:val="auto"/>
                <w:sz w:val="24"/>
                <w:highlight w:val="none"/>
              </w:rPr>
            </w:pPr>
          </w:p>
        </w:tc>
      </w:tr>
      <w:tr w14:paraId="4EF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27DE793">
            <w:pPr>
              <w:adjustRightInd w:val="0"/>
              <w:snapToGrid w:val="0"/>
              <w:spacing w:line="360" w:lineRule="auto"/>
              <w:rPr>
                <w:rFonts w:eastAsia="仿宋_GB2312"/>
                <w:color w:val="auto"/>
                <w:sz w:val="24"/>
                <w:highlight w:val="none"/>
              </w:rPr>
            </w:pPr>
          </w:p>
        </w:tc>
        <w:tc>
          <w:tcPr>
            <w:tcW w:w="1428" w:type="dxa"/>
            <w:noWrap w:val="0"/>
            <w:vAlign w:val="center"/>
          </w:tcPr>
          <w:p w14:paraId="0D996778">
            <w:pPr>
              <w:adjustRightInd w:val="0"/>
              <w:snapToGrid w:val="0"/>
              <w:spacing w:line="360" w:lineRule="auto"/>
              <w:rPr>
                <w:rFonts w:eastAsia="仿宋_GB2312"/>
                <w:color w:val="auto"/>
                <w:sz w:val="24"/>
                <w:highlight w:val="none"/>
              </w:rPr>
            </w:pPr>
          </w:p>
        </w:tc>
        <w:tc>
          <w:tcPr>
            <w:tcW w:w="1188" w:type="dxa"/>
            <w:noWrap w:val="0"/>
            <w:vAlign w:val="top"/>
          </w:tcPr>
          <w:p w14:paraId="137D096E">
            <w:pPr>
              <w:adjustRightInd w:val="0"/>
              <w:snapToGrid w:val="0"/>
              <w:spacing w:line="360" w:lineRule="auto"/>
              <w:rPr>
                <w:rFonts w:eastAsia="仿宋_GB2312"/>
                <w:color w:val="auto"/>
                <w:sz w:val="24"/>
                <w:highlight w:val="none"/>
              </w:rPr>
            </w:pPr>
          </w:p>
        </w:tc>
        <w:tc>
          <w:tcPr>
            <w:tcW w:w="1560" w:type="dxa"/>
            <w:noWrap w:val="0"/>
            <w:vAlign w:val="top"/>
          </w:tcPr>
          <w:p w14:paraId="2AF75DAE">
            <w:pPr>
              <w:adjustRightInd w:val="0"/>
              <w:snapToGrid w:val="0"/>
              <w:spacing w:line="360" w:lineRule="auto"/>
              <w:rPr>
                <w:rFonts w:eastAsia="仿宋_GB2312"/>
                <w:color w:val="auto"/>
                <w:sz w:val="24"/>
                <w:highlight w:val="none"/>
              </w:rPr>
            </w:pPr>
          </w:p>
        </w:tc>
        <w:tc>
          <w:tcPr>
            <w:tcW w:w="992" w:type="dxa"/>
            <w:noWrap w:val="0"/>
            <w:vAlign w:val="center"/>
          </w:tcPr>
          <w:p w14:paraId="1892B343">
            <w:pPr>
              <w:adjustRightInd w:val="0"/>
              <w:snapToGrid w:val="0"/>
              <w:spacing w:line="360" w:lineRule="auto"/>
              <w:rPr>
                <w:rFonts w:eastAsia="仿宋_GB2312"/>
                <w:color w:val="auto"/>
                <w:sz w:val="24"/>
                <w:highlight w:val="none"/>
              </w:rPr>
            </w:pPr>
          </w:p>
        </w:tc>
        <w:tc>
          <w:tcPr>
            <w:tcW w:w="1276" w:type="dxa"/>
            <w:noWrap w:val="0"/>
            <w:vAlign w:val="center"/>
          </w:tcPr>
          <w:p w14:paraId="368567FC">
            <w:pPr>
              <w:adjustRightInd w:val="0"/>
              <w:snapToGrid w:val="0"/>
              <w:spacing w:line="360" w:lineRule="auto"/>
              <w:rPr>
                <w:rFonts w:eastAsia="仿宋_GB2312"/>
                <w:color w:val="auto"/>
                <w:sz w:val="24"/>
                <w:highlight w:val="none"/>
              </w:rPr>
            </w:pPr>
          </w:p>
        </w:tc>
        <w:tc>
          <w:tcPr>
            <w:tcW w:w="1134" w:type="dxa"/>
            <w:noWrap w:val="0"/>
            <w:vAlign w:val="center"/>
          </w:tcPr>
          <w:p w14:paraId="0DEF04E0">
            <w:pPr>
              <w:adjustRightInd w:val="0"/>
              <w:snapToGrid w:val="0"/>
              <w:spacing w:line="360" w:lineRule="auto"/>
              <w:rPr>
                <w:rFonts w:eastAsia="仿宋_GB2312"/>
                <w:color w:val="auto"/>
                <w:sz w:val="24"/>
                <w:highlight w:val="none"/>
              </w:rPr>
            </w:pPr>
          </w:p>
        </w:tc>
        <w:tc>
          <w:tcPr>
            <w:tcW w:w="708" w:type="dxa"/>
            <w:noWrap w:val="0"/>
            <w:vAlign w:val="center"/>
          </w:tcPr>
          <w:p w14:paraId="2C2D7E45">
            <w:pPr>
              <w:adjustRightInd w:val="0"/>
              <w:snapToGrid w:val="0"/>
              <w:spacing w:line="360" w:lineRule="auto"/>
              <w:rPr>
                <w:rFonts w:eastAsia="仿宋_GB2312"/>
                <w:color w:val="auto"/>
                <w:sz w:val="24"/>
                <w:highlight w:val="none"/>
              </w:rPr>
            </w:pPr>
          </w:p>
        </w:tc>
      </w:tr>
      <w:tr w14:paraId="3F6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716" w:type="dxa"/>
            <w:noWrap w:val="0"/>
            <w:vAlign w:val="center"/>
          </w:tcPr>
          <w:p w14:paraId="194869A2">
            <w:pPr>
              <w:adjustRightInd w:val="0"/>
              <w:snapToGrid w:val="0"/>
              <w:spacing w:line="360" w:lineRule="auto"/>
              <w:rPr>
                <w:rFonts w:eastAsia="仿宋_GB2312"/>
                <w:color w:val="auto"/>
                <w:sz w:val="24"/>
                <w:highlight w:val="none"/>
              </w:rPr>
            </w:pPr>
          </w:p>
        </w:tc>
        <w:tc>
          <w:tcPr>
            <w:tcW w:w="1428" w:type="dxa"/>
            <w:noWrap w:val="0"/>
            <w:vAlign w:val="center"/>
          </w:tcPr>
          <w:p w14:paraId="0D435345">
            <w:pPr>
              <w:adjustRightInd w:val="0"/>
              <w:snapToGrid w:val="0"/>
              <w:spacing w:line="360" w:lineRule="auto"/>
              <w:rPr>
                <w:rFonts w:eastAsia="仿宋_GB2312"/>
                <w:color w:val="auto"/>
                <w:sz w:val="24"/>
                <w:highlight w:val="none"/>
              </w:rPr>
            </w:pPr>
          </w:p>
        </w:tc>
        <w:tc>
          <w:tcPr>
            <w:tcW w:w="1188" w:type="dxa"/>
            <w:noWrap w:val="0"/>
            <w:vAlign w:val="top"/>
          </w:tcPr>
          <w:p w14:paraId="165458AF">
            <w:pPr>
              <w:adjustRightInd w:val="0"/>
              <w:snapToGrid w:val="0"/>
              <w:spacing w:line="360" w:lineRule="auto"/>
              <w:rPr>
                <w:rFonts w:eastAsia="仿宋_GB2312"/>
                <w:color w:val="auto"/>
                <w:sz w:val="24"/>
                <w:highlight w:val="none"/>
              </w:rPr>
            </w:pPr>
          </w:p>
        </w:tc>
        <w:tc>
          <w:tcPr>
            <w:tcW w:w="1560" w:type="dxa"/>
            <w:noWrap w:val="0"/>
            <w:vAlign w:val="top"/>
          </w:tcPr>
          <w:p w14:paraId="7A79304C">
            <w:pPr>
              <w:adjustRightInd w:val="0"/>
              <w:snapToGrid w:val="0"/>
              <w:spacing w:line="360" w:lineRule="auto"/>
              <w:rPr>
                <w:rFonts w:eastAsia="仿宋_GB2312"/>
                <w:color w:val="auto"/>
                <w:sz w:val="24"/>
                <w:highlight w:val="none"/>
              </w:rPr>
            </w:pPr>
          </w:p>
        </w:tc>
        <w:tc>
          <w:tcPr>
            <w:tcW w:w="992" w:type="dxa"/>
            <w:noWrap w:val="0"/>
            <w:vAlign w:val="center"/>
          </w:tcPr>
          <w:p w14:paraId="6548F6EA">
            <w:pPr>
              <w:adjustRightInd w:val="0"/>
              <w:snapToGrid w:val="0"/>
              <w:spacing w:line="360" w:lineRule="auto"/>
              <w:rPr>
                <w:rFonts w:eastAsia="仿宋_GB2312"/>
                <w:color w:val="auto"/>
                <w:sz w:val="24"/>
                <w:highlight w:val="none"/>
              </w:rPr>
            </w:pPr>
          </w:p>
        </w:tc>
        <w:tc>
          <w:tcPr>
            <w:tcW w:w="1276" w:type="dxa"/>
            <w:noWrap w:val="0"/>
            <w:vAlign w:val="center"/>
          </w:tcPr>
          <w:p w14:paraId="743AA991">
            <w:pPr>
              <w:adjustRightInd w:val="0"/>
              <w:snapToGrid w:val="0"/>
              <w:spacing w:line="360" w:lineRule="auto"/>
              <w:rPr>
                <w:rFonts w:eastAsia="仿宋_GB2312"/>
                <w:color w:val="auto"/>
                <w:sz w:val="24"/>
                <w:highlight w:val="none"/>
              </w:rPr>
            </w:pPr>
          </w:p>
        </w:tc>
        <w:tc>
          <w:tcPr>
            <w:tcW w:w="1134" w:type="dxa"/>
            <w:noWrap w:val="0"/>
            <w:vAlign w:val="center"/>
          </w:tcPr>
          <w:p w14:paraId="4374E376">
            <w:pPr>
              <w:adjustRightInd w:val="0"/>
              <w:snapToGrid w:val="0"/>
              <w:spacing w:line="360" w:lineRule="auto"/>
              <w:rPr>
                <w:rFonts w:eastAsia="仿宋_GB2312"/>
                <w:color w:val="auto"/>
                <w:sz w:val="24"/>
                <w:highlight w:val="none"/>
              </w:rPr>
            </w:pPr>
          </w:p>
        </w:tc>
        <w:tc>
          <w:tcPr>
            <w:tcW w:w="708" w:type="dxa"/>
            <w:noWrap w:val="0"/>
            <w:vAlign w:val="center"/>
          </w:tcPr>
          <w:p w14:paraId="2F65018F">
            <w:pPr>
              <w:adjustRightInd w:val="0"/>
              <w:snapToGrid w:val="0"/>
              <w:spacing w:line="360" w:lineRule="auto"/>
              <w:rPr>
                <w:rFonts w:eastAsia="仿宋_GB2312"/>
                <w:color w:val="auto"/>
                <w:sz w:val="24"/>
                <w:highlight w:val="none"/>
              </w:rPr>
            </w:pPr>
          </w:p>
        </w:tc>
      </w:tr>
      <w:tr w14:paraId="346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1899F81">
            <w:pPr>
              <w:adjustRightInd w:val="0"/>
              <w:snapToGrid w:val="0"/>
              <w:spacing w:line="360" w:lineRule="auto"/>
              <w:rPr>
                <w:rFonts w:eastAsia="仿宋_GB2312"/>
                <w:color w:val="auto"/>
                <w:sz w:val="24"/>
                <w:highlight w:val="none"/>
              </w:rPr>
            </w:pPr>
          </w:p>
        </w:tc>
        <w:tc>
          <w:tcPr>
            <w:tcW w:w="1428" w:type="dxa"/>
            <w:noWrap w:val="0"/>
            <w:vAlign w:val="center"/>
          </w:tcPr>
          <w:p w14:paraId="789E953A">
            <w:pPr>
              <w:adjustRightInd w:val="0"/>
              <w:snapToGrid w:val="0"/>
              <w:spacing w:line="360" w:lineRule="auto"/>
              <w:rPr>
                <w:rFonts w:eastAsia="仿宋_GB2312"/>
                <w:color w:val="auto"/>
                <w:sz w:val="24"/>
                <w:highlight w:val="none"/>
              </w:rPr>
            </w:pPr>
          </w:p>
        </w:tc>
        <w:tc>
          <w:tcPr>
            <w:tcW w:w="1188" w:type="dxa"/>
            <w:noWrap w:val="0"/>
            <w:vAlign w:val="top"/>
          </w:tcPr>
          <w:p w14:paraId="11BAD92C">
            <w:pPr>
              <w:adjustRightInd w:val="0"/>
              <w:snapToGrid w:val="0"/>
              <w:spacing w:line="360" w:lineRule="auto"/>
              <w:rPr>
                <w:rFonts w:eastAsia="仿宋_GB2312"/>
                <w:color w:val="auto"/>
                <w:sz w:val="24"/>
                <w:highlight w:val="none"/>
              </w:rPr>
            </w:pPr>
          </w:p>
        </w:tc>
        <w:tc>
          <w:tcPr>
            <w:tcW w:w="1560" w:type="dxa"/>
            <w:noWrap w:val="0"/>
            <w:vAlign w:val="top"/>
          </w:tcPr>
          <w:p w14:paraId="2221886A">
            <w:pPr>
              <w:adjustRightInd w:val="0"/>
              <w:snapToGrid w:val="0"/>
              <w:spacing w:line="360" w:lineRule="auto"/>
              <w:rPr>
                <w:rFonts w:eastAsia="仿宋_GB2312"/>
                <w:color w:val="auto"/>
                <w:sz w:val="24"/>
                <w:highlight w:val="none"/>
              </w:rPr>
            </w:pPr>
          </w:p>
        </w:tc>
        <w:tc>
          <w:tcPr>
            <w:tcW w:w="992" w:type="dxa"/>
            <w:noWrap w:val="0"/>
            <w:vAlign w:val="center"/>
          </w:tcPr>
          <w:p w14:paraId="37ADAE4E">
            <w:pPr>
              <w:adjustRightInd w:val="0"/>
              <w:snapToGrid w:val="0"/>
              <w:spacing w:line="360" w:lineRule="auto"/>
              <w:rPr>
                <w:rFonts w:eastAsia="仿宋_GB2312"/>
                <w:color w:val="auto"/>
                <w:sz w:val="24"/>
                <w:highlight w:val="none"/>
              </w:rPr>
            </w:pPr>
          </w:p>
        </w:tc>
        <w:tc>
          <w:tcPr>
            <w:tcW w:w="1276" w:type="dxa"/>
            <w:noWrap w:val="0"/>
            <w:vAlign w:val="center"/>
          </w:tcPr>
          <w:p w14:paraId="0CAA243D">
            <w:pPr>
              <w:adjustRightInd w:val="0"/>
              <w:snapToGrid w:val="0"/>
              <w:spacing w:line="360" w:lineRule="auto"/>
              <w:rPr>
                <w:rFonts w:eastAsia="仿宋_GB2312"/>
                <w:color w:val="auto"/>
                <w:sz w:val="24"/>
                <w:highlight w:val="none"/>
              </w:rPr>
            </w:pPr>
          </w:p>
        </w:tc>
        <w:tc>
          <w:tcPr>
            <w:tcW w:w="1134" w:type="dxa"/>
            <w:noWrap w:val="0"/>
            <w:vAlign w:val="center"/>
          </w:tcPr>
          <w:p w14:paraId="6F9F307C">
            <w:pPr>
              <w:adjustRightInd w:val="0"/>
              <w:snapToGrid w:val="0"/>
              <w:spacing w:line="360" w:lineRule="auto"/>
              <w:rPr>
                <w:rFonts w:eastAsia="仿宋_GB2312"/>
                <w:color w:val="auto"/>
                <w:sz w:val="24"/>
                <w:highlight w:val="none"/>
              </w:rPr>
            </w:pPr>
          </w:p>
        </w:tc>
        <w:tc>
          <w:tcPr>
            <w:tcW w:w="708" w:type="dxa"/>
            <w:noWrap w:val="0"/>
            <w:vAlign w:val="center"/>
          </w:tcPr>
          <w:p w14:paraId="70F353CC">
            <w:pPr>
              <w:adjustRightInd w:val="0"/>
              <w:snapToGrid w:val="0"/>
              <w:spacing w:line="360" w:lineRule="auto"/>
              <w:rPr>
                <w:rFonts w:eastAsia="仿宋_GB2312"/>
                <w:color w:val="auto"/>
                <w:sz w:val="24"/>
                <w:highlight w:val="none"/>
              </w:rPr>
            </w:pPr>
          </w:p>
        </w:tc>
      </w:tr>
      <w:tr w14:paraId="16C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2DD5C8F4">
            <w:pPr>
              <w:adjustRightInd w:val="0"/>
              <w:snapToGrid w:val="0"/>
              <w:spacing w:line="360" w:lineRule="auto"/>
              <w:rPr>
                <w:rFonts w:eastAsia="仿宋_GB2312"/>
                <w:color w:val="auto"/>
                <w:sz w:val="24"/>
                <w:highlight w:val="none"/>
              </w:rPr>
            </w:pPr>
          </w:p>
        </w:tc>
        <w:tc>
          <w:tcPr>
            <w:tcW w:w="1428" w:type="dxa"/>
            <w:noWrap w:val="0"/>
            <w:vAlign w:val="center"/>
          </w:tcPr>
          <w:p w14:paraId="4F487ACC">
            <w:pPr>
              <w:adjustRightInd w:val="0"/>
              <w:snapToGrid w:val="0"/>
              <w:spacing w:line="360" w:lineRule="auto"/>
              <w:rPr>
                <w:rFonts w:eastAsia="仿宋_GB2312"/>
                <w:color w:val="auto"/>
                <w:sz w:val="24"/>
                <w:highlight w:val="none"/>
              </w:rPr>
            </w:pPr>
          </w:p>
        </w:tc>
        <w:tc>
          <w:tcPr>
            <w:tcW w:w="1188" w:type="dxa"/>
            <w:noWrap w:val="0"/>
            <w:vAlign w:val="top"/>
          </w:tcPr>
          <w:p w14:paraId="088133B5">
            <w:pPr>
              <w:adjustRightInd w:val="0"/>
              <w:snapToGrid w:val="0"/>
              <w:spacing w:line="360" w:lineRule="auto"/>
              <w:rPr>
                <w:rFonts w:eastAsia="仿宋_GB2312"/>
                <w:color w:val="auto"/>
                <w:sz w:val="24"/>
                <w:highlight w:val="none"/>
              </w:rPr>
            </w:pPr>
          </w:p>
        </w:tc>
        <w:tc>
          <w:tcPr>
            <w:tcW w:w="1560" w:type="dxa"/>
            <w:noWrap w:val="0"/>
            <w:vAlign w:val="top"/>
          </w:tcPr>
          <w:p w14:paraId="2E876AA7">
            <w:pPr>
              <w:adjustRightInd w:val="0"/>
              <w:snapToGrid w:val="0"/>
              <w:spacing w:line="360" w:lineRule="auto"/>
              <w:rPr>
                <w:rFonts w:eastAsia="仿宋_GB2312"/>
                <w:color w:val="auto"/>
                <w:sz w:val="24"/>
                <w:highlight w:val="none"/>
              </w:rPr>
            </w:pPr>
          </w:p>
        </w:tc>
        <w:tc>
          <w:tcPr>
            <w:tcW w:w="992" w:type="dxa"/>
            <w:noWrap w:val="0"/>
            <w:vAlign w:val="center"/>
          </w:tcPr>
          <w:p w14:paraId="38CC7C0D">
            <w:pPr>
              <w:adjustRightInd w:val="0"/>
              <w:snapToGrid w:val="0"/>
              <w:spacing w:line="360" w:lineRule="auto"/>
              <w:rPr>
                <w:rFonts w:eastAsia="仿宋_GB2312"/>
                <w:color w:val="auto"/>
                <w:sz w:val="24"/>
                <w:highlight w:val="none"/>
              </w:rPr>
            </w:pPr>
          </w:p>
        </w:tc>
        <w:tc>
          <w:tcPr>
            <w:tcW w:w="1276" w:type="dxa"/>
            <w:noWrap w:val="0"/>
            <w:vAlign w:val="center"/>
          </w:tcPr>
          <w:p w14:paraId="4758F02E">
            <w:pPr>
              <w:adjustRightInd w:val="0"/>
              <w:snapToGrid w:val="0"/>
              <w:spacing w:line="360" w:lineRule="auto"/>
              <w:rPr>
                <w:rFonts w:eastAsia="仿宋_GB2312"/>
                <w:color w:val="auto"/>
                <w:sz w:val="24"/>
                <w:highlight w:val="none"/>
              </w:rPr>
            </w:pPr>
          </w:p>
        </w:tc>
        <w:tc>
          <w:tcPr>
            <w:tcW w:w="1134" w:type="dxa"/>
            <w:noWrap w:val="0"/>
            <w:vAlign w:val="center"/>
          </w:tcPr>
          <w:p w14:paraId="48974892">
            <w:pPr>
              <w:adjustRightInd w:val="0"/>
              <w:snapToGrid w:val="0"/>
              <w:spacing w:line="360" w:lineRule="auto"/>
              <w:rPr>
                <w:rFonts w:eastAsia="仿宋_GB2312"/>
                <w:color w:val="auto"/>
                <w:sz w:val="24"/>
                <w:highlight w:val="none"/>
              </w:rPr>
            </w:pPr>
          </w:p>
        </w:tc>
        <w:tc>
          <w:tcPr>
            <w:tcW w:w="708" w:type="dxa"/>
            <w:noWrap w:val="0"/>
            <w:vAlign w:val="center"/>
          </w:tcPr>
          <w:p w14:paraId="0C842C73">
            <w:pPr>
              <w:adjustRightInd w:val="0"/>
              <w:snapToGrid w:val="0"/>
              <w:spacing w:line="360" w:lineRule="auto"/>
              <w:rPr>
                <w:rFonts w:eastAsia="仿宋_GB2312"/>
                <w:color w:val="auto"/>
                <w:sz w:val="24"/>
                <w:highlight w:val="none"/>
              </w:rPr>
            </w:pPr>
          </w:p>
        </w:tc>
      </w:tr>
      <w:tr w14:paraId="37A2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7316B9">
            <w:pPr>
              <w:adjustRightInd w:val="0"/>
              <w:snapToGrid w:val="0"/>
              <w:spacing w:line="360" w:lineRule="auto"/>
              <w:rPr>
                <w:rFonts w:eastAsia="仿宋_GB2312"/>
                <w:color w:val="auto"/>
                <w:sz w:val="24"/>
                <w:highlight w:val="none"/>
              </w:rPr>
            </w:pPr>
          </w:p>
        </w:tc>
        <w:tc>
          <w:tcPr>
            <w:tcW w:w="1428" w:type="dxa"/>
            <w:noWrap w:val="0"/>
            <w:vAlign w:val="center"/>
          </w:tcPr>
          <w:p w14:paraId="653F76A6">
            <w:pPr>
              <w:adjustRightInd w:val="0"/>
              <w:snapToGrid w:val="0"/>
              <w:spacing w:line="360" w:lineRule="auto"/>
              <w:rPr>
                <w:rFonts w:eastAsia="仿宋_GB2312"/>
                <w:color w:val="auto"/>
                <w:sz w:val="24"/>
                <w:highlight w:val="none"/>
              </w:rPr>
            </w:pPr>
          </w:p>
        </w:tc>
        <w:tc>
          <w:tcPr>
            <w:tcW w:w="1188" w:type="dxa"/>
            <w:noWrap w:val="0"/>
            <w:vAlign w:val="top"/>
          </w:tcPr>
          <w:p w14:paraId="543B6A45">
            <w:pPr>
              <w:adjustRightInd w:val="0"/>
              <w:snapToGrid w:val="0"/>
              <w:spacing w:line="360" w:lineRule="auto"/>
              <w:rPr>
                <w:rFonts w:eastAsia="仿宋_GB2312"/>
                <w:color w:val="auto"/>
                <w:sz w:val="24"/>
                <w:highlight w:val="none"/>
              </w:rPr>
            </w:pPr>
          </w:p>
        </w:tc>
        <w:tc>
          <w:tcPr>
            <w:tcW w:w="1560" w:type="dxa"/>
            <w:noWrap w:val="0"/>
            <w:vAlign w:val="top"/>
          </w:tcPr>
          <w:p w14:paraId="54A02DCE">
            <w:pPr>
              <w:adjustRightInd w:val="0"/>
              <w:snapToGrid w:val="0"/>
              <w:spacing w:line="360" w:lineRule="auto"/>
              <w:rPr>
                <w:rFonts w:eastAsia="仿宋_GB2312"/>
                <w:color w:val="auto"/>
                <w:sz w:val="24"/>
                <w:highlight w:val="none"/>
              </w:rPr>
            </w:pPr>
          </w:p>
        </w:tc>
        <w:tc>
          <w:tcPr>
            <w:tcW w:w="992" w:type="dxa"/>
            <w:noWrap w:val="0"/>
            <w:vAlign w:val="center"/>
          </w:tcPr>
          <w:p w14:paraId="04326897">
            <w:pPr>
              <w:adjustRightInd w:val="0"/>
              <w:snapToGrid w:val="0"/>
              <w:spacing w:line="360" w:lineRule="auto"/>
              <w:rPr>
                <w:rFonts w:eastAsia="仿宋_GB2312"/>
                <w:color w:val="auto"/>
                <w:sz w:val="24"/>
                <w:highlight w:val="none"/>
              </w:rPr>
            </w:pPr>
          </w:p>
        </w:tc>
        <w:tc>
          <w:tcPr>
            <w:tcW w:w="1276" w:type="dxa"/>
            <w:noWrap w:val="0"/>
            <w:vAlign w:val="center"/>
          </w:tcPr>
          <w:p w14:paraId="25355ED5">
            <w:pPr>
              <w:adjustRightInd w:val="0"/>
              <w:snapToGrid w:val="0"/>
              <w:spacing w:line="360" w:lineRule="auto"/>
              <w:rPr>
                <w:rFonts w:eastAsia="仿宋_GB2312"/>
                <w:color w:val="auto"/>
                <w:sz w:val="24"/>
                <w:highlight w:val="none"/>
              </w:rPr>
            </w:pPr>
          </w:p>
        </w:tc>
        <w:tc>
          <w:tcPr>
            <w:tcW w:w="1134" w:type="dxa"/>
            <w:noWrap w:val="0"/>
            <w:vAlign w:val="center"/>
          </w:tcPr>
          <w:p w14:paraId="1EEC69A7">
            <w:pPr>
              <w:adjustRightInd w:val="0"/>
              <w:snapToGrid w:val="0"/>
              <w:spacing w:line="360" w:lineRule="auto"/>
              <w:rPr>
                <w:rFonts w:eastAsia="仿宋_GB2312"/>
                <w:color w:val="auto"/>
                <w:sz w:val="24"/>
                <w:highlight w:val="none"/>
              </w:rPr>
            </w:pPr>
          </w:p>
        </w:tc>
        <w:tc>
          <w:tcPr>
            <w:tcW w:w="708" w:type="dxa"/>
            <w:noWrap w:val="0"/>
            <w:vAlign w:val="center"/>
          </w:tcPr>
          <w:p w14:paraId="3D982F83">
            <w:pPr>
              <w:adjustRightInd w:val="0"/>
              <w:snapToGrid w:val="0"/>
              <w:spacing w:line="360" w:lineRule="auto"/>
              <w:rPr>
                <w:rFonts w:eastAsia="仿宋_GB2312"/>
                <w:color w:val="auto"/>
                <w:sz w:val="24"/>
                <w:highlight w:val="none"/>
              </w:rPr>
            </w:pPr>
          </w:p>
        </w:tc>
      </w:tr>
      <w:tr w14:paraId="778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EFEE769">
            <w:pPr>
              <w:adjustRightInd w:val="0"/>
              <w:snapToGrid w:val="0"/>
              <w:spacing w:line="360" w:lineRule="auto"/>
              <w:rPr>
                <w:rFonts w:eastAsia="仿宋_GB2312"/>
                <w:color w:val="auto"/>
                <w:sz w:val="24"/>
                <w:highlight w:val="none"/>
              </w:rPr>
            </w:pPr>
          </w:p>
        </w:tc>
        <w:tc>
          <w:tcPr>
            <w:tcW w:w="1428" w:type="dxa"/>
            <w:noWrap w:val="0"/>
            <w:vAlign w:val="center"/>
          </w:tcPr>
          <w:p w14:paraId="618A97C7">
            <w:pPr>
              <w:adjustRightInd w:val="0"/>
              <w:snapToGrid w:val="0"/>
              <w:spacing w:line="360" w:lineRule="auto"/>
              <w:rPr>
                <w:rFonts w:eastAsia="仿宋_GB2312"/>
                <w:color w:val="auto"/>
                <w:sz w:val="24"/>
                <w:highlight w:val="none"/>
              </w:rPr>
            </w:pPr>
          </w:p>
        </w:tc>
        <w:tc>
          <w:tcPr>
            <w:tcW w:w="1188" w:type="dxa"/>
            <w:noWrap w:val="0"/>
            <w:vAlign w:val="top"/>
          </w:tcPr>
          <w:p w14:paraId="57CB8456">
            <w:pPr>
              <w:adjustRightInd w:val="0"/>
              <w:snapToGrid w:val="0"/>
              <w:spacing w:line="360" w:lineRule="auto"/>
              <w:rPr>
                <w:rFonts w:eastAsia="仿宋_GB2312"/>
                <w:color w:val="auto"/>
                <w:sz w:val="24"/>
                <w:highlight w:val="none"/>
              </w:rPr>
            </w:pPr>
          </w:p>
        </w:tc>
        <w:tc>
          <w:tcPr>
            <w:tcW w:w="1560" w:type="dxa"/>
            <w:noWrap w:val="0"/>
            <w:vAlign w:val="top"/>
          </w:tcPr>
          <w:p w14:paraId="703F5FB3">
            <w:pPr>
              <w:adjustRightInd w:val="0"/>
              <w:snapToGrid w:val="0"/>
              <w:spacing w:line="360" w:lineRule="auto"/>
              <w:rPr>
                <w:rFonts w:eastAsia="仿宋_GB2312"/>
                <w:color w:val="auto"/>
                <w:sz w:val="24"/>
                <w:highlight w:val="none"/>
              </w:rPr>
            </w:pPr>
          </w:p>
        </w:tc>
        <w:tc>
          <w:tcPr>
            <w:tcW w:w="992" w:type="dxa"/>
            <w:noWrap w:val="0"/>
            <w:vAlign w:val="center"/>
          </w:tcPr>
          <w:p w14:paraId="7B9BF65F">
            <w:pPr>
              <w:adjustRightInd w:val="0"/>
              <w:snapToGrid w:val="0"/>
              <w:spacing w:line="360" w:lineRule="auto"/>
              <w:rPr>
                <w:rFonts w:eastAsia="仿宋_GB2312"/>
                <w:color w:val="auto"/>
                <w:sz w:val="24"/>
                <w:highlight w:val="none"/>
              </w:rPr>
            </w:pPr>
          </w:p>
        </w:tc>
        <w:tc>
          <w:tcPr>
            <w:tcW w:w="1276" w:type="dxa"/>
            <w:noWrap w:val="0"/>
            <w:vAlign w:val="center"/>
          </w:tcPr>
          <w:p w14:paraId="10455E6A">
            <w:pPr>
              <w:adjustRightInd w:val="0"/>
              <w:snapToGrid w:val="0"/>
              <w:spacing w:line="360" w:lineRule="auto"/>
              <w:rPr>
                <w:rFonts w:eastAsia="仿宋_GB2312"/>
                <w:color w:val="auto"/>
                <w:sz w:val="24"/>
                <w:highlight w:val="none"/>
              </w:rPr>
            </w:pPr>
          </w:p>
        </w:tc>
        <w:tc>
          <w:tcPr>
            <w:tcW w:w="1134" w:type="dxa"/>
            <w:noWrap w:val="0"/>
            <w:vAlign w:val="center"/>
          </w:tcPr>
          <w:p w14:paraId="296A14A2">
            <w:pPr>
              <w:adjustRightInd w:val="0"/>
              <w:snapToGrid w:val="0"/>
              <w:spacing w:line="360" w:lineRule="auto"/>
              <w:rPr>
                <w:rFonts w:eastAsia="仿宋_GB2312"/>
                <w:color w:val="auto"/>
                <w:sz w:val="24"/>
                <w:highlight w:val="none"/>
              </w:rPr>
            </w:pPr>
          </w:p>
        </w:tc>
        <w:tc>
          <w:tcPr>
            <w:tcW w:w="708" w:type="dxa"/>
            <w:noWrap w:val="0"/>
            <w:vAlign w:val="center"/>
          </w:tcPr>
          <w:p w14:paraId="33DAB4AA">
            <w:pPr>
              <w:adjustRightInd w:val="0"/>
              <w:snapToGrid w:val="0"/>
              <w:spacing w:line="360" w:lineRule="auto"/>
              <w:rPr>
                <w:rFonts w:eastAsia="仿宋_GB2312"/>
                <w:color w:val="auto"/>
                <w:sz w:val="24"/>
                <w:highlight w:val="none"/>
              </w:rPr>
            </w:pPr>
          </w:p>
        </w:tc>
      </w:tr>
      <w:tr w14:paraId="0A6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5BE4D435">
            <w:pPr>
              <w:adjustRightInd w:val="0"/>
              <w:snapToGrid w:val="0"/>
              <w:spacing w:line="360" w:lineRule="auto"/>
              <w:rPr>
                <w:rFonts w:eastAsia="仿宋_GB2312"/>
                <w:color w:val="auto"/>
                <w:sz w:val="24"/>
                <w:highlight w:val="none"/>
              </w:rPr>
            </w:pPr>
          </w:p>
        </w:tc>
        <w:tc>
          <w:tcPr>
            <w:tcW w:w="1428" w:type="dxa"/>
            <w:noWrap w:val="0"/>
            <w:vAlign w:val="center"/>
          </w:tcPr>
          <w:p w14:paraId="2C42830E">
            <w:pPr>
              <w:adjustRightInd w:val="0"/>
              <w:snapToGrid w:val="0"/>
              <w:spacing w:line="360" w:lineRule="auto"/>
              <w:rPr>
                <w:rFonts w:eastAsia="仿宋_GB2312"/>
                <w:color w:val="auto"/>
                <w:sz w:val="24"/>
                <w:highlight w:val="none"/>
              </w:rPr>
            </w:pPr>
          </w:p>
        </w:tc>
        <w:tc>
          <w:tcPr>
            <w:tcW w:w="1188" w:type="dxa"/>
            <w:noWrap w:val="0"/>
            <w:vAlign w:val="top"/>
          </w:tcPr>
          <w:p w14:paraId="41EFD9AE">
            <w:pPr>
              <w:adjustRightInd w:val="0"/>
              <w:snapToGrid w:val="0"/>
              <w:spacing w:line="360" w:lineRule="auto"/>
              <w:rPr>
                <w:rFonts w:eastAsia="仿宋_GB2312"/>
                <w:color w:val="auto"/>
                <w:sz w:val="24"/>
                <w:highlight w:val="none"/>
              </w:rPr>
            </w:pPr>
          </w:p>
        </w:tc>
        <w:tc>
          <w:tcPr>
            <w:tcW w:w="1560" w:type="dxa"/>
            <w:noWrap w:val="0"/>
            <w:vAlign w:val="top"/>
          </w:tcPr>
          <w:p w14:paraId="023272DC">
            <w:pPr>
              <w:adjustRightInd w:val="0"/>
              <w:snapToGrid w:val="0"/>
              <w:spacing w:line="360" w:lineRule="auto"/>
              <w:rPr>
                <w:rFonts w:eastAsia="仿宋_GB2312"/>
                <w:color w:val="auto"/>
                <w:sz w:val="24"/>
                <w:highlight w:val="none"/>
              </w:rPr>
            </w:pPr>
          </w:p>
        </w:tc>
        <w:tc>
          <w:tcPr>
            <w:tcW w:w="992" w:type="dxa"/>
            <w:noWrap w:val="0"/>
            <w:vAlign w:val="center"/>
          </w:tcPr>
          <w:p w14:paraId="0C00D8AA">
            <w:pPr>
              <w:adjustRightInd w:val="0"/>
              <w:snapToGrid w:val="0"/>
              <w:spacing w:line="360" w:lineRule="auto"/>
              <w:rPr>
                <w:rFonts w:eastAsia="仿宋_GB2312"/>
                <w:color w:val="auto"/>
                <w:sz w:val="24"/>
                <w:highlight w:val="none"/>
              </w:rPr>
            </w:pPr>
          </w:p>
        </w:tc>
        <w:tc>
          <w:tcPr>
            <w:tcW w:w="1276" w:type="dxa"/>
            <w:noWrap w:val="0"/>
            <w:vAlign w:val="center"/>
          </w:tcPr>
          <w:p w14:paraId="283BB7DE">
            <w:pPr>
              <w:adjustRightInd w:val="0"/>
              <w:snapToGrid w:val="0"/>
              <w:spacing w:line="360" w:lineRule="auto"/>
              <w:rPr>
                <w:rFonts w:eastAsia="仿宋_GB2312"/>
                <w:color w:val="auto"/>
                <w:sz w:val="24"/>
                <w:highlight w:val="none"/>
              </w:rPr>
            </w:pPr>
          </w:p>
        </w:tc>
        <w:tc>
          <w:tcPr>
            <w:tcW w:w="1134" w:type="dxa"/>
            <w:noWrap w:val="0"/>
            <w:vAlign w:val="center"/>
          </w:tcPr>
          <w:p w14:paraId="6220945A">
            <w:pPr>
              <w:adjustRightInd w:val="0"/>
              <w:snapToGrid w:val="0"/>
              <w:spacing w:line="360" w:lineRule="auto"/>
              <w:rPr>
                <w:rFonts w:eastAsia="仿宋_GB2312"/>
                <w:color w:val="auto"/>
                <w:sz w:val="24"/>
                <w:highlight w:val="none"/>
              </w:rPr>
            </w:pPr>
          </w:p>
        </w:tc>
        <w:tc>
          <w:tcPr>
            <w:tcW w:w="708" w:type="dxa"/>
            <w:noWrap w:val="0"/>
            <w:vAlign w:val="center"/>
          </w:tcPr>
          <w:p w14:paraId="7C04BABB">
            <w:pPr>
              <w:adjustRightInd w:val="0"/>
              <w:snapToGrid w:val="0"/>
              <w:spacing w:line="360" w:lineRule="auto"/>
              <w:rPr>
                <w:rFonts w:eastAsia="仿宋_GB2312"/>
                <w:color w:val="auto"/>
                <w:sz w:val="24"/>
                <w:highlight w:val="none"/>
              </w:rPr>
            </w:pPr>
          </w:p>
        </w:tc>
      </w:tr>
      <w:tr w14:paraId="0329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8"/>
            <w:noWrap w:val="0"/>
            <w:vAlign w:val="center"/>
          </w:tcPr>
          <w:p w14:paraId="77E26A48">
            <w:pPr>
              <w:adjustRightInd w:val="0"/>
              <w:snapToGrid w:val="0"/>
              <w:spacing w:line="360" w:lineRule="auto"/>
              <w:rPr>
                <w:rFonts w:hint="default" w:eastAsia="仿宋_GB2312"/>
                <w:color w:val="auto"/>
                <w:sz w:val="24"/>
                <w:highlight w:val="none"/>
                <w:lang w:val="en-US" w:eastAsia="zh-CN"/>
              </w:rPr>
            </w:pPr>
            <w:r>
              <w:rPr>
                <w:rFonts w:hint="eastAsia" w:eastAsia="仿宋_GB2312"/>
                <w:color w:val="auto"/>
                <w:sz w:val="24"/>
                <w:highlight w:val="none"/>
                <w:lang w:val="en-US" w:eastAsia="zh-CN"/>
              </w:rPr>
              <w:t>合计：人民币（大写）　　  元（小写￥：   元）</w:t>
            </w:r>
          </w:p>
        </w:tc>
      </w:tr>
    </w:tbl>
    <w:p w14:paraId="1AA697AF">
      <w:pPr>
        <w:autoSpaceDE w:val="0"/>
        <w:autoSpaceDN w:val="0"/>
        <w:adjustRightInd w:val="0"/>
        <w:snapToGrid w:val="0"/>
        <w:spacing w:before="120" w:line="360" w:lineRule="auto"/>
        <w:ind w:left="-206" w:leftChars="-98"/>
        <w:jc w:val="left"/>
        <w:rPr>
          <w:rFonts w:ascii="仿宋" w:hAnsi="仿宋" w:eastAsia="仿宋" w:cs="仿宋"/>
          <w:color w:val="auto"/>
          <w:kern w:val="0"/>
          <w:sz w:val="24"/>
          <w:szCs w:val="28"/>
          <w:highlight w:val="none"/>
        </w:rPr>
      </w:pPr>
    </w:p>
    <w:p w14:paraId="56FFE2A3">
      <w:pPr>
        <w:adjustRightInd w:val="0"/>
        <w:snapToGrid w:val="0"/>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                         法定代表人（或单位负责人）或授权代表</w:t>
      </w:r>
    </w:p>
    <w:p w14:paraId="2D8479C2">
      <w:pPr>
        <w:adjustRightInd w:val="0"/>
        <w:snapToGrid w:val="0"/>
        <w:spacing w:line="360" w:lineRule="auto"/>
        <w:ind w:left="-525" w:leftChars="-25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2"/>
          <w:sz w:val="24"/>
          <w:szCs w:val="20"/>
          <w:highlight w:val="none"/>
          <w:lang w:val="en-US" w:eastAsia="zh-CN" w:bidi="ar-SA"/>
        </w:rPr>
        <w:t>盖</w:t>
      </w:r>
      <w:r>
        <w:rPr>
          <w:rFonts w:hint="eastAsia" w:ascii="仿宋" w:hAnsi="仿宋" w:eastAsia="仿宋" w:cs="仿宋"/>
          <w:color w:val="auto"/>
          <w:sz w:val="24"/>
          <w:highlight w:val="none"/>
        </w:rPr>
        <w:t>公章）：                          （签字或盖章）：</w:t>
      </w:r>
    </w:p>
    <w:p w14:paraId="0F6DA631">
      <w:pPr>
        <w:ind w:firstLine="4800" w:firstLineChars="2000"/>
        <w:rPr>
          <w:rFonts w:hint="eastAsia" w:ascii="仿宋" w:hAnsi="仿宋" w:eastAsia="仿宋" w:cs="仿宋"/>
          <w:color w:val="auto"/>
          <w:sz w:val="24"/>
          <w:highlight w:val="none"/>
          <w:u w:val="single"/>
        </w:rPr>
      </w:pPr>
    </w:p>
    <w:p w14:paraId="4B7562CE">
      <w:pPr>
        <w:ind w:firstLine="4800" w:firstLineChars="2000"/>
        <w:rPr>
          <w:rFonts w:hint="eastAsia" w:ascii="仿宋" w:hAnsi="仿宋" w:eastAsia="仿宋" w:cs="仿宋"/>
          <w:color w:val="auto"/>
          <w:sz w:val="24"/>
          <w:highlight w:val="none"/>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年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260DFAA4">
      <w:pPr>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投标分项报价表附件：</w:t>
      </w:r>
    </w:p>
    <w:p w14:paraId="104B1B74">
      <w:pPr>
        <w:tabs>
          <w:tab w:val="center" w:pos="4535"/>
          <w:tab w:val="left" w:pos="6521"/>
        </w:tabs>
        <w:autoSpaceDE w:val="0"/>
        <w:autoSpaceDN w:val="0"/>
        <w:adjustRightInd w:val="0"/>
        <w:snapToGrid w:val="0"/>
        <w:spacing w:line="360" w:lineRule="auto"/>
        <w:rPr>
          <w:rFonts w:hint="eastAsia" w:ascii="仿宋" w:hAnsi="仿宋" w:eastAsia="仿宋" w:cs="仿宋"/>
          <w:color w:val="auto"/>
          <w:sz w:val="24"/>
          <w:highlight w:val="none"/>
        </w:rPr>
      </w:pPr>
    </w:p>
    <w:p w14:paraId="3F97A579">
      <w:pPr>
        <w:pStyle w:val="6"/>
        <w:ind w:firstLine="0" w:firstLineChars="0"/>
        <w:jc w:val="cente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节能产品、环境标志产品明细表</w:t>
      </w:r>
    </w:p>
    <w:p w14:paraId="44107B21">
      <w:pPr>
        <w:keepNext w:val="0"/>
        <w:keepLines w:val="0"/>
        <w:pageBreakBefore w:val="0"/>
        <w:widowControl w:val="0"/>
        <w:shd w:val="clear" w:color="auto" w:fill="auto"/>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6CF55C30">
      <w:pPr>
        <w:keepNext w:val="0"/>
        <w:keepLines w:val="0"/>
        <w:pageBreakBefore w:val="0"/>
        <w:widowControl w:val="0"/>
        <w:shd w:val="clear" w:color="auto" w:fill="auto"/>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19B40B5E">
      <w:pPr>
        <w:pStyle w:val="4"/>
        <w:keepNext w:val="0"/>
        <w:keepLines w:val="0"/>
        <w:pageBreakBefore w:val="0"/>
        <w:widowControl w:val="0"/>
        <w:kinsoku/>
        <w:wordWrap/>
        <w:overflowPunct/>
        <w:topLinePunct w:val="0"/>
        <w:bidi w:val="0"/>
        <w:snapToGrid/>
        <w:spacing w:line="360" w:lineRule="auto"/>
        <w:ind w:firstLine="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tbl>
      <w:tblPr>
        <w:tblStyle w:val="18"/>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14:paraId="1CB21B74">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7C2196A3">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14:paraId="08CAD382">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7E984618">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14:paraId="17F78AAA">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6EA29459">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14:paraId="2988832D">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21A2FC00">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14:paraId="1B1E492A">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14:paraId="337429DD">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7D7C6EC5">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14:paraId="1CEA642F">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5A184FC2">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14:paraId="0E6FED7D">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4E54DCDB">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14:paraId="0D7B64C0">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3C77B5C0">
            <w:pPr>
              <w:autoSpaceDE w:val="0"/>
              <w:autoSpaceDN w:val="0"/>
              <w:adjustRightInd w:val="0"/>
              <w:snapToGri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14:paraId="54A43E8E">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14:paraId="24A578B4">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35A9B01A">
            <w:pPr>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14:paraId="5A633C2C">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76B99E17">
            <w:pPr>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21CC588C">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7402D8B4">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2D45442A">
            <w:pPr>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37EC7199">
            <w:pPr>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4FDFEC1">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4FCDF32B">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4B887C2A">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CCF8853">
            <w:pPr>
              <w:autoSpaceDE w:val="0"/>
              <w:autoSpaceDN w:val="0"/>
              <w:adjustRightInd w:val="0"/>
              <w:snapToGrid w:val="0"/>
              <w:jc w:val="left"/>
              <w:rPr>
                <w:rFonts w:hint="eastAsia" w:ascii="仿宋" w:hAnsi="仿宋" w:eastAsia="仿宋" w:cs="仿宋"/>
                <w:color w:val="auto"/>
                <w:sz w:val="24"/>
                <w:highlight w:val="none"/>
              </w:rPr>
            </w:pPr>
          </w:p>
        </w:tc>
      </w:tr>
      <w:tr w14:paraId="456E5D44">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0EB71128">
            <w:pPr>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08877076">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1EE60225">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5EE7E187">
            <w:pPr>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C87EE3A">
            <w:pPr>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4488BEF">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4F2D7900">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9F1ECB6">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BD08416">
            <w:pPr>
              <w:autoSpaceDE w:val="0"/>
              <w:autoSpaceDN w:val="0"/>
              <w:adjustRightInd w:val="0"/>
              <w:snapToGrid w:val="0"/>
              <w:jc w:val="left"/>
              <w:rPr>
                <w:rFonts w:hint="eastAsia" w:ascii="仿宋" w:hAnsi="仿宋" w:eastAsia="仿宋" w:cs="仿宋"/>
                <w:color w:val="auto"/>
                <w:sz w:val="24"/>
                <w:highlight w:val="none"/>
              </w:rPr>
            </w:pPr>
          </w:p>
        </w:tc>
      </w:tr>
      <w:tr w14:paraId="25DE82BB">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59030010">
            <w:pPr>
              <w:autoSpaceDE w:val="0"/>
              <w:autoSpaceDN w:val="0"/>
              <w:adjustRightInd w:val="0"/>
              <w:snapToGrid w:val="0"/>
              <w:jc w:val="left"/>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01954EAC">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61728E56">
            <w:pPr>
              <w:autoSpaceDE w:val="0"/>
              <w:autoSpaceDN w:val="0"/>
              <w:adjustRightInd w:val="0"/>
              <w:snapToGrid w:val="0"/>
              <w:jc w:val="left"/>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35CF8197">
            <w:pPr>
              <w:autoSpaceDE w:val="0"/>
              <w:autoSpaceDN w:val="0"/>
              <w:adjustRightInd w:val="0"/>
              <w:snapToGrid w:val="0"/>
              <w:jc w:val="left"/>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52F91293">
            <w:pPr>
              <w:autoSpaceDE w:val="0"/>
              <w:autoSpaceDN w:val="0"/>
              <w:adjustRightInd w:val="0"/>
              <w:snapToGrid w:val="0"/>
              <w:jc w:val="left"/>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0FF7C99">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5DAFC82">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3BA9A33">
            <w:pPr>
              <w:autoSpaceDE w:val="0"/>
              <w:autoSpaceDN w:val="0"/>
              <w:adjustRightInd w:val="0"/>
              <w:snapToGrid w:val="0"/>
              <w:jc w:val="left"/>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496F50A">
            <w:pPr>
              <w:autoSpaceDE w:val="0"/>
              <w:autoSpaceDN w:val="0"/>
              <w:adjustRightInd w:val="0"/>
              <w:snapToGrid w:val="0"/>
              <w:jc w:val="left"/>
              <w:rPr>
                <w:rFonts w:hint="eastAsia" w:ascii="仿宋" w:hAnsi="仿宋" w:eastAsia="仿宋" w:cs="仿宋"/>
                <w:color w:val="auto"/>
                <w:sz w:val="24"/>
                <w:highlight w:val="none"/>
              </w:rPr>
            </w:pPr>
          </w:p>
        </w:tc>
      </w:tr>
      <w:tr w14:paraId="5EED417F">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640D1567">
            <w:pPr>
              <w:autoSpaceDE w:val="0"/>
              <w:autoSpaceDN w:val="0"/>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14:paraId="38819BC2">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5054759">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7F72205A">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3EEEC167">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10BCD8D3">
            <w:pPr>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19FCBB83">
            <w:pPr>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2E9FB35">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3A9C6A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9ABDFF0">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0895556">
            <w:pPr>
              <w:autoSpaceDE w:val="0"/>
              <w:autoSpaceDN w:val="0"/>
              <w:adjustRightInd w:val="0"/>
              <w:snapToGrid w:val="0"/>
              <w:spacing w:line="360" w:lineRule="auto"/>
              <w:rPr>
                <w:rFonts w:hint="eastAsia" w:ascii="仿宋" w:hAnsi="仿宋" w:eastAsia="仿宋" w:cs="仿宋"/>
                <w:color w:val="auto"/>
                <w:sz w:val="24"/>
                <w:highlight w:val="none"/>
              </w:rPr>
            </w:pPr>
          </w:p>
        </w:tc>
      </w:tr>
      <w:tr w14:paraId="4071D875">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223A316">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15CBA707">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6698A6F8">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08429631">
            <w:pPr>
              <w:autoSpaceDE w:val="0"/>
              <w:autoSpaceDN w:val="0"/>
              <w:adjustRightInd w:val="0"/>
              <w:snapToGrid w:val="0"/>
              <w:spacing w:line="360" w:lineRule="auto"/>
              <w:rPr>
                <w:rFonts w:hint="eastAsia" w:ascii="仿宋" w:hAnsi="仿宋" w:eastAsia="仿宋" w:cs="仿宋"/>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126CD63D">
            <w:pPr>
              <w:autoSpaceDE w:val="0"/>
              <w:autoSpaceDN w:val="0"/>
              <w:adjustRightInd w:val="0"/>
              <w:snapToGrid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06C6F91">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5D5A7A2">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1903625">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5331EFD">
            <w:pPr>
              <w:autoSpaceDE w:val="0"/>
              <w:autoSpaceDN w:val="0"/>
              <w:adjustRightInd w:val="0"/>
              <w:snapToGrid w:val="0"/>
              <w:spacing w:line="360" w:lineRule="auto"/>
              <w:rPr>
                <w:rFonts w:hint="eastAsia" w:ascii="仿宋" w:hAnsi="仿宋" w:eastAsia="仿宋" w:cs="仿宋"/>
                <w:color w:val="auto"/>
                <w:sz w:val="24"/>
                <w:highlight w:val="none"/>
              </w:rPr>
            </w:pPr>
          </w:p>
        </w:tc>
      </w:tr>
      <w:tr w14:paraId="57245C47">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42D4406B">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41BC78F8">
            <w:pPr>
              <w:autoSpaceDE w:val="0"/>
              <w:autoSpaceDN w:val="0"/>
              <w:adjustRightInd w:val="0"/>
              <w:snapToGrid w:val="0"/>
              <w:jc w:val="center"/>
              <w:rPr>
                <w:rFonts w:hint="eastAsia" w:ascii="仿宋" w:hAnsi="仿宋" w:eastAsia="仿宋" w:cs="仿宋"/>
                <w:color w:val="auto"/>
                <w:sz w:val="24"/>
                <w:highlight w:val="none"/>
              </w:rPr>
            </w:pPr>
          </w:p>
        </w:tc>
      </w:tr>
      <w:tr w14:paraId="0F221E0B">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0975BFAE">
            <w:pPr>
              <w:autoSpaceDE w:val="0"/>
              <w:autoSpaceDN w:val="0"/>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44107A1A">
            <w:pPr>
              <w:autoSpaceDE w:val="0"/>
              <w:autoSpaceDN w:val="0"/>
              <w:adjustRightInd w:val="0"/>
              <w:snapToGrid w:val="0"/>
              <w:jc w:val="center"/>
              <w:rPr>
                <w:rFonts w:hint="eastAsia" w:ascii="仿宋" w:hAnsi="仿宋" w:eastAsia="仿宋" w:cs="仿宋"/>
                <w:color w:val="auto"/>
                <w:sz w:val="24"/>
                <w:highlight w:val="none"/>
              </w:rPr>
            </w:pPr>
          </w:p>
        </w:tc>
      </w:tr>
    </w:tbl>
    <w:p w14:paraId="3367B036">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2BC00F80">
      <w:pPr>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如投标产品为</w:t>
      </w:r>
      <w:r>
        <w:rPr>
          <w:rFonts w:hint="eastAsia" w:ascii="仿宋" w:hAnsi="仿宋" w:eastAsia="仿宋" w:cs="仿宋"/>
          <w:color w:val="auto"/>
          <w:szCs w:val="21"/>
          <w:highlight w:val="none"/>
        </w:rPr>
        <w:t>品目清单中的</w:t>
      </w:r>
      <w:r>
        <w:rPr>
          <w:rFonts w:hint="eastAsia" w:ascii="仿宋" w:hAnsi="仿宋" w:eastAsia="仿宋" w:cs="仿宋"/>
          <w:color w:val="auto"/>
          <w:szCs w:val="21"/>
          <w:highlight w:val="none"/>
          <w:lang w:val="zh-CN"/>
        </w:rPr>
        <w:t>节能产品、环境标志产品，须按格式逐项填写，并附相关证明，否则评审时不予计分。</w:t>
      </w:r>
    </w:p>
    <w:p w14:paraId="648FAA2B">
      <w:pPr>
        <w:numPr>
          <w:ilvl w:val="0"/>
          <w:numId w:val="2"/>
        </w:numPr>
        <w:adjustRightInd w:val="0"/>
        <w:snapToGrid w:val="0"/>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类别填写：节能产品或环境标志产品。</w:t>
      </w:r>
    </w:p>
    <w:p w14:paraId="4C512395">
      <w:pPr>
        <w:tabs>
          <w:tab w:val="center" w:pos="4153"/>
          <w:tab w:val="right" w:pos="8306"/>
        </w:tabs>
        <w:adjustRightInd w:val="0"/>
        <w:snapToGrid w:val="0"/>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14:paraId="6A0FF094">
      <w:pPr>
        <w:autoSpaceDE w:val="0"/>
        <w:autoSpaceDN w:val="0"/>
        <w:adjustRightInd w:val="0"/>
        <w:snapToGrid w:val="0"/>
        <w:spacing w:line="360" w:lineRule="auto"/>
        <w:ind w:firstLine="1920" w:firstLineChars="800"/>
        <w:rPr>
          <w:rFonts w:hint="eastAsia" w:ascii="仿宋" w:hAnsi="仿宋" w:eastAsia="仿宋" w:cs="仿宋"/>
          <w:color w:val="auto"/>
          <w:sz w:val="24"/>
          <w:highlight w:val="none"/>
          <w:u w:val="single"/>
        </w:rPr>
      </w:pPr>
    </w:p>
    <w:p w14:paraId="032BBED6">
      <w:pPr>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r>
        <w:rPr>
          <w:rFonts w:hint="eastAsia" w:ascii="仿宋" w:hAnsi="仿宋" w:eastAsia="仿宋" w:cs="仿宋"/>
          <w:color w:val="auto"/>
          <w:sz w:val="24"/>
          <w:highlight w:val="none"/>
          <w:u w:val="single"/>
        </w:rPr>
        <w:t xml:space="preserve">                             </w:t>
      </w:r>
    </w:p>
    <w:p w14:paraId="47C0DA36">
      <w:pPr>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4B4FB99">
      <w:pPr>
        <w:pStyle w:val="11"/>
        <w:tabs>
          <w:tab w:val="left" w:pos="5580"/>
        </w:tabs>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1495251">
      <w:pPr>
        <w:pStyle w:val="10"/>
        <w:rPr>
          <w:rFonts w:hint="eastAsia"/>
          <w:highlight w:val="none"/>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14"/>
    <w:p w14:paraId="463C899B">
      <w:pPr>
        <w:shd w:val="clear" w:color="auto" w:fill="auto"/>
        <w:jc w:val="center"/>
        <w:rPr>
          <w:rFonts w:hint="eastAsia" w:ascii="仿宋" w:hAnsi="仿宋" w:eastAsia="仿宋" w:cs="仿宋"/>
          <w:b/>
          <w:color w:val="auto"/>
          <w:sz w:val="28"/>
          <w:szCs w:val="28"/>
          <w:highlight w:val="none"/>
        </w:rPr>
      </w:pPr>
      <w:bookmarkStart w:id="315"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18"/>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15"/>
    </w:p>
    <w:p w14:paraId="4D4CF262">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项目名称、项目编号、包号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16" w:name="_Toc60929128"/>
      <w:r>
        <w:rPr>
          <w:rFonts w:hint="eastAsia" w:ascii="仿宋" w:hAnsi="仿宋" w:eastAsia="仿宋" w:cs="仿宋"/>
          <w:b/>
          <w:color w:val="auto"/>
          <w:sz w:val="28"/>
          <w:szCs w:val="28"/>
          <w:highlight w:val="none"/>
        </w:rPr>
        <w:br w:type="page"/>
      </w:r>
      <w:bookmarkEnd w:id="316"/>
      <w:bookmarkStart w:id="317" w:name="_Toc62194347"/>
      <w:bookmarkStart w:id="318" w:name="_Toc60929130"/>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17"/>
      <w:bookmarkEnd w:id="318"/>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9" w:name="_Toc7005120"/>
      <w:r>
        <w:rPr>
          <w:rFonts w:hint="eastAsia" w:ascii="仿宋" w:hAnsi="仿宋" w:eastAsia="仿宋" w:cs="仿宋"/>
          <w:b/>
          <w:color w:val="auto"/>
          <w:sz w:val="24"/>
          <w:szCs w:val="32"/>
          <w:highlight w:val="none"/>
        </w:rPr>
        <w:br w:type="page"/>
      </w:r>
      <w:bookmarkEnd w:id="31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20" w:name="_Toc7005121"/>
      <w:bookmarkStart w:id="321" w:name="_Ref527015333"/>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r>
        <w:rPr>
          <w:rFonts w:hint="eastAsia" w:ascii="仿宋" w:hAnsi="仿宋" w:eastAsia="仿宋" w:cs="仿宋"/>
          <w:b/>
          <w:color w:val="auto"/>
          <w:sz w:val="24"/>
          <w:szCs w:val="32"/>
          <w:highlight w:val="none"/>
          <w:lang w:val="en-US" w:eastAsia="zh-CN"/>
        </w:rPr>
        <w:t>2024</w:t>
      </w:r>
      <w:r>
        <w:rPr>
          <w:rFonts w:hint="eastAsia" w:ascii="仿宋" w:hAnsi="仿宋" w:eastAsia="仿宋" w:cs="仿宋"/>
          <w:b/>
          <w:color w:val="auto"/>
          <w:sz w:val="24"/>
          <w:szCs w:val="32"/>
          <w:highlight w:val="none"/>
        </w:rPr>
        <w:t>年度经审计的财务</w:t>
      </w:r>
      <w:bookmarkEnd w:id="320"/>
      <w:bookmarkEnd w:id="321"/>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22" w:name="_Toc7005122"/>
      <w:r>
        <w:rPr>
          <w:rFonts w:hint="eastAsia" w:ascii="仿宋" w:hAnsi="仿宋" w:eastAsia="仿宋" w:cs="仿宋"/>
          <w:b/>
          <w:color w:val="auto"/>
          <w:sz w:val="24"/>
          <w:szCs w:val="32"/>
          <w:highlight w:val="none"/>
        </w:rPr>
        <w:t>或</w:t>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bookmarkEnd w:id="322"/>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5E198A9F">
      <w:pPr>
        <w:shd w:val="clear" w:color="auto" w:fill="auto"/>
        <w:rPr>
          <w:rFonts w:hint="eastAsia" w:ascii="仿宋" w:hAnsi="仿宋" w:eastAsia="仿宋" w:cs="仿宋"/>
          <w:b/>
          <w:color w:val="auto"/>
          <w:sz w:val="24"/>
          <w:szCs w:val="32"/>
          <w:highlight w:val="none"/>
        </w:rPr>
      </w:pPr>
      <w:bookmarkStart w:id="323" w:name="_Toc7005123"/>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-3  依法缴纳税收的证明</w:t>
      </w:r>
      <w:bookmarkEnd w:id="323"/>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24"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-4  社会保障资金缴纳记录</w:t>
      </w:r>
      <w:bookmarkEnd w:id="324"/>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25"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-5  具备履行合同所必需的设备和专业技术能力承诺书</w:t>
      </w:r>
      <w:bookmarkEnd w:id="325"/>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26"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27" w:name="_Toc60928818"/>
      <w:bookmarkStart w:id="328" w:name="_Toc60929131"/>
      <w:bookmarkStart w:id="329" w:name="_Toc6092889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26"/>
      <w:bookmarkEnd w:id="327"/>
      <w:bookmarkEnd w:id="328"/>
      <w:bookmarkEnd w:id="329"/>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30" w:name="_Toc60928900"/>
      <w:bookmarkStart w:id="331" w:name="_Toc60929132"/>
      <w:bookmarkStart w:id="332" w:name="_Toc7005127"/>
      <w:bookmarkStart w:id="333" w:name="_Toc60928819"/>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30"/>
      <w:bookmarkEnd w:id="331"/>
      <w:bookmarkEnd w:id="332"/>
      <w:bookmarkEnd w:id="333"/>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34" w:name="_Toc7005128"/>
      <w:bookmarkStart w:id="335" w:name="_Toc60928901"/>
      <w:bookmarkStart w:id="336" w:name="_Toc60929133"/>
      <w:bookmarkStart w:id="337" w:name="_Toc60928820"/>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34"/>
      <w:bookmarkEnd w:id="335"/>
      <w:bookmarkEnd w:id="336"/>
      <w:bookmarkEnd w:id="337"/>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872F1B2">
      <w:pPr>
        <w:shd w:val="clear" w:color="auto" w:fill="auto"/>
        <w:spacing w:line="360" w:lineRule="auto"/>
        <w:rPr>
          <w:rFonts w:hint="eastAsia" w:ascii="仿宋" w:hAnsi="仿宋" w:eastAsia="仿宋" w:cs="仿宋"/>
          <w:color w:val="auto"/>
          <w:sz w:val="24"/>
          <w:highlight w:val="none"/>
          <w:lang w:eastAsia="zh-CN"/>
        </w:rPr>
      </w:pPr>
      <w:bookmarkStart w:id="338" w:name="_Toc60928902"/>
      <w:bookmarkStart w:id="339" w:name="_Toc60929134"/>
      <w:bookmarkStart w:id="340" w:name="_Toc60928821"/>
      <w:bookmarkStart w:id="341" w:name="_Toc700512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8"/>
      <w:bookmarkEnd w:id="339"/>
      <w:bookmarkEnd w:id="340"/>
      <w:bookmarkEnd w:id="341"/>
      <w:bookmarkStart w:id="342" w:name="_Toc520356217"/>
      <w:bookmarkStart w:id="343" w:name="_Toc216582813"/>
      <w:bookmarkStart w:id="344" w:name="_Ref467988698"/>
      <w:bookmarkStart w:id="345" w:name="_Toc480942349"/>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46" w:name="_Toc78567093"/>
      <w:bookmarkStart w:id="347" w:name="_Toc26818"/>
      <w:bookmarkStart w:id="348" w:name="_Toc37938459"/>
      <w:bookmarkStart w:id="349" w:name="_Toc73696921"/>
      <w:bookmarkStart w:id="350" w:name="_Toc37938232"/>
      <w:bookmarkStart w:id="351" w:name="_Toc25508"/>
      <w:bookmarkStart w:id="352" w:name="_Toc47725910"/>
      <w:r>
        <w:rPr>
          <w:rFonts w:hint="eastAsia" w:ascii="仿宋" w:hAnsi="仿宋" w:eastAsia="仿宋" w:cs="仿宋"/>
          <w:b/>
          <w:color w:val="auto"/>
          <w:sz w:val="30"/>
          <w:szCs w:val="30"/>
          <w:highlight w:val="none"/>
        </w:rPr>
        <w:t>基本情况表</w:t>
      </w:r>
      <w:bookmarkEnd w:id="346"/>
      <w:bookmarkEnd w:id="347"/>
      <w:bookmarkEnd w:id="348"/>
      <w:bookmarkEnd w:id="349"/>
      <w:bookmarkEnd w:id="350"/>
      <w:bookmarkEnd w:id="351"/>
      <w:bookmarkEnd w:id="352"/>
    </w:p>
    <w:p w14:paraId="540E0BEC">
      <w:pPr>
        <w:shd w:val="clear" w:color="auto" w:fill="auto"/>
        <w:rPr>
          <w:rFonts w:hint="eastAsia" w:ascii="仿宋" w:hAnsi="仿宋" w:eastAsia="仿宋" w:cs="仿宋"/>
          <w:color w:val="auto"/>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420C96E0">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中小企业声明函（货物）</w:t>
      </w:r>
    </w:p>
    <w:p w14:paraId="12EF32B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1DFB02FD">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西安浐灞国际港教育局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西安浐灞国际港教育局2025年全区学校教育教学设施设备采购项目第二批（家具类）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14:paraId="3C88FA6E">
      <w:pPr>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rPr>
        <w:t>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0579096E">
      <w:pPr>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rPr>
        <w:t>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3B8367D4">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6871BFA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663E41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4866940">
      <w:pPr>
        <w:spacing w:line="560" w:lineRule="exact"/>
        <w:ind w:firstLine="3480" w:firstLineChars="1450"/>
        <w:rPr>
          <w:rFonts w:hint="eastAsia" w:ascii="仿宋" w:hAnsi="仿宋" w:eastAsia="仿宋" w:cs="仿宋"/>
          <w:color w:val="auto"/>
          <w:kern w:val="0"/>
          <w:sz w:val="24"/>
          <w:highlight w:val="none"/>
        </w:rPr>
      </w:pPr>
    </w:p>
    <w:p w14:paraId="2A1D53C9">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721FD2C1">
      <w:pPr>
        <w:shd w:val="clear" w:color="auto" w:fill="auto"/>
        <w:ind w:firstLine="3600" w:firstLineChars="15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3D57711C">
      <w:pPr>
        <w:pStyle w:val="10"/>
        <w:rPr>
          <w:rFonts w:hint="eastAsia" w:ascii="仿宋" w:hAnsi="仿宋" w:eastAsia="仿宋" w:cs="仿宋"/>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6255904D">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14:paraId="54002A31">
      <w:pPr>
        <w:shd w:val="clear" w:color="auto" w:fill="auto"/>
        <w:ind w:firstLine="90" w:firstLineChars="50"/>
        <w:rPr>
          <w:rFonts w:hint="eastAsia" w:ascii="仿宋" w:hAnsi="仿宋" w:eastAsia="仿宋" w:cs="仿宋"/>
          <w:color w:val="auto"/>
          <w:kern w:val="0"/>
          <w:sz w:val="18"/>
          <w:szCs w:val="18"/>
          <w:highlight w:val="none"/>
          <w:lang w:val="en-US" w:eastAsia="zh-CN"/>
        </w:rPr>
      </w:pPr>
    </w:p>
    <w:p w14:paraId="407D341C">
      <w:pPr>
        <w:shd w:val="clear" w:color="auto" w:fill="auto"/>
        <w:ind w:firstLine="270" w:firstLineChars="150"/>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780AFA">
      <w:pPr>
        <w:shd w:val="clear" w:color="auto" w:fil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本项目为货物采购，根据《政府采购促进中小企业发展管理办法》，在货物采购项目中，供应商提供的货物既有中小企业制造货物，也有大型企业制造货物的，不享受中小企业扶持政策。</w:t>
      </w:r>
      <w:r>
        <w:rPr>
          <w:rFonts w:hint="eastAsia" w:ascii="仿宋" w:hAnsi="仿宋" w:eastAsia="仿宋" w:cs="仿宋"/>
          <w:color w:val="auto"/>
          <w:kern w:val="0"/>
          <w:sz w:val="18"/>
          <w:szCs w:val="18"/>
          <w:highlight w:val="none"/>
        </w:rPr>
        <w:t xml:space="preserve">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53"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53"/>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42"/>
    <w:bookmarkEnd w:id="343"/>
    <w:bookmarkEnd w:id="344"/>
    <w:bookmarkEnd w:id="345"/>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54" w:name="_Toc216582817"/>
      <w:bookmarkStart w:id="355" w:name="_Toc60928908"/>
      <w:bookmarkStart w:id="356" w:name="_Toc62194352"/>
      <w:bookmarkStart w:id="357" w:name="_Toc60929140"/>
      <w:bookmarkStart w:id="358" w:name="_Toc22563"/>
      <w:bookmarkStart w:id="359" w:name="_Toc532473509"/>
      <w:bookmarkStart w:id="360" w:name="_Toc28959"/>
      <w:bookmarkStart w:id="361" w:name="_Toc515647820"/>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54"/>
      <w:bookmarkEnd w:id="355"/>
      <w:bookmarkEnd w:id="356"/>
      <w:bookmarkEnd w:id="357"/>
    </w:p>
    <w:bookmarkEnd w:id="358"/>
    <w:bookmarkEnd w:id="359"/>
    <w:bookmarkEnd w:id="360"/>
    <w:bookmarkEnd w:id="361"/>
    <w:p w14:paraId="31EEC204">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19B3E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包   </w:t>
      </w:r>
      <w:r>
        <w:rPr>
          <w:rFonts w:hint="eastAsia" w:ascii="仿宋" w:hAnsi="仿宋" w:eastAsia="仿宋" w:cs="仿宋"/>
          <w:color w:val="auto"/>
          <w:kern w:val="2"/>
          <w:sz w:val="24"/>
          <w:szCs w:val="20"/>
          <w:highlight w:val="none"/>
          <w:lang w:val="en-US" w:eastAsia="zh-CN" w:bidi="ar-SA"/>
        </w:rPr>
        <w:t xml:space="preserve"> </w:t>
      </w:r>
    </w:p>
    <w:tbl>
      <w:tblPr>
        <w:tblStyle w:val="1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货物名称</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招标参数要求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投标参数响应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w:t>
      </w:r>
      <w:r>
        <w:rPr>
          <w:rFonts w:hint="eastAsia" w:ascii="仿宋" w:hAnsi="仿宋" w:eastAsia="仿宋" w:cs="仿宋"/>
          <w:color w:val="auto"/>
          <w:kern w:val="2"/>
          <w:sz w:val="24"/>
          <w:szCs w:val="20"/>
          <w:highlight w:val="none"/>
          <w:lang w:val="en-US" w:eastAsia="zh-CN" w:bidi="ar-SA"/>
        </w:rPr>
        <w:t>投标参数响应</w:t>
      </w:r>
      <w:r>
        <w:rPr>
          <w:rFonts w:hint="eastAsia" w:ascii="仿宋" w:hAnsi="仿宋" w:eastAsia="仿宋" w:cs="仿宋"/>
          <w:color w:val="auto"/>
          <w:kern w:val="2"/>
          <w:sz w:val="24"/>
          <w:szCs w:val="24"/>
          <w:highlight w:val="none"/>
          <w:lang w:val="en-US" w:eastAsia="zh-CN" w:bidi="ar-SA"/>
        </w:rPr>
        <w:t>必须按照投标实际参数填写，与相关证明材料一致。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2.偏离栏明确填写完全响应、正偏离、负偏离，有偏离的在说明栏说明偏离的具体内容。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3.招标文件中约定的每项采购内容的偏离情况都需体现在此技术偏离表中，否则将会影响评审得分。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62" w:name="_Toc62194353"/>
      <w:bookmarkStart w:id="363" w:name="_Toc216582818"/>
      <w:bookmarkStart w:id="364" w:name="_Toc60928909"/>
      <w:bookmarkStart w:id="365" w:name="_Toc60929141"/>
      <w:bookmarkStart w:id="366" w:name="_Toc532473510"/>
      <w:bookmarkStart w:id="367" w:name="_Toc1980"/>
      <w:bookmarkStart w:id="368" w:name="_Toc23"/>
      <w:bookmarkStart w:id="369" w:name="_Toc515647821"/>
      <w:r>
        <w:rPr>
          <w:rFonts w:hint="eastAsia" w:ascii="仿宋" w:hAnsi="仿宋" w:eastAsia="仿宋" w:cs="仿宋"/>
          <w:b/>
          <w:bCs/>
          <w:color w:val="auto"/>
          <w:kern w:val="2"/>
          <w:sz w:val="32"/>
          <w:szCs w:val="32"/>
          <w:highlight w:val="none"/>
          <w:lang w:val="en-US" w:eastAsia="zh-CN" w:bidi="ar-SA"/>
        </w:rPr>
        <w:t>（二）商务（合同）条款偏离表</w:t>
      </w:r>
      <w:bookmarkEnd w:id="362"/>
      <w:bookmarkEnd w:id="363"/>
      <w:bookmarkEnd w:id="364"/>
      <w:bookmarkEnd w:id="365"/>
    </w:p>
    <w:bookmarkEnd w:id="366"/>
    <w:bookmarkEnd w:id="367"/>
    <w:bookmarkEnd w:id="368"/>
    <w:bookmarkEnd w:id="369"/>
    <w:p w14:paraId="4096E821">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76DA184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r>
        <w:rPr>
          <w:rFonts w:hint="eastAsia" w:ascii="仿宋" w:hAnsi="仿宋" w:eastAsia="仿宋" w:cs="仿宋"/>
          <w:color w:val="auto"/>
          <w:kern w:val="2"/>
          <w:sz w:val="24"/>
          <w:szCs w:val="20"/>
          <w:highlight w:val="none"/>
          <w:lang w:val="en-US" w:eastAsia="zh-CN" w:bidi="ar-SA"/>
        </w:rPr>
        <w:t xml:space="preserve">      </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w:t>
            </w:r>
          </w:p>
        </w:tc>
        <w:tc>
          <w:tcPr>
            <w:tcW w:w="2040" w:type="dxa"/>
            <w:noWrap w:val="0"/>
            <w:vAlign w:val="center"/>
          </w:tcPr>
          <w:p w14:paraId="6619E47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14:paraId="0572120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w:t>
            </w:r>
          </w:p>
        </w:tc>
        <w:tc>
          <w:tcPr>
            <w:tcW w:w="2040" w:type="dxa"/>
            <w:noWrap w:val="0"/>
            <w:vAlign w:val="center"/>
          </w:tcPr>
          <w:p w14:paraId="243BCC1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hint="eastAsia" w:ascii="仿宋" w:hAnsi="仿宋" w:eastAsia="仿宋" w:cs="仿宋"/>
                <w:sz w:val="24"/>
                <w:highlight w:val="none"/>
              </w:rPr>
              <w:t>合同履行期限</w:t>
            </w:r>
          </w:p>
        </w:tc>
        <w:tc>
          <w:tcPr>
            <w:tcW w:w="2520" w:type="dxa"/>
            <w:noWrap w:val="0"/>
            <w:vAlign w:val="center"/>
          </w:tcPr>
          <w:p w14:paraId="1CD6907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w:t>
            </w:r>
          </w:p>
        </w:tc>
        <w:tc>
          <w:tcPr>
            <w:tcW w:w="2040" w:type="dxa"/>
            <w:noWrap w:val="0"/>
            <w:vAlign w:val="center"/>
          </w:tcPr>
          <w:p w14:paraId="41DB87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rPr>
            </w:pP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地点</w:t>
            </w:r>
          </w:p>
        </w:tc>
        <w:tc>
          <w:tcPr>
            <w:tcW w:w="2520" w:type="dxa"/>
            <w:noWrap w:val="0"/>
            <w:vAlign w:val="center"/>
          </w:tcPr>
          <w:p w14:paraId="720F6BF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1292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val="0"/>
            <w:vAlign w:val="center"/>
          </w:tcPr>
          <w:p w14:paraId="19F4EA2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w:t>
            </w:r>
          </w:p>
        </w:tc>
        <w:tc>
          <w:tcPr>
            <w:tcW w:w="2040" w:type="dxa"/>
            <w:noWrap w:val="0"/>
            <w:vAlign w:val="center"/>
          </w:tcPr>
          <w:p w14:paraId="1E3160F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方式</w:t>
            </w:r>
          </w:p>
        </w:tc>
        <w:tc>
          <w:tcPr>
            <w:tcW w:w="2520" w:type="dxa"/>
            <w:noWrap w:val="0"/>
            <w:vAlign w:val="center"/>
          </w:tcPr>
          <w:p w14:paraId="1C25C49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26921E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CF81D4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B4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78F78DF4">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w:t>
            </w:r>
          </w:p>
        </w:tc>
        <w:tc>
          <w:tcPr>
            <w:tcW w:w="2040" w:type="dxa"/>
            <w:noWrap w:val="0"/>
            <w:vAlign w:val="center"/>
          </w:tcPr>
          <w:p w14:paraId="3557B63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2520" w:type="dxa"/>
            <w:noWrap w:val="0"/>
            <w:vAlign w:val="center"/>
          </w:tcPr>
          <w:p w14:paraId="6A9A704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15023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D18ED6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A14FB6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2040" w:type="dxa"/>
            <w:noWrap w:val="0"/>
            <w:vAlign w:val="center"/>
          </w:tcPr>
          <w:p w14:paraId="092D5F0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eastAsia="仿宋"/>
                <w:bCs/>
                <w:sz w:val="24"/>
                <w:highlight w:val="none"/>
              </w:rPr>
              <w:t>投标文件有效期</w:t>
            </w:r>
          </w:p>
        </w:tc>
        <w:tc>
          <w:tcPr>
            <w:tcW w:w="2520" w:type="dxa"/>
            <w:noWrap w:val="0"/>
            <w:vAlign w:val="center"/>
          </w:tcPr>
          <w:p w14:paraId="68AA2E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381D5C7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eastAsia="zh-CN"/>
              </w:rPr>
            </w:pPr>
          </w:p>
        </w:tc>
        <w:tc>
          <w:tcPr>
            <w:tcW w:w="2520" w:type="dxa"/>
            <w:noWrap w:val="0"/>
            <w:vAlign w:val="center"/>
          </w:tcPr>
          <w:p w14:paraId="06FB374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p>
        </w:tc>
        <w:tc>
          <w:tcPr>
            <w:tcW w:w="2520" w:type="dxa"/>
            <w:noWrap w:val="0"/>
            <w:vAlign w:val="center"/>
          </w:tcPr>
          <w:p w14:paraId="2126C96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声明：除本偏离表中所列的项目外，其他所有商务条款均完全响应“招标文件”中的要求。</w:t>
      </w: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70" w:name="_Toc21312"/>
      <w:bookmarkStart w:id="371" w:name="_Toc10725"/>
      <w:bookmarkStart w:id="372" w:name="_Toc532473511"/>
      <w:bookmarkStart w:id="373" w:name="_Toc515647823"/>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70"/>
    <w:bookmarkEnd w:id="371"/>
    <w:bookmarkEnd w:id="372"/>
    <w:bookmarkEnd w:id="373"/>
    <w:p w14:paraId="6BB3038C">
      <w:pPr>
        <w:shd w:val="clear" w:color="auto" w:fill="auto"/>
        <w:ind w:firstLine="0" w:firstLineChars="0"/>
        <w:outlineLvl w:val="9"/>
        <w:rPr>
          <w:rFonts w:hint="eastAsia" w:ascii="仿宋" w:hAnsi="仿宋" w:eastAsia="仿宋" w:cs="仿宋"/>
          <w:color w:val="auto"/>
          <w:highlight w:val="none"/>
        </w:rPr>
      </w:pPr>
      <w:bookmarkStart w:id="374" w:name="_Toc60929148"/>
      <w:bookmarkStart w:id="375" w:name="_Toc60928916"/>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76"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74"/>
      <w:bookmarkEnd w:id="375"/>
      <w:bookmarkEnd w:id="376"/>
      <w:bookmarkStart w:id="377" w:name="_Toc60928917"/>
      <w:bookmarkStart w:id="378" w:name="_Toc60929149"/>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77"/>
      <w:bookmarkEnd w:id="378"/>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9" w:name="_Toc60928918"/>
      <w:bookmarkStart w:id="380" w:name="_Toc60929150"/>
      <w:bookmarkStart w:id="381" w:name="_Toc62194361"/>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9"/>
      <w:bookmarkEnd w:id="380"/>
      <w:bookmarkEnd w:id="381"/>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82" w:name="_Toc60928919"/>
      <w:bookmarkStart w:id="383" w:name="_Toc60929151"/>
      <w:bookmarkStart w:id="384" w:name="_Toc62194362"/>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82"/>
      <w:bookmarkEnd w:id="383"/>
      <w:bookmarkEnd w:id="384"/>
      <w:r>
        <w:rPr>
          <w:rFonts w:hint="eastAsia" w:ascii="仿宋" w:hAnsi="仿宋" w:eastAsia="仿宋" w:cs="仿宋"/>
          <w:b/>
          <w:color w:val="auto"/>
          <w:kern w:val="0"/>
          <w:sz w:val="30"/>
          <w:szCs w:val="30"/>
          <w:highlight w:val="none"/>
          <w:shd w:val="clear" w:color="auto" w:fill="FFFFFF"/>
          <w:lang w:val="en-US" w:eastAsia="zh-CN" w:bidi="ar-SA"/>
        </w:rPr>
        <w:t>内容</w:t>
      </w:r>
    </w:p>
    <w:p w14:paraId="690B01A5">
      <w:pPr>
        <w:pStyle w:val="12"/>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2"/>
      <w:jc w:val="both"/>
    </w:pPr>
  </w:p>
  <w:p w14:paraId="6366A0CD">
    <w:pPr>
      <w:pStyle w:val="1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pStyle w:val="12"/>
      <w:jc w:val="both"/>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2435225</wp:posOffset>
              </wp:positionH>
              <wp:positionV relativeFrom="paragraph">
                <wp:posOffset>-19050</wp:posOffset>
              </wp:positionV>
              <wp:extent cx="338455" cy="2400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845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9522F">
                          <w:pPr>
                            <w:pStyle w:val="12"/>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5pt;margin-top:-1.5pt;height:18.9pt;width:26.65pt;mso-position-horizontal-relative:margin;z-index:251659264;mso-width-relative:page;mso-height-relative:page;" filled="f" stroked="f" coordsize="21600,21600" o:gfxdata="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IX6dgAAAAJAQAADwAAAAAAAAABACAAAAAiAAAAZHJzL2Rvd25y&#10;ZXYueG1sUEsBAhQAFAAAAAgAh07iQPhiE683AgAAYQQAAA4AAAAAAAAAAQAgAAAAJwEAAGRycy9l&#10;Mm9Eb2MueG1sUEsFBgAAAAAGAAYAWQEAANAFAAAAAA==&#10;">
              <v:fill on="f" focussize="0,0"/>
              <v:stroke on="f" weight="0.5pt"/>
              <v:imagedata o:title=""/>
              <o:lock v:ext="edit" aspectratio="f"/>
              <v:textbox inset="0mm,0mm,0mm,0mm">
                <w:txbxContent>
                  <w:p w14:paraId="4A79522F">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A926">
    <w:pPr>
      <w:pStyle w:val="12"/>
      <w:jc w:val="both"/>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-19050</wp:posOffset>
              </wp:positionV>
              <wp:extent cx="338455" cy="2400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845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FD0DD">
                          <w:pPr>
                            <w:pStyle w:val="12"/>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18.9pt;width:26.65pt;mso-position-horizontal:center;mso-position-horizontal-relative:margin;z-index:251661312;mso-width-relative:page;mso-height-relative:page;" filled="f" stroked="f" coordsize="21600,21600" o:gfxdata="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7qhU/WAAAABQEAAA8AAAAAAAAAAQAgAAAAIgAAAGRycy9kb3ducmV2&#10;LnhtbFBLAQIUABQAAAAIAIdO4kBmbG0wNwIAAGEEAAAOAAAAAAAAAAEAIAAAACUBAABkcnMvZTJv&#10;RG9jLnhtbFBLBQYAAAAABgAGAFkBAADOBQAAAAA=&#10;">
              <v:fill on="f" focussize="0,0"/>
              <v:stroke on="f" weight="0.5pt"/>
              <v:imagedata o:title=""/>
              <o:lock v:ext="edit" aspectratio="f"/>
              <v:textbox inset="0mm,0mm,0mm,0mm">
                <w:txbxContent>
                  <w:p w14:paraId="7F5FD0DD">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ACD5">
    <w:pPr>
      <w:pStyle w:val="12"/>
      <w:jc w:val="both"/>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2435225</wp:posOffset>
              </wp:positionH>
              <wp:positionV relativeFrom="paragraph">
                <wp:posOffset>-19050</wp:posOffset>
              </wp:positionV>
              <wp:extent cx="338455" cy="2400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3845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0B2C5">
                          <w:pPr>
                            <w:pStyle w:val="12"/>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5pt;margin-top:-1.5pt;height:18.9pt;width:26.65pt;mso-position-horizontal-relative:margin;z-index:251660288;mso-width-relative:page;mso-height-relative:page;" filled="f" stroked="f" coordsize="21600,21600" o:gfxdata="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IX6dgAAAAJAQAADwAAAAAAAAABACAAAAAiAAAAZHJzL2Rvd25y&#10;ZXYueG1sUEsBAhQAFAAAAAgAh07iQKNu+Ao3AgAAYQQAAA4AAAAAAAAAAQAgAAAAJwEAAGRycy9l&#10;Mm9Eb2MueG1sUEsFBgAAAAAGAAYAWQEAANAFAAAAAA==&#10;">
              <v:fill on="f" focussize="0,0"/>
              <v:stroke on="f" weight="0.5pt"/>
              <v:imagedata o:title=""/>
              <o:lock v:ext="edit" aspectratio="f"/>
              <v:textbox inset="0mm,0mm,0mm,0mm">
                <w:txbxContent>
                  <w:p w14:paraId="5C00B2C5">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2126D"/>
    <w:multiLevelType w:val="singleLevel"/>
    <w:tmpl w:val="0862126D"/>
    <w:lvl w:ilvl="0" w:tentative="0">
      <w:start w:val="2"/>
      <w:numFmt w:val="decimal"/>
      <w:suff w:val="nothing"/>
      <w:lvlText w:val="%1、"/>
      <w:lvlJc w:val="left"/>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C66E0"/>
    <w:rsid w:val="001F3ADA"/>
    <w:rsid w:val="001F7F7E"/>
    <w:rsid w:val="00213CF6"/>
    <w:rsid w:val="002B247F"/>
    <w:rsid w:val="002B6923"/>
    <w:rsid w:val="002C4449"/>
    <w:rsid w:val="00381040"/>
    <w:rsid w:val="003D4663"/>
    <w:rsid w:val="00577718"/>
    <w:rsid w:val="00593490"/>
    <w:rsid w:val="0066795B"/>
    <w:rsid w:val="00726300"/>
    <w:rsid w:val="007E4CA5"/>
    <w:rsid w:val="0081213F"/>
    <w:rsid w:val="00973FB8"/>
    <w:rsid w:val="00975D66"/>
    <w:rsid w:val="009A7605"/>
    <w:rsid w:val="00A641FB"/>
    <w:rsid w:val="00B92181"/>
    <w:rsid w:val="00BE1545"/>
    <w:rsid w:val="00CB1EB4"/>
    <w:rsid w:val="00CB5A10"/>
    <w:rsid w:val="00D01278"/>
    <w:rsid w:val="00D9012D"/>
    <w:rsid w:val="00E80370"/>
    <w:rsid w:val="00EA058C"/>
    <w:rsid w:val="00F46D15"/>
    <w:rsid w:val="00FC3E1B"/>
    <w:rsid w:val="0132783D"/>
    <w:rsid w:val="01341807"/>
    <w:rsid w:val="013712F7"/>
    <w:rsid w:val="014C4DA3"/>
    <w:rsid w:val="01537400"/>
    <w:rsid w:val="01671BDD"/>
    <w:rsid w:val="016F283F"/>
    <w:rsid w:val="01704002"/>
    <w:rsid w:val="017B065D"/>
    <w:rsid w:val="018502B5"/>
    <w:rsid w:val="018C1643"/>
    <w:rsid w:val="018D589F"/>
    <w:rsid w:val="019D115B"/>
    <w:rsid w:val="01A249C3"/>
    <w:rsid w:val="01A4698D"/>
    <w:rsid w:val="01A7647D"/>
    <w:rsid w:val="01B14C06"/>
    <w:rsid w:val="01D803E5"/>
    <w:rsid w:val="01DB1C83"/>
    <w:rsid w:val="01F01BD2"/>
    <w:rsid w:val="01F7017F"/>
    <w:rsid w:val="02021D56"/>
    <w:rsid w:val="02025461"/>
    <w:rsid w:val="02054F52"/>
    <w:rsid w:val="021A27AB"/>
    <w:rsid w:val="02296E92"/>
    <w:rsid w:val="02337D11"/>
    <w:rsid w:val="023A4BFB"/>
    <w:rsid w:val="023A59E3"/>
    <w:rsid w:val="024B505A"/>
    <w:rsid w:val="02587777"/>
    <w:rsid w:val="025A47BC"/>
    <w:rsid w:val="025D08EA"/>
    <w:rsid w:val="026B3007"/>
    <w:rsid w:val="02816CCE"/>
    <w:rsid w:val="02880C6E"/>
    <w:rsid w:val="028E5F70"/>
    <w:rsid w:val="029F7154"/>
    <w:rsid w:val="02AB3D4B"/>
    <w:rsid w:val="02B7449E"/>
    <w:rsid w:val="02C40969"/>
    <w:rsid w:val="02CE17E8"/>
    <w:rsid w:val="02D50DC8"/>
    <w:rsid w:val="02DE5ECF"/>
    <w:rsid w:val="02E334E5"/>
    <w:rsid w:val="02E66FBD"/>
    <w:rsid w:val="02E90BCF"/>
    <w:rsid w:val="02EB05EB"/>
    <w:rsid w:val="02EB4148"/>
    <w:rsid w:val="02F0175E"/>
    <w:rsid w:val="02F4124E"/>
    <w:rsid w:val="02F72AEC"/>
    <w:rsid w:val="030B2604"/>
    <w:rsid w:val="030D0F8F"/>
    <w:rsid w:val="03101E00"/>
    <w:rsid w:val="0317318F"/>
    <w:rsid w:val="031E276F"/>
    <w:rsid w:val="031E451D"/>
    <w:rsid w:val="032305A7"/>
    <w:rsid w:val="032F2286"/>
    <w:rsid w:val="03321D76"/>
    <w:rsid w:val="03394EB3"/>
    <w:rsid w:val="03404493"/>
    <w:rsid w:val="034321D6"/>
    <w:rsid w:val="035418DD"/>
    <w:rsid w:val="03604B36"/>
    <w:rsid w:val="03655CA8"/>
    <w:rsid w:val="037B0283"/>
    <w:rsid w:val="03932FCD"/>
    <w:rsid w:val="03991DF6"/>
    <w:rsid w:val="039B1E48"/>
    <w:rsid w:val="039D7B38"/>
    <w:rsid w:val="03A9642F"/>
    <w:rsid w:val="03AC7D7B"/>
    <w:rsid w:val="03B64756"/>
    <w:rsid w:val="03B7227C"/>
    <w:rsid w:val="03BD3D36"/>
    <w:rsid w:val="03C03826"/>
    <w:rsid w:val="03CC21CB"/>
    <w:rsid w:val="03D64DF8"/>
    <w:rsid w:val="03E216BE"/>
    <w:rsid w:val="03E868D9"/>
    <w:rsid w:val="03F11C32"/>
    <w:rsid w:val="03F359AA"/>
    <w:rsid w:val="03F82FC0"/>
    <w:rsid w:val="040000C7"/>
    <w:rsid w:val="040556DD"/>
    <w:rsid w:val="040C2A1E"/>
    <w:rsid w:val="0414147C"/>
    <w:rsid w:val="041B0A5C"/>
    <w:rsid w:val="0432230B"/>
    <w:rsid w:val="04497378"/>
    <w:rsid w:val="044B7594"/>
    <w:rsid w:val="04575F38"/>
    <w:rsid w:val="045A1585"/>
    <w:rsid w:val="046248DD"/>
    <w:rsid w:val="046B3792"/>
    <w:rsid w:val="0475016D"/>
    <w:rsid w:val="04785EAF"/>
    <w:rsid w:val="048B3E34"/>
    <w:rsid w:val="049251C3"/>
    <w:rsid w:val="04A8511B"/>
    <w:rsid w:val="04B32967"/>
    <w:rsid w:val="04B73D05"/>
    <w:rsid w:val="04BC5D9C"/>
    <w:rsid w:val="04BD1D44"/>
    <w:rsid w:val="04BF763A"/>
    <w:rsid w:val="04D74983"/>
    <w:rsid w:val="04D8336A"/>
    <w:rsid w:val="04E90B5B"/>
    <w:rsid w:val="04F55751"/>
    <w:rsid w:val="04F76DD4"/>
    <w:rsid w:val="051756C8"/>
    <w:rsid w:val="05257DE5"/>
    <w:rsid w:val="05263B5D"/>
    <w:rsid w:val="05373674"/>
    <w:rsid w:val="053A13B6"/>
    <w:rsid w:val="053E2C54"/>
    <w:rsid w:val="05452235"/>
    <w:rsid w:val="054B35C3"/>
    <w:rsid w:val="05500BDA"/>
    <w:rsid w:val="05577DE1"/>
    <w:rsid w:val="05681A7F"/>
    <w:rsid w:val="056D7096"/>
    <w:rsid w:val="05746676"/>
    <w:rsid w:val="05906AAF"/>
    <w:rsid w:val="05C3315A"/>
    <w:rsid w:val="05C56ED2"/>
    <w:rsid w:val="05C72C4A"/>
    <w:rsid w:val="05CB200E"/>
    <w:rsid w:val="05D62E8D"/>
    <w:rsid w:val="05E41A4E"/>
    <w:rsid w:val="05EA4B8A"/>
    <w:rsid w:val="05F250AD"/>
    <w:rsid w:val="05F31C91"/>
    <w:rsid w:val="05F45A09"/>
    <w:rsid w:val="05FB6170"/>
    <w:rsid w:val="060D2627"/>
    <w:rsid w:val="06127C3D"/>
    <w:rsid w:val="061816F7"/>
    <w:rsid w:val="061A5470"/>
    <w:rsid w:val="0627193B"/>
    <w:rsid w:val="062F07EF"/>
    <w:rsid w:val="063130C9"/>
    <w:rsid w:val="063B53E6"/>
    <w:rsid w:val="06450013"/>
    <w:rsid w:val="064A5629"/>
    <w:rsid w:val="064C314F"/>
    <w:rsid w:val="064C400C"/>
    <w:rsid w:val="06532730"/>
    <w:rsid w:val="066606B5"/>
    <w:rsid w:val="06707E29"/>
    <w:rsid w:val="0683788A"/>
    <w:rsid w:val="06897EFF"/>
    <w:rsid w:val="068B4749"/>
    <w:rsid w:val="069D7E4F"/>
    <w:rsid w:val="06A05249"/>
    <w:rsid w:val="06A25465"/>
    <w:rsid w:val="06C61153"/>
    <w:rsid w:val="06C947A0"/>
    <w:rsid w:val="06E15F8D"/>
    <w:rsid w:val="06E3363B"/>
    <w:rsid w:val="06E93094"/>
    <w:rsid w:val="06FC2DC7"/>
    <w:rsid w:val="070C68BB"/>
    <w:rsid w:val="071719AF"/>
    <w:rsid w:val="071A149F"/>
    <w:rsid w:val="07300CC3"/>
    <w:rsid w:val="073E6F3C"/>
    <w:rsid w:val="07591FC8"/>
    <w:rsid w:val="075C1AB8"/>
    <w:rsid w:val="075E25DA"/>
    <w:rsid w:val="076646E5"/>
    <w:rsid w:val="076B24CF"/>
    <w:rsid w:val="077010BF"/>
    <w:rsid w:val="07846919"/>
    <w:rsid w:val="07927288"/>
    <w:rsid w:val="07941252"/>
    <w:rsid w:val="07A11279"/>
    <w:rsid w:val="07B13BB2"/>
    <w:rsid w:val="07BA233A"/>
    <w:rsid w:val="07C338E5"/>
    <w:rsid w:val="07CF5DE6"/>
    <w:rsid w:val="07D01B5E"/>
    <w:rsid w:val="07DC6755"/>
    <w:rsid w:val="07E51AAD"/>
    <w:rsid w:val="07E61381"/>
    <w:rsid w:val="07F7358F"/>
    <w:rsid w:val="07FB6BDB"/>
    <w:rsid w:val="08024C2E"/>
    <w:rsid w:val="08030185"/>
    <w:rsid w:val="08062039"/>
    <w:rsid w:val="080812F8"/>
    <w:rsid w:val="08121EAD"/>
    <w:rsid w:val="08202AE5"/>
    <w:rsid w:val="08273E74"/>
    <w:rsid w:val="082A74C0"/>
    <w:rsid w:val="08372738"/>
    <w:rsid w:val="083B347B"/>
    <w:rsid w:val="084C6EF9"/>
    <w:rsid w:val="085D4A47"/>
    <w:rsid w:val="08640C24"/>
    <w:rsid w:val="088210AA"/>
    <w:rsid w:val="088C3CD7"/>
    <w:rsid w:val="08925421"/>
    <w:rsid w:val="08964B56"/>
    <w:rsid w:val="0897610B"/>
    <w:rsid w:val="089A4646"/>
    <w:rsid w:val="089D5EE4"/>
    <w:rsid w:val="08A454C4"/>
    <w:rsid w:val="08B871C5"/>
    <w:rsid w:val="08BF22FE"/>
    <w:rsid w:val="08CC67C9"/>
    <w:rsid w:val="08D51B22"/>
    <w:rsid w:val="08F24482"/>
    <w:rsid w:val="08F655F4"/>
    <w:rsid w:val="08FA1588"/>
    <w:rsid w:val="09016473"/>
    <w:rsid w:val="091A7535"/>
    <w:rsid w:val="091D7025"/>
    <w:rsid w:val="091F0FEF"/>
    <w:rsid w:val="09293818"/>
    <w:rsid w:val="09376339"/>
    <w:rsid w:val="093F343F"/>
    <w:rsid w:val="093F6F9B"/>
    <w:rsid w:val="09491D98"/>
    <w:rsid w:val="09536212"/>
    <w:rsid w:val="0969226A"/>
    <w:rsid w:val="096A04BC"/>
    <w:rsid w:val="09700C89"/>
    <w:rsid w:val="0970184A"/>
    <w:rsid w:val="097332C3"/>
    <w:rsid w:val="09734E97"/>
    <w:rsid w:val="097A6225"/>
    <w:rsid w:val="097C01EF"/>
    <w:rsid w:val="097C1F9D"/>
    <w:rsid w:val="09840E52"/>
    <w:rsid w:val="09854464"/>
    <w:rsid w:val="09886B94"/>
    <w:rsid w:val="098D41AA"/>
    <w:rsid w:val="09952748"/>
    <w:rsid w:val="09A6526C"/>
    <w:rsid w:val="09AD65FB"/>
    <w:rsid w:val="09AF2373"/>
    <w:rsid w:val="09BE36B5"/>
    <w:rsid w:val="09D26061"/>
    <w:rsid w:val="09DB3168"/>
    <w:rsid w:val="09E518F1"/>
    <w:rsid w:val="09E71B0D"/>
    <w:rsid w:val="09ED2E9B"/>
    <w:rsid w:val="0A002BCE"/>
    <w:rsid w:val="0A03446D"/>
    <w:rsid w:val="0A083831"/>
    <w:rsid w:val="0A0855DF"/>
    <w:rsid w:val="0A0A57FB"/>
    <w:rsid w:val="0A0A75A9"/>
    <w:rsid w:val="0A1977EC"/>
    <w:rsid w:val="0A1E11A5"/>
    <w:rsid w:val="0A1E12A6"/>
    <w:rsid w:val="0A314B36"/>
    <w:rsid w:val="0A3E373D"/>
    <w:rsid w:val="0A5627EE"/>
    <w:rsid w:val="0A570314"/>
    <w:rsid w:val="0A621193"/>
    <w:rsid w:val="0A650C83"/>
    <w:rsid w:val="0A682522"/>
    <w:rsid w:val="0A6B77C1"/>
    <w:rsid w:val="0A6C2012"/>
    <w:rsid w:val="0A6E3669"/>
    <w:rsid w:val="0A775D4F"/>
    <w:rsid w:val="0A8A27DD"/>
    <w:rsid w:val="0A913826"/>
    <w:rsid w:val="0A981059"/>
    <w:rsid w:val="0A9F4195"/>
    <w:rsid w:val="0AA3355A"/>
    <w:rsid w:val="0AB13EC9"/>
    <w:rsid w:val="0ABE2142"/>
    <w:rsid w:val="0AC41E4E"/>
    <w:rsid w:val="0AD6392F"/>
    <w:rsid w:val="0AD96F7B"/>
    <w:rsid w:val="0AE47DFA"/>
    <w:rsid w:val="0AE55920"/>
    <w:rsid w:val="0AF049F1"/>
    <w:rsid w:val="0AF53DB5"/>
    <w:rsid w:val="0B022976"/>
    <w:rsid w:val="0B057D70"/>
    <w:rsid w:val="0B1306DF"/>
    <w:rsid w:val="0B16483D"/>
    <w:rsid w:val="0B176700"/>
    <w:rsid w:val="0B1F0E32"/>
    <w:rsid w:val="0B1F3CE3"/>
    <w:rsid w:val="0B291CB1"/>
    <w:rsid w:val="0B2B3C7B"/>
    <w:rsid w:val="0B352404"/>
    <w:rsid w:val="0B3A5C6C"/>
    <w:rsid w:val="0B416FFB"/>
    <w:rsid w:val="0B472137"/>
    <w:rsid w:val="0B494101"/>
    <w:rsid w:val="0B4A371F"/>
    <w:rsid w:val="0B6131F9"/>
    <w:rsid w:val="0B621425"/>
    <w:rsid w:val="0B7218AA"/>
    <w:rsid w:val="0B772A1C"/>
    <w:rsid w:val="0B7A69B0"/>
    <w:rsid w:val="0B9335CE"/>
    <w:rsid w:val="0BA53A2D"/>
    <w:rsid w:val="0BBA6759"/>
    <w:rsid w:val="0BD0037E"/>
    <w:rsid w:val="0BE34556"/>
    <w:rsid w:val="0BE43E2A"/>
    <w:rsid w:val="0BF40511"/>
    <w:rsid w:val="0BF71DAF"/>
    <w:rsid w:val="0C122745"/>
    <w:rsid w:val="0C1C35C4"/>
    <w:rsid w:val="0C201306"/>
    <w:rsid w:val="0C23087C"/>
    <w:rsid w:val="0C236700"/>
    <w:rsid w:val="0C3628D7"/>
    <w:rsid w:val="0C3923C8"/>
    <w:rsid w:val="0C3E64B9"/>
    <w:rsid w:val="0C41302A"/>
    <w:rsid w:val="0C474AE5"/>
    <w:rsid w:val="0C4B5C57"/>
    <w:rsid w:val="0C7927C4"/>
    <w:rsid w:val="0C7E427E"/>
    <w:rsid w:val="0C816909"/>
    <w:rsid w:val="0C8D626F"/>
    <w:rsid w:val="0C923562"/>
    <w:rsid w:val="0C9D2956"/>
    <w:rsid w:val="0CA05FA3"/>
    <w:rsid w:val="0CA84E57"/>
    <w:rsid w:val="0CAB2B0A"/>
    <w:rsid w:val="0CBD286A"/>
    <w:rsid w:val="0CC021A1"/>
    <w:rsid w:val="0CCF0636"/>
    <w:rsid w:val="0CD619C5"/>
    <w:rsid w:val="0CD66F96"/>
    <w:rsid w:val="0CEF0CD8"/>
    <w:rsid w:val="0CF4009D"/>
    <w:rsid w:val="0CFB58CF"/>
    <w:rsid w:val="0D002EE5"/>
    <w:rsid w:val="0D020A0B"/>
    <w:rsid w:val="0D093B48"/>
    <w:rsid w:val="0D2210AE"/>
    <w:rsid w:val="0D350DE1"/>
    <w:rsid w:val="0D417190"/>
    <w:rsid w:val="0D4E1EA3"/>
    <w:rsid w:val="0D556D8D"/>
    <w:rsid w:val="0D6D057B"/>
    <w:rsid w:val="0D7C7916"/>
    <w:rsid w:val="0D7E3D32"/>
    <w:rsid w:val="0D865199"/>
    <w:rsid w:val="0DB53CD0"/>
    <w:rsid w:val="0DB55A7E"/>
    <w:rsid w:val="0DC161D1"/>
    <w:rsid w:val="0DC932D7"/>
    <w:rsid w:val="0DCF0193"/>
    <w:rsid w:val="0DDC74AE"/>
    <w:rsid w:val="0DF66E74"/>
    <w:rsid w:val="0E010E09"/>
    <w:rsid w:val="0E0802A4"/>
    <w:rsid w:val="0E100F06"/>
    <w:rsid w:val="0E1A1D85"/>
    <w:rsid w:val="0E1C78AB"/>
    <w:rsid w:val="0E2A646C"/>
    <w:rsid w:val="0E432850"/>
    <w:rsid w:val="0E460DCC"/>
    <w:rsid w:val="0E470192"/>
    <w:rsid w:val="0E4D3F08"/>
    <w:rsid w:val="0E4F5ED2"/>
    <w:rsid w:val="0E5D6FB7"/>
    <w:rsid w:val="0E603C3C"/>
    <w:rsid w:val="0E680D42"/>
    <w:rsid w:val="0E6D45AA"/>
    <w:rsid w:val="0E883192"/>
    <w:rsid w:val="0E941B37"/>
    <w:rsid w:val="0E995783"/>
    <w:rsid w:val="0EA24254"/>
    <w:rsid w:val="0EA9784F"/>
    <w:rsid w:val="0EAD2BF9"/>
    <w:rsid w:val="0EAF4BC3"/>
    <w:rsid w:val="0EAF6971"/>
    <w:rsid w:val="0EBE6BB4"/>
    <w:rsid w:val="0EC35F79"/>
    <w:rsid w:val="0ECF2B6F"/>
    <w:rsid w:val="0ED14B39"/>
    <w:rsid w:val="0ED32660"/>
    <w:rsid w:val="0EDB59B8"/>
    <w:rsid w:val="0EDE2DB2"/>
    <w:rsid w:val="0EE77EB9"/>
    <w:rsid w:val="0EF44384"/>
    <w:rsid w:val="0EF6634E"/>
    <w:rsid w:val="0EFD76DC"/>
    <w:rsid w:val="0F230541"/>
    <w:rsid w:val="0F274759"/>
    <w:rsid w:val="0F2A424A"/>
    <w:rsid w:val="0F2C6214"/>
    <w:rsid w:val="0F36499C"/>
    <w:rsid w:val="0F3A448D"/>
    <w:rsid w:val="0F6459AD"/>
    <w:rsid w:val="0F706100"/>
    <w:rsid w:val="0F7554C5"/>
    <w:rsid w:val="0F7B4AA5"/>
    <w:rsid w:val="0F7D053D"/>
    <w:rsid w:val="0F833182"/>
    <w:rsid w:val="0F8C280E"/>
    <w:rsid w:val="0F9022FF"/>
    <w:rsid w:val="0F987405"/>
    <w:rsid w:val="0F9C78ED"/>
    <w:rsid w:val="0FA91612"/>
    <w:rsid w:val="0FB56209"/>
    <w:rsid w:val="0FBD0C1A"/>
    <w:rsid w:val="0FBF0E36"/>
    <w:rsid w:val="0FC63F72"/>
    <w:rsid w:val="0FF30ADF"/>
    <w:rsid w:val="0FF56606"/>
    <w:rsid w:val="10086339"/>
    <w:rsid w:val="101051ED"/>
    <w:rsid w:val="10134CDE"/>
    <w:rsid w:val="10141182"/>
    <w:rsid w:val="10152804"/>
    <w:rsid w:val="10240C99"/>
    <w:rsid w:val="1026710D"/>
    <w:rsid w:val="102869DB"/>
    <w:rsid w:val="10366B7F"/>
    <w:rsid w:val="103E61FE"/>
    <w:rsid w:val="105552F6"/>
    <w:rsid w:val="10563548"/>
    <w:rsid w:val="10645539"/>
    <w:rsid w:val="106612B1"/>
    <w:rsid w:val="106D2640"/>
    <w:rsid w:val="107439CE"/>
    <w:rsid w:val="10771710"/>
    <w:rsid w:val="107734BE"/>
    <w:rsid w:val="107A7A82"/>
    <w:rsid w:val="107B4A59"/>
    <w:rsid w:val="107F04D7"/>
    <w:rsid w:val="108160EB"/>
    <w:rsid w:val="10973B61"/>
    <w:rsid w:val="109C2F25"/>
    <w:rsid w:val="10AA3E49"/>
    <w:rsid w:val="10AB495D"/>
    <w:rsid w:val="10B72A0C"/>
    <w:rsid w:val="10BD35C7"/>
    <w:rsid w:val="10D601E5"/>
    <w:rsid w:val="10D73F5D"/>
    <w:rsid w:val="10E2302E"/>
    <w:rsid w:val="10E42E83"/>
    <w:rsid w:val="10EC5C5A"/>
    <w:rsid w:val="10EF74F9"/>
    <w:rsid w:val="10F1501F"/>
    <w:rsid w:val="110805BA"/>
    <w:rsid w:val="110A60E1"/>
    <w:rsid w:val="111451B1"/>
    <w:rsid w:val="112B7A13"/>
    <w:rsid w:val="112C6057"/>
    <w:rsid w:val="112F3D99"/>
    <w:rsid w:val="11366ED6"/>
    <w:rsid w:val="11421D1E"/>
    <w:rsid w:val="114C494B"/>
    <w:rsid w:val="1157728C"/>
    <w:rsid w:val="115A7068"/>
    <w:rsid w:val="11615699"/>
    <w:rsid w:val="117D68B3"/>
    <w:rsid w:val="1182036D"/>
    <w:rsid w:val="1186164E"/>
    <w:rsid w:val="11867E5D"/>
    <w:rsid w:val="118C2F9A"/>
    <w:rsid w:val="11916802"/>
    <w:rsid w:val="1193257A"/>
    <w:rsid w:val="11B04EDA"/>
    <w:rsid w:val="11B76268"/>
    <w:rsid w:val="11C12C43"/>
    <w:rsid w:val="11C20769"/>
    <w:rsid w:val="11C52008"/>
    <w:rsid w:val="11C646FD"/>
    <w:rsid w:val="11CE710E"/>
    <w:rsid w:val="11DC7A7D"/>
    <w:rsid w:val="11EB4164"/>
    <w:rsid w:val="11F5249F"/>
    <w:rsid w:val="11F56D91"/>
    <w:rsid w:val="11FD79F3"/>
    <w:rsid w:val="12096398"/>
    <w:rsid w:val="121A2353"/>
    <w:rsid w:val="12260CF8"/>
    <w:rsid w:val="122F22A3"/>
    <w:rsid w:val="1230601B"/>
    <w:rsid w:val="123553DF"/>
    <w:rsid w:val="123A0C48"/>
    <w:rsid w:val="12411FD6"/>
    <w:rsid w:val="124D3615"/>
    <w:rsid w:val="124F757F"/>
    <w:rsid w:val="12541D09"/>
    <w:rsid w:val="125A3098"/>
    <w:rsid w:val="125B4B29"/>
    <w:rsid w:val="126857B5"/>
    <w:rsid w:val="12725FE8"/>
    <w:rsid w:val="12745F08"/>
    <w:rsid w:val="12791770"/>
    <w:rsid w:val="12957C2C"/>
    <w:rsid w:val="129974AA"/>
    <w:rsid w:val="129C0FBA"/>
    <w:rsid w:val="12A14823"/>
    <w:rsid w:val="12B26A30"/>
    <w:rsid w:val="12D544CC"/>
    <w:rsid w:val="12E3308D"/>
    <w:rsid w:val="12E70326"/>
    <w:rsid w:val="12EC0194"/>
    <w:rsid w:val="12F86B39"/>
    <w:rsid w:val="13001549"/>
    <w:rsid w:val="130A061A"/>
    <w:rsid w:val="13166FBF"/>
    <w:rsid w:val="13180F89"/>
    <w:rsid w:val="131B2827"/>
    <w:rsid w:val="13281A6D"/>
    <w:rsid w:val="133921D0"/>
    <w:rsid w:val="135971B8"/>
    <w:rsid w:val="13763F01"/>
    <w:rsid w:val="13871C6A"/>
    <w:rsid w:val="138959E3"/>
    <w:rsid w:val="138A3509"/>
    <w:rsid w:val="138F28CD"/>
    <w:rsid w:val="139A7BF0"/>
    <w:rsid w:val="139B3968"/>
    <w:rsid w:val="13CA1B57"/>
    <w:rsid w:val="13DA623E"/>
    <w:rsid w:val="13E470BD"/>
    <w:rsid w:val="13F82B68"/>
    <w:rsid w:val="13FB7F63"/>
    <w:rsid w:val="14004E57"/>
    <w:rsid w:val="140B63F8"/>
    <w:rsid w:val="14164D9C"/>
    <w:rsid w:val="14215C1B"/>
    <w:rsid w:val="14223741"/>
    <w:rsid w:val="14242942"/>
    <w:rsid w:val="14283E94"/>
    <w:rsid w:val="142D3CA5"/>
    <w:rsid w:val="143376FC"/>
    <w:rsid w:val="143F42F3"/>
    <w:rsid w:val="14495172"/>
    <w:rsid w:val="144E4536"/>
    <w:rsid w:val="145D0DF7"/>
    <w:rsid w:val="14686756"/>
    <w:rsid w:val="147D6BCA"/>
    <w:rsid w:val="148166BA"/>
    <w:rsid w:val="148701AF"/>
    <w:rsid w:val="149840F4"/>
    <w:rsid w:val="14997EA7"/>
    <w:rsid w:val="14A405FA"/>
    <w:rsid w:val="14A66120"/>
    <w:rsid w:val="14E07884"/>
    <w:rsid w:val="14E44445"/>
    <w:rsid w:val="14FC0436"/>
    <w:rsid w:val="14FE41AE"/>
    <w:rsid w:val="150D619F"/>
    <w:rsid w:val="15282FD9"/>
    <w:rsid w:val="15284D87"/>
    <w:rsid w:val="154716B1"/>
    <w:rsid w:val="155362A8"/>
    <w:rsid w:val="15581B10"/>
    <w:rsid w:val="157B135B"/>
    <w:rsid w:val="157E34DA"/>
    <w:rsid w:val="15853F88"/>
    <w:rsid w:val="15897F1C"/>
    <w:rsid w:val="159E5049"/>
    <w:rsid w:val="15AE7982"/>
    <w:rsid w:val="15B50D11"/>
    <w:rsid w:val="15B91E83"/>
    <w:rsid w:val="15BB3E4D"/>
    <w:rsid w:val="15BD7ABA"/>
    <w:rsid w:val="15CA4090"/>
    <w:rsid w:val="15CE1DD3"/>
    <w:rsid w:val="15D942D4"/>
    <w:rsid w:val="15DA37E6"/>
    <w:rsid w:val="15E05662"/>
    <w:rsid w:val="15EC2259"/>
    <w:rsid w:val="15EC4007"/>
    <w:rsid w:val="16133C89"/>
    <w:rsid w:val="16135A37"/>
    <w:rsid w:val="162419F3"/>
    <w:rsid w:val="16297009"/>
    <w:rsid w:val="16343DB8"/>
    <w:rsid w:val="16465E0D"/>
    <w:rsid w:val="16557DFE"/>
    <w:rsid w:val="166E405A"/>
    <w:rsid w:val="167364D6"/>
    <w:rsid w:val="16775464"/>
    <w:rsid w:val="167B3370"/>
    <w:rsid w:val="16810BF3"/>
    <w:rsid w:val="168B3820"/>
    <w:rsid w:val="1692064E"/>
    <w:rsid w:val="16970417"/>
    <w:rsid w:val="169E79F7"/>
    <w:rsid w:val="16A87655"/>
    <w:rsid w:val="16B5089D"/>
    <w:rsid w:val="16BF34C9"/>
    <w:rsid w:val="16D74CB7"/>
    <w:rsid w:val="16D90EA0"/>
    <w:rsid w:val="16E15B36"/>
    <w:rsid w:val="16EF2001"/>
    <w:rsid w:val="16F21AF1"/>
    <w:rsid w:val="16F45869"/>
    <w:rsid w:val="16FA5928"/>
    <w:rsid w:val="170610F8"/>
    <w:rsid w:val="170654D2"/>
    <w:rsid w:val="172779EC"/>
    <w:rsid w:val="173C4B1A"/>
    <w:rsid w:val="17432186"/>
    <w:rsid w:val="174D31CB"/>
    <w:rsid w:val="17654071"/>
    <w:rsid w:val="17681DB3"/>
    <w:rsid w:val="176D1177"/>
    <w:rsid w:val="17714F86"/>
    <w:rsid w:val="17780248"/>
    <w:rsid w:val="177B3894"/>
    <w:rsid w:val="178766DD"/>
    <w:rsid w:val="178C3CF3"/>
    <w:rsid w:val="178C5AA1"/>
    <w:rsid w:val="17914E66"/>
    <w:rsid w:val="179E4A77"/>
    <w:rsid w:val="179F6AD9"/>
    <w:rsid w:val="17A821AF"/>
    <w:rsid w:val="17AD0E8A"/>
    <w:rsid w:val="17C03A07"/>
    <w:rsid w:val="17C214C3"/>
    <w:rsid w:val="17D631C0"/>
    <w:rsid w:val="17D66D1D"/>
    <w:rsid w:val="17E4768B"/>
    <w:rsid w:val="17F51899"/>
    <w:rsid w:val="17F77304"/>
    <w:rsid w:val="17F81389"/>
    <w:rsid w:val="17FF44C5"/>
    <w:rsid w:val="1800023D"/>
    <w:rsid w:val="181A30AD"/>
    <w:rsid w:val="181D0DEF"/>
    <w:rsid w:val="182061EA"/>
    <w:rsid w:val="18243F2C"/>
    <w:rsid w:val="182F7FAF"/>
    <w:rsid w:val="18323044"/>
    <w:rsid w:val="183C74C7"/>
    <w:rsid w:val="185A16FC"/>
    <w:rsid w:val="185C36C6"/>
    <w:rsid w:val="186662F2"/>
    <w:rsid w:val="1876405C"/>
    <w:rsid w:val="1892089D"/>
    <w:rsid w:val="189C686D"/>
    <w:rsid w:val="18AB63FB"/>
    <w:rsid w:val="18D05E62"/>
    <w:rsid w:val="18E24C39"/>
    <w:rsid w:val="18ED6A14"/>
    <w:rsid w:val="18F2402A"/>
    <w:rsid w:val="18F71640"/>
    <w:rsid w:val="19030534"/>
    <w:rsid w:val="19267830"/>
    <w:rsid w:val="192F4936"/>
    <w:rsid w:val="19314B52"/>
    <w:rsid w:val="19362169"/>
    <w:rsid w:val="193E726F"/>
    <w:rsid w:val="194475E9"/>
    <w:rsid w:val="19481E9C"/>
    <w:rsid w:val="194B54E8"/>
    <w:rsid w:val="19575C3B"/>
    <w:rsid w:val="195C3428"/>
    <w:rsid w:val="196565AA"/>
    <w:rsid w:val="196D1903"/>
    <w:rsid w:val="19715320"/>
    <w:rsid w:val="19744A3F"/>
    <w:rsid w:val="197D7D98"/>
    <w:rsid w:val="197E766C"/>
    <w:rsid w:val="198253AE"/>
    <w:rsid w:val="19946FFF"/>
    <w:rsid w:val="19962C07"/>
    <w:rsid w:val="199E386A"/>
    <w:rsid w:val="19C85E69"/>
    <w:rsid w:val="19CA0B03"/>
    <w:rsid w:val="19CA28B1"/>
    <w:rsid w:val="19EC6CCB"/>
    <w:rsid w:val="19EE47F1"/>
    <w:rsid w:val="19F811CC"/>
    <w:rsid w:val="19FA13E8"/>
    <w:rsid w:val="19FB0CBC"/>
    <w:rsid w:val="19FE07AD"/>
    <w:rsid w:val="19FF69FF"/>
    <w:rsid w:val="1A003428"/>
    <w:rsid w:val="1A044015"/>
    <w:rsid w:val="1A0D279E"/>
    <w:rsid w:val="1A0E586E"/>
    <w:rsid w:val="1A116732"/>
    <w:rsid w:val="1A143B2C"/>
    <w:rsid w:val="1A147FD0"/>
    <w:rsid w:val="1A3A7A37"/>
    <w:rsid w:val="1A450189"/>
    <w:rsid w:val="1A4C32C6"/>
    <w:rsid w:val="1A693E78"/>
    <w:rsid w:val="1A705206"/>
    <w:rsid w:val="1A7C004F"/>
    <w:rsid w:val="1A815666"/>
    <w:rsid w:val="1A9133CF"/>
    <w:rsid w:val="1A952EBF"/>
    <w:rsid w:val="1A9D6217"/>
    <w:rsid w:val="1AB71087"/>
    <w:rsid w:val="1AB86BAD"/>
    <w:rsid w:val="1ABA2925"/>
    <w:rsid w:val="1ABC669E"/>
    <w:rsid w:val="1AC06856"/>
    <w:rsid w:val="1AC42219"/>
    <w:rsid w:val="1AC76DF0"/>
    <w:rsid w:val="1AC94917"/>
    <w:rsid w:val="1AE31E7C"/>
    <w:rsid w:val="1AE479A2"/>
    <w:rsid w:val="1AEB2ADF"/>
    <w:rsid w:val="1AEE25CF"/>
    <w:rsid w:val="1B0C0358"/>
    <w:rsid w:val="1B0D096D"/>
    <w:rsid w:val="1B0D514B"/>
    <w:rsid w:val="1B151F36"/>
    <w:rsid w:val="1B1F4E7E"/>
    <w:rsid w:val="1B203464"/>
    <w:rsid w:val="1B2279AD"/>
    <w:rsid w:val="1B2F50C2"/>
    <w:rsid w:val="1B395F40"/>
    <w:rsid w:val="1B3E70B3"/>
    <w:rsid w:val="1B3F107D"/>
    <w:rsid w:val="1B542D7A"/>
    <w:rsid w:val="1B5763C6"/>
    <w:rsid w:val="1B595D27"/>
    <w:rsid w:val="1B60171F"/>
    <w:rsid w:val="1B6D1746"/>
    <w:rsid w:val="1B6F1962"/>
    <w:rsid w:val="1B723200"/>
    <w:rsid w:val="1B79458F"/>
    <w:rsid w:val="1B8D1DE8"/>
    <w:rsid w:val="1B944F25"/>
    <w:rsid w:val="1B9A62B3"/>
    <w:rsid w:val="1B9C027D"/>
    <w:rsid w:val="1BAD248A"/>
    <w:rsid w:val="1BBB4BA7"/>
    <w:rsid w:val="1BBC26CD"/>
    <w:rsid w:val="1BC31618"/>
    <w:rsid w:val="1BDC7FC4"/>
    <w:rsid w:val="1BED2887"/>
    <w:rsid w:val="1C0C5403"/>
    <w:rsid w:val="1C0D4CD7"/>
    <w:rsid w:val="1C16002F"/>
    <w:rsid w:val="1C161DDD"/>
    <w:rsid w:val="1C183DA8"/>
    <w:rsid w:val="1C197B20"/>
    <w:rsid w:val="1C246AC4"/>
    <w:rsid w:val="1C281B11"/>
    <w:rsid w:val="1C630A1B"/>
    <w:rsid w:val="1C744D56"/>
    <w:rsid w:val="1C7B7E93"/>
    <w:rsid w:val="1C7C3F3E"/>
    <w:rsid w:val="1C84143D"/>
    <w:rsid w:val="1C9553F8"/>
    <w:rsid w:val="1C960F7B"/>
    <w:rsid w:val="1CA76EDA"/>
    <w:rsid w:val="1CB00DE8"/>
    <w:rsid w:val="1CB17D58"/>
    <w:rsid w:val="1CB6536F"/>
    <w:rsid w:val="1CBB4733"/>
    <w:rsid w:val="1CBE2FAF"/>
    <w:rsid w:val="1CBF6939"/>
    <w:rsid w:val="1CC63804"/>
    <w:rsid w:val="1CE06351"/>
    <w:rsid w:val="1CE4012E"/>
    <w:rsid w:val="1CEB326A"/>
    <w:rsid w:val="1CF93EBB"/>
    <w:rsid w:val="1CFF2872"/>
    <w:rsid w:val="1D036806"/>
    <w:rsid w:val="1D04432C"/>
    <w:rsid w:val="1D1A544D"/>
    <w:rsid w:val="1D2E3157"/>
    <w:rsid w:val="1D3544E5"/>
    <w:rsid w:val="1D3D530A"/>
    <w:rsid w:val="1D552DD9"/>
    <w:rsid w:val="1D582D34"/>
    <w:rsid w:val="1D69418F"/>
    <w:rsid w:val="1D6D0123"/>
    <w:rsid w:val="1D756FD8"/>
    <w:rsid w:val="1D774AFE"/>
    <w:rsid w:val="1D7A45EE"/>
    <w:rsid w:val="1D8D2EE1"/>
    <w:rsid w:val="1D970CFC"/>
    <w:rsid w:val="1D975F2E"/>
    <w:rsid w:val="1D9B4C90"/>
    <w:rsid w:val="1DA43419"/>
    <w:rsid w:val="1DAF24EA"/>
    <w:rsid w:val="1DAF4298"/>
    <w:rsid w:val="1DAF6046"/>
    <w:rsid w:val="1DBE097F"/>
    <w:rsid w:val="1DC6338F"/>
    <w:rsid w:val="1DCB6BF8"/>
    <w:rsid w:val="1DCC309C"/>
    <w:rsid w:val="1DDE2DCF"/>
    <w:rsid w:val="1DE2466D"/>
    <w:rsid w:val="1DE55F0B"/>
    <w:rsid w:val="1DE71C83"/>
    <w:rsid w:val="1DE859FC"/>
    <w:rsid w:val="1DF63C75"/>
    <w:rsid w:val="1DF919B7"/>
    <w:rsid w:val="1E0068A1"/>
    <w:rsid w:val="1E026ABD"/>
    <w:rsid w:val="1E0A5175"/>
    <w:rsid w:val="1E206F43"/>
    <w:rsid w:val="1E2C3B3A"/>
    <w:rsid w:val="1E334EC9"/>
    <w:rsid w:val="1E430E84"/>
    <w:rsid w:val="1E4744D0"/>
    <w:rsid w:val="1E780B2E"/>
    <w:rsid w:val="1E7828DC"/>
    <w:rsid w:val="1E803E86"/>
    <w:rsid w:val="1E976E10"/>
    <w:rsid w:val="1EA71413"/>
    <w:rsid w:val="1EAF02C7"/>
    <w:rsid w:val="1EB3600A"/>
    <w:rsid w:val="1EC21DA9"/>
    <w:rsid w:val="1ECC2C27"/>
    <w:rsid w:val="1ED57D2E"/>
    <w:rsid w:val="1EDB2E6A"/>
    <w:rsid w:val="1EE2069D"/>
    <w:rsid w:val="1EE77A61"/>
    <w:rsid w:val="1EF02DBA"/>
    <w:rsid w:val="1EFA1543"/>
    <w:rsid w:val="1EFD54D7"/>
    <w:rsid w:val="1F093E7B"/>
    <w:rsid w:val="1F1B770B"/>
    <w:rsid w:val="1F3D58D3"/>
    <w:rsid w:val="1F3F164B"/>
    <w:rsid w:val="1F6115C2"/>
    <w:rsid w:val="1F615A66"/>
    <w:rsid w:val="1F617814"/>
    <w:rsid w:val="1F672950"/>
    <w:rsid w:val="1F6B2440"/>
    <w:rsid w:val="1F8B663F"/>
    <w:rsid w:val="1F903C55"/>
    <w:rsid w:val="1F9279CD"/>
    <w:rsid w:val="1FA83694"/>
    <w:rsid w:val="1FBE4C66"/>
    <w:rsid w:val="1FC61D6D"/>
    <w:rsid w:val="1FD91AA0"/>
    <w:rsid w:val="1FE521F3"/>
    <w:rsid w:val="1FF70178"/>
    <w:rsid w:val="20052895"/>
    <w:rsid w:val="200A081E"/>
    <w:rsid w:val="200F7270"/>
    <w:rsid w:val="203717D3"/>
    <w:rsid w:val="20476A09"/>
    <w:rsid w:val="204809D3"/>
    <w:rsid w:val="204C2272"/>
    <w:rsid w:val="204D709A"/>
    <w:rsid w:val="2061105F"/>
    <w:rsid w:val="206155F1"/>
    <w:rsid w:val="20622EA9"/>
    <w:rsid w:val="206A094A"/>
    <w:rsid w:val="20711CD8"/>
    <w:rsid w:val="207277FE"/>
    <w:rsid w:val="20780ABD"/>
    <w:rsid w:val="20875058"/>
    <w:rsid w:val="208E40C7"/>
    <w:rsid w:val="209059F9"/>
    <w:rsid w:val="20A420AE"/>
    <w:rsid w:val="20B83463"/>
    <w:rsid w:val="20C75D9C"/>
    <w:rsid w:val="20CF4C51"/>
    <w:rsid w:val="20D64231"/>
    <w:rsid w:val="20DF4E94"/>
    <w:rsid w:val="20FD17BE"/>
    <w:rsid w:val="21091F11"/>
    <w:rsid w:val="21093CBF"/>
    <w:rsid w:val="210B3EDB"/>
    <w:rsid w:val="21132D8F"/>
    <w:rsid w:val="21134B3E"/>
    <w:rsid w:val="21182154"/>
    <w:rsid w:val="211F1734"/>
    <w:rsid w:val="211F7986"/>
    <w:rsid w:val="21260D15"/>
    <w:rsid w:val="212D20A3"/>
    <w:rsid w:val="213B5E42"/>
    <w:rsid w:val="21415B4F"/>
    <w:rsid w:val="21423675"/>
    <w:rsid w:val="214B077B"/>
    <w:rsid w:val="21584C46"/>
    <w:rsid w:val="215D04AF"/>
    <w:rsid w:val="215E7AE0"/>
    <w:rsid w:val="21613AFB"/>
    <w:rsid w:val="21647640"/>
    <w:rsid w:val="21653688"/>
    <w:rsid w:val="21656CD6"/>
    <w:rsid w:val="21723F5A"/>
    <w:rsid w:val="217C68FB"/>
    <w:rsid w:val="218C669E"/>
    <w:rsid w:val="21935C7E"/>
    <w:rsid w:val="219F4CC2"/>
    <w:rsid w:val="21A954A2"/>
    <w:rsid w:val="21CB366A"/>
    <w:rsid w:val="21D40771"/>
    <w:rsid w:val="21D67962"/>
    <w:rsid w:val="21E169EA"/>
    <w:rsid w:val="21E45F53"/>
    <w:rsid w:val="21F77FBB"/>
    <w:rsid w:val="21FC1A76"/>
    <w:rsid w:val="21FE759C"/>
    <w:rsid w:val="22105521"/>
    <w:rsid w:val="221072CF"/>
    <w:rsid w:val="221531C6"/>
    <w:rsid w:val="22194776"/>
    <w:rsid w:val="2223540D"/>
    <w:rsid w:val="22241693"/>
    <w:rsid w:val="2228286B"/>
    <w:rsid w:val="22364F87"/>
    <w:rsid w:val="224C47AB"/>
    <w:rsid w:val="224F429B"/>
    <w:rsid w:val="225C42C2"/>
    <w:rsid w:val="22603DB2"/>
    <w:rsid w:val="22737F8A"/>
    <w:rsid w:val="22745AB0"/>
    <w:rsid w:val="227855A0"/>
    <w:rsid w:val="227B5090"/>
    <w:rsid w:val="227D2BB6"/>
    <w:rsid w:val="22905161"/>
    <w:rsid w:val="22982281"/>
    <w:rsid w:val="22995516"/>
    <w:rsid w:val="229972C4"/>
    <w:rsid w:val="22A55C69"/>
    <w:rsid w:val="22AF0896"/>
    <w:rsid w:val="22B440FE"/>
    <w:rsid w:val="22B8599C"/>
    <w:rsid w:val="22C407E5"/>
    <w:rsid w:val="22D30A28"/>
    <w:rsid w:val="22E30F16"/>
    <w:rsid w:val="22E569AE"/>
    <w:rsid w:val="22E744D4"/>
    <w:rsid w:val="22F62969"/>
    <w:rsid w:val="22F8048F"/>
    <w:rsid w:val="230706D2"/>
    <w:rsid w:val="2309444A"/>
    <w:rsid w:val="23144B9D"/>
    <w:rsid w:val="231921B3"/>
    <w:rsid w:val="231E77CA"/>
    <w:rsid w:val="23203542"/>
    <w:rsid w:val="23270D74"/>
    <w:rsid w:val="2335285B"/>
    <w:rsid w:val="233B037C"/>
    <w:rsid w:val="233D40F4"/>
    <w:rsid w:val="233F60BE"/>
    <w:rsid w:val="233F7E6C"/>
    <w:rsid w:val="234F5BD5"/>
    <w:rsid w:val="235976EC"/>
    <w:rsid w:val="23607DE2"/>
    <w:rsid w:val="23627FFE"/>
    <w:rsid w:val="236C6787"/>
    <w:rsid w:val="23700025"/>
    <w:rsid w:val="23735D67"/>
    <w:rsid w:val="23757D31"/>
    <w:rsid w:val="237B69CA"/>
    <w:rsid w:val="23885523"/>
    <w:rsid w:val="23897339"/>
    <w:rsid w:val="23902475"/>
    <w:rsid w:val="23AB3753"/>
    <w:rsid w:val="23B720F8"/>
    <w:rsid w:val="23B73EA6"/>
    <w:rsid w:val="23B75C54"/>
    <w:rsid w:val="23B853F0"/>
    <w:rsid w:val="23C12F77"/>
    <w:rsid w:val="23C245F9"/>
    <w:rsid w:val="23C24E74"/>
    <w:rsid w:val="23D06D16"/>
    <w:rsid w:val="23F21382"/>
    <w:rsid w:val="24013373"/>
    <w:rsid w:val="24170DE9"/>
    <w:rsid w:val="2419690F"/>
    <w:rsid w:val="242B4894"/>
    <w:rsid w:val="2441470D"/>
    <w:rsid w:val="24457704"/>
    <w:rsid w:val="24537E66"/>
    <w:rsid w:val="24613E12"/>
    <w:rsid w:val="24681644"/>
    <w:rsid w:val="246C2851"/>
    <w:rsid w:val="2479115B"/>
    <w:rsid w:val="247E2C16"/>
    <w:rsid w:val="247E4225"/>
    <w:rsid w:val="247E49C4"/>
    <w:rsid w:val="24803679"/>
    <w:rsid w:val="248C1C53"/>
    <w:rsid w:val="249E0BC2"/>
    <w:rsid w:val="249E6E14"/>
    <w:rsid w:val="24A81A41"/>
    <w:rsid w:val="24BE1264"/>
    <w:rsid w:val="24BE3012"/>
    <w:rsid w:val="24D10F97"/>
    <w:rsid w:val="24D80578"/>
    <w:rsid w:val="24E54A43"/>
    <w:rsid w:val="24E76A0D"/>
    <w:rsid w:val="250110FD"/>
    <w:rsid w:val="250255F5"/>
    <w:rsid w:val="250D6B57"/>
    <w:rsid w:val="251D41DD"/>
    <w:rsid w:val="252C4420"/>
    <w:rsid w:val="25331C52"/>
    <w:rsid w:val="253B0B07"/>
    <w:rsid w:val="253B5A69"/>
    <w:rsid w:val="25445C0D"/>
    <w:rsid w:val="254C061E"/>
    <w:rsid w:val="255372CC"/>
    <w:rsid w:val="255B6AB3"/>
    <w:rsid w:val="25675458"/>
    <w:rsid w:val="256A4F48"/>
    <w:rsid w:val="258B55EA"/>
    <w:rsid w:val="25937F25"/>
    <w:rsid w:val="25946D3B"/>
    <w:rsid w:val="259D70CC"/>
    <w:rsid w:val="25A33C5F"/>
    <w:rsid w:val="25BC39F6"/>
    <w:rsid w:val="25C11AFE"/>
    <w:rsid w:val="25C247CB"/>
    <w:rsid w:val="25CB1E8B"/>
    <w:rsid w:val="25CD5C03"/>
    <w:rsid w:val="25E036DD"/>
    <w:rsid w:val="25E76599"/>
    <w:rsid w:val="25F969F8"/>
    <w:rsid w:val="26003464"/>
    <w:rsid w:val="260B04D9"/>
    <w:rsid w:val="260F621B"/>
    <w:rsid w:val="26103D41"/>
    <w:rsid w:val="26121868"/>
    <w:rsid w:val="26127ABA"/>
    <w:rsid w:val="26217CFD"/>
    <w:rsid w:val="264B4D7A"/>
    <w:rsid w:val="2657371E"/>
    <w:rsid w:val="265A6D6B"/>
    <w:rsid w:val="26600825"/>
    <w:rsid w:val="26602206"/>
    <w:rsid w:val="26690F27"/>
    <w:rsid w:val="266F2816"/>
    <w:rsid w:val="26712A32"/>
    <w:rsid w:val="26773DC1"/>
    <w:rsid w:val="26832765"/>
    <w:rsid w:val="268362C1"/>
    <w:rsid w:val="268663ED"/>
    <w:rsid w:val="26887D7C"/>
    <w:rsid w:val="269C3827"/>
    <w:rsid w:val="269C55D5"/>
    <w:rsid w:val="269E759F"/>
    <w:rsid w:val="26A744B1"/>
    <w:rsid w:val="26C134E5"/>
    <w:rsid w:val="26C317D6"/>
    <w:rsid w:val="26C62652"/>
    <w:rsid w:val="26C863CA"/>
    <w:rsid w:val="26D134D1"/>
    <w:rsid w:val="26D1527F"/>
    <w:rsid w:val="26D22DA5"/>
    <w:rsid w:val="26DE174A"/>
    <w:rsid w:val="26E33204"/>
    <w:rsid w:val="26E72CF4"/>
    <w:rsid w:val="26EF1BA9"/>
    <w:rsid w:val="26F251F5"/>
    <w:rsid w:val="26FD2D09"/>
    <w:rsid w:val="271262FA"/>
    <w:rsid w:val="271A6239"/>
    <w:rsid w:val="272C6959"/>
    <w:rsid w:val="273E668C"/>
    <w:rsid w:val="27400656"/>
    <w:rsid w:val="274C6FFB"/>
    <w:rsid w:val="27541717"/>
    <w:rsid w:val="275859A0"/>
    <w:rsid w:val="275B0FEC"/>
    <w:rsid w:val="275B2D9A"/>
    <w:rsid w:val="275F0ADD"/>
    <w:rsid w:val="27716A62"/>
    <w:rsid w:val="27734588"/>
    <w:rsid w:val="27767BD4"/>
    <w:rsid w:val="27870033"/>
    <w:rsid w:val="279010F0"/>
    <w:rsid w:val="2790513A"/>
    <w:rsid w:val="27910EB2"/>
    <w:rsid w:val="279B763B"/>
    <w:rsid w:val="27AF30E6"/>
    <w:rsid w:val="27B626C7"/>
    <w:rsid w:val="27BD1CA7"/>
    <w:rsid w:val="27C22E19"/>
    <w:rsid w:val="27CE703E"/>
    <w:rsid w:val="27D52B4D"/>
    <w:rsid w:val="27D72D69"/>
    <w:rsid w:val="27D8088F"/>
    <w:rsid w:val="27D97F6F"/>
    <w:rsid w:val="27FC27CF"/>
    <w:rsid w:val="27FD20A3"/>
    <w:rsid w:val="28041684"/>
    <w:rsid w:val="280E2503"/>
    <w:rsid w:val="280E42B1"/>
    <w:rsid w:val="280E605F"/>
    <w:rsid w:val="28100029"/>
    <w:rsid w:val="28101DD7"/>
    <w:rsid w:val="28125B4F"/>
    <w:rsid w:val="281713B7"/>
    <w:rsid w:val="281A14C8"/>
    <w:rsid w:val="281A4A03"/>
    <w:rsid w:val="281C4C20"/>
    <w:rsid w:val="281D62A2"/>
    <w:rsid w:val="2826784C"/>
    <w:rsid w:val="282E6701"/>
    <w:rsid w:val="28373807"/>
    <w:rsid w:val="283D6944"/>
    <w:rsid w:val="284657F9"/>
    <w:rsid w:val="284E0B51"/>
    <w:rsid w:val="286363AA"/>
    <w:rsid w:val="286420D2"/>
    <w:rsid w:val="286533D6"/>
    <w:rsid w:val="286D7229"/>
    <w:rsid w:val="28814A83"/>
    <w:rsid w:val="28887BBF"/>
    <w:rsid w:val="28A075FF"/>
    <w:rsid w:val="28AD1821"/>
    <w:rsid w:val="28AF339E"/>
    <w:rsid w:val="28B409B4"/>
    <w:rsid w:val="28C57065"/>
    <w:rsid w:val="28D9666D"/>
    <w:rsid w:val="28DE0127"/>
    <w:rsid w:val="28DE3C83"/>
    <w:rsid w:val="28E3573D"/>
    <w:rsid w:val="28ED2118"/>
    <w:rsid w:val="29037B8D"/>
    <w:rsid w:val="290851A4"/>
    <w:rsid w:val="291C47AB"/>
    <w:rsid w:val="293470A9"/>
    <w:rsid w:val="293715E5"/>
    <w:rsid w:val="29385A89"/>
    <w:rsid w:val="294A30C6"/>
    <w:rsid w:val="294C32E2"/>
    <w:rsid w:val="29542197"/>
    <w:rsid w:val="295977AD"/>
    <w:rsid w:val="29622B06"/>
    <w:rsid w:val="297665B1"/>
    <w:rsid w:val="29852351"/>
    <w:rsid w:val="29891E41"/>
    <w:rsid w:val="29894425"/>
    <w:rsid w:val="298F60DE"/>
    <w:rsid w:val="29915199"/>
    <w:rsid w:val="29A50C45"/>
    <w:rsid w:val="29AE5D4B"/>
    <w:rsid w:val="29B33362"/>
    <w:rsid w:val="29B35110"/>
    <w:rsid w:val="29C0782D"/>
    <w:rsid w:val="29C27101"/>
    <w:rsid w:val="29C63095"/>
    <w:rsid w:val="29D11A3A"/>
    <w:rsid w:val="29E03A2B"/>
    <w:rsid w:val="29F23E8A"/>
    <w:rsid w:val="29F666F3"/>
    <w:rsid w:val="29FA27CA"/>
    <w:rsid w:val="2A007C29"/>
    <w:rsid w:val="2A01508C"/>
    <w:rsid w:val="2A1F27A5"/>
    <w:rsid w:val="2A2A637C"/>
    <w:rsid w:val="2A2E4796"/>
    <w:rsid w:val="2A375D41"/>
    <w:rsid w:val="2A3F69A3"/>
    <w:rsid w:val="2A4D10C0"/>
    <w:rsid w:val="2A522B7B"/>
    <w:rsid w:val="2A703001"/>
    <w:rsid w:val="2A7A3E7F"/>
    <w:rsid w:val="2A7C19A5"/>
    <w:rsid w:val="2A7D127A"/>
    <w:rsid w:val="2A7D74CC"/>
    <w:rsid w:val="2A7E3A46"/>
    <w:rsid w:val="2A810D6A"/>
    <w:rsid w:val="2A832D10"/>
    <w:rsid w:val="2A88034A"/>
    <w:rsid w:val="2A954815"/>
    <w:rsid w:val="2A992557"/>
    <w:rsid w:val="2AA64C74"/>
    <w:rsid w:val="2AA902C1"/>
    <w:rsid w:val="2AC05D36"/>
    <w:rsid w:val="2AC3556A"/>
    <w:rsid w:val="2AD6555A"/>
    <w:rsid w:val="2ADA66CC"/>
    <w:rsid w:val="2AE00186"/>
    <w:rsid w:val="2AF21C68"/>
    <w:rsid w:val="2AF754D0"/>
    <w:rsid w:val="2B0B2D29"/>
    <w:rsid w:val="2B157704"/>
    <w:rsid w:val="2B163BA8"/>
    <w:rsid w:val="2B2160A9"/>
    <w:rsid w:val="2B234681"/>
    <w:rsid w:val="2B25203D"/>
    <w:rsid w:val="2B277B63"/>
    <w:rsid w:val="2B2D0EF2"/>
    <w:rsid w:val="2B2F07C6"/>
    <w:rsid w:val="2B391645"/>
    <w:rsid w:val="2B581320"/>
    <w:rsid w:val="2B6568DD"/>
    <w:rsid w:val="2B764647"/>
    <w:rsid w:val="2B777082"/>
    <w:rsid w:val="2B806EDE"/>
    <w:rsid w:val="2B942D1F"/>
    <w:rsid w:val="2BA016C4"/>
    <w:rsid w:val="2BB11E5C"/>
    <w:rsid w:val="2BBD2276"/>
    <w:rsid w:val="2BC52ED8"/>
    <w:rsid w:val="2BCA04EF"/>
    <w:rsid w:val="2BD001FB"/>
    <w:rsid w:val="2BD355F5"/>
    <w:rsid w:val="2BD80E5D"/>
    <w:rsid w:val="2BF35C97"/>
    <w:rsid w:val="2BF67536"/>
    <w:rsid w:val="2BF959F5"/>
    <w:rsid w:val="2C295C80"/>
    <w:rsid w:val="2C2C11A9"/>
    <w:rsid w:val="2C2D4686"/>
    <w:rsid w:val="2C361D24"/>
    <w:rsid w:val="2C3B721F"/>
    <w:rsid w:val="2C46226B"/>
    <w:rsid w:val="2C4C35F9"/>
    <w:rsid w:val="2C536736"/>
    <w:rsid w:val="2C5456A6"/>
    <w:rsid w:val="2C5A1872"/>
    <w:rsid w:val="2C5F157F"/>
    <w:rsid w:val="2C610E53"/>
    <w:rsid w:val="2C7768C8"/>
    <w:rsid w:val="2C7A3CC3"/>
    <w:rsid w:val="2C7C5C8D"/>
    <w:rsid w:val="2C8C39F6"/>
    <w:rsid w:val="2C923702"/>
    <w:rsid w:val="2C9C00DD"/>
    <w:rsid w:val="2C9C632F"/>
    <w:rsid w:val="2CA376BD"/>
    <w:rsid w:val="2CB25B52"/>
    <w:rsid w:val="2CB5192D"/>
    <w:rsid w:val="2CBC077F"/>
    <w:rsid w:val="2CC15D95"/>
    <w:rsid w:val="2CCB09C2"/>
    <w:rsid w:val="2CDD4252"/>
    <w:rsid w:val="2CDF621C"/>
    <w:rsid w:val="2CE028C6"/>
    <w:rsid w:val="2CE13D42"/>
    <w:rsid w:val="2CEB696E"/>
    <w:rsid w:val="2CF00429"/>
    <w:rsid w:val="2CFE2B46"/>
    <w:rsid w:val="2D053ED4"/>
    <w:rsid w:val="2D236108"/>
    <w:rsid w:val="2D26209C"/>
    <w:rsid w:val="2D285D86"/>
    <w:rsid w:val="2D306A77"/>
    <w:rsid w:val="2D376058"/>
    <w:rsid w:val="2D4A18E7"/>
    <w:rsid w:val="2D834DF9"/>
    <w:rsid w:val="2D88240F"/>
    <w:rsid w:val="2D8E266F"/>
    <w:rsid w:val="2DA03BFD"/>
    <w:rsid w:val="2DA37249"/>
    <w:rsid w:val="2DA76D39"/>
    <w:rsid w:val="2DAF2092"/>
    <w:rsid w:val="2DBF0527"/>
    <w:rsid w:val="2DD12008"/>
    <w:rsid w:val="2DD90EBD"/>
    <w:rsid w:val="2DE97352"/>
    <w:rsid w:val="2DF53F49"/>
    <w:rsid w:val="2DFB52D7"/>
    <w:rsid w:val="2E100D83"/>
    <w:rsid w:val="2E114AFB"/>
    <w:rsid w:val="2E156399"/>
    <w:rsid w:val="2E165C6D"/>
    <w:rsid w:val="2E271C28"/>
    <w:rsid w:val="2E3D144C"/>
    <w:rsid w:val="2E3D769E"/>
    <w:rsid w:val="2E5A0250"/>
    <w:rsid w:val="2E5A1FFE"/>
    <w:rsid w:val="2E67471B"/>
    <w:rsid w:val="2E717347"/>
    <w:rsid w:val="2E9B17D4"/>
    <w:rsid w:val="2EA5039F"/>
    <w:rsid w:val="2EB07E70"/>
    <w:rsid w:val="2EB23BE8"/>
    <w:rsid w:val="2EBC6814"/>
    <w:rsid w:val="2EBE67DA"/>
    <w:rsid w:val="2EC456C9"/>
    <w:rsid w:val="2ECB2EFB"/>
    <w:rsid w:val="2ED51684"/>
    <w:rsid w:val="2ED95618"/>
    <w:rsid w:val="2EDF69A7"/>
    <w:rsid w:val="2EE43FBD"/>
    <w:rsid w:val="2EF35C42"/>
    <w:rsid w:val="2EFA733D"/>
    <w:rsid w:val="2F0F103A"/>
    <w:rsid w:val="2F544EB3"/>
    <w:rsid w:val="2F631386"/>
    <w:rsid w:val="2F662C24"/>
    <w:rsid w:val="2F68699C"/>
    <w:rsid w:val="2F8512FC"/>
    <w:rsid w:val="2F8530AA"/>
    <w:rsid w:val="2F967065"/>
    <w:rsid w:val="2FA774C5"/>
    <w:rsid w:val="2FBD0F7E"/>
    <w:rsid w:val="2FBE036A"/>
    <w:rsid w:val="2FC96724"/>
    <w:rsid w:val="2FCC6F2B"/>
    <w:rsid w:val="2FD1009E"/>
    <w:rsid w:val="301461DC"/>
    <w:rsid w:val="30313232"/>
    <w:rsid w:val="30343B3C"/>
    <w:rsid w:val="30395C43"/>
    <w:rsid w:val="3046098A"/>
    <w:rsid w:val="304F36B8"/>
    <w:rsid w:val="305637DC"/>
    <w:rsid w:val="305B02AF"/>
    <w:rsid w:val="306727B0"/>
    <w:rsid w:val="307C26FF"/>
    <w:rsid w:val="308275EA"/>
    <w:rsid w:val="308A649E"/>
    <w:rsid w:val="3095556F"/>
    <w:rsid w:val="30960341"/>
    <w:rsid w:val="30A04ED5"/>
    <w:rsid w:val="30B31E99"/>
    <w:rsid w:val="30C65728"/>
    <w:rsid w:val="30C9346B"/>
    <w:rsid w:val="30CF4362"/>
    <w:rsid w:val="30E12562"/>
    <w:rsid w:val="30EE4C7F"/>
    <w:rsid w:val="30FE1366"/>
    <w:rsid w:val="31077AEF"/>
    <w:rsid w:val="31093867"/>
    <w:rsid w:val="31124E12"/>
    <w:rsid w:val="312B7C81"/>
    <w:rsid w:val="31327262"/>
    <w:rsid w:val="3148438F"/>
    <w:rsid w:val="31496359"/>
    <w:rsid w:val="3159659D"/>
    <w:rsid w:val="31666EBA"/>
    <w:rsid w:val="31857392"/>
    <w:rsid w:val="3186310A"/>
    <w:rsid w:val="319E66A5"/>
    <w:rsid w:val="31A36DA6"/>
    <w:rsid w:val="31AC176C"/>
    <w:rsid w:val="31AD0696"/>
    <w:rsid w:val="31BB2DB3"/>
    <w:rsid w:val="31D9148B"/>
    <w:rsid w:val="31D9592F"/>
    <w:rsid w:val="31EA18EB"/>
    <w:rsid w:val="31EE13DB"/>
    <w:rsid w:val="32026C34"/>
    <w:rsid w:val="320C360F"/>
    <w:rsid w:val="321150C9"/>
    <w:rsid w:val="3214691B"/>
    <w:rsid w:val="32193F7E"/>
    <w:rsid w:val="32221084"/>
    <w:rsid w:val="32382656"/>
    <w:rsid w:val="3239017C"/>
    <w:rsid w:val="323F1C36"/>
    <w:rsid w:val="32501B34"/>
    <w:rsid w:val="32582CF8"/>
    <w:rsid w:val="326A2A2B"/>
    <w:rsid w:val="32755658"/>
    <w:rsid w:val="328E2276"/>
    <w:rsid w:val="328F5FEE"/>
    <w:rsid w:val="32925B59"/>
    <w:rsid w:val="329B4993"/>
    <w:rsid w:val="32A7158A"/>
    <w:rsid w:val="32A970B0"/>
    <w:rsid w:val="32AC2736"/>
    <w:rsid w:val="32B334A9"/>
    <w:rsid w:val="32C263C3"/>
    <w:rsid w:val="32CC2D9E"/>
    <w:rsid w:val="33030EB6"/>
    <w:rsid w:val="330D3AE3"/>
    <w:rsid w:val="33244988"/>
    <w:rsid w:val="33245299"/>
    <w:rsid w:val="332E5807"/>
    <w:rsid w:val="33484B1B"/>
    <w:rsid w:val="334E50BD"/>
    <w:rsid w:val="33751688"/>
    <w:rsid w:val="337C47C4"/>
    <w:rsid w:val="33863895"/>
    <w:rsid w:val="33955886"/>
    <w:rsid w:val="33B421B0"/>
    <w:rsid w:val="33CD6DCE"/>
    <w:rsid w:val="33CF6FEA"/>
    <w:rsid w:val="33D740F0"/>
    <w:rsid w:val="33E34843"/>
    <w:rsid w:val="33EA3E24"/>
    <w:rsid w:val="33F1163C"/>
    <w:rsid w:val="340078E5"/>
    <w:rsid w:val="340A6274"/>
    <w:rsid w:val="340C5B48"/>
    <w:rsid w:val="340D18C0"/>
    <w:rsid w:val="3417273F"/>
    <w:rsid w:val="342A4121"/>
    <w:rsid w:val="34592D57"/>
    <w:rsid w:val="345B6AD0"/>
    <w:rsid w:val="345C1A8B"/>
    <w:rsid w:val="346C65E7"/>
    <w:rsid w:val="346D235F"/>
    <w:rsid w:val="347A51A8"/>
    <w:rsid w:val="34833930"/>
    <w:rsid w:val="348576A9"/>
    <w:rsid w:val="34963664"/>
    <w:rsid w:val="349F4C0E"/>
    <w:rsid w:val="34A55F9D"/>
    <w:rsid w:val="34AB35B3"/>
    <w:rsid w:val="34D67F04"/>
    <w:rsid w:val="34D80120"/>
    <w:rsid w:val="34DF14AF"/>
    <w:rsid w:val="34FA3BF3"/>
    <w:rsid w:val="350031D3"/>
    <w:rsid w:val="3501637C"/>
    <w:rsid w:val="350466DA"/>
    <w:rsid w:val="35092088"/>
    <w:rsid w:val="350B5E00"/>
    <w:rsid w:val="35132F06"/>
    <w:rsid w:val="35223149"/>
    <w:rsid w:val="35342C4D"/>
    <w:rsid w:val="353A4937"/>
    <w:rsid w:val="35441312"/>
    <w:rsid w:val="35472BB0"/>
    <w:rsid w:val="355A28E3"/>
    <w:rsid w:val="356814A4"/>
    <w:rsid w:val="356E2833"/>
    <w:rsid w:val="356E638F"/>
    <w:rsid w:val="3575596F"/>
    <w:rsid w:val="357C4F4F"/>
    <w:rsid w:val="357E0CC8"/>
    <w:rsid w:val="3583008C"/>
    <w:rsid w:val="35867B7C"/>
    <w:rsid w:val="35894EFE"/>
    <w:rsid w:val="35926521"/>
    <w:rsid w:val="35A3178F"/>
    <w:rsid w:val="35C3492C"/>
    <w:rsid w:val="35C9034A"/>
    <w:rsid w:val="35CD57AB"/>
    <w:rsid w:val="35D11918"/>
    <w:rsid w:val="35E12B5E"/>
    <w:rsid w:val="35FC7E3E"/>
    <w:rsid w:val="361C5DEB"/>
    <w:rsid w:val="365B6913"/>
    <w:rsid w:val="366A2FFA"/>
    <w:rsid w:val="36785717"/>
    <w:rsid w:val="367B6FB5"/>
    <w:rsid w:val="367E6AA5"/>
    <w:rsid w:val="368D0B71"/>
    <w:rsid w:val="36924391"/>
    <w:rsid w:val="369A0008"/>
    <w:rsid w:val="369B7657"/>
    <w:rsid w:val="369D517D"/>
    <w:rsid w:val="36A04C6E"/>
    <w:rsid w:val="36A209E6"/>
    <w:rsid w:val="36A75FFC"/>
    <w:rsid w:val="36AC716F"/>
    <w:rsid w:val="36B6715E"/>
    <w:rsid w:val="36D3294D"/>
    <w:rsid w:val="36D451CC"/>
    <w:rsid w:val="36DE5C94"/>
    <w:rsid w:val="36E0150E"/>
    <w:rsid w:val="36F56D67"/>
    <w:rsid w:val="37113475"/>
    <w:rsid w:val="37335AE2"/>
    <w:rsid w:val="373830F8"/>
    <w:rsid w:val="37471E40"/>
    <w:rsid w:val="374B4BD9"/>
    <w:rsid w:val="3751494E"/>
    <w:rsid w:val="375A4E1C"/>
    <w:rsid w:val="375F2433"/>
    <w:rsid w:val="37643EED"/>
    <w:rsid w:val="376712E7"/>
    <w:rsid w:val="3776528F"/>
    <w:rsid w:val="3776777C"/>
    <w:rsid w:val="37887BDC"/>
    <w:rsid w:val="378E0F6A"/>
    <w:rsid w:val="37904CE2"/>
    <w:rsid w:val="379C71E3"/>
    <w:rsid w:val="379E11AD"/>
    <w:rsid w:val="37BC7885"/>
    <w:rsid w:val="37C4498C"/>
    <w:rsid w:val="37C87FD8"/>
    <w:rsid w:val="37CA01F4"/>
    <w:rsid w:val="37CB1876"/>
    <w:rsid w:val="37D20E57"/>
    <w:rsid w:val="37F214F9"/>
    <w:rsid w:val="37F94635"/>
    <w:rsid w:val="37FB65FF"/>
    <w:rsid w:val="38003C16"/>
    <w:rsid w:val="38066D52"/>
    <w:rsid w:val="383C09C6"/>
    <w:rsid w:val="384F43B6"/>
    <w:rsid w:val="3857135C"/>
    <w:rsid w:val="387D5266"/>
    <w:rsid w:val="38871C41"/>
    <w:rsid w:val="388F0AF6"/>
    <w:rsid w:val="3891486E"/>
    <w:rsid w:val="389D76B7"/>
    <w:rsid w:val="38A10B77"/>
    <w:rsid w:val="38A8605B"/>
    <w:rsid w:val="38B247E4"/>
    <w:rsid w:val="38B90269"/>
    <w:rsid w:val="38B93DC5"/>
    <w:rsid w:val="38C56C0D"/>
    <w:rsid w:val="38CF5396"/>
    <w:rsid w:val="38D66725"/>
    <w:rsid w:val="38DD3F57"/>
    <w:rsid w:val="38E3340E"/>
    <w:rsid w:val="38EC5F48"/>
    <w:rsid w:val="38FD63A7"/>
    <w:rsid w:val="39002FB3"/>
    <w:rsid w:val="39070FD4"/>
    <w:rsid w:val="39074B30"/>
    <w:rsid w:val="390A63CE"/>
    <w:rsid w:val="391D4354"/>
    <w:rsid w:val="393125F0"/>
    <w:rsid w:val="39396CB4"/>
    <w:rsid w:val="393F076E"/>
    <w:rsid w:val="394538AA"/>
    <w:rsid w:val="394915ED"/>
    <w:rsid w:val="39496B0D"/>
    <w:rsid w:val="394C3F45"/>
    <w:rsid w:val="39537D75"/>
    <w:rsid w:val="39677CC5"/>
    <w:rsid w:val="39745A19"/>
    <w:rsid w:val="397A17A6"/>
    <w:rsid w:val="397A3554"/>
    <w:rsid w:val="39893797"/>
    <w:rsid w:val="39900FC9"/>
    <w:rsid w:val="399E1D49"/>
    <w:rsid w:val="39A44A75"/>
    <w:rsid w:val="39B1059B"/>
    <w:rsid w:val="39B20F40"/>
    <w:rsid w:val="39C11183"/>
    <w:rsid w:val="39C46EC5"/>
    <w:rsid w:val="39C51C20"/>
    <w:rsid w:val="39C649EB"/>
    <w:rsid w:val="39D4535A"/>
    <w:rsid w:val="39D569DC"/>
    <w:rsid w:val="39D80976"/>
    <w:rsid w:val="39E41315"/>
    <w:rsid w:val="39E6508D"/>
    <w:rsid w:val="39FC21BB"/>
    <w:rsid w:val="3A10210A"/>
    <w:rsid w:val="3A157721"/>
    <w:rsid w:val="3A2B484E"/>
    <w:rsid w:val="3A323E2F"/>
    <w:rsid w:val="3A3A0F35"/>
    <w:rsid w:val="3A5169AB"/>
    <w:rsid w:val="3A59585F"/>
    <w:rsid w:val="3A5C70FE"/>
    <w:rsid w:val="3A5E4C24"/>
    <w:rsid w:val="3A6B186B"/>
    <w:rsid w:val="3A79380C"/>
    <w:rsid w:val="3A804B9A"/>
    <w:rsid w:val="3A9643BE"/>
    <w:rsid w:val="3A995C5C"/>
    <w:rsid w:val="3A9B19D4"/>
    <w:rsid w:val="3A9E7264"/>
    <w:rsid w:val="3AA7481D"/>
    <w:rsid w:val="3AA82343"/>
    <w:rsid w:val="3AF630AE"/>
    <w:rsid w:val="3AFD61EB"/>
    <w:rsid w:val="3B082DE1"/>
    <w:rsid w:val="3B163750"/>
    <w:rsid w:val="3B1A3241"/>
    <w:rsid w:val="3B292616"/>
    <w:rsid w:val="3B2A71FC"/>
    <w:rsid w:val="3B380EFD"/>
    <w:rsid w:val="3B381919"/>
    <w:rsid w:val="3B3D6F2F"/>
    <w:rsid w:val="3B497682"/>
    <w:rsid w:val="3B53405D"/>
    <w:rsid w:val="3B585B17"/>
    <w:rsid w:val="3B5E2125"/>
    <w:rsid w:val="3B697D24"/>
    <w:rsid w:val="3B801A3F"/>
    <w:rsid w:val="3B871F58"/>
    <w:rsid w:val="3B8B1A48"/>
    <w:rsid w:val="3B98710E"/>
    <w:rsid w:val="3BA24FE4"/>
    <w:rsid w:val="3BA26D92"/>
    <w:rsid w:val="3BAE5737"/>
    <w:rsid w:val="3BBF7944"/>
    <w:rsid w:val="3BD038FF"/>
    <w:rsid w:val="3BD72EE0"/>
    <w:rsid w:val="3BE41159"/>
    <w:rsid w:val="3BE455FD"/>
    <w:rsid w:val="3BE63CCF"/>
    <w:rsid w:val="3BED2703"/>
    <w:rsid w:val="3C035857"/>
    <w:rsid w:val="3C0637C5"/>
    <w:rsid w:val="3C074E47"/>
    <w:rsid w:val="3C0B0DDB"/>
    <w:rsid w:val="3C0D4B53"/>
    <w:rsid w:val="3C0E4427"/>
    <w:rsid w:val="3C101301"/>
    <w:rsid w:val="3C1732DC"/>
    <w:rsid w:val="3C30439E"/>
    <w:rsid w:val="3C3F0A85"/>
    <w:rsid w:val="3C4F6F1A"/>
    <w:rsid w:val="3C65673D"/>
    <w:rsid w:val="3C787A30"/>
    <w:rsid w:val="3C91106D"/>
    <w:rsid w:val="3C917AAC"/>
    <w:rsid w:val="3C964B49"/>
    <w:rsid w:val="3CA31014"/>
    <w:rsid w:val="3CC01FFC"/>
    <w:rsid w:val="3CC66AB0"/>
    <w:rsid w:val="3CCB0BE1"/>
    <w:rsid w:val="3CD218F9"/>
    <w:rsid w:val="3CDC62D4"/>
    <w:rsid w:val="3CE31410"/>
    <w:rsid w:val="3D0F2205"/>
    <w:rsid w:val="3D347EBE"/>
    <w:rsid w:val="3D436353"/>
    <w:rsid w:val="3D4A148F"/>
    <w:rsid w:val="3D5F13DF"/>
    <w:rsid w:val="3D606F05"/>
    <w:rsid w:val="3D6F0EF6"/>
    <w:rsid w:val="3D762284"/>
    <w:rsid w:val="3D7A7FC6"/>
    <w:rsid w:val="3D803103"/>
    <w:rsid w:val="3D840E45"/>
    <w:rsid w:val="3D9F17DB"/>
    <w:rsid w:val="3DA71AB5"/>
    <w:rsid w:val="3DA908AC"/>
    <w:rsid w:val="3DAC214A"/>
    <w:rsid w:val="3DD22E3D"/>
    <w:rsid w:val="3DDD0555"/>
    <w:rsid w:val="3DDE0AF1"/>
    <w:rsid w:val="3DF156C8"/>
    <w:rsid w:val="3DF17B5D"/>
    <w:rsid w:val="3DFD26B4"/>
    <w:rsid w:val="3DFD29A6"/>
    <w:rsid w:val="3E045AE2"/>
    <w:rsid w:val="3E0B6E71"/>
    <w:rsid w:val="3E0E070F"/>
    <w:rsid w:val="3E0E6961"/>
    <w:rsid w:val="3E173A67"/>
    <w:rsid w:val="3E176817"/>
    <w:rsid w:val="3E1D0952"/>
    <w:rsid w:val="3E1F291C"/>
    <w:rsid w:val="3E29379B"/>
    <w:rsid w:val="3E35213F"/>
    <w:rsid w:val="3E3A0F51"/>
    <w:rsid w:val="3E3A59A8"/>
    <w:rsid w:val="3E4E3201"/>
    <w:rsid w:val="3E546A69"/>
    <w:rsid w:val="3E587BDC"/>
    <w:rsid w:val="3E642A25"/>
    <w:rsid w:val="3E66679D"/>
    <w:rsid w:val="3E6E73FF"/>
    <w:rsid w:val="3E7570D2"/>
    <w:rsid w:val="3E815385"/>
    <w:rsid w:val="3E8D3D29"/>
    <w:rsid w:val="3EA00C1E"/>
    <w:rsid w:val="3EA86695"/>
    <w:rsid w:val="3EAA48DB"/>
    <w:rsid w:val="3EBE0387"/>
    <w:rsid w:val="3EC3599D"/>
    <w:rsid w:val="3EC62D97"/>
    <w:rsid w:val="3ED5122D"/>
    <w:rsid w:val="3ED90D1D"/>
    <w:rsid w:val="3EE2728E"/>
    <w:rsid w:val="3EEF22EE"/>
    <w:rsid w:val="3EF36F4F"/>
    <w:rsid w:val="3EFC23E1"/>
    <w:rsid w:val="3F0264C5"/>
    <w:rsid w:val="3F063FF5"/>
    <w:rsid w:val="3F0F2990"/>
    <w:rsid w:val="3F204B9E"/>
    <w:rsid w:val="3F220916"/>
    <w:rsid w:val="3F402B4A"/>
    <w:rsid w:val="3F442767"/>
    <w:rsid w:val="3F522DEF"/>
    <w:rsid w:val="3F60708E"/>
    <w:rsid w:val="3F626F64"/>
    <w:rsid w:val="3F6525B0"/>
    <w:rsid w:val="3F6E3B5B"/>
    <w:rsid w:val="3F854A01"/>
    <w:rsid w:val="3F8E7D59"/>
    <w:rsid w:val="3F9F1F66"/>
    <w:rsid w:val="3FA0645E"/>
    <w:rsid w:val="3FA23805"/>
    <w:rsid w:val="3FA72BC9"/>
    <w:rsid w:val="3FAC6431"/>
    <w:rsid w:val="3FB05F21"/>
    <w:rsid w:val="3FBA6DA0"/>
    <w:rsid w:val="3FCC0881"/>
    <w:rsid w:val="3FDB2873"/>
    <w:rsid w:val="3FEE7F68"/>
    <w:rsid w:val="3FF37BBC"/>
    <w:rsid w:val="3FFA644F"/>
    <w:rsid w:val="400D3374"/>
    <w:rsid w:val="400E2C48"/>
    <w:rsid w:val="4024246B"/>
    <w:rsid w:val="4053079A"/>
    <w:rsid w:val="40610FCA"/>
    <w:rsid w:val="4061546E"/>
    <w:rsid w:val="406665E0"/>
    <w:rsid w:val="408D7958"/>
    <w:rsid w:val="409D1A7E"/>
    <w:rsid w:val="40A4535A"/>
    <w:rsid w:val="40B57568"/>
    <w:rsid w:val="40BB2DD0"/>
    <w:rsid w:val="40BC26A4"/>
    <w:rsid w:val="40CD2B03"/>
    <w:rsid w:val="40DE261A"/>
    <w:rsid w:val="40E85247"/>
    <w:rsid w:val="40EA7211"/>
    <w:rsid w:val="40FB7670"/>
    <w:rsid w:val="4105229D"/>
    <w:rsid w:val="41160006"/>
    <w:rsid w:val="412F731A"/>
    <w:rsid w:val="41395AA3"/>
    <w:rsid w:val="413E130B"/>
    <w:rsid w:val="413E57AF"/>
    <w:rsid w:val="41550197"/>
    <w:rsid w:val="415B3C6B"/>
    <w:rsid w:val="415D5C35"/>
    <w:rsid w:val="41630D72"/>
    <w:rsid w:val="41717932"/>
    <w:rsid w:val="417535DE"/>
    <w:rsid w:val="41801923"/>
    <w:rsid w:val="41894C7C"/>
    <w:rsid w:val="418D5DEE"/>
    <w:rsid w:val="41986C6D"/>
    <w:rsid w:val="41AE46E3"/>
    <w:rsid w:val="41B63597"/>
    <w:rsid w:val="41C0099D"/>
    <w:rsid w:val="41CC723D"/>
    <w:rsid w:val="41CE332F"/>
    <w:rsid w:val="41D73AC5"/>
    <w:rsid w:val="42024A2E"/>
    <w:rsid w:val="420C1409"/>
    <w:rsid w:val="42181B5C"/>
    <w:rsid w:val="421F113C"/>
    <w:rsid w:val="42220C2D"/>
    <w:rsid w:val="4226071D"/>
    <w:rsid w:val="422F6EA6"/>
    <w:rsid w:val="423522EA"/>
    <w:rsid w:val="4235270E"/>
    <w:rsid w:val="423B584A"/>
    <w:rsid w:val="42417305"/>
    <w:rsid w:val="424B1F31"/>
    <w:rsid w:val="42621029"/>
    <w:rsid w:val="426739C6"/>
    <w:rsid w:val="427C747D"/>
    <w:rsid w:val="42894808"/>
    <w:rsid w:val="4290203A"/>
    <w:rsid w:val="42A47894"/>
    <w:rsid w:val="42A653BA"/>
    <w:rsid w:val="42A930FC"/>
    <w:rsid w:val="42B0448A"/>
    <w:rsid w:val="42BF647C"/>
    <w:rsid w:val="42F04887"/>
    <w:rsid w:val="43014CE6"/>
    <w:rsid w:val="43100A85"/>
    <w:rsid w:val="43122A4F"/>
    <w:rsid w:val="43144A19"/>
    <w:rsid w:val="431B30EE"/>
    <w:rsid w:val="43326C4D"/>
    <w:rsid w:val="433340CF"/>
    <w:rsid w:val="433E3844"/>
    <w:rsid w:val="433F0C7E"/>
    <w:rsid w:val="43505326"/>
    <w:rsid w:val="435272F0"/>
    <w:rsid w:val="43560B8E"/>
    <w:rsid w:val="435B2648"/>
    <w:rsid w:val="435E7A42"/>
    <w:rsid w:val="43655275"/>
    <w:rsid w:val="43661FA0"/>
    <w:rsid w:val="4366367B"/>
    <w:rsid w:val="43664B49"/>
    <w:rsid w:val="436C03B1"/>
    <w:rsid w:val="436F7EA2"/>
    <w:rsid w:val="437E6337"/>
    <w:rsid w:val="438A4CDB"/>
    <w:rsid w:val="438B5155"/>
    <w:rsid w:val="43A22025"/>
    <w:rsid w:val="43AA0EDA"/>
    <w:rsid w:val="43AE09CA"/>
    <w:rsid w:val="43B9111D"/>
    <w:rsid w:val="43BB3356"/>
    <w:rsid w:val="43C755E8"/>
    <w:rsid w:val="43CE2E1A"/>
    <w:rsid w:val="43D44D4F"/>
    <w:rsid w:val="43E443EC"/>
    <w:rsid w:val="43ED0597"/>
    <w:rsid w:val="43FB2B0D"/>
    <w:rsid w:val="440700DA"/>
    <w:rsid w:val="44077BDE"/>
    <w:rsid w:val="441B2D48"/>
    <w:rsid w:val="442B201A"/>
    <w:rsid w:val="442E38B9"/>
    <w:rsid w:val="44352E99"/>
    <w:rsid w:val="4436276D"/>
    <w:rsid w:val="44476729"/>
    <w:rsid w:val="445552E9"/>
    <w:rsid w:val="445A2900"/>
    <w:rsid w:val="445F7F16"/>
    <w:rsid w:val="446217B4"/>
    <w:rsid w:val="446A2417"/>
    <w:rsid w:val="446C2633"/>
    <w:rsid w:val="44727C49"/>
    <w:rsid w:val="448D4A83"/>
    <w:rsid w:val="4496320C"/>
    <w:rsid w:val="44970113"/>
    <w:rsid w:val="449B0822"/>
    <w:rsid w:val="449D0A3E"/>
    <w:rsid w:val="44A122DD"/>
    <w:rsid w:val="44A949F7"/>
    <w:rsid w:val="44AE49FA"/>
    <w:rsid w:val="44B042CE"/>
    <w:rsid w:val="44C45FCB"/>
    <w:rsid w:val="44C9538F"/>
    <w:rsid w:val="44CD4E80"/>
    <w:rsid w:val="44D24AA9"/>
    <w:rsid w:val="44E51693"/>
    <w:rsid w:val="44E73E19"/>
    <w:rsid w:val="4501304F"/>
    <w:rsid w:val="450665E4"/>
    <w:rsid w:val="45133A54"/>
    <w:rsid w:val="452847AC"/>
    <w:rsid w:val="454809AA"/>
    <w:rsid w:val="454A2974"/>
    <w:rsid w:val="45513D03"/>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2AA4"/>
    <w:rsid w:val="45A656D1"/>
    <w:rsid w:val="45AE28FA"/>
    <w:rsid w:val="45B147A1"/>
    <w:rsid w:val="45C67B21"/>
    <w:rsid w:val="45D73ADC"/>
    <w:rsid w:val="45F60406"/>
    <w:rsid w:val="4614088C"/>
    <w:rsid w:val="46456C98"/>
    <w:rsid w:val="464B69A4"/>
    <w:rsid w:val="464F5D68"/>
    <w:rsid w:val="4651388E"/>
    <w:rsid w:val="465515D1"/>
    <w:rsid w:val="465670F7"/>
    <w:rsid w:val="46674E60"/>
    <w:rsid w:val="4669507C"/>
    <w:rsid w:val="466E61EE"/>
    <w:rsid w:val="468034B7"/>
    <w:rsid w:val="46843C64"/>
    <w:rsid w:val="468752A2"/>
    <w:rsid w:val="468A6DA0"/>
    <w:rsid w:val="46B06807"/>
    <w:rsid w:val="46BF2EEE"/>
    <w:rsid w:val="46C10A14"/>
    <w:rsid w:val="46CB1893"/>
    <w:rsid w:val="46CD0221"/>
    <w:rsid w:val="46DF0E9A"/>
    <w:rsid w:val="46FA3F26"/>
    <w:rsid w:val="4703102D"/>
    <w:rsid w:val="4707219F"/>
    <w:rsid w:val="470E352E"/>
    <w:rsid w:val="473318BA"/>
    <w:rsid w:val="4733370C"/>
    <w:rsid w:val="47392CA0"/>
    <w:rsid w:val="474A6C5C"/>
    <w:rsid w:val="474B6530"/>
    <w:rsid w:val="474D4056"/>
    <w:rsid w:val="4755115C"/>
    <w:rsid w:val="475E04CC"/>
    <w:rsid w:val="475F3D89"/>
    <w:rsid w:val="47685334"/>
    <w:rsid w:val="476A10AC"/>
    <w:rsid w:val="47775577"/>
    <w:rsid w:val="478A34FC"/>
    <w:rsid w:val="479223B1"/>
    <w:rsid w:val="47947ED7"/>
    <w:rsid w:val="47992022"/>
    <w:rsid w:val="479D3CF7"/>
    <w:rsid w:val="47A65E5C"/>
    <w:rsid w:val="47A81BD4"/>
    <w:rsid w:val="47A82162"/>
    <w:rsid w:val="47AD71EA"/>
    <w:rsid w:val="47BB36B5"/>
    <w:rsid w:val="47C63E08"/>
    <w:rsid w:val="47D26C51"/>
    <w:rsid w:val="47D97FDF"/>
    <w:rsid w:val="47EB386F"/>
    <w:rsid w:val="47EE2313"/>
    <w:rsid w:val="47F6293F"/>
    <w:rsid w:val="47FD5CB7"/>
    <w:rsid w:val="48166B3E"/>
    <w:rsid w:val="48290D48"/>
    <w:rsid w:val="483D0077"/>
    <w:rsid w:val="483D40CA"/>
    <w:rsid w:val="484A2C8B"/>
    <w:rsid w:val="484C6A03"/>
    <w:rsid w:val="484F3DFE"/>
    <w:rsid w:val="4856518C"/>
    <w:rsid w:val="48677399"/>
    <w:rsid w:val="48743864"/>
    <w:rsid w:val="48757D08"/>
    <w:rsid w:val="487D096B"/>
    <w:rsid w:val="487E2EFD"/>
    <w:rsid w:val="48877A3B"/>
    <w:rsid w:val="488C32A4"/>
    <w:rsid w:val="4893018E"/>
    <w:rsid w:val="48934475"/>
    <w:rsid w:val="48945CB4"/>
    <w:rsid w:val="489D2DBB"/>
    <w:rsid w:val="489D335A"/>
    <w:rsid w:val="48A57EC2"/>
    <w:rsid w:val="48A71E8C"/>
    <w:rsid w:val="48AF2AEE"/>
    <w:rsid w:val="48B14AB8"/>
    <w:rsid w:val="48B63E7D"/>
    <w:rsid w:val="48D97DFD"/>
    <w:rsid w:val="48DB38E3"/>
    <w:rsid w:val="48F74BC1"/>
    <w:rsid w:val="49025314"/>
    <w:rsid w:val="49044BE8"/>
    <w:rsid w:val="49080B7C"/>
    <w:rsid w:val="492139EC"/>
    <w:rsid w:val="493A2D00"/>
    <w:rsid w:val="493C0826"/>
    <w:rsid w:val="494B6CBB"/>
    <w:rsid w:val="4953791E"/>
    <w:rsid w:val="495A0CAC"/>
    <w:rsid w:val="495A5150"/>
    <w:rsid w:val="495C67D2"/>
    <w:rsid w:val="49706721"/>
    <w:rsid w:val="49777AB0"/>
    <w:rsid w:val="4981092F"/>
    <w:rsid w:val="49941C95"/>
    <w:rsid w:val="499F0DB5"/>
    <w:rsid w:val="49A3785C"/>
    <w:rsid w:val="49A60395"/>
    <w:rsid w:val="49A75C13"/>
    <w:rsid w:val="49B06B72"/>
    <w:rsid w:val="49C66341"/>
    <w:rsid w:val="49CD147E"/>
    <w:rsid w:val="49D00F6E"/>
    <w:rsid w:val="49E05655"/>
    <w:rsid w:val="49E07403"/>
    <w:rsid w:val="49E36EF3"/>
    <w:rsid w:val="49F03682"/>
    <w:rsid w:val="49F25388"/>
    <w:rsid w:val="4A01737A"/>
    <w:rsid w:val="4A085002"/>
    <w:rsid w:val="4A151A06"/>
    <w:rsid w:val="4A1672C9"/>
    <w:rsid w:val="4A225C6E"/>
    <w:rsid w:val="4A421E6C"/>
    <w:rsid w:val="4A4C6847"/>
    <w:rsid w:val="4A527BD5"/>
    <w:rsid w:val="4A54394D"/>
    <w:rsid w:val="4A5B1180"/>
    <w:rsid w:val="4A783B65"/>
    <w:rsid w:val="4A7F4E6E"/>
    <w:rsid w:val="4A8C3685"/>
    <w:rsid w:val="4A914926"/>
    <w:rsid w:val="4A981A8C"/>
    <w:rsid w:val="4A9D3546"/>
    <w:rsid w:val="4AB16FF2"/>
    <w:rsid w:val="4AB36830"/>
    <w:rsid w:val="4AB368C6"/>
    <w:rsid w:val="4ACE54AE"/>
    <w:rsid w:val="4AD55B10"/>
    <w:rsid w:val="4AE922E8"/>
    <w:rsid w:val="4AF018C8"/>
    <w:rsid w:val="4AF07B1A"/>
    <w:rsid w:val="4AFD2237"/>
    <w:rsid w:val="4B005883"/>
    <w:rsid w:val="4B074D0A"/>
    <w:rsid w:val="4B1355B6"/>
    <w:rsid w:val="4B1D4687"/>
    <w:rsid w:val="4B2C6678"/>
    <w:rsid w:val="4B316836"/>
    <w:rsid w:val="4B3F2B00"/>
    <w:rsid w:val="4B460B4B"/>
    <w:rsid w:val="4B4A5BD5"/>
    <w:rsid w:val="4B6D116B"/>
    <w:rsid w:val="4B8E10E1"/>
    <w:rsid w:val="4B8F45B8"/>
    <w:rsid w:val="4B93319E"/>
    <w:rsid w:val="4B9425A7"/>
    <w:rsid w:val="4B971D44"/>
    <w:rsid w:val="4BA83F51"/>
    <w:rsid w:val="4BAC3727"/>
    <w:rsid w:val="4BB548C0"/>
    <w:rsid w:val="4BBF74EC"/>
    <w:rsid w:val="4BC30D8B"/>
    <w:rsid w:val="4BC73CDE"/>
    <w:rsid w:val="4BCA1FA1"/>
    <w:rsid w:val="4BE041DA"/>
    <w:rsid w:val="4BE34F89"/>
    <w:rsid w:val="4BE4534F"/>
    <w:rsid w:val="4BE85BF3"/>
    <w:rsid w:val="4BEB6533"/>
    <w:rsid w:val="4C06511B"/>
    <w:rsid w:val="4C076A44"/>
    <w:rsid w:val="4C0C0983"/>
    <w:rsid w:val="4C101AF6"/>
    <w:rsid w:val="4C1710D6"/>
    <w:rsid w:val="4C193AE8"/>
    <w:rsid w:val="4C3457E4"/>
    <w:rsid w:val="4C3F4944"/>
    <w:rsid w:val="4C4023DB"/>
    <w:rsid w:val="4C687B84"/>
    <w:rsid w:val="4C7107E7"/>
    <w:rsid w:val="4C7818BA"/>
    <w:rsid w:val="4C983FC5"/>
    <w:rsid w:val="4CA94424"/>
    <w:rsid w:val="4CAD5597"/>
    <w:rsid w:val="4CAF7561"/>
    <w:rsid w:val="4CBD1C7E"/>
    <w:rsid w:val="4CC30ED8"/>
    <w:rsid w:val="4CC34DBA"/>
    <w:rsid w:val="4CD07C03"/>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783DF7"/>
    <w:rsid w:val="4D8C33FE"/>
    <w:rsid w:val="4DBE5CAD"/>
    <w:rsid w:val="4DC4703C"/>
    <w:rsid w:val="4DC62DB4"/>
    <w:rsid w:val="4DD728CB"/>
    <w:rsid w:val="4DE705E6"/>
    <w:rsid w:val="4DE82D2A"/>
    <w:rsid w:val="4DF3347D"/>
    <w:rsid w:val="4DF74D1B"/>
    <w:rsid w:val="4E067654"/>
    <w:rsid w:val="4E0D09E3"/>
    <w:rsid w:val="4E1C0C26"/>
    <w:rsid w:val="4E233D62"/>
    <w:rsid w:val="4E241889"/>
    <w:rsid w:val="4E261AA5"/>
    <w:rsid w:val="4E2F0959"/>
    <w:rsid w:val="4E324336"/>
    <w:rsid w:val="4E3C4E24"/>
    <w:rsid w:val="4E3E6DEE"/>
    <w:rsid w:val="4E4F4B24"/>
    <w:rsid w:val="4E571C5E"/>
    <w:rsid w:val="4E5B79A0"/>
    <w:rsid w:val="4E604FB7"/>
    <w:rsid w:val="4E614CA7"/>
    <w:rsid w:val="4E7723B5"/>
    <w:rsid w:val="4E775E5C"/>
    <w:rsid w:val="4E8A5B90"/>
    <w:rsid w:val="4E944C60"/>
    <w:rsid w:val="4E9D1D67"/>
    <w:rsid w:val="4E9E5ADF"/>
    <w:rsid w:val="4EAA4484"/>
    <w:rsid w:val="4EB27F29"/>
    <w:rsid w:val="4EC07803"/>
    <w:rsid w:val="4EC45545"/>
    <w:rsid w:val="4ED212E5"/>
    <w:rsid w:val="4EDD6607"/>
    <w:rsid w:val="4EDE7C89"/>
    <w:rsid w:val="4EE5336B"/>
    <w:rsid w:val="4EF90F1A"/>
    <w:rsid w:val="4F005E52"/>
    <w:rsid w:val="4F1A33B7"/>
    <w:rsid w:val="4F1B0EDE"/>
    <w:rsid w:val="4F1D07B2"/>
    <w:rsid w:val="4F3C169A"/>
    <w:rsid w:val="4F416B96"/>
    <w:rsid w:val="4F4421E2"/>
    <w:rsid w:val="4F6C1739"/>
    <w:rsid w:val="4F701229"/>
    <w:rsid w:val="4F727462"/>
    <w:rsid w:val="4F730D1A"/>
    <w:rsid w:val="4F90539D"/>
    <w:rsid w:val="4F9273F2"/>
    <w:rsid w:val="4F952A3E"/>
    <w:rsid w:val="4F960564"/>
    <w:rsid w:val="4FA15887"/>
    <w:rsid w:val="4FD5108C"/>
    <w:rsid w:val="4FD572DE"/>
    <w:rsid w:val="4FE65048"/>
    <w:rsid w:val="4FF260E2"/>
    <w:rsid w:val="4FF359B6"/>
    <w:rsid w:val="4FF754A7"/>
    <w:rsid w:val="50033E4B"/>
    <w:rsid w:val="5012408F"/>
    <w:rsid w:val="50334005"/>
    <w:rsid w:val="50373AF5"/>
    <w:rsid w:val="50446212"/>
    <w:rsid w:val="50526B81"/>
    <w:rsid w:val="50642410"/>
    <w:rsid w:val="506762F6"/>
    <w:rsid w:val="507B60D8"/>
    <w:rsid w:val="507C775A"/>
    <w:rsid w:val="508C2093"/>
    <w:rsid w:val="50B82E88"/>
    <w:rsid w:val="50C07F8E"/>
    <w:rsid w:val="50C86E43"/>
    <w:rsid w:val="50D22552"/>
    <w:rsid w:val="50D37CC2"/>
    <w:rsid w:val="50E53551"/>
    <w:rsid w:val="50E579F5"/>
    <w:rsid w:val="50EA0B67"/>
    <w:rsid w:val="510D1493"/>
    <w:rsid w:val="51183927"/>
    <w:rsid w:val="511F1EF4"/>
    <w:rsid w:val="51246B4D"/>
    <w:rsid w:val="51450494"/>
    <w:rsid w:val="51452242"/>
    <w:rsid w:val="51497F84"/>
    <w:rsid w:val="515C7B07"/>
    <w:rsid w:val="51622DF4"/>
    <w:rsid w:val="51695F30"/>
    <w:rsid w:val="51752B27"/>
    <w:rsid w:val="51915487"/>
    <w:rsid w:val="519C56D6"/>
    <w:rsid w:val="51A64181"/>
    <w:rsid w:val="51BF1FF4"/>
    <w:rsid w:val="51C25640"/>
    <w:rsid w:val="51CB6BEB"/>
    <w:rsid w:val="51DA5080"/>
    <w:rsid w:val="51E43809"/>
    <w:rsid w:val="51E7154B"/>
    <w:rsid w:val="51FD48CA"/>
    <w:rsid w:val="520308E4"/>
    <w:rsid w:val="5217598C"/>
    <w:rsid w:val="521F0CE5"/>
    <w:rsid w:val="5226253D"/>
    <w:rsid w:val="522D3402"/>
    <w:rsid w:val="523D5DD7"/>
    <w:rsid w:val="523F3135"/>
    <w:rsid w:val="524B7D2C"/>
    <w:rsid w:val="524D13AE"/>
    <w:rsid w:val="525C3CE7"/>
    <w:rsid w:val="52641E2E"/>
    <w:rsid w:val="5268443A"/>
    <w:rsid w:val="526A6351"/>
    <w:rsid w:val="527B23BF"/>
    <w:rsid w:val="527C31C3"/>
    <w:rsid w:val="527C37E2"/>
    <w:rsid w:val="52A336C4"/>
    <w:rsid w:val="52A64F62"/>
    <w:rsid w:val="52C35B14"/>
    <w:rsid w:val="52C8137C"/>
    <w:rsid w:val="52F1442F"/>
    <w:rsid w:val="52F61A46"/>
    <w:rsid w:val="530C74BB"/>
    <w:rsid w:val="530F37B2"/>
    <w:rsid w:val="5311062D"/>
    <w:rsid w:val="53130849"/>
    <w:rsid w:val="531E6FED"/>
    <w:rsid w:val="532E765C"/>
    <w:rsid w:val="53376044"/>
    <w:rsid w:val="533B38FC"/>
    <w:rsid w:val="534327B1"/>
    <w:rsid w:val="5345477B"/>
    <w:rsid w:val="53486019"/>
    <w:rsid w:val="534B7115"/>
    <w:rsid w:val="534E1882"/>
    <w:rsid w:val="535350EA"/>
    <w:rsid w:val="53654E1D"/>
    <w:rsid w:val="536845DB"/>
    <w:rsid w:val="536F35A6"/>
    <w:rsid w:val="537B63EF"/>
    <w:rsid w:val="53964FD7"/>
    <w:rsid w:val="539B23CA"/>
    <w:rsid w:val="539B439B"/>
    <w:rsid w:val="53B4545D"/>
    <w:rsid w:val="53B8319F"/>
    <w:rsid w:val="53BE1E57"/>
    <w:rsid w:val="53C214D3"/>
    <w:rsid w:val="53DA3115"/>
    <w:rsid w:val="53DD49B3"/>
    <w:rsid w:val="53FB37B2"/>
    <w:rsid w:val="540957A8"/>
    <w:rsid w:val="541859EC"/>
    <w:rsid w:val="541A5C08"/>
    <w:rsid w:val="54232D0E"/>
    <w:rsid w:val="542919A7"/>
    <w:rsid w:val="544B4013"/>
    <w:rsid w:val="54547C25"/>
    <w:rsid w:val="547A7E17"/>
    <w:rsid w:val="54890697"/>
    <w:rsid w:val="54972DB4"/>
    <w:rsid w:val="549E2395"/>
    <w:rsid w:val="54A92AE8"/>
    <w:rsid w:val="54AC5365"/>
    <w:rsid w:val="54AD25D8"/>
    <w:rsid w:val="54B65754"/>
    <w:rsid w:val="54B716A8"/>
    <w:rsid w:val="54B90E10"/>
    <w:rsid w:val="54BE2A37"/>
    <w:rsid w:val="54DC110F"/>
    <w:rsid w:val="54F40207"/>
    <w:rsid w:val="55055F70"/>
    <w:rsid w:val="550D12C8"/>
    <w:rsid w:val="551E5284"/>
    <w:rsid w:val="55313209"/>
    <w:rsid w:val="553B4087"/>
    <w:rsid w:val="55404E47"/>
    <w:rsid w:val="554761E9"/>
    <w:rsid w:val="554C1DF1"/>
    <w:rsid w:val="5560764A"/>
    <w:rsid w:val="556F788D"/>
    <w:rsid w:val="5596306C"/>
    <w:rsid w:val="559F602D"/>
    <w:rsid w:val="55AA2FBB"/>
    <w:rsid w:val="55AB4356"/>
    <w:rsid w:val="55C7591B"/>
    <w:rsid w:val="55CD51E6"/>
    <w:rsid w:val="55E93AE3"/>
    <w:rsid w:val="55EE2EA8"/>
    <w:rsid w:val="5627460C"/>
    <w:rsid w:val="5628718C"/>
    <w:rsid w:val="562966B1"/>
    <w:rsid w:val="562C39D0"/>
    <w:rsid w:val="56321BBE"/>
    <w:rsid w:val="56356D29"/>
    <w:rsid w:val="56410EA1"/>
    <w:rsid w:val="564156CE"/>
    <w:rsid w:val="56417A96"/>
    <w:rsid w:val="565020BD"/>
    <w:rsid w:val="566B3625"/>
    <w:rsid w:val="567535C9"/>
    <w:rsid w:val="56772E9D"/>
    <w:rsid w:val="567F1D52"/>
    <w:rsid w:val="56890E23"/>
    <w:rsid w:val="568D446F"/>
    <w:rsid w:val="56905D0D"/>
    <w:rsid w:val="56A143BE"/>
    <w:rsid w:val="56A364EF"/>
    <w:rsid w:val="56AD2D63"/>
    <w:rsid w:val="56AD4B11"/>
    <w:rsid w:val="56B440F1"/>
    <w:rsid w:val="56BF62D6"/>
    <w:rsid w:val="56CA56C3"/>
    <w:rsid w:val="56E36785"/>
    <w:rsid w:val="56F52014"/>
    <w:rsid w:val="56F75D8C"/>
    <w:rsid w:val="56FA587C"/>
    <w:rsid w:val="56FE536D"/>
    <w:rsid w:val="570566FB"/>
    <w:rsid w:val="57087F99"/>
    <w:rsid w:val="570D3802"/>
    <w:rsid w:val="571921A6"/>
    <w:rsid w:val="572648C3"/>
    <w:rsid w:val="572B1EDA"/>
    <w:rsid w:val="57362D58"/>
    <w:rsid w:val="57370BA2"/>
    <w:rsid w:val="573E39BB"/>
    <w:rsid w:val="57462870"/>
    <w:rsid w:val="574A6804"/>
    <w:rsid w:val="576D107C"/>
    <w:rsid w:val="577218B7"/>
    <w:rsid w:val="579927C7"/>
    <w:rsid w:val="57AE6D93"/>
    <w:rsid w:val="57C40364"/>
    <w:rsid w:val="57EF2F07"/>
    <w:rsid w:val="57F95B34"/>
    <w:rsid w:val="57FB7AFE"/>
    <w:rsid w:val="581035A9"/>
    <w:rsid w:val="5842572D"/>
    <w:rsid w:val="58492617"/>
    <w:rsid w:val="585711D8"/>
    <w:rsid w:val="58615BB3"/>
    <w:rsid w:val="58627B7D"/>
    <w:rsid w:val="58676F42"/>
    <w:rsid w:val="58694A68"/>
    <w:rsid w:val="58727DC0"/>
    <w:rsid w:val="58823D7B"/>
    <w:rsid w:val="58831FCD"/>
    <w:rsid w:val="589917F1"/>
    <w:rsid w:val="58AB0101"/>
    <w:rsid w:val="58AB1524"/>
    <w:rsid w:val="58AD0DF8"/>
    <w:rsid w:val="58B2640F"/>
    <w:rsid w:val="58BD6B62"/>
    <w:rsid w:val="58C46142"/>
    <w:rsid w:val="58CA7BFC"/>
    <w:rsid w:val="58D565A1"/>
    <w:rsid w:val="58D81BED"/>
    <w:rsid w:val="58DE7204"/>
    <w:rsid w:val="58F76517"/>
    <w:rsid w:val="58FF717A"/>
    <w:rsid w:val="59103135"/>
    <w:rsid w:val="591C3B49"/>
    <w:rsid w:val="59253085"/>
    <w:rsid w:val="592B7F6F"/>
    <w:rsid w:val="59411F8B"/>
    <w:rsid w:val="5947124D"/>
    <w:rsid w:val="59561490"/>
    <w:rsid w:val="59586497"/>
    <w:rsid w:val="59605E6B"/>
    <w:rsid w:val="59701E26"/>
    <w:rsid w:val="59760131"/>
    <w:rsid w:val="59805264"/>
    <w:rsid w:val="59831B59"/>
    <w:rsid w:val="598A113A"/>
    <w:rsid w:val="598A738C"/>
    <w:rsid w:val="598D4786"/>
    <w:rsid w:val="59927FEE"/>
    <w:rsid w:val="59981AA8"/>
    <w:rsid w:val="59A65848"/>
    <w:rsid w:val="59AA7659"/>
    <w:rsid w:val="59B461B6"/>
    <w:rsid w:val="59C26B25"/>
    <w:rsid w:val="59C4289D"/>
    <w:rsid w:val="59D2663D"/>
    <w:rsid w:val="59D40607"/>
    <w:rsid w:val="59D800F7"/>
    <w:rsid w:val="59EA7E2A"/>
    <w:rsid w:val="59F9006D"/>
    <w:rsid w:val="59F91E1B"/>
    <w:rsid w:val="59FD4FA7"/>
    <w:rsid w:val="5A00764E"/>
    <w:rsid w:val="5A1A070F"/>
    <w:rsid w:val="5A225816"/>
    <w:rsid w:val="5A364E1D"/>
    <w:rsid w:val="5A3F0176"/>
    <w:rsid w:val="5A403EEE"/>
    <w:rsid w:val="5A405C9C"/>
    <w:rsid w:val="5A427C66"/>
    <w:rsid w:val="5A455061"/>
    <w:rsid w:val="5A4A08C9"/>
    <w:rsid w:val="5A4D65D0"/>
    <w:rsid w:val="5A5B4884"/>
    <w:rsid w:val="5A6279C1"/>
    <w:rsid w:val="5A643739"/>
    <w:rsid w:val="5A704B6C"/>
    <w:rsid w:val="5A72688B"/>
    <w:rsid w:val="5A736072"/>
    <w:rsid w:val="5A7476F4"/>
    <w:rsid w:val="5A82030A"/>
    <w:rsid w:val="5A8C0EE1"/>
    <w:rsid w:val="5A971D60"/>
    <w:rsid w:val="5A9B1124"/>
    <w:rsid w:val="5AA75D1B"/>
    <w:rsid w:val="5AAB1367"/>
    <w:rsid w:val="5ABA133E"/>
    <w:rsid w:val="5ABA15AB"/>
    <w:rsid w:val="5ABA5A4E"/>
    <w:rsid w:val="5ABC3575"/>
    <w:rsid w:val="5AC32B55"/>
    <w:rsid w:val="5AD703AE"/>
    <w:rsid w:val="5ADD173D"/>
    <w:rsid w:val="5AE12FDB"/>
    <w:rsid w:val="5AE64A95"/>
    <w:rsid w:val="5AF076C2"/>
    <w:rsid w:val="5AF6334F"/>
    <w:rsid w:val="5B01542B"/>
    <w:rsid w:val="5B060C94"/>
    <w:rsid w:val="5B0E18F6"/>
    <w:rsid w:val="5B10566E"/>
    <w:rsid w:val="5B152C85"/>
    <w:rsid w:val="5B231846"/>
    <w:rsid w:val="5B242EC8"/>
    <w:rsid w:val="5B2630E4"/>
    <w:rsid w:val="5B294982"/>
    <w:rsid w:val="5B2D7FCE"/>
    <w:rsid w:val="5B310D26"/>
    <w:rsid w:val="5B37709F"/>
    <w:rsid w:val="5B417F1E"/>
    <w:rsid w:val="5B42323E"/>
    <w:rsid w:val="5B484E08"/>
    <w:rsid w:val="5B4F263B"/>
    <w:rsid w:val="5B5437AD"/>
    <w:rsid w:val="5B591F55"/>
    <w:rsid w:val="5B653C0C"/>
    <w:rsid w:val="5B667984"/>
    <w:rsid w:val="5B70610D"/>
    <w:rsid w:val="5B7C4881"/>
    <w:rsid w:val="5B8322E4"/>
    <w:rsid w:val="5B871DD5"/>
    <w:rsid w:val="5B955B74"/>
    <w:rsid w:val="5B977B3E"/>
    <w:rsid w:val="5B9938B6"/>
    <w:rsid w:val="5BA504AD"/>
    <w:rsid w:val="5BA61855"/>
    <w:rsid w:val="5BC528FD"/>
    <w:rsid w:val="5BDB5C7C"/>
    <w:rsid w:val="5BE865EB"/>
    <w:rsid w:val="5BF168A5"/>
    <w:rsid w:val="5C05719D"/>
    <w:rsid w:val="5C0C052C"/>
    <w:rsid w:val="5C115B42"/>
    <w:rsid w:val="5C1445C4"/>
    <w:rsid w:val="5C1D44E7"/>
    <w:rsid w:val="5C2A6C04"/>
    <w:rsid w:val="5C34538D"/>
    <w:rsid w:val="5C377D59"/>
    <w:rsid w:val="5C451348"/>
    <w:rsid w:val="5C576CE3"/>
    <w:rsid w:val="5C657C3C"/>
    <w:rsid w:val="5C6A7000"/>
    <w:rsid w:val="5C757E7F"/>
    <w:rsid w:val="5C7F0CFE"/>
    <w:rsid w:val="5C86208C"/>
    <w:rsid w:val="5C904CB9"/>
    <w:rsid w:val="5CAE5386"/>
    <w:rsid w:val="5CB12E81"/>
    <w:rsid w:val="5CB87D6C"/>
    <w:rsid w:val="5CC6692D"/>
    <w:rsid w:val="5CC7372A"/>
    <w:rsid w:val="5CCB1749"/>
    <w:rsid w:val="5CD32DF8"/>
    <w:rsid w:val="5CF7080A"/>
    <w:rsid w:val="5CF8460C"/>
    <w:rsid w:val="5D042FB1"/>
    <w:rsid w:val="5D047455"/>
    <w:rsid w:val="5D284EF1"/>
    <w:rsid w:val="5D2D075A"/>
    <w:rsid w:val="5D2E62B6"/>
    <w:rsid w:val="5D30024A"/>
    <w:rsid w:val="5D3C274B"/>
    <w:rsid w:val="5D4A130C"/>
    <w:rsid w:val="5D4D1AA2"/>
    <w:rsid w:val="5D5757D7"/>
    <w:rsid w:val="5D5850AB"/>
    <w:rsid w:val="5D6821B8"/>
    <w:rsid w:val="5D6F0D72"/>
    <w:rsid w:val="5D752101"/>
    <w:rsid w:val="5D775E79"/>
    <w:rsid w:val="5D9717F3"/>
    <w:rsid w:val="5D9A3915"/>
    <w:rsid w:val="5D9B1B67"/>
    <w:rsid w:val="5D9D51E6"/>
    <w:rsid w:val="5DA64068"/>
    <w:rsid w:val="5DAE4240"/>
    <w:rsid w:val="5DAF5613"/>
    <w:rsid w:val="5DC015CE"/>
    <w:rsid w:val="5DE31F95"/>
    <w:rsid w:val="5DF23751"/>
    <w:rsid w:val="5DF9063C"/>
    <w:rsid w:val="5E0B036F"/>
    <w:rsid w:val="5E1C4F9F"/>
    <w:rsid w:val="5E253410"/>
    <w:rsid w:val="5E31427A"/>
    <w:rsid w:val="5E3E6996"/>
    <w:rsid w:val="5E4426FE"/>
    <w:rsid w:val="5E4C10B3"/>
    <w:rsid w:val="5E4F64AE"/>
    <w:rsid w:val="5E6A153A"/>
    <w:rsid w:val="5E79177D"/>
    <w:rsid w:val="5E8819C0"/>
    <w:rsid w:val="5E99597B"/>
    <w:rsid w:val="5EA92062"/>
    <w:rsid w:val="5EAF3794"/>
    <w:rsid w:val="5EAF519E"/>
    <w:rsid w:val="5EC21376"/>
    <w:rsid w:val="5ED30E8D"/>
    <w:rsid w:val="5EDB41E5"/>
    <w:rsid w:val="5EDC2437"/>
    <w:rsid w:val="5EEE216B"/>
    <w:rsid w:val="5EF07C91"/>
    <w:rsid w:val="5EF13A09"/>
    <w:rsid w:val="5EF64B7B"/>
    <w:rsid w:val="5F107AA7"/>
    <w:rsid w:val="5F125F0A"/>
    <w:rsid w:val="5F1C6CD8"/>
    <w:rsid w:val="5F2416E8"/>
    <w:rsid w:val="5F2D2C93"/>
    <w:rsid w:val="5F2D4A41"/>
    <w:rsid w:val="5F2E07B9"/>
    <w:rsid w:val="5F2E28C1"/>
    <w:rsid w:val="5F3C1128"/>
    <w:rsid w:val="5F3C2ED6"/>
    <w:rsid w:val="5F3C4C84"/>
    <w:rsid w:val="5F463D55"/>
    <w:rsid w:val="5F491A1B"/>
    <w:rsid w:val="5F4A074D"/>
    <w:rsid w:val="5F4D50E3"/>
    <w:rsid w:val="5F531FCE"/>
    <w:rsid w:val="5F571ABE"/>
    <w:rsid w:val="5F574DB8"/>
    <w:rsid w:val="5F887EC9"/>
    <w:rsid w:val="5F903222"/>
    <w:rsid w:val="5F9C79DD"/>
    <w:rsid w:val="5FA171DD"/>
    <w:rsid w:val="5FB00820"/>
    <w:rsid w:val="5FB05672"/>
    <w:rsid w:val="5FB1323B"/>
    <w:rsid w:val="5FCA6734"/>
    <w:rsid w:val="5FCC24AC"/>
    <w:rsid w:val="5FCD6066"/>
    <w:rsid w:val="5FDB0D64"/>
    <w:rsid w:val="5FDC0215"/>
    <w:rsid w:val="5FDF485F"/>
    <w:rsid w:val="5FEA0B84"/>
    <w:rsid w:val="5FF81680"/>
    <w:rsid w:val="601B4AB2"/>
    <w:rsid w:val="602816AC"/>
    <w:rsid w:val="60340051"/>
    <w:rsid w:val="60402552"/>
    <w:rsid w:val="6042276E"/>
    <w:rsid w:val="60471B32"/>
    <w:rsid w:val="604A33D1"/>
    <w:rsid w:val="604C0EF7"/>
    <w:rsid w:val="605424A1"/>
    <w:rsid w:val="605F3D77"/>
    <w:rsid w:val="60714E01"/>
    <w:rsid w:val="60824919"/>
    <w:rsid w:val="60885CA7"/>
    <w:rsid w:val="608D150F"/>
    <w:rsid w:val="608F5287"/>
    <w:rsid w:val="60917251"/>
    <w:rsid w:val="6094289E"/>
    <w:rsid w:val="609A4358"/>
    <w:rsid w:val="609D5BF6"/>
    <w:rsid w:val="60A24FBB"/>
    <w:rsid w:val="60A26D69"/>
    <w:rsid w:val="60AE1BB1"/>
    <w:rsid w:val="60B62814"/>
    <w:rsid w:val="60C767CF"/>
    <w:rsid w:val="60CF38D6"/>
    <w:rsid w:val="60E76E71"/>
    <w:rsid w:val="60EE6452"/>
    <w:rsid w:val="60F577E0"/>
    <w:rsid w:val="60F670B5"/>
    <w:rsid w:val="60FF065F"/>
    <w:rsid w:val="61007F33"/>
    <w:rsid w:val="6109328C"/>
    <w:rsid w:val="610E43FE"/>
    <w:rsid w:val="610E79A4"/>
    <w:rsid w:val="61112140"/>
    <w:rsid w:val="6118527D"/>
    <w:rsid w:val="611F660B"/>
    <w:rsid w:val="61251748"/>
    <w:rsid w:val="612C0D28"/>
    <w:rsid w:val="612E4AA0"/>
    <w:rsid w:val="61306A6A"/>
    <w:rsid w:val="6131633F"/>
    <w:rsid w:val="613C71BD"/>
    <w:rsid w:val="614C3178"/>
    <w:rsid w:val="6151078F"/>
    <w:rsid w:val="6157407D"/>
    <w:rsid w:val="61840B64"/>
    <w:rsid w:val="618943CD"/>
    <w:rsid w:val="618B1EF3"/>
    <w:rsid w:val="619012B7"/>
    <w:rsid w:val="61AD00BB"/>
    <w:rsid w:val="61B2122D"/>
    <w:rsid w:val="61B36598"/>
    <w:rsid w:val="61E45B3F"/>
    <w:rsid w:val="61ED495B"/>
    <w:rsid w:val="61F53810"/>
    <w:rsid w:val="61F730E4"/>
    <w:rsid w:val="61FE0917"/>
    <w:rsid w:val="62057802"/>
    <w:rsid w:val="622D6B06"/>
    <w:rsid w:val="622F6D22"/>
    <w:rsid w:val="62312A9A"/>
    <w:rsid w:val="62373E29"/>
    <w:rsid w:val="623C31ED"/>
    <w:rsid w:val="623C4F9B"/>
    <w:rsid w:val="62404A8B"/>
    <w:rsid w:val="624B51DE"/>
    <w:rsid w:val="624D0F56"/>
    <w:rsid w:val="624F4CCE"/>
    <w:rsid w:val="625E7607"/>
    <w:rsid w:val="6267026A"/>
    <w:rsid w:val="626D33A6"/>
    <w:rsid w:val="626D784A"/>
    <w:rsid w:val="627806C9"/>
    <w:rsid w:val="62864468"/>
    <w:rsid w:val="6291178B"/>
    <w:rsid w:val="629628FD"/>
    <w:rsid w:val="629917AC"/>
    <w:rsid w:val="629B43B7"/>
    <w:rsid w:val="62AE40EB"/>
    <w:rsid w:val="62B92A90"/>
    <w:rsid w:val="62C236F2"/>
    <w:rsid w:val="62C751AC"/>
    <w:rsid w:val="62C84A81"/>
    <w:rsid w:val="62D17DD9"/>
    <w:rsid w:val="62D33B51"/>
    <w:rsid w:val="62DF3642"/>
    <w:rsid w:val="62E73159"/>
    <w:rsid w:val="62FB4E56"/>
    <w:rsid w:val="62FD6475"/>
    <w:rsid w:val="62FD6A68"/>
    <w:rsid w:val="630006BE"/>
    <w:rsid w:val="630A3C6F"/>
    <w:rsid w:val="631321A0"/>
    <w:rsid w:val="631F6D97"/>
    <w:rsid w:val="632C3261"/>
    <w:rsid w:val="632E4E68"/>
    <w:rsid w:val="63310878"/>
    <w:rsid w:val="633A3BD0"/>
    <w:rsid w:val="634C56B2"/>
    <w:rsid w:val="634E31D8"/>
    <w:rsid w:val="63504F18"/>
    <w:rsid w:val="63556314"/>
    <w:rsid w:val="63576530"/>
    <w:rsid w:val="63640C4D"/>
    <w:rsid w:val="63666773"/>
    <w:rsid w:val="63794CA6"/>
    <w:rsid w:val="637B0EF6"/>
    <w:rsid w:val="6393508F"/>
    <w:rsid w:val="63974B7F"/>
    <w:rsid w:val="639D7CBB"/>
    <w:rsid w:val="63A92B04"/>
    <w:rsid w:val="63B15515"/>
    <w:rsid w:val="63BA261B"/>
    <w:rsid w:val="63C4349A"/>
    <w:rsid w:val="63D3192F"/>
    <w:rsid w:val="63D731CD"/>
    <w:rsid w:val="63D73BDA"/>
    <w:rsid w:val="63DF2082"/>
    <w:rsid w:val="63EF49BB"/>
    <w:rsid w:val="63F35B2D"/>
    <w:rsid w:val="63F518A5"/>
    <w:rsid w:val="63F91396"/>
    <w:rsid w:val="63FA6EBC"/>
    <w:rsid w:val="63FD075A"/>
    <w:rsid w:val="6401649C"/>
    <w:rsid w:val="64074337"/>
    <w:rsid w:val="641066DF"/>
    <w:rsid w:val="641E704E"/>
    <w:rsid w:val="643E149E"/>
    <w:rsid w:val="643F0D73"/>
    <w:rsid w:val="64487C27"/>
    <w:rsid w:val="644A3D84"/>
    <w:rsid w:val="645B2050"/>
    <w:rsid w:val="645B3DFE"/>
    <w:rsid w:val="645E38EF"/>
    <w:rsid w:val="64664551"/>
    <w:rsid w:val="6470717E"/>
    <w:rsid w:val="64874BF3"/>
    <w:rsid w:val="648F5856"/>
    <w:rsid w:val="64960A56"/>
    <w:rsid w:val="6497295D"/>
    <w:rsid w:val="649C7F73"/>
    <w:rsid w:val="64A07A63"/>
    <w:rsid w:val="64A30600"/>
    <w:rsid w:val="64B654D9"/>
    <w:rsid w:val="64C6151F"/>
    <w:rsid w:val="64C9520C"/>
    <w:rsid w:val="64CD637E"/>
    <w:rsid w:val="64D4770D"/>
    <w:rsid w:val="64D63485"/>
    <w:rsid w:val="64D67929"/>
    <w:rsid w:val="64E77440"/>
    <w:rsid w:val="64E831B8"/>
    <w:rsid w:val="64EA5182"/>
    <w:rsid w:val="64ED46CA"/>
    <w:rsid w:val="64EF27FA"/>
    <w:rsid w:val="64F25DE5"/>
    <w:rsid w:val="64F41B5D"/>
    <w:rsid w:val="64F8151B"/>
    <w:rsid w:val="64FE29DC"/>
    <w:rsid w:val="651346D9"/>
    <w:rsid w:val="651D2E62"/>
    <w:rsid w:val="65257F68"/>
    <w:rsid w:val="652A557F"/>
    <w:rsid w:val="653B59DE"/>
    <w:rsid w:val="65440F0D"/>
    <w:rsid w:val="655F791E"/>
    <w:rsid w:val="65652A5B"/>
    <w:rsid w:val="656E190F"/>
    <w:rsid w:val="65717652"/>
    <w:rsid w:val="65735178"/>
    <w:rsid w:val="65764C68"/>
    <w:rsid w:val="658630FD"/>
    <w:rsid w:val="659529FB"/>
    <w:rsid w:val="659550EE"/>
    <w:rsid w:val="65983469"/>
    <w:rsid w:val="659D3FA3"/>
    <w:rsid w:val="65A92947"/>
    <w:rsid w:val="65B5753E"/>
    <w:rsid w:val="65B71508"/>
    <w:rsid w:val="65BA3EB5"/>
    <w:rsid w:val="65D06126"/>
    <w:rsid w:val="65DB492F"/>
    <w:rsid w:val="65E9543A"/>
    <w:rsid w:val="660364FC"/>
    <w:rsid w:val="66044022"/>
    <w:rsid w:val="661029C7"/>
    <w:rsid w:val="66154481"/>
    <w:rsid w:val="66187ACD"/>
    <w:rsid w:val="66212E26"/>
    <w:rsid w:val="66287D10"/>
    <w:rsid w:val="663C7C81"/>
    <w:rsid w:val="66540B05"/>
    <w:rsid w:val="666230CA"/>
    <w:rsid w:val="66652D12"/>
    <w:rsid w:val="666A657B"/>
    <w:rsid w:val="667F18FA"/>
    <w:rsid w:val="668533B4"/>
    <w:rsid w:val="66862C89"/>
    <w:rsid w:val="669B6734"/>
    <w:rsid w:val="669D6A02"/>
    <w:rsid w:val="669E7FD2"/>
    <w:rsid w:val="66AD290B"/>
    <w:rsid w:val="66B07D06"/>
    <w:rsid w:val="66B47C99"/>
    <w:rsid w:val="66BB5028"/>
    <w:rsid w:val="66CF2882"/>
    <w:rsid w:val="66DF144C"/>
    <w:rsid w:val="66EF4EC9"/>
    <w:rsid w:val="66F127F8"/>
    <w:rsid w:val="66F9345B"/>
    <w:rsid w:val="67087B42"/>
    <w:rsid w:val="67092027"/>
    <w:rsid w:val="67193AFD"/>
    <w:rsid w:val="671958AB"/>
    <w:rsid w:val="671D35ED"/>
    <w:rsid w:val="67236729"/>
    <w:rsid w:val="6727446C"/>
    <w:rsid w:val="67334BBF"/>
    <w:rsid w:val="674E7C4A"/>
    <w:rsid w:val="67580AC9"/>
    <w:rsid w:val="6777664F"/>
    <w:rsid w:val="6784541A"/>
    <w:rsid w:val="67896ED4"/>
    <w:rsid w:val="67955879"/>
    <w:rsid w:val="67957627"/>
    <w:rsid w:val="679A2E90"/>
    <w:rsid w:val="679D028A"/>
    <w:rsid w:val="679D64DC"/>
    <w:rsid w:val="67A05FCC"/>
    <w:rsid w:val="67A91325"/>
    <w:rsid w:val="67A930D3"/>
    <w:rsid w:val="67BD26DA"/>
    <w:rsid w:val="67C9107F"/>
    <w:rsid w:val="67CB6E72"/>
    <w:rsid w:val="67D619EE"/>
    <w:rsid w:val="67DA7730"/>
    <w:rsid w:val="67DD1BB0"/>
    <w:rsid w:val="67EB4DFC"/>
    <w:rsid w:val="67F87BB6"/>
    <w:rsid w:val="67FB0E26"/>
    <w:rsid w:val="680B43D9"/>
    <w:rsid w:val="680E2F36"/>
    <w:rsid w:val="683010FE"/>
    <w:rsid w:val="68332285"/>
    <w:rsid w:val="68376930"/>
    <w:rsid w:val="683A3D2B"/>
    <w:rsid w:val="685079F2"/>
    <w:rsid w:val="68633281"/>
    <w:rsid w:val="687D2CDD"/>
    <w:rsid w:val="68821CC5"/>
    <w:rsid w:val="688356D2"/>
    <w:rsid w:val="68955405"/>
    <w:rsid w:val="68AA7102"/>
    <w:rsid w:val="68AB4C28"/>
    <w:rsid w:val="68BC0BE4"/>
    <w:rsid w:val="68BC69A9"/>
    <w:rsid w:val="68BF2482"/>
    <w:rsid w:val="68C639F2"/>
    <w:rsid w:val="68CA77A4"/>
    <w:rsid w:val="68CC52CB"/>
    <w:rsid w:val="68DC4DE2"/>
    <w:rsid w:val="68E02B24"/>
    <w:rsid w:val="68E36170"/>
    <w:rsid w:val="68F14D31"/>
    <w:rsid w:val="690600B1"/>
    <w:rsid w:val="69074555"/>
    <w:rsid w:val="690F6F65"/>
    <w:rsid w:val="6922313D"/>
    <w:rsid w:val="69232A11"/>
    <w:rsid w:val="693B5FAC"/>
    <w:rsid w:val="69507BD0"/>
    <w:rsid w:val="6954706E"/>
    <w:rsid w:val="695D5F23"/>
    <w:rsid w:val="69644E17"/>
    <w:rsid w:val="696C085C"/>
    <w:rsid w:val="696E6382"/>
    <w:rsid w:val="69703A68"/>
    <w:rsid w:val="69766FE4"/>
    <w:rsid w:val="69883AB0"/>
    <w:rsid w:val="698C4A5A"/>
    <w:rsid w:val="6995053F"/>
    <w:rsid w:val="69A02BD9"/>
    <w:rsid w:val="69A93FE5"/>
    <w:rsid w:val="69BA15C7"/>
    <w:rsid w:val="69C73CE4"/>
    <w:rsid w:val="69CA7D9D"/>
    <w:rsid w:val="69E55F18"/>
    <w:rsid w:val="69E93C5A"/>
    <w:rsid w:val="69E95956"/>
    <w:rsid w:val="69F36887"/>
    <w:rsid w:val="69FA19C4"/>
    <w:rsid w:val="6A0D5B9B"/>
    <w:rsid w:val="6A237695"/>
    <w:rsid w:val="6A3824EC"/>
    <w:rsid w:val="6A386990"/>
    <w:rsid w:val="6A4B221F"/>
    <w:rsid w:val="6A537326"/>
    <w:rsid w:val="6A5437CA"/>
    <w:rsid w:val="6A5F216E"/>
    <w:rsid w:val="6A6B72AF"/>
    <w:rsid w:val="6A7F07C9"/>
    <w:rsid w:val="6A877725"/>
    <w:rsid w:val="6AA91285"/>
    <w:rsid w:val="6AAC3883"/>
    <w:rsid w:val="6AB73D58"/>
    <w:rsid w:val="6AD541DF"/>
    <w:rsid w:val="6AE75772"/>
    <w:rsid w:val="6AEC4A49"/>
    <w:rsid w:val="6B0D1BCA"/>
    <w:rsid w:val="6B105217"/>
    <w:rsid w:val="6B2C180E"/>
    <w:rsid w:val="6B3B6738"/>
    <w:rsid w:val="6B4E646B"/>
    <w:rsid w:val="6B5275DD"/>
    <w:rsid w:val="6B5477F9"/>
    <w:rsid w:val="6B6A0DCB"/>
    <w:rsid w:val="6B7036D0"/>
    <w:rsid w:val="6B7D0AFE"/>
    <w:rsid w:val="6B7E4876"/>
    <w:rsid w:val="6B8864B3"/>
    <w:rsid w:val="6BA3608B"/>
    <w:rsid w:val="6BA442DD"/>
    <w:rsid w:val="6BCC7390"/>
    <w:rsid w:val="6BE20961"/>
    <w:rsid w:val="6BE96194"/>
    <w:rsid w:val="6BEA2E75"/>
    <w:rsid w:val="6BF6265F"/>
    <w:rsid w:val="6C054650"/>
    <w:rsid w:val="6C094140"/>
    <w:rsid w:val="6C156F89"/>
    <w:rsid w:val="6C172D01"/>
    <w:rsid w:val="6C186A79"/>
    <w:rsid w:val="6C2B2308"/>
    <w:rsid w:val="6C3C4515"/>
    <w:rsid w:val="6C4B4758"/>
    <w:rsid w:val="6C4B6506"/>
    <w:rsid w:val="6C5C4BB7"/>
    <w:rsid w:val="6C622CF6"/>
    <w:rsid w:val="6C692E30"/>
    <w:rsid w:val="6C7C646E"/>
    <w:rsid w:val="6C8859AD"/>
    <w:rsid w:val="6C944351"/>
    <w:rsid w:val="6C9C6D62"/>
    <w:rsid w:val="6CAB51F7"/>
    <w:rsid w:val="6CAD4C26"/>
    <w:rsid w:val="6CB74321"/>
    <w:rsid w:val="6CBB00EF"/>
    <w:rsid w:val="6CBD4F2A"/>
    <w:rsid w:val="6CC62031"/>
    <w:rsid w:val="6CD83A31"/>
    <w:rsid w:val="6CDC1854"/>
    <w:rsid w:val="6CF21078"/>
    <w:rsid w:val="6CF43042"/>
    <w:rsid w:val="6CFF105E"/>
    <w:rsid w:val="6D0A63C2"/>
    <w:rsid w:val="6D140FEE"/>
    <w:rsid w:val="6D231231"/>
    <w:rsid w:val="6D25144D"/>
    <w:rsid w:val="6D262AD0"/>
    <w:rsid w:val="6D2D712A"/>
    <w:rsid w:val="6D371181"/>
    <w:rsid w:val="6D403BCC"/>
    <w:rsid w:val="6D4F64CA"/>
    <w:rsid w:val="6D6830E8"/>
    <w:rsid w:val="6DA22A9E"/>
    <w:rsid w:val="6DA71E62"/>
    <w:rsid w:val="6DB27701"/>
    <w:rsid w:val="6DB523BB"/>
    <w:rsid w:val="6DC04CD2"/>
    <w:rsid w:val="6DCA78FF"/>
    <w:rsid w:val="6DCF760B"/>
    <w:rsid w:val="6DEE05C8"/>
    <w:rsid w:val="6DF130DE"/>
    <w:rsid w:val="6E0E5A3E"/>
    <w:rsid w:val="6E2214E9"/>
    <w:rsid w:val="6E31797E"/>
    <w:rsid w:val="6E407BC1"/>
    <w:rsid w:val="6E4C0C5C"/>
    <w:rsid w:val="6E5F44EB"/>
    <w:rsid w:val="6E6910B0"/>
    <w:rsid w:val="6E6C6C08"/>
    <w:rsid w:val="6E82467D"/>
    <w:rsid w:val="6E934195"/>
    <w:rsid w:val="6E9879FD"/>
    <w:rsid w:val="6E9924D1"/>
    <w:rsid w:val="6EA047B7"/>
    <w:rsid w:val="6EA22AE8"/>
    <w:rsid w:val="6EA445F4"/>
    <w:rsid w:val="6EB20ABF"/>
    <w:rsid w:val="6EBA5BC5"/>
    <w:rsid w:val="6EC6456A"/>
    <w:rsid w:val="6EC802E2"/>
    <w:rsid w:val="6ECC76A7"/>
    <w:rsid w:val="6EE9790F"/>
    <w:rsid w:val="6EEB3FD1"/>
    <w:rsid w:val="6EFE3D04"/>
    <w:rsid w:val="6F03756C"/>
    <w:rsid w:val="6F082F26"/>
    <w:rsid w:val="6F12155D"/>
    <w:rsid w:val="6F1C23DC"/>
    <w:rsid w:val="6F1F1ECC"/>
    <w:rsid w:val="6F1F3C7A"/>
    <w:rsid w:val="6F4230D3"/>
    <w:rsid w:val="6F4242A3"/>
    <w:rsid w:val="6F4436E1"/>
    <w:rsid w:val="6F4A519B"/>
    <w:rsid w:val="6F4B0F13"/>
    <w:rsid w:val="6F5B73A8"/>
    <w:rsid w:val="6F633C29"/>
    <w:rsid w:val="6F6618A9"/>
    <w:rsid w:val="6F743FC6"/>
    <w:rsid w:val="6F775864"/>
    <w:rsid w:val="6F79782E"/>
    <w:rsid w:val="6F8A37EA"/>
    <w:rsid w:val="6F8F0E00"/>
    <w:rsid w:val="6F993A2D"/>
    <w:rsid w:val="6F9D593F"/>
    <w:rsid w:val="6FAF4FFE"/>
    <w:rsid w:val="6FBB4290"/>
    <w:rsid w:val="6FCF38F2"/>
    <w:rsid w:val="6FCF744E"/>
    <w:rsid w:val="6FD11419"/>
    <w:rsid w:val="6FDD7DBD"/>
    <w:rsid w:val="6FE16B76"/>
    <w:rsid w:val="6FF15617"/>
    <w:rsid w:val="701632CF"/>
    <w:rsid w:val="702552C0"/>
    <w:rsid w:val="7026010C"/>
    <w:rsid w:val="702D5AB8"/>
    <w:rsid w:val="703B5596"/>
    <w:rsid w:val="704F34CF"/>
    <w:rsid w:val="7052780A"/>
    <w:rsid w:val="70622350"/>
    <w:rsid w:val="707F70C6"/>
    <w:rsid w:val="7084308F"/>
    <w:rsid w:val="70891CF3"/>
    <w:rsid w:val="708E2E66"/>
    <w:rsid w:val="70A5064C"/>
    <w:rsid w:val="70AD75A8"/>
    <w:rsid w:val="70BC3E77"/>
    <w:rsid w:val="70BF3967"/>
    <w:rsid w:val="70C90342"/>
    <w:rsid w:val="70CC398E"/>
    <w:rsid w:val="70D311C0"/>
    <w:rsid w:val="70E231B1"/>
    <w:rsid w:val="70E84C6C"/>
    <w:rsid w:val="70E92792"/>
    <w:rsid w:val="70EE1B56"/>
    <w:rsid w:val="70FE623D"/>
    <w:rsid w:val="71125845"/>
    <w:rsid w:val="71175551"/>
    <w:rsid w:val="711E68DF"/>
    <w:rsid w:val="713559D7"/>
    <w:rsid w:val="713779A1"/>
    <w:rsid w:val="71381023"/>
    <w:rsid w:val="713A123F"/>
    <w:rsid w:val="714D0F73"/>
    <w:rsid w:val="71706A0F"/>
    <w:rsid w:val="71752277"/>
    <w:rsid w:val="717C7162"/>
    <w:rsid w:val="71803599"/>
    <w:rsid w:val="7189187F"/>
    <w:rsid w:val="71940950"/>
    <w:rsid w:val="71956476"/>
    <w:rsid w:val="71B132B0"/>
    <w:rsid w:val="71C64881"/>
    <w:rsid w:val="71D074AE"/>
    <w:rsid w:val="71FC02A3"/>
    <w:rsid w:val="72005FE5"/>
    <w:rsid w:val="720535FB"/>
    <w:rsid w:val="721E646B"/>
    <w:rsid w:val="722A3062"/>
    <w:rsid w:val="722E4900"/>
    <w:rsid w:val="7231619E"/>
    <w:rsid w:val="72331F17"/>
    <w:rsid w:val="725D3437"/>
    <w:rsid w:val="72677E12"/>
    <w:rsid w:val="72695938"/>
    <w:rsid w:val="728E35F1"/>
    <w:rsid w:val="728F703B"/>
    <w:rsid w:val="72916C3D"/>
    <w:rsid w:val="7298446F"/>
    <w:rsid w:val="72A46970"/>
    <w:rsid w:val="72A921D9"/>
    <w:rsid w:val="72BF37AA"/>
    <w:rsid w:val="72CC5EC7"/>
    <w:rsid w:val="72D84267"/>
    <w:rsid w:val="72D8486C"/>
    <w:rsid w:val="72DA05E4"/>
    <w:rsid w:val="72DF3E4C"/>
    <w:rsid w:val="72E62B03"/>
    <w:rsid w:val="72E71B23"/>
    <w:rsid w:val="72EB459F"/>
    <w:rsid w:val="72FF44EF"/>
    <w:rsid w:val="73010267"/>
    <w:rsid w:val="730438B3"/>
    <w:rsid w:val="732301DD"/>
    <w:rsid w:val="73243F55"/>
    <w:rsid w:val="733428CA"/>
    <w:rsid w:val="733C73E5"/>
    <w:rsid w:val="7343262D"/>
    <w:rsid w:val="734C0DB6"/>
    <w:rsid w:val="73685BF0"/>
    <w:rsid w:val="73726A6F"/>
    <w:rsid w:val="738007DB"/>
    <w:rsid w:val="738467A2"/>
    <w:rsid w:val="738F5872"/>
    <w:rsid w:val="739015EB"/>
    <w:rsid w:val="73903399"/>
    <w:rsid w:val="73951E16"/>
    <w:rsid w:val="73A66718"/>
    <w:rsid w:val="73B40E35"/>
    <w:rsid w:val="73B928EF"/>
    <w:rsid w:val="73BB6668"/>
    <w:rsid w:val="73CB2D80"/>
    <w:rsid w:val="73E7745D"/>
    <w:rsid w:val="73EF4563"/>
    <w:rsid w:val="73F25E01"/>
    <w:rsid w:val="73F97E8E"/>
    <w:rsid w:val="73FC27DC"/>
    <w:rsid w:val="74017DF2"/>
    <w:rsid w:val="740617BB"/>
    <w:rsid w:val="741144D9"/>
    <w:rsid w:val="74143FCA"/>
    <w:rsid w:val="74176E19"/>
    <w:rsid w:val="742C1313"/>
    <w:rsid w:val="74387CB8"/>
    <w:rsid w:val="743B50B2"/>
    <w:rsid w:val="74406B6D"/>
    <w:rsid w:val="74534AF2"/>
    <w:rsid w:val="74546174"/>
    <w:rsid w:val="74561EEC"/>
    <w:rsid w:val="74681C20"/>
    <w:rsid w:val="746F2FAE"/>
    <w:rsid w:val="74730CF0"/>
    <w:rsid w:val="74982505"/>
    <w:rsid w:val="74A621C9"/>
    <w:rsid w:val="74AB66DC"/>
    <w:rsid w:val="74C01A29"/>
    <w:rsid w:val="74C50E20"/>
    <w:rsid w:val="74C74B98"/>
    <w:rsid w:val="74CE4179"/>
    <w:rsid w:val="74D07EF1"/>
    <w:rsid w:val="74D177C5"/>
    <w:rsid w:val="74D55507"/>
    <w:rsid w:val="74EC0AA3"/>
    <w:rsid w:val="74EC45FF"/>
    <w:rsid w:val="74F4588B"/>
    <w:rsid w:val="75061B64"/>
    <w:rsid w:val="750B717B"/>
    <w:rsid w:val="75157B1F"/>
    <w:rsid w:val="752D5343"/>
    <w:rsid w:val="753F5515"/>
    <w:rsid w:val="754C32EF"/>
    <w:rsid w:val="75575F1C"/>
    <w:rsid w:val="75581C94"/>
    <w:rsid w:val="75703482"/>
    <w:rsid w:val="75736ACE"/>
    <w:rsid w:val="75752846"/>
    <w:rsid w:val="757A60AE"/>
    <w:rsid w:val="757A6A57"/>
    <w:rsid w:val="75840CDB"/>
    <w:rsid w:val="75AD3381"/>
    <w:rsid w:val="75B23A9A"/>
    <w:rsid w:val="75B4336E"/>
    <w:rsid w:val="75B710B1"/>
    <w:rsid w:val="75BA46FD"/>
    <w:rsid w:val="75BF1D13"/>
    <w:rsid w:val="75C13CDD"/>
    <w:rsid w:val="75CD61DE"/>
    <w:rsid w:val="75ED2186"/>
    <w:rsid w:val="75FC6AC3"/>
    <w:rsid w:val="760836BA"/>
    <w:rsid w:val="760A7432"/>
    <w:rsid w:val="76153887"/>
    <w:rsid w:val="762D1373"/>
    <w:rsid w:val="762F0C47"/>
    <w:rsid w:val="76320737"/>
    <w:rsid w:val="76402E54"/>
    <w:rsid w:val="764B6696"/>
    <w:rsid w:val="76783EDA"/>
    <w:rsid w:val="768371E5"/>
    <w:rsid w:val="769240D1"/>
    <w:rsid w:val="76982C90"/>
    <w:rsid w:val="769B2359"/>
    <w:rsid w:val="76A63920"/>
    <w:rsid w:val="76AD7DBE"/>
    <w:rsid w:val="76AF12BC"/>
    <w:rsid w:val="76B26092"/>
    <w:rsid w:val="76D67314"/>
    <w:rsid w:val="76DA32A9"/>
    <w:rsid w:val="76FF2D0F"/>
    <w:rsid w:val="77147E3D"/>
    <w:rsid w:val="77185B7F"/>
    <w:rsid w:val="771D4F43"/>
    <w:rsid w:val="77255706"/>
    <w:rsid w:val="7726029C"/>
    <w:rsid w:val="772B3B04"/>
    <w:rsid w:val="77334767"/>
    <w:rsid w:val="77471FC0"/>
    <w:rsid w:val="775546DD"/>
    <w:rsid w:val="77560455"/>
    <w:rsid w:val="775748F9"/>
    <w:rsid w:val="775D7A36"/>
    <w:rsid w:val="775F730A"/>
    <w:rsid w:val="77660698"/>
    <w:rsid w:val="776808B4"/>
    <w:rsid w:val="77737259"/>
    <w:rsid w:val="777C4360"/>
    <w:rsid w:val="77876861"/>
    <w:rsid w:val="779A2A38"/>
    <w:rsid w:val="77A45665"/>
    <w:rsid w:val="77A967D7"/>
    <w:rsid w:val="77AA68A7"/>
    <w:rsid w:val="77AB254F"/>
    <w:rsid w:val="77B27D81"/>
    <w:rsid w:val="77B92EBE"/>
    <w:rsid w:val="77BF424C"/>
    <w:rsid w:val="77C16217"/>
    <w:rsid w:val="77C875A5"/>
    <w:rsid w:val="77CA1A97"/>
    <w:rsid w:val="77CA50CB"/>
    <w:rsid w:val="77CB0E43"/>
    <w:rsid w:val="77CE623E"/>
    <w:rsid w:val="77D221D2"/>
    <w:rsid w:val="77DC4DFE"/>
    <w:rsid w:val="77ED2B68"/>
    <w:rsid w:val="77F57C6E"/>
    <w:rsid w:val="780F5737"/>
    <w:rsid w:val="781E0F73"/>
    <w:rsid w:val="78210A63"/>
    <w:rsid w:val="782D11B6"/>
    <w:rsid w:val="78320EC2"/>
    <w:rsid w:val="78395DAD"/>
    <w:rsid w:val="78436C2C"/>
    <w:rsid w:val="78454752"/>
    <w:rsid w:val="784D09EB"/>
    <w:rsid w:val="78744833"/>
    <w:rsid w:val="787E1A12"/>
    <w:rsid w:val="78866B18"/>
    <w:rsid w:val="78874D6A"/>
    <w:rsid w:val="78917997"/>
    <w:rsid w:val="78930FD5"/>
    <w:rsid w:val="78931961"/>
    <w:rsid w:val="78941235"/>
    <w:rsid w:val="7899274E"/>
    <w:rsid w:val="7899684C"/>
    <w:rsid w:val="78AC657F"/>
    <w:rsid w:val="78B90C9C"/>
    <w:rsid w:val="78CC04D0"/>
    <w:rsid w:val="78D9133E"/>
    <w:rsid w:val="78DA631E"/>
    <w:rsid w:val="78DA7590"/>
    <w:rsid w:val="78DB6E64"/>
    <w:rsid w:val="78E8332F"/>
    <w:rsid w:val="78EE303B"/>
    <w:rsid w:val="78F7348E"/>
    <w:rsid w:val="78FF6FF6"/>
    <w:rsid w:val="79023A1B"/>
    <w:rsid w:val="7908577F"/>
    <w:rsid w:val="79164340"/>
    <w:rsid w:val="791E4FA3"/>
    <w:rsid w:val="794B1A7D"/>
    <w:rsid w:val="794C7D62"/>
    <w:rsid w:val="795073E0"/>
    <w:rsid w:val="79554E68"/>
    <w:rsid w:val="795D3D1D"/>
    <w:rsid w:val="79703A50"/>
    <w:rsid w:val="79881FD6"/>
    <w:rsid w:val="79905EA0"/>
    <w:rsid w:val="79A47B9E"/>
    <w:rsid w:val="79A84B20"/>
    <w:rsid w:val="79A951B4"/>
    <w:rsid w:val="79AE27CB"/>
    <w:rsid w:val="79B600AA"/>
    <w:rsid w:val="79B64503"/>
    <w:rsid w:val="79CE4C1B"/>
    <w:rsid w:val="79D51B05"/>
    <w:rsid w:val="79D7762B"/>
    <w:rsid w:val="79E1494E"/>
    <w:rsid w:val="79E24222"/>
    <w:rsid w:val="79F226B7"/>
    <w:rsid w:val="79FC1788"/>
    <w:rsid w:val="7A020420"/>
    <w:rsid w:val="7A036672"/>
    <w:rsid w:val="7A0423EA"/>
    <w:rsid w:val="7A1A1C0E"/>
    <w:rsid w:val="7A1E0C67"/>
    <w:rsid w:val="7A3727C0"/>
    <w:rsid w:val="7A37631C"/>
    <w:rsid w:val="7A5C2227"/>
    <w:rsid w:val="7A5C3FD5"/>
    <w:rsid w:val="7A5E7D4D"/>
    <w:rsid w:val="7A6730A5"/>
    <w:rsid w:val="7A6D1D3E"/>
    <w:rsid w:val="7A6D61E2"/>
    <w:rsid w:val="7A835A05"/>
    <w:rsid w:val="7A910122"/>
    <w:rsid w:val="7A923E9A"/>
    <w:rsid w:val="7A944128"/>
    <w:rsid w:val="7A9D6AC7"/>
    <w:rsid w:val="7AA17C39"/>
    <w:rsid w:val="7AA8546C"/>
    <w:rsid w:val="7AB14320"/>
    <w:rsid w:val="7AB46BDC"/>
    <w:rsid w:val="7AB756AF"/>
    <w:rsid w:val="7ABB519F"/>
    <w:rsid w:val="7ABD0F17"/>
    <w:rsid w:val="7ADE2C3C"/>
    <w:rsid w:val="7AE2097E"/>
    <w:rsid w:val="7AE3731B"/>
    <w:rsid w:val="7AE71AF0"/>
    <w:rsid w:val="7AE73374"/>
    <w:rsid w:val="7AE77D42"/>
    <w:rsid w:val="7AF91823"/>
    <w:rsid w:val="7B022DCE"/>
    <w:rsid w:val="7B0703E4"/>
    <w:rsid w:val="7B0C59FB"/>
    <w:rsid w:val="7B191EC6"/>
    <w:rsid w:val="7B1B3E90"/>
    <w:rsid w:val="7B1C5306"/>
    <w:rsid w:val="7B2745E3"/>
    <w:rsid w:val="7B2965AD"/>
    <w:rsid w:val="7B332F87"/>
    <w:rsid w:val="7B3D5BB4"/>
    <w:rsid w:val="7B4038F6"/>
    <w:rsid w:val="7B494559"/>
    <w:rsid w:val="7B4A207F"/>
    <w:rsid w:val="7B6018A2"/>
    <w:rsid w:val="7B667D04"/>
    <w:rsid w:val="7B6C46EB"/>
    <w:rsid w:val="7B8C2698"/>
    <w:rsid w:val="7B8E6410"/>
    <w:rsid w:val="7BA40029"/>
    <w:rsid w:val="7BAB5214"/>
    <w:rsid w:val="7BAE6AB2"/>
    <w:rsid w:val="7BAE7724"/>
    <w:rsid w:val="7BB340C8"/>
    <w:rsid w:val="7BBA0FB3"/>
    <w:rsid w:val="7BBA7205"/>
    <w:rsid w:val="7BCB31C0"/>
    <w:rsid w:val="7BD227A0"/>
    <w:rsid w:val="7BD83B2F"/>
    <w:rsid w:val="7BDA2241"/>
    <w:rsid w:val="7BEB1AB4"/>
    <w:rsid w:val="7BFC781D"/>
    <w:rsid w:val="7C0B5CB2"/>
    <w:rsid w:val="7C1A4147"/>
    <w:rsid w:val="7C1D7794"/>
    <w:rsid w:val="7C374594"/>
    <w:rsid w:val="7C3E1BE4"/>
    <w:rsid w:val="7C460A98"/>
    <w:rsid w:val="7C501917"/>
    <w:rsid w:val="7C531582"/>
    <w:rsid w:val="7C547659"/>
    <w:rsid w:val="7C563D89"/>
    <w:rsid w:val="7C5C02BC"/>
    <w:rsid w:val="7C6158D2"/>
    <w:rsid w:val="7C63789C"/>
    <w:rsid w:val="7C664A59"/>
    <w:rsid w:val="7C694787"/>
    <w:rsid w:val="7C6D24C9"/>
    <w:rsid w:val="7C7C095E"/>
    <w:rsid w:val="7C8141C6"/>
    <w:rsid w:val="7C8617DD"/>
    <w:rsid w:val="7C8D66C7"/>
    <w:rsid w:val="7C914409"/>
    <w:rsid w:val="7C965F62"/>
    <w:rsid w:val="7C991510"/>
    <w:rsid w:val="7C9E6B26"/>
    <w:rsid w:val="7CA3339F"/>
    <w:rsid w:val="7CA83501"/>
    <w:rsid w:val="7CBE0F77"/>
    <w:rsid w:val="7CBE24B4"/>
    <w:rsid w:val="7CCA3477"/>
    <w:rsid w:val="7CD04806"/>
    <w:rsid w:val="7CD51E1C"/>
    <w:rsid w:val="7CEA1D6C"/>
    <w:rsid w:val="7CF46746"/>
    <w:rsid w:val="7D031D4D"/>
    <w:rsid w:val="7D0D15B6"/>
    <w:rsid w:val="7D1312C2"/>
    <w:rsid w:val="7D1D3EEF"/>
    <w:rsid w:val="7D1F2BD5"/>
    <w:rsid w:val="7D221505"/>
    <w:rsid w:val="7D2863F0"/>
    <w:rsid w:val="7D2F3C22"/>
    <w:rsid w:val="7D344D95"/>
    <w:rsid w:val="7D4D49B8"/>
    <w:rsid w:val="7D4D5E56"/>
    <w:rsid w:val="7D586CD5"/>
    <w:rsid w:val="7D627B54"/>
    <w:rsid w:val="7D6513F2"/>
    <w:rsid w:val="7D6A07B6"/>
    <w:rsid w:val="7D6E64F9"/>
    <w:rsid w:val="7D731D61"/>
    <w:rsid w:val="7D754872"/>
    <w:rsid w:val="7D7F0706"/>
    <w:rsid w:val="7D851A94"/>
    <w:rsid w:val="7D8C697F"/>
    <w:rsid w:val="7DA10339"/>
    <w:rsid w:val="7DAE3EC2"/>
    <w:rsid w:val="7DB54128"/>
    <w:rsid w:val="7DBC2663"/>
    <w:rsid w:val="7DCA74A7"/>
    <w:rsid w:val="7DCC321F"/>
    <w:rsid w:val="7DCC7C86"/>
    <w:rsid w:val="7DD30A52"/>
    <w:rsid w:val="7DE844FD"/>
    <w:rsid w:val="7DE95B7F"/>
    <w:rsid w:val="7DFD5ACF"/>
    <w:rsid w:val="7E024E93"/>
    <w:rsid w:val="7E097FCF"/>
    <w:rsid w:val="7E0B21ED"/>
    <w:rsid w:val="7E3E74AD"/>
    <w:rsid w:val="7E3F7E95"/>
    <w:rsid w:val="7E503E50"/>
    <w:rsid w:val="7E6B6EDC"/>
    <w:rsid w:val="7E7062A0"/>
    <w:rsid w:val="7E7538B7"/>
    <w:rsid w:val="7E81400A"/>
    <w:rsid w:val="7E843AFA"/>
    <w:rsid w:val="7E891110"/>
    <w:rsid w:val="7E8F2BCB"/>
    <w:rsid w:val="7E955828"/>
    <w:rsid w:val="7E97382D"/>
    <w:rsid w:val="7E9755DB"/>
    <w:rsid w:val="7EA146AC"/>
    <w:rsid w:val="7EBA751C"/>
    <w:rsid w:val="7EC14D4E"/>
    <w:rsid w:val="7ECD54A1"/>
    <w:rsid w:val="7EE07DCE"/>
    <w:rsid w:val="7EE50A3C"/>
    <w:rsid w:val="7F005876"/>
    <w:rsid w:val="7F0709B3"/>
    <w:rsid w:val="7F10538E"/>
    <w:rsid w:val="7F17671C"/>
    <w:rsid w:val="7F2F3506"/>
    <w:rsid w:val="7F323556"/>
    <w:rsid w:val="7F343772"/>
    <w:rsid w:val="7F3C336A"/>
    <w:rsid w:val="7F437511"/>
    <w:rsid w:val="7F45772D"/>
    <w:rsid w:val="7F460DAF"/>
    <w:rsid w:val="7F482D79"/>
    <w:rsid w:val="7F4B3A30"/>
    <w:rsid w:val="7F5D4A77"/>
    <w:rsid w:val="7F601E71"/>
    <w:rsid w:val="7F637BB3"/>
    <w:rsid w:val="7F6E0A32"/>
    <w:rsid w:val="7F7D0C75"/>
    <w:rsid w:val="7F8244DD"/>
    <w:rsid w:val="7F8C2C66"/>
    <w:rsid w:val="7F9E0BEB"/>
    <w:rsid w:val="7FA97CBC"/>
    <w:rsid w:val="7FB126CD"/>
    <w:rsid w:val="7FB421BD"/>
    <w:rsid w:val="7FB65F35"/>
    <w:rsid w:val="7FB977D3"/>
    <w:rsid w:val="7FC93EBA"/>
    <w:rsid w:val="7FD5213D"/>
    <w:rsid w:val="7FE120DC"/>
    <w:rsid w:val="7FE17456"/>
    <w:rsid w:val="7FFA687E"/>
    <w:rsid w:val="7FF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4"/>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c 4"/>
    <w:basedOn w:val="1"/>
    <w:next w:val="1"/>
    <w:qFormat/>
    <w:uiPriority w:val="39"/>
    <w:pPr>
      <w:ind w:left="1260" w:leftChars="600"/>
    </w:pPr>
  </w:style>
  <w:style w:type="paragraph" w:styleId="9">
    <w:name w:val="annotation text"/>
    <w:basedOn w:val="1"/>
    <w:qFormat/>
    <w:uiPriority w:val="0"/>
    <w:pPr>
      <w:jc w:val="left"/>
    </w:pPr>
  </w:style>
  <w:style w:type="paragraph" w:styleId="10">
    <w:name w:val="Body Text"/>
    <w:basedOn w:val="1"/>
    <w:next w:val="7"/>
    <w:qFormat/>
    <w:uiPriority w:val="0"/>
    <w:pPr>
      <w:tabs>
        <w:tab w:val="left" w:pos="567"/>
      </w:tabs>
      <w:spacing w:before="120" w:line="22" w:lineRule="atLeast"/>
    </w:pPr>
    <w:rPr>
      <w:rFonts w:ascii="宋体" w:hAnsi="宋体"/>
      <w:sz w:val="24"/>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10"/>
    <w:next w:val="1"/>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2"/>
    <w:qFormat/>
    <w:uiPriority w:val="0"/>
    <w:rPr>
      <w:rFonts w:ascii="宋体" w:hAnsi="宋体" w:eastAsia="仿宋"/>
      <w:b/>
      <w:kern w:val="44"/>
      <w:sz w:val="32"/>
      <w:szCs w:val="20"/>
    </w:rPr>
  </w:style>
  <w:style w:type="character" w:customStyle="1" w:styleId="23">
    <w:name w:val="font21"/>
    <w:qFormat/>
    <w:uiPriority w:val="0"/>
    <w:rPr>
      <w:rFonts w:hint="eastAsia" w:ascii="仿宋_GB2312" w:hAnsi="Times New Roman" w:eastAsia="仿宋_GB2312" w:cs="仿宋_GB2312"/>
      <w:color w:val="000000"/>
      <w:sz w:val="24"/>
      <w:szCs w:val="24"/>
      <w:u w:val="none"/>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List Paragraph"/>
    <w:basedOn w:val="1"/>
    <w:qFormat/>
    <w:uiPriority w:val="0"/>
    <w:pPr>
      <w:ind w:firstLine="420" w:firstLineChars="200"/>
    </w:pPr>
  </w:style>
  <w:style w:type="character" w:customStyle="1" w:styleId="28">
    <w:name w:val="font11"/>
    <w:basedOn w:val="20"/>
    <w:qFormat/>
    <w:uiPriority w:val="0"/>
    <w:rPr>
      <w:rFonts w:hint="eastAsia" w:ascii="仿宋" w:hAnsi="仿宋" w:eastAsia="仿宋" w:cs="仿宋"/>
      <w:color w:val="000000"/>
      <w:sz w:val="24"/>
      <w:szCs w:val="24"/>
      <w:u w:val="none"/>
    </w:rPr>
  </w:style>
  <w:style w:type="paragraph" w:customStyle="1" w:styleId="2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10935</Words>
  <Characters>12481</Characters>
  <Lines>0</Lines>
  <Paragraphs>0</Paragraphs>
  <TotalTime>52</TotalTime>
  <ScaleCrop>false</ScaleCrop>
  <LinksUpToDate>false</LinksUpToDate>
  <CharactersWithSpaces>12894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2025-07-10T06:29:52Z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C4C2221665D84FA18603B0638688F382_12</vt:lpwstr>
  </property>
  <property fmtid="{D5CDD505-2E9C-101B-9397-08002B2CF9AE}" pid="4" name="KSOTemplateDocerSaveRecord">
    <vt:lpwstr>eyJoZGlkIjoiZDU3NDQxYWM0MTczYjBhMzlmYjdkYmMwMzBhMmYwMWMiLCJ1c2VySWQiOiIyNTQ0OTA1OTQifQ==</vt:lpwstr>
  </property>
</Properties>
</file>