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61D75">
      <w:pPr>
        <w:ind w:right="-99" w:rightChars="-47"/>
        <w:rPr>
          <w:rFonts w:hint="eastAsia" w:ascii="仿宋" w:hAnsi="仿宋" w:eastAsia="仿宋" w:cs="仿宋"/>
          <w:b/>
          <w:color w:val="auto"/>
          <w:sz w:val="28"/>
          <w:szCs w:val="28"/>
          <w:highlight w:val="none"/>
        </w:rPr>
      </w:pPr>
      <w:bookmarkStart w:id="0" w:name="_Toc217446030"/>
      <w:bookmarkStart w:id="1" w:name="_Toc183682338"/>
    </w:p>
    <w:p w14:paraId="7352AFA7">
      <w:pPr>
        <w:ind w:right="-99" w:rightChars="-47" w:firstLine="2530" w:firstLineChars="900"/>
        <w:jc w:val="righ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ZCBN-汉台区-2025-00145</w:t>
      </w:r>
    </w:p>
    <w:p w14:paraId="403F7BF3">
      <w:pPr>
        <w:tabs>
          <w:tab w:val="left" w:pos="7080"/>
        </w:tabs>
        <w:spacing w:line="580" w:lineRule="exact"/>
        <w:ind w:right="-99" w:rightChars="-47"/>
        <w:rPr>
          <w:rFonts w:hint="eastAsia" w:ascii="仿宋" w:hAnsi="仿宋" w:eastAsia="仿宋" w:cs="仿宋"/>
          <w:bCs/>
          <w:color w:val="auto"/>
          <w:spacing w:val="20"/>
          <w:kern w:val="0"/>
          <w:sz w:val="32"/>
          <w:szCs w:val="32"/>
          <w:highlight w:val="none"/>
        </w:rPr>
      </w:pPr>
    </w:p>
    <w:p w14:paraId="08A5E495">
      <w:pPr>
        <w:pStyle w:val="60"/>
        <w:rPr>
          <w:rFonts w:hint="eastAsia" w:ascii="仿宋" w:hAnsi="仿宋" w:eastAsia="仿宋" w:cs="仿宋"/>
          <w:color w:val="auto"/>
        </w:rPr>
      </w:pPr>
    </w:p>
    <w:p w14:paraId="38895ED3">
      <w:pPr>
        <w:pStyle w:val="60"/>
        <w:rPr>
          <w:rFonts w:hint="eastAsia" w:ascii="仿宋" w:hAnsi="仿宋" w:eastAsia="仿宋" w:cs="仿宋"/>
          <w:color w:val="auto"/>
        </w:rPr>
      </w:pPr>
    </w:p>
    <w:p w14:paraId="6B9AAD5F">
      <w:pPr>
        <w:pStyle w:val="60"/>
        <w:rPr>
          <w:rFonts w:hint="eastAsia" w:ascii="仿宋" w:hAnsi="仿宋" w:eastAsia="仿宋" w:cs="仿宋"/>
          <w:color w:val="auto"/>
        </w:rPr>
      </w:pPr>
    </w:p>
    <w:p w14:paraId="3AE9051C">
      <w:pPr>
        <w:spacing w:line="800" w:lineRule="exact"/>
        <w:ind w:right="-99" w:rightChars="-47"/>
        <w:jc w:val="center"/>
        <w:rPr>
          <w:rFonts w:hint="eastAsia" w:ascii="仿宋" w:hAnsi="仿宋" w:eastAsia="仿宋" w:cs="仿宋"/>
          <w:b/>
          <w:bCs/>
          <w:color w:val="auto"/>
          <w:sz w:val="44"/>
          <w:szCs w:val="44"/>
          <w:highlight w:val="none"/>
          <w:lang w:val="en-US" w:eastAsia="zh-CN"/>
        </w:rPr>
      </w:pPr>
    </w:p>
    <w:p w14:paraId="5BA975BC">
      <w:pPr>
        <w:spacing w:line="800" w:lineRule="exact"/>
        <w:ind w:right="-99" w:rightChars="-47"/>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学生公寓楼维修改造及前院环境提升工程</w:t>
      </w:r>
    </w:p>
    <w:p w14:paraId="4654E604">
      <w:pPr>
        <w:pStyle w:val="60"/>
        <w:ind w:left="0" w:leftChars="0" w:firstLine="0" w:firstLineChars="0"/>
        <w:rPr>
          <w:rFonts w:hint="eastAsia" w:ascii="仿宋" w:hAnsi="仿宋" w:eastAsia="仿宋" w:cs="仿宋"/>
          <w:color w:val="auto"/>
          <w:lang w:val="en-US" w:eastAsia="zh-CN"/>
        </w:rPr>
      </w:pPr>
    </w:p>
    <w:p w14:paraId="34FBAE2D">
      <w:pPr>
        <w:pStyle w:val="60"/>
        <w:rPr>
          <w:rFonts w:hint="eastAsia" w:ascii="仿宋" w:hAnsi="仿宋" w:eastAsia="仿宋" w:cs="仿宋"/>
          <w:color w:val="auto"/>
          <w:lang w:val="en-US" w:eastAsia="zh-CN"/>
        </w:rPr>
      </w:pPr>
    </w:p>
    <w:p w14:paraId="434B42B1">
      <w:pPr>
        <w:pStyle w:val="31"/>
        <w:rPr>
          <w:rFonts w:hint="eastAsia" w:ascii="仿宋" w:hAnsi="仿宋" w:eastAsia="仿宋" w:cs="仿宋"/>
          <w:color w:val="auto"/>
          <w:lang w:val="en-US" w:eastAsia="zh-CN"/>
        </w:rPr>
      </w:pPr>
    </w:p>
    <w:p w14:paraId="64C91C3E">
      <w:pPr>
        <w:spacing w:line="800" w:lineRule="exact"/>
        <w:ind w:right="-99" w:rightChars="-47"/>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72"/>
          <w:szCs w:val="72"/>
          <w:highlight w:val="none"/>
        </w:rPr>
        <w:t>竞争性磋商文件</w:t>
      </w:r>
      <w:r>
        <w:rPr>
          <w:rFonts w:hint="eastAsia" w:ascii="仿宋" w:hAnsi="仿宋" w:eastAsia="仿宋" w:cs="仿宋"/>
          <w:b/>
          <w:bCs/>
          <w:color w:val="auto"/>
          <w:sz w:val="52"/>
          <w:szCs w:val="52"/>
          <w:highlight w:val="none"/>
        </w:rPr>
        <w:t xml:space="preserve"> </w:t>
      </w:r>
    </w:p>
    <w:p w14:paraId="15670850">
      <w:pPr>
        <w:ind w:right="-99" w:rightChars="-47"/>
        <w:jc w:val="center"/>
        <w:rPr>
          <w:rFonts w:hint="eastAsia" w:ascii="仿宋" w:hAnsi="仿宋" w:eastAsia="仿宋" w:cs="仿宋"/>
          <w:color w:val="auto"/>
          <w:sz w:val="22"/>
          <w:szCs w:val="22"/>
          <w:highlight w:val="none"/>
        </w:rPr>
      </w:pPr>
    </w:p>
    <w:p w14:paraId="0471973E">
      <w:pPr>
        <w:pStyle w:val="60"/>
        <w:rPr>
          <w:rFonts w:hint="eastAsia" w:ascii="仿宋" w:hAnsi="仿宋" w:eastAsia="仿宋" w:cs="仿宋"/>
          <w:color w:val="auto"/>
        </w:rPr>
      </w:pPr>
    </w:p>
    <w:p w14:paraId="5B88E4BB">
      <w:pPr>
        <w:pStyle w:val="19"/>
        <w:rPr>
          <w:rFonts w:hint="eastAsia" w:ascii="仿宋" w:hAnsi="仿宋" w:eastAsia="仿宋" w:cs="仿宋"/>
          <w:color w:val="auto"/>
        </w:rPr>
      </w:pPr>
    </w:p>
    <w:p w14:paraId="5862804D">
      <w:pPr>
        <w:ind w:right="-99" w:rightChars="-47"/>
        <w:jc w:val="center"/>
        <w:rPr>
          <w:rFonts w:hint="eastAsia" w:ascii="仿宋" w:hAnsi="仿宋" w:eastAsia="仿宋" w:cs="仿宋"/>
          <w:color w:val="auto"/>
          <w:sz w:val="18"/>
          <w:szCs w:val="18"/>
          <w:highlight w:val="none"/>
        </w:rPr>
      </w:pPr>
    </w:p>
    <w:p w14:paraId="540DE8CD">
      <w:pPr>
        <w:ind w:right="-99" w:rightChars="-47"/>
        <w:rPr>
          <w:rFonts w:hint="eastAsia" w:ascii="仿宋" w:hAnsi="仿宋" w:eastAsia="仿宋" w:cs="仿宋"/>
          <w:color w:val="auto"/>
          <w:sz w:val="18"/>
          <w:szCs w:val="18"/>
          <w:highlight w:val="none"/>
        </w:rPr>
      </w:pPr>
    </w:p>
    <w:p w14:paraId="07123AA7">
      <w:pPr>
        <w:ind w:right="-99" w:rightChars="-47"/>
        <w:rPr>
          <w:rFonts w:hint="eastAsia" w:ascii="仿宋" w:hAnsi="仿宋" w:eastAsia="仿宋" w:cs="仿宋"/>
          <w:color w:val="auto"/>
          <w:sz w:val="18"/>
          <w:szCs w:val="18"/>
          <w:highlight w:val="none"/>
        </w:rPr>
      </w:pPr>
    </w:p>
    <w:p w14:paraId="42AC1E3F">
      <w:pPr>
        <w:pStyle w:val="2"/>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br w:type="textWrapping"/>
      </w:r>
    </w:p>
    <w:p w14:paraId="304F533F">
      <w:pPr>
        <w:ind w:right="-99" w:rightChars="-47"/>
        <w:rPr>
          <w:rFonts w:hint="eastAsia" w:ascii="仿宋" w:hAnsi="仿宋" w:eastAsia="仿宋" w:cs="仿宋"/>
          <w:color w:val="auto"/>
          <w:sz w:val="18"/>
          <w:szCs w:val="18"/>
          <w:highlight w:val="none"/>
        </w:rPr>
      </w:pPr>
    </w:p>
    <w:p w14:paraId="3E706C2D">
      <w:pPr>
        <w:ind w:right="-99" w:rightChars="-47"/>
        <w:rPr>
          <w:rFonts w:hint="eastAsia" w:ascii="仿宋" w:hAnsi="仿宋" w:eastAsia="仿宋" w:cs="仿宋"/>
          <w:color w:val="auto"/>
          <w:sz w:val="18"/>
          <w:szCs w:val="18"/>
          <w:highlight w:val="none"/>
        </w:rPr>
      </w:pPr>
    </w:p>
    <w:p w14:paraId="6B3DB1B8">
      <w:pPr>
        <w:pStyle w:val="60"/>
        <w:ind w:left="0" w:leftChars="0" w:firstLine="0" w:firstLineChars="0"/>
        <w:rPr>
          <w:rFonts w:hint="eastAsia" w:ascii="仿宋" w:hAnsi="仿宋" w:eastAsia="仿宋" w:cs="仿宋"/>
          <w:color w:val="auto"/>
          <w:sz w:val="18"/>
          <w:szCs w:val="18"/>
          <w:highlight w:val="none"/>
        </w:rPr>
      </w:pPr>
    </w:p>
    <w:p w14:paraId="402ED0E0">
      <w:pPr>
        <w:pStyle w:val="60"/>
        <w:ind w:left="0" w:leftChars="0" w:firstLine="0" w:firstLineChars="0"/>
        <w:rPr>
          <w:rFonts w:hint="eastAsia" w:ascii="仿宋" w:hAnsi="仿宋" w:eastAsia="仿宋" w:cs="仿宋"/>
          <w:color w:val="auto"/>
          <w:sz w:val="18"/>
          <w:szCs w:val="18"/>
          <w:highlight w:val="none"/>
        </w:rPr>
      </w:pPr>
    </w:p>
    <w:p w14:paraId="43D66D55">
      <w:pPr>
        <w:pStyle w:val="60"/>
        <w:ind w:left="0" w:leftChars="0" w:firstLine="0" w:firstLineChars="0"/>
        <w:rPr>
          <w:rFonts w:hint="eastAsia" w:ascii="仿宋" w:hAnsi="仿宋" w:eastAsia="仿宋" w:cs="仿宋"/>
          <w:color w:val="auto"/>
          <w:sz w:val="18"/>
          <w:szCs w:val="18"/>
          <w:highlight w:val="none"/>
        </w:rPr>
      </w:pPr>
    </w:p>
    <w:p w14:paraId="31A5C5D7">
      <w:pPr>
        <w:ind w:right="-99" w:rightChars="-47"/>
        <w:rPr>
          <w:rFonts w:hint="eastAsia" w:ascii="仿宋" w:hAnsi="仿宋" w:eastAsia="仿宋" w:cs="仿宋"/>
          <w:b/>
          <w:color w:val="auto"/>
          <w:sz w:val="28"/>
          <w:szCs w:val="28"/>
          <w:highlight w:val="none"/>
          <w:lang w:eastAsia="zh-CN"/>
        </w:rPr>
      </w:pPr>
    </w:p>
    <w:p w14:paraId="5A08050C">
      <w:pPr>
        <w:ind w:right="-99" w:rightChars="-47"/>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采   购   人：</w:t>
      </w:r>
      <w:r>
        <w:rPr>
          <w:rFonts w:hint="eastAsia" w:ascii="仿宋" w:hAnsi="仿宋" w:eastAsia="仿宋" w:cs="仿宋"/>
          <w:b/>
          <w:color w:val="auto"/>
          <w:sz w:val="28"/>
          <w:szCs w:val="28"/>
          <w:highlight w:val="none"/>
          <w:lang w:val="en-US" w:eastAsia="zh-CN"/>
        </w:rPr>
        <w:t>汉中市铺镇中学</w:t>
      </w:r>
    </w:p>
    <w:p w14:paraId="04A96598">
      <w:pPr>
        <w:ind w:right="-99" w:rightChars="-47"/>
        <w:jc w:val="center"/>
        <w:rPr>
          <w:rFonts w:hint="eastAsia" w:ascii="仿宋" w:hAnsi="仿宋" w:eastAsia="仿宋" w:cs="仿宋"/>
          <w:b/>
          <w:color w:val="auto"/>
          <w:sz w:val="28"/>
          <w:szCs w:val="28"/>
          <w:highlight w:val="none"/>
          <w:lang w:eastAsia="zh-CN"/>
        </w:rPr>
      </w:pPr>
    </w:p>
    <w:p w14:paraId="4AE3E323">
      <w:pPr>
        <w:ind w:right="-99" w:rightChars="-47"/>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采购代理机构</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陕西佳鸿项目管理咨询有限公司</w:t>
      </w:r>
    </w:p>
    <w:p w14:paraId="5C73616A">
      <w:pPr>
        <w:ind w:right="-99" w:rightChars="-47"/>
        <w:rPr>
          <w:rFonts w:hint="eastAsia" w:ascii="仿宋" w:hAnsi="仿宋" w:eastAsia="仿宋" w:cs="仿宋"/>
          <w:b/>
          <w:color w:val="auto"/>
          <w:sz w:val="28"/>
          <w:szCs w:val="28"/>
          <w:highlight w:val="none"/>
        </w:rPr>
      </w:pPr>
    </w:p>
    <w:p w14:paraId="44051C3E">
      <w:pPr>
        <w:jc w:val="center"/>
        <w:rPr>
          <w:rFonts w:hint="eastAsia" w:ascii="仿宋" w:hAnsi="仿宋" w:eastAsia="仿宋" w:cs="仿宋"/>
          <w:b/>
          <w:bCs/>
          <w:color w:val="auto"/>
          <w:sz w:val="28"/>
          <w:szCs w:val="28"/>
          <w:highlight w:val="none"/>
          <w:lang w:eastAsia="zh-CN"/>
        </w:rPr>
      </w:pPr>
    </w:p>
    <w:p w14:paraId="79AB5CE7">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二〇二</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eastAsia="zh-CN"/>
        </w:rPr>
        <w:t>年</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eastAsia="zh-CN"/>
        </w:rPr>
        <w:t>月</w:t>
      </w:r>
    </w:p>
    <w:p w14:paraId="1FE18C88">
      <w:pPr>
        <w:jc w:val="center"/>
        <w:rPr>
          <w:rFonts w:hint="eastAsia" w:ascii="仿宋" w:hAnsi="仿宋" w:eastAsia="仿宋" w:cs="仿宋"/>
          <w:b/>
          <w:bCs/>
          <w:color w:val="auto"/>
          <w:sz w:val="28"/>
          <w:szCs w:val="28"/>
          <w:highlight w:val="none"/>
          <w:lang w:eastAsia="zh-CN"/>
        </w:rPr>
      </w:pPr>
    </w:p>
    <w:p w14:paraId="2E39E714">
      <w:pPr>
        <w:jc w:val="center"/>
        <w:rPr>
          <w:rFonts w:hint="eastAsia" w:ascii="仿宋" w:hAnsi="仿宋" w:eastAsia="仿宋" w:cs="仿宋"/>
          <w:bCs/>
          <w:color w:val="auto"/>
          <w:sz w:val="36"/>
          <w:highlight w:val="none"/>
        </w:rPr>
        <w:sectPr>
          <w:headerReference r:id="rId3" w:type="default"/>
          <w:footerReference r:id="rId4" w:type="default"/>
          <w:pgSz w:w="11907" w:h="16840"/>
          <w:pgMar w:top="1440" w:right="1803" w:bottom="1440" w:left="1803" w:header="851" w:footer="992" w:gutter="0"/>
          <w:pgNumType w:fmt="decimal" w:start="1"/>
          <w:cols w:space="720" w:num="1"/>
        </w:sectPr>
      </w:pPr>
    </w:p>
    <w:p w14:paraId="6C0C23B0">
      <w:pPr>
        <w:jc w:val="cente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t>目录</w:t>
      </w:r>
    </w:p>
    <w:p w14:paraId="27541B1F">
      <w:pPr>
        <w:jc w:val="center"/>
        <w:rPr>
          <w:rFonts w:hint="eastAsia" w:ascii="仿宋" w:hAnsi="仿宋" w:eastAsia="仿宋" w:cs="仿宋"/>
          <w:bCs/>
          <w:color w:val="auto"/>
          <w:sz w:val="36"/>
          <w:highlight w:val="none"/>
        </w:rPr>
      </w:pPr>
    </w:p>
    <w:bookmarkEnd w:id="0"/>
    <w:bookmarkEnd w:id="1"/>
    <w:p w14:paraId="48FD3544">
      <w:pPr>
        <w:pStyle w:val="33"/>
        <w:tabs>
          <w:tab w:val="right" w:leader="dot" w:pos="8959"/>
          <w:tab w:val="clear" w:pos="9060"/>
        </w:tabs>
        <w:spacing w:line="440" w:lineRule="exact"/>
        <w:rPr>
          <w:rFonts w:hint="eastAsia" w:ascii="仿宋" w:hAnsi="仿宋" w:eastAsia="仿宋" w:cs="仿宋"/>
          <w:color w:val="auto"/>
          <w:szCs w:val="21"/>
          <w:highlight w:val="none"/>
        </w:rPr>
      </w:pPr>
      <w:bookmarkStart w:id="2" w:name="_Toc482201954"/>
      <w:bookmarkStart w:id="3" w:name="_Toc2872_WPSOffice_Level1"/>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TOC \o "1-2" \h \u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_Toc32596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kern w:val="44"/>
          <w:szCs w:val="21"/>
          <w:highlight w:val="none"/>
        </w:rPr>
        <w:t>第一</w:t>
      </w:r>
      <w:r>
        <w:rPr>
          <w:rFonts w:hint="eastAsia" w:ascii="仿宋" w:hAnsi="仿宋" w:eastAsia="仿宋" w:cs="仿宋"/>
          <w:color w:val="auto"/>
          <w:szCs w:val="21"/>
          <w:highlight w:val="none"/>
        </w:rPr>
        <w:t>章 竞争性磋商公告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lang w:val="en-US" w:eastAsia="zh-CN"/>
        </w:rPr>
        <w:t>2</w:t>
      </w:r>
      <w:r>
        <w:rPr>
          <w:rFonts w:hint="eastAsia" w:ascii="仿宋" w:hAnsi="仿宋" w:eastAsia="仿宋" w:cs="仿宋"/>
          <w:color w:val="auto"/>
          <w:kern w:val="44"/>
          <w:szCs w:val="21"/>
          <w:highlight w:val="none"/>
        </w:rPr>
        <w:fldChar w:fldCharType="end"/>
      </w:r>
    </w:p>
    <w:p w14:paraId="619A3342">
      <w:pPr>
        <w:pStyle w:val="33"/>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_Toc10200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kern w:val="44"/>
          <w:szCs w:val="21"/>
          <w:highlight w:val="none"/>
        </w:rPr>
        <w:t>第二</w:t>
      </w:r>
      <w:r>
        <w:rPr>
          <w:rFonts w:hint="eastAsia" w:ascii="仿宋" w:hAnsi="仿宋" w:eastAsia="仿宋" w:cs="仿宋"/>
          <w:color w:val="auto"/>
          <w:szCs w:val="21"/>
          <w:highlight w:val="none"/>
        </w:rPr>
        <w:t>章 供应商须知</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lang w:val="en-US" w:eastAsia="zh-CN"/>
        </w:rPr>
        <w:t>6</w:t>
      </w:r>
      <w:r>
        <w:rPr>
          <w:rFonts w:hint="eastAsia" w:ascii="仿宋" w:hAnsi="仿宋" w:eastAsia="仿宋" w:cs="仿宋"/>
          <w:color w:val="auto"/>
          <w:kern w:val="44"/>
          <w:szCs w:val="21"/>
          <w:highlight w:val="none"/>
        </w:rPr>
        <w:fldChar w:fldCharType="end"/>
      </w:r>
    </w:p>
    <w:p w14:paraId="0BB281B6">
      <w:pPr>
        <w:pStyle w:val="33"/>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_Toc32671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第三章 磋商办法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_Toc32671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32</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0C4189F9">
      <w:pPr>
        <w:pStyle w:val="33"/>
        <w:tabs>
          <w:tab w:val="right" w:leader="dot" w:pos="8959"/>
          <w:tab w:val="clear" w:pos="9060"/>
        </w:tabs>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_Toc23458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第四章 采购内容及要求</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PAGEREF _Toc23458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42</w:t>
      </w:r>
      <w:r>
        <w:rPr>
          <w:rFonts w:hint="eastAsia" w:ascii="仿宋" w:hAnsi="仿宋" w:eastAsia="仿宋" w:cs="仿宋"/>
          <w:color w:val="auto"/>
          <w:szCs w:val="21"/>
          <w:highlight w:val="none"/>
        </w:rPr>
        <w:fldChar w:fldCharType="end"/>
      </w:r>
      <w:r>
        <w:rPr>
          <w:rFonts w:hint="eastAsia" w:ascii="仿宋" w:hAnsi="仿宋" w:eastAsia="仿宋" w:cs="仿宋"/>
          <w:color w:val="auto"/>
          <w:kern w:val="44"/>
          <w:szCs w:val="21"/>
          <w:highlight w:val="none"/>
        </w:rPr>
        <w:fldChar w:fldCharType="end"/>
      </w:r>
    </w:p>
    <w:p w14:paraId="7E6C2BDF">
      <w:pPr>
        <w:pStyle w:val="33"/>
        <w:tabs>
          <w:tab w:val="right" w:leader="dot" w:pos="8959"/>
          <w:tab w:val="clear" w:pos="9060"/>
        </w:tabs>
        <w:spacing w:line="4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_Toc16313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eastAsia="zh-CN"/>
        </w:rPr>
        <w:t>五</w:t>
      </w:r>
      <w:r>
        <w:rPr>
          <w:rFonts w:hint="eastAsia" w:ascii="仿宋" w:hAnsi="仿宋" w:eastAsia="仿宋" w:cs="仿宋"/>
          <w:color w:val="auto"/>
          <w:szCs w:val="21"/>
          <w:highlight w:val="none"/>
        </w:rPr>
        <w:t>章 政府采购合同格式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lang w:val="en-US" w:eastAsia="zh-CN"/>
        </w:rPr>
        <w:t>4</w:t>
      </w:r>
      <w:r>
        <w:rPr>
          <w:rFonts w:hint="eastAsia" w:ascii="仿宋" w:hAnsi="仿宋" w:eastAsia="仿宋" w:cs="仿宋"/>
          <w:color w:val="auto"/>
          <w:kern w:val="44"/>
          <w:szCs w:val="21"/>
          <w:highlight w:val="none"/>
        </w:rPr>
        <w:fldChar w:fldCharType="end"/>
      </w:r>
      <w:r>
        <w:rPr>
          <w:rFonts w:hint="eastAsia" w:ascii="仿宋" w:hAnsi="仿宋" w:eastAsia="仿宋" w:cs="仿宋"/>
          <w:color w:val="auto"/>
          <w:kern w:val="44"/>
          <w:szCs w:val="21"/>
          <w:highlight w:val="none"/>
          <w:lang w:val="en-US" w:eastAsia="zh-CN"/>
        </w:rPr>
        <w:t>3</w:t>
      </w:r>
    </w:p>
    <w:p w14:paraId="348D64E7">
      <w:pPr>
        <w:pStyle w:val="33"/>
        <w:tabs>
          <w:tab w:val="right" w:leader="dot" w:pos="8959"/>
          <w:tab w:val="clear" w:pos="9060"/>
        </w:tabs>
        <w:spacing w:line="44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kern w:val="44"/>
          <w:szCs w:val="21"/>
          <w:highlight w:val="none"/>
        </w:rPr>
        <w:fldChar w:fldCharType="begin"/>
      </w:r>
      <w:r>
        <w:rPr>
          <w:rFonts w:hint="eastAsia" w:ascii="仿宋" w:hAnsi="仿宋" w:eastAsia="仿宋" w:cs="仿宋"/>
          <w:color w:val="auto"/>
          <w:kern w:val="44"/>
          <w:szCs w:val="21"/>
          <w:highlight w:val="none"/>
        </w:rPr>
        <w:instrText xml:space="preserve"> HYPERLINK \l _Toc6445 </w:instrText>
      </w:r>
      <w:r>
        <w:rPr>
          <w:rFonts w:hint="eastAsia" w:ascii="仿宋" w:hAnsi="仿宋" w:eastAsia="仿宋" w:cs="仿宋"/>
          <w:color w:val="auto"/>
          <w:kern w:val="44"/>
          <w:szCs w:val="21"/>
          <w:highlight w:val="none"/>
        </w:rPr>
        <w:fldChar w:fldCharType="separate"/>
      </w:r>
      <w:r>
        <w:rPr>
          <w:rFonts w:hint="eastAsia" w:ascii="仿宋" w:hAnsi="仿宋" w:eastAsia="仿宋" w:cs="仿宋"/>
          <w:color w:val="auto"/>
          <w:szCs w:val="21"/>
          <w:highlight w:val="none"/>
        </w:rPr>
        <w:t>第六章 响应文件格式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lang w:val="en-US" w:eastAsia="zh-CN"/>
        </w:rPr>
        <w:t>4</w:t>
      </w:r>
      <w:r>
        <w:rPr>
          <w:rFonts w:hint="eastAsia" w:ascii="仿宋" w:hAnsi="仿宋" w:eastAsia="仿宋" w:cs="仿宋"/>
          <w:color w:val="auto"/>
          <w:kern w:val="44"/>
          <w:szCs w:val="21"/>
          <w:highlight w:val="none"/>
        </w:rPr>
        <w:fldChar w:fldCharType="end"/>
      </w:r>
      <w:r>
        <w:rPr>
          <w:rFonts w:hint="eastAsia" w:ascii="仿宋" w:hAnsi="仿宋" w:eastAsia="仿宋" w:cs="仿宋"/>
          <w:color w:val="auto"/>
          <w:kern w:val="44"/>
          <w:szCs w:val="21"/>
          <w:highlight w:val="none"/>
          <w:lang w:val="en-US" w:eastAsia="zh-CN"/>
        </w:rPr>
        <w:t>6</w:t>
      </w:r>
    </w:p>
    <w:p w14:paraId="042234A0">
      <w:pPr>
        <w:pStyle w:val="118"/>
        <w:tabs>
          <w:tab w:val="right" w:leader="dot" w:pos="8959"/>
        </w:tabs>
        <w:spacing w:line="440" w:lineRule="exact"/>
        <w:ind w:left="420"/>
        <w:rPr>
          <w:rFonts w:hint="eastAsia" w:ascii="仿宋" w:hAnsi="仿宋" w:eastAsia="仿宋" w:cs="仿宋"/>
          <w:color w:val="auto"/>
          <w:kern w:val="44"/>
          <w:sz w:val="44"/>
          <w:szCs w:val="44"/>
          <w:highlight w:val="none"/>
        </w:rPr>
      </w:pPr>
      <w:r>
        <w:rPr>
          <w:rFonts w:hint="eastAsia" w:ascii="仿宋" w:hAnsi="仿宋" w:eastAsia="仿宋" w:cs="仿宋"/>
          <w:color w:val="auto"/>
          <w:kern w:val="44"/>
          <w:sz w:val="21"/>
          <w:szCs w:val="21"/>
          <w:highlight w:val="none"/>
        </w:rPr>
        <w:fldChar w:fldCharType="end"/>
      </w:r>
    </w:p>
    <w:bookmarkEnd w:id="2"/>
    <w:bookmarkEnd w:id="3"/>
    <w:p w14:paraId="6B7693ED">
      <w:pPr>
        <w:spacing w:after="50" w:line="600" w:lineRule="exact"/>
        <w:jc w:val="center"/>
        <w:outlineLvl w:val="0"/>
        <w:rPr>
          <w:rFonts w:hint="eastAsia" w:ascii="仿宋" w:hAnsi="仿宋" w:eastAsia="仿宋" w:cs="仿宋"/>
          <w:b/>
          <w:color w:val="auto"/>
          <w:kern w:val="44"/>
          <w:sz w:val="44"/>
          <w:szCs w:val="44"/>
          <w:highlight w:val="none"/>
        </w:rPr>
        <w:sectPr>
          <w:footerReference r:id="rId5" w:type="default"/>
          <w:pgSz w:w="11907" w:h="16840"/>
          <w:pgMar w:top="1440" w:right="1803" w:bottom="1440" w:left="1803" w:header="851" w:footer="992" w:gutter="0"/>
          <w:pgNumType w:fmt="decimal" w:start="1"/>
          <w:cols w:space="720" w:num="1"/>
        </w:sectPr>
      </w:pPr>
      <w:bookmarkStart w:id="4" w:name="_Toc32596"/>
    </w:p>
    <w:bookmarkEnd w:id="4"/>
    <w:p w14:paraId="1DB57F7F">
      <w:pPr>
        <w:autoSpaceDE w:val="0"/>
        <w:autoSpaceDN w:val="0"/>
        <w:spacing w:line="480" w:lineRule="auto"/>
        <w:jc w:val="center"/>
        <w:outlineLvl w:val="0"/>
        <w:rPr>
          <w:rFonts w:hint="eastAsia" w:ascii="仿宋" w:hAnsi="仿宋" w:eastAsia="仿宋" w:cs="仿宋"/>
          <w:b/>
          <w:color w:val="auto"/>
          <w:sz w:val="36"/>
          <w:szCs w:val="36"/>
        </w:rPr>
      </w:pPr>
      <w:bookmarkStart w:id="5" w:name="_Toc79867591"/>
      <w:bookmarkStart w:id="6" w:name="_Toc23432"/>
      <w:bookmarkStart w:id="7" w:name="_Toc10200"/>
      <w:bookmarkStart w:id="8" w:name="_Toc6043"/>
      <w:bookmarkStart w:id="9" w:name="_Toc5385"/>
      <w:bookmarkStart w:id="10" w:name="_Toc27029"/>
      <w:bookmarkStart w:id="11" w:name="_Toc23494_WPSOffice_Level1"/>
      <w:bookmarkStart w:id="12" w:name="_Toc31287"/>
      <w:bookmarkStart w:id="13" w:name="_Toc183682339"/>
      <w:bookmarkStart w:id="14" w:name="_Toc89075871"/>
      <w:bookmarkStart w:id="15" w:name="_Toc77400776"/>
      <w:bookmarkStart w:id="16" w:name="_Toc183582202"/>
      <w:r>
        <w:rPr>
          <w:rFonts w:hint="eastAsia" w:ascii="仿宋" w:hAnsi="仿宋" w:eastAsia="仿宋" w:cs="仿宋"/>
          <w:b/>
          <w:color w:val="auto"/>
          <w:sz w:val="36"/>
          <w:szCs w:val="36"/>
        </w:rPr>
        <w:t>第一章 竞争性磋商公告</w:t>
      </w:r>
      <w:bookmarkEnd w:id="5"/>
    </w:p>
    <w:p w14:paraId="52D1DE66">
      <w:pPr>
        <w:autoSpaceDE w:val="0"/>
        <w:autoSpaceDN w:val="0"/>
        <w:spacing w:line="360" w:lineRule="auto"/>
        <w:jc w:val="center"/>
        <w:outlineLvl w:val="0"/>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汉中市铺镇中学学生公寓楼维修改造及前院环境提升工程竞争性磋商公告</w:t>
      </w:r>
    </w:p>
    <w:p w14:paraId="414F46A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学生公寓楼维修改造及前院环境提升工程采购项目的潜在供应商应在陕西省汉中市汉台区滨江路中青凯旋门南门右边商铺202号获取采购文件，并于 2025年08月04日 14时30分 （北京时间）前提交响应文件。</w:t>
      </w:r>
    </w:p>
    <w:p w14:paraId="491F5D4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一、项目基本情况：</w:t>
      </w:r>
    </w:p>
    <w:p w14:paraId="2D011F7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项目编号：ZCBN-汉台区-2025-00145</w:t>
      </w:r>
    </w:p>
    <w:p w14:paraId="685AE86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项目名称：学生公寓楼维修改造及前院环境提升工程</w:t>
      </w:r>
    </w:p>
    <w:p w14:paraId="599456D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采购方式：竞争性磋商</w:t>
      </w:r>
    </w:p>
    <w:p w14:paraId="6A76AF3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预算金额：700,000.00元</w:t>
      </w:r>
    </w:p>
    <w:p w14:paraId="6069A42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14:paraId="023C297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合同包1(汉中市铺镇中学学生公寓楼维修改造及前院环境提升工程):</w:t>
      </w:r>
    </w:p>
    <w:p w14:paraId="6B9F20A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合同包预算金额：700,000.00元</w:t>
      </w:r>
    </w:p>
    <w:p w14:paraId="12CC684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合同包最高限价：699,371.18元</w:t>
      </w:r>
    </w:p>
    <w:tbl>
      <w:tblPr>
        <w:tblStyle w:val="46"/>
        <w:tblW w:w="107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350"/>
        <w:gridCol w:w="2381"/>
        <w:gridCol w:w="1763"/>
        <w:gridCol w:w="1706"/>
        <w:gridCol w:w="1425"/>
        <w:gridCol w:w="1428"/>
      </w:tblGrid>
      <w:tr w14:paraId="07E7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blHeader/>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C853F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品目号</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BF9CB5">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品目名称</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DC4499">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采购标的</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18CC1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数量（单位）</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44E3D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EBE57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品目预算(元)</w:t>
            </w:r>
          </w:p>
        </w:tc>
        <w:tc>
          <w:tcPr>
            <w:tcW w:w="14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3C9FCB">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最高限价(元)</w:t>
            </w:r>
          </w:p>
        </w:tc>
      </w:tr>
      <w:tr w14:paraId="247A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AF65C6">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10D912">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其他建筑工程</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B268DC">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汉中市铺镇中学学生公寓楼维修改造及前院环境提升工程</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974F6">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A86AF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1B716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700,000.00</w:t>
            </w:r>
          </w:p>
        </w:tc>
        <w:tc>
          <w:tcPr>
            <w:tcW w:w="14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8E55F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699,371.18</w:t>
            </w:r>
          </w:p>
        </w:tc>
      </w:tr>
    </w:tbl>
    <w:p w14:paraId="1CB8887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本合同包不接受联合体投标</w:t>
      </w:r>
    </w:p>
    <w:p w14:paraId="60F79F0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合同履行期限：无</w:t>
      </w:r>
    </w:p>
    <w:p w14:paraId="44992D1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二、申请人的资格要求：</w:t>
      </w:r>
    </w:p>
    <w:p w14:paraId="3FB8676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175FFC0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14:paraId="1AE79B6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合同包1(汉中市铺镇中学学生公寓楼维修改造及前院环境提升工程)落实政府采购政策需满足的资格要求如下:</w:t>
      </w:r>
    </w:p>
    <w:p w14:paraId="32602CB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（1）财政部、工业和信息化部关于印发《政府采购促进中小企业发展管理办法》的通知（财库【2020】46号） ；</w:t>
      </w:r>
    </w:p>
    <w:p w14:paraId="796B545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（2）《财政部司法部关于政府采购支持监狱企业发展有关问题的通知》（财库【2014】68号）；</w:t>
      </w:r>
    </w:p>
    <w:p w14:paraId="424001B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（3）《财政部发展改革委生态环境部市场监管总局关于调整优化节能产品环境标志产品政府采购执行机制的通知》（财库【2019】9号）；</w:t>
      </w:r>
    </w:p>
    <w:p w14:paraId="6C4D951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（4）《财政部国家发展改革委关于印发〈节能产品政府采购实施意见〉的通知》（财库【2004】185号）；</w:t>
      </w:r>
    </w:p>
    <w:p w14:paraId="274EB84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（5）《财政部环保总局关于环境标志产品政府采购实施的意见》（财库【2006】90号） ； </w:t>
      </w:r>
    </w:p>
    <w:p w14:paraId="128E9D0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（6）《国务院办公厅关于建立政府强制采购节能产品制度的通知》（国办发【2007】51号）；</w:t>
      </w:r>
    </w:p>
    <w:p w14:paraId="59E5F1F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（7）《财政部、民政部、中国残疾人联合会关于促进残疾人就业政府采购政策的通知》（财库【2017】141号）；</w:t>
      </w:r>
    </w:p>
    <w:p w14:paraId="1BEB67A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（8）《财政部 国务院扶贫办关于运用政府采购政策支持脱贫攻坚的通知》（财库【2019】27号）；</w:t>
      </w:r>
    </w:p>
    <w:p w14:paraId="0B26F63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（9）陕西省财政厅关于印发《陕西省中小企业政府采购信用融资办法》（陕财办采【2018】23号）；</w:t>
      </w:r>
    </w:p>
    <w:p w14:paraId="7BDF996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（10）其他需要落实的政府采购政策。</w:t>
      </w:r>
    </w:p>
    <w:p w14:paraId="5B162FF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14:paraId="75A76B8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合同包1(汉中市铺镇中学学生公寓楼维修改造及前院环境提升工程)特定资格要求如下:</w:t>
      </w:r>
    </w:p>
    <w:p w14:paraId="234AF26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3.1具有独立承担民事责任能力的法人、其他组织或自然人，提供合法有效的统一社会信用代码营业执照（事业单位提供事业单位法人证书，自然人提供身份证明）；</w:t>
      </w:r>
    </w:p>
    <w:p w14:paraId="6B931A8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3.2法定代表人授权委托书：法定代表人参加磋商的，须出示身份证原件；法定代表人授权他人参加磋商的，须提供法定代表人授权委托书及被授权人身份证原件；</w:t>
      </w:r>
    </w:p>
    <w:p w14:paraId="42EBDFC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p w14:paraId="637040B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供应商应具备建设行政主管部门颁发合法有效的建筑工程施工总承包三级（含）以上资质，并具备有效的安全生产许可证；拟派项目经理须具备建筑工程专业二级（含）以上注册建造师执业资格及安全生产考核合格证（B证），且未担任其他在建工程项目的项目经理；</w:t>
      </w:r>
    </w:p>
    <w:p w14:paraId="3C05CCB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3.5本项目专门面向中小企业采购。</w:t>
      </w:r>
    </w:p>
    <w:p w14:paraId="2D7FC3D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三、获取采购文件</w:t>
      </w:r>
    </w:p>
    <w:p w14:paraId="6BE8304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 2025年07月25日 至 2025年07月31日 ，每天上午 08:00:00 至 12:00:00 ，下午 12:00:00 至 18:00:00 （北京时间）</w:t>
      </w:r>
    </w:p>
    <w:p w14:paraId="4C0CDF2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途径：陕西省汉中市汉台区滨江路中青凯旋门南门右边商铺202号</w:t>
      </w:r>
    </w:p>
    <w:p w14:paraId="3089A08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方式：现场获取</w:t>
      </w:r>
    </w:p>
    <w:p w14:paraId="692CC24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 500元</w:t>
      </w:r>
    </w:p>
    <w:p w14:paraId="50FF784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四、响应文件提交</w:t>
      </w:r>
    </w:p>
    <w:p w14:paraId="695FE03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 2025年08月04日 14时30分00秒 （北京时间）</w:t>
      </w:r>
    </w:p>
    <w:p w14:paraId="4B1EEF7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地点：陕西省汉中市汉台区滨江路中青凯旋门南门右边商铺202号</w:t>
      </w:r>
    </w:p>
    <w:p w14:paraId="4AC1789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五、开启</w:t>
      </w:r>
    </w:p>
    <w:p w14:paraId="2E0A98B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 2025年08月04日 14时30分00秒 （北京时间）</w:t>
      </w:r>
    </w:p>
    <w:p w14:paraId="39AD104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地点：陕西省汉中市汉台区滨江路中青凯旋门南门右边商铺202号</w:t>
      </w:r>
    </w:p>
    <w:p w14:paraId="78146DA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六、公告期限</w:t>
      </w:r>
    </w:p>
    <w:p w14:paraId="060288A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自本公告发布之日起3个工作日。</w:t>
      </w:r>
    </w:p>
    <w:p w14:paraId="0F3C08C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七、其他补充事宜</w:t>
      </w:r>
    </w:p>
    <w:p w14:paraId="627D4C3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1.购买磋商文件请携带单位介绍信原件,经办人身份证原件及加盖供应商公章的复印件。</w:t>
      </w:r>
    </w:p>
    <w:p w14:paraId="6DFB909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八、对本次招标提出询问，请按以下方式联系。</w:t>
      </w:r>
    </w:p>
    <w:p w14:paraId="1454B82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14:paraId="2501E36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名称：汉中市铺镇中学</w:t>
      </w:r>
    </w:p>
    <w:p w14:paraId="3B2230E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地址：汉中市汉台区铺镇东街139号</w:t>
      </w:r>
    </w:p>
    <w:p w14:paraId="2EBDCA2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联系方式：13759809222</w:t>
      </w:r>
    </w:p>
    <w:p w14:paraId="3A0E8FC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14:paraId="60B14C3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名称：陕西佳鸿项目管理咨询有限公司</w:t>
      </w:r>
    </w:p>
    <w:p w14:paraId="342122BC">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地址：陕西省汉中市汉台区滨江路中青凯旋门南门右边商铺202号</w:t>
      </w:r>
    </w:p>
    <w:p w14:paraId="263D9EA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联系方式：17729063496</w:t>
      </w:r>
    </w:p>
    <w:p w14:paraId="5A621B2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p>
    <w:p w14:paraId="21275DF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项目联系人：陕西佳鸿项目管理咨询有限公司</w:t>
      </w:r>
    </w:p>
    <w:p w14:paraId="2307037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电话：17729063496</w:t>
      </w:r>
    </w:p>
    <w:p w14:paraId="5C2BAC87">
      <w:pPr>
        <w:spacing w:line="560" w:lineRule="exact"/>
        <w:ind w:right="-99" w:rightChars="-47" w:firstLine="480" w:firstLineChars="200"/>
        <w:jc w:val="right"/>
        <w:rPr>
          <w:rFonts w:hint="eastAsia" w:ascii="仿宋" w:hAnsi="仿宋" w:eastAsia="仿宋" w:cs="仿宋"/>
          <w:color w:val="auto"/>
          <w:sz w:val="24"/>
          <w:szCs w:val="24"/>
          <w:highlight w:val="none"/>
          <w:lang w:val="en-US" w:eastAsia="zh-CN"/>
        </w:rPr>
      </w:pPr>
    </w:p>
    <w:p w14:paraId="1596C5B3">
      <w:pPr>
        <w:pStyle w:val="31"/>
        <w:jc w:val="right"/>
        <w:rPr>
          <w:rFonts w:hint="eastAsia" w:ascii="仿宋" w:hAnsi="仿宋" w:eastAsia="仿宋" w:cs="仿宋"/>
          <w:sz w:val="24"/>
          <w:szCs w:val="24"/>
        </w:rPr>
      </w:pPr>
      <w:r>
        <w:rPr>
          <w:rFonts w:hint="eastAsia" w:ascii="仿宋" w:hAnsi="仿宋" w:eastAsia="仿宋" w:cs="仿宋"/>
          <w:sz w:val="24"/>
          <w:szCs w:val="24"/>
        </w:rPr>
        <w:t>陕西佳鸿项目管理咨询有限公司</w:t>
      </w:r>
    </w:p>
    <w:p w14:paraId="7E1AEC59">
      <w:pPr>
        <w:pStyle w:val="31"/>
        <w:jc w:val="right"/>
        <w:rPr>
          <w:rFonts w:hint="eastAsia" w:ascii="仿宋" w:hAnsi="仿宋" w:eastAsia="仿宋" w:cs="仿宋"/>
          <w:sz w:val="24"/>
          <w:szCs w:val="24"/>
        </w:rPr>
      </w:pPr>
    </w:p>
    <w:p w14:paraId="2C81F0B7">
      <w:pPr>
        <w:pStyle w:val="31"/>
        <w:jc w:val="right"/>
        <w:rPr>
          <w:rFonts w:hint="eastAsia" w:ascii="仿宋" w:hAnsi="仿宋" w:eastAsia="仿宋" w:cs="仿宋"/>
          <w:sz w:val="24"/>
          <w:szCs w:val="24"/>
        </w:rPr>
      </w:pPr>
      <w:r>
        <w:rPr>
          <w:rFonts w:hint="eastAsia" w:ascii="仿宋" w:hAnsi="仿宋" w:eastAsia="仿宋" w:cs="仿宋"/>
          <w:sz w:val="24"/>
          <w:szCs w:val="24"/>
        </w:rPr>
        <w:t>2025年07月24日</w:t>
      </w:r>
    </w:p>
    <w:p w14:paraId="2363B2F9">
      <w:pPr>
        <w:pStyle w:val="31"/>
        <w:rPr>
          <w:rFonts w:hint="eastAsia" w:ascii="仿宋" w:hAnsi="仿宋" w:eastAsia="仿宋" w:cs="仿宋"/>
          <w:sz w:val="24"/>
          <w:szCs w:val="24"/>
        </w:rPr>
      </w:pPr>
    </w:p>
    <w:p w14:paraId="0254B94E">
      <w:pPr>
        <w:pStyle w:val="31"/>
        <w:rPr>
          <w:rFonts w:hint="eastAsia" w:ascii="仿宋" w:hAnsi="仿宋" w:eastAsia="仿宋" w:cs="仿宋"/>
          <w:sz w:val="24"/>
          <w:szCs w:val="24"/>
        </w:rPr>
      </w:pPr>
    </w:p>
    <w:p w14:paraId="4867A3A9">
      <w:pPr>
        <w:pStyle w:val="31"/>
        <w:rPr>
          <w:rFonts w:hint="eastAsia" w:ascii="仿宋" w:hAnsi="仿宋" w:eastAsia="仿宋" w:cs="仿宋"/>
          <w:sz w:val="24"/>
          <w:szCs w:val="24"/>
        </w:rPr>
      </w:pPr>
    </w:p>
    <w:p w14:paraId="39971C0C">
      <w:pPr>
        <w:pStyle w:val="31"/>
        <w:rPr>
          <w:rFonts w:hint="eastAsia" w:ascii="仿宋" w:hAnsi="仿宋" w:eastAsia="仿宋" w:cs="仿宋"/>
          <w:sz w:val="24"/>
          <w:szCs w:val="24"/>
        </w:rPr>
      </w:pPr>
    </w:p>
    <w:p w14:paraId="7B5D3994">
      <w:pPr>
        <w:spacing w:after="50" w:line="600" w:lineRule="exac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kern w:val="44"/>
          <w:sz w:val="44"/>
          <w:szCs w:val="44"/>
          <w:highlight w:val="none"/>
        </w:rPr>
        <w:t>第二</w:t>
      </w:r>
      <w:r>
        <w:rPr>
          <w:rFonts w:hint="eastAsia" w:ascii="仿宋" w:hAnsi="仿宋" w:eastAsia="仿宋" w:cs="仿宋"/>
          <w:b/>
          <w:color w:val="auto"/>
          <w:sz w:val="44"/>
          <w:szCs w:val="44"/>
          <w:highlight w:val="none"/>
        </w:rPr>
        <w:t>章  供应商须知</w:t>
      </w:r>
      <w:bookmarkEnd w:id="6"/>
      <w:bookmarkEnd w:id="7"/>
      <w:bookmarkEnd w:id="8"/>
      <w:bookmarkEnd w:id="9"/>
      <w:bookmarkEnd w:id="10"/>
      <w:bookmarkEnd w:id="11"/>
      <w:bookmarkEnd w:id="12"/>
    </w:p>
    <w:p w14:paraId="0964D1E7">
      <w:pPr>
        <w:spacing w:before="240" w:beforeLines="100" w:after="50" w:line="600" w:lineRule="exact"/>
        <w:jc w:val="center"/>
        <w:outlineLvl w:val="1"/>
        <w:rPr>
          <w:rFonts w:hint="eastAsia" w:ascii="仿宋" w:hAnsi="仿宋" w:eastAsia="仿宋" w:cs="仿宋"/>
          <w:color w:val="auto"/>
          <w:sz w:val="32"/>
          <w:szCs w:val="32"/>
          <w:highlight w:val="none"/>
        </w:rPr>
      </w:pPr>
      <w:bookmarkStart w:id="17" w:name="_Toc19095"/>
      <w:bookmarkStart w:id="18" w:name="_Toc21533"/>
      <w:bookmarkStart w:id="19" w:name="_Toc2998"/>
      <w:bookmarkStart w:id="20" w:name="_Toc758"/>
      <w:bookmarkStart w:id="21" w:name="_Toc6855"/>
      <w:bookmarkStart w:id="22" w:name="_Toc966_WPSOffice_Level2"/>
      <w:bookmarkStart w:id="23" w:name="_Toc755"/>
      <w:r>
        <w:rPr>
          <w:rFonts w:hint="eastAsia" w:ascii="仿宋" w:hAnsi="仿宋" w:eastAsia="仿宋" w:cs="仿宋"/>
          <w:b/>
          <w:bCs/>
          <w:color w:val="auto"/>
          <w:sz w:val="32"/>
          <w:szCs w:val="32"/>
          <w:highlight w:val="none"/>
        </w:rPr>
        <w:t>供应商须知前附表</w:t>
      </w:r>
      <w:bookmarkEnd w:id="17"/>
      <w:bookmarkEnd w:id="18"/>
      <w:bookmarkEnd w:id="19"/>
      <w:bookmarkEnd w:id="20"/>
      <w:bookmarkEnd w:id="21"/>
      <w:bookmarkEnd w:id="22"/>
      <w:bookmarkEnd w:id="23"/>
    </w:p>
    <w:tbl>
      <w:tblPr>
        <w:tblStyle w:val="46"/>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1"/>
        <w:gridCol w:w="2081"/>
        <w:gridCol w:w="6609"/>
      </w:tblGrid>
      <w:tr w14:paraId="2A54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079F259">
            <w:pPr>
              <w:pStyle w:val="84"/>
              <w:keepNext w:val="0"/>
              <w:keepLines w:val="0"/>
              <w:suppressLineNumbers w:val="0"/>
              <w:spacing w:before="0" w:beforeAutospacing="0" w:after="0" w:afterAutospacing="0"/>
              <w:ind w:left="9"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 xml:space="preserve">序号 </w:t>
            </w:r>
          </w:p>
        </w:tc>
        <w:tc>
          <w:tcPr>
            <w:tcW w:w="2081" w:type="dxa"/>
            <w:noWrap w:val="0"/>
            <w:vAlign w:val="center"/>
          </w:tcPr>
          <w:p w14:paraId="0F275CF9">
            <w:pPr>
              <w:pStyle w:val="84"/>
              <w:keepNext w:val="0"/>
              <w:keepLines w:val="0"/>
              <w:suppressLineNumbers w:val="0"/>
              <w:spacing w:before="0" w:beforeAutospacing="0" w:after="0" w:afterAutospacing="0"/>
              <w:ind w:left="38"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内容</w:t>
            </w:r>
          </w:p>
        </w:tc>
        <w:tc>
          <w:tcPr>
            <w:tcW w:w="6609" w:type="dxa"/>
            <w:noWrap w:val="0"/>
            <w:vAlign w:val="center"/>
          </w:tcPr>
          <w:p w14:paraId="1B476C47">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说明和要求</w:t>
            </w:r>
          </w:p>
        </w:tc>
      </w:tr>
      <w:tr w14:paraId="142C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1E4C838">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1</w:t>
            </w:r>
          </w:p>
        </w:tc>
        <w:tc>
          <w:tcPr>
            <w:tcW w:w="2081" w:type="dxa"/>
            <w:noWrap w:val="0"/>
            <w:vAlign w:val="center"/>
          </w:tcPr>
          <w:p w14:paraId="15D2FBF2">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采购人</w:t>
            </w:r>
          </w:p>
        </w:tc>
        <w:tc>
          <w:tcPr>
            <w:tcW w:w="6609" w:type="dxa"/>
            <w:noWrap w:val="0"/>
            <w:vAlign w:val="center"/>
          </w:tcPr>
          <w:p w14:paraId="07C3EE27">
            <w:pPr>
              <w:pStyle w:val="84"/>
              <w:keepNext w:val="0"/>
              <w:keepLines w:val="0"/>
              <w:suppressLineNumbers w:val="0"/>
              <w:spacing w:before="0" w:beforeAutospacing="0" w:after="0" w:afterAutospacing="0"/>
              <w:ind w:left="142"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  称：</w:t>
            </w:r>
            <w:r>
              <w:rPr>
                <w:rFonts w:hint="eastAsia" w:ascii="仿宋" w:hAnsi="仿宋" w:eastAsia="仿宋" w:cs="仿宋"/>
                <w:color w:val="auto"/>
                <w:kern w:val="2"/>
                <w:sz w:val="24"/>
                <w:szCs w:val="24"/>
                <w:highlight w:val="none"/>
                <w:lang w:val="zh-CN"/>
              </w:rPr>
              <w:t>汉中市铺镇中学</w:t>
            </w:r>
          </w:p>
          <w:p w14:paraId="28C1B272">
            <w:pPr>
              <w:pStyle w:val="84"/>
              <w:keepNext w:val="0"/>
              <w:keepLines w:val="0"/>
              <w:suppressLineNumbers w:val="0"/>
              <w:spacing w:before="0" w:beforeAutospacing="0" w:after="0" w:afterAutospacing="0"/>
              <w:ind w:left="142"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地  址：汉中市汉台区铺镇东街139号</w:t>
            </w:r>
          </w:p>
        </w:tc>
      </w:tr>
      <w:tr w14:paraId="4B8A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1E1CFFE">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2</w:t>
            </w:r>
          </w:p>
        </w:tc>
        <w:tc>
          <w:tcPr>
            <w:tcW w:w="2081" w:type="dxa"/>
            <w:noWrap w:val="0"/>
            <w:vAlign w:val="center"/>
          </w:tcPr>
          <w:p w14:paraId="126B42E6">
            <w:pPr>
              <w:pStyle w:val="84"/>
              <w:keepNext w:val="0"/>
              <w:keepLines w:val="0"/>
              <w:suppressLineNumbers w:val="0"/>
              <w:spacing w:before="0" w:beforeAutospacing="0" w:after="0" w:afterAutospacing="0"/>
              <w:ind w:left="38"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采购代理机构</w:t>
            </w:r>
          </w:p>
        </w:tc>
        <w:tc>
          <w:tcPr>
            <w:tcW w:w="6609" w:type="dxa"/>
            <w:noWrap w:val="0"/>
            <w:vAlign w:val="center"/>
          </w:tcPr>
          <w:p w14:paraId="313D471D">
            <w:pPr>
              <w:pStyle w:val="84"/>
              <w:keepNext w:val="0"/>
              <w:keepLines w:val="0"/>
              <w:suppressLineNumbers w:val="0"/>
              <w:spacing w:before="0" w:beforeAutospacing="0" w:after="0" w:afterAutospacing="0"/>
              <w:ind w:left="142" w:right="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名  称：</w:t>
            </w:r>
            <w:r>
              <w:rPr>
                <w:rFonts w:hint="eastAsia" w:ascii="仿宋" w:hAnsi="仿宋" w:eastAsia="仿宋" w:cs="仿宋"/>
                <w:color w:val="auto"/>
                <w:kern w:val="2"/>
                <w:sz w:val="24"/>
                <w:szCs w:val="24"/>
                <w:highlight w:val="none"/>
                <w:lang w:eastAsia="zh-CN"/>
              </w:rPr>
              <w:t>陕西佳鸿项目管理咨询有限公司</w:t>
            </w:r>
          </w:p>
          <w:p w14:paraId="6914EB1B">
            <w:pPr>
              <w:pStyle w:val="84"/>
              <w:keepNext w:val="0"/>
              <w:keepLines w:val="0"/>
              <w:suppressLineNumbers w:val="0"/>
              <w:spacing w:before="0" w:beforeAutospacing="0" w:after="0" w:afterAutospacing="0"/>
              <w:ind w:left="142" w:right="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地  址：</w:t>
            </w:r>
            <w:r>
              <w:rPr>
                <w:rFonts w:hint="eastAsia" w:ascii="仿宋" w:hAnsi="仿宋" w:eastAsia="仿宋" w:cs="仿宋"/>
                <w:color w:val="auto"/>
                <w:kern w:val="2"/>
                <w:sz w:val="24"/>
                <w:szCs w:val="24"/>
                <w:lang w:eastAsia="zh-CN"/>
              </w:rPr>
              <w:t>陕西省汉中市汉台区滨江路中青凯旋门南门右边商铺202号</w:t>
            </w:r>
          </w:p>
          <w:p w14:paraId="2B322986">
            <w:pPr>
              <w:pStyle w:val="7"/>
              <w:keepNext w:val="0"/>
              <w:keepLines w:val="0"/>
              <w:suppressLineNumbers w:val="0"/>
              <w:spacing w:before="0" w:beforeAutospacing="0" w:after="0" w:afterAutospacing="0"/>
              <w:ind w:left="142" w:right="0" w:firstLine="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联系人：周女士</w:t>
            </w:r>
            <w:r>
              <w:rPr>
                <w:rFonts w:hint="eastAsia" w:ascii="仿宋" w:hAnsi="仿宋" w:eastAsia="仿宋" w:cs="仿宋"/>
                <w:color w:val="auto"/>
                <w:kern w:val="0"/>
                <w:sz w:val="24"/>
                <w:szCs w:val="24"/>
                <w:highlight w:val="none"/>
              </w:rPr>
              <w:t xml:space="preserve">  </w:t>
            </w:r>
          </w:p>
          <w:p w14:paraId="6CC35D04">
            <w:pPr>
              <w:pStyle w:val="7"/>
              <w:keepNext w:val="0"/>
              <w:keepLines w:val="0"/>
              <w:suppressLineNumbers w:val="0"/>
              <w:spacing w:before="0" w:beforeAutospacing="0" w:after="0" w:afterAutospacing="0"/>
              <w:ind w:left="142" w:right="0" w:firstLine="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sz w:val="24"/>
                <w:szCs w:val="24"/>
                <w:lang w:val="en-US" w:eastAsia="zh-CN"/>
              </w:rPr>
              <w:t>17729063496</w:t>
            </w:r>
          </w:p>
        </w:tc>
      </w:tr>
      <w:tr w14:paraId="12A6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44A2E14">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3</w:t>
            </w:r>
          </w:p>
        </w:tc>
        <w:tc>
          <w:tcPr>
            <w:tcW w:w="2081" w:type="dxa"/>
            <w:noWrap w:val="0"/>
            <w:vAlign w:val="center"/>
          </w:tcPr>
          <w:p w14:paraId="58F2840D">
            <w:pPr>
              <w:pStyle w:val="84"/>
              <w:keepNext w:val="0"/>
              <w:keepLines w:val="0"/>
              <w:suppressLineNumbers w:val="0"/>
              <w:spacing w:before="0" w:beforeAutospacing="0" w:after="0" w:afterAutospacing="0"/>
              <w:ind w:left="38"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采购项目名称</w:t>
            </w:r>
          </w:p>
        </w:tc>
        <w:tc>
          <w:tcPr>
            <w:tcW w:w="6609" w:type="dxa"/>
            <w:noWrap w:val="0"/>
            <w:vAlign w:val="center"/>
          </w:tcPr>
          <w:p w14:paraId="79550B36">
            <w:pPr>
              <w:pStyle w:val="7"/>
              <w:keepNext w:val="0"/>
              <w:keepLines w:val="0"/>
              <w:suppressLineNumbers w:val="0"/>
              <w:spacing w:before="0" w:beforeAutospacing="0" w:after="0" w:afterAutospacing="0"/>
              <w:ind w:left="142" w:right="0" w:firstLine="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学生公寓楼维修改造及前院环境提升工程</w:t>
            </w:r>
          </w:p>
        </w:tc>
      </w:tr>
      <w:tr w14:paraId="1CA2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288658C">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4</w:t>
            </w:r>
          </w:p>
        </w:tc>
        <w:tc>
          <w:tcPr>
            <w:tcW w:w="2081" w:type="dxa"/>
            <w:noWrap w:val="0"/>
            <w:vAlign w:val="center"/>
          </w:tcPr>
          <w:p w14:paraId="2C372AA4">
            <w:pPr>
              <w:pStyle w:val="84"/>
              <w:keepNext w:val="0"/>
              <w:keepLines w:val="0"/>
              <w:suppressLineNumbers w:val="0"/>
              <w:spacing w:before="0" w:beforeAutospacing="0" w:after="0" w:afterAutospacing="0"/>
              <w:ind w:left="38"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采购项目编号</w:t>
            </w:r>
          </w:p>
        </w:tc>
        <w:tc>
          <w:tcPr>
            <w:tcW w:w="6609" w:type="dxa"/>
            <w:noWrap w:val="0"/>
            <w:vAlign w:val="center"/>
          </w:tcPr>
          <w:p w14:paraId="2CBE780F">
            <w:pPr>
              <w:pStyle w:val="7"/>
              <w:keepNext w:val="0"/>
              <w:keepLines w:val="0"/>
              <w:suppressLineNumbers w:val="0"/>
              <w:spacing w:before="0" w:beforeAutospacing="0" w:after="0" w:afterAutospacing="0"/>
              <w:ind w:left="142" w:right="0" w:firstLine="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ZCBN-汉台区-2025-00145</w:t>
            </w:r>
          </w:p>
        </w:tc>
      </w:tr>
      <w:tr w14:paraId="6ED1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47AA0FE">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5</w:t>
            </w:r>
          </w:p>
        </w:tc>
        <w:tc>
          <w:tcPr>
            <w:tcW w:w="2081" w:type="dxa"/>
            <w:noWrap w:val="0"/>
            <w:vAlign w:val="center"/>
          </w:tcPr>
          <w:p w14:paraId="7C8F52EB">
            <w:pPr>
              <w:pStyle w:val="84"/>
              <w:keepNext w:val="0"/>
              <w:keepLines w:val="0"/>
              <w:suppressLineNumbers w:val="0"/>
              <w:spacing w:before="0" w:beforeAutospacing="0" w:after="0" w:afterAutospacing="0"/>
              <w:ind w:left="38"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资金来源</w:t>
            </w:r>
          </w:p>
        </w:tc>
        <w:tc>
          <w:tcPr>
            <w:tcW w:w="6609" w:type="dxa"/>
            <w:noWrap w:val="0"/>
            <w:vAlign w:val="center"/>
          </w:tcPr>
          <w:p w14:paraId="7276767D">
            <w:pPr>
              <w:keepNext w:val="0"/>
              <w:keepLines w:val="0"/>
              <w:suppressLineNumbers w:val="0"/>
              <w:spacing w:before="0" w:beforeAutospacing="0" w:after="0" w:afterAutospacing="0"/>
              <w:ind w:left="0" w:right="0" w:firstLine="240" w:firstLineChars="10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财政资金</w:t>
            </w:r>
          </w:p>
        </w:tc>
      </w:tr>
      <w:tr w14:paraId="7E85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1" w:type="dxa"/>
            <w:noWrap w:val="0"/>
            <w:vAlign w:val="center"/>
          </w:tcPr>
          <w:p w14:paraId="56D3AF94">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6</w:t>
            </w:r>
          </w:p>
        </w:tc>
        <w:tc>
          <w:tcPr>
            <w:tcW w:w="2081" w:type="dxa"/>
            <w:noWrap w:val="0"/>
            <w:vAlign w:val="center"/>
          </w:tcPr>
          <w:p w14:paraId="0CAE4C47">
            <w:pPr>
              <w:pStyle w:val="84"/>
              <w:keepNext w:val="0"/>
              <w:keepLines w:val="0"/>
              <w:suppressLineNumbers w:val="0"/>
              <w:spacing w:before="0" w:beforeAutospacing="0" w:after="0" w:afterAutospacing="0"/>
              <w:ind w:left="38"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采购预算金额及最高限价</w:t>
            </w:r>
          </w:p>
        </w:tc>
        <w:tc>
          <w:tcPr>
            <w:tcW w:w="6609" w:type="dxa"/>
            <w:noWrap w:val="0"/>
            <w:vAlign w:val="center"/>
          </w:tcPr>
          <w:p w14:paraId="6EC3DCA2">
            <w:pPr>
              <w:pStyle w:val="84"/>
              <w:keepNext w:val="0"/>
              <w:keepLines w:val="0"/>
              <w:suppressLineNumbers w:val="0"/>
              <w:spacing w:before="0" w:beforeAutospacing="0" w:after="0" w:afterAutospacing="0"/>
              <w:ind w:left="142" w:right="0"/>
              <w:jc w:val="both"/>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rPr>
              <w:t>本项目</w:t>
            </w:r>
            <w:r>
              <w:rPr>
                <w:rFonts w:hint="eastAsia" w:ascii="仿宋" w:hAnsi="仿宋" w:eastAsia="仿宋" w:cs="仿宋"/>
                <w:color w:val="auto"/>
                <w:kern w:val="2"/>
                <w:sz w:val="24"/>
                <w:szCs w:val="24"/>
                <w:highlight w:val="none"/>
                <w:lang w:val="en-US" w:eastAsia="zh-CN"/>
              </w:rPr>
              <w:t>最高限价</w:t>
            </w:r>
            <w:r>
              <w:rPr>
                <w:rFonts w:hint="eastAsia" w:ascii="仿宋" w:hAnsi="仿宋" w:eastAsia="仿宋" w:cs="仿宋"/>
                <w:color w:val="auto"/>
                <w:kern w:val="2"/>
                <w:sz w:val="24"/>
                <w:szCs w:val="24"/>
                <w:highlight w:val="none"/>
              </w:rPr>
              <w:t>为</w:t>
            </w:r>
            <w:r>
              <w:rPr>
                <w:rFonts w:hint="eastAsia" w:ascii="仿宋" w:hAnsi="仿宋" w:eastAsia="仿宋" w:cs="仿宋"/>
                <w:color w:val="auto"/>
                <w:kern w:val="2"/>
                <w:sz w:val="24"/>
                <w:szCs w:val="24"/>
                <w:highlight w:val="none"/>
                <w:lang w:val="en-US" w:eastAsia="zh-CN"/>
              </w:rPr>
              <w:t>:699,371.18元</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rPr>
              <w:t>供应商报价超过</w:t>
            </w:r>
            <w:r>
              <w:rPr>
                <w:rFonts w:hint="eastAsia" w:ascii="仿宋" w:hAnsi="仿宋" w:eastAsia="仿宋" w:cs="仿宋"/>
                <w:color w:val="auto"/>
                <w:kern w:val="2"/>
                <w:sz w:val="24"/>
                <w:szCs w:val="24"/>
                <w:highlight w:val="none"/>
                <w:lang w:val="en-US" w:eastAsia="zh-CN"/>
              </w:rPr>
              <w:t>最高限价</w:t>
            </w:r>
            <w:r>
              <w:rPr>
                <w:rFonts w:hint="eastAsia" w:ascii="仿宋" w:hAnsi="仿宋" w:eastAsia="仿宋" w:cs="仿宋"/>
                <w:b w:val="0"/>
                <w:bCs w:val="0"/>
                <w:color w:val="auto"/>
                <w:kern w:val="2"/>
                <w:sz w:val="24"/>
                <w:szCs w:val="24"/>
                <w:highlight w:val="none"/>
                <w:lang w:val="en-US" w:eastAsia="zh-CN"/>
              </w:rPr>
              <w:t>的为无效报价</w:t>
            </w:r>
            <w:r>
              <w:rPr>
                <w:rFonts w:hint="eastAsia" w:ascii="仿宋" w:hAnsi="仿宋" w:eastAsia="仿宋" w:cs="仿宋"/>
                <w:color w:val="auto"/>
                <w:kern w:val="2"/>
                <w:sz w:val="24"/>
                <w:szCs w:val="24"/>
                <w:highlight w:val="none"/>
                <w:lang w:eastAsia="zh-CN"/>
              </w:rPr>
              <w:t>）</w:t>
            </w:r>
          </w:p>
        </w:tc>
      </w:tr>
      <w:tr w14:paraId="6E49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985C2FD">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7</w:t>
            </w:r>
          </w:p>
        </w:tc>
        <w:tc>
          <w:tcPr>
            <w:tcW w:w="2081" w:type="dxa"/>
            <w:noWrap w:val="0"/>
            <w:vAlign w:val="center"/>
          </w:tcPr>
          <w:p w14:paraId="41534981">
            <w:pPr>
              <w:pStyle w:val="84"/>
              <w:keepNext w:val="0"/>
              <w:keepLines w:val="0"/>
              <w:suppressLineNumbers w:val="0"/>
              <w:spacing w:before="0" w:beforeAutospacing="0" w:after="0" w:afterAutospacing="0"/>
              <w:ind w:left="38"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工期</w:t>
            </w:r>
          </w:p>
        </w:tc>
        <w:tc>
          <w:tcPr>
            <w:tcW w:w="6609" w:type="dxa"/>
            <w:noWrap w:val="0"/>
            <w:vAlign w:val="center"/>
          </w:tcPr>
          <w:p w14:paraId="68133B89">
            <w:pPr>
              <w:pStyle w:val="84"/>
              <w:keepNext w:val="0"/>
              <w:keepLines w:val="0"/>
              <w:suppressLineNumbers w:val="0"/>
              <w:spacing w:before="0" w:beforeAutospacing="0" w:after="0" w:afterAutospacing="0"/>
              <w:ind w:left="142"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kern w:val="2"/>
                <w:sz w:val="24"/>
                <w:szCs w:val="24"/>
                <w:lang w:val="en-US" w:eastAsia="zh-CN"/>
              </w:rPr>
              <w:t>30日历天</w:t>
            </w:r>
          </w:p>
        </w:tc>
      </w:tr>
      <w:tr w14:paraId="32F9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F757018">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8</w:t>
            </w:r>
          </w:p>
        </w:tc>
        <w:tc>
          <w:tcPr>
            <w:tcW w:w="2081" w:type="dxa"/>
            <w:noWrap w:val="0"/>
            <w:vAlign w:val="center"/>
          </w:tcPr>
          <w:p w14:paraId="5124AAE3">
            <w:pPr>
              <w:pStyle w:val="84"/>
              <w:keepNext w:val="0"/>
              <w:keepLines w:val="0"/>
              <w:suppressLineNumbers w:val="0"/>
              <w:spacing w:before="0" w:beforeAutospacing="0" w:after="0" w:afterAutospacing="0"/>
              <w:ind w:left="38"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项目用途</w:t>
            </w:r>
          </w:p>
        </w:tc>
        <w:tc>
          <w:tcPr>
            <w:tcW w:w="6609" w:type="dxa"/>
            <w:noWrap w:val="0"/>
            <w:vAlign w:val="center"/>
          </w:tcPr>
          <w:p w14:paraId="5279F2E7">
            <w:pPr>
              <w:pStyle w:val="84"/>
              <w:keepNext w:val="0"/>
              <w:keepLines w:val="0"/>
              <w:suppressLineNumbers w:val="0"/>
              <w:spacing w:before="0" w:beforeAutospacing="0" w:after="0" w:afterAutospacing="0"/>
              <w:ind w:left="142"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w:t>
            </w:r>
          </w:p>
        </w:tc>
      </w:tr>
      <w:tr w14:paraId="3C03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0D5D99FE">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9</w:t>
            </w:r>
          </w:p>
        </w:tc>
        <w:tc>
          <w:tcPr>
            <w:tcW w:w="2081" w:type="dxa"/>
            <w:noWrap w:val="0"/>
            <w:vAlign w:val="center"/>
          </w:tcPr>
          <w:p w14:paraId="1971FD8C">
            <w:pPr>
              <w:pStyle w:val="84"/>
              <w:keepNext w:val="0"/>
              <w:keepLines w:val="0"/>
              <w:suppressLineNumbers w:val="0"/>
              <w:spacing w:before="0" w:beforeAutospacing="0" w:after="0" w:afterAutospacing="0"/>
              <w:ind w:left="38"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采购方式</w:t>
            </w:r>
          </w:p>
        </w:tc>
        <w:tc>
          <w:tcPr>
            <w:tcW w:w="6609" w:type="dxa"/>
            <w:noWrap w:val="0"/>
            <w:vAlign w:val="center"/>
          </w:tcPr>
          <w:p w14:paraId="3A5B7D7A">
            <w:pPr>
              <w:pStyle w:val="84"/>
              <w:keepNext w:val="0"/>
              <w:keepLines w:val="0"/>
              <w:suppressLineNumbers w:val="0"/>
              <w:spacing w:before="0" w:beforeAutospacing="0" w:after="0" w:afterAutospacing="0"/>
              <w:ind w:left="142"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竞争性磋商 </w:t>
            </w:r>
          </w:p>
        </w:tc>
      </w:tr>
      <w:tr w14:paraId="3D4A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8B5A5F9">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10</w:t>
            </w:r>
          </w:p>
        </w:tc>
        <w:tc>
          <w:tcPr>
            <w:tcW w:w="2081" w:type="dxa"/>
            <w:noWrap w:val="0"/>
            <w:vAlign w:val="center"/>
          </w:tcPr>
          <w:p w14:paraId="6FBC21F8">
            <w:pPr>
              <w:pStyle w:val="84"/>
              <w:keepNext w:val="0"/>
              <w:keepLines w:val="0"/>
              <w:suppressLineNumbers w:val="0"/>
              <w:spacing w:before="0" w:beforeAutospacing="0" w:after="0" w:afterAutospacing="0"/>
              <w:ind w:left="38"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采购范围</w:t>
            </w:r>
          </w:p>
        </w:tc>
        <w:tc>
          <w:tcPr>
            <w:tcW w:w="6609" w:type="dxa"/>
            <w:noWrap w:val="0"/>
            <w:vAlign w:val="center"/>
          </w:tcPr>
          <w:p w14:paraId="555FF1AA">
            <w:pPr>
              <w:pStyle w:val="84"/>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主要建设内容为拆除原有绿化带，新建混凝土地面，新建花池及学生公寓楼维修改造等。（具体详见</w:t>
            </w:r>
            <w:r>
              <w:rPr>
                <w:rFonts w:hint="eastAsia" w:ascii="仿宋" w:hAnsi="仿宋" w:eastAsia="仿宋" w:cs="仿宋"/>
                <w:color w:val="auto"/>
                <w:kern w:val="2"/>
                <w:sz w:val="24"/>
                <w:szCs w:val="24"/>
                <w:highlight w:val="none"/>
                <w:lang w:val="en-US" w:eastAsia="zh-CN"/>
              </w:rPr>
              <w:t>工程量清单</w:t>
            </w:r>
            <w:r>
              <w:rPr>
                <w:rFonts w:hint="eastAsia" w:ascii="仿宋" w:hAnsi="仿宋" w:eastAsia="仿宋" w:cs="仿宋"/>
                <w:color w:val="auto"/>
                <w:kern w:val="2"/>
                <w:sz w:val="24"/>
                <w:szCs w:val="24"/>
                <w:highlight w:val="none"/>
              </w:rPr>
              <w:t>）</w:t>
            </w:r>
          </w:p>
        </w:tc>
      </w:tr>
      <w:tr w14:paraId="5584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F5CB251">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11</w:t>
            </w:r>
          </w:p>
        </w:tc>
        <w:tc>
          <w:tcPr>
            <w:tcW w:w="2081" w:type="dxa"/>
            <w:noWrap w:val="0"/>
            <w:vAlign w:val="center"/>
          </w:tcPr>
          <w:p w14:paraId="06A3DD14">
            <w:pPr>
              <w:pStyle w:val="84"/>
              <w:keepNext w:val="0"/>
              <w:keepLines w:val="0"/>
              <w:suppressLineNumbers w:val="0"/>
              <w:spacing w:before="0" w:beforeAutospacing="0" w:after="0" w:afterAutospacing="0"/>
              <w:ind w:left="96"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资格要求</w:t>
            </w:r>
          </w:p>
        </w:tc>
        <w:tc>
          <w:tcPr>
            <w:tcW w:w="6609" w:type="dxa"/>
            <w:noWrap w:val="0"/>
            <w:vAlign w:val="center"/>
          </w:tcPr>
          <w:p w14:paraId="6F324FDF">
            <w:pPr>
              <w:keepNext w:val="0"/>
              <w:keepLines w:val="0"/>
              <w:suppressLineNumbers w:val="0"/>
              <w:spacing w:before="0" w:beforeAutospacing="0" w:after="0" w:afterAutospacing="0" w:line="560" w:lineRule="exact"/>
              <w:ind w:left="0"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1.具有独立承担民事责任能力的法人、其他组织或自然人，提供合法有效的统一社会信用代码营业执照（事业单位提供事业单位法人证书，自然人提供身份证明）；</w:t>
            </w:r>
          </w:p>
          <w:p w14:paraId="6E68E495">
            <w:pPr>
              <w:keepNext w:val="0"/>
              <w:keepLines w:val="0"/>
              <w:suppressLineNumbers w:val="0"/>
              <w:spacing w:before="0" w:beforeAutospacing="0" w:after="0" w:afterAutospacing="0" w:line="560" w:lineRule="exact"/>
              <w:ind w:left="0"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2.法定代表人授权委托书：法定代表人参加磋商的，须出示身份证原件；法定代表人授权他人参加磋商的，须提供法定代表人授权委托书及被授权人身份证原件；</w:t>
            </w:r>
          </w:p>
          <w:p w14:paraId="00723A37">
            <w:pPr>
              <w:keepNext w:val="0"/>
              <w:keepLines w:val="0"/>
              <w:suppressLineNumbers w:val="0"/>
              <w:spacing w:before="0" w:beforeAutospacing="0" w:after="0" w:afterAutospacing="0" w:line="560" w:lineRule="exact"/>
              <w:ind w:left="0"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p w14:paraId="728C37DA">
            <w:pPr>
              <w:keepNext w:val="0"/>
              <w:keepLines w:val="0"/>
              <w:suppressLineNumbers w:val="0"/>
              <w:spacing w:before="0" w:beforeAutospacing="0" w:after="0" w:afterAutospacing="0" w:line="560" w:lineRule="exact"/>
              <w:ind w:left="0"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应具备建设行政主管部门颁发合法有效的建筑工程施工总承包三级（含）以上资质，并具备有效的安全生产许可证；拟派项目经理须具备建筑工程专业二级（含）以上注册建造师执业资格及安全生产考核合格证（B证），且未担任其他在建工程项目的项目经理；</w:t>
            </w:r>
          </w:p>
          <w:p w14:paraId="0FE32FC4">
            <w:pPr>
              <w:keepNext w:val="0"/>
              <w:keepLines w:val="0"/>
              <w:suppressLineNumbers w:val="0"/>
              <w:spacing w:before="0" w:beforeAutospacing="0" w:after="0" w:afterAutospacing="0" w:line="560" w:lineRule="exact"/>
              <w:ind w:left="0"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5.本项目专门面向中小企业采购。</w:t>
            </w:r>
          </w:p>
          <w:p w14:paraId="3309595F">
            <w:pPr>
              <w:pStyle w:val="84"/>
              <w:keepNext w:val="0"/>
              <w:keepLines w:val="0"/>
              <w:suppressLineNumbers w:val="0"/>
              <w:spacing w:before="0" w:beforeAutospacing="0" w:after="0" w:afterAutospacing="0"/>
              <w:ind w:left="142"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注：供应商在开标截止时间之前单独递交上述资格审查文件，缺少任何一项或某项达不到招标文件要求均按无效文件处理。</w:t>
            </w:r>
          </w:p>
        </w:tc>
      </w:tr>
      <w:tr w14:paraId="3823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FDE00C8">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1</w:t>
            </w:r>
            <w:r>
              <w:rPr>
                <w:rFonts w:hint="eastAsia" w:ascii="仿宋" w:hAnsi="仿宋" w:eastAsia="仿宋" w:cs="仿宋"/>
                <w:color w:val="auto"/>
                <w:kern w:val="2"/>
                <w:sz w:val="24"/>
                <w:szCs w:val="24"/>
                <w:highlight w:val="none"/>
                <w:lang w:val="en-US" w:eastAsia="zh-CN"/>
              </w:rPr>
              <w:t>2</w:t>
            </w:r>
          </w:p>
        </w:tc>
        <w:tc>
          <w:tcPr>
            <w:tcW w:w="2081" w:type="dxa"/>
            <w:noWrap w:val="0"/>
            <w:vAlign w:val="center"/>
          </w:tcPr>
          <w:p w14:paraId="49461334">
            <w:pPr>
              <w:pStyle w:val="84"/>
              <w:keepNext w:val="0"/>
              <w:keepLines w:val="0"/>
              <w:suppressLineNumbers w:val="0"/>
              <w:spacing w:before="0" w:beforeAutospacing="0" w:after="0" w:afterAutospacing="0"/>
              <w:ind w:left="235"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联合体磋商</w:t>
            </w:r>
          </w:p>
        </w:tc>
        <w:tc>
          <w:tcPr>
            <w:tcW w:w="6609" w:type="dxa"/>
            <w:noWrap w:val="0"/>
            <w:vAlign w:val="center"/>
          </w:tcPr>
          <w:p w14:paraId="2B0253EF">
            <w:pPr>
              <w:keepNext w:val="0"/>
              <w:keepLines w:val="0"/>
              <w:suppressLineNumbers w:val="0"/>
              <w:spacing w:before="0" w:beforeAutospacing="0" w:after="0" w:afterAutospacing="0" w:line="340" w:lineRule="exact"/>
              <w:ind w:left="0" w:right="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不接受</w:t>
            </w:r>
          </w:p>
          <w:p w14:paraId="32AA81AB">
            <w:pPr>
              <w:pStyle w:val="84"/>
              <w:keepNext w:val="0"/>
              <w:keepLines w:val="0"/>
              <w:suppressLineNumbers w:val="0"/>
              <w:spacing w:before="0" w:beforeAutospacing="0" w:after="0" w:afterAutospacing="0"/>
              <w:ind w:left="0" w:right="0" w:firstLine="240" w:firstLineChars="1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接受，详见供应商须知第3.3条款</w:t>
            </w:r>
          </w:p>
        </w:tc>
      </w:tr>
      <w:tr w14:paraId="60C9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47E0CB2">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1</w:t>
            </w:r>
            <w:r>
              <w:rPr>
                <w:rFonts w:hint="eastAsia" w:ascii="仿宋" w:hAnsi="仿宋" w:eastAsia="仿宋" w:cs="仿宋"/>
                <w:color w:val="auto"/>
                <w:kern w:val="2"/>
                <w:sz w:val="24"/>
                <w:szCs w:val="24"/>
                <w:highlight w:val="none"/>
                <w:lang w:val="en-US" w:eastAsia="zh-CN"/>
              </w:rPr>
              <w:t>3</w:t>
            </w:r>
          </w:p>
        </w:tc>
        <w:tc>
          <w:tcPr>
            <w:tcW w:w="2081" w:type="dxa"/>
            <w:noWrap w:val="0"/>
            <w:vAlign w:val="center"/>
          </w:tcPr>
          <w:p w14:paraId="4E0F0D8F">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踏勘现场、</w:t>
            </w:r>
          </w:p>
          <w:p w14:paraId="38EF0BFB">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磋商前答疑会</w:t>
            </w:r>
          </w:p>
        </w:tc>
        <w:tc>
          <w:tcPr>
            <w:tcW w:w="6609" w:type="dxa"/>
            <w:noWrap w:val="0"/>
            <w:vAlign w:val="center"/>
          </w:tcPr>
          <w:p w14:paraId="57588795">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不组织</w:t>
            </w:r>
            <w:r>
              <w:rPr>
                <w:rFonts w:hint="eastAsia" w:ascii="仿宋" w:hAnsi="仿宋" w:eastAsia="仿宋" w:cs="仿宋"/>
                <w:color w:val="auto"/>
                <w:sz w:val="24"/>
                <w:szCs w:val="24"/>
                <w:highlight w:val="none"/>
                <w:lang w:bidi="ar"/>
              </w:rPr>
              <w:t>，磋商人自行踏勘现场</w:t>
            </w:r>
          </w:p>
          <w:p w14:paraId="708097EF">
            <w:pPr>
              <w:pStyle w:val="84"/>
              <w:keepNext w:val="0"/>
              <w:keepLines w:val="0"/>
              <w:suppressLineNumbers w:val="0"/>
              <w:spacing w:before="0" w:beforeAutospacing="0" w:after="0" w:afterAutospacing="0"/>
              <w:ind w:left="0" w:right="0" w:firstLine="240" w:firstLineChars="10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 组织，踏勘时间：</w:t>
            </w:r>
          </w:p>
          <w:p w14:paraId="28FC4663">
            <w:pPr>
              <w:pStyle w:val="84"/>
              <w:keepNext w:val="0"/>
              <w:keepLines w:val="0"/>
              <w:suppressLineNumbers w:val="0"/>
              <w:spacing w:before="0" w:beforeAutospacing="0" w:after="0" w:afterAutospacing="0"/>
              <w:ind w:left="0" w:right="0" w:firstLine="240" w:firstLineChars="1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 xml:space="preserve">   踏勘集中地点：</w:t>
            </w:r>
          </w:p>
        </w:tc>
      </w:tr>
      <w:tr w14:paraId="3B90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530C4477">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1</w:t>
            </w:r>
            <w:r>
              <w:rPr>
                <w:rFonts w:hint="eastAsia" w:ascii="仿宋" w:hAnsi="仿宋" w:eastAsia="仿宋" w:cs="仿宋"/>
                <w:color w:val="auto"/>
                <w:kern w:val="2"/>
                <w:sz w:val="24"/>
                <w:szCs w:val="24"/>
                <w:highlight w:val="none"/>
                <w:lang w:val="en-US" w:eastAsia="zh-CN"/>
              </w:rPr>
              <w:t>4</w:t>
            </w:r>
          </w:p>
        </w:tc>
        <w:tc>
          <w:tcPr>
            <w:tcW w:w="2081" w:type="dxa"/>
            <w:noWrap w:val="0"/>
            <w:vAlign w:val="center"/>
          </w:tcPr>
          <w:p w14:paraId="02E90DA7">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转包与分包</w:t>
            </w:r>
          </w:p>
        </w:tc>
        <w:tc>
          <w:tcPr>
            <w:tcW w:w="6609" w:type="dxa"/>
            <w:noWrap w:val="0"/>
            <w:vAlign w:val="center"/>
          </w:tcPr>
          <w:p w14:paraId="377BE0B2">
            <w:pPr>
              <w:pStyle w:val="84"/>
              <w:keepNext w:val="0"/>
              <w:keepLines w:val="0"/>
              <w:suppressLineNumbers w:val="0"/>
              <w:spacing w:before="0" w:beforeAutospacing="0" w:after="0" w:afterAutospacing="0" w:line="320" w:lineRule="exact"/>
              <w:ind w:left="0" w:right="0" w:firstLine="240" w:firstLineChars="1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本项目不得转包。是否允许分包：</w:t>
            </w:r>
          </w:p>
          <w:p w14:paraId="02982296">
            <w:pPr>
              <w:pStyle w:val="84"/>
              <w:keepNext w:val="0"/>
              <w:keepLines w:val="0"/>
              <w:suppressLineNumbers w:val="0"/>
              <w:spacing w:before="0" w:beforeAutospacing="0" w:after="0" w:afterAutospacing="0" w:line="320" w:lineRule="exact"/>
              <w:ind w:left="0" w:right="0" w:firstLine="240" w:firstLineChars="1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lang w:val="zh-CN"/>
              </w:rPr>
              <w:t>不允许</w:t>
            </w:r>
          </w:p>
          <w:p w14:paraId="0FB5F0ED">
            <w:pPr>
              <w:pStyle w:val="84"/>
              <w:keepNext w:val="0"/>
              <w:keepLines w:val="0"/>
              <w:suppressLineNumbers w:val="0"/>
              <w:spacing w:before="0" w:beforeAutospacing="0" w:after="0" w:afterAutospacing="0" w:line="320" w:lineRule="exact"/>
              <w:ind w:left="0" w:right="0" w:firstLine="240" w:firstLineChars="1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 允许 分包内容要求：</w:t>
            </w:r>
          </w:p>
          <w:p w14:paraId="4315C867">
            <w:pPr>
              <w:pStyle w:val="84"/>
              <w:keepNext w:val="0"/>
              <w:keepLines w:val="0"/>
              <w:suppressLineNumbers w:val="0"/>
              <w:spacing w:before="0" w:beforeAutospacing="0" w:after="0" w:afterAutospacing="0" w:line="320" w:lineRule="exact"/>
              <w:ind w:left="0" w:right="0" w:firstLine="240" w:firstLineChars="1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 xml:space="preserve">        分包金额要求：</w:t>
            </w:r>
          </w:p>
          <w:p w14:paraId="243BF6AB">
            <w:pPr>
              <w:pStyle w:val="84"/>
              <w:keepNext w:val="0"/>
              <w:keepLines w:val="0"/>
              <w:suppressLineNumbers w:val="0"/>
              <w:spacing w:before="0" w:beforeAutospacing="0" w:after="0" w:afterAutospacing="0" w:line="320" w:lineRule="exact"/>
              <w:ind w:left="0" w:right="0"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 xml:space="preserve">        接受分包的第三人资质要求：</w:t>
            </w:r>
          </w:p>
        </w:tc>
      </w:tr>
      <w:tr w14:paraId="0CD6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E1744CB">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1</w:t>
            </w:r>
            <w:r>
              <w:rPr>
                <w:rFonts w:hint="eastAsia" w:ascii="仿宋" w:hAnsi="仿宋" w:eastAsia="仿宋" w:cs="仿宋"/>
                <w:color w:val="auto"/>
                <w:kern w:val="2"/>
                <w:sz w:val="24"/>
                <w:szCs w:val="24"/>
                <w:highlight w:val="none"/>
                <w:lang w:val="en-US" w:eastAsia="zh-CN"/>
              </w:rPr>
              <w:t>5</w:t>
            </w:r>
          </w:p>
        </w:tc>
        <w:tc>
          <w:tcPr>
            <w:tcW w:w="2081" w:type="dxa"/>
            <w:noWrap w:val="0"/>
            <w:vAlign w:val="center"/>
          </w:tcPr>
          <w:p w14:paraId="3BAA31C2">
            <w:pPr>
              <w:pStyle w:val="7"/>
              <w:keepNext w:val="0"/>
              <w:keepLines w:val="0"/>
              <w:suppressLineNumbers w:val="0"/>
              <w:spacing w:before="0" w:beforeAutospacing="0" w:after="0" w:afterAutospacing="0"/>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磋商文件澄清</w:t>
            </w:r>
          </w:p>
          <w:p w14:paraId="453764D3">
            <w:pPr>
              <w:pStyle w:val="7"/>
              <w:keepNext w:val="0"/>
              <w:keepLines w:val="0"/>
              <w:suppressLineNumbers w:val="0"/>
              <w:spacing w:before="0" w:beforeAutospacing="0" w:after="0" w:afterAutospacing="0"/>
              <w:ind w:left="0" w:right="0" w:firstLine="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或修改时间、形式</w:t>
            </w:r>
          </w:p>
        </w:tc>
        <w:tc>
          <w:tcPr>
            <w:tcW w:w="6609" w:type="dxa"/>
            <w:noWrap w:val="0"/>
            <w:vAlign w:val="center"/>
          </w:tcPr>
          <w:p w14:paraId="35D95380">
            <w:pPr>
              <w:pStyle w:val="7"/>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时间：</w:t>
            </w:r>
            <w:r>
              <w:rPr>
                <w:rFonts w:hint="eastAsia" w:ascii="仿宋" w:hAnsi="仿宋" w:eastAsia="仿宋" w:cs="仿宋"/>
                <w:color w:val="auto"/>
                <w:sz w:val="24"/>
                <w:szCs w:val="24"/>
                <w:highlight w:val="none"/>
              </w:rPr>
              <w:t>提交响应文件截至时间5日前</w:t>
            </w:r>
          </w:p>
          <w:p w14:paraId="201B3148">
            <w:pPr>
              <w:pStyle w:val="7"/>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形式：书面和公告</w:t>
            </w:r>
          </w:p>
        </w:tc>
      </w:tr>
      <w:tr w14:paraId="1500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553D0503">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1</w:t>
            </w:r>
            <w:r>
              <w:rPr>
                <w:rFonts w:hint="eastAsia" w:ascii="仿宋" w:hAnsi="仿宋" w:eastAsia="仿宋" w:cs="仿宋"/>
                <w:color w:val="auto"/>
                <w:kern w:val="2"/>
                <w:sz w:val="24"/>
                <w:szCs w:val="24"/>
                <w:highlight w:val="none"/>
                <w:lang w:val="en-US" w:eastAsia="zh-CN"/>
              </w:rPr>
              <w:t>6</w:t>
            </w:r>
          </w:p>
        </w:tc>
        <w:tc>
          <w:tcPr>
            <w:tcW w:w="2081" w:type="dxa"/>
            <w:noWrap w:val="0"/>
            <w:vAlign w:val="center"/>
          </w:tcPr>
          <w:p w14:paraId="2EB5F8A5">
            <w:pPr>
              <w:pStyle w:val="84"/>
              <w:keepNext w:val="0"/>
              <w:keepLines w:val="0"/>
              <w:suppressLineNumbers w:val="0"/>
              <w:spacing w:before="0" w:beforeAutospacing="0" w:after="0" w:afterAutospacing="0"/>
              <w:ind w:left="52"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构成磋商文件的</w:t>
            </w:r>
          </w:p>
          <w:p w14:paraId="2618BBB9">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其他文件</w:t>
            </w:r>
          </w:p>
        </w:tc>
        <w:tc>
          <w:tcPr>
            <w:tcW w:w="6609" w:type="dxa"/>
            <w:noWrap w:val="0"/>
            <w:vAlign w:val="center"/>
          </w:tcPr>
          <w:p w14:paraId="4BF0B3AC">
            <w:pPr>
              <w:pStyle w:val="84"/>
              <w:keepNext w:val="0"/>
              <w:keepLines w:val="0"/>
              <w:suppressLineNumbers w:val="0"/>
              <w:spacing w:before="0" w:beforeAutospacing="0" w:after="0" w:afterAutospacing="0"/>
              <w:ind w:left="210" w:leftChars="10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磋商文件的澄清</w:t>
            </w:r>
            <w:r>
              <w:rPr>
                <w:rFonts w:hint="eastAsia" w:ascii="仿宋" w:hAnsi="仿宋" w:eastAsia="仿宋" w:cs="仿宋"/>
                <w:color w:val="auto"/>
                <w:kern w:val="2"/>
                <w:sz w:val="24"/>
                <w:szCs w:val="24"/>
                <w:highlight w:val="none"/>
              </w:rPr>
              <w:t>、修改书及有关补充通知为磋商文件的有效组成部分</w:t>
            </w:r>
          </w:p>
        </w:tc>
      </w:tr>
      <w:tr w14:paraId="3501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7459027">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17</w:t>
            </w:r>
          </w:p>
        </w:tc>
        <w:tc>
          <w:tcPr>
            <w:tcW w:w="2081" w:type="dxa"/>
            <w:noWrap w:val="0"/>
            <w:vAlign w:val="center"/>
          </w:tcPr>
          <w:p w14:paraId="55356236">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供应商对磋商文件</w:t>
            </w:r>
          </w:p>
          <w:p w14:paraId="32AC9F31">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提出质疑的时间、形式</w:t>
            </w:r>
          </w:p>
        </w:tc>
        <w:tc>
          <w:tcPr>
            <w:tcW w:w="6609" w:type="dxa"/>
            <w:noWrap w:val="0"/>
            <w:vAlign w:val="center"/>
          </w:tcPr>
          <w:p w14:paraId="61DA3F62">
            <w:pPr>
              <w:pStyle w:val="84"/>
              <w:keepNext w:val="0"/>
              <w:keepLines w:val="0"/>
              <w:suppressLineNumbers w:val="0"/>
              <w:spacing w:before="0" w:beforeAutospacing="0" w:after="0" w:afterAutospacing="0" w:line="320" w:lineRule="exact"/>
              <w:ind w:left="930" w:leftChars="100" w:right="0" w:hanging="720" w:hangingChars="3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时间：自供应商收到磋商文件之日起7个工作日内，超过期限的采购人或采购代理机构不再受理</w:t>
            </w:r>
          </w:p>
          <w:p w14:paraId="6B1E2A74">
            <w:pPr>
              <w:pStyle w:val="84"/>
              <w:keepNext w:val="0"/>
              <w:keepLines w:val="0"/>
              <w:suppressLineNumbers w:val="0"/>
              <w:spacing w:before="0" w:beforeAutospacing="0" w:after="0" w:afterAutospacing="0" w:line="320" w:lineRule="exact"/>
              <w:ind w:left="0" w:right="0"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形式：书面形式（详见</w:t>
            </w:r>
            <w:r>
              <w:rPr>
                <w:rFonts w:hint="eastAsia" w:ascii="仿宋" w:hAnsi="仿宋" w:eastAsia="仿宋" w:cs="仿宋"/>
                <w:color w:val="auto"/>
                <w:kern w:val="2"/>
                <w:sz w:val="24"/>
                <w:szCs w:val="24"/>
                <w:highlight w:val="none"/>
              </w:rPr>
              <w:t>供应商须知第12.1.3条款</w:t>
            </w:r>
            <w:r>
              <w:rPr>
                <w:rFonts w:hint="eastAsia" w:ascii="仿宋" w:hAnsi="仿宋" w:eastAsia="仿宋" w:cs="仿宋"/>
                <w:color w:val="auto"/>
                <w:kern w:val="2"/>
                <w:sz w:val="24"/>
                <w:szCs w:val="24"/>
                <w:highlight w:val="none"/>
                <w:lang w:val="zh-CN"/>
              </w:rPr>
              <w:t>）</w:t>
            </w:r>
          </w:p>
        </w:tc>
      </w:tr>
      <w:tr w14:paraId="4BAA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C331AF3">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18</w:t>
            </w:r>
          </w:p>
        </w:tc>
        <w:tc>
          <w:tcPr>
            <w:tcW w:w="2081" w:type="dxa"/>
            <w:noWrap w:val="0"/>
            <w:vAlign w:val="center"/>
          </w:tcPr>
          <w:p w14:paraId="21DE6DA0">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对供应商提出质疑</w:t>
            </w:r>
          </w:p>
          <w:p w14:paraId="5E6E0331">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答复时间、形式</w:t>
            </w:r>
          </w:p>
        </w:tc>
        <w:tc>
          <w:tcPr>
            <w:tcW w:w="6609" w:type="dxa"/>
            <w:noWrap w:val="0"/>
            <w:vAlign w:val="center"/>
          </w:tcPr>
          <w:p w14:paraId="38AB8D37">
            <w:pPr>
              <w:pStyle w:val="84"/>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时间：自收到供应商质疑函之日起7个工作日内</w:t>
            </w:r>
          </w:p>
          <w:p w14:paraId="405AE39D">
            <w:pPr>
              <w:pStyle w:val="84"/>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形式：书面形式</w:t>
            </w:r>
          </w:p>
        </w:tc>
      </w:tr>
      <w:tr w14:paraId="048D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88219E0">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19</w:t>
            </w:r>
          </w:p>
        </w:tc>
        <w:tc>
          <w:tcPr>
            <w:tcW w:w="2081" w:type="dxa"/>
            <w:noWrap w:val="0"/>
            <w:vAlign w:val="center"/>
          </w:tcPr>
          <w:p w14:paraId="11D49BBC">
            <w:pPr>
              <w:pStyle w:val="84"/>
              <w:keepNext w:val="0"/>
              <w:keepLines w:val="0"/>
              <w:suppressLineNumbers w:val="0"/>
              <w:spacing w:before="0" w:beforeAutospacing="0" w:after="0" w:afterAutospacing="0"/>
              <w:ind w:left="33"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响应文件有效期</w:t>
            </w:r>
          </w:p>
        </w:tc>
        <w:tc>
          <w:tcPr>
            <w:tcW w:w="6609" w:type="dxa"/>
            <w:noWrap w:val="0"/>
            <w:vAlign w:val="center"/>
          </w:tcPr>
          <w:p w14:paraId="3C728832">
            <w:pPr>
              <w:pStyle w:val="84"/>
              <w:keepNext w:val="0"/>
              <w:keepLines w:val="0"/>
              <w:suppressLineNumbers w:val="0"/>
              <w:spacing w:before="0" w:beforeAutospacing="0" w:after="0" w:afterAutospacing="0"/>
              <w:ind w:left="0" w:right="0" w:firstLine="240" w:firstLineChars="1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从响应文件首次提交截止之日起90日</w:t>
            </w:r>
          </w:p>
        </w:tc>
      </w:tr>
      <w:tr w14:paraId="5313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E24934D">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2</w:t>
            </w:r>
            <w:r>
              <w:rPr>
                <w:rFonts w:hint="eastAsia" w:ascii="仿宋" w:hAnsi="仿宋" w:eastAsia="仿宋" w:cs="仿宋"/>
                <w:color w:val="auto"/>
                <w:kern w:val="2"/>
                <w:sz w:val="24"/>
                <w:szCs w:val="24"/>
                <w:highlight w:val="none"/>
                <w:lang w:val="en-US" w:eastAsia="zh-CN"/>
              </w:rPr>
              <w:t>0</w:t>
            </w:r>
          </w:p>
        </w:tc>
        <w:tc>
          <w:tcPr>
            <w:tcW w:w="2081" w:type="dxa"/>
            <w:noWrap w:val="0"/>
            <w:vAlign w:val="center"/>
          </w:tcPr>
          <w:p w14:paraId="0DFB157D">
            <w:pPr>
              <w:pStyle w:val="84"/>
              <w:keepNext w:val="0"/>
              <w:keepLines w:val="0"/>
              <w:suppressLineNumbers w:val="0"/>
              <w:spacing w:before="0" w:beforeAutospacing="0" w:after="0" w:afterAutospacing="0"/>
              <w:ind w:left="33"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是否允许递交多个</w:t>
            </w:r>
          </w:p>
          <w:p w14:paraId="40990882">
            <w:pPr>
              <w:pStyle w:val="84"/>
              <w:keepNext w:val="0"/>
              <w:keepLines w:val="0"/>
              <w:suppressLineNumbers w:val="0"/>
              <w:spacing w:before="0" w:beforeAutospacing="0" w:after="0" w:afterAutospacing="0"/>
              <w:ind w:left="33"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备选磋商方案</w:t>
            </w:r>
          </w:p>
        </w:tc>
        <w:tc>
          <w:tcPr>
            <w:tcW w:w="6609" w:type="dxa"/>
            <w:noWrap w:val="0"/>
            <w:vAlign w:val="center"/>
          </w:tcPr>
          <w:p w14:paraId="2B32BBB1">
            <w:pPr>
              <w:pStyle w:val="84"/>
              <w:keepNext w:val="0"/>
              <w:keepLines w:val="0"/>
              <w:suppressLineNumbers w:val="0"/>
              <w:spacing w:before="0" w:beforeAutospacing="0" w:after="0" w:afterAutospacing="0"/>
              <w:ind w:left="0" w:right="0" w:firstLine="240" w:firstLineChars="10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zh-CN"/>
              </w:rPr>
              <w:t xml:space="preserve"> 不允许</w:t>
            </w:r>
          </w:p>
          <w:p w14:paraId="5E74F7F1">
            <w:pPr>
              <w:pStyle w:val="84"/>
              <w:keepNext w:val="0"/>
              <w:keepLines w:val="0"/>
              <w:numPr>
                <w:ilvl w:val="0"/>
                <w:numId w:val="3"/>
              </w:numPr>
              <w:suppressLineNumbers w:val="0"/>
              <w:spacing w:before="0" w:beforeAutospacing="0" w:after="0" w:afterAutospacing="0"/>
              <w:ind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 xml:space="preserve"> 允许</w:t>
            </w:r>
          </w:p>
        </w:tc>
      </w:tr>
      <w:tr w14:paraId="4982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11" w:type="dxa"/>
            <w:noWrap w:val="0"/>
            <w:vAlign w:val="center"/>
          </w:tcPr>
          <w:p w14:paraId="55C85A4B">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2</w:t>
            </w:r>
            <w:r>
              <w:rPr>
                <w:rFonts w:hint="eastAsia" w:ascii="仿宋" w:hAnsi="仿宋" w:eastAsia="仿宋" w:cs="仿宋"/>
                <w:color w:val="auto"/>
                <w:kern w:val="2"/>
                <w:sz w:val="24"/>
                <w:szCs w:val="24"/>
                <w:highlight w:val="none"/>
                <w:lang w:val="en-US" w:eastAsia="zh-CN"/>
              </w:rPr>
              <w:t>1</w:t>
            </w:r>
          </w:p>
        </w:tc>
        <w:tc>
          <w:tcPr>
            <w:tcW w:w="2081" w:type="dxa"/>
            <w:noWrap w:val="0"/>
            <w:vAlign w:val="center"/>
          </w:tcPr>
          <w:p w14:paraId="171240D7">
            <w:pPr>
              <w:pStyle w:val="84"/>
              <w:keepNext w:val="0"/>
              <w:keepLines w:val="0"/>
              <w:suppressLineNumbers w:val="0"/>
              <w:spacing w:before="0" w:beforeAutospacing="0" w:after="0" w:afterAutospacing="0"/>
              <w:ind w:left="33"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磋商保证金</w:t>
            </w:r>
          </w:p>
        </w:tc>
        <w:tc>
          <w:tcPr>
            <w:tcW w:w="6609" w:type="dxa"/>
            <w:noWrap w:val="0"/>
            <w:vAlign w:val="center"/>
          </w:tcPr>
          <w:p w14:paraId="75E5B7A9">
            <w:pPr>
              <w:pStyle w:val="84"/>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无</w:t>
            </w:r>
          </w:p>
        </w:tc>
      </w:tr>
      <w:tr w14:paraId="3289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74834C3">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2</w:t>
            </w:r>
            <w:r>
              <w:rPr>
                <w:rFonts w:hint="eastAsia" w:ascii="仿宋" w:hAnsi="仿宋" w:eastAsia="仿宋" w:cs="仿宋"/>
                <w:color w:val="auto"/>
                <w:kern w:val="2"/>
                <w:sz w:val="24"/>
                <w:szCs w:val="24"/>
                <w:highlight w:val="none"/>
                <w:lang w:val="en-US" w:eastAsia="zh-CN"/>
              </w:rPr>
              <w:t>2</w:t>
            </w:r>
          </w:p>
        </w:tc>
        <w:tc>
          <w:tcPr>
            <w:tcW w:w="2081" w:type="dxa"/>
            <w:noWrap w:val="0"/>
            <w:vAlign w:val="center"/>
          </w:tcPr>
          <w:p w14:paraId="452C6518">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不予退还磋商</w:t>
            </w:r>
          </w:p>
          <w:p w14:paraId="42F47C01">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保证金的情形</w:t>
            </w:r>
          </w:p>
        </w:tc>
        <w:tc>
          <w:tcPr>
            <w:tcW w:w="6609" w:type="dxa"/>
            <w:noWrap w:val="0"/>
            <w:vAlign w:val="center"/>
          </w:tcPr>
          <w:p w14:paraId="35C03476">
            <w:pPr>
              <w:pStyle w:val="84"/>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详见</w:t>
            </w:r>
            <w:r>
              <w:rPr>
                <w:rFonts w:hint="eastAsia" w:ascii="仿宋" w:hAnsi="仿宋" w:eastAsia="仿宋" w:cs="仿宋"/>
                <w:color w:val="auto"/>
                <w:kern w:val="2"/>
                <w:sz w:val="24"/>
                <w:szCs w:val="24"/>
                <w:highlight w:val="none"/>
              </w:rPr>
              <w:t>供应商须知第4.5.3.2条款</w:t>
            </w:r>
          </w:p>
        </w:tc>
      </w:tr>
      <w:tr w14:paraId="005C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3C19613">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2</w:t>
            </w:r>
            <w:r>
              <w:rPr>
                <w:rFonts w:hint="eastAsia" w:ascii="仿宋" w:hAnsi="仿宋" w:eastAsia="仿宋" w:cs="仿宋"/>
                <w:color w:val="auto"/>
                <w:kern w:val="2"/>
                <w:sz w:val="24"/>
                <w:szCs w:val="24"/>
                <w:highlight w:val="none"/>
                <w:lang w:val="en-US" w:eastAsia="zh-CN"/>
              </w:rPr>
              <w:t>3</w:t>
            </w:r>
          </w:p>
        </w:tc>
        <w:tc>
          <w:tcPr>
            <w:tcW w:w="2081" w:type="dxa"/>
            <w:noWrap w:val="0"/>
            <w:vAlign w:val="center"/>
          </w:tcPr>
          <w:p w14:paraId="0D7B6EE6">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响应文件份数</w:t>
            </w:r>
          </w:p>
        </w:tc>
        <w:tc>
          <w:tcPr>
            <w:tcW w:w="6609" w:type="dxa"/>
            <w:noWrap w:val="0"/>
            <w:vAlign w:val="center"/>
          </w:tcPr>
          <w:p w14:paraId="7AD4430D">
            <w:pPr>
              <w:pStyle w:val="84"/>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正本</w:t>
            </w:r>
            <w:r>
              <w:rPr>
                <w:rFonts w:hint="eastAsia" w:ascii="仿宋" w:hAnsi="仿宋" w:eastAsia="仿宋" w:cs="仿宋"/>
                <w:color w:val="auto"/>
                <w:kern w:val="2"/>
                <w:sz w:val="24"/>
                <w:szCs w:val="24"/>
                <w:highlight w:val="none"/>
                <w:u w:val="single"/>
              </w:rPr>
              <w:t>1</w:t>
            </w:r>
            <w:r>
              <w:rPr>
                <w:rFonts w:hint="eastAsia" w:ascii="仿宋" w:hAnsi="仿宋" w:eastAsia="仿宋" w:cs="仿宋"/>
                <w:color w:val="auto"/>
                <w:kern w:val="2"/>
                <w:sz w:val="24"/>
                <w:szCs w:val="24"/>
                <w:highlight w:val="none"/>
              </w:rPr>
              <w:t>份、副本</w:t>
            </w:r>
            <w:r>
              <w:rPr>
                <w:rFonts w:hint="eastAsia" w:ascii="仿宋" w:hAnsi="仿宋" w:eastAsia="仿宋" w:cs="仿宋"/>
                <w:color w:val="auto"/>
                <w:kern w:val="2"/>
                <w:sz w:val="24"/>
                <w:szCs w:val="24"/>
                <w:highlight w:val="none"/>
                <w:u w:val="single"/>
                <w:lang w:val="en-US" w:eastAsia="zh-CN"/>
              </w:rPr>
              <w:t>2</w:t>
            </w:r>
            <w:r>
              <w:rPr>
                <w:rFonts w:hint="eastAsia" w:ascii="仿宋" w:hAnsi="仿宋" w:eastAsia="仿宋" w:cs="仿宋"/>
                <w:color w:val="auto"/>
                <w:kern w:val="2"/>
                <w:sz w:val="24"/>
                <w:szCs w:val="24"/>
                <w:highlight w:val="none"/>
              </w:rPr>
              <w:t>份和电子文件（光盘</w:t>
            </w:r>
            <w:r>
              <w:rPr>
                <w:rFonts w:hint="eastAsia" w:ascii="仿宋" w:hAnsi="仿宋" w:eastAsia="仿宋" w:cs="仿宋"/>
                <w:color w:val="auto"/>
                <w:kern w:val="2"/>
                <w:sz w:val="24"/>
                <w:szCs w:val="24"/>
                <w:highlight w:val="none"/>
                <w:lang w:val="en-US" w:eastAsia="zh-CN"/>
              </w:rPr>
              <w:t>或U盘</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lang w:val="en-US" w:eastAsia="zh-CN"/>
              </w:rPr>
              <w:t>1</w:t>
            </w:r>
            <w:r>
              <w:rPr>
                <w:rFonts w:hint="eastAsia" w:ascii="仿宋" w:hAnsi="仿宋" w:eastAsia="仿宋" w:cs="仿宋"/>
                <w:color w:val="auto"/>
                <w:kern w:val="2"/>
                <w:sz w:val="24"/>
                <w:szCs w:val="24"/>
                <w:highlight w:val="none"/>
              </w:rPr>
              <w:t>份</w:t>
            </w:r>
          </w:p>
        </w:tc>
      </w:tr>
      <w:tr w14:paraId="3497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0BC7C39">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2</w:t>
            </w:r>
            <w:r>
              <w:rPr>
                <w:rFonts w:hint="eastAsia" w:ascii="仿宋" w:hAnsi="仿宋" w:eastAsia="仿宋" w:cs="仿宋"/>
                <w:color w:val="auto"/>
                <w:kern w:val="2"/>
                <w:sz w:val="24"/>
                <w:szCs w:val="24"/>
                <w:highlight w:val="none"/>
                <w:lang w:val="en-US" w:eastAsia="zh-CN"/>
              </w:rPr>
              <w:t>4</w:t>
            </w:r>
          </w:p>
        </w:tc>
        <w:tc>
          <w:tcPr>
            <w:tcW w:w="2081" w:type="dxa"/>
            <w:noWrap w:val="0"/>
            <w:vAlign w:val="center"/>
          </w:tcPr>
          <w:p w14:paraId="4B7519E9">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响应文件签字</w:t>
            </w:r>
          </w:p>
          <w:p w14:paraId="6EE8D81E">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或盖章要求</w:t>
            </w:r>
          </w:p>
        </w:tc>
        <w:tc>
          <w:tcPr>
            <w:tcW w:w="6609" w:type="dxa"/>
            <w:noWrap w:val="0"/>
            <w:vAlign w:val="center"/>
          </w:tcPr>
          <w:p w14:paraId="5DA63D35">
            <w:pPr>
              <w:pStyle w:val="84"/>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供应商必须按照磋商文件的规定和要求签字、盖章</w:t>
            </w:r>
          </w:p>
        </w:tc>
      </w:tr>
      <w:tr w14:paraId="3DB3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E17EA95">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2</w:t>
            </w:r>
            <w:r>
              <w:rPr>
                <w:rFonts w:hint="eastAsia" w:ascii="仿宋" w:hAnsi="仿宋" w:eastAsia="仿宋" w:cs="仿宋"/>
                <w:color w:val="auto"/>
                <w:kern w:val="2"/>
                <w:sz w:val="24"/>
                <w:szCs w:val="24"/>
                <w:highlight w:val="none"/>
                <w:lang w:val="en-US" w:eastAsia="zh-CN"/>
              </w:rPr>
              <w:t>5</w:t>
            </w:r>
          </w:p>
        </w:tc>
        <w:tc>
          <w:tcPr>
            <w:tcW w:w="2081" w:type="dxa"/>
            <w:noWrap w:val="0"/>
            <w:vAlign w:val="center"/>
          </w:tcPr>
          <w:p w14:paraId="1C4EAAF0">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响应文件是否分册装订</w:t>
            </w:r>
          </w:p>
        </w:tc>
        <w:tc>
          <w:tcPr>
            <w:tcW w:w="6609" w:type="dxa"/>
            <w:noWrap w:val="0"/>
            <w:vAlign w:val="center"/>
          </w:tcPr>
          <w:p w14:paraId="73D7E70D">
            <w:pPr>
              <w:pStyle w:val="84"/>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不需要</w:t>
            </w:r>
          </w:p>
          <w:p w14:paraId="083FFD9E">
            <w:pPr>
              <w:pStyle w:val="84"/>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资格审查文件和商务技术文件不需要分册装订</w:t>
            </w:r>
          </w:p>
          <w:p w14:paraId="124121FB">
            <w:pPr>
              <w:pStyle w:val="84"/>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密封要求：一律采用A4纸</w:t>
            </w:r>
            <w:r>
              <w:rPr>
                <w:rFonts w:hint="eastAsia" w:ascii="仿宋" w:hAnsi="仿宋" w:eastAsia="仿宋" w:cs="仿宋"/>
                <w:color w:val="auto"/>
                <w:kern w:val="2"/>
                <w:sz w:val="24"/>
                <w:szCs w:val="24"/>
                <w:highlight w:val="none"/>
                <w:lang w:eastAsia="zh-CN"/>
              </w:rPr>
              <w:t>胶装</w:t>
            </w:r>
            <w:r>
              <w:rPr>
                <w:rFonts w:hint="eastAsia" w:ascii="仿宋" w:hAnsi="仿宋" w:eastAsia="仿宋" w:cs="仿宋"/>
                <w:color w:val="auto"/>
                <w:kern w:val="2"/>
                <w:sz w:val="24"/>
                <w:szCs w:val="24"/>
                <w:highlight w:val="none"/>
              </w:rPr>
              <w:t>成册（禁止使用活页），正本和副本分别装订，电子版放置正本密封袋中。正本</w:t>
            </w:r>
            <w:r>
              <w:rPr>
                <w:rFonts w:hint="eastAsia" w:ascii="仿宋" w:hAnsi="仿宋" w:eastAsia="仿宋" w:cs="仿宋"/>
                <w:color w:val="auto"/>
                <w:kern w:val="2"/>
                <w:sz w:val="24"/>
                <w:szCs w:val="24"/>
                <w:highlight w:val="none"/>
                <w:lang w:eastAsia="zh-CN"/>
              </w:rPr>
              <w:t>单独密封，所有的</w:t>
            </w:r>
            <w:r>
              <w:rPr>
                <w:rFonts w:hint="eastAsia" w:ascii="仿宋" w:hAnsi="仿宋" w:eastAsia="仿宋" w:cs="仿宋"/>
                <w:color w:val="auto"/>
                <w:kern w:val="2"/>
                <w:sz w:val="24"/>
                <w:szCs w:val="24"/>
                <w:highlight w:val="none"/>
              </w:rPr>
              <w:t>副本一起密封或单独密封</w:t>
            </w:r>
          </w:p>
          <w:p w14:paraId="5199525C">
            <w:pPr>
              <w:pStyle w:val="84"/>
              <w:keepNext w:val="0"/>
              <w:keepLines w:val="0"/>
              <w:suppressLineNumbers w:val="0"/>
              <w:spacing w:before="0" w:beforeAutospacing="0" w:after="0" w:afterAutospacing="0"/>
              <w:ind w:left="0" w:right="0" w:firstLine="21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需要，分册装订要求：</w:t>
            </w:r>
          </w:p>
        </w:tc>
      </w:tr>
      <w:tr w14:paraId="40A4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1" w:type="dxa"/>
            <w:noWrap w:val="0"/>
            <w:vAlign w:val="center"/>
          </w:tcPr>
          <w:p w14:paraId="339D2EAC">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2</w:t>
            </w:r>
            <w:r>
              <w:rPr>
                <w:rFonts w:hint="eastAsia" w:ascii="仿宋" w:hAnsi="仿宋" w:eastAsia="仿宋" w:cs="仿宋"/>
                <w:color w:val="auto"/>
                <w:kern w:val="2"/>
                <w:sz w:val="24"/>
                <w:szCs w:val="24"/>
                <w:highlight w:val="none"/>
                <w:lang w:val="en-US" w:eastAsia="zh-CN"/>
              </w:rPr>
              <w:t>6</w:t>
            </w:r>
          </w:p>
        </w:tc>
        <w:tc>
          <w:tcPr>
            <w:tcW w:w="2081" w:type="dxa"/>
            <w:noWrap w:val="0"/>
            <w:vAlign w:val="center"/>
          </w:tcPr>
          <w:p w14:paraId="76EB7E8B">
            <w:pPr>
              <w:pStyle w:val="84"/>
              <w:keepNext w:val="0"/>
              <w:keepLines w:val="0"/>
              <w:suppressLineNumbers w:val="0"/>
              <w:spacing w:before="0" w:beforeAutospacing="0" w:after="0" w:afterAutospacing="0"/>
              <w:ind w:left="351" w:leftChars="167" w:right="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响应文件封面</w:t>
            </w:r>
          </w:p>
          <w:p w14:paraId="0AE2C7A3">
            <w:pPr>
              <w:pStyle w:val="84"/>
              <w:keepNext w:val="0"/>
              <w:keepLines w:val="0"/>
              <w:suppressLineNumbers w:val="0"/>
              <w:spacing w:before="0" w:beforeAutospacing="0" w:after="0" w:afterAutospacing="0"/>
              <w:ind w:left="351" w:leftChars="167" w:right="0" w:firstLine="480" w:firstLineChars="2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标注</w:t>
            </w:r>
          </w:p>
        </w:tc>
        <w:tc>
          <w:tcPr>
            <w:tcW w:w="6609" w:type="dxa"/>
            <w:noWrap w:val="0"/>
            <w:vAlign w:val="center"/>
          </w:tcPr>
          <w:p w14:paraId="5DC8CDF0">
            <w:pPr>
              <w:pStyle w:val="84"/>
              <w:keepNext w:val="0"/>
              <w:keepLines w:val="0"/>
              <w:suppressLineNumbers w:val="0"/>
              <w:spacing w:before="0" w:beforeAutospacing="0" w:after="0" w:afterAutospacing="0" w:line="320" w:lineRule="exact"/>
              <w:ind w:left="0" w:right="0" w:firstLine="240" w:firstLineChars="1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响应文件正本和副本的封面上均应标明：采购项目名称、采购项目编号、包号（如有）、供应商名称、年月日；并分别在右上角标明“正本”和“副本”字样</w:t>
            </w:r>
          </w:p>
        </w:tc>
      </w:tr>
      <w:tr w14:paraId="6553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6B939CB7">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27</w:t>
            </w:r>
          </w:p>
        </w:tc>
        <w:tc>
          <w:tcPr>
            <w:tcW w:w="2081" w:type="dxa"/>
            <w:noWrap w:val="0"/>
            <w:vAlign w:val="center"/>
          </w:tcPr>
          <w:p w14:paraId="2DEA223E">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封套上应载明的信息</w:t>
            </w:r>
          </w:p>
        </w:tc>
        <w:tc>
          <w:tcPr>
            <w:tcW w:w="6609" w:type="dxa"/>
            <w:noWrap w:val="0"/>
            <w:vAlign w:val="center"/>
          </w:tcPr>
          <w:p w14:paraId="2697CE82">
            <w:pPr>
              <w:pStyle w:val="84"/>
              <w:keepNext w:val="0"/>
              <w:keepLines w:val="0"/>
              <w:suppressLineNumbers w:val="0"/>
              <w:spacing w:before="0" w:beforeAutospacing="0" w:after="0" w:afterAutospacing="0" w:line="320" w:lineRule="exact"/>
              <w:ind w:left="0" w:right="0" w:firstLine="240" w:firstLineChars="100"/>
              <w:jc w:val="both"/>
              <w:rPr>
                <w:rFonts w:hint="eastAsia" w:ascii="仿宋" w:hAnsi="仿宋" w:eastAsia="仿宋" w:cs="仿宋"/>
                <w:color w:val="auto"/>
                <w:kern w:val="2"/>
                <w:sz w:val="24"/>
                <w:szCs w:val="24"/>
                <w:highlight w:val="none"/>
                <w:u w:val="single"/>
                <w:lang w:val="en-US" w:eastAsia="zh-CN"/>
              </w:rPr>
            </w:pPr>
            <w:r>
              <w:rPr>
                <w:rFonts w:hint="eastAsia" w:ascii="仿宋" w:hAnsi="仿宋" w:eastAsia="仿宋" w:cs="仿宋"/>
                <w:color w:val="auto"/>
                <w:kern w:val="2"/>
                <w:sz w:val="24"/>
                <w:szCs w:val="24"/>
                <w:highlight w:val="none"/>
                <w:lang w:val="zh-CN"/>
              </w:rPr>
              <w:t>采购项目名称：</w:t>
            </w:r>
            <w:r>
              <w:rPr>
                <w:rFonts w:hint="eastAsia" w:ascii="仿宋" w:hAnsi="仿宋" w:eastAsia="仿宋" w:cs="仿宋"/>
                <w:color w:val="auto"/>
                <w:kern w:val="2"/>
                <w:sz w:val="24"/>
                <w:szCs w:val="24"/>
                <w:highlight w:val="none"/>
                <w:u w:val="single"/>
                <w:lang w:val="en-US" w:eastAsia="zh-CN"/>
              </w:rPr>
              <w:t xml:space="preserve">            磋商响应文件</w:t>
            </w:r>
          </w:p>
          <w:p w14:paraId="7EB69688">
            <w:pPr>
              <w:pStyle w:val="84"/>
              <w:keepNext w:val="0"/>
              <w:keepLines w:val="0"/>
              <w:suppressLineNumbers w:val="0"/>
              <w:spacing w:before="0" w:beforeAutospacing="0" w:after="0" w:afterAutospacing="0" w:line="320" w:lineRule="exact"/>
              <w:ind w:left="0" w:right="0" w:firstLine="240" w:firstLineChars="10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“正本”或“副本”字样</w:t>
            </w:r>
          </w:p>
          <w:p w14:paraId="6C2D9E5E">
            <w:pPr>
              <w:pStyle w:val="84"/>
              <w:keepNext w:val="0"/>
              <w:keepLines w:val="0"/>
              <w:suppressLineNumbers w:val="0"/>
              <w:spacing w:before="0" w:beforeAutospacing="0" w:after="0" w:afterAutospacing="0" w:line="320" w:lineRule="exact"/>
              <w:ind w:left="0" w:right="0" w:firstLine="240" w:firstLineChars="10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采购项目编号、包号（如有）：</w:t>
            </w:r>
          </w:p>
          <w:p w14:paraId="64678163">
            <w:pPr>
              <w:pStyle w:val="84"/>
              <w:keepNext w:val="0"/>
              <w:keepLines w:val="0"/>
              <w:suppressLineNumbers w:val="0"/>
              <w:spacing w:before="0" w:beforeAutospacing="0" w:after="0" w:afterAutospacing="0" w:line="320" w:lineRule="exact"/>
              <w:ind w:left="0" w:right="0" w:firstLine="240" w:firstLineChars="10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供应商名称：</w:t>
            </w:r>
          </w:p>
          <w:p w14:paraId="03F60204">
            <w:pPr>
              <w:pStyle w:val="84"/>
              <w:keepNext w:val="0"/>
              <w:keepLines w:val="0"/>
              <w:suppressLineNumbers w:val="0"/>
              <w:spacing w:before="0" w:beforeAutospacing="0" w:after="0" w:afterAutospacing="0" w:line="320" w:lineRule="exact"/>
              <w:ind w:left="0" w:right="0" w:firstLine="240" w:firstLineChars="10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日期：</w:t>
            </w:r>
          </w:p>
          <w:p w14:paraId="57F9FAC3">
            <w:pPr>
              <w:pStyle w:val="84"/>
              <w:keepNext w:val="0"/>
              <w:keepLines w:val="0"/>
              <w:suppressLineNumbers w:val="0"/>
              <w:spacing w:before="0" w:beforeAutospacing="0" w:after="0" w:afterAutospacing="0" w:line="320" w:lineRule="exact"/>
              <w:ind w:left="0" w:right="0" w:firstLine="240" w:firstLineChars="100"/>
              <w:jc w:val="both"/>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在    年  月  日  时  分前不得开启</w:t>
            </w:r>
          </w:p>
          <w:p w14:paraId="2F2B0515">
            <w:pPr>
              <w:pStyle w:val="84"/>
              <w:keepNext w:val="0"/>
              <w:keepLines w:val="0"/>
              <w:suppressLineNumbers w:val="0"/>
              <w:spacing w:before="0" w:beforeAutospacing="0" w:after="0" w:afterAutospacing="0" w:line="320" w:lineRule="exact"/>
              <w:ind w:left="0" w:right="0" w:firstLine="240" w:firstLineChars="1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并需加盖供应商公章（鲜章），并由其法定代表人或其授权代表签字，或加盖法定代表人名章。</w:t>
            </w:r>
          </w:p>
        </w:tc>
      </w:tr>
      <w:tr w14:paraId="2918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EFC611F">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28</w:t>
            </w:r>
          </w:p>
        </w:tc>
        <w:tc>
          <w:tcPr>
            <w:tcW w:w="2081" w:type="dxa"/>
            <w:noWrap w:val="0"/>
            <w:vAlign w:val="center"/>
          </w:tcPr>
          <w:p w14:paraId="192F3412">
            <w:pPr>
              <w:pStyle w:val="84"/>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提交响应文件截至时间</w:t>
            </w:r>
          </w:p>
        </w:tc>
        <w:tc>
          <w:tcPr>
            <w:tcW w:w="6609" w:type="dxa"/>
            <w:noWrap w:val="0"/>
            <w:vAlign w:val="center"/>
          </w:tcPr>
          <w:p w14:paraId="2A8E71E3">
            <w:pPr>
              <w:pStyle w:val="84"/>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2025年08月04日 14时30分00秒 </w:t>
            </w:r>
          </w:p>
        </w:tc>
      </w:tr>
      <w:tr w14:paraId="3AF7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AD00CA7">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29</w:t>
            </w:r>
          </w:p>
        </w:tc>
        <w:tc>
          <w:tcPr>
            <w:tcW w:w="2081" w:type="dxa"/>
            <w:noWrap w:val="0"/>
            <w:vAlign w:val="center"/>
          </w:tcPr>
          <w:p w14:paraId="59749C5A">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提交响应文件地点</w:t>
            </w:r>
          </w:p>
        </w:tc>
        <w:tc>
          <w:tcPr>
            <w:tcW w:w="6609" w:type="dxa"/>
            <w:noWrap w:val="0"/>
            <w:vAlign w:val="center"/>
          </w:tcPr>
          <w:p w14:paraId="657E3229">
            <w:pPr>
              <w:pStyle w:val="84"/>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zh-CN"/>
              </w:rPr>
              <w:t xml:space="preserve"> </w:t>
            </w:r>
            <w:r>
              <w:rPr>
                <w:rFonts w:hint="eastAsia" w:ascii="仿宋" w:hAnsi="仿宋" w:eastAsia="仿宋" w:cs="仿宋"/>
                <w:color w:val="auto"/>
                <w:kern w:val="2"/>
                <w:sz w:val="24"/>
                <w:szCs w:val="24"/>
                <w:lang w:eastAsia="zh-CN"/>
              </w:rPr>
              <w:t>陕西省汉中市汉台区滨江路中青凯旋门南门右边商铺202号</w:t>
            </w:r>
          </w:p>
        </w:tc>
      </w:tr>
      <w:tr w14:paraId="0240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B65B305">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3</w:t>
            </w:r>
            <w:r>
              <w:rPr>
                <w:rFonts w:hint="eastAsia" w:ascii="仿宋" w:hAnsi="仿宋" w:eastAsia="仿宋" w:cs="仿宋"/>
                <w:color w:val="auto"/>
                <w:kern w:val="2"/>
                <w:sz w:val="24"/>
                <w:szCs w:val="24"/>
                <w:highlight w:val="none"/>
                <w:lang w:val="en-US" w:eastAsia="zh-CN"/>
              </w:rPr>
              <w:t>0</w:t>
            </w:r>
          </w:p>
        </w:tc>
        <w:tc>
          <w:tcPr>
            <w:tcW w:w="2081" w:type="dxa"/>
            <w:noWrap w:val="0"/>
            <w:vAlign w:val="center"/>
          </w:tcPr>
          <w:p w14:paraId="2488175B">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响应文件是否退还</w:t>
            </w:r>
          </w:p>
        </w:tc>
        <w:tc>
          <w:tcPr>
            <w:tcW w:w="6609" w:type="dxa"/>
            <w:noWrap w:val="0"/>
            <w:vAlign w:val="center"/>
          </w:tcPr>
          <w:p w14:paraId="351AE14E">
            <w:pPr>
              <w:keepNext w:val="0"/>
              <w:keepLines w:val="0"/>
              <w:suppressLineNumbers w:val="0"/>
              <w:autoSpaceDE w:val="0"/>
              <w:autoSpaceDN w:val="0"/>
              <w:adjustRightInd w:val="0"/>
              <w:spacing w:before="0" w:beforeAutospacing="0" w:after="0" w:afterAutospacing="0"/>
              <w:ind w:left="0" w:right="0"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否</w:t>
            </w:r>
          </w:p>
          <w:p w14:paraId="7018FE76">
            <w:pPr>
              <w:keepNext w:val="0"/>
              <w:keepLines w:val="0"/>
              <w:suppressLineNumbers w:val="0"/>
              <w:autoSpaceDE w:val="0"/>
              <w:autoSpaceDN w:val="0"/>
              <w:adjustRightInd w:val="0"/>
              <w:spacing w:before="0" w:beforeAutospacing="0" w:after="0" w:afterAutospacing="0"/>
              <w:ind w:left="0" w:right="0"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退还，退还时间：</w:t>
            </w:r>
          </w:p>
        </w:tc>
      </w:tr>
      <w:tr w14:paraId="01C1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F2B75C6">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3</w:t>
            </w:r>
            <w:r>
              <w:rPr>
                <w:rFonts w:hint="eastAsia" w:ascii="仿宋" w:hAnsi="仿宋" w:eastAsia="仿宋" w:cs="仿宋"/>
                <w:color w:val="auto"/>
                <w:kern w:val="2"/>
                <w:sz w:val="24"/>
                <w:szCs w:val="24"/>
                <w:highlight w:val="none"/>
                <w:lang w:val="en-US" w:eastAsia="zh-CN"/>
              </w:rPr>
              <w:t>1</w:t>
            </w:r>
          </w:p>
        </w:tc>
        <w:tc>
          <w:tcPr>
            <w:tcW w:w="2081" w:type="dxa"/>
            <w:noWrap w:val="0"/>
            <w:vAlign w:val="center"/>
          </w:tcPr>
          <w:p w14:paraId="2CA0EF94">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开启响应文件时间</w:t>
            </w:r>
          </w:p>
          <w:p w14:paraId="75B35281">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和地点</w:t>
            </w:r>
          </w:p>
        </w:tc>
        <w:tc>
          <w:tcPr>
            <w:tcW w:w="6609" w:type="dxa"/>
            <w:noWrap w:val="0"/>
            <w:vAlign w:val="center"/>
          </w:tcPr>
          <w:p w14:paraId="3F6C21E6">
            <w:pPr>
              <w:pStyle w:val="84"/>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开启响应文件时间：同提交响应文件截至时间</w:t>
            </w:r>
          </w:p>
          <w:p w14:paraId="3428DC7B">
            <w:pPr>
              <w:pStyle w:val="84"/>
              <w:keepNext w:val="0"/>
              <w:keepLines w:val="0"/>
              <w:suppressLineNumbers w:val="0"/>
              <w:spacing w:before="0" w:beforeAutospacing="0" w:after="0" w:afterAutospacing="0"/>
              <w:ind w:left="0" w:right="0"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开启响应文件地点：同提交响应文件地点</w:t>
            </w:r>
          </w:p>
        </w:tc>
      </w:tr>
      <w:bookmarkEnd w:id="13"/>
      <w:bookmarkEnd w:id="14"/>
      <w:bookmarkEnd w:id="15"/>
      <w:bookmarkEnd w:id="16"/>
      <w:tr w14:paraId="3017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460A5AD">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bookmarkStart w:id="24" w:name="_Toc183682341"/>
            <w:bookmarkStart w:id="25" w:name="_Toc77400778"/>
            <w:bookmarkStart w:id="26" w:name="_Toc217446033"/>
            <w:bookmarkStart w:id="27" w:name="_Toc183582204"/>
            <w:bookmarkStart w:id="28" w:name="_Toc89075873"/>
            <w:r>
              <w:rPr>
                <w:rFonts w:hint="eastAsia" w:ascii="仿宋" w:hAnsi="仿宋" w:eastAsia="仿宋" w:cs="仿宋"/>
                <w:color w:val="auto"/>
                <w:kern w:val="2"/>
                <w:sz w:val="24"/>
                <w:szCs w:val="24"/>
                <w:highlight w:val="none"/>
                <w:lang w:val="zh-CN"/>
              </w:rPr>
              <w:t>3</w:t>
            </w:r>
            <w:r>
              <w:rPr>
                <w:rFonts w:hint="eastAsia" w:ascii="仿宋" w:hAnsi="仿宋" w:eastAsia="仿宋" w:cs="仿宋"/>
                <w:color w:val="auto"/>
                <w:kern w:val="2"/>
                <w:sz w:val="24"/>
                <w:szCs w:val="24"/>
                <w:highlight w:val="none"/>
                <w:lang w:val="en-US" w:eastAsia="zh-CN"/>
              </w:rPr>
              <w:t>2</w:t>
            </w:r>
          </w:p>
        </w:tc>
        <w:tc>
          <w:tcPr>
            <w:tcW w:w="2081" w:type="dxa"/>
            <w:noWrap w:val="0"/>
            <w:vAlign w:val="center"/>
          </w:tcPr>
          <w:p w14:paraId="299CD344">
            <w:pPr>
              <w:pStyle w:val="84"/>
              <w:keepNext w:val="0"/>
              <w:keepLines w:val="0"/>
              <w:suppressLineNumbers w:val="0"/>
              <w:spacing w:before="0" w:beforeAutospacing="0" w:after="0" w:afterAutospacing="0"/>
              <w:ind w:left="96"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磋商小组的组建</w:t>
            </w:r>
          </w:p>
        </w:tc>
        <w:tc>
          <w:tcPr>
            <w:tcW w:w="6609" w:type="dxa"/>
            <w:noWrap w:val="0"/>
            <w:vAlign w:val="center"/>
          </w:tcPr>
          <w:p w14:paraId="39291C93">
            <w:pPr>
              <w:pStyle w:val="84"/>
              <w:keepNext w:val="0"/>
              <w:keepLines w:val="0"/>
              <w:suppressLineNumbers w:val="0"/>
              <w:spacing w:before="0" w:beforeAutospacing="0" w:after="0" w:afterAutospacing="0" w:line="320" w:lineRule="exact"/>
              <w:ind w:left="694" w:leftChars="102" w:right="0" w:hanging="480" w:hangingChars="2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磋商小组构成形式、人数，评审专家确定方式：</w:t>
            </w:r>
          </w:p>
          <w:p w14:paraId="0B358291">
            <w:pPr>
              <w:pStyle w:val="84"/>
              <w:keepNext w:val="0"/>
              <w:keepLines w:val="0"/>
              <w:suppressLineNumbers w:val="0"/>
              <w:spacing w:before="0" w:beforeAutospacing="0" w:after="0" w:afterAutospacing="0" w:line="320" w:lineRule="exact"/>
              <w:ind w:left="694" w:leftChars="102" w:right="0" w:hanging="480" w:hanging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详见供应商须知第7.1.1条款</w:t>
            </w:r>
          </w:p>
        </w:tc>
      </w:tr>
      <w:tr w14:paraId="6B7A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6736DA1">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3</w:t>
            </w:r>
            <w:r>
              <w:rPr>
                <w:rFonts w:hint="eastAsia" w:ascii="仿宋" w:hAnsi="仿宋" w:eastAsia="仿宋" w:cs="仿宋"/>
                <w:color w:val="auto"/>
                <w:kern w:val="2"/>
                <w:sz w:val="24"/>
                <w:szCs w:val="24"/>
                <w:highlight w:val="none"/>
                <w:lang w:val="en-US" w:eastAsia="zh-CN"/>
              </w:rPr>
              <w:t>3</w:t>
            </w:r>
          </w:p>
        </w:tc>
        <w:tc>
          <w:tcPr>
            <w:tcW w:w="2081" w:type="dxa"/>
            <w:noWrap w:val="0"/>
            <w:vAlign w:val="center"/>
          </w:tcPr>
          <w:p w14:paraId="4214FE99">
            <w:pPr>
              <w:pStyle w:val="84"/>
              <w:keepNext w:val="0"/>
              <w:keepLines w:val="0"/>
              <w:suppressLineNumbers w:val="0"/>
              <w:spacing w:before="0" w:beforeAutospacing="0" w:after="0" w:afterAutospacing="0"/>
              <w:ind w:left="96"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磋商办法</w:t>
            </w:r>
          </w:p>
        </w:tc>
        <w:tc>
          <w:tcPr>
            <w:tcW w:w="6609" w:type="dxa"/>
            <w:noWrap w:val="0"/>
            <w:vAlign w:val="center"/>
          </w:tcPr>
          <w:p w14:paraId="5462D75A">
            <w:pPr>
              <w:pStyle w:val="84"/>
              <w:keepNext w:val="0"/>
              <w:keepLines w:val="0"/>
              <w:suppressLineNumbers w:val="0"/>
              <w:spacing w:before="0" w:beforeAutospacing="0" w:after="0" w:afterAutospacing="0"/>
              <w:ind w:left="694" w:leftChars="102" w:right="0" w:hanging="480" w:hangingChars="200"/>
              <w:rPr>
                <w:rFonts w:hint="eastAsia" w:ascii="仿宋" w:hAnsi="仿宋" w:eastAsia="仿宋" w:cs="仿宋"/>
                <w:b/>
                <w:color w:val="auto"/>
                <w:kern w:val="2"/>
                <w:sz w:val="24"/>
                <w:szCs w:val="24"/>
                <w:highlight w:val="none"/>
              </w:rPr>
            </w:pPr>
            <w:r>
              <w:rPr>
                <w:rFonts w:hint="eastAsia" w:ascii="仿宋" w:hAnsi="仿宋" w:eastAsia="仿宋" w:cs="仿宋"/>
                <w:color w:val="auto"/>
                <w:kern w:val="2"/>
                <w:sz w:val="24"/>
                <w:szCs w:val="24"/>
                <w:highlight w:val="none"/>
                <w:lang w:val="zh-CN"/>
              </w:rPr>
              <w:t>详见第三章磋商办法</w:t>
            </w:r>
          </w:p>
        </w:tc>
      </w:tr>
      <w:tr w14:paraId="5C59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136C04C7">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3</w:t>
            </w:r>
            <w:r>
              <w:rPr>
                <w:rFonts w:hint="eastAsia" w:ascii="仿宋" w:hAnsi="仿宋" w:eastAsia="仿宋" w:cs="仿宋"/>
                <w:color w:val="auto"/>
                <w:kern w:val="2"/>
                <w:sz w:val="24"/>
                <w:szCs w:val="24"/>
                <w:highlight w:val="none"/>
                <w:lang w:val="en-US" w:eastAsia="zh-CN"/>
              </w:rPr>
              <w:t>4</w:t>
            </w:r>
          </w:p>
        </w:tc>
        <w:tc>
          <w:tcPr>
            <w:tcW w:w="2081" w:type="dxa"/>
            <w:noWrap w:val="0"/>
            <w:vAlign w:val="center"/>
          </w:tcPr>
          <w:p w14:paraId="0F8C9123">
            <w:pPr>
              <w:pStyle w:val="84"/>
              <w:keepNext w:val="0"/>
              <w:keepLines w:val="0"/>
              <w:suppressLineNumbers w:val="0"/>
              <w:spacing w:before="0" w:beforeAutospacing="0" w:after="0" w:afterAutospacing="0"/>
              <w:ind w:left="96"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磋商小组推荐成交候选人的家数</w:t>
            </w:r>
          </w:p>
        </w:tc>
        <w:tc>
          <w:tcPr>
            <w:tcW w:w="6609" w:type="dxa"/>
            <w:noWrap w:val="0"/>
            <w:vAlign w:val="center"/>
          </w:tcPr>
          <w:p w14:paraId="3DBBE0E4">
            <w:pPr>
              <w:pStyle w:val="84"/>
              <w:keepNext w:val="0"/>
              <w:keepLines w:val="0"/>
              <w:suppressLineNumbers w:val="0"/>
              <w:spacing w:before="0" w:beforeAutospacing="0" w:after="0" w:afterAutospacing="0"/>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 xml:space="preserve">  3 </w:t>
            </w:r>
          </w:p>
        </w:tc>
      </w:tr>
      <w:tr w14:paraId="5D8D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278D2853">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3</w:t>
            </w:r>
            <w:r>
              <w:rPr>
                <w:rFonts w:hint="eastAsia" w:ascii="仿宋" w:hAnsi="仿宋" w:eastAsia="仿宋" w:cs="仿宋"/>
                <w:color w:val="auto"/>
                <w:kern w:val="2"/>
                <w:sz w:val="24"/>
                <w:szCs w:val="24"/>
                <w:highlight w:val="none"/>
                <w:lang w:val="en-US" w:eastAsia="zh-CN"/>
              </w:rPr>
              <w:t>5</w:t>
            </w:r>
          </w:p>
        </w:tc>
        <w:tc>
          <w:tcPr>
            <w:tcW w:w="2081" w:type="dxa"/>
            <w:noWrap w:val="0"/>
            <w:vAlign w:val="center"/>
          </w:tcPr>
          <w:p w14:paraId="18951968">
            <w:pPr>
              <w:pStyle w:val="84"/>
              <w:keepNext w:val="0"/>
              <w:keepLines w:val="0"/>
              <w:suppressLineNumbers w:val="0"/>
              <w:spacing w:before="0" w:beforeAutospacing="0" w:after="0" w:afterAutospacing="0"/>
              <w:ind w:left="96"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是否授权磋商小组确定成交供应商</w:t>
            </w:r>
          </w:p>
        </w:tc>
        <w:tc>
          <w:tcPr>
            <w:tcW w:w="6609" w:type="dxa"/>
            <w:noWrap w:val="0"/>
            <w:vAlign w:val="center"/>
          </w:tcPr>
          <w:p w14:paraId="5ED83013">
            <w:pPr>
              <w:pStyle w:val="84"/>
              <w:keepNext w:val="0"/>
              <w:keepLines w:val="0"/>
              <w:suppressLineNumbers w:val="0"/>
              <w:spacing w:before="0" w:beforeAutospacing="0" w:after="0" w:afterAutospacing="0"/>
              <w:ind w:left="210" w:right="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  是</w:t>
            </w:r>
          </w:p>
          <w:p w14:paraId="777255FE">
            <w:pPr>
              <w:pStyle w:val="84"/>
              <w:keepNext w:val="0"/>
              <w:keepLines w:val="0"/>
              <w:suppressLineNumbers w:val="0"/>
              <w:tabs>
                <w:tab w:val="left" w:pos="561"/>
              </w:tabs>
              <w:spacing w:before="0" w:beforeAutospacing="0" w:after="0" w:afterAutospacing="0"/>
              <w:ind w:left="21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r>
              <w:rPr>
                <w:rFonts w:hint="eastAsia" w:ascii="仿宋" w:hAnsi="仿宋" w:eastAsia="仿宋" w:cs="仿宋"/>
                <w:b/>
                <w:color w:val="auto"/>
                <w:kern w:val="2"/>
                <w:sz w:val="24"/>
                <w:szCs w:val="24"/>
                <w:highlight w:val="none"/>
              </w:rPr>
              <w:t xml:space="preserve">  </w:t>
            </w:r>
            <w:r>
              <w:rPr>
                <w:rFonts w:hint="eastAsia" w:ascii="仿宋" w:hAnsi="仿宋" w:eastAsia="仿宋" w:cs="仿宋"/>
                <w:color w:val="auto"/>
                <w:kern w:val="2"/>
                <w:sz w:val="24"/>
                <w:szCs w:val="24"/>
                <w:highlight w:val="none"/>
                <w:lang w:val="zh-CN"/>
              </w:rPr>
              <w:t>否</w:t>
            </w:r>
          </w:p>
        </w:tc>
      </w:tr>
      <w:tr w14:paraId="50BA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63ED577">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3</w:t>
            </w:r>
            <w:r>
              <w:rPr>
                <w:rFonts w:hint="eastAsia" w:ascii="仿宋" w:hAnsi="仿宋" w:eastAsia="仿宋" w:cs="仿宋"/>
                <w:color w:val="auto"/>
                <w:kern w:val="2"/>
                <w:sz w:val="24"/>
                <w:szCs w:val="24"/>
                <w:highlight w:val="none"/>
                <w:lang w:val="en-US" w:eastAsia="zh-CN"/>
              </w:rPr>
              <w:t>6</w:t>
            </w:r>
          </w:p>
        </w:tc>
        <w:tc>
          <w:tcPr>
            <w:tcW w:w="2081" w:type="dxa"/>
            <w:noWrap w:val="0"/>
            <w:vAlign w:val="center"/>
          </w:tcPr>
          <w:p w14:paraId="16892F70">
            <w:pPr>
              <w:pStyle w:val="84"/>
              <w:keepNext w:val="0"/>
              <w:keepLines w:val="0"/>
              <w:suppressLineNumbers w:val="0"/>
              <w:spacing w:before="0" w:beforeAutospacing="0" w:after="0" w:afterAutospacing="0"/>
              <w:ind w:left="96"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发布成交公告的</w:t>
            </w:r>
          </w:p>
          <w:p w14:paraId="0392AD15">
            <w:pPr>
              <w:pStyle w:val="84"/>
              <w:keepNext w:val="0"/>
              <w:keepLines w:val="0"/>
              <w:suppressLineNumbers w:val="0"/>
              <w:spacing w:before="0" w:beforeAutospacing="0" w:after="0" w:afterAutospacing="0"/>
              <w:ind w:left="96"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时间、媒介和期限</w:t>
            </w:r>
          </w:p>
        </w:tc>
        <w:tc>
          <w:tcPr>
            <w:tcW w:w="6609" w:type="dxa"/>
            <w:noWrap w:val="0"/>
            <w:vAlign w:val="center"/>
          </w:tcPr>
          <w:p w14:paraId="75115FDC">
            <w:pPr>
              <w:pStyle w:val="84"/>
              <w:keepNext w:val="0"/>
              <w:keepLines w:val="0"/>
              <w:suppressLineNumbers w:val="0"/>
              <w:spacing w:before="0" w:beforeAutospacing="0" w:after="0" w:afterAutospacing="0"/>
              <w:ind w:left="210" w:right="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公告时间：在确定成交供应商之日起2个工作日内</w:t>
            </w:r>
          </w:p>
          <w:p w14:paraId="5C102990">
            <w:pPr>
              <w:pStyle w:val="84"/>
              <w:keepNext w:val="0"/>
              <w:keepLines w:val="0"/>
              <w:suppressLineNumbers w:val="0"/>
              <w:spacing w:before="0" w:beforeAutospacing="0" w:after="0" w:afterAutospacing="0"/>
              <w:ind w:left="210" w:right="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公告媒介：陕西省政府采购网</w:t>
            </w:r>
          </w:p>
          <w:p w14:paraId="4C749400">
            <w:pPr>
              <w:pStyle w:val="84"/>
              <w:keepNext w:val="0"/>
              <w:keepLines w:val="0"/>
              <w:suppressLineNumbers w:val="0"/>
              <w:spacing w:before="0" w:beforeAutospacing="0" w:after="0" w:afterAutospacing="0"/>
              <w:ind w:left="21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公告期限：1个工作日</w:t>
            </w:r>
          </w:p>
        </w:tc>
      </w:tr>
      <w:tr w14:paraId="19A2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C2D92A9">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37</w:t>
            </w:r>
          </w:p>
        </w:tc>
        <w:tc>
          <w:tcPr>
            <w:tcW w:w="2081" w:type="dxa"/>
            <w:noWrap w:val="0"/>
            <w:vAlign w:val="center"/>
          </w:tcPr>
          <w:p w14:paraId="6615BDB0">
            <w:pPr>
              <w:pStyle w:val="84"/>
              <w:keepNext w:val="0"/>
              <w:keepLines w:val="0"/>
              <w:suppressLineNumbers w:val="0"/>
              <w:spacing w:before="0" w:beforeAutospacing="0" w:after="0" w:afterAutospacing="0"/>
              <w:ind w:left="96"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履约保证金</w:t>
            </w:r>
          </w:p>
        </w:tc>
        <w:tc>
          <w:tcPr>
            <w:tcW w:w="6609" w:type="dxa"/>
            <w:noWrap w:val="0"/>
            <w:vAlign w:val="center"/>
          </w:tcPr>
          <w:p w14:paraId="23BC4B04">
            <w:pPr>
              <w:pStyle w:val="84"/>
              <w:keepNext w:val="0"/>
              <w:keepLines w:val="0"/>
              <w:suppressLineNumbers w:val="0"/>
              <w:spacing w:before="0" w:beforeAutospacing="0" w:after="0" w:afterAutospacing="0" w:line="320" w:lineRule="exact"/>
              <w:ind w:left="694" w:leftChars="102" w:right="0" w:hanging="480" w:hangingChars="2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是否要求成交供应商提交履约保证金：</w:t>
            </w:r>
          </w:p>
          <w:p w14:paraId="4E65E890">
            <w:pPr>
              <w:pStyle w:val="84"/>
              <w:keepNext w:val="0"/>
              <w:keepLines w:val="0"/>
              <w:suppressLineNumbers w:val="0"/>
              <w:spacing w:before="0" w:beforeAutospacing="0" w:after="0" w:afterAutospacing="0" w:line="320" w:lineRule="exact"/>
              <w:ind w:left="210" w:right="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  要求:</w:t>
            </w:r>
          </w:p>
          <w:p w14:paraId="338BB1FD">
            <w:pPr>
              <w:pStyle w:val="84"/>
              <w:keepNext w:val="0"/>
              <w:keepLines w:val="0"/>
              <w:suppressLineNumbers w:val="0"/>
              <w:spacing w:before="0" w:beforeAutospacing="0" w:after="0" w:afterAutospacing="0" w:line="320" w:lineRule="exact"/>
              <w:ind w:left="694" w:leftChars="102" w:right="0" w:hanging="480" w:hangingChars="2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 xml:space="preserve">    履约保证金的金额：￥</w:t>
            </w:r>
            <w:r>
              <w:rPr>
                <w:rFonts w:hint="eastAsia" w:ascii="仿宋" w:hAnsi="仿宋" w:eastAsia="仿宋" w:cs="仿宋"/>
                <w:color w:val="auto"/>
                <w:kern w:val="2"/>
                <w:sz w:val="24"/>
                <w:szCs w:val="24"/>
                <w:highlight w:val="none"/>
                <w:u w:val="single"/>
                <w:lang w:val="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u w:val="single"/>
                <w:lang w:val="zh-CN"/>
              </w:rPr>
              <w:t xml:space="preserve">  </w:t>
            </w:r>
          </w:p>
          <w:p w14:paraId="41F2CE87">
            <w:pPr>
              <w:pStyle w:val="84"/>
              <w:keepNext w:val="0"/>
              <w:keepLines w:val="0"/>
              <w:suppressLineNumbers w:val="0"/>
              <w:spacing w:before="0" w:beforeAutospacing="0" w:after="0" w:afterAutospacing="0" w:line="320" w:lineRule="exact"/>
              <w:ind w:left="0" w:right="0" w:firstLine="720" w:firstLineChars="30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履约保证金的形式：可采取银行转账或履约担保方式提交</w:t>
            </w:r>
          </w:p>
          <w:p w14:paraId="7883E3BF">
            <w:pPr>
              <w:pStyle w:val="84"/>
              <w:keepNext w:val="0"/>
              <w:keepLines w:val="0"/>
              <w:suppressLineNumbers w:val="0"/>
              <w:spacing w:before="0" w:beforeAutospacing="0" w:after="0" w:afterAutospacing="0" w:line="320" w:lineRule="exact"/>
              <w:ind w:left="0" w:right="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 xml:space="preserve">  </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zh-CN"/>
              </w:rPr>
              <w:t xml:space="preserve"> 不要求</w:t>
            </w:r>
          </w:p>
        </w:tc>
      </w:tr>
      <w:tr w14:paraId="4F2D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35E555AA">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38</w:t>
            </w:r>
          </w:p>
        </w:tc>
        <w:tc>
          <w:tcPr>
            <w:tcW w:w="2081" w:type="dxa"/>
            <w:noWrap w:val="0"/>
            <w:vAlign w:val="center"/>
          </w:tcPr>
          <w:p w14:paraId="1CD8105D">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供应商信用信息</w:t>
            </w:r>
          </w:p>
          <w:p w14:paraId="3D1D5CB7">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查询截至时点</w:t>
            </w:r>
          </w:p>
        </w:tc>
        <w:tc>
          <w:tcPr>
            <w:tcW w:w="6609" w:type="dxa"/>
            <w:noWrap w:val="0"/>
            <w:vAlign w:val="center"/>
          </w:tcPr>
          <w:p w14:paraId="3F7B8D4D">
            <w:pPr>
              <w:keepNext w:val="0"/>
              <w:keepLines w:val="0"/>
              <w:suppressLineNumbers w:val="0"/>
              <w:spacing w:before="0" w:beforeAutospacing="0" w:after="0" w:afterAutospacing="0" w:line="340" w:lineRule="exact"/>
              <w:ind w:left="210"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磋商公告期限截</w:t>
            </w:r>
            <w:r>
              <w:rPr>
                <w:rFonts w:hint="eastAsia" w:ascii="仿宋" w:hAnsi="仿宋" w:eastAsia="仿宋" w:cs="仿宋"/>
                <w:color w:val="auto"/>
                <w:sz w:val="24"/>
                <w:szCs w:val="24"/>
                <w:highlight w:val="none"/>
                <w:lang w:eastAsia="zh-CN"/>
              </w:rPr>
              <w:t>之</w:t>
            </w:r>
            <w:r>
              <w:rPr>
                <w:rFonts w:hint="eastAsia" w:ascii="仿宋" w:hAnsi="仿宋" w:eastAsia="仿宋" w:cs="仿宋"/>
                <w:color w:val="auto"/>
                <w:sz w:val="24"/>
                <w:szCs w:val="24"/>
                <w:highlight w:val="none"/>
              </w:rPr>
              <w:t>日至今，由采购人和采购代理机构共同核查</w:t>
            </w:r>
          </w:p>
        </w:tc>
      </w:tr>
      <w:tr w14:paraId="3C8B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57F0DA1C">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39</w:t>
            </w:r>
          </w:p>
        </w:tc>
        <w:tc>
          <w:tcPr>
            <w:tcW w:w="2081" w:type="dxa"/>
            <w:noWrap w:val="0"/>
            <w:vAlign w:val="center"/>
          </w:tcPr>
          <w:p w14:paraId="37B93EBD">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资格审查时是否</w:t>
            </w:r>
          </w:p>
          <w:p w14:paraId="12464F0F">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核验证件</w:t>
            </w:r>
          </w:p>
        </w:tc>
        <w:tc>
          <w:tcPr>
            <w:tcW w:w="6609" w:type="dxa"/>
            <w:noWrap w:val="0"/>
            <w:vAlign w:val="center"/>
          </w:tcPr>
          <w:p w14:paraId="7641C9DB">
            <w:pPr>
              <w:keepNext w:val="0"/>
              <w:keepLines w:val="0"/>
              <w:numPr>
                <w:ilvl w:val="0"/>
                <w:numId w:val="0"/>
              </w:numPr>
              <w:suppressLineNumbers w:val="0"/>
              <w:spacing w:before="0" w:beforeAutospacing="0" w:after="0" w:afterAutospacing="0" w:line="340" w:lineRule="exact"/>
              <w:ind w:left="210" w:leftChars="0" w:right="105" w:rightChars="5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zh-CN"/>
              </w:rPr>
              <w:t xml:space="preserve"> </w:t>
            </w:r>
            <w:r>
              <w:rPr>
                <w:rFonts w:hint="eastAsia" w:ascii="仿宋" w:hAnsi="仿宋" w:eastAsia="仿宋" w:cs="仿宋"/>
                <w:color w:val="auto"/>
                <w:sz w:val="24"/>
                <w:szCs w:val="24"/>
                <w:highlight w:val="none"/>
              </w:rPr>
              <w:t>需要，核验要求：</w:t>
            </w:r>
          </w:p>
          <w:p w14:paraId="005E9469">
            <w:pPr>
              <w:keepNext w:val="0"/>
              <w:keepLines w:val="0"/>
              <w:suppressLineNumbers w:val="0"/>
              <w:spacing w:before="0" w:beforeAutospacing="0" w:after="0" w:afterAutospacing="0" w:line="560" w:lineRule="exact"/>
              <w:ind w:left="0"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1.具有独立承担民事责任能力的法人、其他组织或自然人，提供合法有效的统一社会信用代码营业执照（事业单位提供事业单位法人证书，自然人提供身份证明）；</w:t>
            </w:r>
          </w:p>
          <w:p w14:paraId="6E17FB64">
            <w:pPr>
              <w:keepNext w:val="0"/>
              <w:keepLines w:val="0"/>
              <w:suppressLineNumbers w:val="0"/>
              <w:spacing w:before="0" w:beforeAutospacing="0" w:after="0" w:afterAutospacing="0" w:line="560" w:lineRule="exact"/>
              <w:ind w:left="0"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2.法定代表人授权委托书：法定代表人参加磋商的，须出示身份证原件；法定代表人授权他人参加磋商的，须提供法定代表人授权委托书及被授权人身份证原件；</w:t>
            </w:r>
          </w:p>
          <w:p w14:paraId="05772CEB">
            <w:pPr>
              <w:keepNext w:val="0"/>
              <w:keepLines w:val="0"/>
              <w:suppressLineNumbers w:val="0"/>
              <w:spacing w:before="0" w:beforeAutospacing="0" w:after="0" w:afterAutospacing="0" w:line="560" w:lineRule="exact"/>
              <w:ind w:left="0"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p w14:paraId="7536483C">
            <w:pPr>
              <w:keepNext w:val="0"/>
              <w:keepLines w:val="0"/>
              <w:suppressLineNumbers w:val="0"/>
              <w:spacing w:before="0" w:beforeAutospacing="0" w:after="0" w:afterAutospacing="0" w:line="560" w:lineRule="exact"/>
              <w:ind w:left="0"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应具备建设行政主管部门颁发合法有效的建筑工程施工总承包三级（含）以上资质，并具备有效的安全生产许可证；拟派项目经理须具备建筑工程专业二级（含）以上注册建造师执业资格及安全生产考核合格证（B证），且未担任其他在建工程项目的项目经理；</w:t>
            </w:r>
          </w:p>
          <w:p w14:paraId="64E7985C">
            <w:pPr>
              <w:keepNext w:val="0"/>
              <w:keepLines w:val="0"/>
              <w:suppressLineNumbers w:val="0"/>
              <w:spacing w:before="0" w:beforeAutospacing="0" w:after="0" w:afterAutospacing="0" w:line="560" w:lineRule="exact"/>
              <w:ind w:left="0"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5.本项目专门面向中小企业采购。</w:t>
            </w:r>
          </w:p>
          <w:p w14:paraId="620CF780">
            <w:pPr>
              <w:pStyle w:val="84"/>
              <w:keepNext w:val="0"/>
              <w:keepLines w:val="0"/>
              <w:suppressLineNumbers w:val="0"/>
              <w:spacing w:before="0" w:beforeAutospacing="0" w:after="0" w:afterAutospacing="0" w:line="320" w:lineRule="exact"/>
              <w:ind w:left="0" w:right="105" w:rightChars="50"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w:t>
            </w:r>
            <w:r>
              <w:rPr>
                <w:rFonts w:hint="eastAsia" w:ascii="仿宋" w:hAnsi="仿宋" w:eastAsia="仿宋" w:cs="仿宋"/>
                <w:color w:val="auto"/>
                <w:kern w:val="2"/>
                <w:sz w:val="24"/>
                <w:szCs w:val="24"/>
                <w:highlight w:val="none"/>
              </w:rPr>
              <w:t xml:space="preserve"> 不需要</w:t>
            </w:r>
          </w:p>
        </w:tc>
      </w:tr>
      <w:tr w14:paraId="7348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811" w:type="dxa"/>
            <w:noWrap w:val="0"/>
            <w:vAlign w:val="center"/>
          </w:tcPr>
          <w:p w14:paraId="10B618B9">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rPr>
              <w:t>4</w:t>
            </w:r>
            <w:r>
              <w:rPr>
                <w:rFonts w:hint="eastAsia" w:ascii="仿宋" w:hAnsi="仿宋" w:eastAsia="仿宋" w:cs="仿宋"/>
                <w:color w:val="auto"/>
                <w:kern w:val="2"/>
                <w:sz w:val="24"/>
                <w:szCs w:val="24"/>
                <w:highlight w:val="none"/>
                <w:lang w:val="en-US" w:eastAsia="zh-CN"/>
              </w:rPr>
              <w:t>0</w:t>
            </w:r>
          </w:p>
        </w:tc>
        <w:tc>
          <w:tcPr>
            <w:tcW w:w="2081" w:type="dxa"/>
            <w:noWrap w:val="0"/>
            <w:vAlign w:val="center"/>
          </w:tcPr>
          <w:p w14:paraId="2FBB9C03">
            <w:pPr>
              <w:pStyle w:val="84"/>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rPr>
              <w:t>付款方式</w:t>
            </w:r>
          </w:p>
        </w:tc>
        <w:tc>
          <w:tcPr>
            <w:tcW w:w="6609" w:type="dxa"/>
            <w:noWrap w:val="0"/>
            <w:vAlign w:val="center"/>
          </w:tcPr>
          <w:p w14:paraId="424E8EDA">
            <w:pPr>
              <w:pStyle w:val="84"/>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zh-CN" w:eastAsia="zh-CN"/>
              </w:rPr>
              <w:t>合同中约定</w:t>
            </w:r>
          </w:p>
        </w:tc>
      </w:tr>
      <w:tr w14:paraId="6483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7C888EC4">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41</w:t>
            </w:r>
          </w:p>
        </w:tc>
        <w:tc>
          <w:tcPr>
            <w:tcW w:w="2081" w:type="dxa"/>
            <w:noWrap w:val="0"/>
            <w:vAlign w:val="center"/>
          </w:tcPr>
          <w:p w14:paraId="65DD1183">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质量保证金</w:t>
            </w:r>
          </w:p>
        </w:tc>
        <w:tc>
          <w:tcPr>
            <w:tcW w:w="6609" w:type="dxa"/>
            <w:noWrap w:val="0"/>
            <w:vAlign w:val="center"/>
          </w:tcPr>
          <w:p w14:paraId="0DE9DA4D">
            <w:pPr>
              <w:pStyle w:val="84"/>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eastAsia="zh-CN"/>
              </w:rPr>
              <w:t>合同中约定</w:t>
            </w:r>
          </w:p>
        </w:tc>
      </w:tr>
      <w:tr w14:paraId="05D4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11" w:type="dxa"/>
            <w:noWrap w:val="0"/>
            <w:vAlign w:val="center"/>
          </w:tcPr>
          <w:p w14:paraId="472BE539">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42</w:t>
            </w:r>
          </w:p>
        </w:tc>
        <w:tc>
          <w:tcPr>
            <w:tcW w:w="2081" w:type="dxa"/>
            <w:noWrap w:val="0"/>
            <w:vAlign w:val="center"/>
          </w:tcPr>
          <w:p w14:paraId="496CE99F">
            <w:pPr>
              <w:pStyle w:val="84"/>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中小企业</w:t>
            </w:r>
          </w:p>
        </w:tc>
        <w:tc>
          <w:tcPr>
            <w:tcW w:w="6609" w:type="dxa"/>
            <w:noWrap w:val="0"/>
            <w:vAlign w:val="center"/>
          </w:tcPr>
          <w:p w14:paraId="029FC30A">
            <w:pPr>
              <w:pStyle w:val="84"/>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eastAsia="zh-CN"/>
              </w:rPr>
              <w:t>本项目为专门面向中小企业采购的项目，非中小企业投标将予以拒绝。</w:t>
            </w:r>
          </w:p>
          <w:p w14:paraId="6136B489">
            <w:pPr>
              <w:pStyle w:val="84"/>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yellow"/>
                <w:lang w:val="en-US" w:eastAsia="zh-CN"/>
              </w:rPr>
              <w:t>行业划分：建筑业。</w:t>
            </w:r>
          </w:p>
        </w:tc>
      </w:tr>
    </w:tbl>
    <w:p w14:paraId="5550B29B">
      <w:pPr>
        <w:pStyle w:val="3"/>
        <w:pageBreakBefore w:val="0"/>
        <w:numPr>
          <w:ilvl w:val="0"/>
          <w:numId w:val="4"/>
        </w:numPr>
        <w:kinsoku/>
        <w:wordWrap/>
        <w:overflowPunct/>
        <w:topLinePunct w:val="0"/>
        <w:bidi w:val="0"/>
        <w:spacing w:before="0" w:after="120" w:afterLines="50" w:line="400" w:lineRule="exact"/>
        <w:rPr>
          <w:rFonts w:hint="eastAsia" w:ascii="仿宋" w:hAnsi="仿宋" w:eastAsia="仿宋" w:cs="仿宋"/>
          <w:b w:val="0"/>
          <w:color w:val="auto"/>
          <w:sz w:val="40"/>
          <w:szCs w:val="40"/>
          <w:highlight w:val="none"/>
        </w:rPr>
      </w:pPr>
      <w:r>
        <w:rPr>
          <w:rFonts w:hint="eastAsia" w:ascii="仿宋" w:hAnsi="仿宋" w:eastAsia="仿宋" w:cs="仿宋"/>
          <w:b w:val="0"/>
          <w:color w:val="auto"/>
          <w:sz w:val="32"/>
          <w:szCs w:val="32"/>
          <w:highlight w:val="none"/>
        </w:rPr>
        <w:br w:type="page"/>
      </w:r>
      <w:bookmarkEnd w:id="24"/>
      <w:bookmarkEnd w:id="25"/>
      <w:bookmarkEnd w:id="26"/>
      <w:bookmarkEnd w:id="27"/>
      <w:bookmarkEnd w:id="28"/>
      <w:bookmarkStart w:id="29" w:name="_Toc17149_WPSOffice_Level2"/>
      <w:bookmarkStart w:id="30" w:name="_Toc27146"/>
      <w:bookmarkStart w:id="31" w:name="_Toc5242"/>
      <w:bookmarkStart w:id="32" w:name="_Toc19968"/>
      <w:bookmarkStart w:id="33" w:name="_Toc1874"/>
      <w:bookmarkStart w:id="34" w:name="_Toc3104"/>
      <w:bookmarkStart w:id="35" w:name="_Toc28313"/>
      <w:bookmarkStart w:id="36" w:name="_Toc183682344"/>
      <w:bookmarkStart w:id="37" w:name="_Toc217446036"/>
      <w:bookmarkStart w:id="38" w:name="_Toc183582207"/>
      <w:bookmarkStart w:id="39" w:name="_Toc217390843"/>
      <w:r>
        <w:rPr>
          <w:rFonts w:hint="eastAsia" w:ascii="仿宋" w:hAnsi="仿宋" w:eastAsia="仿宋" w:cs="仿宋"/>
          <w:b w:val="0"/>
          <w:color w:val="auto"/>
          <w:sz w:val="40"/>
          <w:szCs w:val="40"/>
          <w:highlight w:val="none"/>
        </w:rPr>
        <w:t>总  则</w:t>
      </w:r>
      <w:bookmarkEnd w:id="29"/>
      <w:bookmarkEnd w:id="30"/>
      <w:bookmarkEnd w:id="31"/>
      <w:bookmarkEnd w:id="32"/>
      <w:bookmarkEnd w:id="33"/>
      <w:bookmarkEnd w:id="34"/>
      <w:bookmarkEnd w:id="35"/>
    </w:p>
    <w:p w14:paraId="02E6379F">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bookmarkStart w:id="40" w:name="_Toc25355"/>
      <w:bookmarkStart w:id="41" w:name="_Toc26527"/>
      <w:bookmarkStart w:id="42" w:name="_Toc12795"/>
      <w:bookmarkStart w:id="43" w:name="_Toc25061"/>
      <w:bookmarkStart w:id="44" w:name="_Toc18359"/>
      <w:bookmarkStart w:id="45" w:name="_Toc6430"/>
      <w:r>
        <w:rPr>
          <w:rFonts w:hint="eastAsia" w:ascii="仿宋" w:hAnsi="仿宋" w:eastAsia="仿宋" w:cs="仿宋"/>
          <w:b/>
          <w:color w:val="auto"/>
          <w:sz w:val="32"/>
          <w:szCs w:val="32"/>
          <w:highlight w:val="none"/>
        </w:rPr>
        <w:t>1.1适用范围</w:t>
      </w:r>
      <w:bookmarkEnd w:id="40"/>
      <w:bookmarkEnd w:id="41"/>
      <w:bookmarkEnd w:id="42"/>
      <w:bookmarkEnd w:id="43"/>
      <w:bookmarkEnd w:id="44"/>
      <w:bookmarkEnd w:id="45"/>
    </w:p>
    <w:p w14:paraId="1457EB16">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本竞争性磋商文件仅适用于本次竞争性磋商（以下简称磋商）所叙述的服务项目的采购活动。</w:t>
      </w:r>
    </w:p>
    <w:p w14:paraId="7EEEDC69">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1.2名词解释</w:t>
      </w:r>
    </w:p>
    <w:bookmarkEnd w:id="36"/>
    <w:bookmarkEnd w:id="37"/>
    <w:bookmarkEnd w:id="38"/>
    <w:bookmarkEnd w:id="39"/>
    <w:p w14:paraId="53FC686D">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bookmarkStart w:id="46" w:name="_Toc183582208"/>
      <w:bookmarkStart w:id="47" w:name="_Toc217446037"/>
      <w:bookmarkStart w:id="48" w:name="_Toc183682345"/>
      <w:r>
        <w:rPr>
          <w:rFonts w:hint="eastAsia" w:ascii="仿宋" w:hAnsi="仿宋" w:eastAsia="仿宋" w:cs="仿宋"/>
          <w:color w:val="auto"/>
          <w:sz w:val="22"/>
          <w:szCs w:val="22"/>
          <w:highlight w:val="none"/>
        </w:rPr>
        <w:t xml:space="preserve">1.2.1 </w:t>
      </w:r>
      <w:r>
        <w:rPr>
          <w:rFonts w:hint="eastAsia" w:ascii="仿宋" w:hAnsi="仿宋" w:eastAsia="仿宋" w:cs="仿宋"/>
          <w:b/>
          <w:bCs/>
          <w:color w:val="auto"/>
          <w:sz w:val="22"/>
          <w:szCs w:val="22"/>
          <w:highlight w:val="none"/>
          <w:lang w:eastAsia="zh-CN"/>
        </w:rPr>
        <w:t>采购人</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lang w:eastAsia="zh-CN"/>
        </w:rPr>
        <w:t>汉中市铺镇中学</w:t>
      </w:r>
      <w:r>
        <w:rPr>
          <w:rFonts w:hint="eastAsia" w:ascii="仿宋" w:hAnsi="仿宋" w:eastAsia="仿宋" w:cs="仿宋"/>
          <w:color w:val="auto"/>
          <w:sz w:val="22"/>
          <w:szCs w:val="22"/>
          <w:highlight w:val="none"/>
        </w:rPr>
        <w:t>。</w:t>
      </w:r>
    </w:p>
    <w:p w14:paraId="1FFA3A82">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1.2.2 </w:t>
      </w:r>
      <w:r>
        <w:rPr>
          <w:rFonts w:hint="eastAsia" w:ascii="仿宋" w:hAnsi="仿宋" w:eastAsia="仿宋" w:cs="仿宋"/>
          <w:b/>
          <w:bCs/>
          <w:color w:val="auto"/>
          <w:sz w:val="22"/>
          <w:szCs w:val="22"/>
          <w:highlight w:val="none"/>
        </w:rPr>
        <w:t>监督管理机构：</w:t>
      </w:r>
      <w:r>
        <w:rPr>
          <w:rFonts w:hint="eastAsia" w:ascii="仿宋" w:hAnsi="仿宋" w:eastAsia="仿宋" w:cs="仿宋"/>
          <w:color w:val="auto"/>
          <w:sz w:val="22"/>
          <w:szCs w:val="22"/>
          <w:highlight w:val="none"/>
          <w:lang w:val="en-US" w:eastAsia="zh-CN"/>
        </w:rPr>
        <w:t>汉台区财政局</w:t>
      </w:r>
      <w:r>
        <w:rPr>
          <w:rFonts w:hint="eastAsia" w:ascii="仿宋" w:hAnsi="仿宋" w:eastAsia="仿宋" w:cs="仿宋"/>
          <w:color w:val="auto"/>
          <w:sz w:val="22"/>
          <w:szCs w:val="22"/>
          <w:highlight w:val="none"/>
        </w:rPr>
        <w:t>。</w:t>
      </w:r>
    </w:p>
    <w:p w14:paraId="1A74A281">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 xml:space="preserve">1.2.3 </w:t>
      </w:r>
      <w:r>
        <w:rPr>
          <w:rFonts w:hint="eastAsia" w:ascii="仿宋" w:hAnsi="仿宋" w:eastAsia="仿宋" w:cs="仿宋"/>
          <w:b/>
          <w:bCs/>
          <w:color w:val="auto"/>
          <w:sz w:val="22"/>
          <w:szCs w:val="22"/>
          <w:highlight w:val="none"/>
        </w:rPr>
        <w:t>采购代理机构：</w:t>
      </w:r>
      <w:r>
        <w:rPr>
          <w:rFonts w:hint="eastAsia" w:ascii="仿宋" w:hAnsi="仿宋" w:eastAsia="仿宋" w:cs="仿宋"/>
          <w:color w:val="auto"/>
          <w:sz w:val="22"/>
          <w:szCs w:val="22"/>
          <w:highlight w:val="none"/>
          <w:lang w:eastAsia="zh-CN"/>
        </w:rPr>
        <w:t>陕西佳鸿项目管理咨询有限公司</w:t>
      </w:r>
      <w:r>
        <w:rPr>
          <w:rFonts w:hint="eastAsia" w:ascii="仿宋" w:hAnsi="仿宋" w:eastAsia="仿宋" w:cs="仿宋"/>
          <w:color w:val="auto"/>
          <w:sz w:val="22"/>
          <w:szCs w:val="22"/>
          <w:highlight w:val="none"/>
        </w:rPr>
        <w:t>。</w:t>
      </w:r>
    </w:p>
    <w:p w14:paraId="4FEC0F42">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1.2.4 </w:t>
      </w:r>
      <w:r>
        <w:rPr>
          <w:rFonts w:hint="eastAsia" w:ascii="仿宋" w:hAnsi="仿宋" w:eastAsia="仿宋" w:cs="仿宋"/>
          <w:b/>
          <w:bCs/>
          <w:color w:val="auto"/>
          <w:sz w:val="22"/>
          <w:szCs w:val="22"/>
          <w:highlight w:val="none"/>
          <w:lang w:eastAsia="zh-CN"/>
        </w:rPr>
        <w:t>供应商</w:t>
      </w:r>
      <w:r>
        <w:rPr>
          <w:rFonts w:hint="eastAsia" w:ascii="仿宋" w:hAnsi="仿宋" w:eastAsia="仿宋" w:cs="仿宋"/>
          <w:color w:val="auto"/>
          <w:sz w:val="22"/>
          <w:szCs w:val="22"/>
          <w:highlight w:val="none"/>
        </w:rPr>
        <w:t>是指接受磋商文件的各项要求，具备相应履约能力、具有《中华人民共和国政府采购法》第22规定的相关条件并向磋商小组提交响应文件的供应商。</w:t>
      </w:r>
    </w:p>
    <w:p w14:paraId="023FA369">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1.2.5</w:t>
      </w:r>
      <w:r>
        <w:rPr>
          <w:rFonts w:hint="eastAsia" w:ascii="仿宋" w:hAnsi="仿宋" w:eastAsia="仿宋" w:cs="仿宋"/>
          <w:b/>
          <w:bCs/>
          <w:color w:val="auto"/>
          <w:sz w:val="22"/>
          <w:szCs w:val="22"/>
          <w:highlight w:val="none"/>
        </w:rPr>
        <w:t xml:space="preserve"> </w:t>
      </w:r>
      <w:r>
        <w:rPr>
          <w:rFonts w:hint="eastAsia" w:ascii="仿宋" w:hAnsi="仿宋" w:eastAsia="仿宋" w:cs="仿宋"/>
          <w:b/>
          <w:bCs/>
          <w:color w:val="auto"/>
          <w:sz w:val="22"/>
          <w:szCs w:val="22"/>
          <w:highlight w:val="none"/>
          <w:lang w:eastAsia="zh-CN"/>
        </w:rPr>
        <w:t>服务</w:t>
      </w:r>
      <w:r>
        <w:rPr>
          <w:rFonts w:hint="eastAsia" w:ascii="仿宋" w:hAnsi="仿宋" w:eastAsia="仿宋" w:cs="仿宋"/>
          <w:color w:val="auto"/>
          <w:sz w:val="22"/>
          <w:szCs w:val="22"/>
          <w:highlight w:val="none"/>
        </w:rPr>
        <w:t>是指为满足磋商文件要求</w:t>
      </w:r>
      <w:r>
        <w:rPr>
          <w:rFonts w:hint="eastAsia" w:ascii="仿宋" w:hAnsi="仿宋" w:eastAsia="仿宋" w:cs="仿宋"/>
          <w:color w:val="auto"/>
          <w:sz w:val="22"/>
          <w:szCs w:val="22"/>
          <w:highlight w:val="none"/>
          <w:lang w:eastAsia="zh-CN"/>
        </w:rPr>
        <w:t>所提供的服务</w:t>
      </w:r>
      <w:r>
        <w:rPr>
          <w:rFonts w:hint="eastAsia" w:ascii="仿宋" w:hAnsi="仿宋" w:eastAsia="仿宋" w:cs="仿宋"/>
          <w:color w:val="auto"/>
          <w:sz w:val="22"/>
          <w:szCs w:val="22"/>
          <w:highlight w:val="none"/>
        </w:rPr>
        <w:t>。</w:t>
      </w:r>
    </w:p>
    <w:p w14:paraId="63184141">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1.2.6 </w:t>
      </w:r>
      <w:r>
        <w:rPr>
          <w:rFonts w:hint="eastAsia" w:ascii="仿宋" w:hAnsi="仿宋" w:eastAsia="仿宋" w:cs="仿宋"/>
          <w:b/>
          <w:bCs/>
          <w:color w:val="auto"/>
          <w:sz w:val="22"/>
          <w:szCs w:val="22"/>
          <w:highlight w:val="none"/>
          <w:lang w:eastAsia="zh-CN"/>
        </w:rPr>
        <w:t>货物</w:t>
      </w:r>
      <w:r>
        <w:rPr>
          <w:rFonts w:hint="eastAsia" w:ascii="仿宋" w:hAnsi="仿宋" w:eastAsia="仿宋" w:cs="仿宋"/>
          <w:color w:val="auto"/>
          <w:sz w:val="22"/>
          <w:szCs w:val="22"/>
          <w:highlight w:val="none"/>
        </w:rPr>
        <w:t>是指为满足磋商文件要求所提供的</w:t>
      </w:r>
      <w:r>
        <w:rPr>
          <w:rFonts w:hint="eastAsia" w:ascii="仿宋" w:hAnsi="仿宋" w:eastAsia="仿宋" w:cs="仿宋"/>
          <w:color w:val="auto"/>
          <w:sz w:val="22"/>
          <w:szCs w:val="22"/>
          <w:highlight w:val="none"/>
          <w:lang w:eastAsia="zh-CN"/>
        </w:rPr>
        <w:t>货物</w:t>
      </w:r>
      <w:r>
        <w:rPr>
          <w:rFonts w:hint="eastAsia" w:ascii="仿宋" w:hAnsi="仿宋" w:eastAsia="仿宋" w:cs="仿宋"/>
          <w:color w:val="auto"/>
          <w:sz w:val="22"/>
          <w:szCs w:val="22"/>
          <w:highlight w:val="none"/>
        </w:rPr>
        <w:t>。</w:t>
      </w:r>
    </w:p>
    <w:p w14:paraId="70A7D1D0">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1.2.7 </w:t>
      </w:r>
      <w:r>
        <w:rPr>
          <w:rFonts w:hint="eastAsia" w:ascii="仿宋" w:hAnsi="仿宋" w:eastAsia="仿宋" w:cs="仿宋"/>
          <w:b/>
          <w:bCs/>
          <w:color w:val="auto"/>
          <w:sz w:val="22"/>
          <w:szCs w:val="22"/>
          <w:highlight w:val="none"/>
        </w:rPr>
        <w:t>节能产品</w:t>
      </w:r>
      <w:r>
        <w:rPr>
          <w:rFonts w:hint="eastAsia" w:ascii="仿宋" w:hAnsi="仿宋" w:eastAsia="仿宋" w:cs="仿宋"/>
          <w:color w:val="auto"/>
          <w:sz w:val="22"/>
          <w:szCs w:val="22"/>
          <w:highlight w:val="none"/>
        </w:rPr>
        <w:t>指财政部、发展改革委、生态环境部等部门发布的《节能产品品目清单》中的产品。</w:t>
      </w:r>
    </w:p>
    <w:p w14:paraId="6DAECB2A">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1.2.8 </w:t>
      </w:r>
      <w:r>
        <w:rPr>
          <w:rFonts w:hint="eastAsia" w:ascii="仿宋" w:hAnsi="仿宋" w:eastAsia="仿宋" w:cs="仿宋"/>
          <w:b/>
          <w:bCs/>
          <w:color w:val="auto"/>
          <w:sz w:val="22"/>
          <w:szCs w:val="22"/>
          <w:highlight w:val="none"/>
        </w:rPr>
        <w:t>环境标志产品</w:t>
      </w:r>
      <w:r>
        <w:rPr>
          <w:rFonts w:hint="eastAsia" w:ascii="仿宋" w:hAnsi="仿宋" w:eastAsia="仿宋" w:cs="仿宋"/>
          <w:color w:val="auto"/>
          <w:sz w:val="22"/>
          <w:szCs w:val="22"/>
          <w:highlight w:val="none"/>
        </w:rPr>
        <w:t>是指财政部、发展改革委、生态环境部等部门发布的《环境标志产品品目清单》中的产品。</w:t>
      </w:r>
    </w:p>
    <w:p w14:paraId="27EA9B2E">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1.2.9 </w:t>
      </w:r>
      <w:r>
        <w:rPr>
          <w:rFonts w:hint="eastAsia" w:ascii="仿宋" w:hAnsi="仿宋" w:eastAsia="仿宋" w:cs="仿宋"/>
          <w:b/>
          <w:bCs/>
          <w:color w:val="auto"/>
          <w:kern w:val="0"/>
          <w:sz w:val="22"/>
          <w:szCs w:val="22"/>
          <w:highlight w:val="none"/>
        </w:rPr>
        <w:t>进口产品</w:t>
      </w:r>
      <w:r>
        <w:rPr>
          <w:rFonts w:hint="eastAsia" w:ascii="仿宋" w:hAnsi="仿宋" w:eastAsia="仿宋" w:cs="仿宋"/>
          <w:color w:val="auto"/>
          <w:kern w:val="0"/>
          <w:sz w:val="22"/>
          <w:szCs w:val="22"/>
          <w:highlight w:val="none"/>
        </w:rPr>
        <w:t>是指通过中国海关报关验放进入中国境内且产自关境外的产品，详见《关于政府采购进口产品管理有关问题的通知》(财库[2007]119号)。</w:t>
      </w:r>
    </w:p>
    <w:p w14:paraId="356542C0">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1.2.10</w:t>
      </w:r>
      <w:r>
        <w:rPr>
          <w:rFonts w:hint="eastAsia" w:ascii="仿宋" w:hAnsi="仿宋" w:eastAsia="仿宋" w:cs="仿宋"/>
          <w:b/>
          <w:bCs/>
          <w:color w:val="auto"/>
          <w:sz w:val="22"/>
          <w:szCs w:val="22"/>
          <w:highlight w:val="none"/>
        </w:rPr>
        <w:t>中小企业</w:t>
      </w:r>
      <w:r>
        <w:rPr>
          <w:rFonts w:hint="eastAsia" w:ascii="仿宋" w:hAnsi="仿宋" w:eastAsia="仿宋" w:cs="仿宋"/>
          <w:color w:val="auto"/>
          <w:sz w:val="22"/>
          <w:szCs w:val="22"/>
          <w:highlight w:val="none"/>
        </w:rPr>
        <w:t>是指符合</w:t>
      </w:r>
      <w:r>
        <w:rPr>
          <w:rFonts w:hint="eastAsia" w:ascii="仿宋" w:hAnsi="仿宋" w:eastAsia="仿宋" w:cs="仿宋"/>
          <w:color w:val="auto"/>
          <w:sz w:val="22"/>
          <w:szCs w:val="22"/>
          <w:highlight w:val="none"/>
          <w:lang w:val="en-US" w:eastAsia="zh-CN"/>
        </w:rPr>
        <w:t>财政部、工业和信息化部关于印发《政府采购促进中小企业发展管理办法》的通知（财库〔2020〕46号）</w:t>
      </w:r>
      <w:r>
        <w:rPr>
          <w:rFonts w:hint="eastAsia" w:ascii="仿宋" w:hAnsi="仿宋" w:eastAsia="仿宋" w:cs="仿宋"/>
          <w:color w:val="auto"/>
          <w:sz w:val="22"/>
          <w:szCs w:val="22"/>
          <w:highlight w:val="none"/>
        </w:rPr>
        <w:t>规定的对中小企业的划分标准的企业。</w:t>
      </w:r>
    </w:p>
    <w:p w14:paraId="4A871AF6">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1.2.11 </w:t>
      </w:r>
      <w:r>
        <w:rPr>
          <w:rFonts w:hint="eastAsia" w:ascii="仿宋" w:hAnsi="仿宋" w:eastAsia="仿宋" w:cs="仿宋"/>
          <w:b/>
          <w:bCs/>
          <w:color w:val="auto"/>
          <w:sz w:val="22"/>
          <w:szCs w:val="22"/>
          <w:highlight w:val="none"/>
        </w:rPr>
        <w:t>监狱企业</w:t>
      </w:r>
      <w:r>
        <w:rPr>
          <w:rFonts w:hint="eastAsia" w:ascii="仿宋" w:hAnsi="仿宋" w:eastAsia="仿宋" w:cs="仿宋"/>
          <w:color w:val="auto"/>
          <w:sz w:val="22"/>
          <w:szCs w:val="22"/>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A776BD">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1.2.12 </w:t>
      </w:r>
      <w:r>
        <w:rPr>
          <w:rFonts w:hint="eastAsia" w:ascii="仿宋" w:hAnsi="仿宋" w:eastAsia="仿宋" w:cs="仿宋"/>
          <w:b/>
          <w:color w:val="auto"/>
          <w:kern w:val="0"/>
          <w:sz w:val="22"/>
          <w:szCs w:val="22"/>
          <w:highlight w:val="none"/>
        </w:rPr>
        <w:t>残疾人福利性单位</w:t>
      </w:r>
      <w:r>
        <w:rPr>
          <w:rFonts w:hint="eastAsia" w:ascii="仿宋" w:hAnsi="仿宋" w:eastAsia="仿宋" w:cs="仿宋"/>
          <w:color w:val="auto"/>
          <w:kern w:val="0"/>
          <w:sz w:val="22"/>
          <w:szCs w:val="22"/>
          <w:highlight w:val="none"/>
        </w:rPr>
        <w:t>是指符合</w:t>
      </w:r>
      <w:r>
        <w:rPr>
          <w:rFonts w:hint="eastAsia" w:ascii="仿宋" w:hAnsi="仿宋" w:eastAsia="仿宋" w:cs="仿宋"/>
          <w:color w:val="auto"/>
          <w:spacing w:val="6"/>
          <w:sz w:val="22"/>
          <w:szCs w:val="22"/>
          <w:highlight w:val="none"/>
        </w:rPr>
        <w:t>《财政部、民政部、中国残疾人联合会关于促进残疾人就业政府采购政策的通知》（财库</w:t>
      </w:r>
      <w:r>
        <w:rPr>
          <w:rFonts w:hint="eastAsia" w:ascii="仿宋" w:hAnsi="仿宋" w:eastAsia="仿宋" w:cs="仿宋"/>
          <w:color w:val="auto"/>
          <w:sz w:val="22"/>
          <w:szCs w:val="22"/>
          <w:highlight w:val="none"/>
        </w:rPr>
        <w:t>〔2017〕141</w:t>
      </w:r>
      <w:r>
        <w:rPr>
          <w:rFonts w:hint="eastAsia" w:ascii="仿宋" w:hAnsi="仿宋" w:eastAsia="仿宋" w:cs="仿宋"/>
          <w:color w:val="auto"/>
          <w:spacing w:val="6"/>
          <w:sz w:val="22"/>
          <w:szCs w:val="22"/>
          <w:highlight w:val="none"/>
        </w:rPr>
        <w:t>号）规定条件的单位。</w:t>
      </w:r>
    </w:p>
    <w:p w14:paraId="642AA9B2">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1.3 合格的供应商</w:t>
      </w:r>
    </w:p>
    <w:p w14:paraId="64E2E568">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1.3.1 合格的供应商应具备以下条件：</w:t>
      </w:r>
    </w:p>
    <w:p w14:paraId="328702E4">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（1）具备且满足“磋商公告”要求的；</w:t>
      </w:r>
    </w:p>
    <w:p w14:paraId="1E7BF932">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（2）向采购代理机构购买了磋商文件并登记备案；</w:t>
      </w:r>
    </w:p>
    <w:p w14:paraId="3AEC8E62">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（3）向采购代理机构交纳了磋商保证金；</w:t>
      </w:r>
    </w:p>
    <w:p w14:paraId="076F27B9">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（4）遵守国家、陕西省和</w:t>
      </w:r>
      <w:r>
        <w:rPr>
          <w:rFonts w:hint="eastAsia" w:ascii="仿宋" w:hAnsi="仿宋" w:eastAsia="仿宋" w:cs="仿宋"/>
          <w:color w:val="auto"/>
          <w:sz w:val="22"/>
          <w:szCs w:val="22"/>
          <w:highlight w:val="none"/>
          <w:lang w:eastAsia="zh-CN"/>
        </w:rPr>
        <w:t>汉中</w:t>
      </w:r>
      <w:r>
        <w:rPr>
          <w:rFonts w:hint="eastAsia" w:ascii="仿宋" w:hAnsi="仿宋" w:eastAsia="仿宋" w:cs="仿宋"/>
          <w:color w:val="auto"/>
          <w:sz w:val="22"/>
          <w:szCs w:val="22"/>
          <w:highlight w:val="none"/>
        </w:rPr>
        <w:t>市有关的法律法规、规章和规范性文件要求；</w:t>
      </w:r>
    </w:p>
    <w:p w14:paraId="20CEC8A8">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（5）磋商文件和法律、行政法规规定的其他条件。</w:t>
      </w:r>
    </w:p>
    <w:p w14:paraId="36157FA8">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1.3.2 供应商不得存在下列情形之一：</w:t>
      </w:r>
    </w:p>
    <w:p w14:paraId="47D5814E">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（l）与采购人、采购代理机构存在隶属关系或者其他利害关系，且可能影响磋商公正性；</w:t>
      </w:r>
    </w:p>
    <w:p w14:paraId="5DD55F10">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（2）与本采购项目其他供应商的法定代表人（或者负责人）为同一人；</w:t>
      </w:r>
    </w:p>
    <w:p w14:paraId="79A70983">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（3）与本采购项目其他供应商存在控股、管理关系；</w:t>
      </w:r>
    </w:p>
    <w:p w14:paraId="64AC7D22">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（4）为本项目采购代理机构；</w:t>
      </w:r>
    </w:p>
    <w:p w14:paraId="6ED382C8">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（5）为本项目代理磋商的为其采购代理机构；</w:t>
      </w:r>
    </w:p>
    <w:p w14:paraId="617D8E4C">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（6）为本项目提供整体设计、规范编制或者项目管理、监理、检测、咨询服务；</w:t>
      </w:r>
    </w:p>
    <w:p w14:paraId="6D4BD424">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（7）受到刑事处罚；</w:t>
      </w:r>
    </w:p>
    <w:p w14:paraId="2C7A1B92">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（8）受到财政部门3万元以上数额罚款的行政处罚或其他行政部门较大数额罚款的行政处罚（举行听证会的）；</w:t>
      </w:r>
    </w:p>
    <w:p w14:paraId="66B5E1CC">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（9）被责令停产停业、暂扣或者吊销许可证、暂扣或者吊销执照的行政处罚；</w:t>
      </w:r>
    </w:p>
    <w:p w14:paraId="18BCB763">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（10）被列入失信被执行人名单；</w:t>
      </w:r>
    </w:p>
    <w:p w14:paraId="46936C33">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（11）被列入重大税收违法案件当事人名单；</w:t>
      </w:r>
    </w:p>
    <w:p w14:paraId="3D38EAA0">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（12）被禁止在一至三年内参加政府采购活动或存在财政部门认定的其他重大违法记录；</w:t>
      </w:r>
    </w:p>
    <w:p w14:paraId="36F38D2F">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（13）在最近三年内有严重违约或者重大质量问题；</w:t>
      </w:r>
    </w:p>
    <w:p w14:paraId="37564712">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（14）被行政主管部门暂停或取消磋商资格。</w:t>
      </w:r>
    </w:p>
    <w:p w14:paraId="4CDD7C25">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1.4 合格的</w:t>
      </w:r>
      <w:r>
        <w:rPr>
          <w:rFonts w:hint="eastAsia" w:ascii="仿宋" w:hAnsi="仿宋" w:eastAsia="仿宋" w:cs="仿宋"/>
          <w:b/>
          <w:color w:val="auto"/>
          <w:sz w:val="32"/>
          <w:szCs w:val="32"/>
          <w:highlight w:val="none"/>
          <w:lang w:eastAsia="zh-CN"/>
        </w:rPr>
        <w:t>质量要求</w:t>
      </w:r>
    </w:p>
    <w:p w14:paraId="21CE8010">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1.4.1 供应商为本采购项目所承担的</w:t>
      </w:r>
      <w:r>
        <w:rPr>
          <w:rFonts w:hint="eastAsia" w:ascii="仿宋" w:hAnsi="仿宋" w:eastAsia="仿宋" w:cs="仿宋"/>
          <w:color w:val="auto"/>
          <w:sz w:val="22"/>
          <w:szCs w:val="22"/>
          <w:highlight w:val="none"/>
          <w:lang w:eastAsia="zh-CN"/>
        </w:rPr>
        <w:t>货物、服务或工程</w:t>
      </w:r>
      <w:r>
        <w:rPr>
          <w:rFonts w:hint="eastAsia" w:ascii="仿宋" w:hAnsi="仿宋" w:eastAsia="仿宋" w:cs="仿宋"/>
          <w:color w:val="auto"/>
          <w:sz w:val="22"/>
          <w:szCs w:val="22"/>
          <w:highlight w:val="none"/>
        </w:rPr>
        <w:t>，必须是符合国家相关标准和规范要求，满足磋商文件规定的质量、</w:t>
      </w:r>
      <w:r>
        <w:rPr>
          <w:rFonts w:hint="eastAsia" w:ascii="仿宋" w:hAnsi="仿宋" w:eastAsia="仿宋" w:cs="仿宋"/>
          <w:color w:val="auto"/>
          <w:sz w:val="22"/>
          <w:szCs w:val="22"/>
          <w:highlight w:val="none"/>
          <w:lang w:eastAsia="zh-CN"/>
        </w:rPr>
        <w:t>服务（供货、施工）期</w:t>
      </w:r>
      <w:r>
        <w:rPr>
          <w:rFonts w:hint="eastAsia" w:ascii="仿宋" w:hAnsi="仿宋" w:eastAsia="仿宋" w:cs="仿宋"/>
          <w:color w:val="auto"/>
          <w:sz w:val="22"/>
          <w:szCs w:val="22"/>
          <w:highlight w:val="none"/>
        </w:rPr>
        <w:t>等要求，达到合格标准。</w:t>
      </w:r>
    </w:p>
    <w:p w14:paraId="6980467E">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1.4.2采购人有权拒绝接受任何质量不合格</w:t>
      </w:r>
      <w:r>
        <w:rPr>
          <w:rFonts w:hint="eastAsia" w:ascii="仿宋" w:hAnsi="仿宋" w:eastAsia="仿宋" w:cs="仿宋"/>
          <w:color w:val="auto"/>
          <w:sz w:val="22"/>
          <w:szCs w:val="22"/>
          <w:highlight w:val="none"/>
          <w:lang w:eastAsia="zh-CN"/>
        </w:rPr>
        <w:t>的货物、服务或工程</w:t>
      </w:r>
      <w:r>
        <w:rPr>
          <w:rFonts w:hint="eastAsia" w:ascii="仿宋" w:hAnsi="仿宋" w:eastAsia="仿宋" w:cs="仿宋"/>
          <w:color w:val="auto"/>
          <w:sz w:val="22"/>
          <w:szCs w:val="22"/>
          <w:highlight w:val="none"/>
        </w:rPr>
        <w:t>，由此产生的费用及相关后果均由供应商自行承担。</w:t>
      </w:r>
    </w:p>
    <w:bookmarkEnd w:id="46"/>
    <w:bookmarkEnd w:id="47"/>
    <w:bookmarkEnd w:id="48"/>
    <w:p w14:paraId="6802CFC6">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bookmarkStart w:id="49" w:name="_Toc183682346"/>
      <w:bookmarkStart w:id="50" w:name="_Toc482201957"/>
      <w:bookmarkStart w:id="51" w:name="_Toc77400779"/>
      <w:bookmarkStart w:id="52" w:name="_Toc183582209"/>
      <w:bookmarkStart w:id="53" w:name="_Toc217446038"/>
      <w:bookmarkStart w:id="54" w:name="_Toc89075875"/>
      <w:r>
        <w:rPr>
          <w:rFonts w:hint="eastAsia" w:ascii="仿宋" w:hAnsi="仿宋" w:eastAsia="仿宋" w:cs="仿宋"/>
          <w:b/>
          <w:color w:val="auto"/>
          <w:sz w:val="32"/>
          <w:szCs w:val="32"/>
          <w:highlight w:val="none"/>
        </w:rPr>
        <w:t>1.5 磋商费用</w:t>
      </w:r>
    </w:p>
    <w:p w14:paraId="6E24A513">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不论磋商结果如何，供应商应自行承担所有与准备和参加磋商相关的全部费用。</w:t>
      </w:r>
    </w:p>
    <w:p w14:paraId="5ADC3125">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1.6语言文字</w:t>
      </w:r>
    </w:p>
    <w:p w14:paraId="67589875">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1.6.1 磋商文件与响应文件使用的语言为中文。专用术语使用外文的，应附有中文注释。</w:t>
      </w:r>
    </w:p>
    <w:p w14:paraId="0A344D1C">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1.6.2 响应文件中如附有外文资料，必须逐一对应翻译成中文并加盖供应商单位章后附在相关外文资料后面，否则，供应商的响应文件将作为无效响应文件处理。</w:t>
      </w:r>
    </w:p>
    <w:p w14:paraId="27E4C67E">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2"/>
          <w:highlight w:val="none"/>
        </w:rPr>
        <w:t>1.6.3 响应文件中翻译的中文资料与外文资料如果出现差异和矛盾时，以中文为准。但不能故意错误翻译，否则，供应商的响应文件将作为无效响应文件处理。必要时采购人可以要求供应商提供附有公证书的中文翻译文件或者与原版文件签章相一致的中文翻译文件。</w:t>
      </w:r>
    </w:p>
    <w:p w14:paraId="2E2BF6A4">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1.7 保密</w:t>
      </w:r>
    </w:p>
    <w:p w14:paraId="3ACB30B7">
      <w:pPr>
        <w:pageBreakBefore w:val="0"/>
        <w:kinsoku/>
        <w:wordWrap/>
        <w:overflowPunct/>
        <w:topLinePunct w:val="0"/>
        <w:bidi w:val="0"/>
        <w:spacing w:before="120" w:beforeLines="50" w:after="120" w:afterLines="50" w:line="400" w:lineRule="exact"/>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参与采购活动的当事人应对磋商文件和响应文件中的商业秘密、技术秘密和个人隐私等保密，违者应对由此造成的后果承担法律责任。</w:t>
      </w:r>
    </w:p>
    <w:bookmarkEnd w:id="49"/>
    <w:bookmarkEnd w:id="50"/>
    <w:bookmarkEnd w:id="51"/>
    <w:bookmarkEnd w:id="52"/>
    <w:bookmarkEnd w:id="53"/>
    <w:bookmarkEnd w:id="54"/>
    <w:p w14:paraId="1FFCFF9E">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bookmarkStart w:id="55" w:name="_Toc23610"/>
      <w:bookmarkStart w:id="56" w:name="_Toc160"/>
      <w:bookmarkStart w:id="57" w:name="_Toc15751"/>
      <w:bookmarkStart w:id="58" w:name="_Toc20254"/>
      <w:bookmarkStart w:id="59" w:name="_Toc14741"/>
      <w:bookmarkStart w:id="60" w:name="_Toc28423"/>
      <w:bookmarkStart w:id="61" w:name="_Toc14248_WPSOffice_Level2"/>
      <w:bookmarkStart w:id="62" w:name="_Toc217446041"/>
      <w:bookmarkStart w:id="63" w:name="_Toc208848971"/>
      <w:r>
        <w:rPr>
          <w:rFonts w:hint="eastAsia" w:ascii="仿宋" w:hAnsi="仿宋" w:eastAsia="仿宋" w:cs="仿宋"/>
          <w:b/>
          <w:color w:val="auto"/>
          <w:sz w:val="32"/>
          <w:szCs w:val="32"/>
          <w:highlight w:val="none"/>
        </w:rPr>
        <w:t>1.8 计量单位</w:t>
      </w:r>
    </w:p>
    <w:p w14:paraId="582AC715">
      <w:pPr>
        <w:pageBreakBefore w:val="0"/>
        <w:tabs>
          <w:tab w:val="left" w:pos="7665"/>
        </w:tabs>
        <w:kinsoku/>
        <w:wordWrap/>
        <w:overflowPunct/>
        <w:topLinePunct w:val="0"/>
        <w:bidi w:val="0"/>
        <w:spacing w:line="400" w:lineRule="exact"/>
        <w:ind w:firstLine="40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所有计量单位均采用中华人民共和国法定计量单位。</w:t>
      </w:r>
    </w:p>
    <w:p w14:paraId="12A71A88">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1.9 答疑会或现场踏勘</w:t>
      </w:r>
    </w:p>
    <w:p w14:paraId="437A50F3">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1.9.1供应商须知前附表规定组织踏勘现场的，采购人或者采购代理机构按供应商须知前附表规定的时间、地点组织供应商踏勘项目现场，澄清供应商提出的问题。答疑会或进行现场踏勘的时间与地点，采购代理机构将以书面形式通知所有获取了磋商文件的供应商。</w:t>
      </w:r>
    </w:p>
    <w:p w14:paraId="740DCFFD">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1.9.2 除采购人或采购代理机构的原因外，供应商自行负责在踏勘现场中所发生的人员伤亡和财产损失。</w:t>
      </w:r>
    </w:p>
    <w:p w14:paraId="6F76BBE1">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1.9.3 答疑会或现场踏勘后，采购人或采购代理机构对供应商所提问题的澄清，以书面形式通知所有获取了磋商文件的供应商。该澄清内容为磋商文件的组成部分。</w:t>
      </w:r>
    </w:p>
    <w:p w14:paraId="52193D25">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1.9.4 采购人或采购代理机构在踏勘现场中介绍的工程场地和相关的周边环境情况，供应商在编制响应文件时</w:t>
      </w:r>
      <w:r>
        <w:rPr>
          <w:rFonts w:hint="eastAsia" w:ascii="仿宋" w:hAnsi="仿宋" w:eastAsia="仿宋" w:cs="仿宋"/>
          <w:color w:val="auto"/>
          <w:sz w:val="22"/>
          <w:szCs w:val="22"/>
          <w:highlight w:val="none"/>
          <w:lang w:val="en-US" w:eastAsia="zh-CN"/>
        </w:rPr>
        <w:t>仅作为</w:t>
      </w:r>
      <w:r>
        <w:rPr>
          <w:rFonts w:hint="eastAsia" w:ascii="仿宋" w:hAnsi="仿宋" w:eastAsia="仿宋" w:cs="仿宋"/>
          <w:color w:val="auto"/>
          <w:sz w:val="22"/>
          <w:szCs w:val="22"/>
          <w:highlight w:val="none"/>
        </w:rPr>
        <w:t>参考，采购人或采购代理机构不对供应商据此作出的判断和决策负责。一旦成交，成交供应商不得以任何借口，提出额外补偿，或延长合同期限的要求。</w:t>
      </w:r>
    </w:p>
    <w:p w14:paraId="079C2CF2">
      <w:pPr>
        <w:pageBreakBefore w:val="0"/>
        <w:tabs>
          <w:tab w:val="left" w:pos="7665"/>
        </w:tabs>
        <w:kinsoku/>
        <w:wordWrap/>
        <w:overflowPunct/>
        <w:topLinePunct w:val="0"/>
        <w:bidi w:val="0"/>
        <w:spacing w:before="120" w:beforeLines="50" w:after="120" w:afterLines="50" w:line="400" w:lineRule="exact"/>
        <w:outlineLvl w:val="1"/>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2.磋商文件</w:t>
      </w:r>
      <w:bookmarkEnd w:id="55"/>
      <w:bookmarkEnd w:id="56"/>
      <w:bookmarkEnd w:id="57"/>
      <w:bookmarkEnd w:id="58"/>
      <w:bookmarkEnd w:id="59"/>
      <w:bookmarkEnd w:id="60"/>
      <w:bookmarkEnd w:id="61"/>
    </w:p>
    <w:p w14:paraId="56A3165F">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2.1 磋商文件的组成</w:t>
      </w:r>
    </w:p>
    <w:p w14:paraId="6E9F3F50">
      <w:pPr>
        <w:pageBreakBefore w:val="0"/>
        <w:tabs>
          <w:tab w:val="left" w:pos="7665"/>
        </w:tabs>
        <w:kinsoku/>
        <w:wordWrap/>
        <w:overflowPunct/>
        <w:topLinePunct w:val="0"/>
        <w:bidi w:val="0"/>
        <w:spacing w:before="120" w:beforeLines="50"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本磋商文件包括以下内容：</w:t>
      </w:r>
    </w:p>
    <w:p w14:paraId="465189F8">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（1）竞争性磋商公告；</w:t>
      </w:r>
    </w:p>
    <w:p w14:paraId="0D7ADE46">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（2）供应商须知；</w:t>
      </w:r>
    </w:p>
    <w:p w14:paraId="5910009B">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（3）磋商办法；</w:t>
      </w:r>
    </w:p>
    <w:p w14:paraId="78AA28EE">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（4）采购内容及要求；</w:t>
      </w:r>
    </w:p>
    <w:p w14:paraId="0447B6CC">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（5）政府采购合同条款；</w:t>
      </w:r>
    </w:p>
    <w:p w14:paraId="680DE764">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（6）响应文件格式要求；</w:t>
      </w:r>
    </w:p>
    <w:p w14:paraId="5B16CD65">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根据本章第1.9条款、第2.2条款款对磋商文件所作的澄清、修改，构成磋商文件的组成部分。</w:t>
      </w:r>
    </w:p>
    <w:p w14:paraId="55E074CF">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2.2 磋商文件的澄清和修改</w:t>
      </w:r>
    </w:p>
    <w:p w14:paraId="1E72BAAC">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2.2.1 在提交首次响应文件截止时间前，采购代理机构无论出于何种原因，可以对磋商文件进行澄清或者修改。</w:t>
      </w:r>
    </w:p>
    <w:p w14:paraId="04EE83E7">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2.2.2 采购人或采购代理机构可以对已发出的磋商文件进行必要的澄清或者修改，澄清或修改的内容可能影响响应文件编制的，应当在提交首次响应文件截止时间5日前，以书面形式将澄清或者修改的内容通知所有获取磋商文件的供应商，同时在原信息发布媒体上发布变更公告；供应商在收到上述通知后，应立即以书面形式向采购代理机构确认；不足5日的，将相应顺延提交首次响应文件截止时间。</w:t>
      </w:r>
    </w:p>
    <w:p w14:paraId="7C0DAC0E">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2.2.3 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3日前按磋商文件中的联系方式，以书面形式向采购代理机构提出，采购代理机构应当在2日内，以书面形式予以答复（答复中不包括问题的来源），或认为有必要召开答疑会。超过该时间收到的询问或需要澄清的内容，采购代理机构有权不予答复。</w:t>
      </w:r>
    </w:p>
    <w:p w14:paraId="1968C7B9">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2.2.4 在提交首次响应文件截止时间前，采购代理机构可以视采购具体情况，延长提交首次响应文件截止时间，并将变更时间以书面形式通知所有获取了磋商文件的供应商，同时在原信息发布媒体上发布变更公告。</w:t>
      </w:r>
    </w:p>
    <w:p w14:paraId="3906AB33">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2.2.5 当磋商文件的澄清、答复、修改或补充通知与磋商文件就同一内容表述不一致时，以最后发出的书面文件内容为准。</w:t>
      </w:r>
    </w:p>
    <w:bookmarkEnd w:id="62"/>
    <w:bookmarkEnd w:id="63"/>
    <w:p w14:paraId="204AB455">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bookmarkStart w:id="64" w:name="_Toc217446042"/>
      <w:bookmarkStart w:id="65" w:name="_Toc183682351"/>
      <w:bookmarkStart w:id="66" w:name="_Toc482201958"/>
      <w:bookmarkStart w:id="67" w:name="_Toc89075876"/>
      <w:bookmarkStart w:id="68" w:name="_Toc183582214"/>
      <w:bookmarkStart w:id="69" w:name="_Toc77400780"/>
      <w:r>
        <w:rPr>
          <w:rFonts w:hint="eastAsia" w:ascii="仿宋" w:hAnsi="仿宋" w:eastAsia="仿宋" w:cs="仿宋"/>
          <w:b/>
          <w:color w:val="auto"/>
          <w:sz w:val="32"/>
          <w:szCs w:val="32"/>
          <w:highlight w:val="none"/>
        </w:rPr>
        <w:t>2.3磋商文件的解释权</w:t>
      </w:r>
    </w:p>
    <w:p w14:paraId="6DE79949">
      <w:pPr>
        <w:pStyle w:val="7"/>
        <w:pageBreakBefore w:val="0"/>
        <w:kinsoku/>
        <w:wordWrap/>
        <w:overflowPunct/>
        <w:topLinePunct w:val="0"/>
        <w:bidi w:val="0"/>
        <w:spacing w:line="400" w:lineRule="exact"/>
        <w:ind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磋商文件的</w:t>
      </w:r>
      <w:r>
        <w:rPr>
          <w:rFonts w:hint="eastAsia" w:ascii="仿宋" w:hAnsi="仿宋" w:eastAsia="仿宋" w:cs="仿宋"/>
          <w:color w:val="auto"/>
          <w:sz w:val="22"/>
          <w:szCs w:val="22"/>
          <w:highlight w:val="none"/>
          <w:lang w:val="en-US" w:eastAsia="zh-CN"/>
        </w:rPr>
        <w:t>最终</w:t>
      </w:r>
      <w:r>
        <w:rPr>
          <w:rFonts w:hint="eastAsia" w:ascii="仿宋" w:hAnsi="仿宋" w:eastAsia="仿宋" w:cs="仿宋"/>
          <w:color w:val="auto"/>
          <w:sz w:val="22"/>
          <w:szCs w:val="22"/>
          <w:highlight w:val="none"/>
        </w:rPr>
        <w:t>解释权归</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rPr>
        <w:t>，如发现磋商文件内容与现行法律法规不相符的情况，以现行法律法规为准。</w:t>
      </w:r>
    </w:p>
    <w:bookmarkEnd w:id="64"/>
    <w:bookmarkEnd w:id="65"/>
    <w:bookmarkEnd w:id="66"/>
    <w:bookmarkEnd w:id="67"/>
    <w:bookmarkEnd w:id="68"/>
    <w:bookmarkEnd w:id="69"/>
    <w:p w14:paraId="6CE66551">
      <w:pPr>
        <w:pStyle w:val="7"/>
        <w:pageBreakBefore w:val="0"/>
        <w:kinsoku/>
        <w:wordWrap/>
        <w:overflowPunct/>
        <w:topLinePunct w:val="0"/>
        <w:bidi w:val="0"/>
        <w:spacing w:before="120" w:beforeLines="50" w:after="120" w:afterLines="50" w:line="400" w:lineRule="exact"/>
        <w:ind w:firstLine="0"/>
        <w:outlineLvl w:val="1"/>
        <w:rPr>
          <w:rFonts w:hint="eastAsia" w:ascii="仿宋" w:hAnsi="仿宋" w:eastAsia="仿宋" w:cs="仿宋"/>
          <w:color w:val="auto"/>
          <w:sz w:val="40"/>
          <w:szCs w:val="40"/>
          <w:highlight w:val="none"/>
        </w:rPr>
      </w:pPr>
      <w:bookmarkStart w:id="70" w:name="_Toc9207"/>
      <w:bookmarkStart w:id="71" w:name="_Toc20565"/>
      <w:bookmarkStart w:id="72" w:name="_Toc4880"/>
      <w:bookmarkStart w:id="73" w:name="_Toc31460_WPSOffice_Level2"/>
      <w:bookmarkStart w:id="74" w:name="_Toc13082"/>
      <w:bookmarkStart w:id="75" w:name="_Toc2059"/>
      <w:bookmarkStart w:id="76" w:name="_Toc23330"/>
      <w:bookmarkStart w:id="77" w:name="_Toc183582215"/>
      <w:bookmarkStart w:id="78" w:name="_Toc217446043"/>
      <w:bookmarkStart w:id="79" w:name="_Toc183682352"/>
      <w:r>
        <w:rPr>
          <w:rFonts w:hint="eastAsia" w:ascii="仿宋" w:hAnsi="仿宋" w:eastAsia="仿宋" w:cs="仿宋"/>
          <w:bCs/>
          <w:color w:val="auto"/>
          <w:sz w:val="40"/>
          <w:szCs w:val="40"/>
          <w:highlight w:val="none"/>
        </w:rPr>
        <w:t>3.供应商</w:t>
      </w:r>
      <w:bookmarkEnd w:id="70"/>
      <w:bookmarkEnd w:id="71"/>
      <w:bookmarkEnd w:id="72"/>
      <w:bookmarkEnd w:id="73"/>
      <w:bookmarkEnd w:id="74"/>
      <w:bookmarkEnd w:id="75"/>
      <w:bookmarkEnd w:id="76"/>
    </w:p>
    <w:p w14:paraId="1CC18450">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3.1供应商资格要求</w:t>
      </w:r>
    </w:p>
    <w:p w14:paraId="7C69899D">
      <w:pPr>
        <w:pStyle w:val="7"/>
        <w:pageBreakBefore w:val="0"/>
        <w:kinsoku/>
        <w:wordWrap/>
        <w:overflowPunct/>
        <w:topLinePunct w:val="0"/>
        <w:bidi w:val="0"/>
        <w:spacing w:line="400" w:lineRule="exact"/>
        <w:ind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1.具有独立承担民事责任能力的法人、其他组织或自然人，提供合法有效的统一社会信用代码营业执照（事业单位提供事业单位法人证书，自然人提供身份证明）；</w:t>
      </w:r>
    </w:p>
    <w:p w14:paraId="38A018BE">
      <w:pPr>
        <w:pStyle w:val="7"/>
        <w:pageBreakBefore w:val="0"/>
        <w:kinsoku/>
        <w:wordWrap/>
        <w:overflowPunct/>
        <w:topLinePunct w:val="0"/>
        <w:bidi w:val="0"/>
        <w:spacing w:line="400" w:lineRule="exact"/>
        <w:ind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2.法定代表人授权委托书：法定代表人参加磋商的，须出示身份证原件；法定代表人授权他人参加磋商的，须提供法定代表人授权委托书及被授权人身份证原件；</w:t>
      </w:r>
    </w:p>
    <w:p w14:paraId="4D8EF641">
      <w:pPr>
        <w:pStyle w:val="7"/>
        <w:pageBreakBefore w:val="0"/>
        <w:kinsoku/>
        <w:wordWrap/>
        <w:overflowPunct/>
        <w:topLinePunct w:val="0"/>
        <w:bidi w:val="0"/>
        <w:spacing w:line="400" w:lineRule="exact"/>
        <w:ind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p w14:paraId="46A1E064">
      <w:pPr>
        <w:pStyle w:val="7"/>
        <w:pageBreakBefore w:val="0"/>
        <w:kinsoku/>
        <w:wordWrap/>
        <w:overflowPunct/>
        <w:topLinePunct w:val="0"/>
        <w:bidi w:val="0"/>
        <w:spacing w:line="400" w:lineRule="exact"/>
        <w:ind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供应商应具备建设行政主管部门颁发合法有效的建筑工程施工总承包三级（含）以上资质，并具备有效的安全生产许可证；拟派项目经理须具备建筑工程专业二级（含）以上注册建造师执业资格及安全生产考核合格证（B证），且未担任其他在建工程项目的项目经理；</w:t>
      </w:r>
    </w:p>
    <w:p w14:paraId="667A974F">
      <w:pPr>
        <w:pStyle w:val="7"/>
        <w:pageBreakBefore w:val="0"/>
        <w:kinsoku/>
        <w:wordWrap/>
        <w:overflowPunct/>
        <w:topLinePunct w:val="0"/>
        <w:bidi w:val="0"/>
        <w:spacing w:line="400" w:lineRule="exact"/>
        <w:ind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5.本项目专门面向中小企业采购。</w:t>
      </w:r>
    </w:p>
    <w:p w14:paraId="707DEBFC">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注：供应商在开标截止时间之前单独递交上述资格</w:t>
      </w:r>
      <w:r>
        <w:rPr>
          <w:rFonts w:hint="eastAsia" w:ascii="仿宋" w:hAnsi="仿宋" w:eastAsia="仿宋" w:cs="仿宋"/>
          <w:b w:val="0"/>
          <w:bCs w:val="0"/>
          <w:color w:val="auto"/>
          <w:sz w:val="22"/>
          <w:szCs w:val="22"/>
          <w:highlight w:val="none"/>
          <w:lang w:eastAsia="zh-CN"/>
        </w:rPr>
        <w:t>审查文件</w:t>
      </w:r>
      <w:r>
        <w:rPr>
          <w:rFonts w:hint="eastAsia" w:ascii="仿宋" w:hAnsi="仿宋" w:eastAsia="仿宋" w:cs="仿宋"/>
          <w:b w:val="0"/>
          <w:bCs w:val="0"/>
          <w:color w:val="auto"/>
          <w:sz w:val="22"/>
          <w:szCs w:val="22"/>
          <w:highlight w:val="none"/>
        </w:rPr>
        <w:t>，缺少任何一项或某项达不到招标文件要求均按无效文件处理。</w:t>
      </w:r>
    </w:p>
    <w:p w14:paraId="53EF4994">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供应商应保证所提供的全部证明材料的真实性，并保证愿意接受由采购人对其所提供材料的真实性的调查和考证。</w:t>
      </w:r>
    </w:p>
    <w:p w14:paraId="09B7E1A9">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3.2授权委托</w:t>
      </w:r>
    </w:p>
    <w:p w14:paraId="7C1A47AE">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3.2.1供应商代表为法定代表人的，应持有法定代表人身份证明。供应商代表不是法定代表人的，应持有法定代表人授权委托书。</w:t>
      </w:r>
    </w:p>
    <w:p w14:paraId="519B6F66">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3.2.2供应商应当委托本单位正式员工作为磋商代表，且磋商代表只能接受一个供应商的委托参加磋商。</w:t>
      </w:r>
    </w:p>
    <w:p w14:paraId="4180D950">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3.3联合体磋商（本项目不适用）</w:t>
      </w:r>
    </w:p>
    <w:p w14:paraId="02B44D09">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3.3.1本项目允许联合体磋商的，适用本条款。</w:t>
      </w:r>
    </w:p>
    <w:p w14:paraId="02BCA3C4">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3.3.2 两个以上供应商可以组成一个磋商联合体，以一个供应商的身份进行磋商。以联合体形式参加磋商的，联合体各方均应当符合《中华人民共和国政府采购法》第二十二条规定的资格条件：</w:t>
      </w:r>
    </w:p>
    <w:p w14:paraId="05A3156C">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（1）联合体各方均应当符合本章第3.1.1条规定的供应商基本资格条件；</w:t>
      </w:r>
    </w:p>
    <w:p w14:paraId="5EB20E8F">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（2）由同一专业的单位组成的联合体，按照资质等级较低的单位确定资质等级。</w:t>
      </w:r>
    </w:p>
    <w:p w14:paraId="44F7B4A8">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3.3.3 联合体各方之间应当签订共同磋商响应协议，明确约定联合体各方承担的合同工作量比例和相应的责任，并将共同磋商响应协议连同响应文件一同提交采购代理机构。联合体各方签订共同磋商响应协议后，不得再以自己名义单独在同一项目中磋商，也不得组成新的联合体参加同一项目磋商。</w:t>
      </w:r>
    </w:p>
    <w:p w14:paraId="3051D499">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3.3.4 联合体应当确定其中一个单位为磋商的全权代表，负责参加磋商的一切事务，并承担磋商及履约中应承担的全部责任与义务。</w:t>
      </w:r>
    </w:p>
    <w:p w14:paraId="6410D815">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3.3.5 联合体各方应当共同与采购人签订采购合同，就采购合同约定的事项对采购人承担连带责任。</w:t>
      </w:r>
    </w:p>
    <w:p w14:paraId="759C9ECC">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3.4享受的政府采购政策</w:t>
      </w:r>
    </w:p>
    <w:p w14:paraId="4E17953B">
      <w:pPr>
        <w:pageBreakBefore w:val="0"/>
        <w:tabs>
          <w:tab w:val="left" w:pos="7665"/>
        </w:tabs>
        <w:kinsoku/>
        <w:wordWrap/>
        <w:overflowPunct/>
        <w:topLinePunct w:val="0"/>
        <w:bidi w:val="0"/>
        <w:spacing w:line="400" w:lineRule="exact"/>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3.4.1 节能产品、环境标志产品</w:t>
      </w:r>
    </w:p>
    <w:p w14:paraId="0A7C7341">
      <w:pPr>
        <w:pStyle w:val="26"/>
        <w:pageBreakBefore w:val="0"/>
        <w:kinsoku/>
        <w:wordWrap/>
        <w:overflowPunct/>
        <w:topLinePunct w:val="0"/>
        <w:bidi w:val="0"/>
        <w:adjustRightInd w:val="0"/>
        <w:snapToGrid w:val="0"/>
        <w:spacing w:line="400" w:lineRule="exact"/>
        <w:ind w:firstLine="660" w:firstLineChars="3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3.4.1.1 本服务所需的主要材料与设备，将依据《节能产品、环境标志产品品目清单》和认证证书实施政府优先采购和强制采购。</w:t>
      </w:r>
    </w:p>
    <w:p w14:paraId="19B5C71B">
      <w:pPr>
        <w:pStyle w:val="26"/>
        <w:pageBreakBefore w:val="0"/>
        <w:kinsoku/>
        <w:wordWrap/>
        <w:overflowPunct/>
        <w:topLinePunct w:val="0"/>
        <w:bidi w:val="0"/>
        <w:adjustRightInd w:val="0"/>
        <w:snapToGrid w:val="0"/>
        <w:spacing w:line="400" w:lineRule="exact"/>
        <w:ind w:firstLine="660" w:firstLineChars="3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3.4.1.2 供应商可以提供所需主要原材料与设备经国家确定的认证机构出具的、处于有效期之内的节能产品、环境标志产品认证证书复印件。采购代理机构通过中国政府采购网（http://www.ccgp.gov.cn/）对获证产品信息进行核对。</w:t>
      </w:r>
    </w:p>
    <w:p w14:paraId="0F4596A0">
      <w:pPr>
        <w:pStyle w:val="26"/>
        <w:pageBreakBefore w:val="0"/>
        <w:kinsoku/>
        <w:wordWrap/>
        <w:overflowPunct/>
        <w:topLinePunct w:val="0"/>
        <w:bidi w:val="0"/>
        <w:adjustRightInd w:val="0"/>
        <w:snapToGrid w:val="0"/>
        <w:spacing w:line="400" w:lineRule="exact"/>
        <w:ind w:firstLine="660" w:firstLineChars="3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3.4.1.3供应商提供的所需主要材料与设备属于下列情形之一的，属于优先采购的不再享受优先采购政策，或者属于强制采购的按无效响应文件处理：</w:t>
      </w:r>
    </w:p>
    <w:p w14:paraId="3A92408F">
      <w:pPr>
        <w:pStyle w:val="26"/>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（1）不属于《节能产品、环境标志产品品目清单》中的产品；</w:t>
      </w:r>
    </w:p>
    <w:p w14:paraId="5F6FE429">
      <w:pPr>
        <w:pStyle w:val="26"/>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（2）未提供认证证书或经核对认证证书信息有误的。</w:t>
      </w:r>
    </w:p>
    <w:p w14:paraId="745CF3C0">
      <w:pPr>
        <w:pageBreakBefore w:val="0"/>
        <w:kinsoku/>
        <w:wordWrap/>
        <w:overflowPunct/>
        <w:topLinePunct w:val="0"/>
        <w:bidi w:val="0"/>
        <w:adjustRightInd w:val="0"/>
        <w:snapToGrid w:val="0"/>
        <w:spacing w:line="400" w:lineRule="exact"/>
        <w:ind w:firstLine="442" w:firstLineChars="200"/>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3.4.2 中小企业</w:t>
      </w:r>
    </w:p>
    <w:p w14:paraId="727A15F4">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3.4.2.1 供应商依据《工业和信息化部、国家统计局、国家发展和改革委员会、财政部关于印发中小企业划型标准规定的通知》规定划分标准，属于中小企业的，可享受支持中小型企业发展优惠政策</w:t>
      </w:r>
      <w:r>
        <w:rPr>
          <w:rFonts w:hint="eastAsia" w:ascii="仿宋" w:hAnsi="仿宋" w:eastAsia="仿宋" w:cs="仿宋"/>
          <w:color w:val="auto"/>
          <w:sz w:val="22"/>
          <w:szCs w:val="22"/>
          <w:highlight w:val="none"/>
          <w:lang w:eastAsia="zh-CN"/>
        </w:rPr>
        <w:t>，给予</w:t>
      </w:r>
      <w:r>
        <w:rPr>
          <w:rFonts w:hint="eastAsia" w:ascii="仿宋" w:hAnsi="仿宋" w:eastAsia="仿宋" w:cs="仿宋"/>
          <w:color w:val="auto"/>
          <w:sz w:val="22"/>
          <w:szCs w:val="22"/>
          <w:highlight w:val="none"/>
          <w:lang w:val="en-US" w:eastAsia="zh-CN"/>
        </w:rPr>
        <w:t>10%的价格优惠</w:t>
      </w:r>
      <w:r>
        <w:rPr>
          <w:rFonts w:hint="eastAsia" w:ascii="仿宋" w:hAnsi="仿宋" w:eastAsia="仿宋" w:cs="仿宋"/>
          <w:color w:val="auto"/>
          <w:sz w:val="22"/>
          <w:szCs w:val="22"/>
          <w:highlight w:val="none"/>
        </w:rPr>
        <w:t>。</w:t>
      </w:r>
    </w:p>
    <w:p w14:paraId="32BA3BE1">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3.4.2.2供应商作为中小企业参加政府采购活动时，应当提供《中小企业声明函》（见第六章磋商文件格式），不提供或提供有瑕疵的，在评审时不享受政府采购优惠政策。</w:t>
      </w:r>
    </w:p>
    <w:p w14:paraId="4BCD7741">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3.4.2.3监狱企业参加政府采购活动时，视同中小企业。依照&lt;财政部、司法部关于政府采购支持监狱企业发展有关问题的通知&gt;（财库〔2014〕68号）之规定，应当提供由省级以上监狱管理局、戒毒管理局出具的属于监狱企业的证明文件，不提供或提供有瑕疵的不视为中小企业，在评审时不享受政府采购优惠政策。</w:t>
      </w:r>
    </w:p>
    <w:p w14:paraId="31437306">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3.4.2.4 残疾人福利性单位参加政府采购活动时，视同小微企业。依据《财政部、民政部、中国残疾人联合会关于促进残疾人就业政府采购政策的通知》（财库〔2017〕141号）的规定，应当提供《残疾人福利性单位声明函》（见第六章磋商文件格式），不提供或提供有瑕疵的，不视为小微企业，在评审时不享受政府采购优惠政策。</w:t>
      </w:r>
    </w:p>
    <w:p w14:paraId="2DFA6BA9">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3.4.2.5 联合体各方均为小型、微型企业的，参加政府采购活动时，视同小型、微型企业。联合体各方均需提供《中小企业声明函》，有一方未提供或提供有瑕疵的，在评审时不享受政府采购优惠（价格给予</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%的折扣）政策。</w:t>
      </w:r>
    </w:p>
    <w:p w14:paraId="6F6397A3">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3.4.2.6 中小企业可以同时享受节能产品、环境标志产品优先采购政策。</w:t>
      </w:r>
      <w:r>
        <w:rPr>
          <w:rFonts w:hint="eastAsia" w:ascii="仿宋" w:hAnsi="仿宋" w:eastAsia="仿宋" w:cs="仿宋"/>
          <w:b/>
          <w:color w:val="auto"/>
          <w:sz w:val="22"/>
          <w:szCs w:val="22"/>
          <w:highlight w:val="none"/>
        </w:rPr>
        <w:t>同一项目中部分产品属于优先采购政策的，评审时只对该部分产品实行优先采购。</w:t>
      </w:r>
    </w:p>
    <w:p w14:paraId="01180166">
      <w:pPr>
        <w:pStyle w:val="26"/>
        <w:pageBreakBefore w:val="0"/>
        <w:kinsoku/>
        <w:wordWrap/>
        <w:overflowPunct/>
        <w:topLinePunct w:val="0"/>
        <w:bidi w:val="0"/>
        <w:adjustRightInd w:val="0"/>
        <w:snapToGrid w:val="0"/>
        <w:spacing w:line="400" w:lineRule="exact"/>
        <w:ind w:firstLine="660" w:firstLineChars="3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3.4.2.7 政府采购监督检查和投诉处理中对中小企业的认定，由企业所在地的县级以上中小企业主管部门负责。</w:t>
      </w:r>
    </w:p>
    <w:p w14:paraId="32D5342C">
      <w:pPr>
        <w:pageBreakBefore w:val="0"/>
        <w:kinsoku/>
        <w:wordWrap/>
        <w:overflowPunct/>
        <w:topLinePunct w:val="0"/>
        <w:bidi w:val="0"/>
        <w:adjustRightInd w:val="0"/>
        <w:snapToGrid w:val="0"/>
        <w:spacing w:line="40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3.4.5 进口产品</w:t>
      </w:r>
    </w:p>
    <w:p w14:paraId="3C8E9477">
      <w:pPr>
        <w:pStyle w:val="26"/>
        <w:pageBreakBefore w:val="0"/>
        <w:kinsoku/>
        <w:wordWrap/>
        <w:overflowPunct/>
        <w:topLinePunct w:val="0"/>
        <w:bidi w:val="0"/>
        <w:adjustRightInd w:val="0"/>
        <w:snapToGrid w:val="0"/>
        <w:spacing w:line="400" w:lineRule="exact"/>
        <w:ind w:firstLine="660" w:firstLineChars="3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本项目拒绝进口产品参加磋商响应。本条款适合未经财政部门批准采购进口产品的项目。</w:t>
      </w:r>
    </w:p>
    <w:p w14:paraId="25E9B191">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bCs/>
          <w:color w:val="auto"/>
          <w:kern w:val="0"/>
          <w:sz w:val="32"/>
          <w:szCs w:val="32"/>
          <w:highlight w:val="none"/>
        </w:rPr>
      </w:pPr>
      <w:r>
        <w:rPr>
          <w:rFonts w:hint="eastAsia" w:ascii="仿宋" w:hAnsi="仿宋" w:eastAsia="仿宋" w:cs="仿宋"/>
          <w:b/>
          <w:bCs/>
          <w:color w:val="auto"/>
          <w:sz w:val="32"/>
          <w:szCs w:val="32"/>
          <w:highlight w:val="none"/>
        </w:rPr>
        <w:t>3.5</w:t>
      </w:r>
      <w:r>
        <w:rPr>
          <w:rFonts w:hint="eastAsia" w:ascii="仿宋" w:hAnsi="仿宋" w:eastAsia="仿宋" w:cs="仿宋"/>
          <w:b/>
          <w:bCs/>
          <w:color w:val="auto"/>
          <w:kern w:val="0"/>
          <w:sz w:val="32"/>
          <w:szCs w:val="32"/>
          <w:highlight w:val="none"/>
        </w:rPr>
        <w:t>转包与分包</w:t>
      </w:r>
    </w:p>
    <w:p w14:paraId="08EB593F">
      <w:pPr>
        <w:pStyle w:val="26"/>
        <w:pageBreakBefore w:val="0"/>
        <w:kinsoku/>
        <w:wordWrap/>
        <w:overflowPunct/>
        <w:topLinePunct w:val="0"/>
        <w:bidi w:val="0"/>
        <w:adjustRightInd w:val="0"/>
        <w:snapToGrid w:val="0"/>
        <w:spacing w:line="400" w:lineRule="exact"/>
        <w:ind w:firstLine="660" w:firstLineChars="3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3.5.1 本项目严禁采取转包方式履行合同。本项项目所称转包，是指成交供应商将政府采购合同业务转让给第三人，并退出现有政府采购合同当事人双方权利业务关系，受让人（即第三人）成为政府采购合同的另一方当事人的行为。</w:t>
      </w:r>
    </w:p>
    <w:p w14:paraId="0B1B4186">
      <w:pPr>
        <w:pStyle w:val="26"/>
        <w:pageBreakBefore w:val="0"/>
        <w:kinsoku/>
        <w:wordWrap/>
        <w:overflowPunct/>
        <w:topLinePunct w:val="0"/>
        <w:bidi w:val="0"/>
        <w:adjustRightInd w:val="0"/>
        <w:snapToGrid w:val="0"/>
        <w:spacing w:line="400" w:lineRule="exact"/>
        <w:ind w:firstLine="663" w:firstLineChars="3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b/>
          <w:bCs/>
          <w:color w:val="auto"/>
          <w:kern w:val="2"/>
          <w:sz w:val="22"/>
          <w:szCs w:val="22"/>
          <w:highlight w:val="none"/>
          <w:lang w:val="en-US" w:eastAsia="zh-CN" w:bidi="ar-SA"/>
        </w:rPr>
        <w:t>成交供应商转包的，视同拒绝履行政府采购合同业务，将依法追究法律责任</w:t>
      </w:r>
      <w:r>
        <w:rPr>
          <w:rFonts w:hint="eastAsia" w:ascii="仿宋" w:hAnsi="仿宋" w:eastAsia="仿宋" w:cs="仿宋"/>
          <w:color w:val="auto"/>
          <w:kern w:val="2"/>
          <w:sz w:val="22"/>
          <w:szCs w:val="22"/>
          <w:highlight w:val="none"/>
          <w:lang w:val="en-US" w:eastAsia="zh-CN" w:bidi="ar-SA"/>
        </w:rPr>
        <w:t>。</w:t>
      </w:r>
    </w:p>
    <w:p w14:paraId="2E31DEC5">
      <w:pPr>
        <w:pStyle w:val="26"/>
        <w:pageBreakBefore w:val="0"/>
        <w:kinsoku/>
        <w:wordWrap/>
        <w:overflowPunct/>
        <w:topLinePunct w:val="0"/>
        <w:bidi w:val="0"/>
        <w:adjustRightInd w:val="0"/>
        <w:snapToGrid w:val="0"/>
        <w:spacing w:line="400" w:lineRule="exact"/>
        <w:ind w:firstLine="660" w:firstLineChars="3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3.5.2 根据供应商须知前附表规定允许分包的，供应商可以将本项目的部分非主体、非关键性工作分包给他人完成，本项目“主体和关键性工作”是指：/  。</w:t>
      </w:r>
    </w:p>
    <w:p w14:paraId="167EA7DE">
      <w:pPr>
        <w:pStyle w:val="26"/>
        <w:pageBreakBefore w:val="0"/>
        <w:kinsoku/>
        <w:wordWrap/>
        <w:overflowPunct/>
        <w:topLinePunct w:val="0"/>
        <w:bidi w:val="0"/>
        <w:adjustRightInd w:val="0"/>
        <w:snapToGrid w:val="0"/>
        <w:spacing w:line="400" w:lineRule="exact"/>
        <w:ind w:firstLine="660" w:firstLineChars="3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接受分包的供应商应当符合供应商须知前附表规定的分包内容、分包金额和具备相应的资格条件，并不得再次分包。采购合同实行分包履行的，成交供应商就采购项目和分包项目向采购人负责，分包供应商就分包项目承担责任。</w:t>
      </w:r>
    </w:p>
    <w:p w14:paraId="58266619">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color w:val="auto"/>
          <w:kern w:val="0"/>
          <w:sz w:val="32"/>
          <w:szCs w:val="32"/>
          <w:highlight w:val="none"/>
        </w:rPr>
      </w:pPr>
      <w:bookmarkStart w:id="80" w:name="_Toc482201959"/>
      <w:r>
        <w:rPr>
          <w:rFonts w:hint="eastAsia" w:ascii="仿宋" w:hAnsi="仿宋" w:eastAsia="仿宋" w:cs="仿宋"/>
          <w:b/>
          <w:bCs/>
          <w:color w:val="auto"/>
          <w:kern w:val="0"/>
          <w:sz w:val="32"/>
          <w:szCs w:val="32"/>
          <w:highlight w:val="none"/>
        </w:rPr>
        <w:t>3.6供应商的风险</w:t>
      </w:r>
    </w:p>
    <w:p w14:paraId="7B44A3DE">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供应商应认真阅读和充分理解磋商文件中所有的事项、格式条款和规范要求，任何对</w:t>
      </w:r>
      <w:r>
        <w:rPr>
          <w:rFonts w:hint="eastAsia" w:ascii="仿宋" w:hAnsi="仿宋" w:eastAsia="仿宋" w:cs="仿宋"/>
          <w:bCs/>
          <w:color w:val="auto"/>
          <w:sz w:val="22"/>
          <w:szCs w:val="22"/>
          <w:highlight w:val="none"/>
        </w:rPr>
        <w:t>磋商</w:t>
      </w:r>
      <w:r>
        <w:rPr>
          <w:rFonts w:hint="eastAsia" w:ascii="仿宋" w:hAnsi="仿宋" w:eastAsia="仿宋" w:cs="仿宋"/>
          <w:color w:val="auto"/>
          <w:sz w:val="22"/>
          <w:szCs w:val="22"/>
          <w:highlight w:val="none"/>
        </w:rPr>
        <w:t>文件的忽略或误解不能作为响应文件存在缺陷或瑕疵的理由；供应商</w:t>
      </w:r>
      <w:r>
        <w:rPr>
          <w:rFonts w:hint="eastAsia" w:ascii="仿宋" w:hAnsi="仿宋" w:eastAsia="仿宋" w:cs="仿宋"/>
          <w:color w:val="auto"/>
          <w:kern w:val="0"/>
          <w:sz w:val="22"/>
          <w:szCs w:val="22"/>
          <w:highlight w:val="none"/>
        </w:rPr>
        <w:t>没有按照磋商文件要求提供全部资料，</w:t>
      </w:r>
      <w:r>
        <w:rPr>
          <w:rFonts w:hint="eastAsia" w:ascii="仿宋" w:hAnsi="仿宋" w:eastAsia="仿宋" w:cs="仿宋"/>
          <w:color w:val="auto"/>
          <w:sz w:val="22"/>
          <w:szCs w:val="22"/>
          <w:highlight w:val="none"/>
        </w:rPr>
        <w:t>或对磋商文件未全面做出实质性响应是供应商的风险，</w:t>
      </w:r>
      <w:r>
        <w:rPr>
          <w:rFonts w:hint="eastAsia" w:ascii="仿宋" w:hAnsi="仿宋" w:eastAsia="仿宋" w:cs="仿宋"/>
          <w:color w:val="auto"/>
          <w:kern w:val="0"/>
          <w:sz w:val="22"/>
          <w:szCs w:val="22"/>
          <w:highlight w:val="none"/>
        </w:rPr>
        <w:t>并可能导致其响应文件被拒绝。</w:t>
      </w:r>
    </w:p>
    <w:p w14:paraId="67BCDD95">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3.7供应商的纪律要求</w:t>
      </w:r>
    </w:p>
    <w:p w14:paraId="6BD8DB62">
      <w:pPr>
        <w:pStyle w:val="7"/>
        <w:pageBreakBefore w:val="0"/>
        <w:kinsoku/>
        <w:wordWrap/>
        <w:overflowPunct/>
        <w:topLinePunct w:val="0"/>
        <w:bidi w:val="0"/>
        <w:spacing w:line="400" w:lineRule="exact"/>
        <w:ind w:firstLineChars="200"/>
        <w:rPr>
          <w:rFonts w:hint="eastAsia" w:ascii="仿宋" w:hAnsi="仿宋" w:eastAsia="仿宋" w:cs="仿宋"/>
          <w:color w:val="auto"/>
          <w:sz w:val="22"/>
          <w:szCs w:val="22"/>
          <w:highlight w:val="none"/>
        </w:rPr>
      </w:pPr>
      <w:bookmarkStart w:id="81" w:name="_Toc7507"/>
      <w:bookmarkStart w:id="82" w:name="_Toc25435"/>
      <w:bookmarkStart w:id="83" w:name="_Toc31408"/>
      <w:bookmarkStart w:id="84" w:name="_Toc6380"/>
      <w:bookmarkStart w:id="85" w:name="_Toc9447"/>
      <w:bookmarkStart w:id="86" w:name="_Toc25827_WPSOffice_Level2"/>
      <w:bookmarkStart w:id="87" w:name="_Toc23836"/>
      <w:r>
        <w:rPr>
          <w:rFonts w:hint="eastAsia" w:ascii="仿宋" w:hAnsi="仿宋" w:eastAsia="仿宋" w:cs="仿宋"/>
          <w:color w:val="auto"/>
          <w:sz w:val="22"/>
          <w:szCs w:val="22"/>
          <w:highlight w:val="none"/>
        </w:rPr>
        <w:t>3.7.1 有下列情形之一的，属于不合格供应商，其磋商或成交资格将被取消：</w:t>
      </w:r>
    </w:p>
    <w:p w14:paraId="11BBA198">
      <w:pPr>
        <w:pageBreakBefore w:val="0"/>
        <w:kinsoku/>
        <w:wordWrap/>
        <w:overflowPunct/>
        <w:topLinePunct w:val="0"/>
        <w:bidi w:val="0"/>
        <w:spacing w:line="400" w:lineRule="exact"/>
        <w:ind w:firstLine="422" w:firstLineChars="19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（1）提供虚假材料谋取成交；</w:t>
      </w:r>
    </w:p>
    <w:p w14:paraId="606A909B">
      <w:pPr>
        <w:pageBreakBefore w:val="0"/>
        <w:kinsoku/>
        <w:wordWrap/>
        <w:overflowPunct/>
        <w:topLinePunct w:val="0"/>
        <w:bidi w:val="0"/>
        <w:spacing w:line="400" w:lineRule="exact"/>
        <w:ind w:firstLine="422" w:firstLineChars="19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（2）采取不正当手段诋毁、排挤其他供应商；</w:t>
      </w:r>
    </w:p>
    <w:p w14:paraId="463D3429">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（3）与采购人、采购代理机构、其他供应商恶意串通；</w:t>
      </w:r>
    </w:p>
    <w:p w14:paraId="7376E4A3">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（4）向采购人、采购代理机构、磋商小组成员行贿或者提供其他不正当利益；</w:t>
      </w:r>
    </w:p>
    <w:p w14:paraId="6587C738">
      <w:pPr>
        <w:pStyle w:val="29"/>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（5）拒绝有关部门的监督检查或者向监督检查部门提供虚假情况。</w:t>
      </w:r>
    </w:p>
    <w:p w14:paraId="6EAECC0E">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3.7.2有下列情形之一的，视为供应商相互恶意串通磋商响应，其响应文件无效：</w:t>
      </w:r>
    </w:p>
    <w:p w14:paraId="1A796593">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（1）不同供应商的响应文件由同一单位或者个人编制；</w:t>
      </w:r>
    </w:p>
    <w:p w14:paraId="61E846BA">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（2）不同供应商委托同一单位或者个人办理磋商事宜；</w:t>
      </w:r>
    </w:p>
    <w:p w14:paraId="777CEB9F">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（3）不同供应商的响应文件载明的项目管理成员为同一人；</w:t>
      </w:r>
    </w:p>
    <w:p w14:paraId="20CC9483">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（4）不同供应商的响应文件异常一致或者磋商报价呈规律性差异；</w:t>
      </w:r>
    </w:p>
    <w:p w14:paraId="517F4CE6">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（5）不同供应商的响应文件相互混装；</w:t>
      </w:r>
    </w:p>
    <w:p w14:paraId="75A2CC7F">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（6）不同供应商的磋商保证金从同一单位或者个人的账户转出；</w:t>
      </w:r>
    </w:p>
    <w:p w14:paraId="40E491FD">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（7）不同供应商的响应文件由同一单位送达。</w:t>
      </w:r>
    </w:p>
    <w:p w14:paraId="66A60E19">
      <w:pPr>
        <w:pageBreakBefore w:val="0"/>
        <w:tabs>
          <w:tab w:val="left" w:pos="7665"/>
        </w:tabs>
        <w:kinsoku/>
        <w:wordWrap/>
        <w:overflowPunct/>
        <w:topLinePunct w:val="0"/>
        <w:bidi w:val="0"/>
        <w:spacing w:before="120" w:beforeLines="50" w:after="120" w:afterLines="50" w:line="400" w:lineRule="exact"/>
        <w:outlineLvl w:val="1"/>
        <w:rPr>
          <w:rFonts w:hint="eastAsia" w:ascii="仿宋" w:hAnsi="仿宋" w:eastAsia="仿宋" w:cs="仿宋"/>
          <w:color w:val="auto"/>
          <w:kern w:val="0"/>
          <w:sz w:val="40"/>
          <w:szCs w:val="40"/>
          <w:highlight w:val="none"/>
        </w:rPr>
      </w:pPr>
      <w:r>
        <w:rPr>
          <w:rFonts w:hint="eastAsia" w:ascii="仿宋" w:hAnsi="仿宋" w:eastAsia="仿宋" w:cs="仿宋"/>
          <w:bCs/>
          <w:color w:val="auto"/>
          <w:sz w:val="40"/>
          <w:szCs w:val="40"/>
          <w:highlight w:val="none"/>
        </w:rPr>
        <w:t>4.响应文件</w:t>
      </w:r>
      <w:bookmarkEnd w:id="81"/>
      <w:bookmarkEnd w:id="82"/>
      <w:bookmarkEnd w:id="83"/>
      <w:bookmarkEnd w:id="84"/>
      <w:bookmarkEnd w:id="85"/>
      <w:bookmarkEnd w:id="86"/>
      <w:bookmarkEnd w:id="87"/>
    </w:p>
    <w:p w14:paraId="2950D25A">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4.1 响应文件的编写原则和要求</w:t>
      </w:r>
    </w:p>
    <w:p w14:paraId="5A873ADC">
      <w:pPr>
        <w:pageBreakBefore w:val="0"/>
        <w:tabs>
          <w:tab w:val="left" w:pos="720"/>
        </w:tabs>
        <w:kinsoku/>
        <w:wordWrap/>
        <w:overflowPunct/>
        <w:topLinePunct w:val="0"/>
        <w:bidi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4.1.1供应商应仔细阅读磋商文件的所有内容，按照磋商文件规定及要求编写，应当对磋商文件提出的实质性要求做出响应，并提交完整的响应文件。供应商应对采购的</w:t>
      </w:r>
      <w:r>
        <w:rPr>
          <w:rFonts w:hint="eastAsia" w:ascii="仿宋" w:hAnsi="仿宋" w:eastAsia="仿宋" w:cs="仿宋"/>
          <w:color w:val="auto"/>
          <w:sz w:val="22"/>
          <w:szCs w:val="22"/>
          <w:highlight w:val="none"/>
          <w:lang w:eastAsia="zh-CN"/>
        </w:rPr>
        <w:t>服务</w:t>
      </w:r>
      <w:r>
        <w:rPr>
          <w:rFonts w:hint="eastAsia" w:ascii="仿宋" w:hAnsi="仿宋" w:eastAsia="仿宋" w:cs="仿宋"/>
          <w:color w:val="auto"/>
          <w:sz w:val="22"/>
          <w:szCs w:val="22"/>
          <w:highlight w:val="none"/>
        </w:rPr>
        <w:t>提供完整详细的技术说明，若供应商对指定的技术要求不能完全响应，应在响应文件中清楚地注明。供应商须知前附表规定允许分包的，</w:t>
      </w:r>
      <w:r>
        <w:rPr>
          <w:rFonts w:hint="eastAsia" w:ascii="仿宋" w:hAnsi="仿宋" w:eastAsia="仿宋" w:cs="仿宋"/>
          <w:b/>
          <w:color w:val="auto"/>
          <w:sz w:val="22"/>
          <w:szCs w:val="22"/>
          <w:highlight w:val="none"/>
        </w:rPr>
        <w:t>供应商拟在成交后将成交项目的非主体、非关键性工作交由他人完成的，应当在响应文件中载明</w:t>
      </w:r>
      <w:r>
        <w:rPr>
          <w:rFonts w:hint="eastAsia" w:ascii="仿宋" w:hAnsi="仿宋" w:eastAsia="仿宋" w:cs="仿宋"/>
          <w:color w:val="auto"/>
          <w:sz w:val="22"/>
          <w:szCs w:val="22"/>
          <w:highlight w:val="none"/>
        </w:rPr>
        <w:t>。供应商对本磋商文件的每一项要求所给予的响应必须是唯一的，否则将视为无效响应文件。</w:t>
      </w:r>
    </w:p>
    <w:p w14:paraId="06B27607">
      <w:pPr>
        <w:pageBreakBefore w:val="0"/>
        <w:tabs>
          <w:tab w:val="left" w:pos="720"/>
        </w:tabs>
        <w:kinsoku/>
        <w:wordWrap/>
        <w:overflowPunct/>
        <w:topLinePunct w:val="0"/>
        <w:bidi w:val="0"/>
        <w:snapToGrid w:val="0"/>
        <w:spacing w:line="40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4.1.2 真实性原则</w:t>
      </w:r>
    </w:p>
    <w:p w14:paraId="33269BD4">
      <w:pPr>
        <w:pageBreakBefore w:val="0"/>
        <w:tabs>
          <w:tab w:val="left" w:pos="720"/>
        </w:tabs>
        <w:kinsoku/>
        <w:wordWrap/>
        <w:overflowPunct/>
        <w:topLinePunct w:val="0"/>
        <w:bidi w:val="0"/>
        <w:snapToGrid w:val="0"/>
        <w:spacing w:line="40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4.1.2.1 供应商应保证所提供的响应文件和所有资料的真实性、准确性和完整性。</w:t>
      </w:r>
    </w:p>
    <w:p w14:paraId="5A8EBE40">
      <w:pPr>
        <w:pageBreakBefore w:val="0"/>
        <w:tabs>
          <w:tab w:val="left" w:pos="720"/>
        </w:tabs>
        <w:kinsoku/>
        <w:wordWrap/>
        <w:overflowPunct/>
        <w:topLinePunct w:val="0"/>
        <w:bidi w:val="0"/>
        <w:snapToGrid w:val="0"/>
        <w:spacing w:line="40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4.1.2.2 供应商被认定为在政府采购活动中提供不真实材料的，无论其材料是否重要，采购人均有权拒绝，并取消其磋商或成交资格，供应商需承担相应的法律后果。</w:t>
      </w:r>
    </w:p>
    <w:p w14:paraId="19F97074">
      <w:pPr>
        <w:pageBreakBefore w:val="0"/>
        <w:tabs>
          <w:tab w:val="left" w:pos="720"/>
        </w:tabs>
        <w:kinsoku/>
        <w:wordWrap/>
        <w:overflowPunct/>
        <w:topLinePunct w:val="0"/>
        <w:bidi w:val="0"/>
        <w:snapToGrid w:val="0"/>
        <w:spacing w:line="400" w:lineRule="exact"/>
        <w:ind w:firstLine="48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4.1.3 报价使用货币</w:t>
      </w:r>
    </w:p>
    <w:p w14:paraId="7DBD7054">
      <w:pPr>
        <w:pageBreakBefore w:val="0"/>
        <w:tabs>
          <w:tab w:val="left" w:pos="720"/>
        </w:tabs>
        <w:kinsoku/>
        <w:wordWrap/>
        <w:overflowPunct/>
        <w:topLinePunct w:val="0"/>
        <w:bidi w:val="0"/>
        <w:snapToGrid w:val="0"/>
        <w:spacing w:line="40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本项目的报价均以人民币报价。</w:t>
      </w:r>
    </w:p>
    <w:p w14:paraId="0B36437D">
      <w:pPr>
        <w:pageBreakBefore w:val="0"/>
        <w:tabs>
          <w:tab w:val="left" w:pos="720"/>
        </w:tabs>
        <w:kinsoku/>
        <w:wordWrap/>
        <w:overflowPunct/>
        <w:topLinePunct w:val="0"/>
        <w:bidi w:val="0"/>
        <w:snapToGrid w:val="0"/>
        <w:spacing w:line="400" w:lineRule="exact"/>
        <w:ind w:firstLine="444" w:firstLineChars="201"/>
        <w:rPr>
          <w:rFonts w:hint="eastAsia" w:ascii="仿宋" w:hAnsi="仿宋" w:eastAsia="仿宋" w:cs="仿宋"/>
          <w:b/>
          <w:color w:val="auto"/>
          <w:sz w:val="22"/>
          <w:szCs w:val="28"/>
          <w:highlight w:val="none"/>
        </w:rPr>
      </w:pPr>
      <w:r>
        <w:rPr>
          <w:rFonts w:hint="eastAsia" w:ascii="仿宋" w:hAnsi="仿宋" w:eastAsia="仿宋" w:cs="仿宋"/>
          <w:b/>
          <w:color w:val="auto"/>
          <w:sz w:val="22"/>
          <w:szCs w:val="28"/>
          <w:highlight w:val="none"/>
        </w:rPr>
        <w:t>4.1.4 响应文件形式</w:t>
      </w:r>
    </w:p>
    <w:p w14:paraId="5A7F4C60">
      <w:pPr>
        <w:pStyle w:val="26"/>
        <w:pageBreakBefore w:val="0"/>
        <w:kinsoku/>
        <w:wordWrap/>
        <w:overflowPunct/>
        <w:topLinePunct w:val="0"/>
        <w:bidi w:val="0"/>
        <w:adjustRightInd w:val="0"/>
        <w:snapToGrid w:val="0"/>
        <w:spacing w:line="40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本项目响应文件应采用书面文件形式，电报、传真、电子邮件形式的响应文件不予接受。</w:t>
      </w:r>
    </w:p>
    <w:p w14:paraId="7EC75CA4">
      <w:pPr>
        <w:pageBreakBefore w:val="0"/>
        <w:tabs>
          <w:tab w:val="left" w:pos="720"/>
        </w:tabs>
        <w:kinsoku/>
        <w:wordWrap/>
        <w:overflowPunct/>
        <w:topLinePunct w:val="0"/>
        <w:bidi w:val="0"/>
        <w:snapToGrid w:val="0"/>
        <w:spacing w:line="40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4.1.5 备选方案</w:t>
      </w:r>
    </w:p>
    <w:p w14:paraId="689FD4C6">
      <w:pPr>
        <w:pageBreakBefore w:val="0"/>
        <w:tabs>
          <w:tab w:val="left" w:pos="720"/>
        </w:tabs>
        <w:kinsoku/>
        <w:wordWrap/>
        <w:overflowPunct/>
        <w:topLinePunct w:val="0"/>
        <w:bidi w:val="0"/>
        <w:snapToGrid w:val="0"/>
        <w:spacing w:line="40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4.1.5.1 除供应商须知前附表规定允许外，供应商不得递交备选响应方案，响应文件的报价只允许有一个报价，不接受具有附加条件的报价，否则，视为无效响应文件。</w:t>
      </w:r>
    </w:p>
    <w:p w14:paraId="019BD12B">
      <w:pPr>
        <w:pageBreakBefore w:val="0"/>
        <w:tabs>
          <w:tab w:val="left" w:pos="720"/>
        </w:tabs>
        <w:kinsoku/>
        <w:wordWrap/>
        <w:overflowPunct/>
        <w:topLinePunct w:val="0"/>
        <w:bidi w:val="0"/>
        <w:snapToGrid w:val="0"/>
        <w:spacing w:line="40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4.1.5.2 允许供应商递交备选响应方案的，只有成交供应商所递交的备选响应方案方可予以考虑。磋商小组认为成交供应商的备选响应方案优于其按照磋商文件要求编制的响应方案的，采购人可以接受该备选方案。</w:t>
      </w:r>
    </w:p>
    <w:p w14:paraId="137DC5B3">
      <w:pPr>
        <w:pageBreakBefore w:val="0"/>
        <w:tabs>
          <w:tab w:val="left" w:pos="720"/>
        </w:tabs>
        <w:kinsoku/>
        <w:wordWrap/>
        <w:overflowPunct/>
        <w:topLinePunct w:val="0"/>
        <w:bidi w:val="0"/>
        <w:snapToGrid w:val="0"/>
        <w:spacing w:line="40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4.1.5.3 供应商提供两个或两个以上磋商报价，或者在响应文件中提供一个磋商报价，但同时提供两个或两个以上方案的，视为提供备选方案。</w:t>
      </w:r>
    </w:p>
    <w:bookmarkEnd w:id="80"/>
    <w:p w14:paraId="3F173855">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4.2 响应文件的组成</w:t>
      </w:r>
      <w:r>
        <w:rPr>
          <w:rFonts w:hint="eastAsia" w:ascii="仿宋" w:hAnsi="仿宋" w:eastAsia="仿宋" w:cs="仿宋"/>
          <w:b/>
          <w:color w:val="auto"/>
          <w:sz w:val="32"/>
          <w:szCs w:val="32"/>
          <w:highlight w:val="none"/>
          <w:lang w:eastAsia="zh-CN"/>
        </w:rPr>
        <w:t>（具体以响应文件格式要求为准）</w:t>
      </w:r>
    </w:p>
    <w:bookmarkEnd w:id="77"/>
    <w:bookmarkEnd w:id="78"/>
    <w:bookmarkEnd w:id="79"/>
    <w:p w14:paraId="44CA495A">
      <w:pPr>
        <w:pageBreakBefore w:val="0"/>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4.2.1响应文件由下列文件组成：</w:t>
      </w:r>
    </w:p>
    <w:p w14:paraId="3A8BFC5A">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1.磋商函</w:t>
      </w:r>
    </w:p>
    <w:p w14:paraId="12C5D487">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2.磋商报价一览表</w:t>
      </w:r>
    </w:p>
    <w:p w14:paraId="02746B9D">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3.法定代表人授权书</w:t>
      </w:r>
    </w:p>
    <w:p w14:paraId="2868E861">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4.资格证明文件</w:t>
      </w:r>
    </w:p>
    <w:p w14:paraId="6B793973">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5.技术方案</w:t>
      </w:r>
    </w:p>
    <w:p w14:paraId="2081614E">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6.其它证明资料</w:t>
      </w:r>
    </w:p>
    <w:p w14:paraId="1506A755">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7.其它需说明事宜</w:t>
      </w:r>
    </w:p>
    <w:p w14:paraId="5866EBAE">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8.拒绝政府采购领域商业贿赂承诺书</w:t>
      </w:r>
    </w:p>
    <w:p w14:paraId="1034A3A3">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9.供应商享受政府采购优惠政策的证明材料（如有）</w:t>
      </w:r>
    </w:p>
    <w:p w14:paraId="3A50805F">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4.3磋商报价</w:t>
      </w:r>
    </w:p>
    <w:p w14:paraId="049B754D">
      <w:pPr>
        <w:pageBreakBefore w:val="0"/>
        <w:kinsoku/>
        <w:wordWrap/>
        <w:overflowPunct/>
        <w:topLinePunct w:val="0"/>
        <w:bidi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4.3.1 </w:t>
      </w:r>
      <w:r>
        <w:rPr>
          <w:rFonts w:hint="eastAsia" w:ascii="仿宋" w:hAnsi="仿宋" w:eastAsia="仿宋" w:cs="仿宋"/>
          <w:bCs/>
          <w:color w:val="auto"/>
          <w:sz w:val="22"/>
          <w:szCs w:val="22"/>
          <w:highlight w:val="none"/>
        </w:rPr>
        <w:t>供应商应当</w:t>
      </w:r>
      <w:r>
        <w:rPr>
          <w:rFonts w:hint="eastAsia" w:ascii="仿宋" w:hAnsi="仿宋" w:eastAsia="仿宋" w:cs="仿宋"/>
          <w:color w:val="auto"/>
          <w:sz w:val="22"/>
          <w:szCs w:val="22"/>
          <w:highlight w:val="none"/>
        </w:rPr>
        <w:t>按照磋商文件确定的采购</w:t>
      </w:r>
      <w:r>
        <w:rPr>
          <w:rFonts w:hint="eastAsia" w:ascii="仿宋" w:hAnsi="仿宋" w:eastAsia="仿宋" w:cs="仿宋"/>
          <w:color w:val="auto"/>
          <w:sz w:val="22"/>
          <w:szCs w:val="22"/>
          <w:highlight w:val="none"/>
          <w:lang w:eastAsia="zh-CN"/>
        </w:rPr>
        <w:t>服务</w:t>
      </w:r>
      <w:r>
        <w:rPr>
          <w:rFonts w:hint="eastAsia" w:ascii="仿宋" w:hAnsi="仿宋" w:eastAsia="仿宋" w:cs="仿宋"/>
          <w:color w:val="auto"/>
          <w:sz w:val="22"/>
          <w:szCs w:val="22"/>
          <w:highlight w:val="none"/>
        </w:rPr>
        <w:t>范围内全部工作内容进行磋商报价，并充分了解本</w:t>
      </w:r>
      <w:r>
        <w:rPr>
          <w:rFonts w:hint="eastAsia" w:ascii="仿宋" w:hAnsi="仿宋" w:eastAsia="仿宋" w:cs="仿宋"/>
          <w:color w:val="auto"/>
          <w:sz w:val="22"/>
          <w:szCs w:val="22"/>
          <w:highlight w:val="none"/>
          <w:lang w:eastAsia="zh-CN"/>
        </w:rPr>
        <w:t>服务</w:t>
      </w:r>
      <w:r>
        <w:rPr>
          <w:rFonts w:hint="eastAsia" w:ascii="仿宋" w:hAnsi="仿宋" w:eastAsia="仿宋" w:cs="仿宋"/>
          <w:color w:val="auto"/>
          <w:sz w:val="22"/>
          <w:szCs w:val="22"/>
          <w:highlight w:val="none"/>
        </w:rPr>
        <w:t>项目的总体情况以及影响磋商报价的其他要素。</w:t>
      </w:r>
    </w:p>
    <w:p w14:paraId="12E199D2">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 xml:space="preserve">4.3.2 </w:t>
      </w:r>
      <w:r>
        <w:rPr>
          <w:rFonts w:hint="eastAsia" w:ascii="仿宋" w:hAnsi="仿宋" w:eastAsia="仿宋" w:cs="仿宋"/>
          <w:color w:val="auto"/>
          <w:kern w:val="0"/>
          <w:sz w:val="22"/>
          <w:szCs w:val="22"/>
          <w:highlight w:val="none"/>
        </w:rPr>
        <w:t>供应商的磋商报价包括</w:t>
      </w:r>
      <w:r>
        <w:rPr>
          <w:rFonts w:hint="eastAsia" w:ascii="仿宋" w:hAnsi="仿宋" w:eastAsia="仿宋" w:cs="仿宋"/>
          <w:color w:val="auto"/>
          <w:kern w:val="0"/>
          <w:sz w:val="22"/>
          <w:szCs w:val="22"/>
          <w:highlight w:val="none"/>
          <w:lang w:eastAsia="zh-CN"/>
        </w:rPr>
        <w:t>服务</w:t>
      </w:r>
      <w:r>
        <w:rPr>
          <w:rFonts w:hint="eastAsia" w:ascii="仿宋" w:hAnsi="仿宋" w:eastAsia="仿宋" w:cs="仿宋"/>
          <w:color w:val="auto"/>
          <w:kern w:val="0"/>
          <w:sz w:val="22"/>
          <w:szCs w:val="22"/>
          <w:highlight w:val="none"/>
        </w:rPr>
        <w:t>设备费、人工费、管理费、材料与设备费、安装费、维护费、保险费、采购代理费、税金、利润、政策性规费、风险、责任等所有费用。</w:t>
      </w:r>
    </w:p>
    <w:p w14:paraId="77E739F6">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4.3.3 </w:t>
      </w:r>
      <w:r>
        <w:rPr>
          <w:rFonts w:hint="eastAsia" w:ascii="仿宋" w:hAnsi="仿宋" w:eastAsia="仿宋" w:cs="仿宋"/>
          <w:b/>
          <w:color w:val="auto"/>
          <w:sz w:val="22"/>
          <w:szCs w:val="22"/>
          <w:highlight w:val="none"/>
        </w:rPr>
        <w:t>本项目将根据磋商的具体情况来确定磋商轮次，最终一轮磋商报价为最后报价</w:t>
      </w:r>
      <w:r>
        <w:rPr>
          <w:rFonts w:hint="eastAsia" w:ascii="仿宋" w:hAnsi="仿宋" w:eastAsia="仿宋" w:cs="仿宋"/>
          <w:color w:val="auto"/>
          <w:sz w:val="22"/>
          <w:szCs w:val="22"/>
          <w:highlight w:val="none"/>
        </w:rPr>
        <w:t>。</w:t>
      </w:r>
    </w:p>
    <w:p w14:paraId="7DEC025B">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4.3.4</w:t>
      </w:r>
      <w:r>
        <w:rPr>
          <w:rFonts w:hint="eastAsia" w:ascii="仿宋" w:hAnsi="仿宋" w:eastAsia="仿宋" w:cs="仿宋"/>
          <w:b/>
          <w:color w:val="auto"/>
          <w:sz w:val="22"/>
          <w:szCs w:val="22"/>
          <w:highlight w:val="none"/>
        </w:rPr>
        <w:t xml:space="preserve"> 本项目采购预算（最高限价）金额见供应商须知前附表。供应商各轮次报价均不得超过采购预算（最高限价）金额；否则，按无效响应文件处理。</w:t>
      </w:r>
    </w:p>
    <w:p w14:paraId="31898943">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4.3.5 供应商首次提交的响应文件，</w:t>
      </w:r>
      <w:r>
        <w:rPr>
          <w:rFonts w:hint="eastAsia" w:ascii="仿宋" w:hAnsi="仿宋" w:eastAsia="仿宋" w:cs="仿宋"/>
          <w:color w:val="auto"/>
          <w:kern w:val="0"/>
          <w:sz w:val="22"/>
          <w:szCs w:val="22"/>
          <w:highlight w:val="none"/>
        </w:rPr>
        <w:t>应按</w:t>
      </w:r>
      <w:r>
        <w:rPr>
          <w:rFonts w:hint="eastAsia" w:ascii="仿宋" w:hAnsi="仿宋" w:eastAsia="仿宋" w:cs="仿宋"/>
          <w:color w:val="auto"/>
          <w:sz w:val="22"/>
          <w:szCs w:val="22"/>
          <w:highlight w:val="none"/>
        </w:rPr>
        <w:t>“磋商报价一览表”</w:t>
      </w:r>
      <w:r>
        <w:rPr>
          <w:rFonts w:hint="eastAsia" w:ascii="仿宋" w:hAnsi="仿宋" w:eastAsia="仿宋" w:cs="仿宋"/>
          <w:color w:val="auto"/>
          <w:kern w:val="0"/>
          <w:sz w:val="22"/>
          <w:szCs w:val="22"/>
          <w:highlight w:val="none"/>
        </w:rPr>
        <w:t>的内容</w:t>
      </w:r>
      <w:r>
        <w:rPr>
          <w:rFonts w:hint="eastAsia" w:ascii="仿宋" w:hAnsi="仿宋" w:eastAsia="仿宋" w:cs="仿宋"/>
          <w:color w:val="auto"/>
          <w:sz w:val="22"/>
          <w:szCs w:val="22"/>
          <w:highlight w:val="none"/>
        </w:rPr>
        <w:t>和格式要求自主报价。磋商报价中不得包含磋商文件要求以外的内容，否则，在评审时不予核减。如只有总价而无明细报价，或者只有明细报价而无总报价，将视为无效响应文件。</w:t>
      </w:r>
    </w:p>
    <w:p w14:paraId="36FB4D09">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 xml:space="preserve"> 供应商不得以低于成本的报价参与磋商。当磋商小组认为，某供应商的报价或者部分分部分项报价存在明显不合理的低于成本的报价，有可能影响</w:t>
      </w:r>
      <w:r>
        <w:rPr>
          <w:rFonts w:hint="eastAsia" w:ascii="仿宋" w:hAnsi="仿宋" w:eastAsia="仿宋" w:cs="仿宋"/>
          <w:color w:val="auto"/>
          <w:sz w:val="22"/>
          <w:szCs w:val="22"/>
          <w:highlight w:val="none"/>
          <w:lang w:eastAsia="zh-CN"/>
        </w:rPr>
        <w:t>服务</w:t>
      </w:r>
      <w:r>
        <w:rPr>
          <w:rFonts w:hint="eastAsia" w:ascii="仿宋" w:hAnsi="仿宋" w:eastAsia="仿宋" w:cs="仿宋"/>
          <w:color w:val="auto"/>
          <w:sz w:val="22"/>
          <w:szCs w:val="22"/>
          <w:highlight w:val="none"/>
        </w:rPr>
        <w:t>质量和不能诚信履约的，可要求该供应商在规定期限内，提供必要的书面文件予以解释和说明并附带相关证明材料；否则，磋商小组认定该供应商以低于成本价报价，其响应文件作无效响应文件处理。</w:t>
      </w:r>
    </w:p>
    <w:p w14:paraId="491BA018">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4.4磋商有效期</w:t>
      </w:r>
    </w:p>
    <w:p w14:paraId="64C51855">
      <w:pPr>
        <w:pageBreakBefore w:val="0"/>
        <w:tabs>
          <w:tab w:val="left" w:pos="7665"/>
        </w:tabs>
        <w:kinsoku/>
        <w:wordWrap/>
        <w:overflowPunct/>
        <w:topLinePunct w:val="0"/>
        <w:bidi w:val="0"/>
        <w:spacing w:line="400" w:lineRule="exact"/>
        <w:ind w:left="13" w:leftChars="6"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4.4.1磋商有效期见供应商须知前附表。供应商响应的磋商有效期短于此规定期限的，属于非实质性响应，将按无效响应文件处理。</w:t>
      </w:r>
    </w:p>
    <w:p w14:paraId="70BCD092">
      <w:pPr>
        <w:pageBreakBefore w:val="0"/>
        <w:tabs>
          <w:tab w:val="left" w:pos="7665"/>
        </w:tabs>
        <w:kinsoku/>
        <w:wordWrap/>
        <w:overflowPunct/>
        <w:topLinePunct w:val="0"/>
        <w:bidi w:val="0"/>
        <w:spacing w:line="400" w:lineRule="exact"/>
        <w:ind w:left="13" w:leftChars="6"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4.4.2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14:paraId="331352E6">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4.4.3 在磋商有效期内，供应商撤销响应文件的，应承担磋商文件和法律规定的责任。</w:t>
      </w:r>
    </w:p>
    <w:p w14:paraId="249DFCC7">
      <w:pPr>
        <w:pageBreakBefore w:val="0"/>
        <w:tabs>
          <w:tab w:val="left" w:pos="7665"/>
        </w:tabs>
        <w:kinsoku/>
        <w:wordWrap/>
        <w:overflowPunct/>
        <w:topLinePunct w:val="0"/>
        <w:bidi w:val="0"/>
        <w:spacing w:line="400" w:lineRule="exact"/>
        <w:ind w:left="13" w:leftChars="6"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4.4.4 成交供应商的磋商有效期自动延长至合同终止为止。</w:t>
      </w:r>
    </w:p>
    <w:p w14:paraId="0F2C8882">
      <w:pPr>
        <w:pageBreakBefore w:val="0"/>
        <w:tabs>
          <w:tab w:val="left" w:pos="7665"/>
        </w:tabs>
        <w:kinsoku/>
        <w:wordWrap/>
        <w:overflowPunct/>
        <w:topLinePunct w:val="0"/>
        <w:bidi w:val="0"/>
        <w:spacing w:before="120" w:beforeLines="50" w:after="120" w:afterLines="50" w:line="400" w:lineRule="exact"/>
        <w:ind w:firstLine="1"/>
        <w:rPr>
          <w:rFonts w:hint="eastAsia" w:ascii="仿宋" w:hAnsi="仿宋" w:eastAsia="仿宋" w:cs="仿宋"/>
          <w:b/>
          <w:color w:val="auto"/>
          <w:sz w:val="32"/>
          <w:szCs w:val="32"/>
          <w:highlight w:val="none"/>
          <w:lang w:eastAsia="zh-CN"/>
        </w:rPr>
      </w:pPr>
      <w:r>
        <w:rPr>
          <w:rFonts w:hint="eastAsia" w:ascii="仿宋" w:hAnsi="仿宋" w:eastAsia="仿宋" w:cs="仿宋"/>
          <w:b/>
          <w:bCs/>
          <w:color w:val="auto"/>
          <w:sz w:val="32"/>
          <w:szCs w:val="32"/>
          <w:highlight w:val="none"/>
        </w:rPr>
        <w:t>4.5磋商保证金</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本项目不收取保证金</w:t>
      </w:r>
      <w:r>
        <w:rPr>
          <w:rFonts w:hint="eastAsia" w:ascii="仿宋" w:hAnsi="仿宋" w:eastAsia="仿宋" w:cs="仿宋"/>
          <w:b/>
          <w:bCs/>
          <w:color w:val="auto"/>
          <w:sz w:val="32"/>
          <w:szCs w:val="32"/>
          <w:highlight w:val="none"/>
          <w:lang w:eastAsia="zh-CN"/>
        </w:rPr>
        <w:t>）</w:t>
      </w:r>
    </w:p>
    <w:p w14:paraId="0F96F65B">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4.5.1 磋商保证金是为了保护采购人和采购代理机构免遭供应商的不良行为而蒙受损失。采购人和采购代理机构在因供应商的不良行为受到损害时，可根据本磋商文件的规定不予退还其磋商保证金。</w:t>
      </w:r>
    </w:p>
    <w:p w14:paraId="7FEF7882">
      <w:pPr>
        <w:pageBreakBefore w:val="0"/>
        <w:kinsoku/>
        <w:wordWrap/>
        <w:overflowPunct/>
        <w:topLinePunct w:val="0"/>
        <w:bidi w:val="0"/>
        <w:spacing w:line="40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4.5.2磋商保证金的提交</w:t>
      </w:r>
    </w:p>
    <w:p w14:paraId="02146F2D">
      <w:pPr>
        <w:pageBreakBefore w:val="0"/>
        <w:kinsoku/>
        <w:wordWrap/>
        <w:overflowPunct/>
        <w:topLinePunct w:val="0"/>
        <w:bidi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4.5.2.1 开启响应文件现场不办理磋商保证金事宜。</w:t>
      </w:r>
    </w:p>
    <w:p w14:paraId="3E7C1F79">
      <w:pPr>
        <w:pageBreakBefore w:val="0"/>
        <w:kinsoku/>
        <w:wordWrap/>
        <w:overflowPunct/>
        <w:topLinePunct w:val="0"/>
        <w:bidi w:val="0"/>
        <w:spacing w:line="400" w:lineRule="exact"/>
        <w:ind w:firstLine="651" w:firstLineChars="2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4.5.2.2 供应商应按供应商须知前附表规定的金额、形式和时间提交，作为其响应文件的一部分。联合体磋商的，</w:t>
      </w:r>
      <w:r>
        <w:rPr>
          <w:rFonts w:hint="eastAsia" w:ascii="仿宋" w:hAnsi="仿宋" w:eastAsia="仿宋" w:cs="仿宋"/>
          <w:color w:val="auto"/>
          <w:sz w:val="22"/>
          <w:szCs w:val="22"/>
          <w:highlight w:val="none"/>
          <w:shd w:val="clear" w:color="auto" w:fill="FFFFFF"/>
        </w:rPr>
        <w:t>应当以联合体各方或者联合体中牵头人的名义提交磋商保证金。</w:t>
      </w:r>
      <w:r>
        <w:rPr>
          <w:rFonts w:hint="eastAsia" w:ascii="仿宋" w:hAnsi="仿宋" w:eastAsia="仿宋" w:cs="仿宋"/>
          <w:color w:val="auto"/>
          <w:sz w:val="22"/>
          <w:szCs w:val="22"/>
          <w:highlight w:val="none"/>
        </w:rPr>
        <w:t>以联合体牵头单位提交磋商保证金的，对联合体各方均具有约束力。</w:t>
      </w:r>
    </w:p>
    <w:p w14:paraId="7F7E080B">
      <w:pPr>
        <w:pageBreakBefore w:val="0"/>
        <w:kinsoku/>
        <w:wordWrap/>
        <w:overflowPunct/>
        <w:topLinePunct w:val="0"/>
        <w:bidi w:val="0"/>
        <w:spacing w:line="400" w:lineRule="exact"/>
        <w:ind w:firstLine="651" w:firstLineChars="2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4.5.2.3 磋商保证金可以银行转账或者金融机构、担保机构出具的保函等非现金形式提交：</w:t>
      </w:r>
    </w:p>
    <w:p w14:paraId="19D6701A">
      <w:pPr>
        <w:pageBreakBefore w:val="0"/>
        <w:kinsoku/>
        <w:wordWrap/>
        <w:overflowPunct/>
        <w:topLinePunct w:val="0"/>
        <w:bidi w:val="0"/>
        <w:spacing w:line="400" w:lineRule="exact"/>
        <w:ind w:firstLine="541" w:firstLineChars="24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（1）以银行转账提交保证金的，可以采取支票、电汇、网银、汇票、本票等方式，应从其基本账户转出，</w:t>
      </w:r>
      <w:r>
        <w:rPr>
          <w:rFonts w:hint="eastAsia" w:ascii="仿宋" w:hAnsi="仿宋" w:eastAsia="仿宋" w:cs="仿宋"/>
          <w:b/>
          <w:bCs/>
          <w:color w:val="auto"/>
          <w:sz w:val="22"/>
          <w:szCs w:val="22"/>
          <w:highlight w:val="none"/>
        </w:rPr>
        <w:t>并在响应文件中附上基本账户开户证明</w:t>
      </w:r>
      <w:r>
        <w:rPr>
          <w:rFonts w:hint="eastAsia" w:ascii="仿宋" w:hAnsi="仿宋" w:eastAsia="仿宋" w:cs="仿宋"/>
          <w:color w:val="auto"/>
          <w:sz w:val="22"/>
          <w:szCs w:val="22"/>
          <w:highlight w:val="none"/>
        </w:rPr>
        <w:t>。</w:t>
      </w:r>
    </w:p>
    <w:p w14:paraId="195EA2C8">
      <w:pPr>
        <w:pageBreakBefore w:val="0"/>
        <w:kinsoku/>
        <w:wordWrap/>
        <w:overflowPunct/>
        <w:topLinePunct w:val="0"/>
        <w:bidi w:val="0"/>
        <w:spacing w:line="400" w:lineRule="exact"/>
        <w:ind w:firstLine="541" w:firstLineChars="24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（2）以信用担保函形式提交保证金的，应按磋商文件规定的格式提交，且是陕西省或西安市有关部门认定的具有开具磋商保函资格的单位开具的保函。供应商违约，开具保函单位承担连带责任。</w:t>
      </w:r>
    </w:p>
    <w:p w14:paraId="7AF100A3">
      <w:pPr>
        <w:pageBreakBefore w:val="0"/>
        <w:kinsoku/>
        <w:wordWrap/>
        <w:overflowPunct/>
        <w:topLinePunct w:val="0"/>
        <w:bidi w:val="0"/>
        <w:spacing w:line="400" w:lineRule="exact"/>
        <w:ind w:firstLine="541" w:firstLineChars="24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（3）以汇票形式提交保证金的，应提前将汇票送至财务部门，汇票签发到期日至少为送至财务部门的当日，以便财务部门到银行办理兑现手续。</w:t>
      </w:r>
    </w:p>
    <w:p w14:paraId="4F5B214D">
      <w:pPr>
        <w:pageBreakBefore w:val="0"/>
        <w:kinsoku/>
        <w:wordWrap/>
        <w:overflowPunct/>
        <w:topLinePunct w:val="0"/>
        <w:bidi w:val="0"/>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陕西省有关部门认定的具有开具磋商保函资格的单位名单</w:t>
      </w:r>
    </w:p>
    <w:tbl>
      <w:tblPr>
        <w:tblStyle w:val="46"/>
        <w:tblW w:w="793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230"/>
      </w:tblGrid>
      <w:tr w14:paraId="1745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6C8D8B5A">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7230" w:type="dxa"/>
            <w:noWrap w:val="0"/>
            <w:vAlign w:val="center"/>
          </w:tcPr>
          <w:p w14:paraId="454F52E3">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中国投融资担保股份有限公司</w:t>
            </w:r>
          </w:p>
        </w:tc>
      </w:tr>
      <w:tr w14:paraId="1DAF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7D5F068D">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7230" w:type="dxa"/>
            <w:noWrap w:val="0"/>
            <w:vAlign w:val="center"/>
          </w:tcPr>
          <w:p w14:paraId="5CAD6AD1">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陕西省信用再担保有限责任公司</w:t>
            </w:r>
          </w:p>
        </w:tc>
      </w:tr>
      <w:tr w14:paraId="4F1C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79C381B2">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7230" w:type="dxa"/>
            <w:noWrap w:val="0"/>
            <w:vAlign w:val="center"/>
          </w:tcPr>
          <w:p w14:paraId="2F8A92AC">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西安经济技术投资担保有限公司</w:t>
            </w:r>
          </w:p>
        </w:tc>
      </w:tr>
      <w:tr w14:paraId="658F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3199A285">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7230" w:type="dxa"/>
            <w:noWrap w:val="0"/>
            <w:vAlign w:val="center"/>
          </w:tcPr>
          <w:p w14:paraId="1929792F">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西安投融资担保有限公司</w:t>
            </w:r>
          </w:p>
        </w:tc>
      </w:tr>
      <w:tr w14:paraId="6D27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7F2BA191">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7230" w:type="dxa"/>
            <w:noWrap w:val="0"/>
            <w:vAlign w:val="center"/>
          </w:tcPr>
          <w:p w14:paraId="0E58BE53">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陕西省信用再担保有限责任公司</w:t>
            </w:r>
          </w:p>
        </w:tc>
      </w:tr>
      <w:tr w14:paraId="757F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26B8F687">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7230" w:type="dxa"/>
            <w:noWrap w:val="0"/>
            <w:vAlign w:val="center"/>
          </w:tcPr>
          <w:p w14:paraId="33A71D92">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中国银行股份有限公司陕西省分行</w:t>
            </w:r>
          </w:p>
        </w:tc>
      </w:tr>
      <w:tr w14:paraId="48E0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2B0CF6A9">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7230" w:type="dxa"/>
            <w:noWrap w:val="0"/>
            <w:vAlign w:val="center"/>
          </w:tcPr>
          <w:p w14:paraId="2C81EE33">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中国建设银行股份有限公司陕西省分行</w:t>
            </w:r>
          </w:p>
        </w:tc>
      </w:tr>
      <w:tr w14:paraId="5883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42EA0D67">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7230" w:type="dxa"/>
            <w:noWrap w:val="0"/>
            <w:vAlign w:val="center"/>
          </w:tcPr>
          <w:p w14:paraId="60868C32">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中国工商银行股份有限公司陕西省分行营业部</w:t>
            </w:r>
          </w:p>
        </w:tc>
      </w:tr>
      <w:tr w14:paraId="48B6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7FFCBD80">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7230" w:type="dxa"/>
            <w:noWrap w:val="0"/>
            <w:vAlign w:val="center"/>
          </w:tcPr>
          <w:p w14:paraId="09C0E0CA">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中国农业银行股份有限公司陕西省分行营业部</w:t>
            </w:r>
          </w:p>
        </w:tc>
      </w:tr>
      <w:tr w14:paraId="4F02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19297F46">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7230" w:type="dxa"/>
            <w:noWrap w:val="0"/>
            <w:vAlign w:val="center"/>
          </w:tcPr>
          <w:p w14:paraId="02884E49">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交通银行股份有限公司陕西省分行</w:t>
            </w:r>
          </w:p>
        </w:tc>
      </w:tr>
      <w:tr w14:paraId="180C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1202ABB8">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7230" w:type="dxa"/>
            <w:noWrap w:val="0"/>
            <w:vAlign w:val="center"/>
          </w:tcPr>
          <w:p w14:paraId="2891AC6D">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招商银行股份有限公司西安分行</w:t>
            </w:r>
          </w:p>
        </w:tc>
      </w:tr>
      <w:tr w14:paraId="4170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06DE2DB3">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7230" w:type="dxa"/>
            <w:noWrap w:val="0"/>
            <w:vAlign w:val="center"/>
          </w:tcPr>
          <w:p w14:paraId="46510413">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中国民生银行股份有限公司西安分行</w:t>
            </w:r>
          </w:p>
        </w:tc>
      </w:tr>
      <w:tr w14:paraId="1024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5340318A">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7230" w:type="dxa"/>
            <w:noWrap w:val="0"/>
            <w:vAlign w:val="center"/>
          </w:tcPr>
          <w:p w14:paraId="175BD733">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中国光大银行股份有限公司西安分行</w:t>
            </w:r>
          </w:p>
        </w:tc>
      </w:tr>
      <w:tr w14:paraId="454B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6BB7626F">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7230" w:type="dxa"/>
            <w:noWrap w:val="0"/>
            <w:vAlign w:val="center"/>
          </w:tcPr>
          <w:p w14:paraId="6C5CDB41">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昆仑银行股份有限公司西安分行</w:t>
            </w:r>
          </w:p>
        </w:tc>
      </w:tr>
      <w:tr w14:paraId="511F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1E81EC5D">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7230" w:type="dxa"/>
            <w:noWrap w:val="0"/>
            <w:vAlign w:val="center"/>
          </w:tcPr>
          <w:p w14:paraId="68FE590D">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平安银行股份有限公司西安分行</w:t>
            </w:r>
          </w:p>
        </w:tc>
      </w:tr>
      <w:tr w14:paraId="5630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6EC2877A">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7230" w:type="dxa"/>
            <w:noWrap w:val="0"/>
            <w:vAlign w:val="center"/>
          </w:tcPr>
          <w:p w14:paraId="09B08BD5">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北京银行股份有限公司西安分行</w:t>
            </w:r>
          </w:p>
        </w:tc>
      </w:tr>
      <w:tr w14:paraId="34CE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8" w:type="dxa"/>
            <w:noWrap w:val="0"/>
            <w:vAlign w:val="center"/>
          </w:tcPr>
          <w:p w14:paraId="7480EF1E">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7230" w:type="dxa"/>
            <w:noWrap w:val="0"/>
            <w:vAlign w:val="center"/>
          </w:tcPr>
          <w:p w14:paraId="14FD360D">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兴业银行股份有限公司西安分行</w:t>
            </w:r>
          </w:p>
        </w:tc>
      </w:tr>
      <w:tr w14:paraId="114F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938" w:type="dxa"/>
            <w:gridSpan w:val="2"/>
            <w:noWrap w:val="0"/>
            <w:vAlign w:val="center"/>
          </w:tcPr>
          <w:p w14:paraId="79300C1D">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color w:val="auto"/>
                <w:sz w:val="22"/>
                <w:szCs w:val="22"/>
                <w:highlight w:val="none"/>
                <w:lang w:eastAsia="zh-CN"/>
              </w:rPr>
            </w:pPr>
            <w:bookmarkStart w:id="88" w:name="_Toc183582225"/>
            <w:bookmarkStart w:id="89" w:name="_Toc217446052"/>
            <w:bookmarkStart w:id="90" w:name="_Toc183682362"/>
            <w:r>
              <w:rPr>
                <w:rFonts w:hint="eastAsia" w:ascii="仿宋" w:hAnsi="仿宋" w:eastAsia="仿宋" w:cs="仿宋"/>
                <w:color w:val="auto"/>
                <w:sz w:val="22"/>
                <w:szCs w:val="22"/>
                <w:highlight w:val="none"/>
                <w:lang w:eastAsia="zh-CN"/>
              </w:rPr>
              <w:t>其他具备相应资格的单位</w:t>
            </w:r>
          </w:p>
        </w:tc>
      </w:tr>
    </w:tbl>
    <w:p w14:paraId="305DF34D">
      <w:pPr>
        <w:pageBreakBefore w:val="0"/>
        <w:widowControl/>
        <w:kinsoku/>
        <w:wordWrap/>
        <w:overflowPunct/>
        <w:topLinePunct w:val="0"/>
        <w:bidi w:val="0"/>
        <w:spacing w:line="40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4.5.2.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 xml:space="preserve"> 供应商未提供相关证明或经查实其提交账户为非基本存款账户的，采购代理机构将按该供应商未提交磋商保证金处理。</w:t>
      </w:r>
    </w:p>
    <w:p w14:paraId="1B134D14">
      <w:pPr>
        <w:pageBreakBefore w:val="0"/>
        <w:kinsoku/>
        <w:wordWrap/>
        <w:overflowPunct/>
        <w:topLinePunct w:val="0"/>
        <w:bidi w:val="0"/>
        <w:spacing w:line="400" w:lineRule="exact"/>
        <w:ind w:firstLine="651" w:firstLineChars="2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4.5.2.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 xml:space="preserve"> 供应商未按磋商文件要求，在规定的时间前（以银行实际到账时间为准）提交磋商保证金的响应文件将被拒绝。</w:t>
      </w:r>
    </w:p>
    <w:p w14:paraId="4493433E">
      <w:pPr>
        <w:pageBreakBefore w:val="0"/>
        <w:kinsoku/>
        <w:wordWrap/>
        <w:overflowPunct/>
        <w:topLinePunct w:val="0"/>
        <w:bidi w:val="0"/>
        <w:spacing w:line="40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4.5.3 磋商保证金的退还</w:t>
      </w:r>
    </w:p>
    <w:p w14:paraId="116CACAF">
      <w:pPr>
        <w:pageBreakBefore w:val="0"/>
        <w:kinsoku/>
        <w:wordWrap/>
        <w:overflowPunct/>
        <w:topLinePunct w:val="0"/>
        <w:bidi w:val="0"/>
        <w:spacing w:line="400" w:lineRule="exact"/>
        <w:ind w:firstLine="541" w:firstLineChars="24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4.5.3.1未成交供应商的磋商保证金，将在成交通知书发出之日起5个工作日内全额退还；成交供应商的磋商保证金，在采购人与成交供应商签订合同之日起5个工作日内全额退还。</w:t>
      </w:r>
    </w:p>
    <w:p w14:paraId="05FC8F04">
      <w:pPr>
        <w:pageBreakBefore w:val="0"/>
        <w:kinsoku/>
        <w:wordWrap/>
        <w:overflowPunct/>
        <w:topLinePunct w:val="0"/>
        <w:bidi w:val="0"/>
        <w:spacing w:line="400" w:lineRule="exact"/>
        <w:ind w:firstLine="541" w:firstLineChars="246"/>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w:t>
      </w:r>
      <w:r>
        <w:rPr>
          <w:rFonts w:hint="eastAsia" w:ascii="仿宋" w:hAnsi="仿宋" w:eastAsia="仿宋" w:cs="仿宋"/>
          <w:color w:val="auto"/>
          <w:sz w:val="22"/>
          <w:szCs w:val="22"/>
          <w:highlight w:val="none"/>
        </w:rPr>
        <w:t>磋商保证金退还时间：星期一至星期五，9:00-16:00</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磋商保证金退还方式：银行转账</w:t>
      </w:r>
    </w:p>
    <w:p w14:paraId="2DADF5AF">
      <w:pPr>
        <w:pageBreakBefore w:val="0"/>
        <w:kinsoku/>
        <w:wordWrap/>
        <w:overflowPunct/>
        <w:topLinePunct w:val="0"/>
        <w:bidi w:val="0"/>
        <w:spacing w:line="400" w:lineRule="exact"/>
        <w:ind w:firstLine="541" w:firstLineChars="24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4.5.3.2有下列情形之一的，磋商保证金将不予退还：</w:t>
      </w:r>
    </w:p>
    <w:p w14:paraId="6F1D4354">
      <w:pPr>
        <w:pageBreakBefore w:val="0"/>
        <w:kinsoku/>
        <w:wordWrap/>
        <w:overflowPunct/>
        <w:topLinePunct w:val="0"/>
        <w:bidi w:val="0"/>
        <w:spacing w:line="400" w:lineRule="exact"/>
        <w:ind w:firstLine="541" w:firstLineChars="24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（1）供应商在磋商有效期内撤销响应文件的；</w:t>
      </w:r>
    </w:p>
    <w:p w14:paraId="7FAA986C">
      <w:pPr>
        <w:pageBreakBefore w:val="0"/>
        <w:kinsoku/>
        <w:wordWrap/>
        <w:overflowPunct/>
        <w:topLinePunct w:val="0"/>
        <w:bidi w:val="0"/>
        <w:spacing w:line="400" w:lineRule="exact"/>
        <w:ind w:firstLine="541" w:firstLineChars="24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（2）供应商在响应文件中提供虚假材料的；</w:t>
      </w:r>
    </w:p>
    <w:p w14:paraId="754F59CC">
      <w:pPr>
        <w:pageBreakBefore w:val="0"/>
        <w:kinsoku/>
        <w:wordWrap/>
        <w:overflowPunct/>
        <w:topLinePunct w:val="0"/>
        <w:bidi w:val="0"/>
        <w:spacing w:line="40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（3）成交供应商，无正当理由未能按磋商文件规定时间内领取《成交通知书》的；</w:t>
      </w:r>
    </w:p>
    <w:p w14:paraId="2E3CD62F">
      <w:pPr>
        <w:pageBreakBefore w:val="0"/>
        <w:kinsoku/>
        <w:wordWrap/>
        <w:overflowPunct/>
        <w:topLinePunct w:val="0"/>
        <w:bidi w:val="0"/>
        <w:spacing w:line="400" w:lineRule="exact"/>
        <w:ind w:firstLine="541" w:firstLineChars="24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（4）除因不可抗力或磋商文件认可的情形以外，成交供应商不与采购人订立合同的；</w:t>
      </w:r>
    </w:p>
    <w:p w14:paraId="766CCF3D">
      <w:pPr>
        <w:pageBreakBefore w:val="0"/>
        <w:kinsoku/>
        <w:wordWrap/>
        <w:overflowPunct/>
        <w:topLinePunct w:val="0"/>
        <w:bidi w:val="0"/>
        <w:spacing w:line="400" w:lineRule="exact"/>
        <w:ind w:firstLine="541" w:firstLineChars="24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（5）成交供应商在签订合同时向采购人提出附加条件的；</w:t>
      </w:r>
    </w:p>
    <w:p w14:paraId="0BDE395C">
      <w:pPr>
        <w:pageBreakBefore w:val="0"/>
        <w:kinsoku/>
        <w:wordWrap/>
        <w:overflowPunct/>
        <w:topLinePunct w:val="0"/>
        <w:bidi w:val="0"/>
        <w:spacing w:line="40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（6）成交供应商未向采购代理机构支付采购代理服务费的；</w:t>
      </w:r>
    </w:p>
    <w:p w14:paraId="07319AC4">
      <w:pPr>
        <w:pageBreakBefore w:val="0"/>
        <w:kinsoku/>
        <w:wordWrap/>
        <w:overflowPunct/>
        <w:topLinePunct w:val="0"/>
        <w:bidi w:val="0"/>
        <w:spacing w:line="40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（7）成交供应商未按磋商文件规定向采购人提交履约保证金的；</w:t>
      </w:r>
    </w:p>
    <w:p w14:paraId="1006AE9D">
      <w:pPr>
        <w:pageBreakBefore w:val="0"/>
        <w:kinsoku/>
        <w:wordWrap/>
        <w:overflowPunct/>
        <w:topLinePunct w:val="0"/>
        <w:bidi w:val="0"/>
        <w:spacing w:line="40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（8）供应商与采购人、其他供应商或者采购代理机构恶意串通的；</w:t>
      </w:r>
    </w:p>
    <w:p w14:paraId="1CB2FFA7">
      <w:pPr>
        <w:pageBreakBefore w:val="0"/>
        <w:kinsoku/>
        <w:wordWrap/>
        <w:overflowPunct/>
        <w:topLinePunct w:val="0"/>
        <w:bidi w:val="0"/>
        <w:spacing w:line="400" w:lineRule="exact"/>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（9）法律法规规定的其他情况。</w:t>
      </w:r>
    </w:p>
    <w:bookmarkEnd w:id="88"/>
    <w:bookmarkEnd w:id="89"/>
    <w:bookmarkEnd w:id="90"/>
    <w:p w14:paraId="457D8ED1">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bCs/>
          <w:color w:val="auto"/>
          <w:sz w:val="32"/>
          <w:szCs w:val="32"/>
          <w:highlight w:val="none"/>
        </w:rPr>
      </w:pPr>
      <w:bookmarkStart w:id="91" w:name="_Toc482201960"/>
      <w:bookmarkStart w:id="92" w:name="_Toc77400781"/>
      <w:bookmarkStart w:id="93" w:name="_Toc183682363"/>
      <w:bookmarkStart w:id="94" w:name="_Toc89075877"/>
      <w:bookmarkStart w:id="95" w:name="_Toc183582226"/>
      <w:bookmarkStart w:id="96" w:name="_Toc217446053"/>
      <w:r>
        <w:rPr>
          <w:rFonts w:hint="eastAsia" w:ascii="仿宋" w:hAnsi="仿宋" w:eastAsia="仿宋" w:cs="仿宋"/>
          <w:b/>
          <w:bCs/>
          <w:color w:val="auto"/>
          <w:sz w:val="32"/>
          <w:szCs w:val="32"/>
          <w:highlight w:val="none"/>
        </w:rPr>
        <w:t>4.6响应文件的制作和签署</w:t>
      </w:r>
    </w:p>
    <w:p w14:paraId="4608B8D6">
      <w:pPr>
        <w:pageBreakBefore w:val="0"/>
        <w:tabs>
          <w:tab w:val="left" w:pos="7665"/>
        </w:tabs>
        <w:kinsoku/>
        <w:wordWrap/>
        <w:overflowPunct/>
        <w:topLinePunct w:val="0"/>
        <w:bidi w:val="0"/>
        <w:spacing w:line="400" w:lineRule="exact"/>
        <w:ind w:left="13" w:leftChars="6"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4.6.1 响应文件应根据磋商文件的要求制作。供应商应填写全称，同时加盖单位章，签署、盖章和内容应完整，如有遗漏，将被视为无效响应文件。</w:t>
      </w:r>
    </w:p>
    <w:p w14:paraId="0BC5764E">
      <w:pPr>
        <w:pageBreakBefore w:val="0"/>
        <w:tabs>
          <w:tab w:val="left" w:pos="7665"/>
        </w:tabs>
        <w:kinsoku/>
        <w:wordWrap/>
        <w:overflowPunct/>
        <w:topLinePunct w:val="0"/>
        <w:bidi w:val="0"/>
        <w:spacing w:line="400" w:lineRule="exact"/>
        <w:ind w:left="13" w:leftChars="6"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4.6.2 响应文件格式。供应商应严格按照第六章提供的“响应文件格式”编写相关内容。除明确允许供应商可以自行编写外，供应商不得以“响应文件格式”规定之外的方式填写相关内容。否则，供应商提供的响应文件将作为无效响应文件处理。</w:t>
      </w:r>
    </w:p>
    <w:p w14:paraId="03C5D900">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4.6.3 对于没有格式要求的响应文件由供应商自行编写。</w:t>
      </w:r>
    </w:p>
    <w:p w14:paraId="15B8DB5C">
      <w:pPr>
        <w:pageBreakBefore w:val="0"/>
        <w:tabs>
          <w:tab w:val="left" w:pos="1080"/>
        </w:tabs>
        <w:kinsoku/>
        <w:wordWrap/>
        <w:overflowPunct/>
        <w:topLinePunct w:val="0"/>
        <w:bidi w:val="0"/>
        <w:spacing w:line="400" w:lineRule="exact"/>
        <w:ind w:firstLine="422" w:firstLineChars="19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4.6.4 供应商应按“供应商须知前附表”规定的份数准备响应文件正本、副本和相应的电子文件。正本和副本封面右上角应清楚地标明“正本”或“副本”字样。当副本和正本有不一致的内容，以正本书面响应文件为准。</w:t>
      </w:r>
    </w:p>
    <w:p w14:paraId="5825F510">
      <w:pPr>
        <w:pageBreakBefore w:val="0"/>
        <w:kinsoku/>
        <w:wordWrap/>
        <w:overflowPunct/>
        <w:topLinePunct w:val="0"/>
        <w:bidi w:val="0"/>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4.6.5 响应文件的正本和副本均需打印或用不褪色、不变质的墨水书写，并由供应商的法定代表人或其委托代理人在规定签章处签字和盖章。响应文件副本可采用正本的复印件。</w:t>
      </w:r>
    </w:p>
    <w:p w14:paraId="43AFDF07">
      <w:pPr>
        <w:pageBreakBefore w:val="0"/>
        <w:tabs>
          <w:tab w:val="left" w:pos="1095"/>
        </w:tabs>
        <w:kinsoku/>
        <w:wordWrap/>
        <w:overflowPunct/>
        <w:topLinePunct w:val="0"/>
        <w:bidi w:val="0"/>
        <w:spacing w:line="400" w:lineRule="exact"/>
        <w:ind w:firstLine="422" w:firstLineChars="19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4.6.6 响应文件的打印或书写应清楚工整，尽量避免行间插字、涂改或增删。如出现上述情况，改动之处应由供应商的法定代表人或其委托代理人签字或盖单位章。字迹潦草、表达不清或可能导致非唯一理解的响应文件可能视为无效响应文件。</w:t>
      </w:r>
    </w:p>
    <w:p w14:paraId="427A5CE0">
      <w:pPr>
        <w:pageBreakBefore w:val="0"/>
        <w:tabs>
          <w:tab w:val="left" w:pos="1080"/>
        </w:tabs>
        <w:kinsoku/>
        <w:wordWrap/>
        <w:overflowPunct/>
        <w:topLinePunct w:val="0"/>
        <w:bidi w:val="0"/>
        <w:spacing w:line="400" w:lineRule="exact"/>
        <w:ind w:firstLine="422" w:firstLineChars="19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4.6.7 响应文件的正本和副本</w:t>
      </w:r>
      <w:r>
        <w:rPr>
          <w:rFonts w:hint="eastAsia" w:ascii="仿宋" w:hAnsi="仿宋" w:eastAsia="仿宋" w:cs="仿宋"/>
          <w:color w:val="auto"/>
          <w:sz w:val="22"/>
          <w:szCs w:val="22"/>
          <w:highlight w:val="none"/>
          <w:lang w:val="zh-CN"/>
        </w:rPr>
        <w:t>一律采用A4纸幅面，并</w:t>
      </w:r>
      <w:r>
        <w:rPr>
          <w:rFonts w:hint="eastAsia" w:ascii="仿宋" w:hAnsi="仿宋" w:eastAsia="仿宋" w:cs="仿宋"/>
          <w:color w:val="auto"/>
          <w:sz w:val="22"/>
          <w:szCs w:val="22"/>
          <w:highlight w:val="none"/>
        </w:rPr>
        <w:t>分别装订和编制目录。响应文件需分册装订的，具体分册装订要求见</w:t>
      </w:r>
      <w:r>
        <w:rPr>
          <w:rFonts w:hint="eastAsia" w:ascii="仿宋" w:hAnsi="仿宋" w:eastAsia="仿宋" w:cs="仿宋"/>
          <w:color w:val="auto"/>
          <w:sz w:val="22"/>
          <w:szCs w:val="22"/>
          <w:highlight w:val="none"/>
          <w:lang w:val="zh-CN"/>
        </w:rPr>
        <w:t>供应商须知前附表的规定。响应文件</w:t>
      </w:r>
      <w:r>
        <w:rPr>
          <w:rFonts w:hint="eastAsia" w:ascii="仿宋" w:hAnsi="仿宋" w:eastAsia="仿宋" w:cs="仿宋"/>
          <w:color w:val="auto"/>
          <w:sz w:val="22"/>
          <w:szCs w:val="22"/>
          <w:highlight w:val="none"/>
        </w:rPr>
        <w:t>胶装后，页面不可抽取，不得有活动页，无破损、不可拆分。</w:t>
      </w:r>
    </w:p>
    <w:p w14:paraId="20A07B3A">
      <w:pPr>
        <w:pageBreakBefore w:val="0"/>
        <w:kinsoku/>
        <w:wordWrap/>
        <w:overflowPunct/>
        <w:topLinePunct w:val="0"/>
        <w:bidi w:val="0"/>
        <w:spacing w:line="400" w:lineRule="exact"/>
        <w:ind w:firstLine="440" w:firstLineChars="200"/>
        <w:jc w:val="left"/>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4.6.8 电子文件制作要求。电子文件与纸质正本响应文件的内容应保持一致，具有同等法律效力。</w:t>
      </w:r>
    </w:p>
    <w:bookmarkEnd w:id="91"/>
    <w:bookmarkEnd w:id="92"/>
    <w:bookmarkEnd w:id="93"/>
    <w:bookmarkEnd w:id="94"/>
    <w:bookmarkEnd w:id="95"/>
    <w:bookmarkEnd w:id="96"/>
    <w:p w14:paraId="5835BA7C">
      <w:pPr>
        <w:pageBreakBefore w:val="0"/>
        <w:tabs>
          <w:tab w:val="left" w:pos="1080"/>
        </w:tabs>
        <w:kinsoku/>
        <w:wordWrap/>
        <w:overflowPunct/>
        <w:topLinePunct w:val="0"/>
        <w:bidi w:val="0"/>
        <w:spacing w:before="120" w:beforeLines="50" w:after="120" w:afterLines="50" w:line="400" w:lineRule="exact"/>
        <w:outlineLvl w:val="1"/>
        <w:rPr>
          <w:rFonts w:hint="eastAsia" w:ascii="仿宋" w:hAnsi="仿宋" w:eastAsia="仿宋" w:cs="仿宋"/>
          <w:color w:val="auto"/>
          <w:sz w:val="40"/>
          <w:szCs w:val="40"/>
          <w:highlight w:val="none"/>
        </w:rPr>
      </w:pPr>
      <w:bookmarkStart w:id="97" w:name="_Toc17787"/>
      <w:bookmarkStart w:id="98" w:name="_Toc12913"/>
      <w:bookmarkStart w:id="99" w:name="_Toc13183"/>
      <w:bookmarkStart w:id="100" w:name="_Toc911"/>
      <w:bookmarkStart w:id="101" w:name="_Toc1407_WPSOffice_Level2"/>
      <w:bookmarkStart w:id="102" w:name="_Toc4052"/>
      <w:bookmarkStart w:id="103" w:name="_Toc21851"/>
      <w:r>
        <w:rPr>
          <w:rFonts w:hint="eastAsia" w:ascii="仿宋" w:hAnsi="仿宋" w:eastAsia="仿宋" w:cs="仿宋"/>
          <w:color w:val="auto"/>
          <w:sz w:val="40"/>
          <w:szCs w:val="40"/>
          <w:highlight w:val="none"/>
        </w:rPr>
        <w:t>5.响应文件的提交</w:t>
      </w:r>
      <w:bookmarkEnd w:id="97"/>
      <w:bookmarkEnd w:id="98"/>
      <w:bookmarkEnd w:id="99"/>
      <w:bookmarkEnd w:id="100"/>
      <w:bookmarkEnd w:id="101"/>
      <w:bookmarkEnd w:id="102"/>
      <w:bookmarkEnd w:id="103"/>
    </w:p>
    <w:p w14:paraId="384C7BF6">
      <w:pPr>
        <w:pageBreakBefore w:val="0"/>
        <w:tabs>
          <w:tab w:val="left" w:pos="1080"/>
        </w:tabs>
        <w:kinsoku/>
        <w:wordWrap/>
        <w:overflowPunct/>
        <w:topLinePunct w:val="0"/>
        <w:bidi w:val="0"/>
        <w:spacing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5.1响应文件内容要求</w:t>
      </w:r>
    </w:p>
    <w:p w14:paraId="2D868874">
      <w:pPr>
        <w:pageBreakBefore w:val="0"/>
        <w:tabs>
          <w:tab w:val="left" w:pos="1080"/>
        </w:tabs>
        <w:kinsoku/>
        <w:wordWrap/>
        <w:overflowPunct/>
        <w:topLinePunct w:val="0"/>
        <w:bidi w:val="0"/>
        <w:spacing w:line="400" w:lineRule="exact"/>
        <w:ind w:firstLine="422" w:firstLineChars="19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应仔细阅读磋商文件中的所有事项、格式、条款和要求，对磋商文件的全部内容及要求作出实质性响应，提交相应资料。若分包，应以包为单位提交，不得在其中选项提交或将其中内容再行分解；否则，响应文件将视为无效响应文件。</w:t>
      </w:r>
    </w:p>
    <w:p w14:paraId="2BC5EE9D">
      <w:pPr>
        <w:pageBreakBefore w:val="0"/>
        <w:tabs>
          <w:tab w:val="left" w:pos="1080"/>
        </w:tabs>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5.2响应文件的密封和标记</w:t>
      </w:r>
    </w:p>
    <w:p w14:paraId="58AC3CA4">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5.2.1 </w:t>
      </w:r>
      <w:r>
        <w:rPr>
          <w:rFonts w:hint="eastAsia" w:ascii="仿宋" w:hAnsi="仿宋" w:eastAsia="仿宋" w:cs="仿宋"/>
          <w:color w:val="auto"/>
          <w:kern w:val="0"/>
          <w:sz w:val="22"/>
          <w:szCs w:val="22"/>
          <w:highlight w:val="none"/>
        </w:rPr>
        <w:t>开启响应文件前，供应商应将响应文件所有正本、副本、电子文件全部密封。</w:t>
      </w:r>
    </w:p>
    <w:p w14:paraId="41FECEFA">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 xml:space="preserve">5.2.2 </w:t>
      </w:r>
      <w:r>
        <w:rPr>
          <w:rFonts w:hint="eastAsia" w:ascii="仿宋" w:hAnsi="仿宋" w:eastAsia="仿宋" w:cs="仿宋"/>
          <w:color w:val="auto"/>
          <w:sz w:val="22"/>
          <w:szCs w:val="22"/>
          <w:highlight w:val="none"/>
        </w:rPr>
        <w:t>响应文件装订、密封、装袋要求见供应商须知前附表，密封以不泄露供应商商业机密、资格内容、技术及商务内容为标准。</w:t>
      </w:r>
    </w:p>
    <w:p w14:paraId="5F4FEA34">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5.2.3 响应文件封套上应写明的内容见供应商须知前附表。</w:t>
      </w:r>
    </w:p>
    <w:p w14:paraId="6B6A9267">
      <w:pPr>
        <w:pageBreakBefore w:val="0"/>
        <w:kinsoku/>
        <w:wordWrap/>
        <w:overflowPunct/>
        <w:topLinePunct w:val="0"/>
        <w:bidi w:val="0"/>
        <w:adjustRightInd w:val="0"/>
        <w:snapToGrid w:val="0"/>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5.2.4 未按要求密封的响应文件，采购代理机构将予以拒收。</w:t>
      </w:r>
    </w:p>
    <w:p w14:paraId="7BE6AF2E">
      <w:pPr>
        <w:pageBreakBefore w:val="0"/>
        <w:tabs>
          <w:tab w:val="left" w:pos="1080"/>
        </w:tabs>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5.3响应文件的提交</w:t>
      </w:r>
    </w:p>
    <w:p w14:paraId="55935C3C">
      <w:pPr>
        <w:pageBreakBefore w:val="0"/>
        <w:tabs>
          <w:tab w:val="left" w:pos="1095"/>
        </w:tabs>
        <w:kinsoku/>
        <w:wordWrap/>
        <w:overflowPunct/>
        <w:topLinePunct w:val="0"/>
        <w:bidi w:val="0"/>
        <w:spacing w:line="400" w:lineRule="exact"/>
        <w:ind w:firstLine="422" w:firstLineChars="19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5.3.1 供应商应在供应商须知前附表规定的提交响应文件截止时间前提交响应文件。</w:t>
      </w:r>
    </w:p>
    <w:p w14:paraId="1E7B8E4C">
      <w:pPr>
        <w:pageBreakBefore w:val="0"/>
        <w:tabs>
          <w:tab w:val="left" w:pos="1095"/>
        </w:tabs>
        <w:kinsoku/>
        <w:wordWrap/>
        <w:overflowPunct/>
        <w:topLinePunct w:val="0"/>
        <w:bidi w:val="0"/>
        <w:spacing w:line="400" w:lineRule="exact"/>
        <w:ind w:firstLine="422" w:firstLineChars="19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5.3.2 供应商提交响应文件地点：见供应商须知前附表。</w:t>
      </w:r>
    </w:p>
    <w:p w14:paraId="69358306">
      <w:pPr>
        <w:pageBreakBefore w:val="0"/>
        <w:tabs>
          <w:tab w:val="left" w:pos="1095"/>
        </w:tabs>
        <w:kinsoku/>
        <w:wordWrap/>
        <w:overflowPunct/>
        <w:topLinePunct w:val="0"/>
        <w:bidi w:val="0"/>
        <w:spacing w:line="400" w:lineRule="exact"/>
        <w:ind w:firstLine="422" w:firstLineChars="19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5.3.3 除供应商须知前附表另有规定外，供应商提交的响应文件不予退还。</w:t>
      </w:r>
    </w:p>
    <w:p w14:paraId="6885E895">
      <w:pPr>
        <w:pStyle w:val="7"/>
        <w:pageBreakBefore w:val="0"/>
        <w:kinsoku/>
        <w:wordWrap/>
        <w:overflowPunct/>
        <w:topLinePunct w:val="0"/>
        <w:bidi w:val="0"/>
        <w:spacing w:line="400" w:lineRule="exact"/>
        <w:ind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5.3.4采购代理机构收到响应文件后，应当如实记载响应文件的送达时间、份数、密封情况和提交人等信息。</w:t>
      </w:r>
    </w:p>
    <w:p w14:paraId="2765A60C">
      <w:pPr>
        <w:pageBreakBefore w:val="0"/>
        <w:tabs>
          <w:tab w:val="left" w:pos="851"/>
          <w:tab w:val="left" w:pos="1095"/>
        </w:tabs>
        <w:kinsoku/>
        <w:wordWrap/>
        <w:overflowPunct/>
        <w:topLinePunct w:val="0"/>
        <w:bidi w:val="0"/>
        <w:spacing w:line="400" w:lineRule="exact"/>
        <w:ind w:firstLine="422" w:firstLineChars="19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5.3.5 逾期送达的响应文件，采购代理机构将予以拒收。</w:t>
      </w:r>
    </w:p>
    <w:p w14:paraId="026B6756">
      <w:pPr>
        <w:pStyle w:val="7"/>
        <w:pageBreakBefore w:val="0"/>
        <w:kinsoku/>
        <w:wordWrap/>
        <w:overflowPunct/>
        <w:topLinePunct w:val="0"/>
        <w:bidi w:val="0"/>
        <w:spacing w:line="400" w:lineRule="exact"/>
        <w:ind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5.3.6 本次磋商不接受邮寄的响应文件。</w:t>
      </w:r>
    </w:p>
    <w:p w14:paraId="177D261E">
      <w:pPr>
        <w:pageBreakBefore w:val="0"/>
        <w:tabs>
          <w:tab w:val="left" w:pos="1080"/>
        </w:tabs>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5.4响应文件的修改和撤回</w:t>
      </w:r>
    </w:p>
    <w:p w14:paraId="135F2EC3">
      <w:pPr>
        <w:pageBreakBefore w:val="0"/>
        <w:kinsoku/>
        <w:wordWrap/>
        <w:overflowPunct/>
        <w:topLinePunct w:val="0"/>
        <w:bidi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5.4.1 在本章第5.3.1项规定的提交响应文件截止时间前，供应商可以补充、修改或者撤回已提交的响应文件，但应以书面形式通知采购代理机构。</w:t>
      </w:r>
    </w:p>
    <w:p w14:paraId="2C3BD3F6">
      <w:pPr>
        <w:pageBreakBefore w:val="0"/>
        <w:kinsoku/>
        <w:wordWrap/>
        <w:overflowPunct/>
        <w:topLinePunct w:val="0"/>
        <w:bidi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5.4.2 供应商的补充、修改或者撤回通知书，应由其法定代表人或委托代理人签署并盖单位章。补充、修改或者撤回通知书应按本章第5.2.2项规定进行密封，并在密封袋上标注“响应文件补充、修改”或“响应文件撤回通知”字样，“补充、修改文件”作为响应文件的组成部分。补充、修改内容与响应文件不一致的，以补充、修改的内容为准。</w:t>
      </w:r>
    </w:p>
    <w:p w14:paraId="3977C904">
      <w:pPr>
        <w:pageBreakBefore w:val="0"/>
        <w:kinsoku/>
        <w:wordWrap/>
        <w:overflowPunct/>
        <w:topLinePunct w:val="0"/>
        <w:bidi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5.4.3 供应商撤回响应文件的，采购代理机构自收到供应商书面撤回通知之日起5个工作日内退还已收取的磋商保证金。</w:t>
      </w:r>
    </w:p>
    <w:p w14:paraId="5CCE7F0E">
      <w:pPr>
        <w:pageBreakBefore w:val="0"/>
        <w:kinsoku/>
        <w:wordWrap/>
        <w:overflowPunct/>
        <w:topLinePunct w:val="0"/>
        <w:bidi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5.4.4 在提交响应文件截止时间之后，供应商不得对其提交的响应文件做任何补充、修改或者撤销响应文件。</w:t>
      </w:r>
    </w:p>
    <w:p w14:paraId="26E35BBB">
      <w:pPr>
        <w:pStyle w:val="7"/>
        <w:pageBreakBefore w:val="0"/>
        <w:kinsoku/>
        <w:wordWrap/>
        <w:overflowPunct/>
        <w:topLinePunct w:val="0"/>
        <w:bidi w:val="0"/>
        <w:spacing w:before="120" w:beforeLines="50" w:after="120" w:afterLines="50" w:line="400" w:lineRule="exact"/>
        <w:ind w:firstLine="0"/>
        <w:outlineLvl w:val="1"/>
        <w:rPr>
          <w:rFonts w:hint="eastAsia" w:ascii="仿宋" w:hAnsi="仿宋" w:eastAsia="仿宋" w:cs="仿宋"/>
          <w:bCs/>
          <w:color w:val="auto"/>
          <w:sz w:val="40"/>
          <w:szCs w:val="40"/>
          <w:highlight w:val="none"/>
        </w:rPr>
      </w:pPr>
      <w:bookmarkStart w:id="104" w:name="_Toc32263"/>
      <w:bookmarkStart w:id="105" w:name="_Toc14476"/>
      <w:bookmarkStart w:id="106" w:name="_Toc17756"/>
      <w:bookmarkStart w:id="107" w:name="_Toc10891"/>
      <w:bookmarkStart w:id="108" w:name="_Toc24646"/>
      <w:bookmarkStart w:id="109" w:name="_Toc12136"/>
      <w:bookmarkStart w:id="110" w:name="_Toc23249_WPSOffice_Level2"/>
      <w:r>
        <w:rPr>
          <w:rFonts w:hint="eastAsia" w:ascii="仿宋" w:hAnsi="仿宋" w:eastAsia="仿宋" w:cs="仿宋"/>
          <w:bCs/>
          <w:color w:val="auto"/>
          <w:sz w:val="40"/>
          <w:szCs w:val="40"/>
          <w:highlight w:val="none"/>
        </w:rPr>
        <w:t>6.开启响应文件</w:t>
      </w:r>
      <w:bookmarkEnd w:id="104"/>
      <w:bookmarkEnd w:id="105"/>
      <w:bookmarkEnd w:id="106"/>
      <w:bookmarkEnd w:id="107"/>
      <w:bookmarkEnd w:id="108"/>
      <w:bookmarkEnd w:id="109"/>
      <w:bookmarkEnd w:id="110"/>
    </w:p>
    <w:p w14:paraId="485A447C">
      <w:pPr>
        <w:pageBreakBefore w:val="0"/>
        <w:kinsoku/>
        <w:wordWrap/>
        <w:overflowPunct/>
        <w:topLinePunct w:val="0"/>
        <w:bidi w:val="0"/>
        <w:spacing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6.1开启响应文件的时间和地点</w:t>
      </w:r>
    </w:p>
    <w:p w14:paraId="520C30E0">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6.1.1 采购代理机构在供应商须知前附表中规定的开启响应文件时间和地点开启响应文件，并邀请采购人、所有获取磋商文件的供应商派代表准时参加并签到以证明其出席。</w:t>
      </w:r>
    </w:p>
    <w:p w14:paraId="3AC52DCF">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6.1.2 采购代理机构将邀请有关监督管理机构对开启响应文件现场进行监督。</w:t>
      </w:r>
    </w:p>
    <w:p w14:paraId="3FC57BCE">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6.1.3 提交响应文件的供应商不足3家的，不得开启响应文件。</w:t>
      </w:r>
    </w:p>
    <w:p w14:paraId="74494102">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6.2开启响应文件程序</w:t>
      </w:r>
    </w:p>
    <w:p w14:paraId="4B3F605A">
      <w:pPr>
        <w:pStyle w:val="37"/>
        <w:pageBreakBefore w:val="0"/>
        <w:kinsoku/>
        <w:wordWrap/>
        <w:overflowPunct/>
        <w:topLinePunct w:val="0"/>
        <w:bidi w:val="0"/>
        <w:spacing w:line="400" w:lineRule="exact"/>
        <w:ind w:firstLine="420"/>
        <w:rPr>
          <w:rFonts w:hint="eastAsia" w:ascii="仿宋" w:hAnsi="仿宋" w:eastAsia="仿宋" w:cs="仿宋"/>
          <w:color w:val="auto"/>
          <w:sz w:val="22"/>
          <w:szCs w:val="22"/>
          <w:highlight w:val="none"/>
        </w:rPr>
      </w:pPr>
      <w:bookmarkStart w:id="111" w:name="_Toc11229"/>
      <w:bookmarkStart w:id="112" w:name="_Toc31891_WPSOffice_Level2"/>
      <w:bookmarkStart w:id="113" w:name="_Toc4607"/>
      <w:bookmarkStart w:id="114" w:name="_Toc16495"/>
      <w:bookmarkStart w:id="115" w:name="_Toc29076"/>
      <w:bookmarkStart w:id="116" w:name="_Toc24033"/>
      <w:bookmarkStart w:id="117" w:name="_Toc13909"/>
      <w:bookmarkStart w:id="118" w:name="_Toc217446064"/>
      <w:bookmarkStart w:id="119" w:name="_Toc482201962"/>
      <w:bookmarkStart w:id="120" w:name="_Toc183582240"/>
      <w:bookmarkStart w:id="121" w:name="_Toc183682377"/>
      <w:r>
        <w:rPr>
          <w:rFonts w:hint="eastAsia" w:ascii="仿宋" w:hAnsi="仿宋" w:eastAsia="仿宋" w:cs="仿宋"/>
          <w:color w:val="auto"/>
          <w:sz w:val="22"/>
          <w:szCs w:val="22"/>
          <w:highlight w:val="none"/>
        </w:rPr>
        <w:t>6.2.1 根据财政部《政府采购竞争性磋商采购方式管理暂行办法》（财库[2014]214号）第四条和《关于政府采购有关问题的通知》（陕财办采资[2016]53号）文件第六条规定，开启响应文件和每轮磋商结束时均不公开报价。</w:t>
      </w:r>
    </w:p>
    <w:p w14:paraId="0D1DAFA4">
      <w:pPr>
        <w:pStyle w:val="37"/>
        <w:pageBreakBefore w:val="0"/>
        <w:kinsoku/>
        <w:wordWrap/>
        <w:overflowPunct/>
        <w:topLinePunct w:val="0"/>
        <w:bidi w:val="0"/>
        <w:spacing w:line="400" w:lineRule="exact"/>
        <w:ind w:firstLine="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6.2.2开启响应文件由采购代理机构主持。主持人按照磋商文件规定的开启响应文件时间宣布开启响应文件开始，并按下列程序进行（但不限于）：</w:t>
      </w:r>
    </w:p>
    <w:p w14:paraId="6D2AD17A">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（1）宣布开启响应文件开始和开启录音录像设备并致辞；</w:t>
      </w:r>
    </w:p>
    <w:p w14:paraId="6F9AC3AE">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（2）宣布开启响应文件纪律和有关注意事项；</w:t>
      </w:r>
    </w:p>
    <w:p w14:paraId="25B439A6">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（3）公布在提交响应文件截止时间前提交响应文件的供应商名称（根据供应商签到表）；</w:t>
      </w:r>
    </w:p>
    <w:p w14:paraId="4924C8D6">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（4）宣布参加开启响应文件的现场监督人员和主持人、</w:t>
      </w:r>
      <w:r>
        <w:rPr>
          <w:rFonts w:hint="eastAsia" w:ascii="仿宋" w:hAnsi="仿宋" w:eastAsia="仿宋" w:cs="仿宋"/>
          <w:color w:val="auto"/>
          <w:sz w:val="22"/>
          <w:szCs w:val="22"/>
          <w:highlight w:val="none"/>
          <w:lang w:val="en-US" w:eastAsia="zh-CN"/>
        </w:rPr>
        <w:t>开标人</w:t>
      </w:r>
      <w:r>
        <w:rPr>
          <w:rFonts w:hint="eastAsia" w:ascii="仿宋" w:hAnsi="仿宋" w:eastAsia="仿宋" w:cs="仿宋"/>
          <w:color w:val="auto"/>
          <w:sz w:val="22"/>
          <w:szCs w:val="22"/>
          <w:highlight w:val="none"/>
        </w:rPr>
        <w:t>等有关工作人员姓名；</w:t>
      </w:r>
    </w:p>
    <w:p w14:paraId="0CE07A41">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（5）检查并宣布响应文件的密封情况； </w:t>
      </w:r>
    </w:p>
    <w:p w14:paraId="795DE752">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（6）启封响应文件；</w:t>
      </w:r>
    </w:p>
    <w:p w14:paraId="2697780B">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（7）启封响应文件结束，供应商退场；</w:t>
      </w:r>
    </w:p>
    <w:p w14:paraId="1BE11A94">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）开启响应文件结束。</w:t>
      </w:r>
    </w:p>
    <w:p w14:paraId="22189378">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6.2.3 所有提交了响应文件的供应商在退场后，不要远离会场并保持通讯设备的畅通，以方便后续磋商和在评审过程中磋商小组要求供应商对响应文件的必要澄清。</w:t>
      </w:r>
    </w:p>
    <w:p w14:paraId="38402019">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6.2.4 检查响应文件密封情况是指，由供应商或者其推选的代表检查其自己提交的响应文件的密封情况，经检查无误后，签字确认。</w:t>
      </w:r>
    </w:p>
    <w:p w14:paraId="269E9426">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6.2.5 供应商或者其推选的代表确认响应文件情况，仅限于确认其自己提交的响应文件的密封情况，不代表对其他供应商的响应文件的密封情况确认。供应商或者其推选的代表检对其他供应商的响应文件密封情况有异议的，可以当场反映开启响应文件主持人或者现场监督人员，要求开启响应文件现场记录人员予以记录，但不得干扰、阻挠开启响应文件工作的正常进行。</w:t>
      </w:r>
    </w:p>
    <w:p w14:paraId="00319E43">
      <w:pPr>
        <w:pageBreakBefore w:val="0"/>
        <w:kinsoku/>
        <w:wordWrap/>
        <w:overflowPunct/>
        <w:topLinePunct w:val="0"/>
        <w:bidi w:val="0"/>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6.2.6 供应商认为采购人、采购代理机构相关工作人员有需要回避情形的，应当场提出询问或者回避申请。采购人、采购代理机构对供应商提出的询问或者回避申请应当及时处理，并制作记录。</w:t>
      </w:r>
    </w:p>
    <w:p w14:paraId="68C594E6">
      <w:pPr>
        <w:pStyle w:val="7"/>
        <w:pageBreakBefore w:val="0"/>
        <w:kinsoku/>
        <w:wordWrap/>
        <w:overflowPunct/>
        <w:topLinePunct w:val="0"/>
        <w:bidi w:val="0"/>
        <w:spacing w:before="120" w:beforeLines="50" w:after="120" w:afterLines="50" w:line="400" w:lineRule="exact"/>
        <w:ind w:firstLine="0"/>
        <w:outlineLvl w:val="1"/>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7.磋商</w:t>
      </w:r>
      <w:bookmarkEnd w:id="111"/>
      <w:bookmarkEnd w:id="112"/>
      <w:bookmarkEnd w:id="113"/>
      <w:bookmarkEnd w:id="114"/>
      <w:bookmarkEnd w:id="115"/>
      <w:bookmarkEnd w:id="116"/>
      <w:bookmarkEnd w:id="117"/>
    </w:p>
    <w:p w14:paraId="09EE52F1">
      <w:pPr>
        <w:pageBreakBefore w:val="0"/>
        <w:kinsoku/>
        <w:wordWrap/>
        <w:overflowPunct/>
        <w:topLinePunct w:val="0"/>
        <w:bidi w:val="0"/>
        <w:spacing w:before="120" w:beforeLines="50" w:after="120" w:afterLines="50" w:line="400" w:lineRule="exact"/>
        <w:ind w:left="121" w:leftChars="50" w:hanging="16" w:hangingChars="5"/>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7.1磋商小组</w:t>
      </w:r>
    </w:p>
    <w:p w14:paraId="0A8E878B">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7.1.1 磋商由采购代理机构依法组建的磋商小组负责。磋商小组由评审专家组成，成员由3人以上单数组成，或者达到公开招标限额标准的项目由5人以上单数组成，或者采购预算金额在1000万元以上、技术复杂的项目或者社会影响较大的项目由7人以上单数组成，其中评审专家不得少于成员总数的三分之二。采购人代表不得以评审专家身份参加本单位或者本部门采购项目的评审。</w:t>
      </w:r>
    </w:p>
    <w:p w14:paraId="0739F768">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7.1.2 评审专家应当从省级财政部门设立的政府采购评审专家库内相关专业的专家名单中随机抽取。对技术复杂、专业性强的采购项目，通过随机方式难以确定合适评审专家的，经主管预算单位同意，采购人或采购代理机构可以自行选定相应专业领域的评审专家。技术复杂、专业性强的采购项目，评审专家中应当包括1名法律专家。</w:t>
      </w:r>
    </w:p>
    <w:p w14:paraId="22072938">
      <w:pPr>
        <w:pageBreakBefore w:val="0"/>
        <w:kinsoku/>
        <w:wordWrap/>
        <w:overflowPunct/>
        <w:topLinePunct w:val="0"/>
        <w:bidi w:val="0"/>
        <w:spacing w:line="400" w:lineRule="exact"/>
        <w:ind w:left="120" w:leftChars="57"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7.1.3 磋商小组成员到位后，推荐一名评审专家担任磋商小组组长，并由磋商小组组长牵头组织本项目磋商工作。采购人代表，不得担任磋商小组组长。</w:t>
      </w:r>
    </w:p>
    <w:p w14:paraId="393C8B4F">
      <w:pPr>
        <w:pageBreakBefore w:val="0"/>
        <w:kinsoku/>
        <w:wordWrap/>
        <w:overflowPunct/>
        <w:topLinePunct w:val="0"/>
        <w:bidi w:val="0"/>
        <w:spacing w:line="400" w:lineRule="exact"/>
        <w:ind w:left="120" w:leftChars="57"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7.1.4 磋商小组成员有下列情形之一的，应当回避：</w:t>
      </w:r>
    </w:p>
    <w:p w14:paraId="152B4431">
      <w:pPr>
        <w:pageBreakBefore w:val="0"/>
        <w:kinsoku/>
        <w:wordWrap/>
        <w:overflowPunct/>
        <w:topLinePunct w:val="0"/>
        <w:bidi w:val="0"/>
        <w:spacing w:line="400" w:lineRule="exact"/>
        <w:ind w:left="120" w:leftChars="57"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（1）采购人或供应商的主要负责人的近亲属；</w:t>
      </w:r>
    </w:p>
    <w:p w14:paraId="38868EE2">
      <w:pPr>
        <w:pageBreakBefore w:val="0"/>
        <w:kinsoku/>
        <w:wordWrap/>
        <w:overflowPunct/>
        <w:topLinePunct w:val="0"/>
        <w:bidi w:val="0"/>
        <w:spacing w:line="400" w:lineRule="exact"/>
        <w:ind w:left="120" w:leftChars="57"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（2）与供应商有经济利益关系，可能影响对响应文件公正评审的；</w:t>
      </w:r>
    </w:p>
    <w:p w14:paraId="49FCF3DF">
      <w:pPr>
        <w:pageBreakBefore w:val="0"/>
        <w:kinsoku/>
        <w:wordWrap/>
        <w:overflowPunct/>
        <w:topLinePunct w:val="0"/>
        <w:bidi w:val="0"/>
        <w:spacing w:line="400" w:lineRule="exact"/>
        <w:ind w:left="120" w:leftChars="57"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（3）曾因在招标、评审以及其他与招标磋商有关活动中从事违法行为而受过行政处罚或刑事处罚的。</w:t>
      </w:r>
    </w:p>
    <w:p w14:paraId="7CEA17F2">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lang w:val="zh-CN"/>
        </w:rPr>
      </w:pPr>
      <w:r>
        <w:rPr>
          <w:rFonts w:hint="eastAsia" w:ascii="仿宋" w:hAnsi="仿宋" w:eastAsia="仿宋" w:cs="仿宋"/>
          <w:color w:val="auto"/>
          <w:sz w:val="22"/>
          <w:szCs w:val="22"/>
          <w:highlight w:val="none"/>
        </w:rPr>
        <w:t xml:space="preserve">7.1.5 </w:t>
      </w:r>
      <w:r>
        <w:rPr>
          <w:rFonts w:hint="eastAsia" w:ascii="仿宋" w:hAnsi="仿宋" w:eastAsia="仿宋" w:cs="仿宋"/>
          <w:color w:val="auto"/>
          <w:kern w:val="0"/>
          <w:sz w:val="22"/>
          <w:szCs w:val="28"/>
          <w:highlight w:val="none"/>
        </w:rPr>
        <w:t>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起响应文件、磋商和评审资料，依法重新组建磋商小组进行磋商。原磋商小组所作出的评审意见无效。</w:t>
      </w:r>
      <w:r>
        <w:rPr>
          <w:rFonts w:hint="eastAsia" w:ascii="仿宋" w:hAnsi="仿宋" w:eastAsia="仿宋" w:cs="仿宋"/>
          <w:color w:val="auto"/>
          <w:kern w:val="0"/>
          <w:sz w:val="22"/>
          <w:szCs w:val="28"/>
          <w:highlight w:val="none"/>
          <w:lang w:val="zh-CN"/>
        </w:rPr>
        <w:t>采购代理机构</w:t>
      </w:r>
      <w:r>
        <w:rPr>
          <w:rFonts w:hint="eastAsia" w:ascii="仿宋" w:hAnsi="仿宋" w:eastAsia="仿宋" w:cs="仿宋"/>
          <w:color w:val="auto"/>
          <w:kern w:val="0"/>
          <w:sz w:val="22"/>
          <w:szCs w:val="28"/>
          <w:highlight w:val="none"/>
        </w:rPr>
        <w:t>应当将变更、重新组建磋商小组的情况予以记录，并随采购文件一并存档。</w:t>
      </w:r>
    </w:p>
    <w:p w14:paraId="26FC7C27">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7.1.6 磋商小组成员名单在成交结果公告前，应当保密。</w:t>
      </w:r>
    </w:p>
    <w:p w14:paraId="1D751A4B">
      <w:pPr>
        <w:pageBreakBefore w:val="0"/>
        <w:widowControl/>
        <w:kinsoku/>
        <w:wordWrap/>
        <w:overflowPunct/>
        <w:topLinePunct w:val="0"/>
        <w:autoSpaceDE w:val="0"/>
        <w:autoSpaceDN w:val="0"/>
        <w:bidi w:val="0"/>
        <w:spacing w:line="400" w:lineRule="exact"/>
        <w:ind w:right="51" w:firstLine="440" w:firstLineChars="200"/>
        <w:textAlignment w:val="bottom"/>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7.1.7 磋商小组及其成员，在磋商中不得有下列行为：</w:t>
      </w:r>
    </w:p>
    <w:p w14:paraId="49E14C0A">
      <w:pPr>
        <w:pStyle w:val="26"/>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（1）确定参与磋商至磋商结束前私自接触供应商；</w:t>
      </w:r>
    </w:p>
    <w:p w14:paraId="73476D4E">
      <w:pPr>
        <w:pStyle w:val="26"/>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（2）接受供应商提出的与响应文件不一致的澄清和说明；</w:t>
      </w:r>
    </w:p>
    <w:p w14:paraId="64DF51B6">
      <w:pPr>
        <w:pStyle w:val="26"/>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（3）征询采购人的倾向性意见；</w:t>
      </w:r>
    </w:p>
    <w:p w14:paraId="0D85AFF3">
      <w:pPr>
        <w:pStyle w:val="26"/>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（4）对主观评审因素协商评分；</w:t>
      </w:r>
    </w:p>
    <w:p w14:paraId="219B25A2">
      <w:pPr>
        <w:pStyle w:val="26"/>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（5）对客观评审因素评分不一致；</w:t>
      </w:r>
    </w:p>
    <w:p w14:paraId="452A4C6C">
      <w:pPr>
        <w:pStyle w:val="26"/>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（6）在磋商过程中擅离职守，影响磋商程序正常进行的；</w:t>
      </w:r>
    </w:p>
    <w:p w14:paraId="209085E3">
      <w:pPr>
        <w:pStyle w:val="26"/>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（7）记录、复制或带走任何评审资料；</w:t>
      </w:r>
    </w:p>
    <w:p w14:paraId="4A7A6D20">
      <w:pPr>
        <w:pageBreakBefore w:val="0"/>
        <w:widowControl/>
        <w:kinsoku/>
        <w:wordWrap/>
        <w:overflowPunct/>
        <w:topLinePunct w:val="0"/>
        <w:bidi w:val="0"/>
        <w:spacing w:line="400" w:lineRule="exact"/>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8"/>
          <w:highlight w:val="none"/>
        </w:rPr>
        <w:t>（</w:t>
      </w:r>
      <w:r>
        <w:rPr>
          <w:rFonts w:hint="eastAsia" w:ascii="仿宋" w:hAnsi="仿宋" w:eastAsia="仿宋" w:cs="仿宋"/>
          <w:color w:val="auto"/>
          <w:sz w:val="22"/>
          <w:szCs w:val="22"/>
          <w:highlight w:val="none"/>
        </w:rPr>
        <w:t>8</w:t>
      </w:r>
      <w:r>
        <w:rPr>
          <w:rFonts w:hint="eastAsia" w:ascii="仿宋" w:hAnsi="仿宋" w:eastAsia="仿宋" w:cs="仿宋"/>
          <w:color w:val="auto"/>
          <w:sz w:val="22"/>
          <w:szCs w:val="28"/>
          <w:highlight w:val="none"/>
        </w:rPr>
        <w:t>）</w:t>
      </w:r>
      <w:r>
        <w:rPr>
          <w:rFonts w:hint="eastAsia" w:ascii="仿宋" w:hAnsi="仿宋" w:eastAsia="仿宋" w:cs="仿宋"/>
          <w:color w:val="auto"/>
          <w:kern w:val="0"/>
          <w:sz w:val="22"/>
          <w:szCs w:val="22"/>
          <w:highlight w:val="none"/>
        </w:rPr>
        <w:t>其他不遵守评审纪律的行为。</w:t>
      </w:r>
    </w:p>
    <w:p w14:paraId="5B30AE29">
      <w:pPr>
        <w:pageBreakBefore w:val="0"/>
        <w:widowControl/>
        <w:kinsoku/>
        <w:wordWrap/>
        <w:overflowPunct/>
        <w:topLinePunct w:val="0"/>
        <w:bidi w:val="0"/>
        <w:spacing w:line="400" w:lineRule="exact"/>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磋商小组成员有前款第一至四项行为之一的，其评审意见无效，</w:t>
      </w:r>
      <w:r>
        <w:rPr>
          <w:rFonts w:hint="eastAsia" w:ascii="仿宋" w:hAnsi="仿宋" w:eastAsia="仿宋" w:cs="仿宋"/>
          <w:color w:val="auto"/>
          <w:kern w:val="0"/>
          <w:sz w:val="22"/>
          <w:szCs w:val="22"/>
          <w:highlight w:val="none"/>
        </w:rPr>
        <w:t>并不得获取评审劳务报酬和报销异地评审差旅费。</w:t>
      </w:r>
    </w:p>
    <w:p w14:paraId="12A5D2B6">
      <w:pPr>
        <w:pageBreakBefore w:val="0"/>
        <w:kinsoku/>
        <w:wordWrap/>
        <w:overflowPunct/>
        <w:topLinePunct w:val="0"/>
        <w:bidi w:val="0"/>
        <w:spacing w:before="120" w:beforeLines="50" w:after="120" w:afterLines="50" w:line="400" w:lineRule="exact"/>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7.2磋商原则</w:t>
      </w:r>
    </w:p>
    <w:p w14:paraId="6F00F676">
      <w:pPr>
        <w:pageBreakBefore w:val="0"/>
        <w:tabs>
          <w:tab w:val="left" w:pos="0"/>
        </w:tabs>
        <w:kinsoku/>
        <w:wordWrap/>
        <w:overflowPunct/>
        <w:topLinePunct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7.2.1“客观、公正、审慎”为本次磋商的基本原则，磋商小组按照这一原则的要求，公正、平等地对待各供应商。同时，在磋商中恪守以下原则：</w:t>
      </w:r>
    </w:p>
    <w:p w14:paraId="3FF63625">
      <w:pPr>
        <w:pageBreakBefore w:val="0"/>
        <w:tabs>
          <w:tab w:val="left" w:pos="0"/>
        </w:tabs>
        <w:kinsoku/>
        <w:wordWrap/>
        <w:overflowPunct/>
        <w:topLinePunct w:val="0"/>
        <w:bidi w:val="0"/>
        <w:adjustRightInd w:val="0"/>
        <w:snapToGrid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（1）统一性原则：磋商小组将按照统一的磋商原则和方法，用统一标准进行评审。</w:t>
      </w:r>
    </w:p>
    <w:p w14:paraId="6F3F53C0">
      <w:pPr>
        <w:pageBreakBefore w:val="0"/>
        <w:tabs>
          <w:tab w:val="left" w:pos="0"/>
        </w:tabs>
        <w:kinsoku/>
        <w:wordWrap/>
        <w:overflowPunct/>
        <w:topLinePunct w:val="0"/>
        <w:bidi w:val="0"/>
        <w:adjustRightInd w:val="0"/>
        <w:snapToGrid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（2）独立性原则:磋商工作在磋商小组内部独立进行，不受外界任何因素的干扰和影响。磋商小组成员对其出具的意见承担个人责任。</w:t>
      </w:r>
      <w:r>
        <w:rPr>
          <w:rFonts w:hint="eastAsia" w:ascii="仿宋" w:hAnsi="仿宋" w:eastAsia="仿宋" w:cs="仿宋"/>
          <w:color w:val="auto"/>
          <w:kern w:val="0"/>
          <w:sz w:val="22"/>
          <w:szCs w:val="22"/>
          <w:highlight w:val="none"/>
        </w:rPr>
        <w:t>供应商试图影响或干预评审的任何行为，将导致其丧失磋商的资格，并承担相应的法律责任。</w:t>
      </w:r>
    </w:p>
    <w:p w14:paraId="03243811">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（3）物有所值原则：通过首轮的磋商报价，激发供应商展开竞争，进一步优化方案，并使报价符合预期目标。</w:t>
      </w:r>
    </w:p>
    <w:p w14:paraId="3458E981">
      <w:pPr>
        <w:pageBreakBefore w:val="0"/>
        <w:tabs>
          <w:tab w:val="left" w:pos="0"/>
        </w:tabs>
        <w:kinsoku/>
        <w:wordWrap/>
        <w:overflowPunct/>
        <w:topLinePunct w:val="0"/>
        <w:bidi w:val="0"/>
        <w:adjustRightInd w:val="0"/>
        <w:snapToGrid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（4）客观性原则：磋商小组将严格按照磋商文件要求，对供应商的响应文件进行认真评审；磋商小组对响应文件的评审仅依据响应文件本身，而不依据响应文件以外的任何因素。</w:t>
      </w:r>
    </w:p>
    <w:p w14:paraId="73BE06D1">
      <w:pPr>
        <w:pageBreakBefore w:val="0"/>
        <w:tabs>
          <w:tab w:val="left" w:pos="0"/>
        </w:tabs>
        <w:kinsoku/>
        <w:wordWrap/>
        <w:overflowPunct/>
        <w:topLinePunct w:val="0"/>
        <w:bidi w:val="0"/>
        <w:adjustRightInd w:val="0"/>
        <w:snapToGrid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（5）保密性原则：采购代理机构应当采取必要的措施，保证评审在严格保密情况下进行。</w:t>
      </w:r>
    </w:p>
    <w:p w14:paraId="54D8A9FB">
      <w:pPr>
        <w:pageBreakBefore w:val="0"/>
        <w:tabs>
          <w:tab w:val="left" w:pos="0"/>
        </w:tabs>
        <w:kinsoku/>
        <w:wordWrap/>
        <w:overflowPunct/>
        <w:topLinePunct w:val="0"/>
        <w:bidi w:val="0"/>
        <w:adjustRightInd w:val="0"/>
        <w:snapToGrid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（6）综合性原则:磋商小组将综合分析、评审供应商的各项指标，而不以单项指标的优劣评定出成交供应商。</w:t>
      </w:r>
    </w:p>
    <w:p w14:paraId="0C6809B2">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7.2.2 磋商小组有权对整个磋商和评审过程中出现的所有问题，可根据《中华人民共和国政府采购法》及实施条例和《政府采购竞争性磋商采购方式管理暂行办法》等相关规定进行处理。</w:t>
      </w:r>
    </w:p>
    <w:p w14:paraId="1C4C458F">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7.3磋商</w:t>
      </w:r>
    </w:p>
    <w:p w14:paraId="1CA63B79">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bookmarkStart w:id="122" w:name="_Toc29298"/>
      <w:bookmarkStart w:id="123" w:name="_Toc9593"/>
      <w:bookmarkStart w:id="124" w:name="_Toc14147"/>
      <w:bookmarkStart w:id="125" w:name="_Toc7318_WPSOffice_Level2"/>
      <w:bookmarkStart w:id="126" w:name="_Toc24076"/>
      <w:bookmarkStart w:id="127" w:name="_Toc25"/>
      <w:bookmarkStart w:id="128" w:name="_Toc15700"/>
      <w:r>
        <w:rPr>
          <w:rFonts w:hint="eastAsia" w:ascii="仿宋" w:hAnsi="仿宋" w:eastAsia="仿宋" w:cs="仿宋"/>
          <w:color w:val="auto"/>
          <w:sz w:val="22"/>
          <w:szCs w:val="22"/>
          <w:highlight w:val="none"/>
        </w:rPr>
        <w:t>7.3.1 磋商小组根据磋商文件第三章“磋商办法”规定的方法、评审因素、标准和程序，在与单一供应商进行反复磋商的基础上，对其响应文件进行评审。第三章“磋商办法”没有规定的方法、评审因素和标准，不作为评审依据。</w:t>
      </w:r>
    </w:p>
    <w:p w14:paraId="7A3EF4C3">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7.3.2 磋商小组负责具体磋商事务，并独立履行下列职责：</w:t>
      </w:r>
    </w:p>
    <w:p w14:paraId="6243EE5D">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（1）审查、评价响应文件是否符合磋商文件的商务、技术、服务等实质性要求；</w:t>
      </w:r>
    </w:p>
    <w:p w14:paraId="2800E4A7">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（2）要求供应商对响应文件有关事项作出澄清或者说明；</w:t>
      </w:r>
    </w:p>
    <w:p w14:paraId="7E68C190">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（3）与合格的供应商分别就技术和商务事务进行磋商；</w:t>
      </w:r>
    </w:p>
    <w:p w14:paraId="64BEE61E">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（4）对响应文件进行比较和评价；</w:t>
      </w:r>
    </w:p>
    <w:p w14:paraId="1AE07896">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（5）推荐成交候选人名单，或者根据采购人委托直接确定成交供应商；</w:t>
      </w:r>
    </w:p>
    <w:p w14:paraId="6F0B6EDE">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（6）向采购人、采购代理机构或者有关部门报告非法干预磋商工作的行为。</w:t>
      </w:r>
    </w:p>
    <w:p w14:paraId="7C66B99B">
      <w:pPr>
        <w:pStyle w:val="41"/>
        <w:pageBreakBefore w:val="0"/>
        <w:kinsoku/>
        <w:wordWrap/>
        <w:overflowPunct/>
        <w:topLinePunct w:val="0"/>
        <w:bidi w:val="0"/>
        <w:snapToGrid w:val="0"/>
        <w:spacing w:before="0" w:beforeAutospacing="0" w:after="0" w:afterAutospacing="0"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7.3.3磋商小组成员应当履行下列义务：</w:t>
      </w:r>
    </w:p>
    <w:p w14:paraId="292398F9">
      <w:pPr>
        <w:pStyle w:val="41"/>
        <w:pageBreakBefore w:val="0"/>
        <w:kinsoku/>
        <w:wordWrap/>
        <w:overflowPunct/>
        <w:topLinePunct w:val="0"/>
        <w:bidi w:val="0"/>
        <w:snapToGrid w:val="0"/>
        <w:spacing w:before="0" w:beforeAutospacing="0" w:after="0" w:afterAutospacing="0"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（1）遵纪守法，客观、公正、廉洁地履行职责；</w:t>
      </w:r>
    </w:p>
    <w:p w14:paraId="0E55E3CC">
      <w:pPr>
        <w:pStyle w:val="41"/>
        <w:pageBreakBefore w:val="0"/>
        <w:kinsoku/>
        <w:wordWrap/>
        <w:overflowPunct/>
        <w:topLinePunct w:val="0"/>
        <w:bidi w:val="0"/>
        <w:snapToGrid w:val="0"/>
        <w:spacing w:before="0" w:beforeAutospacing="0" w:after="0" w:afterAutospacing="0"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（2）根据采购文件的规定独立进行评审，对个人的评审意见承担法律责任；</w:t>
      </w:r>
    </w:p>
    <w:p w14:paraId="06C714E0">
      <w:pPr>
        <w:pStyle w:val="41"/>
        <w:pageBreakBefore w:val="0"/>
        <w:kinsoku/>
        <w:wordWrap/>
        <w:overflowPunct/>
        <w:topLinePunct w:val="0"/>
        <w:bidi w:val="0"/>
        <w:snapToGrid w:val="0"/>
        <w:spacing w:before="0" w:beforeAutospacing="0" w:after="0" w:afterAutospacing="0"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（3）参与评审报告的起草；</w:t>
      </w:r>
    </w:p>
    <w:p w14:paraId="4DB9FF9E">
      <w:pPr>
        <w:pStyle w:val="41"/>
        <w:pageBreakBefore w:val="0"/>
        <w:kinsoku/>
        <w:wordWrap/>
        <w:overflowPunct/>
        <w:topLinePunct w:val="0"/>
        <w:bidi w:val="0"/>
        <w:snapToGrid w:val="0"/>
        <w:spacing w:before="0" w:beforeAutospacing="0" w:after="0" w:afterAutospacing="0"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（4）配合采购人、采购代理机构答复供应商提出的质疑；</w:t>
      </w:r>
    </w:p>
    <w:p w14:paraId="3948E147">
      <w:pPr>
        <w:pStyle w:val="41"/>
        <w:pageBreakBefore w:val="0"/>
        <w:kinsoku/>
        <w:wordWrap/>
        <w:overflowPunct/>
        <w:topLinePunct w:val="0"/>
        <w:bidi w:val="0"/>
        <w:snapToGrid w:val="0"/>
        <w:spacing w:before="0" w:beforeAutospacing="0" w:after="0" w:afterAutospacing="0"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（5）配合财政部门的投诉处理和监督检查工作。</w:t>
      </w:r>
    </w:p>
    <w:p w14:paraId="133AB01E">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7.3.4 采购代理机构负责组织磋商工作并履行下列职责：</w:t>
      </w:r>
    </w:p>
    <w:p w14:paraId="1C5FDF4F">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（1）核对评审专家身份和采购人代表授权函，对评审专家在政府采购活动中的职责履行情况予以记录，并及时将有关违法违规行为向财政部门报告；</w:t>
      </w:r>
    </w:p>
    <w:p w14:paraId="6E6445BE">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（2）宣布磋商纪律；</w:t>
      </w:r>
    </w:p>
    <w:p w14:paraId="69D36C81">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（3）公布提交了响应文件的供应商名单，告知评审专家应当回避的情形；</w:t>
      </w:r>
    </w:p>
    <w:p w14:paraId="0294585B">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（4）组织磋商小组成员推选磋商小组组长，采购人代表不得担任组长；</w:t>
      </w:r>
    </w:p>
    <w:p w14:paraId="7A27E9F3">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（5）在磋商期间采取必要的通讯管理措施，保证磋商活动不受外界干扰；</w:t>
      </w:r>
    </w:p>
    <w:p w14:paraId="4FAC7E4F">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（6）根据磋商小组的要求介绍政府采购相关政策法规、磋商文件；</w:t>
      </w:r>
    </w:p>
    <w:p w14:paraId="45FDFB03">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（7）维护磋商秩序，监督磋商小组依照磋商文件规定的磋商程序、评审方法和标准进行独立评审，对采购人代表、磋商小组成员的倾向性言论或违法违规行为及时制止和纠正；</w:t>
      </w:r>
    </w:p>
    <w:p w14:paraId="5AA6CE43">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（8）核对评审结果，有《政府采购竞争性磋商采购方式暂行管理办法》第三十二条第一款规定情形的，要求磋商小组复核或书面说明理由，磋商小组拒绝的，应予记录并向采购人本级财政部门报告；</w:t>
      </w:r>
    </w:p>
    <w:p w14:paraId="3BA70495">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（9）磋商工作完成后，按照规定向评审专家支付劳务报酬和异地评审差旅费，不得向评审专家以外的其他人员支付评审劳务报酬；</w:t>
      </w:r>
    </w:p>
    <w:p w14:paraId="78193DF9">
      <w:pPr>
        <w:pageBreakBefore w:val="0"/>
        <w:kinsoku/>
        <w:wordWrap/>
        <w:overflowPunct/>
        <w:topLinePunct w:val="0"/>
        <w:autoSpaceDE w:val="0"/>
        <w:autoSpaceDN w:val="0"/>
        <w:bidi w:val="0"/>
        <w:spacing w:line="400" w:lineRule="exact"/>
        <w:ind w:firstLine="440" w:firstLineChars="2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（10）处理与磋商有关的其他事项。</w:t>
      </w:r>
    </w:p>
    <w:p w14:paraId="47AAF04B">
      <w:pPr>
        <w:pageBreakBefore w:val="0"/>
        <w:kinsoku/>
        <w:wordWrap/>
        <w:overflowPunct/>
        <w:topLinePunct w:val="0"/>
        <w:autoSpaceDE w:val="0"/>
        <w:autoSpaceDN w:val="0"/>
        <w:bidi w:val="0"/>
        <w:spacing w:line="400" w:lineRule="exact"/>
        <w:ind w:firstLine="660" w:firstLineChars="300"/>
        <w:rPr>
          <w:rFonts w:hint="eastAsia" w:ascii="仿宋" w:hAnsi="仿宋" w:eastAsia="仿宋" w:cs="仿宋"/>
          <w:color w:val="auto"/>
          <w:kern w:val="0"/>
          <w:sz w:val="22"/>
          <w:szCs w:val="28"/>
          <w:highlight w:val="none"/>
        </w:rPr>
      </w:pPr>
      <w:r>
        <w:rPr>
          <w:rFonts w:hint="eastAsia" w:ascii="仿宋" w:hAnsi="仿宋" w:eastAsia="仿宋" w:cs="仿宋"/>
          <w:color w:val="auto"/>
          <w:kern w:val="0"/>
          <w:sz w:val="22"/>
          <w:szCs w:val="28"/>
          <w:highlight w:val="none"/>
        </w:rPr>
        <w:t>7.3.5 采购人可以在磋商前介绍项目背景和采购需求，介绍内容不得含有歧视性、倾向性意见，不得超出磋商文件所述范围。介绍应当提交书面介绍材料，并随采购文件一并存档。</w:t>
      </w:r>
    </w:p>
    <w:p w14:paraId="586A2DD6">
      <w:pPr>
        <w:pageBreakBefore w:val="0"/>
        <w:kinsoku/>
        <w:wordWrap/>
        <w:overflowPunct/>
        <w:topLinePunct w:val="0"/>
        <w:bidi w:val="0"/>
        <w:spacing w:line="400" w:lineRule="exact"/>
        <w:ind w:left="120" w:leftChars="57"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7.3.6 磋商过程严格保密</w:t>
      </w:r>
    </w:p>
    <w:p w14:paraId="05F3272A">
      <w:pPr>
        <w:pageBreakBefore w:val="0"/>
        <w:kinsoku/>
        <w:wordWrap/>
        <w:overflowPunct/>
        <w:topLinePunct w:val="0"/>
        <w:autoSpaceDE w:val="0"/>
        <w:autoSpaceDN w:val="0"/>
        <w:bidi w:val="0"/>
        <w:spacing w:line="400" w:lineRule="exact"/>
        <w:ind w:firstLine="660" w:firstLineChars="300"/>
        <w:rPr>
          <w:rFonts w:hint="eastAsia" w:ascii="仿宋" w:hAnsi="仿宋" w:eastAsia="仿宋" w:cs="仿宋"/>
          <w:color w:val="auto"/>
          <w:kern w:val="0"/>
          <w:sz w:val="22"/>
          <w:szCs w:val="28"/>
          <w:highlight w:val="none"/>
        </w:rPr>
      </w:pPr>
      <w:r>
        <w:rPr>
          <w:rFonts w:hint="eastAsia" w:ascii="仿宋" w:hAnsi="仿宋" w:eastAsia="仿宋" w:cs="仿宋"/>
          <w:color w:val="auto"/>
          <w:sz w:val="22"/>
          <w:szCs w:val="22"/>
          <w:highlight w:val="none"/>
        </w:rPr>
        <w:t xml:space="preserve">7.3.6.1 </w:t>
      </w:r>
      <w:r>
        <w:rPr>
          <w:rFonts w:hint="eastAsia" w:ascii="仿宋" w:hAnsi="仿宋" w:eastAsia="仿宋" w:cs="仿宋"/>
          <w:color w:val="auto"/>
          <w:kern w:val="0"/>
          <w:sz w:val="22"/>
          <w:szCs w:val="28"/>
          <w:highlight w:val="none"/>
        </w:rPr>
        <w:t>采购人、采购代理机构应当采取必要措施，保证磋商在严格保密的情况下进行。除采购人代表、磋商现场组织人员外，采购人的其他工作人员以及与磋商工作无关的人员不得进入磋商现场。</w:t>
      </w:r>
    </w:p>
    <w:p w14:paraId="49201D48">
      <w:pPr>
        <w:pageBreakBefore w:val="0"/>
        <w:kinsoku/>
        <w:wordWrap/>
        <w:overflowPunct/>
        <w:topLinePunct w:val="0"/>
        <w:autoSpaceDE w:val="0"/>
        <w:autoSpaceDN w:val="0"/>
        <w:bidi w:val="0"/>
        <w:spacing w:line="40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8"/>
          <w:highlight w:val="none"/>
        </w:rPr>
        <w:t>7.3.6.2 有关人员对磋商情况以及在磋商过程中获悉的国家秘密、商业秘密负有保密责任。</w:t>
      </w:r>
      <w:r>
        <w:rPr>
          <w:rFonts w:hint="eastAsia" w:ascii="仿宋" w:hAnsi="仿宋" w:eastAsia="仿宋" w:cs="仿宋"/>
          <w:color w:val="auto"/>
          <w:sz w:val="22"/>
          <w:szCs w:val="22"/>
          <w:highlight w:val="none"/>
        </w:rPr>
        <w:t>开启响应文件后，直至授予成交供应商合同为止，凡属于对响应文件的审查、澄清、评价和比较的有关资料以及成交候选人的推荐情况，与磋商有关的其他任何情况均严格保密。</w:t>
      </w:r>
    </w:p>
    <w:p w14:paraId="3DE2AAC7">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7.3.7 供应商对磋商小组的磋商过程或合同授予决定施加影响的任何行为都可能导致其响应文件无效。</w:t>
      </w:r>
    </w:p>
    <w:p w14:paraId="1DC3DA56">
      <w:pPr>
        <w:pageBreakBefore w:val="0"/>
        <w:tabs>
          <w:tab w:val="left" w:pos="426"/>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7.3.8 磋商完成后，磋商小组应当向采购人提交书面评审报告，并由采购代理机构转送。</w:t>
      </w:r>
    </w:p>
    <w:p w14:paraId="25A45B7C">
      <w:pPr>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8</w:t>
      </w:r>
      <w:bookmarkStart w:id="129" w:name="_Toc217446061"/>
      <w:r>
        <w:rPr>
          <w:rFonts w:hint="eastAsia" w:ascii="仿宋" w:hAnsi="仿宋" w:eastAsia="仿宋" w:cs="仿宋"/>
          <w:color w:val="auto"/>
          <w:sz w:val="40"/>
          <w:szCs w:val="40"/>
          <w:highlight w:val="none"/>
        </w:rPr>
        <w:t>.确定成交供应商</w:t>
      </w:r>
      <w:bookmarkEnd w:id="122"/>
      <w:bookmarkEnd w:id="123"/>
      <w:bookmarkEnd w:id="124"/>
      <w:bookmarkEnd w:id="125"/>
      <w:bookmarkEnd w:id="126"/>
      <w:bookmarkEnd w:id="127"/>
      <w:bookmarkEnd w:id="128"/>
    </w:p>
    <w:p w14:paraId="7ACFD7F4">
      <w:pPr>
        <w:pageBreakBefore w:val="0"/>
        <w:kinsoku/>
        <w:wordWrap/>
        <w:overflowPunct/>
        <w:topLinePunct w:val="0"/>
        <w:bidi w:val="0"/>
        <w:spacing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8.1确定成交供应商原则</w:t>
      </w:r>
      <w:bookmarkEnd w:id="129"/>
    </w:p>
    <w:p w14:paraId="3A3D5F15">
      <w:pPr>
        <w:pageBreakBefore w:val="0"/>
        <w:kinsoku/>
        <w:wordWrap/>
        <w:overflowPunct/>
        <w:topLinePunct w:val="0"/>
        <w:bidi w:val="0"/>
        <w:spacing w:line="400" w:lineRule="exact"/>
        <w:ind w:firstLine="431" w:firstLineChars="1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采购人或其授权的磋商小组按照评审报告中提出的成交候选人中，按照顺序由高到低的原则确定成交供应商。</w:t>
      </w:r>
      <w:bookmarkStart w:id="130" w:name="_Toc217446062"/>
    </w:p>
    <w:p w14:paraId="44AA3B7B">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8.2确定成交供应商程序</w:t>
      </w:r>
      <w:bookmarkEnd w:id="130"/>
    </w:p>
    <w:p w14:paraId="3D984E46">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8.2.1磋商小组将评审情况写出书面报告，推荐3个成交候选人，并按照综合得分高低标明排列顺序。得分相同的，按照最后报价由低到高顺序排列；得分且最后报价相同的按照技术指标优劣顺序排列。</w:t>
      </w:r>
    </w:p>
    <w:p w14:paraId="63A55D40">
      <w:pPr>
        <w:pageBreakBefore w:val="0"/>
        <w:kinsoku/>
        <w:wordWrap/>
        <w:overflowPunct/>
        <w:topLinePunct w:val="0"/>
        <w:bidi w:val="0"/>
        <w:spacing w:line="400" w:lineRule="exact"/>
        <w:ind w:firstLine="385" w:firstLineChars="1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8.2.2 采购代理机构在评审结束后2个工作日内将评审报告送采购人确认。</w:t>
      </w:r>
    </w:p>
    <w:p w14:paraId="5067739C">
      <w:pPr>
        <w:pageBreakBefore w:val="0"/>
        <w:kinsoku/>
        <w:wordWrap/>
        <w:overflowPunct/>
        <w:topLinePunct w:val="0"/>
        <w:bidi w:val="0"/>
        <w:spacing w:line="400" w:lineRule="exact"/>
        <w:ind w:firstLine="385" w:firstLineChars="1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8.2.3 采购人应当在收到评审报告后5个工作日内，按照评审报告中推荐的成交候选人中，按照顺序由高到低确定成交供应商。同时，将确定成交供应商的结果复函至采购代理机构。</w:t>
      </w:r>
    </w:p>
    <w:p w14:paraId="6BC58A12">
      <w:pPr>
        <w:pageBreakBefore w:val="0"/>
        <w:kinsoku/>
        <w:wordWrap/>
        <w:overflowPunct/>
        <w:topLinePunct w:val="0"/>
        <w:bidi w:val="0"/>
        <w:spacing w:line="400" w:lineRule="exact"/>
        <w:ind w:firstLine="385" w:firstLineChars="1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shd w:val="clear" w:color="auto" w:fill="FFFFFF"/>
        </w:rPr>
        <w:t>采购人在收到评审报告5个工作日内未按评审报告推荐的成交候人中顺序确定成交供应商，又不能说明合法理由的，视同按照评审报告推荐的顺序确定排名第一的成交候选人为成交供应商。</w:t>
      </w:r>
    </w:p>
    <w:p w14:paraId="17A4E10C">
      <w:pPr>
        <w:pageBreakBefore w:val="0"/>
        <w:kinsoku/>
        <w:wordWrap/>
        <w:overflowPunct/>
        <w:topLinePunct w:val="0"/>
        <w:bidi w:val="0"/>
        <w:spacing w:line="400" w:lineRule="exact"/>
        <w:ind w:firstLine="385" w:firstLineChars="1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8.2.4 采购代理机构应当在收到采购人“确定成交供应商结果”复函之日起2个工作日内，根据采购人确定的成交供应商，在省级以上财政部门指定的媒体上发布成交公告，同时向成交供应商发出《成交通知书》。</w:t>
      </w:r>
    </w:p>
    <w:p w14:paraId="496B1917">
      <w:pPr>
        <w:pageBreakBefore w:val="0"/>
        <w:widowControl/>
        <w:kinsoku/>
        <w:wordWrap/>
        <w:overflowPunct/>
        <w:topLinePunct w:val="0"/>
        <w:bidi w:val="0"/>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8.2.5 采购代理机构，应当</w:t>
      </w:r>
      <w:r>
        <w:rPr>
          <w:rFonts w:hint="eastAsia" w:ascii="仿宋" w:hAnsi="仿宋" w:eastAsia="仿宋" w:cs="仿宋"/>
          <w:color w:val="auto"/>
          <w:kern w:val="0"/>
          <w:sz w:val="22"/>
          <w:szCs w:val="22"/>
          <w:highlight w:val="none"/>
        </w:rPr>
        <w:t>对未通过资格审查或者符合性审查的供应商，告知其未通过的原因。</w:t>
      </w:r>
    </w:p>
    <w:p w14:paraId="4EA241B6">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8.3成交通知书</w:t>
      </w:r>
    </w:p>
    <w:bookmarkEnd w:id="118"/>
    <w:bookmarkEnd w:id="119"/>
    <w:bookmarkEnd w:id="120"/>
    <w:bookmarkEnd w:id="121"/>
    <w:p w14:paraId="655AFEDA">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bookmarkStart w:id="131" w:name="_Toc11621_WPSOffice_Level2"/>
      <w:bookmarkStart w:id="132" w:name="_Toc27044"/>
      <w:bookmarkStart w:id="133" w:name="_Toc28118"/>
      <w:bookmarkStart w:id="134" w:name="_Toc15332"/>
      <w:bookmarkStart w:id="135" w:name="_Toc10746"/>
      <w:bookmarkStart w:id="136" w:name="_Toc2503"/>
      <w:bookmarkStart w:id="137" w:name="_Toc14945"/>
      <w:bookmarkStart w:id="138" w:name="_Toc482201965"/>
      <w:bookmarkStart w:id="139" w:name="_Toc217446081"/>
      <w:r>
        <w:rPr>
          <w:rFonts w:hint="eastAsia" w:ascii="仿宋" w:hAnsi="仿宋" w:eastAsia="仿宋" w:cs="仿宋"/>
          <w:color w:val="auto"/>
          <w:sz w:val="22"/>
          <w:szCs w:val="22"/>
          <w:highlight w:val="none"/>
        </w:rPr>
        <w:t>8.3</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1 成交通知书为签订政府采购合同的依据之一，是合同的有效组成部分。</w:t>
      </w:r>
    </w:p>
    <w:p w14:paraId="70D1B0A0">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8.3.2 成交通知书对采购人和成交供应商均具有法律效力。</w:t>
      </w:r>
      <w:r>
        <w:rPr>
          <w:rFonts w:hint="eastAsia" w:ascii="仿宋" w:hAnsi="仿宋" w:eastAsia="仿宋" w:cs="仿宋"/>
          <w:color w:val="auto"/>
          <w:sz w:val="22"/>
          <w:szCs w:val="22"/>
          <w:highlight w:val="none"/>
          <w:shd w:val="clear" w:color="auto" w:fill="FFFFFF"/>
        </w:rPr>
        <w:t>成交通知书发出后，采购人不得违法改变成交结果，成交供应商无正当理由不得放弃成交资格。否则，</w:t>
      </w:r>
      <w:r>
        <w:rPr>
          <w:rFonts w:hint="eastAsia" w:ascii="仿宋" w:hAnsi="仿宋" w:eastAsia="仿宋" w:cs="仿宋"/>
          <w:color w:val="auto"/>
          <w:sz w:val="22"/>
          <w:szCs w:val="22"/>
          <w:highlight w:val="none"/>
        </w:rPr>
        <w:t>应当承担相应的法律责任。</w:t>
      </w:r>
    </w:p>
    <w:p w14:paraId="26E37C73">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8.3.3 成交供应商应当在接到采购代理机构通知之日起2个工作日内领取《成交通知书》。</w:t>
      </w:r>
    </w:p>
    <w:p w14:paraId="763476A9">
      <w:pPr>
        <w:pageBreakBefore w:val="0"/>
        <w:tabs>
          <w:tab w:val="left" w:pos="7665"/>
        </w:tabs>
        <w:kinsoku/>
        <w:wordWrap/>
        <w:overflowPunct/>
        <w:topLinePunct w:val="0"/>
        <w:bidi w:val="0"/>
        <w:spacing w:line="400" w:lineRule="exact"/>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8.3.4 在《成交通知书》发出后，发现成交供应商有政府采购法律法规规章制度规定的成交无效情形的，采购代理机构应当宣布发出的成交通知书无效，并收回已发出的成交通知书（成交供应商也应当交回），依法重新确定成交供应商或者重新开展采购活动，同时向同级财政部门报告。</w:t>
      </w:r>
    </w:p>
    <w:p w14:paraId="2135B352">
      <w:pPr>
        <w:pageBreakBefore w:val="0"/>
        <w:tabs>
          <w:tab w:val="left" w:pos="7665"/>
        </w:tabs>
        <w:kinsoku/>
        <w:wordWrap/>
        <w:overflowPunct/>
        <w:topLinePunct w:val="0"/>
        <w:bidi w:val="0"/>
        <w:spacing w:before="240" w:beforeLines="100" w:after="240" w:afterLines="100" w:line="400" w:lineRule="exact"/>
        <w:outlineLvl w:val="1"/>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9.合同授予</w:t>
      </w:r>
      <w:bookmarkEnd w:id="131"/>
      <w:bookmarkEnd w:id="132"/>
      <w:bookmarkEnd w:id="133"/>
      <w:bookmarkEnd w:id="134"/>
      <w:bookmarkEnd w:id="135"/>
      <w:bookmarkEnd w:id="136"/>
      <w:bookmarkEnd w:id="137"/>
    </w:p>
    <w:p w14:paraId="506AC233">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9.1履约保证金</w:t>
      </w:r>
    </w:p>
    <w:p w14:paraId="19B90F6C">
      <w:pPr>
        <w:pageBreakBefore w:val="0"/>
        <w:tabs>
          <w:tab w:val="left" w:pos="7665"/>
        </w:tabs>
        <w:kinsoku/>
        <w:wordWrap/>
        <w:overflowPunct/>
        <w:topLinePunct w:val="0"/>
        <w:bidi w:val="0"/>
        <w:spacing w:line="400" w:lineRule="exact"/>
        <w:ind w:firstLine="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9.1.1 根据供应商须知前附表规定本项目需要提交履约保证金的，适用本条。</w:t>
      </w:r>
    </w:p>
    <w:p w14:paraId="56B4854E">
      <w:pPr>
        <w:pageBreakBefore w:val="0"/>
        <w:tabs>
          <w:tab w:val="left" w:pos="7665"/>
        </w:tabs>
        <w:kinsoku/>
        <w:wordWrap/>
        <w:overflowPunct/>
        <w:topLinePunct w:val="0"/>
        <w:bidi w:val="0"/>
        <w:spacing w:line="400" w:lineRule="exact"/>
        <w:ind w:firstLine="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9.1.2</w:t>
      </w:r>
      <w:r>
        <w:rPr>
          <w:rFonts w:hint="eastAsia" w:ascii="仿宋" w:hAnsi="仿宋" w:eastAsia="仿宋" w:cs="仿宋"/>
          <w:color w:val="auto"/>
          <w:kern w:val="0"/>
          <w:sz w:val="22"/>
          <w:szCs w:val="22"/>
          <w:highlight w:val="none"/>
        </w:rPr>
        <w:t xml:space="preserve"> </w:t>
      </w:r>
      <w:r>
        <w:rPr>
          <w:rFonts w:hint="eastAsia" w:ascii="仿宋" w:hAnsi="仿宋" w:eastAsia="仿宋" w:cs="仿宋"/>
          <w:color w:val="auto"/>
          <w:sz w:val="22"/>
          <w:szCs w:val="22"/>
          <w:highlight w:val="none"/>
        </w:rPr>
        <w:t>成交供应商在收到采购代理机构的成交通知书后10日内，应当按照</w:t>
      </w:r>
      <w:r>
        <w:rPr>
          <w:rFonts w:hint="eastAsia" w:ascii="仿宋" w:hAnsi="仿宋" w:eastAsia="仿宋" w:cs="仿宋"/>
          <w:b/>
          <w:color w:val="auto"/>
          <w:sz w:val="22"/>
          <w:szCs w:val="22"/>
          <w:highlight w:val="none"/>
        </w:rPr>
        <w:t>供应商须知前附表</w:t>
      </w:r>
      <w:r>
        <w:rPr>
          <w:rFonts w:hint="eastAsia" w:ascii="仿宋" w:hAnsi="仿宋" w:eastAsia="仿宋" w:cs="仿宋"/>
          <w:color w:val="auto"/>
          <w:sz w:val="22"/>
          <w:szCs w:val="22"/>
          <w:highlight w:val="none"/>
        </w:rPr>
        <w:t>规定的形式、金额，向采购人提交履约保证金或履约担保。联合体成交的，履约保证金或履约担保由联合体各方或者联合体中牵头人的名义提交。</w:t>
      </w:r>
    </w:p>
    <w:p w14:paraId="401E9B0D">
      <w:pPr>
        <w:pageBreakBefore w:val="0"/>
        <w:tabs>
          <w:tab w:val="left" w:pos="7665"/>
        </w:tabs>
        <w:kinsoku/>
        <w:wordWrap/>
        <w:overflowPunct/>
        <w:topLinePunct w:val="0"/>
        <w:bidi w:val="0"/>
        <w:spacing w:line="400" w:lineRule="exact"/>
        <w:ind w:firstLine="482"/>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9.1.3 成交供应商</w:t>
      </w:r>
      <w:r>
        <w:rPr>
          <w:rFonts w:hint="eastAsia" w:ascii="仿宋" w:hAnsi="仿宋" w:eastAsia="仿宋" w:cs="仿宋"/>
          <w:color w:val="auto"/>
          <w:spacing w:val="4"/>
          <w:sz w:val="22"/>
          <w:szCs w:val="22"/>
          <w:highlight w:val="none"/>
        </w:rPr>
        <w:t>不能按照本章第9.1.2项规定</w:t>
      </w:r>
      <w:r>
        <w:rPr>
          <w:rFonts w:hint="eastAsia" w:ascii="仿宋" w:hAnsi="仿宋" w:eastAsia="仿宋" w:cs="仿宋"/>
          <w:color w:val="auto"/>
          <w:sz w:val="22"/>
          <w:szCs w:val="22"/>
          <w:highlight w:val="none"/>
        </w:rPr>
        <w:t>提交履约保证金或履约担保的</w:t>
      </w:r>
      <w:r>
        <w:rPr>
          <w:rFonts w:hint="eastAsia" w:ascii="仿宋" w:hAnsi="仿宋" w:eastAsia="仿宋" w:cs="仿宋"/>
          <w:color w:val="auto"/>
          <w:spacing w:val="4"/>
          <w:sz w:val="22"/>
          <w:szCs w:val="22"/>
          <w:highlight w:val="none"/>
        </w:rPr>
        <w:t>，视为放弃</w:t>
      </w:r>
      <w:r>
        <w:rPr>
          <w:rFonts w:hint="eastAsia" w:ascii="仿宋" w:hAnsi="仿宋" w:eastAsia="仿宋" w:cs="仿宋"/>
          <w:color w:val="auto"/>
          <w:sz w:val="22"/>
          <w:szCs w:val="22"/>
          <w:highlight w:val="none"/>
        </w:rPr>
        <w:t>成交资格</w:t>
      </w:r>
      <w:r>
        <w:rPr>
          <w:rFonts w:hint="eastAsia" w:ascii="仿宋" w:hAnsi="仿宋" w:eastAsia="仿宋" w:cs="仿宋"/>
          <w:color w:val="auto"/>
          <w:spacing w:val="4"/>
          <w:sz w:val="22"/>
          <w:szCs w:val="22"/>
          <w:highlight w:val="none"/>
        </w:rPr>
        <w:t>，</w:t>
      </w:r>
      <w:r>
        <w:rPr>
          <w:rFonts w:hint="eastAsia" w:ascii="仿宋" w:hAnsi="仿宋" w:eastAsia="仿宋" w:cs="仿宋"/>
          <w:color w:val="auto"/>
          <w:spacing w:val="2"/>
          <w:sz w:val="22"/>
          <w:szCs w:val="22"/>
          <w:highlight w:val="none"/>
        </w:rPr>
        <w:t>其磋商保证金不予退还，给采购人造成的损失超过磋商保证金金额的，成交供应商应当对超过部分予以赔偿。</w:t>
      </w:r>
    </w:p>
    <w:p w14:paraId="0B49EECA">
      <w:pPr>
        <w:pageBreakBefore w:val="0"/>
        <w:tabs>
          <w:tab w:val="left" w:pos="7665"/>
        </w:tabs>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9.2签订合同</w:t>
      </w:r>
    </w:p>
    <w:p w14:paraId="5F8F9B0E">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9.2.1 成交供应商应在《成交通知书》发出之日起30日内与采购人签订采购合同。成交供应商无正当理由拒签合同，或者在签订合同时向采购人提出附件条件，采购人有权取消其成交资格，其磋商保证金不予退还，给采购人造成的损失超过磋商保证金金额的，</w:t>
      </w:r>
      <w:r>
        <w:rPr>
          <w:rFonts w:hint="eastAsia" w:ascii="仿宋" w:hAnsi="仿宋" w:eastAsia="仿宋" w:cs="仿宋"/>
          <w:color w:val="auto"/>
          <w:spacing w:val="2"/>
          <w:sz w:val="22"/>
          <w:szCs w:val="22"/>
          <w:highlight w:val="none"/>
        </w:rPr>
        <w:t>成交供应商应当对超过部分予以赔偿。采购人可以</w:t>
      </w:r>
      <w:r>
        <w:rPr>
          <w:rFonts w:hint="eastAsia" w:ascii="仿宋" w:hAnsi="仿宋" w:eastAsia="仿宋" w:cs="仿宋"/>
          <w:color w:val="auto"/>
          <w:sz w:val="22"/>
          <w:szCs w:val="22"/>
          <w:highlight w:val="none"/>
        </w:rPr>
        <w:t>与排在成交供应商之后第一位的成交候选人签订采购合同，或者重新开展采购活动。拒绝签订政府采购合同的成交供应商不得参加对该项目重新开展的采购活动。</w:t>
      </w:r>
    </w:p>
    <w:p w14:paraId="531201ED">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9.2.2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24C4EFDC">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9.2.3 成交供应商因不可抗力原因不能履行采购合同或放弃成交资格的，采购人可以与排在成交供应商之后第一位的成交候选人签订采购合同，以此类推。</w:t>
      </w:r>
    </w:p>
    <w:p w14:paraId="2CBF30C5">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9.2.4 联合体成交的，联合体各方应当与采购人签订采购合同，就成交项目向采购人承担连带责任。</w:t>
      </w:r>
    </w:p>
    <w:p w14:paraId="0F43A0EB">
      <w:pPr>
        <w:pageBreakBefore w:val="0"/>
        <w:tabs>
          <w:tab w:val="left" w:pos="426"/>
        </w:tabs>
        <w:kinsoku/>
        <w:wordWrap/>
        <w:overflowPunct/>
        <w:topLinePunct w:val="0"/>
        <w:autoSpaceDE w:val="0"/>
        <w:autoSpaceDN w:val="0"/>
        <w:bidi w:val="0"/>
        <w:adjustRightInd w:val="0"/>
        <w:snapToGrid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9.3合同履行</w:t>
      </w:r>
    </w:p>
    <w:p w14:paraId="2AEC03B1">
      <w:pPr>
        <w:pageBreakBefore w:val="0"/>
        <w:tabs>
          <w:tab w:val="left" w:pos="426"/>
        </w:tabs>
        <w:kinsoku/>
        <w:wordWrap/>
        <w:overflowPunct/>
        <w:topLinePunct w:val="0"/>
        <w:autoSpaceDE w:val="0"/>
        <w:autoSpaceDN w:val="0"/>
        <w:bidi w:val="0"/>
        <w:adjustRightInd w:val="0"/>
        <w:snapToGrid w:val="0"/>
        <w:spacing w:line="400" w:lineRule="exact"/>
        <w:ind w:firstLine="440" w:firstLineChars="200"/>
        <w:rPr>
          <w:rFonts w:hint="eastAsia" w:ascii="仿宋" w:hAnsi="仿宋" w:eastAsia="仿宋" w:cs="仿宋"/>
          <w:color w:val="auto"/>
          <w:sz w:val="22"/>
          <w:szCs w:val="22"/>
          <w:highlight w:val="none"/>
        </w:rPr>
      </w:pPr>
      <w:bookmarkStart w:id="140" w:name="_Toc19504"/>
      <w:bookmarkStart w:id="141" w:name="_Toc26211_WPSOffice_Level2"/>
      <w:bookmarkStart w:id="142" w:name="_Toc24810"/>
      <w:bookmarkStart w:id="143" w:name="_Toc6253"/>
      <w:bookmarkStart w:id="144" w:name="_Toc24807"/>
      <w:bookmarkStart w:id="145" w:name="_Toc1956"/>
      <w:bookmarkStart w:id="146" w:name="_Toc31825"/>
      <w:r>
        <w:rPr>
          <w:rFonts w:hint="eastAsia" w:ascii="仿宋" w:hAnsi="仿宋" w:eastAsia="仿宋" w:cs="仿宋"/>
          <w:color w:val="auto"/>
          <w:sz w:val="22"/>
          <w:szCs w:val="22"/>
          <w:highlight w:val="none"/>
        </w:rPr>
        <w:t>9.3.1 政府采购合同的履行、违约责任和解决争议的方法等适用《中华人民共和国合同法》。</w:t>
      </w:r>
    </w:p>
    <w:p w14:paraId="74559A81">
      <w:pPr>
        <w:pageBreakBefore w:val="0"/>
        <w:tabs>
          <w:tab w:val="left" w:pos="426"/>
        </w:tabs>
        <w:kinsoku/>
        <w:wordWrap/>
        <w:overflowPunct/>
        <w:topLinePunct w:val="0"/>
        <w:autoSpaceDE w:val="0"/>
        <w:autoSpaceDN w:val="0"/>
        <w:bidi w:val="0"/>
        <w:adjustRightInd w:val="0"/>
        <w:snapToGrid w:val="0"/>
        <w:spacing w:line="400" w:lineRule="exact"/>
        <w:ind w:firstLine="440" w:firstLineChars="200"/>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 xml:space="preserve">9.3.2 </w:t>
      </w:r>
      <w:r>
        <w:rPr>
          <w:rFonts w:hint="eastAsia" w:ascii="仿宋" w:hAnsi="仿宋" w:eastAsia="仿宋" w:cs="仿宋"/>
          <w:color w:val="auto"/>
          <w:sz w:val="22"/>
          <w:szCs w:val="22"/>
          <w:highlight w:val="none"/>
          <w:lang w:eastAsia="zh-TW"/>
        </w:rPr>
        <w:t>政府采购合同订立后，合同各方不得擅自变更</w:t>
      </w:r>
      <w:r>
        <w:rPr>
          <w:rFonts w:hint="eastAsia" w:ascii="仿宋" w:hAnsi="仿宋" w:eastAsia="仿宋" w:cs="仿宋"/>
          <w:color w:val="auto"/>
          <w:sz w:val="22"/>
          <w:szCs w:val="22"/>
          <w:highlight w:val="none"/>
        </w:rPr>
        <w:t>或者</w:t>
      </w:r>
      <w:r>
        <w:rPr>
          <w:rFonts w:hint="eastAsia" w:ascii="仿宋" w:hAnsi="仿宋" w:eastAsia="仿宋" w:cs="仿宋"/>
          <w:color w:val="auto"/>
          <w:sz w:val="22"/>
          <w:szCs w:val="22"/>
          <w:highlight w:val="none"/>
          <w:lang w:eastAsia="zh-TW"/>
        </w:rPr>
        <w:t>中止或者终止合同。政府采购合同需要变更的，采购人应将有关合同变更内容，以书面形式报政府采购监督管理</w:t>
      </w:r>
      <w:r>
        <w:rPr>
          <w:rFonts w:hint="eastAsia" w:ascii="仿宋" w:hAnsi="仿宋" w:eastAsia="仿宋" w:cs="仿宋"/>
          <w:color w:val="auto"/>
          <w:sz w:val="22"/>
          <w:szCs w:val="22"/>
          <w:highlight w:val="none"/>
        </w:rPr>
        <w:t>部门</w:t>
      </w:r>
      <w:r>
        <w:rPr>
          <w:rFonts w:hint="eastAsia" w:ascii="仿宋" w:hAnsi="仿宋" w:eastAsia="仿宋" w:cs="仿宋"/>
          <w:color w:val="auto"/>
          <w:sz w:val="22"/>
          <w:szCs w:val="22"/>
          <w:highlight w:val="none"/>
          <w:lang w:eastAsia="zh-TW"/>
        </w:rPr>
        <w:t>备案；因特殊情况需要中止或终止合同的，采购人应将中止或终止合同的理由以及相应措施，以书面形式报政府采购监督管理</w:t>
      </w:r>
      <w:r>
        <w:rPr>
          <w:rFonts w:hint="eastAsia" w:ascii="仿宋" w:hAnsi="仿宋" w:eastAsia="仿宋" w:cs="仿宋"/>
          <w:color w:val="auto"/>
          <w:sz w:val="22"/>
          <w:szCs w:val="22"/>
          <w:highlight w:val="none"/>
        </w:rPr>
        <w:t>部门</w:t>
      </w:r>
      <w:r>
        <w:rPr>
          <w:rFonts w:hint="eastAsia" w:ascii="仿宋" w:hAnsi="仿宋" w:eastAsia="仿宋" w:cs="仿宋"/>
          <w:color w:val="auto"/>
          <w:sz w:val="22"/>
          <w:szCs w:val="22"/>
          <w:highlight w:val="none"/>
          <w:lang w:eastAsia="zh-TW"/>
        </w:rPr>
        <w:t>备案。</w:t>
      </w:r>
    </w:p>
    <w:p w14:paraId="625864D3">
      <w:pPr>
        <w:pageBreakBefore w:val="0"/>
        <w:tabs>
          <w:tab w:val="left" w:pos="426"/>
        </w:tabs>
        <w:kinsoku/>
        <w:wordWrap/>
        <w:overflowPunct/>
        <w:topLinePunct w:val="0"/>
        <w:autoSpaceDE w:val="0"/>
        <w:autoSpaceDN w:val="0"/>
        <w:bidi w:val="0"/>
        <w:adjustRightInd w:val="0"/>
        <w:snapToGrid w:val="0"/>
        <w:spacing w:line="400" w:lineRule="exact"/>
        <w:ind w:firstLine="440" w:firstLineChars="200"/>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 xml:space="preserve">9.3.3 </w:t>
      </w:r>
      <w:r>
        <w:rPr>
          <w:rFonts w:hint="eastAsia" w:ascii="仿宋" w:hAnsi="仿宋" w:eastAsia="仿宋" w:cs="仿宋"/>
          <w:color w:val="auto"/>
          <w:sz w:val="22"/>
          <w:szCs w:val="22"/>
          <w:highlight w:val="none"/>
          <w:lang w:eastAsia="zh-TW"/>
        </w:rPr>
        <w:t>政府采购合同履行中，采购人需追加与合同标的相同的货物的，在不改变合同其他条款的前提下，可以与</w:t>
      </w:r>
      <w:r>
        <w:rPr>
          <w:rFonts w:hint="eastAsia" w:ascii="仿宋" w:hAnsi="仿宋" w:eastAsia="仿宋" w:cs="仿宋"/>
          <w:color w:val="auto"/>
          <w:sz w:val="22"/>
          <w:szCs w:val="22"/>
          <w:highlight w:val="none"/>
        </w:rPr>
        <w:t>成交供应商</w:t>
      </w:r>
      <w:r>
        <w:rPr>
          <w:rFonts w:hint="eastAsia" w:ascii="仿宋" w:hAnsi="仿宋" w:eastAsia="仿宋" w:cs="仿宋"/>
          <w:color w:val="auto"/>
          <w:sz w:val="22"/>
          <w:szCs w:val="22"/>
          <w:highlight w:val="none"/>
          <w:lang w:eastAsia="zh-TW"/>
        </w:rPr>
        <w:t>签订补充合同，但所补充合同的采购金额不得超过原</w:t>
      </w:r>
      <w:r>
        <w:rPr>
          <w:rFonts w:hint="eastAsia" w:ascii="仿宋" w:hAnsi="仿宋" w:eastAsia="仿宋" w:cs="仿宋"/>
          <w:color w:val="auto"/>
          <w:sz w:val="22"/>
          <w:szCs w:val="22"/>
          <w:highlight w:val="none"/>
        </w:rPr>
        <w:t>合同</w:t>
      </w:r>
      <w:r>
        <w:rPr>
          <w:rFonts w:hint="eastAsia" w:ascii="仿宋" w:hAnsi="仿宋" w:eastAsia="仿宋" w:cs="仿宋"/>
          <w:color w:val="auto"/>
          <w:sz w:val="22"/>
          <w:szCs w:val="22"/>
          <w:highlight w:val="none"/>
          <w:lang w:eastAsia="zh-TW"/>
        </w:rPr>
        <w:t>采购金额的百分之十。签订补充合同的</w:t>
      </w:r>
      <w:r>
        <w:rPr>
          <w:rFonts w:hint="eastAsia" w:ascii="仿宋" w:hAnsi="仿宋" w:eastAsia="仿宋" w:cs="仿宋"/>
          <w:color w:val="auto"/>
          <w:sz w:val="22"/>
          <w:szCs w:val="22"/>
          <w:highlight w:val="none"/>
        </w:rPr>
        <w:t>应</w:t>
      </w:r>
      <w:r>
        <w:rPr>
          <w:rFonts w:hint="eastAsia" w:ascii="仿宋" w:hAnsi="仿宋" w:eastAsia="仿宋" w:cs="仿宋"/>
          <w:color w:val="auto"/>
          <w:sz w:val="22"/>
          <w:szCs w:val="22"/>
          <w:highlight w:val="none"/>
          <w:lang w:eastAsia="zh-TW"/>
        </w:rPr>
        <w:t>按规定备案。</w:t>
      </w:r>
    </w:p>
    <w:p w14:paraId="2DFAFF84">
      <w:pPr>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10.终止磋商</w:t>
      </w:r>
      <w:bookmarkEnd w:id="140"/>
      <w:bookmarkEnd w:id="141"/>
      <w:bookmarkEnd w:id="142"/>
      <w:bookmarkEnd w:id="143"/>
      <w:bookmarkEnd w:id="144"/>
      <w:bookmarkEnd w:id="145"/>
      <w:bookmarkEnd w:id="146"/>
    </w:p>
    <w:p w14:paraId="1A683948">
      <w:pPr>
        <w:pageBreakBefore w:val="0"/>
        <w:widowControl/>
        <w:kinsoku/>
        <w:wordWrap/>
        <w:overflowPunct/>
        <w:topLinePunct w:val="0"/>
        <w:bidi w:val="0"/>
        <w:spacing w:line="400" w:lineRule="exact"/>
        <w:ind w:firstLine="440" w:firstLineChars="200"/>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出现下列情形之一的，采购人或者采购代理机构应当终止本次竞争性磋商采购活动，发布终止公告并说明原因，重新开展采购活动：</w:t>
      </w:r>
    </w:p>
    <w:p w14:paraId="7F21B41B">
      <w:pPr>
        <w:pageBreakBefore w:val="0"/>
        <w:widowControl/>
        <w:kinsoku/>
        <w:wordWrap/>
        <w:overflowPunct/>
        <w:topLinePunct w:val="0"/>
        <w:bidi w:val="0"/>
        <w:spacing w:line="400" w:lineRule="exact"/>
        <w:ind w:firstLine="440" w:firstLineChars="200"/>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（1）因情况变化，不再符合规定的竞争性磋商采购方式适用情形的；</w:t>
      </w:r>
    </w:p>
    <w:p w14:paraId="511E1BA5">
      <w:pPr>
        <w:pageBreakBefore w:val="0"/>
        <w:widowControl/>
        <w:kinsoku/>
        <w:wordWrap/>
        <w:overflowPunct/>
        <w:topLinePunct w:val="0"/>
        <w:bidi w:val="0"/>
        <w:spacing w:line="400" w:lineRule="exact"/>
        <w:ind w:firstLine="440" w:firstLineChars="200"/>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（2）出现影响采购公正的违法、违规行为的；</w:t>
      </w:r>
    </w:p>
    <w:p w14:paraId="7B5494E2">
      <w:pPr>
        <w:pageBreakBefore w:val="0"/>
        <w:widowControl/>
        <w:kinsoku/>
        <w:wordWrap/>
        <w:overflowPunct/>
        <w:topLinePunct w:val="0"/>
        <w:bidi w:val="0"/>
        <w:spacing w:line="400" w:lineRule="exact"/>
        <w:ind w:firstLine="440" w:firstLineChars="200"/>
        <w:rPr>
          <w:rFonts w:hint="eastAsia" w:ascii="仿宋" w:hAnsi="仿宋" w:eastAsia="仿宋" w:cs="仿宋"/>
          <w:b/>
          <w:color w:val="auto"/>
          <w:sz w:val="22"/>
          <w:szCs w:val="22"/>
          <w:highlight w:val="none"/>
        </w:rPr>
      </w:pPr>
      <w:r>
        <w:rPr>
          <w:rFonts w:hint="eastAsia" w:ascii="仿宋" w:hAnsi="仿宋" w:eastAsia="仿宋" w:cs="仿宋"/>
          <w:snapToGrid w:val="0"/>
          <w:color w:val="auto"/>
          <w:kern w:val="0"/>
          <w:sz w:val="22"/>
          <w:szCs w:val="22"/>
          <w:highlight w:val="none"/>
        </w:rPr>
        <w:t>（3）除《政府采购竞争性磋商采购方式管理暂行办法》办法第21条第3款规定的情形外，在采购过程中符合要求的供应商或者磋商报价未超过采购预算</w:t>
      </w:r>
      <w:r>
        <w:rPr>
          <w:rFonts w:hint="eastAsia" w:ascii="仿宋" w:hAnsi="仿宋" w:eastAsia="仿宋" w:cs="仿宋"/>
          <w:bCs/>
          <w:color w:val="auto"/>
          <w:sz w:val="22"/>
          <w:szCs w:val="22"/>
          <w:highlight w:val="none"/>
        </w:rPr>
        <w:t>（最高限价）</w:t>
      </w:r>
      <w:r>
        <w:rPr>
          <w:rFonts w:hint="eastAsia" w:ascii="仿宋" w:hAnsi="仿宋" w:eastAsia="仿宋" w:cs="仿宋"/>
          <w:bCs/>
          <w:snapToGrid w:val="0"/>
          <w:color w:val="auto"/>
          <w:kern w:val="0"/>
          <w:sz w:val="22"/>
          <w:szCs w:val="22"/>
          <w:highlight w:val="none"/>
        </w:rPr>
        <w:t>的供</w:t>
      </w:r>
      <w:r>
        <w:rPr>
          <w:rFonts w:hint="eastAsia" w:ascii="仿宋" w:hAnsi="仿宋" w:eastAsia="仿宋" w:cs="仿宋"/>
          <w:snapToGrid w:val="0"/>
          <w:color w:val="auto"/>
          <w:kern w:val="0"/>
          <w:sz w:val="22"/>
          <w:szCs w:val="22"/>
          <w:highlight w:val="none"/>
        </w:rPr>
        <w:t>应商不足3家的。</w:t>
      </w:r>
    </w:p>
    <w:p w14:paraId="00AE5665">
      <w:pPr>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40"/>
          <w:szCs w:val="40"/>
          <w:highlight w:val="none"/>
        </w:rPr>
      </w:pPr>
      <w:bookmarkStart w:id="147" w:name="_Toc24671"/>
      <w:bookmarkStart w:id="148" w:name="_Toc6277"/>
      <w:bookmarkStart w:id="149" w:name="_Toc5167"/>
      <w:bookmarkStart w:id="150" w:name="_Toc959"/>
      <w:bookmarkStart w:id="151" w:name="_Toc17887"/>
      <w:bookmarkStart w:id="152" w:name="_Toc10593"/>
      <w:bookmarkStart w:id="153" w:name="_Toc32599_WPSOffice_Level2"/>
      <w:r>
        <w:rPr>
          <w:rFonts w:hint="eastAsia" w:ascii="仿宋" w:hAnsi="仿宋" w:eastAsia="仿宋" w:cs="仿宋"/>
          <w:color w:val="auto"/>
          <w:sz w:val="40"/>
          <w:szCs w:val="40"/>
          <w:highlight w:val="none"/>
        </w:rPr>
        <w:t>11.采购代理服务费</w:t>
      </w:r>
      <w:bookmarkEnd w:id="147"/>
      <w:bookmarkEnd w:id="148"/>
      <w:bookmarkEnd w:id="149"/>
      <w:bookmarkEnd w:id="150"/>
      <w:bookmarkEnd w:id="151"/>
      <w:bookmarkEnd w:id="152"/>
      <w:bookmarkEnd w:id="153"/>
    </w:p>
    <w:p w14:paraId="44BB4D5C">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11.1  招标代理费由</w:t>
      </w:r>
      <w:r>
        <w:rPr>
          <w:rFonts w:hint="eastAsia" w:ascii="仿宋" w:hAnsi="仿宋" w:eastAsia="仿宋" w:cs="仿宋"/>
          <w:color w:val="auto"/>
          <w:sz w:val="22"/>
          <w:szCs w:val="22"/>
          <w:highlight w:val="none"/>
          <w:lang w:val="en-US" w:eastAsia="zh-CN"/>
        </w:rPr>
        <w:t>采购人</w:t>
      </w:r>
      <w:bookmarkStart w:id="266" w:name="_GoBack"/>
      <w:bookmarkEnd w:id="266"/>
      <w:r>
        <w:rPr>
          <w:rFonts w:hint="eastAsia" w:ascii="仿宋" w:hAnsi="仿宋" w:eastAsia="仿宋" w:cs="仿宋"/>
          <w:color w:val="auto"/>
          <w:sz w:val="22"/>
          <w:szCs w:val="22"/>
          <w:highlight w:val="none"/>
          <w:lang w:val="zh-CN"/>
        </w:rPr>
        <w:t>按国家计委颁发的《招标代理服务收费管理暂行办法》（计价格[2002]1980号）、国家发展改革委员会办公厅颁发的《关于招标代理服务收费有关问题的通知》（发改办价格[2003] 857号）、《国家发展改革委关于降低部分建设项目收费标准规范收费行为等有关问题的通知》（发改价格[2011]534号）及《关于我省工程造价咨询服务收费管理有关问题的通知》（陕价行发【2012】72号）的有关规定，向采购代理机构一次性支付采购代理服务费。收费标准如下：</w:t>
      </w:r>
    </w:p>
    <w:tbl>
      <w:tblPr>
        <w:tblStyle w:val="46"/>
        <w:tblW w:w="8460" w:type="dxa"/>
        <w:tblInd w:w="8" w:type="dxa"/>
        <w:tblLayout w:type="fixed"/>
        <w:tblCellMar>
          <w:top w:w="0" w:type="dxa"/>
          <w:left w:w="0" w:type="dxa"/>
          <w:bottom w:w="0" w:type="dxa"/>
          <w:right w:w="0" w:type="dxa"/>
        </w:tblCellMar>
      </w:tblPr>
      <w:tblGrid>
        <w:gridCol w:w="2880"/>
        <w:gridCol w:w="1982"/>
        <w:gridCol w:w="1870"/>
        <w:gridCol w:w="1728"/>
      </w:tblGrid>
      <w:tr w14:paraId="4DCA862F">
        <w:tblPrEx>
          <w:tblCellMar>
            <w:top w:w="0" w:type="dxa"/>
            <w:left w:w="0" w:type="dxa"/>
            <w:bottom w:w="0" w:type="dxa"/>
            <w:right w:w="0" w:type="dxa"/>
          </w:tblCellMar>
        </w:tblPrEx>
        <w:trPr>
          <w:trHeight w:val="975" w:hRule="atLeast"/>
        </w:trPr>
        <w:tc>
          <w:tcPr>
            <w:tcW w:w="2880" w:type="dxa"/>
            <w:tcBorders>
              <w:top w:val="single" w:color="auto" w:sz="6" w:space="0"/>
              <w:left w:val="single" w:color="auto" w:sz="6" w:space="0"/>
              <w:bottom w:val="single" w:color="auto" w:sz="6" w:space="0"/>
              <w:right w:val="single" w:color="auto" w:sz="6" w:space="0"/>
            </w:tcBorders>
            <w:vAlign w:val="center"/>
          </w:tcPr>
          <w:p w14:paraId="3AA6E4A9">
            <w:pPr>
              <w:keepNext w:val="0"/>
              <w:keepLines w:val="0"/>
              <w:suppressLineNumbers w:val="0"/>
              <w:spacing w:before="0" w:beforeAutospacing="0" w:after="0" w:afterAutospacing="0" w:line="300" w:lineRule="exact"/>
              <w:ind w:left="0" w:right="0"/>
              <w:rPr>
                <w:rFonts w:hint="eastAsia" w:ascii="仿宋" w:hAnsi="仿宋" w:eastAsia="仿宋" w:cs="仿宋"/>
                <w:color w:val="auto"/>
                <w:sz w:val="20"/>
                <w:szCs w:val="20"/>
              </w:rPr>
            </w:pPr>
            <w:r>
              <w:rPr>
                <w:rFonts w:hint="eastAsia" w:ascii="仿宋" w:hAnsi="仿宋" w:eastAsia="仿宋" w:cs="仿宋"/>
                <w:color w:val="auto"/>
                <w:szCs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-2540</wp:posOffset>
                      </wp:positionV>
                      <wp:extent cx="1823085" cy="571500"/>
                      <wp:effectExtent l="1270" t="4445" r="4445" b="14605"/>
                      <wp:wrapNone/>
                      <wp:docPr id="3" name="直接连接符 3"/>
                      <wp:cNvGraphicFramePr/>
                      <a:graphic xmlns:a="http://schemas.openxmlformats.org/drawingml/2006/main">
                        <a:graphicData uri="http://schemas.microsoft.com/office/word/2010/wordprocessingShape">
                          <wps:wsp>
                            <wps:cNvCnPr/>
                            <wps:spPr>
                              <a:xfrm>
                                <a:off x="0" y="0"/>
                                <a:ext cx="1823085" cy="571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0.2pt;height:45pt;width:143.55pt;z-index:251659264;mso-width-relative:page;mso-height-relative:page;" filled="f" stroked="t" coordsize="21600,21600" o:gfxdata="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JvnI1QAAAAYBAAAPAAAAAAAAAAEAIAAAACIAAABkcnMvZG93bnJldi54bWxQ&#10;SwECFAAUAAAACACHTuJApqkwsfoBAADpAwAADgAAAAAAAAABACAAAAAk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 w:val="20"/>
                <w:szCs w:val="20"/>
                <w:lang w:val="en-US" w:eastAsia="zh-CN"/>
              </w:rPr>
              <w:t xml:space="preserve">   </w:t>
            </w:r>
            <w:r>
              <w:rPr>
                <w:rFonts w:hint="eastAsia" w:ascii="仿宋" w:hAnsi="仿宋" w:eastAsia="仿宋" w:cs="仿宋"/>
                <w:color w:val="auto"/>
                <w:sz w:val="20"/>
                <w:szCs w:val="20"/>
              </w:rPr>
              <w:t>服务类型</w:t>
            </w:r>
          </w:p>
          <w:p w14:paraId="58B4B7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00" w:firstLineChars="300"/>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88900</wp:posOffset>
                      </wp:positionV>
                      <wp:extent cx="1828800" cy="336550"/>
                      <wp:effectExtent l="635" t="4445" r="18415" b="20955"/>
                      <wp:wrapNone/>
                      <wp:docPr id="5" name="直接连接符 5"/>
                      <wp:cNvGraphicFramePr/>
                      <a:graphic xmlns:a="http://schemas.openxmlformats.org/drawingml/2006/main">
                        <a:graphicData uri="http://schemas.microsoft.com/office/word/2010/wordprocessingShape">
                          <wps:wsp>
                            <wps:cNvCnPr/>
                            <wps:spPr>
                              <a:xfrm>
                                <a:off x="0" y="0"/>
                                <a:ext cx="1828800" cy="3365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7pt;height:26.5pt;width:144pt;z-index:251660288;mso-width-relative:page;mso-height-relative:page;" filled="f" stroked="t" coordsize="21600,21600" o:gfxdata="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8FYnWAAAABwEAAA8AAAAAAAAAAQAgAAAAIgAAAGRycy9kb3ducmV2Lnht&#10;bFBLAQIUABQAAAAIAIdO4kCyJLOw+wEAAOk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20"/>
                <w:szCs w:val="20"/>
              </w:rPr>
              <w:t>费率</w:t>
            </w:r>
          </w:p>
          <w:p w14:paraId="41E4DA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Cs w:val="21"/>
              </w:rPr>
            </w:pPr>
            <w:r>
              <w:rPr>
                <w:rFonts w:hint="eastAsia" w:ascii="仿宋" w:hAnsi="仿宋" w:eastAsia="仿宋" w:cs="仿宋"/>
                <w:color w:val="auto"/>
                <w:sz w:val="20"/>
                <w:szCs w:val="20"/>
              </w:rPr>
              <w:t>中标金额（万元）</w:t>
            </w:r>
          </w:p>
        </w:tc>
        <w:tc>
          <w:tcPr>
            <w:tcW w:w="1982" w:type="dxa"/>
            <w:tcBorders>
              <w:top w:val="single" w:color="auto" w:sz="6" w:space="0"/>
              <w:left w:val="single" w:color="auto" w:sz="6" w:space="0"/>
              <w:bottom w:val="single" w:color="auto" w:sz="6" w:space="0"/>
              <w:right w:val="single" w:color="auto" w:sz="6" w:space="0"/>
            </w:tcBorders>
            <w:vAlign w:val="center"/>
          </w:tcPr>
          <w:p w14:paraId="5031D9DE">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货物招标</w:t>
            </w:r>
          </w:p>
        </w:tc>
        <w:tc>
          <w:tcPr>
            <w:tcW w:w="1870" w:type="dxa"/>
            <w:tcBorders>
              <w:top w:val="single" w:color="auto" w:sz="6" w:space="0"/>
              <w:left w:val="single" w:color="auto" w:sz="6" w:space="0"/>
              <w:bottom w:val="single" w:color="auto" w:sz="6" w:space="0"/>
              <w:right w:val="single" w:color="auto" w:sz="6" w:space="0"/>
            </w:tcBorders>
            <w:vAlign w:val="center"/>
          </w:tcPr>
          <w:p w14:paraId="6B5A3117">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服务招标</w:t>
            </w:r>
          </w:p>
        </w:tc>
        <w:tc>
          <w:tcPr>
            <w:tcW w:w="1728" w:type="dxa"/>
            <w:tcBorders>
              <w:top w:val="single" w:color="auto" w:sz="6" w:space="0"/>
              <w:left w:val="single" w:color="auto" w:sz="6" w:space="0"/>
              <w:bottom w:val="single" w:color="auto" w:sz="6" w:space="0"/>
              <w:right w:val="single" w:color="auto" w:sz="6" w:space="0"/>
            </w:tcBorders>
            <w:vAlign w:val="center"/>
          </w:tcPr>
          <w:p w14:paraId="3356DD0B">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工程招标</w:t>
            </w:r>
          </w:p>
        </w:tc>
      </w:tr>
      <w:tr w14:paraId="3C2B3B17">
        <w:tblPrEx>
          <w:tblCellMar>
            <w:top w:w="0" w:type="dxa"/>
            <w:left w:w="0" w:type="dxa"/>
            <w:bottom w:w="0" w:type="dxa"/>
            <w:right w:w="0" w:type="dxa"/>
          </w:tblCellMar>
        </w:tblPrEx>
        <w:tc>
          <w:tcPr>
            <w:tcW w:w="2880" w:type="dxa"/>
            <w:tcBorders>
              <w:top w:val="single" w:color="auto" w:sz="6" w:space="0"/>
              <w:left w:val="single" w:color="auto" w:sz="6" w:space="0"/>
              <w:bottom w:val="single" w:color="auto" w:sz="6" w:space="0"/>
              <w:right w:val="single" w:color="auto" w:sz="6" w:space="0"/>
            </w:tcBorders>
            <w:vAlign w:val="center"/>
          </w:tcPr>
          <w:p w14:paraId="02C0004F">
            <w:pPr>
              <w:keepNext w:val="0"/>
              <w:keepLines w:val="0"/>
              <w:suppressLineNumbers w:val="0"/>
              <w:spacing w:before="0" w:beforeAutospacing="0" w:after="0" w:afterAutospacing="0" w:line="300" w:lineRule="exact"/>
              <w:ind w:left="0" w:right="0" w:firstLine="178" w:firstLineChars="85"/>
              <w:rPr>
                <w:rFonts w:hint="eastAsia" w:ascii="仿宋" w:hAnsi="仿宋" w:eastAsia="仿宋" w:cs="仿宋"/>
                <w:color w:val="auto"/>
                <w:szCs w:val="21"/>
              </w:rPr>
            </w:pPr>
            <w:r>
              <w:rPr>
                <w:rFonts w:hint="eastAsia" w:ascii="仿宋" w:hAnsi="仿宋" w:eastAsia="仿宋" w:cs="仿宋"/>
                <w:color w:val="auto"/>
                <w:szCs w:val="21"/>
              </w:rPr>
              <w:t>100以下</w:t>
            </w:r>
          </w:p>
        </w:tc>
        <w:tc>
          <w:tcPr>
            <w:tcW w:w="1982" w:type="dxa"/>
            <w:tcBorders>
              <w:top w:val="single" w:color="auto" w:sz="6" w:space="0"/>
              <w:left w:val="single" w:color="auto" w:sz="6" w:space="0"/>
              <w:bottom w:val="single" w:color="auto" w:sz="6" w:space="0"/>
              <w:right w:val="single" w:color="auto" w:sz="6" w:space="0"/>
            </w:tcBorders>
            <w:vAlign w:val="center"/>
          </w:tcPr>
          <w:p w14:paraId="779A0A28">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1.5％</w:t>
            </w:r>
          </w:p>
        </w:tc>
        <w:tc>
          <w:tcPr>
            <w:tcW w:w="1870" w:type="dxa"/>
            <w:tcBorders>
              <w:top w:val="single" w:color="auto" w:sz="6" w:space="0"/>
              <w:left w:val="single" w:color="auto" w:sz="6" w:space="0"/>
              <w:bottom w:val="single" w:color="auto" w:sz="6" w:space="0"/>
              <w:right w:val="single" w:color="auto" w:sz="6" w:space="0"/>
            </w:tcBorders>
            <w:vAlign w:val="center"/>
          </w:tcPr>
          <w:p w14:paraId="55743B25">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1.5％</w:t>
            </w:r>
          </w:p>
        </w:tc>
        <w:tc>
          <w:tcPr>
            <w:tcW w:w="1728" w:type="dxa"/>
            <w:tcBorders>
              <w:top w:val="single" w:color="auto" w:sz="6" w:space="0"/>
              <w:left w:val="single" w:color="auto" w:sz="6" w:space="0"/>
              <w:bottom w:val="single" w:color="auto" w:sz="6" w:space="0"/>
              <w:right w:val="single" w:color="auto" w:sz="6" w:space="0"/>
            </w:tcBorders>
            <w:vAlign w:val="center"/>
          </w:tcPr>
          <w:p w14:paraId="6A4843BF">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1.0％</w:t>
            </w:r>
          </w:p>
        </w:tc>
      </w:tr>
      <w:tr w14:paraId="592038C2">
        <w:tblPrEx>
          <w:tblCellMar>
            <w:top w:w="0" w:type="dxa"/>
            <w:left w:w="0" w:type="dxa"/>
            <w:bottom w:w="0" w:type="dxa"/>
            <w:right w:w="0" w:type="dxa"/>
          </w:tblCellMar>
        </w:tblPrEx>
        <w:tc>
          <w:tcPr>
            <w:tcW w:w="2880" w:type="dxa"/>
            <w:tcBorders>
              <w:top w:val="single" w:color="auto" w:sz="6" w:space="0"/>
              <w:left w:val="single" w:color="auto" w:sz="6" w:space="0"/>
              <w:bottom w:val="single" w:color="auto" w:sz="6" w:space="0"/>
              <w:right w:val="single" w:color="auto" w:sz="6" w:space="0"/>
            </w:tcBorders>
            <w:vAlign w:val="center"/>
          </w:tcPr>
          <w:p w14:paraId="43B91CB9">
            <w:pPr>
              <w:keepNext w:val="0"/>
              <w:keepLines w:val="0"/>
              <w:suppressLineNumbers w:val="0"/>
              <w:spacing w:before="0" w:beforeAutospacing="0" w:after="0" w:afterAutospacing="0" w:line="300" w:lineRule="exact"/>
              <w:ind w:left="0" w:right="0" w:firstLine="178" w:firstLineChars="85"/>
              <w:rPr>
                <w:rFonts w:hint="eastAsia" w:ascii="仿宋" w:hAnsi="仿宋" w:eastAsia="仿宋" w:cs="仿宋"/>
                <w:color w:val="auto"/>
                <w:szCs w:val="21"/>
              </w:rPr>
            </w:pPr>
            <w:r>
              <w:rPr>
                <w:rFonts w:hint="eastAsia" w:ascii="仿宋" w:hAnsi="仿宋" w:eastAsia="仿宋" w:cs="仿宋"/>
                <w:color w:val="auto"/>
                <w:szCs w:val="21"/>
              </w:rPr>
              <w:t>100—500</w:t>
            </w:r>
          </w:p>
        </w:tc>
        <w:tc>
          <w:tcPr>
            <w:tcW w:w="1982" w:type="dxa"/>
            <w:tcBorders>
              <w:top w:val="single" w:color="auto" w:sz="6" w:space="0"/>
              <w:left w:val="single" w:color="auto" w:sz="6" w:space="0"/>
              <w:bottom w:val="single" w:color="auto" w:sz="6" w:space="0"/>
              <w:right w:val="single" w:color="auto" w:sz="6" w:space="0"/>
            </w:tcBorders>
            <w:vAlign w:val="center"/>
          </w:tcPr>
          <w:p w14:paraId="668A9AA2">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1.l％</w:t>
            </w:r>
          </w:p>
        </w:tc>
        <w:tc>
          <w:tcPr>
            <w:tcW w:w="1870" w:type="dxa"/>
            <w:tcBorders>
              <w:top w:val="single" w:color="auto" w:sz="6" w:space="0"/>
              <w:left w:val="single" w:color="auto" w:sz="6" w:space="0"/>
              <w:bottom w:val="single" w:color="auto" w:sz="6" w:space="0"/>
              <w:right w:val="single" w:color="auto" w:sz="6" w:space="0"/>
            </w:tcBorders>
            <w:vAlign w:val="center"/>
          </w:tcPr>
          <w:p w14:paraId="2A1F194E">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0.8％</w:t>
            </w:r>
          </w:p>
        </w:tc>
        <w:tc>
          <w:tcPr>
            <w:tcW w:w="1728" w:type="dxa"/>
            <w:tcBorders>
              <w:top w:val="single" w:color="auto" w:sz="6" w:space="0"/>
              <w:left w:val="single" w:color="auto" w:sz="6" w:space="0"/>
              <w:bottom w:val="single" w:color="auto" w:sz="6" w:space="0"/>
              <w:right w:val="single" w:color="auto" w:sz="6" w:space="0"/>
            </w:tcBorders>
            <w:vAlign w:val="center"/>
          </w:tcPr>
          <w:p w14:paraId="6F4BFC61">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0.7％</w:t>
            </w:r>
          </w:p>
        </w:tc>
      </w:tr>
      <w:tr w14:paraId="7D41B9C8">
        <w:tblPrEx>
          <w:tblCellMar>
            <w:top w:w="0" w:type="dxa"/>
            <w:left w:w="0" w:type="dxa"/>
            <w:bottom w:w="0" w:type="dxa"/>
            <w:right w:w="0" w:type="dxa"/>
          </w:tblCellMar>
        </w:tblPrEx>
        <w:tc>
          <w:tcPr>
            <w:tcW w:w="2880" w:type="dxa"/>
            <w:tcBorders>
              <w:top w:val="single" w:color="auto" w:sz="6" w:space="0"/>
              <w:left w:val="single" w:color="auto" w:sz="6" w:space="0"/>
              <w:bottom w:val="single" w:color="auto" w:sz="6" w:space="0"/>
              <w:right w:val="single" w:color="auto" w:sz="6" w:space="0"/>
            </w:tcBorders>
            <w:vAlign w:val="center"/>
          </w:tcPr>
          <w:p w14:paraId="5B19BF1E">
            <w:pPr>
              <w:keepNext w:val="0"/>
              <w:keepLines w:val="0"/>
              <w:suppressLineNumbers w:val="0"/>
              <w:spacing w:before="0" w:beforeAutospacing="0" w:after="0" w:afterAutospacing="0" w:line="300" w:lineRule="exact"/>
              <w:ind w:left="0" w:right="0" w:firstLine="178" w:firstLineChars="85"/>
              <w:rPr>
                <w:rFonts w:hint="eastAsia" w:ascii="仿宋" w:hAnsi="仿宋" w:eastAsia="仿宋" w:cs="仿宋"/>
                <w:color w:val="auto"/>
                <w:szCs w:val="21"/>
              </w:rPr>
            </w:pPr>
            <w:r>
              <w:rPr>
                <w:rFonts w:hint="eastAsia" w:ascii="仿宋" w:hAnsi="仿宋" w:eastAsia="仿宋" w:cs="仿宋"/>
                <w:color w:val="auto"/>
                <w:szCs w:val="21"/>
              </w:rPr>
              <w:t>500—1000</w:t>
            </w:r>
          </w:p>
        </w:tc>
        <w:tc>
          <w:tcPr>
            <w:tcW w:w="1982" w:type="dxa"/>
            <w:tcBorders>
              <w:top w:val="single" w:color="auto" w:sz="6" w:space="0"/>
              <w:left w:val="single" w:color="auto" w:sz="6" w:space="0"/>
              <w:bottom w:val="single" w:color="auto" w:sz="6" w:space="0"/>
              <w:right w:val="single" w:color="auto" w:sz="6" w:space="0"/>
            </w:tcBorders>
            <w:vAlign w:val="center"/>
          </w:tcPr>
          <w:p w14:paraId="6E34E91A">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0.8％</w:t>
            </w:r>
          </w:p>
        </w:tc>
        <w:tc>
          <w:tcPr>
            <w:tcW w:w="1870" w:type="dxa"/>
            <w:tcBorders>
              <w:top w:val="single" w:color="auto" w:sz="6" w:space="0"/>
              <w:left w:val="single" w:color="auto" w:sz="6" w:space="0"/>
              <w:bottom w:val="single" w:color="auto" w:sz="6" w:space="0"/>
              <w:right w:val="single" w:color="auto" w:sz="6" w:space="0"/>
            </w:tcBorders>
            <w:vAlign w:val="center"/>
          </w:tcPr>
          <w:p w14:paraId="7BAA8A32">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0.45％</w:t>
            </w:r>
          </w:p>
        </w:tc>
        <w:tc>
          <w:tcPr>
            <w:tcW w:w="1728" w:type="dxa"/>
            <w:tcBorders>
              <w:top w:val="single" w:color="auto" w:sz="6" w:space="0"/>
              <w:left w:val="single" w:color="auto" w:sz="6" w:space="0"/>
              <w:bottom w:val="single" w:color="auto" w:sz="6" w:space="0"/>
              <w:right w:val="single" w:color="auto" w:sz="6" w:space="0"/>
            </w:tcBorders>
            <w:vAlign w:val="center"/>
          </w:tcPr>
          <w:p w14:paraId="7168423D">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0.55％</w:t>
            </w:r>
          </w:p>
        </w:tc>
      </w:tr>
      <w:tr w14:paraId="7EFA7B6D">
        <w:tblPrEx>
          <w:tblCellMar>
            <w:top w:w="0" w:type="dxa"/>
            <w:left w:w="0" w:type="dxa"/>
            <w:bottom w:w="0" w:type="dxa"/>
            <w:right w:w="0" w:type="dxa"/>
          </w:tblCellMar>
        </w:tblPrEx>
        <w:tc>
          <w:tcPr>
            <w:tcW w:w="2880" w:type="dxa"/>
            <w:tcBorders>
              <w:top w:val="single" w:color="auto" w:sz="6" w:space="0"/>
              <w:left w:val="single" w:color="auto" w:sz="6" w:space="0"/>
              <w:bottom w:val="single" w:color="auto" w:sz="6" w:space="0"/>
              <w:right w:val="single" w:color="auto" w:sz="6" w:space="0"/>
            </w:tcBorders>
            <w:vAlign w:val="center"/>
          </w:tcPr>
          <w:p w14:paraId="34AB8927">
            <w:pPr>
              <w:keepNext w:val="0"/>
              <w:keepLines w:val="0"/>
              <w:suppressLineNumbers w:val="0"/>
              <w:spacing w:before="0" w:beforeAutospacing="0" w:after="0" w:afterAutospacing="0" w:line="300" w:lineRule="exact"/>
              <w:ind w:left="0" w:right="0" w:firstLine="178" w:firstLineChars="85"/>
              <w:rPr>
                <w:rFonts w:hint="eastAsia" w:ascii="仿宋" w:hAnsi="仿宋" w:eastAsia="仿宋" w:cs="仿宋"/>
                <w:color w:val="auto"/>
                <w:szCs w:val="21"/>
              </w:rPr>
            </w:pPr>
            <w:r>
              <w:rPr>
                <w:rFonts w:hint="eastAsia" w:ascii="仿宋" w:hAnsi="仿宋" w:eastAsia="仿宋" w:cs="仿宋"/>
                <w:color w:val="auto"/>
                <w:szCs w:val="21"/>
              </w:rPr>
              <w:t>1000—5000</w:t>
            </w:r>
          </w:p>
        </w:tc>
        <w:tc>
          <w:tcPr>
            <w:tcW w:w="1982" w:type="dxa"/>
            <w:tcBorders>
              <w:top w:val="single" w:color="auto" w:sz="6" w:space="0"/>
              <w:left w:val="single" w:color="auto" w:sz="6" w:space="0"/>
              <w:bottom w:val="single" w:color="auto" w:sz="6" w:space="0"/>
              <w:right w:val="single" w:color="auto" w:sz="6" w:space="0"/>
            </w:tcBorders>
            <w:vAlign w:val="center"/>
          </w:tcPr>
          <w:p w14:paraId="29EF99DC">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0.5％</w:t>
            </w:r>
          </w:p>
        </w:tc>
        <w:tc>
          <w:tcPr>
            <w:tcW w:w="1870" w:type="dxa"/>
            <w:tcBorders>
              <w:top w:val="single" w:color="auto" w:sz="6" w:space="0"/>
              <w:left w:val="single" w:color="auto" w:sz="6" w:space="0"/>
              <w:bottom w:val="single" w:color="auto" w:sz="6" w:space="0"/>
              <w:right w:val="single" w:color="auto" w:sz="6" w:space="0"/>
            </w:tcBorders>
            <w:vAlign w:val="center"/>
          </w:tcPr>
          <w:p w14:paraId="5A7192F9">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0.25％</w:t>
            </w:r>
          </w:p>
        </w:tc>
        <w:tc>
          <w:tcPr>
            <w:tcW w:w="1728" w:type="dxa"/>
            <w:tcBorders>
              <w:top w:val="single" w:color="auto" w:sz="6" w:space="0"/>
              <w:left w:val="single" w:color="auto" w:sz="6" w:space="0"/>
              <w:bottom w:val="single" w:color="auto" w:sz="6" w:space="0"/>
              <w:right w:val="single" w:color="auto" w:sz="6" w:space="0"/>
            </w:tcBorders>
            <w:vAlign w:val="center"/>
          </w:tcPr>
          <w:p w14:paraId="24BC4152">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0.35％</w:t>
            </w:r>
          </w:p>
        </w:tc>
      </w:tr>
      <w:tr w14:paraId="66376CF3">
        <w:tblPrEx>
          <w:tblCellMar>
            <w:top w:w="0" w:type="dxa"/>
            <w:left w:w="0" w:type="dxa"/>
            <w:bottom w:w="0" w:type="dxa"/>
            <w:right w:w="0" w:type="dxa"/>
          </w:tblCellMar>
        </w:tblPrEx>
        <w:tc>
          <w:tcPr>
            <w:tcW w:w="2880" w:type="dxa"/>
            <w:tcBorders>
              <w:top w:val="single" w:color="auto" w:sz="6" w:space="0"/>
              <w:left w:val="single" w:color="auto" w:sz="6" w:space="0"/>
              <w:bottom w:val="single" w:color="auto" w:sz="6" w:space="0"/>
              <w:right w:val="single" w:color="auto" w:sz="6" w:space="0"/>
            </w:tcBorders>
            <w:vAlign w:val="center"/>
          </w:tcPr>
          <w:p w14:paraId="40CA173E">
            <w:pPr>
              <w:keepNext w:val="0"/>
              <w:keepLines w:val="0"/>
              <w:suppressLineNumbers w:val="0"/>
              <w:spacing w:before="0" w:beforeAutospacing="0" w:after="0" w:afterAutospacing="0" w:line="300" w:lineRule="exact"/>
              <w:ind w:left="0" w:right="0" w:firstLine="178" w:firstLineChars="85"/>
              <w:rPr>
                <w:rFonts w:hint="eastAsia" w:ascii="仿宋" w:hAnsi="仿宋" w:eastAsia="仿宋" w:cs="仿宋"/>
                <w:color w:val="auto"/>
                <w:szCs w:val="21"/>
              </w:rPr>
            </w:pPr>
            <w:r>
              <w:rPr>
                <w:rFonts w:hint="eastAsia" w:ascii="仿宋" w:hAnsi="仿宋" w:eastAsia="仿宋" w:cs="仿宋"/>
                <w:color w:val="auto"/>
                <w:szCs w:val="21"/>
              </w:rPr>
              <w:t>5000—10000</w:t>
            </w:r>
          </w:p>
        </w:tc>
        <w:tc>
          <w:tcPr>
            <w:tcW w:w="1982" w:type="dxa"/>
            <w:tcBorders>
              <w:top w:val="single" w:color="auto" w:sz="6" w:space="0"/>
              <w:left w:val="single" w:color="auto" w:sz="6" w:space="0"/>
              <w:bottom w:val="single" w:color="auto" w:sz="6" w:space="0"/>
              <w:right w:val="single" w:color="auto" w:sz="6" w:space="0"/>
            </w:tcBorders>
            <w:vAlign w:val="center"/>
          </w:tcPr>
          <w:p w14:paraId="6DC21CFB">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0.25％</w:t>
            </w:r>
          </w:p>
        </w:tc>
        <w:tc>
          <w:tcPr>
            <w:tcW w:w="1870" w:type="dxa"/>
            <w:tcBorders>
              <w:top w:val="single" w:color="auto" w:sz="6" w:space="0"/>
              <w:left w:val="single" w:color="auto" w:sz="6" w:space="0"/>
              <w:bottom w:val="single" w:color="auto" w:sz="6" w:space="0"/>
              <w:right w:val="single" w:color="auto" w:sz="6" w:space="0"/>
            </w:tcBorders>
            <w:vAlign w:val="center"/>
          </w:tcPr>
          <w:p w14:paraId="1B667C55">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0.1％</w:t>
            </w:r>
          </w:p>
        </w:tc>
        <w:tc>
          <w:tcPr>
            <w:tcW w:w="1728" w:type="dxa"/>
            <w:tcBorders>
              <w:top w:val="single" w:color="auto" w:sz="6" w:space="0"/>
              <w:left w:val="single" w:color="auto" w:sz="6" w:space="0"/>
              <w:bottom w:val="single" w:color="auto" w:sz="6" w:space="0"/>
              <w:right w:val="single" w:color="auto" w:sz="6" w:space="0"/>
            </w:tcBorders>
            <w:vAlign w:val="center"/>
          </w:tcPr>
          <w:p w14:paraId="592BCC2F">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0.2％</w:t>
            </w:r>
          </w:p>
        </w:tc>
      </w:tr>
      <w:tr w14:paraId="14DF09CE">
        <w:tblPrEx>
          <w:tblCellMar>
            <w:top w:w="0" w:type="dxa"/>
            <w:left w:w="0" w:type="dxa"/>
            <w:bottom w:w="0" w:type="dxa"/>
            <w:right w:w="0" w:type="dxa"/>
          </w:tblCellMar>
        </w:tblPrEx>
        <w:tc>
          <w:tcPr>
            <w:tcW w:w="2880" w:type="dxa"/>
            <w:tcBorders>
              <w:top w:val="single" w:color="auto" w:sz="6" w:space="0"/>
              <w:left w:val="single" w:color="auto" w:sz="6" w:space="0"/>
              <w:bottom w:val="single" w:color="auto" w:sz="6" w:space="0"/>
              <w:right w:val="single" w:color="auto" w:sz="6" w:space="0"/>
            </w:tcBorders>
            <w:vAlign w:val="center"/>
          </w:tcPr>
          <w:p w14:paraId="76DBC762">
            <w:pPr>
              <w:keepNext w:val="0"/>
              <w:keepLines w:val="0"/>
              <w:suppressLineNumbers w:val="0"/>
              <w:spacing w:before="0" w:beforeAutospacing="0" w:after="0" w:afterAutospacing="0" w:line="300" w:lineRule="exact"/>
              <w:ind w:left="0" w:right="0" w:firstLine="178" w:firstLineChars="85"/>
              <w:rPr>
                <w:rFonts w:hint="eastAsia" w:ascii="仿宋" w:hAnsi="仿宋" w:eastAsia="仿宋" w:cs="仿宋"/>
                <w:color w:val="auto"/>
                <w:szCs w:val="21"/>
              </w:rPr>
            </w:pPr>
            <w:r>
              <w:rPr>
                <w:rFonts w:hint="eastAsia" w:ascii="仿宋" w:hAnsi="仿宋" w:eastAsia="仿宋" w:cs="仿宋"/>
                <w:color w:val="auto"/>
                <w:szCs w:val="21"/>
              </w:rPr>
              <w:t>10000—100000</w:t>
            </w:r>
          </w:p>
        </w:tc>
        <w:tc>
          <w:tcPr>
            <w:tcW w:w="1982" w:type="dxa"/>
            <w:tcBorders>
              <w:top w:val="single" w:color="auto" w:sz="6" w:space="0"/>
              <w:left w:val="single" w:color="auto" w:sz="6" w:space="0"/>
              <w:bottom w:val="single" w:color="auto" w:sz="6" w:space="0"/>
              <w:right w:val="single" w:color="auto" w:sz="6" w:space="0"/>
            </w:tcBorders>
            <w:vAlign w:val="center"/>
          </w:tcPr>
          <w:p w14:paraId="5FAB5955">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0.05％</w:t>
            </w:r>
          </w:p>
        </w:tc>
        <w:tc>
          <w:tcPr>
            <w:tcW w:w="1870" w:type="dxa"/>
            <w:tcBorders>
              <w:top w:val="single" w:color="auto" w:sz="6" w:space="0"/>
              <w:left w:val="single" w:color="auto" w:sz="6" w:space="0"/>
              <w:bottom w:val="single" w:color="auto" w:sz="6" w:space="0"/>
              <w:right w:val="single" w:color="auto" w:sz="6" w:space="0"/>
            </w:tcBorders>
            <w:vAlign w:val="center"/>
          </w:tcPr>
          <w:p w14:paraId="4F35624A">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0.05％</w:t>
            </w:r>
          </w:p>
        </w:tc>
        <w:tc>
          <w:tcPr>
            <w:tcW w:w="1728" w:type="dxa"/>
            <w:tcBorders>
              <w:top w:val="single" w:color="auto" w:sz="6" w:space="0"/>
              <w:left w:val="single" w:color="auto" w:sz="6" w:space="0"/>
              <w:bottom w:val="single" w:color="auto" w:sz="6" w:space="0"/>
              <w:right w:val="single" w:color="auto" w:sz="6" w:space="0"/>
            </w:tcBorders>
            <w:vAlign w:val="center"/>
          </w:tcPr>
          <w:p w14:paraId="157DDE41">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0.05％</w:t>
            </w:r>
          </w:p>
        </w:tc>
      </w:tr>
      <w:tr w14:paraId="54E305F9">
        <w:tblPrEx>
          <w:tblCellMar>
            <w:top w:w="0" w:type="dxa"/>
            <w:left w:w="0" w:type="dxa"/>
            <w:bottom w:w="0" w:type="dxa"/>
            <w:right w:w="0" w:type="dxa"/>
          </w:tblCellMar>
        </w:tblPrEx>
        <w:tc>
          <w:tcPr>
            <w:tcW w:w="2880" w:type="dxa"/>
            <w:tcBorders>
              <w:top w:val="single" w:color="auto" w:sz="6" w:space="0"/>
              <w:left w:val="single" w:color="auto" w:sz="6" w:space="0"/>
              <w:bottom w:val="single" w:color="auto" w:sz="6" w:space="0"/>
              <w:right w:val="single" w:color="auto" w:sz="6" w:space="0"/>
            </w:tcBorders>
            <w:vAlign w:val="center"/>
          </w:tcPr>
          <w:p w14:paraId="6FDD6CBF">
            <w:pPr>
              <w:keepNext w:val="0"/>
              <w:keepLines w:val="0"/>
              <w:suppressLineNumbers w:val="0"/>
              <w:spacing w:before="0" w:beforeAutospacing="0" w:after="0" w:afterAutospacing="0" w:line="300" w:lineRule="exact"/>
              <w:ind w:left="0" w:right="0" w:firstLine="178" w:firstLineChars="85"/>
              <w:rPr>
                <w:rFonts w:hint="eastAsia" w:ascii="仿宋" w:hAnsi="仿宋" w:eastAsia="仿宋" w:cs="仿宋"/>
                <w:color w:val="auto"/>
                <w:szCs w:val="21"/>
              </w:rPr>
            </w:pPr>
            <w:r>
              <w:rPr>
                <w:rFonts w:hint="eastAsia" w:ascii="仿宋" w:hAnsi="仿宋" w:eastAsia="仿宋" w:cs="仿宋"/>
                <w:color w:val="auto"/>
                <w:szCs w:val="21"/>
              </w:rPr>
              <w:t>1000000以上</w:t>
            </w:r>
          </w:p>
        </w:tc>
        <w:tc>
          <w:tcPr>
            <w:tcW w:w="1982" w:type="dxa"/>
            <w:tcBorders>
              <w:top w:val="single" w:color="auto" w:sz="6" w:space="0"/>
              <w:left w:val="single" w:color="auto" w:sz="6" w:space="0"/>
              <w:bottom w:val="single" w:color="auto" w:sz="6" w:space="0"/>
              <w:right w:val="single" w:color="auto" w:sz="6" w:space="0"/>
            </w:tcBorders>
            <w:vAlign w:val="center"/>
          </w:tcPr>
          <w:p w14:paraId="24EEA9F5">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0.01％</w:t>
            </w:r>
          </w:p>
        </w:tc>
        <w:tc>
          <w:tcPr>
            <w:tcW w:w="1870" w:type="dxa"/>
            <w:tcBorders>
              <w:top w:val="single" w:color="auto" w:sz="6" w:space="0"/>
              <w:left w:val="single" w:color="auto" w:sz="6" w:space="0"/>
              <w:bottom w:val="single" w:color="auto" w:sz="6" w:space="0"/>
              <w:right w:val="single" w:color="auto" w:sz="6" w:space="0"/>
            </w:tcBorders>
            <w:vAlign w:val="center"/>
          </w:tcPr>
          <w:p w14:paraId="6B86453D">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0.01％</w:t>
            </w:r>
          </w:p>
        </w:tc>
        <w:tc>
          <w:tcPr>
            <w:tcW w:w="1728" w:type="dxa"/>
            <w:tcBorders>
              <w:top w:val="single" w:color="auto" w:sz="6" w:space="0"/>
              <w:left w:val="single" w:color="auto" w:sz="6" w:space="0"/>
              <w:bottom w:val="single" w:color="auto" w:sz="6" w:space="0"/>
              <w:right w:val="single" w:color="auto" w:sz="6" w:space="0"/>
            </w:tcBorders>
            <w:vAlign w:val="center"/>
          </w:tcPr>
          <w:p w14:paraId="61BB0779">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Cs w:val="21"/>
              </w:rPr>
            </w:pPr>
            <w:r>
              <w:rPr>
                <w:rFonts w:hint="eastAsia" w:ascii="仿宋" w:hAnsi="仿宋" w:eastAsia="仿宋" w:cs="仿宋"/>
                <w:color w:val="auto"/>
                <w:szCs w:val="21"/>
              </w:rPr>
              <w:t>0.01％</w:t>
            </w:r>
          </w:p>
        </w:tc>
      </w:tr>
      <w:tr w14:paraId="2022D57B">
        <w:tblPrEx>
          <w:tblCellMar>
            <w:top w:w="0" w:type="dxa"/>
            <w:left w:w="0" w:type="dxa"/>
            <w:bottom w:w="0" w:type="dxa"/>
            <w:right w:w="0" w:type="dxa"/>
          </w:tblCellMar>
        </w:tblPrEx>
        <w:tc>
          <w:tcPr>
            <w:tcW w:w="8460" w:type="dxa"/>
            <w:gridSpan w:val="4"/>
            <w:tcBorders>
              <w:top w:val="single" w:color="auto" w:sz="6" w:space="0"/>
              <w:left w:val="single" w:color="auto" w:sz="6" w:space="0"/>
              <w:bottom w:val="single" w:color="auto" w:sz="6" w:space="0"/>
              <w:right w:val="single" w:color="auto" w:sz="6" w:space="0"/>
            </w:tcBorders>
            <w:vAlign w:val="center"/>
          </w:tcPr>
          <w:p w14:paraId="459CA9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auto"/>
                <w:szCs w:val="21"/>
              </w:rPr>
            </w:pPr>
            <w:r>
              <w:rPr>
                <w:rFonts w:hint="eastAsia" w:ascii="仿宋" w:hAnsi="仿宋" w:eastAsia="仿宋" w:cs="仿宋"/>
                <w:color w:val="auto"/>
                <w:szCs w:val="21"/>
              </w:rPr>
              <w:t>注：招标代理服务收费按差额定率累进法计算。</w:t>
            </w:r>
          </w:p>
        </w:tc>
      </w:tr>
    </w:tbl>
    <w:p w14:paraId="2CE2F0BC">
      <w:pPr>
        <w:pStyle w:val="60"/>
        <w:rPr>
          <w:rFonts w:hint="eastAsia" w:ascii="仿宋" w:hAnsi="仿宋" w:eastAsia="仿宋" w:cs="仿宋"/>
          <w:color w:val="auto"/>
        </w:rPr>
      </w:pPr>
    </w:p>
    <w:p w14:paraId="3E602A05">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 xml:space="preserve"> 采购代理服务费，可以采取现金、支票、银行汇票、电汇、网银等方式交纳，但不得用磋商保证金冲抵。</w:t>
      </w:r>
    </w:p>
    <w:bookmarkEnd w:id="138"/>
    <w:p w14:paraId="5B15E071">
      <w:pPr>
        <w:pageBreakBefore w:val="0"/>
        <w:kinsoku/>
        <w:wordWrap/>
        <w:overflowPunct/>
        <w:topLinePunct w:val="0"/>
        <w:bidi w:val="0"/>
        <w:spacing w:before="240" w:beforeLines="100" w:after="120" w:afterLines="50" w:line="400" w:lineRule="exact"/>
        <w:outlineLvl w:val="1"/>
        <w:rPr>
          <w:rFonts w:hint="eastAsia" w:ascii="仿宋" w:hAnsi="仿宋" w:eastAsia="仿宋" w:cs="仿宋"/>
          <w:color w:val="auto"/>
          <w:sz w:val="40"/>
          <w:szCs w:val="40"/>
          <w:highlight w:val="none"/>
        </w:rPr>
      </w:pPr>
      <w:bookmarkStart w:id="154" w:name="_Toc25506"/>
      <w:bookmarkStart w:id="155" w:name="_Toc25673"/>
      <w:bookmarkStart w:id="156" w:name="_Toc27185"/>
      <w:bookmarkStart w:id="157" w:name="_Toc5669_WPSOffice_Level2"/>
      <w:bookmarkStart w:id="158" w:name="_Toc5346"/>
      <w:bookmarkStart w:id="159" w:name="_Toc12558"/>
      <w:bookmarkStart w:id="160" w:name="_Toc19478"/>
      <w:r>
        <w:rPr>
          <w:rFonts w:hint="eastAsia" w:ascii="仿宋" w:hAnsi="仿宋" w:eastAsia="仿宋" w:cs="仿宋"/>
          <w:color w:val="auto"/>
          <w:sz w:val="40"/>
          <w:szCs w:val="40"/>
          <w:highlight w:val="none"/>
        </w:rPr>
        <w:t>12.质疑与投诉</w:t>
      </w:r>
      <w:bookmarkEnd w:id="154"/>
      <w:bookmarkEnd w:id="155"/>
      <w:bookmarkEnd w:id="156"/>
      <w:bookmarkEnd w:id="157"/>
      <w:bookmarkEnd w:id="158"/>
      <w:bookmarkEnd w:id="159"/>
      <w:bookmarkEnd w:id="160"/>
    </w:p>
    <w:p w14:paraId="16755390">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12.1质疑</w:t>
      </w:r>
    </w:p>
    <w:p w14:paraId="373C9352">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12.1.1供应商对本次磋商采购活动有疑问的，应当按照《中华人民共和国政府采购法实施条例》的有关规定办理。</w:t>
      </w:r>
    </w:p>
    <w:p w14:paraId="549A3EE7">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12.1.2 供应商对采购文件、采购过程或成交结果使自身的合法权益受到损害，应当在法定期限内，按照质疑函范本格式要求以书面形式向采购代理机构或采购人提出质疑，并附必要的证明材料。</w:t>
      </w:r>
    </w:p>
    <w:p w14:paraId="203477E2">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12.1.3 质疑函应当包括下列内容：</w:t>
      </w:r>
    </w:p>
    <w:p w14:paraId="6A49A3FA">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（1）供应商的姓名或者名称、地址、邮编、联系人及联系电话；</w:t>
      </w:r>
    </w:p>
    <w:p w14:paraId="40831407">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（2）质疑项目的名称、编号；</w:t>
      </w:r>
    </w:p>
    <w:p w14:paraId="5631C1AB">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（3）具体、明确的质疑事项和与质疑事项相关的请求；</w:t>
      </w:r>
    </w:p>
    <w:p w14:paraId="762A69A4">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（4）事实依据；</w:t>
      </w:r>
    </w:p>
    <w:p w14:paraId="68BB6CD9">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（5）必要的法律依据；</w:t>
      </w:r>
    </w:p>
    <w:p w14:paraId="56C18AFC">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（6）提出质疑的日期。</w:t>
      </w:r>
    </w:p>
    <w:p w14:paraId="7B1DE768">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供应商为法人的，应当由法定代表人或者其委托代理人签字或者盖章，并加盖单位章。</w:t>
      </w:r>
    </w:p>
    <w:p w14:paraId="782EA5D1">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12.1.4质疑人可以委托代理人办理质疑事项，代理人办理质疑事项时，除提交质疑函外，还应当提交质疑人的授权委托书及代理人的有效身份证明，授权委托书应当载明委托代理的具体权限期限和相关事项。</w:t>
      </w:r>
    </w:p>
    <w:p w14:paraId="09E355D1">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12.1.5 质疑函范本格式在中国政府采购网站（http://www.ccgp.gov.cn/）自行下载。</w:t>
      </w:r>
    </w:p>
    <w:p w14:paraId="270F4722">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12.1.6 接收质疑函的联系部门、联系电话和通讯地址同招标公告。</w:t>
      </w:r>
    </w:p>
    <w:p w14:paraId="739DC9B7">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12.1.7 有下列情形之一的，属于无效质疑，采购代理机构和采购人不予受理：</w:t>
      </w:r>
    </w:p>
    <w:p w14:paraId="27311040">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（1）质疑人不是参与本次政府采购项目的供应商；</w:t>
      </w:r>
    </w:p>
    <w:p w14:paraId="70D47023">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（2）质疑人与质疑事项不存在利害关系的；</w:t>
      </w:r>
    </w:p>
    <w:p w14:paraId="46E99B25">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（3）未在法定期限内提出质疑的；</w:t>
      </w:r>
    </w:p>
    <w:p w14:paraId="5850983B">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（4）质疑未以书面形式提出，以传真、电子邮件、移动通信等形式即时收悉提交的质疑材料；</w:t>
      </w:r>
    </w:p>
    <w:p w14:paraId="42AAADD2">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（5）质疑未按质疑函范本格式提出的；</w:t>
      </w:r>
    </w:p>
    <w:p w14:paraId="580D0445">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（6）质疑书主要内容构成不完整的；</w:t>
      </w:r>
    </w:p>
    <w:p w14:paraId="590EB753">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（7）质疑书没有合法有效的签字、盖章或授权的；</w:t>
      </w:r>
    </w:p>
    <w:p w14:paraId="05C15423">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（8）以非法手段取得证据、材料的；</w:t>
      </w:r>
    </w:p>
    <w:p w14:paraId="28A95D7B">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（9）质疑答复后，同一质疑人就同一事项</w:t>
      </w:r>
      <w:r>
        <w:rPr>
          <w:rFonts w:hint="eastAsia" w:ascii="仿宋" w:hAnsi="仿宋" w:eastAsia="仿宋" w:cs="仿宋"/>
          <w:color w:val="auto"/>
          <w:sz w:val="22"/>
          <w:szCs w:val="22"/>
          <w:highlight w:val="none"/>
          <w:lang w:eastAsia="zh-CN"/>
        </w:rPr>
        <w:t>以同样的内容</w:t>
      </w:r>
      <w:r>
        <w:rPr>
          <w:rFonts w:hint="eastAsia" w:ascii="仿宋" w:hAnsi="仿宋" w:eastAsia="仿宋" w:cs="仿宋"/>
          <w:color w:val="auto"/>
          <w:sz w:val="22"/>
          <w:szCs w:val="22"/>
          <w:highlight w:val="none"/>
        </w:rPr>
        <w:t>再次提出质疑的；</w:t>
      </w:r>
    </w:p>
    <w:p w14:paraId="3962F6B6">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（10）不符合法律、法规、规章和政府采购监管机构规定的其他条件的。</w:t>
      </w:r>
    </w:p>
    <w:p w14:paraId="238F0F01">
      <w:pPr>
        <w:pageBreakBefore w:val="0"/>
        <w:widowControl/>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12.1.8 采购代理机构或采购人将在收到书面质疑后7个工作日内做出答复，并以书面形式通知质疑人和其他有关供应商。</w:t>
      </w:r>
    </w:p>
    <w:p w14:paraId="27F34EFC">
      <w:pPr>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12.2 投诉</w:t>
      </w:r>
    </w:p>
    <w:p w14:paraId="0CD13FB0">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12.2.1 质疑人对采购代理机构或采购人的答复不满意，或者采购人、采购代理机构未在规定时间内作出答复的，可以在答复期满后15个工作日内向</w:t>
      </w:r>
      <w:r>
        <w:rPr>
          <w:rFonts w:hint="eastAsia" w:ascii="仿宋" w:hAnsi="仿宋" w:eastAsia="仿宋" w:cs="仿宋"/>
          <w:b/>
          <w:bCs/>
          <w:color w:val="auto"/>
          <w:sz w:val="22"/>
          <w:szCs w:val="22"/>
          <w:highlight w:val="none"/>
          <w:lang w:val="en-US" w:eastAsia="zh-CN"/>
        </w:rPr>
        <w:t>汉台区财政局</w:t>
      </w:r>
      <w:r>
        <w:rPr>
          <w:rFonts w:hint="eastAsia" w:ascii="仿宋" w:hAnsi="仿宋" w:eastAsia="仿宋" w:cs="仿宋"/>
          <w:color w:val="auto"/>
          <w:sz w:val="22"/>
          <w:szCs w:val="22"/>
          <w:highlight w:val="none"/>
        </w:rPr>
        <w:t>提起投诉</w:t>
      </w:r>
      <w:r>
        <w:rPr>
          <w:rFonts w:hint="eastAsia" w:ascii="仿宋" w:hAnsi="仿宋" w:eastAsia="仿宋" w:cs="仿宋"/>
          <w:color w:val="auto"/>
          <w:sz w:val="22"/>
          <w:szCs w:val="22"/>
          <w:highlight w:val="none"/>
          <w:lang w:eastAsia="zh-CN"/>
        </w:rPr>
        <w:t>。</w:t>
      </w:r>
    </w:p>
    <w:p w14:paraId="03F4CA38">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12.2.2 供应商投诉时,应当提交投诉书和必要的证明材料，并按照被投诉采购人、采购代理机构（以下简称被投诉人）和与投诉事项有关的供应商数量提供投诉书的副本。投诉书应当包括下列内容：</w:t>
      </w:r>
    </w:p>
    <w:p w14:paraId="2C9A3BAC">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（1）投诉人和被投诉人的姓名或者名称、通讯地址、邮编、联系人及联系电话；</w:t>
      </w:r>
    </w:p>
    <w:p w14:paraId="570924F2">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（2）质疑和质疑答复情况说明及相关证明材料；</w:t>
      </w:r>
    </w:p>
    <w:p w14:paraId="4323AB12">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（3）具体、明确的投诉事项和与投诉事项相关的投诉请求；</w:t>
      </w:r>
    </w:p>
    <w:p w14:paraId="58BB5906">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（4）事实依据；</w:t>
      </w:r>
    </w:p>
    <w:p w14:paraId="485EEF17">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（5）法律依据；</w:t>
      </w:r>
    </w:p>
    <w:p w14:paraId="155861B7">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（6）提起投诉的日期。</w:t>
      </w:r>
    </w:p>
    <w:p w14:paraId="11EA15C3">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投诉人为自然人的，应当由本人签字；投诉人为法人或者其他组织的，应当由法定代表人、主要负责人，或者其委托代理人签字或者盖章，并加盖单位章。</w:t>
      </w:r>
    </w:p>
    <w:p w14:paraId="558ABD52">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12.2.3 投诉书范本格式在中国政府采购网站（http://www.ccgp.gov.cn/）自行下载。</w:t>
      </w:r>
    </w:p>
    <w:p w14:paraId="0437B03B">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12.2.4 投诉人提起投诉应当符合下列条件：</w:t>
      </w:r>
    </w:p>
    <w:p w14:paraId="68A49E49">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（1）提起投诉前已依法进行质疑；</w:t>
      </w:r>
    </w:p>
    <w:p w14:paraId="1793A720">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（2）投诉书内容符合财政部94号令的规定；</w:t>
      </w:r>
    </w:p>
    <w:p w14:paraId="41DEDDE7">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（3）在投诉有效期限内提起投诉；</w:t>
      </w:r>
    </w:p>
    <w:p w14:paraId="01DAA6EE">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（4）同一投诉事项未经财政部门投诉处理；</w:t>
      </w:r>
    </w:p>
    <w:p w14:paraId="1CD288C9">
      <w:pPr>
        <w:pageBreakBefore w:val="0"/>
        <w:kinsoku/>
        <w:wordWrap/>
        <w:overflowPunct/>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12.2.5  投诉人投诉的事项不得超出已质疑事项的范围，但基于质疑答复内容提出的投诉事项除外。</w:t>
      </w:r>
    </w:p>
    <w:p w14:paraId="03C341F0">
      <w:pPr>
        <w:pageBreakBefore w:val="0"/>
        <w:kinsoku/>
        <w:wordWrap/>
        <w:overflowPunct/>
        <w:topLinePunct w:val="0"/>
        <w:bidi w:val="0"/>
        <w:spacing w:before="240" w:beforeLines="100" w:after="120" w:afterLines="50" w:line="400" w:lineRule="exact"/>
        <w:jc w:val="left"/>
        <w:outlineLvl w:val="1"/>
        <w:rPr>
          <w:rFonts w:hint="eastAsia" w:ascii="仿宋" w:hAnsi="仿宋" w:eastAsia="仿宋" w:cs="仿宋"/>
          <w:b/>
          <w:color w:val="auto"/>
          <w:sz w:val="40"/>
          <w:szCs w:val="40"/>
          <w:highlight w:val="none"/>
        </w:rPr>
      </w:pPr>
      <w:bookmarkStart w:id="161" w:name="_Toc27801"/>
      <w:bookmarkStart w:id="162" w:name="_Toc1585"/>
      <w:bookmarkStart w:id="163" w:name="_Toc31760"/>
      <w:bookmarkStart w:id="164" w:name="_Toc15388"/>
      <w:bookmarkStart w:id="165" w:name="_Toc1987"/>
      <w:bookmarkStart w:id="166" w:name="_Toc21385"/>
      <w:bookmarkStart w:id="167" w:name="_Toc25709_WPSOffice_Level2"/>
      <w:r>
        <w:rPr>
          <w:rFonts w:hint="eastAsia" w:ascii="仿宋" w:hAnsi="仿宋" w:eastAsia="仿宋" w:cs="仿宋"/>
          <w:bCs/>
          <w:color w:val="auto"/>
          <w:sz w:val="40"/>
          <w:szCs w:val="40"/>
          <w:highlight w:val="none"/>
        </w:rPr>
        <w:t>13</w:t>
      </w:r>
      <w:r>
        <w:rPr>
          <w:rFonts w:hint="eastAsia" w:ascii="仿宋" w:hAnsi="仿宋" w:eastAsia="仿宋" w:cs="仿宋"/>
          <w:b/>
          <w:color w:val="auto"/>
          <w:sz w:val="40"/>
          <w:szCs w:val="40"/>
          <w:highlight w:val="none"/>
        </w:rPr>
        <w:t>.</w:t>
      </w:r>
      <w:r>
        <w:rPr>
          <w:rFonts w:hint="eastAsia" w:ascii="仿宋" w:hAnsi="仿宋" w:eastAsia="仿宋" w:cs="仿宋"/>
          <w:bCs/>
          <w:color w:val="auto"/>
          <w:sz w:val="40"/>
          <w:szCs w:val="40"/>
          <w:highlight w:val="none"/>
        </w:rPr>
        <w:t>其他</w:t>
      </w:r>
      <w:bookmarkEnd w:id="161"/>
      <w:bookmarkEnd w:id="162"/>
      <w:bookmarkEnd w:id="163"/>
      <w:bookmarkEnd w:id="164"/>
      <w:bookmarkEnd w:id="165"/>
      <w:bookmarkEnd w:id="166"/>
      <w:bookmarkEnd w:id="167"/>
    </w:p>
    <w:p w14:paraId="1E305E8B">
      <w:pPr>
        <w:pageBreakBefore w:val="0"/>
        <w:kinsoku/>
        <w:wordWrap/>
        <w:overflowPunct/>
        <w:topLinePunct w:val="0"/>
        <w:bidi w:val="0"/>
        <w:spacing w:before="120" w:beforeLines="50" w:after="120" w:afterLines="50" w:line="400" w:lineRule="exact"/>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13.1融资担保</w:t>
      </w:r>
    </w:p>
    <w:p w14:paraId="0DEF987E">
      <w:pPr>
        <w:pageBreakBefore w:val="0"/>
        <w:kinsoku/>
        <w:wordWrap/>
        <w:overflowPunct/>
        <w:topLinePunct w:val="0"/>
        <w:bidi w:val="0"/>
        <w:spacing w:before="120" w:beforeLines="50" w:after="120" w:afterLines="50" w:line="400" w:lineRule="exact"/>
        <w:ind w:firstLine="440" w:firstLineChars="200"/>
        <w:jc w:val="left"/>
        <w:rPr>
          <w:rFonts w:hint="eastAsia" w:ascii="仿宋" w:hAnsi="仿宋" w:eastAsia="仿宋" w:cs="仿宋"/>
          <w:b/>
          <w:color w:val="auto"/>
          <w:sz w:val="32"/>
          <w:szCs w:val="32"/>
          <w:highlight w:val="none"/>
        </w:rPr>
      </w:pPr>
      <w:r>
        <w:rPr>
          <w:rFonts w:hint="eastAsia" w:ascii="仿宋" w:hAnsi="仿宋" w:eastAsia="仿宋" w:cs="仿宋"/>
          <w:color w:val="auto"/>
          <w:sz w:val="22"/>
          <w:szCs w:val="22"/>
          <w:highlight w:val="none"/>
        </w:rPr>
        <w:t>供应商为中小企业的可以自愿选择融资担保形式，为本采购项目进行融资。融资担保机构联系方式参见本章第4.5.2.3（2）条款。</w:t>
      </w:r>
    </w:p>
    <w:p w14:paraId="674F93C0">
      <w:pPr>
        <w:rPr>
          <w:rFonts w:hint="eastAsia" w:ascii="仿宋" w:hAnsi="仿宋" w:eastAsia="仿宋" w:cs="仿宋"/>
          <w:b/>
          <w:color w:val="auto"/>
          <w:sz w:val="44"/>
          <w:szCs w:val="44"/>
          <w:highlight w:val="none"/>
        </w:rPr>
      </w:pPr>
      <w:bookmarkStart w:id="168" w:name="_Toc25651"/>
      <w:bookmarkStart w:id="169" w:name="_Toc22324"/>
      <w:bookmarkStart w:id="170" w:name="_Toc23151_WPSOffice_Level1"/>
      <w:bookmarkStart w:id="171" w:name="_Toc14645"/>
      <w:bookmarkStart w:id="172" w:name="_Toc32671"/>
      <w:bookmarkStart w:id="173" w:name="_Toc8833"/>
      <w:bookmarkStart w:id="174" w:name="_Toc25942"/>
      <w:bookmarkStart w:id="175" w:name="_Toc217446093"/>
      <w:r>
        <w:rPr>
          <w:rFonts w:hint="eastAsia" w:ascii="仿宋" w:hAnsi="仿宋" w:eastAsia="仿宋" w:cs="仿宋"/>
          <w:b/>
          <w:color w:val="auto"/>
          <w:sz w:val="44"/>
          <w:szCs w:val="44"/>
          <w:highlight w:val="none"/>
        </w:rPr>
        <w:br w:type="page"/>
      </w:r>
    </w:p>
    <w:p w14:paraId="39A1D0C3">
      <w:pPr>
        <w:spacing w:after="120" w:afterLines="50"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44"/>
          <w:szCs w:val="44"/>
          <w:highlight w:val="none"/>
        </w:rPr>
        <w:t>第三章 磋商办法</w:t>
      </w:r>
      <w:bookmarkEnd w:id="168"/>
      <w:bookmarkEnd w:id="169"/>
      <w:bookmarkEnd w:id="170"/>
      <w:bookmarkEnd w:id="171"/>
      <w:bookmarkEnd w:id="172"/>
      <w:bookmarkEnd w:id="173"/>
      <w:bookmarkEnd w:id="174"/>
    </w:p>
    <w:p w14:paraId="6EE480D3">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bookmarkStart w:id="176" w:name="_Toc26172"/>
      <w:bookmarkStart w:id="177" w:name="_Toc5060"/>
      <w:bookmarkStart w:id="178" w:name="_Toc20428"/>
      <w:bookmarkStart w:id="179" w:name="_Toc19207_WPSOffice_Level2"/>
      <w:bookmarkStart w:id="180" w:name="_Toc15337"/>
      <w:bookmarkStart w:id="181" w:name="_Toc7495"/>
      <w:bookmarkStart w:id="182" w:name="_Toc3504"/>
      <w:bookmarkStart w:id="183" w:name="_Toc482201967"/>
      <w:r>
        <w:rPr>
          <w:rFonts w:hint="eastAsia" w:ascii="仿宋" w:hAnsi="仿宋" w:eastAsia="仿宋" w:cs="仿宋"/>
          <w:color w:val="auto"/>
          <w:szCs w:val="21"/>
          <w:highlight w:val="none"/>
        </w:rPr>
        <w:t>根据《中华人民共和国政府采购法》及其实施条例和财政部《政府采购竞争性磋商采购方式管理暂行办法》（财库【2014】214号）等法律法规的规定，结合采购项目特点，制定本磋商办法。</w:t>
      </w:r>
    </w:p>
    <w:p w14:paraId="45FF5DDA">
      <w:pPr>
        <w:keepNext w:val="0"/>
        <w:keepLines w:val="0"/>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1.磋商程序</w:t>
      </w:r>
      <w:bookmarkEnd w:id="176"/>
      <w:bookmarkEnd w:id="177"/>
      <w:bookmarkEnd w:id="178"/>
      <w:bookmarkEnd w:id="179"/>
      <w:bookmarkEnd w:id="180"/>
      <w:bookmarkEnd w:id="181"/>
      <w:bookmarkEnd w:id="182"/>
    </w:p>
    <w:p w14:paraId="38C396F1">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1.1 磋商按下列程序进行：</w:t>
      </w:r>
    </w:p>
    <w:p w14:paraId="0A4F6570">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（1）响应文件初步评审；</w:t>
      </w:r>
    </w:p>
    <w:p w14:paraId="362DD002">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（2）响应文件的澄清；</w:t>
      </w:r>
    </w:p>
    <w:p w14:paraId="2D5AE2E0">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（3）磋商（包括技术磋商、商务磋商、提交最后报价）；</w:t>
      </w:r>
    </w:p>
    <w:p w14:paraId="6D325C04">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（4）响应文件详细评审；</w:t>
      </w:r>
    </w:p>
    <w:p w14:paraId="0087915A">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（5）复核与核对评审结果；</w:t>
      </w:r>
    </w:p>
    <w:p w14:paraId="7155DD4F">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（6）确定成交候选人名单；</w:t>
      </w:r>
    </w:p>
    <w:p w14:paraId="3CA6059B">
      <w:pPr>
        <w:keepNext w:val="0"/>
        <w:keepLines w:val="0"/>
        <w:pageBreakBefore w:val="0"/>
        <w:tabs>
          <w:tab w:val="left" w:pos="0"/>
        </w:tabs>
        <w:kinsoku/>
        <w:wordWrap/>
        <w:overflowPunct/>
        <w:topLinePunct w:val="0"/>
        <w:bidi w:val="0"/>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（7）编写评审报告。</w:t>
      </w:r>
    </w:p>
    <w:p w14:paraId="6D15CF33">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1.2 响应文件初步评审</w:t>
      </w:r>
    </w:p>
    <w:p w14:paraId="5B9E73E0">
      <w:pPr>
        <w:keepNext w:val="0"/>
        <w:keepLines w:val="0"/>
        <w:pageBreakBefore w:val="0"/>
        <w:tabs>
          <w:tab w:val="left" w:pos="0"/>
        </w:tabs>
        <w:kinsoku/>
        <w:wordWrap/>
        <w:overflowPunct/>
        <w:topLinePunct w:val="0"/>
        <w:bidi w:val="0"/>
        <w:adjustRightInd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1.2.1 资格性审查</w:t>
      </w:r>
    </w:p>
    <w:p w14:paraId="6D382137">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1.2.1.1 </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将依据供应商的响应文件之资格审查部分文件，按照本章第3.1.1项所述资格要求对供应商进行资格审查，以确定其是否具备相应资格。</w:t>
      </w:r>
      <w:r>
        <w:rPr>
          <w:rFonts w:hint="eastAsia" w:ascii="仿宋" w:hAnsi="仿宋" w:eastAsia="仿宋" w:cs="仿宋"/>
          <w:color w:val="auto"/>
          <w:kern w:val="0"/>
          <w:szCs w:val="21"/>
          <w:highlight w:val="none"/>
        </w:rPr>
        <w:t>如果供应商不具备资格、不满足磋</w:t>
      </w:r>
      <w:r>
        <w:rPr>
          <w:rFonts w:hint="eastAsia" w:ascii="仿宋" w:hAnsi="仿宋" w:eastAsia="仿宋" w:cs="仿宋"/>
          <w:color w:val="auto"/>
          <w:szCs w:val="21"/>
          <w:highlight w:val="none"/>
        </w:rPr>
        <w:t>商文件所规定的资格条件,将被视为未实质性响应磋商文件,按无效响应文件处理。</w:t>
      </w:r>
    </w:p>
    <w:p w14:paraId="2837A729">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 信用信息查询时间截至时点，见供应商须知前附表，其查询结果在供应商限制性资格条件审查时使用。</w:t>
      </w:r>
    </w:p>
    <w:p w14:paraId="1859FD5D">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1.2.1.4 基本资格条件的审查标准：</w:t>
      </w:r>
    </w:p>
    <w:p w14:paraId="44ECD661">
      <w:pPr>
        <w:keepNext w:val="0"/>
        <w:keepLines w:val="0"/>
        <w:pageBreakBefore w:val="0"/>
        <w:tabs>
          <w:tab w:val="left" w:pos="0"/>
        </w:tabs>
        <w:kinsoku/>
        <w:wordWrap/>
        <w:overflowPunct/>
        <w:topLinePunct w:val="0"/>
        <w:bidi w:val="0"/>
        <w:adjustRightInd w:val="0"/>
        <w:snapToGrid w:val="0"/>
        <w:spacing w:after="120" w:afterLines="50"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kern w:val="0"/>
          <w:szCs w:val="21"/>
          <w:highlight w:val="none"/>
        </w:rPr>
        <w:t>将按下表所列举的审查标准对供应商的基本资格条件进行</w:t>
      </w:r>
      <w:r>
        <w:rPr>
          <w:rFonts w:hint="eastAsia" w:ascii="仿宋" w:hAnsi="仿宋" w:eastAsia="仿宋" w:cs="仿宋"/>
          <w:bCs/>
          <w:color w:val="auto"/>
          <w:szCs w:val="21"/>
          <w:highlight w:val="none"/>
        </w:rPr>
        <w:t>审查，供应商若</w:t>
      </w:r>
      <w:r>
        <w:rPr>
          <w:rFonts w:hint="eastAsia" w:ascii="仿宋" w:hAnsi="仿宋" w:eastAsia="仿宋" w:cs="仿宋"/>
          <w:color w:val="auto"/>
          <w:kern w:val="0"/>
          <w:szCs w:val="21"/>
          <w:highlight w:val="none"/>
        </w:rPr>
        <w:t>有一项不合格，即判定其基本资格条件审查结果为不合格，将不具备磋商资格，按无效响应文件处理。</w:t>
      </w:r>
    </w:p>
    <w:tbl>
      <w:tblPr>
        <w:tblStyle w:val="46"/>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491"/>
        <w:gridCol w:w="1304"/>
        <w:gridCol w:w="1834"/>
      </w:tblGrid>
      <w:tr w14:paraId="1CA8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51" w:type="dxa"/>
            <w:noWrap w:val="0"/>
            <w:vAlign w:val="center"/>
          </w:tcPr>
          <w:p w14:paraId="280B8C65">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5491" w:type="dxa"/>
            <w:noWrap w:val="0"/>
            <w:vAlign w:val="center"/>
          </w:tcPr>
          <w:p w14:paraId="05C032D4">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审查因素</w:t>
            </w:r>
          </w:p>
        </w:tc>
        <w:tc>
          <w:tcPr>
            <w:tcW w:w="1304" w:type="dxa"/>
            <w:noWrap w:val="0"/>
            <w:vAlign w:val="center"/>
          </w:tcPr>
          <w:p w14:paraId="78CAFB8A">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审查标准</w:t>
            </w:r>
          </w:p>
        </w:tc>
        <w:tc>
          <w:tcPr>
            <w:tcW w:w="1834" w:type="dxa"/>
            <w:noWrap w:val="0"/>
            <w:vAlign w:val="center"/>
          </w:tcPr>
          <w:p w14:paraId="096F5352">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备注</w:t>
            </w:r>
          </w:p>
        </w:tc>
      </w:tr>
      <w:tr w14:paraId="3FAE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51" w:type="dxa"/>
            <w:noWrap w:val="0"/>
            <w:vAlign w:val="center"/>
          </w:tcPr>
          <w:p w14:paraId="0CA89E4D">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5491" w:type="dxa"/>
            <w:noWrap w:val="0"/>
            <w:vAlign w:val="center"/>
          </w:tcPr>
          <w:p w14:paraId="508E03DB">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具有独立承担民事责任能力的法人、其他组织或自然人，提供合法有效的统一社会信用代码营业执照（事业单位提供事业单位法人证书，自然人提供身份证明）</w:t>
            </w:r>
          </w:p>
        </w:tc>
        <w:tc>
          <w:tcPr>
            <w:tcW w:w="1304" w:type="dxa"/>
            <w:noWrap w:val="0"/>
            <w:vAlign w:val="center"/>
          </w:tcPr>
          <w:p w14:paraId="1FCC7AC5">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符合要求</w:t>
            </w:r>
          </w:p>
        </w:tc>
        <w:tc>
          <w:tcPr>
            <w:tcW w:w="1834" w:type="dxa"/>
            <w:noWrap w:val="0"/>
            <w:vAlign w:val="center"/>
          </w:tcPr>
          <w:p w14:paraId="6C6D6676">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审查复印件或原件</w:t>
            </w:r>
          </w:p>
        </w:tc>
      </w:tr>
      <w:tr w14:paraId="4A47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51" w:type="dxa"/>
            <w:noWrap w:val="0"/>
            <w:vAlign w:val="center"/>
          </w:tcPr>
          <w:p w14:paraId="0AC8D0DC">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5491" w:type="dxa"/>
            <w:noWrap w:val="0"/>
            <w:vAlign w:val="center"/>
          </w:tcPr>
          <w:p w14:paraId="63FE5856">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法定代表人授权委托书：法定代表人参加磋商的，须出示身份证原件；法定代表人授权他人参加磋商的，须提供法定代表人授权委托书及被授权人身份证原件</w:t>
            </w:r>
          </w:p>
        </w:tc>
        <w:tc>
          <w:tcPr>
            <w:tcW w:w="1304" w:type="dxa"/>
            <w:noWrap w:val="0"/>
            <w:vAlign w:val="center"/>
          </w:tcPr>
          <w:p w14:paraId="06F6699F">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符合要求</w:t>
            </w:r>
          </w:p>
        </w:tc>
        <w:tc>
          <w:tcPr>
            <w:tcW w:w="1834" w:type="dxa"/>
            <w:noWrap w:val="0"/>
            <w:vAlign w:val="center"/>
          </w:tcPr>
          <w:p w14:paraId="23432B91">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审查复印件或原件</w:t>
            </w:r>
          </w:p>
        </w:tc>
      </w:tr>
      <w:tr w14:paraId="4E3E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51" w:type="dxa"/>
            <w:noWrap w:val="0"/>
            <w:vAlign w:val="center"/>
          </w:tcPr>
          <w:p w14:paraId="75F0E3EB">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91" w:type="dxa"/>
            <w:noWrap w:val="0"/>
            <w:vAlign w:val="center"/>
          </w:tcPr>
          <w:p w14:paraId="2BE3FABC">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tc>
        <w:tc>
          <w:tcPr>
            <w:tcW w:w="1304" w:type="dxa"/>
            <w:noWrap w:val="0"/>
            <w:vAlign w:val="center"/>
          </w:tcPr>
          <w:p w14:paraId="7D2BFBDE">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符合要求</w:t>
            </w:r>
          </w:p>
        </w:tc>
        <w:tc>
          <w:tcPr>
            <w:tcW w:w="1834" w:type="dxa"/>
            <w:noWrap w:val="0"/>
            <w:vAlign w:val="center"/>
          </w:tcPr>
          <w:p w14:paraId="50C17E3F">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审查复印件或原件</w:t>
            </w:r>
          </w:p>
        </w:tc>
      </w:tr>
      <w:tr w14:paraId="0081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14:paraId="023A1815">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491" w:type="dxa"/>
            <w:noWrap w:val="0"/>
            <w:vAlign w:val="center"/>
          </w:tcPr>
          <w:p w14:paraId="40F983A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应具备建设行政主管部门颁发合法有效的建筑工程施工总承包三级（含）以上资质，并具备有效的安全生产许可证；拟派项目经理须具备建筑工程专业二级（含）以上注册建造师执业资格及安全生产考核合格证（B证），且未担任其他在建工程项目的项目经理</w:t>
            </w:r>
          </w:p>
        </w:tc>
        <w:tc>
          <w:tcPr>
            <w:tcW w:w="1304" w:type="dxa"/>
            <w:noWrap w:val="0"/>
            <w:vAlign w:val="center"/>
          </w:tcPr>
          <w:p w14:paraId="5A6DBDAB">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符合要求</w:t>
            </w:r>
          </w:p>
        </w:tc>
        <w:tc>
          <w:tcPr>
            <w:tcW w:w="1834" w:type="dxa"/>
            <w:noWrap w:val="0"/>
            <w:vAlign w:val="center"/>
          </w:tcPr>
          <w:p w14:paraId="61B32D08">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审查复印件</w:t>
            </w:r>
            <w:r>
              <w:rPr>
                <w:rFonts w:hint="eastAsia" w:ascii="仿宋" w:hAnsi="仿宋" w:eastAsia="仿宋" w:cs="仿宋"/>
                <w:color w:val="auto"/>
                <w:kern w:val="0"/>
                <w:sz w:val="24"/>
                <w:szCs w:val="24"/>
                <w:highlight w:val="none"/>
                <w:lang w:eastAsia="zh-CN"/>
              </w:rPr>
              <w:t>或原件</w:t>
            </w:r>
          </w:p>
        </w:tc>
      </w:tr>
      <w:tr w14:paraId="7199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14:paraId="5F2E1827">
            <w:pPr>
              <w:keepNext w:val="0"/>
              <w:keepLines w:val="0"/>
              <w:pageBreakBefore w:val="0"/>
              <w:numPr>
                <w:ilvl w:val="0"/>
                <w:numId w:val="0"/>
              </w:numPr>
              <w:suppressLineNumbers w:val="0"/>
              <w:tabs>
                <w:tab w:val="left" w:pos="0"/>
              </w:tabs>
              <w:kinsoku/>
              <w:wordWrap/>
              <w:overflowPunct/>
              <w:topLinePunct w:val="0"/>
              <w:bidi w:val="0"/>
              <w:adjustRightInd w:val="0"/>
              <w:snapToGrid w:val="0"/>
              <w:spacing w:before="0" w:beforeAutospacing="0" w:after="0" w:afterAutospacing="0" w:line="400" w:lineRule="exact"/>
              <w:ind w:left="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491" w:type="dxa"/>
            <w:noWrap w:val="0"/>
            <w:vAlign w:val="center"/>
          </w:tcPr>
          <w:p w14:paraId="5ABA104E">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本项目专门面向中小企业采购</w:t>
            </w:r>
          </w:p>
        </w:tc>
        <w:tc>
          <w:tcPr>
            <w:tcW w:w="1304" w:type="dxa"/>
            <w:noWrap w:val="0"/>
            <w:vAlign w:val="center"/>
          </w:tcPr>
          <w:p w14:paraId="10078B8A">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符合要求</w:t>
            </w:r>
          </w:p>
        </w:tc>
        <w:tc>
          <w:tcPr>
            <w:tcW w:w="1834" w:type="dxa"/>
            <w:noWrap w:val="0"/>
            <w:vAlign w:val="center"/>
          </w:tcPr>
          <w:p w14:paraId="078B8467">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审查复印件</w:t>
            </w:r>
            <w:r>
              <w:rPr>
                <w:rFonts w:hint="eastAsia" w:ascii="仿宋" w:hAnsi="仿宋" w:eastAsia="仿宋" w:cs="仿宋"/>
                <w:color w:val="auto"/>
                <w:kern w:val="0"/>
                <w:sz w:val="24"/>
                <w:szCs w:val="24"/>
                <w:highlight w:val="none"/>
                <w:lang w:eastAsia="zh-CN"/>
              </w:rPr>
              <w:t>或原件</w:t>
            </w:r>
          </w:p>
        </w:tc>
      </w:tr>
      <w:tr w14:paraId="7C19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380" w:type="dxa"/>
            <w:gridSpan w:val="4"/>
            <w:noWrap w:val="0"/>
            <w:vAlign w:val="center"/>
          </w:tcPr>
          <w:p w14:paraId="19635932">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上述“复印件”需加盖供应商公章（鲜章）有效，否则将被认为是无效证明（或文件）</w:t>
            </w:r>
          </w:p>
        </w:tc>
      </w:tr>
      <w:bookmarkEnd w:id="183"/>
    </w:tbl>
    <w:p w14:paraId="4A6330D3">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1.2.1.5 限制性资格条件审查方法：</w:t>
      </w:r>
    </w:p>
    <w:p w14:paraId="1C643F6F">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代理机构及采购人</w:t>
      </w:r>
      <w:r>
        <w:rPr>
          <w:rFonts w:hint="eastAsia" w:ascii="仿宋" w:hAnsi="仿宋" w:eastAsia="仿宋" w:cs="仿宋"/>
          <w:color w:val="auto"/>
          <w:kern w:val="0"/>
          <w:szCs w:val="21"/>
          <w:highlight w:val="none"/>
        </w:rPr>
        <w:t>将通过信用中国网（http://www.creditchina.gov.cn/）和中国政府采购网（网址：http://www.ccgp.gov.cn/cr/list）对供应商的信用信息进行查询核实。</w:t>
      </w:r>
    </w:p>
    <w:p w14:paraId="66950BF3">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1.2.1.6 限制性资格条件审查标准：</w:t>
      </w:r>
    </w:p>
    <w:p w14:paraId="6BD1A737">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供应商存在下列情形之一的，审查不予通过，即判定其限制性资格条件审查结果为不合格，将不具备磋商资格，按无效响应文件处理：</w:t>
      </w:r>
    </w:p>
    <w:p w14:paraId="56AAB060">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（1）与采购人、采购代理机构存在隶属关系或者其他利害关系，且可能影响磋商公正性；</w:t>
      </w:r>
    </w:p>
    <w:p w14:paraId="7177D05F">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（2）与本采购项目其他供应商的法定代表人（或者负责人）为同一人；</w:t>
      </w:r>
    </w:p>
    <w:p w14:paraId="566A006B">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（3）与本采购项目其他供应商存在控股、管理关系；</w:t>
      </w:r>
    </w:p>
    <w:p w14:paraId="737BC3C2">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（4）为本项目采购代理机构；</w:t>
      </w:r>
    </w:p>
    <w:p w14:paraId="248BE869">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（5）为本项目代理磋商的为其采购代理机构；</w:t>
      </w:r>
    </w:p>
    <w:p w14:paraId="351DE68C">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（6）为本项目提供整体设计、规范编制或者项目管理、监理、检测、咨询服务；</w:t>
      </w:r>
    </w:p>
    <w:p w14:paraId="295F8708">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（7）近3年受到刑事处罚；</w:t>
      </w:r>
    </w:p>
    <w:p w14:paraId="49F3EAF7">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（8）近3年内受到财政部门3万元以上罚款或其他行政部门较大数额罚款行政处罚（举行听证会的）；</w:t>
      </w:r>
    </w:p>
    <w:p w14:paraId="5EE0318E">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（9）近3年被责令停产停业、暂扣或者吊销许可证、暂扣或者吊销执照的行政处罚；</w:t>
      </w:r>
    </w:p>
    <w:p w14:paraId="39F86B84">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（10）被列入严重失信被执行人名单；</w:t>
      </w:r>
    </w:p>
    <w:p w14:paraId="795A1ACD">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（11）被列入重大税收违法案件当事人名单；</w:t>
      </w:r>
    </w:p>
    <w:p w14:paraId="00DF8194">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（12）被禁止在一至三年内参加政府采购活动或存在财政部门认定的其他重大违法记录；</w:t>
      </w:r>
    </w:p>
    <w:p w14:paraId="2B0ABE68">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（13）法律法规规定的其他情形。</w:t>
      </w:r>
    </w:p>
    <w:p w14:paraId="285A1F64">
      <w:pPr>
        <w:keepNext w:val="0"/>
        <w:keepLines w:val="0"/>
        <w:pageBreakBefore w:val="0"/>
        <w:tabs>
          <w:tab w:val="left" w:pos="0"/>
        </w:tabs>
        <w:kinsoku/>
        <w:wordWrap/>
        <w:overflowPunct/>
        <w:topLinePunct w:val="0"/>
        <w:bidi w:val="0"/>
        <w:adjustRightInd w:val="0"/>
        <w:snapToGrid w:val="0"/>
        <w:spacing w:line="400" w:lineRule="exact"/>
        <w:ind w:firstLine="632" w:firstLineChars="3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1.2.1.7 不合格的供应商，不得进入后续磋商环节。</w:t>
      </w:r>
    </w:p>
    <w:p w14:paraId="29F6237C">
      <w:pPr>
        <w:keepNext w:val="0"/>
        <w:keepLines w:val="0"/>
        <w:pageBreakBefore w:val="0"/>
        <w:tabs>
          <w:tab w:val="left" w:pos="0"/>
        </w:tabs>
        <w:kinsoku/>
        <w:wordWrap/>
        <w:overflowPunct/>
        <w:topLinePunct w:val="0"/>
        <w:bidi w:val="0"/>
        <w:adjustRightInd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1.2.2 符合性审查</w:t>
      </w:r>
    </w:p>
    <w:p w14:paraId="7DF5649F">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1.2.2.1 磋商小组依法对符合资格条件的供应商的响应文件进行符合性审查。磋商小组从响应文件的有效性、完整性和对磋商文件的响应程度进行审查，以确定其是否对磋商文件实质性内容作出响应（采购人可根据具体项目的情况对实质性要求作特别的具体规定）。</w:t>
      </w:r>
    </w:p>
    <w:p w14:paraId="74CBE8F4">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1.2.2.2 磋商小组将按下列评审标准对供应商的响应文件进行符合性审查，供应商若有一项不合格，即判定其符合性审查结果为不合格，将不具备磋商资格，按无效响应文件处理。</w:t>
      </w:r>
    </w:p>
    <w:tbl>
      <w:tblPr>
        <w:tblStyle w:val="46"/>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58"/>
        <w:gridCol w:w="3695"/>
        <w:gridCol w:w="4338"/>
      </w:tblGrid>
      <w:tr w14:paraId="5DB2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84" w:type="dxa"/>
            <w:noWrap w:val="0"/>
            <w:vAlign w:val="center"/>
          </w:tcPr>
          <w:p w14:paraId="50002EE4">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353" w:type="dxa"/>
            <w:gridSpan w:val="2"/>
            <w:noWrap w:val="0"/>
            <w:vAlign w:val="center"/>
          </w:tcPr>
          <w:p w14:paraId="7C166D9F">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评审因素</w:t>
            </w:r>
          </w:p>
        </w:tc>
        <w:tc>
          <w:tcPr>
            <w:tcW w:w="4338" w:type="dxa"/>
            <w:noWrap w:val="0"/>
            <w:vAlign w:val="center"/>
          </w:tcPr>
          <w:p w14:paraId="6715FB22">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评审标准</w:t>
            </w:r>
          </w:p>
        </w:tc>
      </w:tr>
      <w:tr w14:paraId="1753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4" w:type="dxa"/>
            <w:vMerge w:val="restart"/>
            <w:noWrap w:val="0"/>
            <w:vAlign w:val="center"/>
          </w:tcPr>
          <w:p w14:paraId="28F3412F">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8" w:type="dxa"/>
            <w:vMerge w:val="restart"/>
            <w:noWrap w:val="0"/>
            <w:vAlign w:val="center"/>
          </w:tcPr>
          <w:p w14:paraId="0975AAF6">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p>
          <w:p w14:paraId="7C2CED89">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效</w:t>
            </w:r>
          </w:p>
          <w:p w14:paraId="6B7E3B86">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w:t>
            </w:r>
          </w:p>
          <w:p w14:paraId="7D25D62E">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4CB8949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tc>
        <w:tc>
          <w:tcPr>
            <w:tcW w:w="3695" w:type="dxa"/>
            <w:noWrap w:val="0"/>
            <w:vAlign w:val="center"/>
          </w:tcPr>
          <w:p w14:paraId="5B969D1F">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（1）响应文件的签署盖章</w:t>
            </w:r>
          </w:p>
        </w:tc>
        <w:tc>
          <w:tcPr>
            <w:tcW w:w="4338" w:type="dxa"/>
            <w:noWrap w:val="0"/>
            <w:vAlign w:val="center"/>
          </w:tcPr>
          <w:p w14:paraId="467EEC8C">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响应文件上法定代表人或其委托代理人的签字齐全并加盖单位章</w:t>
            </w:r>
          </w:p>
        </w:tc>
      </w:tr>
      <w:tr w14:paraId="3D2C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84" w:type="dxa"/>
            <w:vMerge w:val="continue"/>
            <w:noWrap w:val="0"/>
            <w:vAlign w:val="top"/>
          </w:tcPr>
          <w:p w14:paraId="1B342D24">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1ED94086">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06F5D28E">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（2）响应文件格式、语言、计量单位、报价货币</w:t>
            </w:r>
          </w:p>
        </w:tc>
        <w:tc>
          <w:tcPr>
            <w:tcW w:w="4338" w:type="dxa"/>
            <w:noWrap w:val="0"/>
            <w:vAlign w:val="center"/>
          </w:tcPr>
          <w:p w14:paraId="408DC130">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应符合“响应文件格式”和响应文件要求</w:t>
            </w:r>
          </w:p>
        </w:tc>
      </w:tr>
      <w:tr w14:paraId="05E5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84" w:type="dxa"/>
            <w:vMerge w:val="continue"/>
            <w:noWrap w:val="0"/>
            <w:vAlign w:val="top"/>
          </w:tcPr>
          <w:p w14:paraId="27112CA7">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72A6B2D9">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7224ECAD">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（3）报价唯一</w:t>
            </w:r>
          </w:p>
        </w:tc>
        <w:tc>
          <w:tcPr>
            <w:tcW w:w="4338" w:type="dxa"/>
            <w:noWrap w:val="0"/>
            <w:vAlign w:val="center"/>
          </w:tcPr>
          <w:p w14:paraId="046F00EF">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只能有一个有效报价，不得提交选择性报价，且报价不超过采购预算（最高限价）金额</w:t>
            </w:r>
          </w:p>
        </w:tc>
      </w:tr>
      <w:tr w14:paraId="6E08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84" w:type="dxa"/>
            <w:vMerge w:val="restart"/>
            <w:noWrap w:val="0"/>
            <w:vAlign w:val="center"/>
          </w:tcPr>
          <w:p w14:paraId="69E1427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8" w:type="dxa"/>
            <w:vMerge w:val="restart"/>
            <w:noWrap w:val="0"/>
            <w:vAlign w:val="center"/>
          </w:tcPr>
          <w:p w14:paraId="3727A325">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w:t>
            </w:r>
          </w:p>
          <w:p w14:paraId="5F620BFC">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整</w:t>
            </w:r>
          </w:p>
          <w:p w14:paraId="5600D84E">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w:t>
            </w:r>
          </w:p>
          <w:p w14:paraId="3B617387">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45F717B2">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tc>
        <w:tc>
          <w:tcPr>
            <w:tcW w:w="3695" w:type="dxa"/>
            <w:noWrap w:val="0"/>
            <w:vAlign w:val="center"/>
          </w:tcPr>
          <w:p w14:paraId="1014509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）响应文件份数</w:t>
            </w:r>
          </w:p>
        </w:tc>
        <w:tc>
          <w:tcPr>
            <w:tcW w:w="4338" w:type="dxa"/>
            <w:noWrap w:val="0"/>
            <w:vAlign w:val="center"/>
          </w:tcPr>
          <w:p w14:paraId="54E3F71F">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应符合“供应商须知前附表”规定的正本、副本、电子文件数量</w:t>
            </w:r>
          </w:p>
        </w:tc>
      </w:tr>
      <w:tr w14:paraId="47F0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84" w:type="dxa"/>
            <w:vMerge w:val="continue"/>
            <w:noWrap w:val="0"/>
            <w:vAlign w:val="top"/>
          </w:tcPr>
          <w:p w14:paraId="6AEE1C21">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4121CA32">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338E0EA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）磋商响应文件内容</w:t>
            </w:r>
          </w:p>
        </w:tc>
        <w:tc>
          <w:tcPr>
            <w:tcW w:w="4338" w:type="dxa"/>
            <w:noWrap w:val="0"/>
            <w:vAlign w:val="center"/>
          </w:tcPr>
          <w:p w14:paraId="7067B495">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w:t>
            </w:r>
            <w:r>
              <w:rPr>
                <w:rFonts w:hint="eastAsia" w:ascii="仿宋" w:hAnsi="仿宋" w:eastAsia="仿宋" w:cs="仿宋"/>
                <w:color w:val="auto"/>
                <w:szCs w:val="21"/>
                <w:highlight w:val="none"/>
                <w:lang w:eastAsia="zh-CN"/>
              </w:rPr>
              <w:t>完整，采购要求响应</w:t>
            </w:r>
            <w:r>
              <w:rPr>
                <w:rFonts w:hint="eastAsia" w:ascii="仿宋" w:hAnsi="仿宋" w:eastAsia="仿宋" w:cs="仿宋"/>
                <w:color w:val="auto"/>
                <w:szCs w:val="21"/>
                <w:highlight w:val="none"/>
              </w:rPr>
              <w:t>内容齐全、无遗漏</w:t>
            </w:r>
          </w:p>
        </w:tc>
      </w:tr>
      <w:tr w14:paraId="53A2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84" w:type="dxa"/>
            <w:vMerge w:val="restart"/>
            <w:noWrap w:val="0"/>
            <w:vAlign w:val="center"/>
          </w:tcPr>
          <w:p w14:paraId="10034DD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rPr>
              <w:t>3</w:t>
            </w:r>
          </w:p>
        </w:tc>
        <w:tc>
          <w:tcPr>
            <w:tcW w:w="658" w:type="dxa"/>
            <w:vMerge w:val="restart"/>
            <w:noWrap w:val="0"/>
            <w:vAlign w:val="center"/>
          </w:tcPr>
          <w:p w14:paraId="4CAA9987">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w:t>
            </w:r>
          </w:p>
          <w:p w14:paraId="5266A96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w:t>
            </w:r>
          </w:p>
          <w:p w14:paraId="38F47AC8">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w:t>
            </w:r>
          </w:p>
          <w:p w14:paraId="3D0D56BF">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526BE1A9">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tc>
        <w:tc>
          <w:tcPr>
            <w:tcW w:w="3695" w:type="dxa"/>
            <w:noWrap w:val="0"/>
            <w:vAlign w:val="center"/>
          </w:tcPr>
          <w:p w14:paraId="368012B4">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工期</w:t>
            </w:r>
          </w:p>
        </w:tc>
        <w:tc>
          <w:tcPr>
            <w:tcW w:w="4338" w:type="dxa"/>
            <w:noWrap w:val="0"/>
            <w:vAlign w:val="center"/>
          </w:tcPr>
          <w:p w14:paraId="74B5ADEB">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应满足磋商文件的要求</w:t>
            </w:r>
          </w:p>
        </w:tc>
      </w:tr>
      <w:tr w14:paraId="7A09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84" w:type="dxa"/>
            <w:vMerge w:val="continue"/>
            <w:noWrap w:val="0"/>
            <w:vAlign w:val="top"/>
          </w:tcPr>
          <w:p w14:paraId="70C66454">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 w:val="24"/>
                <w:highlight w:val="none"/>
              </w:rPr>
            </w:pPr>
          </w:p>
        </w:tc>
        <w:tc>
          <w:tcPr>
            <w:tcW w:w="658" w:type="dxa"/>
            <w:vMerge w:val="continue"/>
            <w:noWrap w:val="0"/>
            <w:vAlign w:val="top"/>
          </w:tcPr>
          <w:p w14:paraId="36631C64">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right="0"/>
              <w:rPr>
                <w:rFonts w:hint="eastAsia" w:ascii="仿宋" w:hAnsi="仿宋" w:eastAsia="仿宋" w:cs="仿宋"/>
                <w:color w:val="auto"/>
                <w:szCs w:val="21"/>
                <w:highlight w:val="none"/>
              </w:rPr>
            </w:pPr>
          </w:p>
        </w:tc>
        <w:tc>
          <w:tcPr>
            <w:tcW w:w="3695" w:type="dxa"/>
            <w:noWrap w:val="0"/>
            <w:vAlign w:val="center"/>
          </w:tcPr>
          <w:p w14:paraId="6B66B46A">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）质量</w:t>
            </w:r>
          </w:p>
        </w:tc>
        <w:tc>
          <w:tcPr>
            <w:tcW w:w="4338" w:type="dxa"/>
            <w:noWrap w:val="0"/>
            <w:vAlign w:val="center"/>
          </w:tcPr>
          <w:p w14:paraId="660DBE41">
            <w:pPr>
              <w:keepNext w:val="0"/>
              <w:keepLines w:val="0"/>
              <w:pageBreakBefore w:val="0"/>
              <w:suppressLineNumbers w:val="0"/>
              <w:tabs>
                <w:tab w:val="left" w:pos="0"/>
              </w:tabs>
              <w:kinsoku/>
              <w:wordWrap/>
              <w:overflowPunct/>
              <w:topLinePunct w:val="0"/>
              <w:bidi w:val="0"/>
              <w:adjustRightInd w:val="0"/>
              <w:snapToGrid w:val="0"/>
              <w:spacing w:before="0" w:beforeAutospacing="0" w:after="0" w:afterAutospacing="0" w:line="400" w:lineRule="exact"/>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应符合磋商文件的要求</w:t>
            </w:r>
          </w:p>
        </w:tc>
      </w:tr>
    </w:tbl>
    <w:p w14:paraId="6C0BF6A3">
      <w:pPr>
        <w:keepNext w:val="0"/>
        <w:keepLines w:val="0"/>
        <w:pageBreakBefore w:val="0"/>
        <w:kinsoku/>
        <w:wordWrap/>
        <w:overflowPunct/>
        <w:topLinePunct w:val="0"/>
        <w:bidi w:val="0"/>
        <w:spacing w:line="400" w:lineRule="exact"/>
        <w:ind w:firstLine="632" w:firstLineChars="3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1.2.2.3 未通过符合性检查的供应商，不得进入后续磋商环节。</w:t>
      </w:r>
    </w:p>
    <w:p w14:paraId="5E5C7C3E">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1.3 响应文件的澄清</w:t>
      </w:r>
    </w:p>
    <w:p w14:paraId="473A4269">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3CF1B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1.3.2磋商小组要求供应商澄清、说明或者更正响应文件应当以书面形式作出。供应商的澄清、说明或者更正应当由法定代表人或其授权代表签字或者加盖公章。由委托代理人签字的，应当附法定代表人授权书。</w:t>
      </w:r>
    </w:p>
    <w:p w14:paraId="13DDC0A3">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1.3.3 供应商拒不按照要求对响应文件进行澄清、说明或者更正的，磋商小组可以拒绝其响应文件。磋商小组不接受供应商主动提出的澄清、说明或者更正。</w:t>
      </w:r>
    </w:p>
    <w:p w14:paraId="34C0F65D">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1.3.4 有效的书面澄清、说明或者更正材料，是响应文件的补充材料，并构成响应文件的组成部分。</w:t>
      </w:r>
    </w:p>
    <w:p w14:paraId="0B4F85C4">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1.3.5 磋商小组对供应商提交的澄清、说明或者更正有疑问的，可以要求供应商进一步澄清、说明或者更正，直至满足磋商小组的要求。</w:t>
      </w:r>
    </w:p>
    <w:p w14:paraId="12D39162">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1.4 磋商</w:t>
      </w:r>
    </w:p>
    <w:p w14:paraId="41003A49">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bCs/>
          <w:snapToGrid w:val="0"/>
          <w:color w:val="auto"/>
          <w:kern w:val="0"/>
          <w:szCs w:val="21"/>
          <w:highlight w:val="none"/>
        </w:rPr>
      </w:pPr>
      <w:r>
        <w:rPr>
          <w:rFonts w:hint="eastAsia" w:ascii="仿宋" w:hAnsi="仿宋" w:eastAsia="仿宋" w:cs="仿宋"/>
          <w:b/>
          <w:bCs/>
          <w:snapToGrid w:val="0"/>
          <w:color w:val="auto"/>
          <w:kern w:val="0"/>
          <w:szCs w:val="21"/>
          <w:highlight w:val="none"/>
        </w:rPr>
        <w:t>1.4.1磋商方式：</w:t>
      </w:r>
    </w:p>
    <w:p w14:paraId="49BEB441">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1.4.1.1 对资格性审查和符合性审查合格的供应商，进入本次磋商环节。</w:t>
      </w:r>
    </w:p>
    <w:p w14:paraId="5A901D08">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1.4.1.2 在磋商期间，供应商应派代表参加磋商，代表人数不超过2人。</w:t>
      </w:r>
    </w:p>
    <w:p w14:paraId="7BAEE465">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1.4.1.3 磋商小组将通过随机方式确定供应商进行磋商的顺序，所有成员集中与单一供应商按照顺序分别进行磋商，并给予所有参加磋商的供应商平等的磋商机会。磋商的任何一方不得透露与磋商有关的其他供应商的技术资料、价格和其他信息。</w:t>
      </w:r>
    </w:p>
    <w:p w14:paraId="4AC237B0">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1.4.1.4 技术磋商。在磋商过程中，磋商小组可以根据磋商文件和磋商情况实质性变动采购需求中的技术、服务要求以及合同草案条款，但不得变动磋商文件中的其他内容。实质性变动的内容，须经采购人代表确认。</w:t>
      </w:r>
    </w:p>
    <w:p w14:paraId="71A2E298">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对磋商文件作出的实质性变动是磋商文件的有效组成部分，磋商小组应当及时以书面形式同时通知所有参加磋商的供应商。</w:t>
      </w:r>
    </w:p>
    <w:p w14:paraId="5F642F61">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供应商应当按照磋商文件的变动情况和磋商小组的要求重新提交响应文件，并由其法定代表人或委托代理人签字或者加盖公章。由委托代理人签字的，应当附法定代表人授权书。</w:t>
      </w:r>
    </w:p>
    <w:p w14:paraId="7AC84190">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磋商小组应当根据规定对供应商重新提交的响应文件进行符合性审查。供应商重新提交的响应文件未通过符合性审查的，不得进入商务磋商，也不得要求提交最后报价。</w:t>
      </w:r>
    </w:p>
    <w:p w14:paraId="67468338">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1.4.1.5 商务磋商。在技术磋商结束后，进行商务磋商。</w:t>
      </w:r>
      <w:r>
        <w:rPr>
          <w:rFonts w:hint="eastAsia" w:ascii="仿宋" w:hAnsi="仿宋" w:eastAsia="仿宋" w:cs="仿宋"/>
          <w:b/>
          <w:color w:val="auto"/>
          <w:szCs w:val="21"/>
          <w:highlight w:val="none"/>
        </w:rPr>
        <w:t>磋商文件能够详细列明采购标的的技术要求的，</w:t>
      </w:r>
      <w:r>
        <w:rPr>
          <w:rFonts w:hint="eastAsia" w:ascii="仿宋" w:hAnsi="仿宋" w:eastAsia="仿宋" w:cs="仿宋"/>
          <w:color w:val="auto"/>
          <w:szCs w:val="21"/>
          <w:highlight w:val="none"/>
        </w:rPr>
        <w:t>磋商小组应当要求所有实质性响应的供应商在规定时间内提交最后报价，</w:t>
      </w:r>
      <w:r>
        <w:rPr>
          <w:rFonts w:hint="eastAsia" w:ascii="仿宋" w:hAnsi="仿宋" w:eastAsia="仿宋" w:cs="仿宋"/>
          <w:b/>
          <w:color w:val="auto"/>
          <w:szCs w:val="21"/>
          <w:highlight w:val="none"/>
        </w:rPr>
        <w:t>提交最后报价的供应商不得少于3家</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磋商文件不能详细列明采购标的的技术要求</w:t>
      </w:r>
      <w:r>
        <w:rPr>
          <w:rFonts w:hint="eastAsia" w:ascii="仿宋" w:hAnsi="仿宋" w:eastAsia="仿宋" w:cs="仿宋"/>
          <w:color w:val="auto"/>
          <w:szCs w:val="21"/>
          <w:highlight w:val="none"/>
        </w:rPr>
        <w:t>，需经磋商由供应商提供最终解决方案的，</w:t>
      </w:r>
      <w:r>
        <w:rPr>
          <w:rFonts w:hint="eastAsia" w:ascii="仿宋" w:hAnsi="仿宋" w:eastAsia="仿宋" w:cs="仿宋"/>
          <w:b/>
          <w:color w:val="auto"/>
          <w:szCs w:val="21"/>
          <w:highlight w:val="none"/>
        </w:rPr>
        <w:t>磋商小组应当按照少数服从多数的原则投票推荐3家以上供应商的解决方案，</w:t>
      </w:r>
      <w:r>
        <w:rPr>
          <w:rFonts w:hint="eastAsia" w:ascii="仿宋" w:hAnsi="仿宋" w:eastAsia="仿宋" w:cs="仿宋"/>
          <w:color w:val="auto"/>
          <w:szCs w:val="21"/>
          <w:highlight w:val="none"/>
        </w:rPr>
        <w:t>并要求其在规定时间内提交最后报价。</w:t>
      </w:r>
    </w:p>
    <w:p w14:paraId="379C1A59">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1.4.1.6 已提交响应文件的供应商，在提交最后报价之前，可以根据磋商情况退出磋商，采购代理机构应当退还其磋商保证金。</w:t>
      </w:r>
    </w:p>
    <w:p w14:paraId="0B452EDA">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bCs/>
          <w:snapToGrid w:val="0"/>
          <w:color w:val="auto"/>
          <w:kern w:val="0"/>
          <w:szCs w:val="21"/>
          <w:highlight w:val="none"/>
        </w:rPr>
      </w:pPr>
      <w:r>
        <w:rPr>
          <w:rFonts w:hint="eastAsia" w:ascii="仿宋" w:hAnsi="仿宋" w:eastAsia="仿宋" w:cs="仿宋"/>
          <w:b/>
          <w:bCs/>
          <w:snapToGrid w:val="0"/>
          <w:color w:val="auto"/>
          <w:kern w:val="0"/>
          <w:szCs w:val="21"/>
          <w:highlight w:val="none"/>
        </w:rPr>
        <w:t>1.4.2磋商步骤：</w:t>
      </w:r>
    </w:p>
    <w:p w14:paraId="49B7AD8A">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1.4.2.1 第一轮磋商。磋商小组对进入第一轮磋商的供应商再次进行评审、质疑和澄清。在此阶段，磋商小组依据参加磋商的供应商递交的响应文件进行技术和商务磋商。</w:t>
      </w:r>
    </w:p>
    <w:p w14:paraId="69E20530">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小组可以根据实际需要提出方案和技术参数要求，与单一供应商分别进行磋商，并给予所有参加磋商的供应商平等的磋商机会。要求参加磋商的供应商重新承诺技术参数和第二次磋商报价，以满足采购人的最大需求。</w:t>
      </w:r>
    </w:p>
    <w:p w14:paraId="145A5190">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1.4.2.2 第二轮磋商。对第一轮磋商结果不满意，磋商小组可以再次要求参加磋商的供应商进行第二轮磋商，磋商内容及要求与第一轮磋商相同。</w:t>
      </w:r>
    </w:p>
    <w:p w14:paraId="77F19EB8">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1.4.2.3 每轮磋商结束后，磋商小组对磋商情况进行讨论，综合考虑供应商提供的技术参数和性价比，有权对技术参数最差供应商或性价比最低点供应商进行淘汰，并将淘汰理由写入评审报告。</w:t>
      </w:r>
    </w:p>
    <w:p w14:paraId="1E56155A">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1.4.2.4 磋商小组应在最后一轮磋商前告知所有符合磋商要求的供应商是否是最后一次磋商。</w:t>
      </w:r>
    </w:p>
    <w:p w14:paraId="10F2E813">
      <w:pPr>
        <w:keepNext w:val="0"/>
        <w:keepLines w:val="0"/>
        <w:pageBreakBefore w:val="0"/>
        <w:tabs>
          <w:tab w:val="left" w:pos="0"/>
        </w:tabs>
        <w:kinsoku/>
        <w:wordWrap/>
        <w:overflowPunct/>
        <w:topLinePunct w:val="0"/>
        <w:bidi w:val="0"/>
        <w:adjustRightInd w:val="0"/>
        <w:snapToGrid w:val="0"/>
        <w:spacing w:line="400" w:lineRule="exact"/>
        <w:ind w:firstLine="630" w:firstLineChars="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1.4.2.5 最后一轮磋商结束后，磋商小组将对进入最后一轮的供应商的响应文件进行详细评审。</w:t>
      </w:r>
    </w:p>
    <w:p w14:paraId="1AA8196D">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1.5 最后报价</w:t>
      </w:r>
    </w:p>
    <w:p w14:paraId="141F564D">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1.5.1 供应商应当以书面形式提交最后报价（最后报价将作为综合评分法中价格分的计算依据），并由其法定代表人或者委托代理人签字或者加盖单位章。由委托代理人签字的，应当附法定代表人授权书。</w:t>
      </w:r>
    </w:p>
    <w:p w14:paraId="37015D0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1.5.2 最后报价是供应商响应文件的有效组成部分。</w:t>
      </w:r>
    </w:p>
    <w:p w14:paraId="0A652D1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1.5.3 最后报价仅向采购人及监督人员宣布，并由监督人员确认。</w:t>
      </w:r>
    </w:p>
    <w:p w14:paraId="5C8F6451">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1.6 响应文件详细评审</w:t>
      </w:r>
    </w:p>
    <w:p w14:paraId="4A00C849">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经磋商确定最终采购需求和提交最后报价的供应商后，由磋商小组采用</w:t>
      </w:r>
      <w:r>
        <w:rPr>
          <w:rFonts w:hint="eastAsia" w:ascii="仿宋" w:hAnsi="仿宋" w:eastAsia="仿宋" w:cs="仿宋"/>
          <w:b/>
          <w:color w:val="auto"/>
          <w:szCs w:val="21"/>
          <w:highlight w:val="none"/>
        </w:rPr>
        <w:t>综合评分法</w:t>
      </w:r>
      <w:r>
        <w:rPr>
          <w:rFonts w:hint="eastAsia" w:ascii="仿宋" w:hAnsi="仿宋" w:eastAsia="仿宋" w:cs="仿宋"/>
          <w:color w:val="auto"/>
          <w:szCs w:val="21"/>
          <w:highlight w:val="none"/>
        </w:rPr>
        <w:t>对提交最后报价的供应商的响应文件和最后报价进行综合评分。</w:t>
      </w:r>
    </w:p>
    <w:p w14:paraId="5ABA6C7A">
      <w:pPr>
        <w:keepNext w:val="0"/>
        <w:keepLines w:val="0"/>
        <w:pageBreakBefore w:val="0"/>
        <w:kinsoku/>
        <w:wordWrap/>
        <w:overflowPunct/>
        <w:topLinePunct w:val="0"/>
        <w:bidi w:val="0"/>
        <w:spacing w:before="120" w:before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1.7 复核与核对评审结果</w:t>
      </w:r>
    </w:p>
    <w:p w14:paraId="3E2CBEC1">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1.7.1 评分汇总结束后，磋商小组应当进行复核，特别要对拟推荐成交候选人的、最后报价最低的、响应文件被认定无效的进行重点复核。</w:t>
      </w:r>
    </w:p>
    <w:p w14:paraId="6C2F523C">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1.7.2 评审结果汇总完成后，评审报告签署前，采购代理机构应当核对评审结果，除下列情形外，任何人不得修改评审结果：</w:t>
      </w:r>
    </w:p>
    <w:p w14:paraId="2E7D1E8B">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（1）资格性认定错误的；</w:t>
      </w:r>
    </w:p>
    <w:p w14:paraId="69DBB794">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（2）分值汇总计算错误的；</w:t>
      </w:r>
    </w:p>
    <w:p w14:paraId="16D2395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（3）分项评分超出评分标准范围的；</w:t>
      </w:r>
    </w:p>
    <w:p w14:paraId="20EFDF9D">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（4）磋商小组对客观评审因素评分不一致的；</w:t>
      </w:r>
    </w:p>
    <w:p w14:paraId="02E39F03">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（5）经磋商小组一致认定评分畸高、畸低的。</w:t>
      </w:r>
    </w:p>
    <w:p w14:paraId="643EA0E1">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经复核发现存在以上情形之一的，磋商小组应当当场修改评审结果，并在评审报告中记载。</w:t>
      </w:r>
    </w:p>
    <w:p w14:paraId="11E4E6B1">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1.8 确定成交候选人名单</w:t>
      </w:r>
    </w:p>
    <w:p w14:paraId="109FC0A2">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确定成交候选人程序祥见第二章第8.1、8.2条款。</w:t>
      </w:r>
    </w:p>
    <w:p w14:paraId="3DDEFCD4">
      <w:pPr>
        <w:keepNext w:val="0"/>
        <w:keepLines w:val="0"/>
        <w:pageBreakBefore w:val="0"/>
        <w:kinsoku/>
        <w:wordWrap/>
        <w:overflowPunct/>
        <w:topLinePunct w:val="0"/>
        <w:bidi w:val="0"/>
        <w:spacing w:before="120" w:beforeLines="50" w:after="120" w:afterLines="50" w:line="400" w:lineRule="exac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1.9 编写评审报告</w:t>
      </w:r>
    </w:p>
    <w:p w14:paraId="0459224D">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1.9.1 磋商小组在确定成交候选人名单后，应当编写评审报告并向采购人出具。评审报告应当包括以下主要内容：</w:t>
      </w:r>
    </w:p>
    <w:p w14:paraId="4A6B1CB9">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（1）邀请供应商参加采购活动的具体方式和相关情况；</w:t>
      </w:r>
    </w:p>
    <w:p w14:paraId="1C4F45C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（2）响应文件开启日期和地点；</w:t>
      </w:r>
    </w:p>
    <w:p w14:paraId="6D2C8FD9">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（3）获取磋商文件的供应商名单和磋商小组成员名单；</w:t>
      </w:r>
    </w:p>
    <w:p w14:paraId="79A0D0A4">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（4）评审情况记录和说明，包括对供应商的资格审查情况、供应商响应文件评审情况、磋商情况（含磋商文件实质性变动情况）、报价情况等；</w:t>
      </w:r>
    </w:p>
    <w:p w14:paraId="20122811">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（5）提出的成交候选人的排序名单及理由。</w:t>
      </w:r>
    </w:p>
    <w:p w14:paraId="15FE554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（6）其他需要说明的情况，包括评审过程中供应商根据磋商小组要求进行的澄清、说明或者更正，磋商小组成员的更换等，报价最高的供应商为第一中标候选人的，对其报价合理性予以特别书面。</w:t>
      </w:r>
    </w:p>
    <w:p w14:paraId="4DBDF28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1.9.2 评审报告应当由磋商小组全体人员签字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7FA0FEC">
      <w:pPr>
        <w:keepNext w:val="0"/>
        <w:keepLines w:val="0"/>
        <w:pageBreakBefore w:val="0"/>
        <w:kinsoku/>
        <w:wordWrap/>
        <w:overflowPunct/>
        <w:topLinePunct w:val="0"/>
        <w:bidi w:val="0"/>
        <w:spacing w:before="120" w:beforeLines="50" w:after="120" w:afterLines="50" w:line="400" w:lineRule="exact"/>
        <w:outlineLvl w:val="1"/>
        <w:rPr>
          <w:rFonts w:hint="eastAsia" w:ascii="仿宋" w:hAnsi="仿宋" w:eastAsia="仿宋" w:cs="仿宋"/>
          <w:color w:val="auto"/>
          <w:sz w:val="36"/>
          <w:szCs w:val="36"/>
          <w:highlight w:val="none"/>
        </w:rPr>
      </w:pPr>
      <w:bookmarkStart w:id="184" w:name="_Toc25048_WPSOffice_Level2"/>
      <w:bookmarkStart w:id="185" w:name="_Toc29656"/>
      <w:bookmarkStart w:id="186" w:name="_Toc15146"/>
      <w:bookmarkStart w:id="187" w:name="_Toc32261"/>
      <w:bookmarkStart w:id="188" w:name="_Toc17540"/>
      <w:bookmarkStart w:id="189" w:name="_Toc15857"/>
      <w:bookmarkStart w:id="190" w:name="_Toc16740"/>
      <w:r>
        <w:rPr>
          <w:rFonts w:hint="eastAsia" w:ascii="仿宋" w:hAnsi="仿宋" w:eastAsia="仿宋" w:cs="仿宋"/>
          <w:color w:val="auto"/>
          <w:sz w:val="36"/>
          <w:szCs w:val="36"/>
          <w:highlight w:val="none"/>
        </w:rPr>
        <w:t>2.评审方法</w:t>
      </w:r>
      <w:bookmarkEnd w:id="184"/>
      <w:bookmarkEnd w:id="185"/>
      <w:bookmarkEnd w:id="186"/>
      <w:bookmarkEnd w:id="187"/>
      <w:bookmarkEnd w:id="188"/>
      <w:bookmarkEnd w:id="189"/>
      <w:bookmarkEnd w:id="190"/>
    </w:p>
    <w:p w14:paraId="3E02C52A">
      <w:pPr>
        <w:pStyle w:val="7"/>
        <w:keepNext w:val="0"/>
        <w:keepLines w:val="0"/>
        <w:pageBreakBefore w:val="0"/>
        <w:kinsoku/>
        <w:wordWrap/>
        <w:overflowPunct/>
        <w:topLinePunct w:val="0"/>
        <w:bidi w:val="0"/>
        <w:spacing w:before="120" w:beforeLines="50" w:after="120" w:afterLines="50" w:line="400" w:lineRule="exact"/>
        <w:ind w:firstLine="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2.1 综合评分法</w:t>
      </w:r>
    </w:p>
    <w:p w14:paraId="3BC90593">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2.1.1 本采购项目评审方法采用综合评分法，是指响应文件满足磋商文件全部实质性要求且按评审因素的量化指标评审得分最高的供应商为成交候选供应商的评审方法。</w:t>
      </w:r>
    </w:p>
    <w:p w14:paraId="02CF48DD">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2.1.2 综合评分法评审标准中的分值设置应当与评审因素的量化指标相对应。磋商文件中没有规定的评审标准不得作为评审依据。</w:t>
      </w:r>
    </w:p>
    <w:p w14:paraId="1C0B0931">
      <w:pPr>
        <w:keepNext w:val="0"/>
        <w:keepLines w:val="0"/>
        <w:pageBreakBefore w:val="0"/>
        <w:widowControl/>
        <w:kinsoku/>
        <w:wordWrap/>
        <w:overflowPunct/>
        <w:topLinePunct w:val="0"/>
        <w:autoSpaceDE w:val="0"/>
        <w:autoSpaceDN w:val="0"/>
        <w:bidi w:val="0"/>
        <w:spacing w:before="120" w:beforeLines="50" w:after="120" w:afterLines="50" w:line="400" w:lineRule="exact"/>
        <w:ind w:right="51"/>
        <w:textAlignment w:val="bottom"/>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2.2 分值构成及评分标准</w:t>
      </w:r>
    </w:p>
    <w:tbl>
      <w:tblPr>
        <w:tblStyle w:val="46"/>
        <w:tblpPr w:leftFromText="180" w:rightFromText="180" w:vertAnchor="text" w:horzAnchor="page" w:tblpX="1515" w:tblpY="338"/>
        <w:tblOverlap w:val="never"/>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884"/>
        <w:gridCol w:w="923"/>
      </w:tblGrid>
      <w:tr w14:paraId="58C4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85" w:type="dxa"/>
            <w:noWrap w:val="0"/>
            <w:vAlign w:val="center"/>
          </w:tcPr>
          <w:p w14:paraId="29CC82B6">
            <w:pPr>
              <w:keepNext w:val="0"/>
              <w:keepLines w:val="0"/>
              <w:pageBreakBefore w:val="0"/>
              <w:widowControl w:val="0"/>
              <w:suppressLineNumbers w:val="0"/>
              <w:kinsoku/>
              <w:wordWrap/>
              <w:overflowPunct/>
              <w:topLinePunct w:val="0"/>
              <w:bidi w:val="0"/>
              <w:spacing w:before="0" w:beforeAutospacing="0" w:after="0" w:afterAutospacing="0" w:line="10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w:t>
            </w:r>
          </w:p>
          <w:p w14:paraId="569018AD">
            <w:pPr>
              <w:keepNext w:val="0"/>
              <w:keepLines w:val="0"/>
              <w:pageBreakBefore w:val="0"/>
              <w:widowControl w:val="0"/>
              <w:suppressLineNumbers w:val="0"/>
              <w:kinsoku/>
              <w:wordWrap/>
              <w:overflowPunct/>
              <w:topLinePunct w:val="0"/>
              <w:bidi w:val="0"/>
              <w:spacing w:before="0" w:beforeAutospacing="0" w:after="0" w:afterAutospacing="0" w:line="10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因素</w:t>
            </w:r>
          </w:p>
        </w:tc>
        <w:tc>
          <w:tcPr>
            <w:tcW w:w="6884" w:type="dxa"/>
            <w:noWrap w:val="0"/>
            <w:vAlign w:val="center"/>
          </w:tcPr>
          <w:p w14:paraId="3DE2A536">
            <w:pPr>
              <w:keepNext w:val="0"/>
              <w:keepLines w:val="0"/>
              <w:pageBreakBefore w:val="0"/>
              <w:widowControl w:val="0"/>
              <w:suppressLineNumbers w:val="0"/>
              <w:kinsoku/>
              <w:wordWrap/>
              <w:overflowPunct/>
              <w:topLinePunct w:val="0"/>
              <w:bidi w:val="0"/>
              <w:spacing w:before="0" w:beforeAutospacing="0" w:after="0" w:afterAutospacing="0" w:line="10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内     容</w:t>
            </w:r>
          </w:p>
        </w:tc>
        <w:tc>
          <w:tcPr>
            <w:tcW w:w="923" w:type="dxa"/>
            <w:noWrap w:val="0"/>
            <w:vAlign w:val="center"/>
          </w:tcPr>
          <w:p w14:paraId="0EFF006E">
            <w:pPr>
              <w:keepNext w:val="0"/>
              <w:keepLines w:val="0"/>
              <w:pageBreakBefore w:val="0"/>
              <w:widowControl w:val="0"/>
              <w:suppressLineNumbers w:val="0"/>
              <w:kinsoku/>
              <w:wordWrap/>
              <w:overflowPunct/>
              <w:topLinePunct w:val="0"/>
              <w:bidi w:val="0"/>
              <w:spacing w:before="0" w:beforeAutospacing="0" w:after="0" w:afterAutospacing="0" w:line="10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权值</w:t>
            </w:r>
            <w:r>
              <w:rPr>
                <w:rFonts w:hint="eastAsia" w:ascii="仿宋" w:hAnsi="仿宋" w:eastAsia="仿宋" w:cs="仿宋"/>
                <w:color w:val="auto"/>
                <w:sz w:val="24"/>
                <w:szCs w:val="24"/>
              </w:rPr>
              <w:t>%</w:t>
            </w:r>
          </w:p>
        </w:tc>
      </w:tr>
      <w:tr w14:paraId="3753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85" w:type="dxa"/>
            <w:noWrap w:val="0"/>
            <w:vAlign w:val="center"/>
          </w:tcPr>
          <w:p w14:paraId="0042A031">
            <w:pPr>
              <w:keepNext w:val="0"/>
              <w:keepLines w:val="0"/>
              <w:pageBreakBefore w:val="0"/>
              <w:widowControl w:val="0"/>
              <w:suppressLineNumbers w:val="0"/>
              <w:tabs>
                <w:tab w:val="left" w:pos="420"/>
                <w:tab w:val="center" w:pos="4153"/>
                <w:tab w:val="right" w:pos="8306"/>
              </w:tabs>
              <w:kinsoku/>
              <w:wordWrap/>
              <w:overflowPunct/>
              <w:topLinePunct w:val="0"/>
              <w:bidi w:val="0"/>
              <w:adjustRightInd w:val="0"/>
              <w:spacing w:before="0" w:beforeAutospacing="0" w:after="0" w:afterAutospacing="0" w:line="100" w:lineRule="atLeast"/>
              <w:ind w:left="0" w:right="0"/>
              <w:jc w:val="center"/>
              <w:rPr>
                <w:rFonts w:hint="eastAsia" w:ascii="仿宋" w:hAnsi="仿宋" w:eastAsia="仿宋" w:cs="仿宋"/>
                <w:color w:val="auto"/>
                <w:kern w:val="0"/>
                <w:sz w:val="24"/>
                <w:szCs w:val="24"/>
              </w:rPr>
            </w:pPr>
          </w:p>
          <w:p w14:paraId="20FDC3C5">
            <w:pPr>
              <w:keepNext w:val="0"/>
              <w:keepLines w:val="0"/>
              <w:pageBreakBefore w:val="0"/>
              <w:widowControl w:val="0"/>
              <w:suppressLineNumbers w:val="0"/>
              <w:kinsoku/>
              <w:wordWrap/>
              <w:overflowPunct/>
              <w:topLinePunct w:val="0"/>
              <w:bidi w:val="0"/>
              <w:spacing w:before="0" w:beforeAutospacing="0" w:after="0" w:afterAutospacing="0" w:line="100" w:lineRule="atLeast"/>
              <w:ind w:left="0" w:right="0"/>
              <w:jc w:val="cente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磋商</w:t>
            </w:r>
          </w:p>
          <w:p w14:paraId="6766CE3A">
            <w:pPr>
              <w:keepNext w:val="0"/>
              <w:keepLines w:val="0"/>
              <w:pageBreakBefore w:val="0"/>
              <w:widowControl w:val="0"/>
              <w:suppressLineNumbers w:val="0"/>
              <w:kinsoku/>
              <w:wordWrap/>
              <w:overflowPunct/>
              <w:topLinePunct w:val="0"/>
              <w:bidi w:val="0"/>
              <w:spacing w:before="0" w:beforeAutospacing="0" w:after="0" w:afterAutospacing="0" w:line="100" w:lineRule="atLeast"/>
              <w:ind w:left="0" w:right="0"/>
              <w:jc w:val="cente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报价</w:t>
            </w:r>
          </w:p>
          <w:p w14:paraId="42D48EC8">
            <w:pPr>
              <w:keepNext w:val="0"/>
              <w:keepLines w:val="0"/>
              <w:pageBreakBefore w:val="0"/>
              <w:widowControl w:val="0"/>
              <w:suppressLineNumbers w:val="0"/>
              <w:tabs>
                <w:tab w:val="left" w:pos="420"/>
                <w:tab w:val="center" w:pos="4153"/>
                <w:tab w:val="right" w:pos="8306"/>
              </w:tabs>
              <w:kinsoku/>
              <w:wordWrap/>
              <w:overflowPunct/>
              <w:topLinePunct w:val="0"/>
              <w:bidi w:val="0"/>
              <w:adjustRightInd w:val="0"/>
              <w:spacing w:before="0" w:beforeAutospacing="0" w:after="0" w:afterAutospacing="0" w:line="100" w:lineRule="atLeast"/>
              <w:ind w:left="0" w:right="0"/>
              <w:jc w:val="center"/>
              <w:rPr>
                <w:rFonts w:hint="eastAsia" w:ascii="仿宋" w:hAnsi="仿宋" w:eastAsia="仿宋" w:cs="仿宋"/>
                <w:color w:val="auto"/>
                <w:kern w:val="0"/>
                <w:sz w:val="24"/>
                <w:szCs w:val="24"/>
              </w:rPr>
            </w:pPr>
          </w:p>
        </w:tc>
        <w:tc>
          <w:tcPr>
            <w:tcW w:w="6884" w:type="dxa"/>
            <w:noWrap w:val="0"/>
            <w:vAlign w:val="center"/>
          </w:tcPr>
          <w:p w14:paraId="0A37947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照财政部《关于加强政府采购货物和服务项目价格评审管理的通知》（财库[2007]2号）的有关规定：价格分采用低价优先法计算，即满足招标文件要求且投标价格最低的投标报价为评审基准价，其价格分为满分。其他投标人的价格分统一按照下列公式计算：</w:t>
            </w:r>
          </w:p>
          <w:p w14:paraId="767B7D8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投标报价得分=（评审基准价/投标报价）×价格权值</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0%×100</w:t>
            </w:r>
          </w:p>
          <w:p w14:paraId="3FDB24FA">
            <w:pPr>
              <w:keepNext w:val="0"/>
              <w:keepLines w:val="0"/>
              <w:pageBreakBefore w:val="0"/>
              <w:widowControl w:val="0"/>
              <w:suppressLineNumbers w:val="0"/>
              <w:kinsoku/>
              <w:wordWrap/>
              <w:overflowPunct/>
              <w:topLinePunct w:val="0"/>
              <w:bidi w:val="0"/>
              <w:snapToGrid w:val="0"/>
              <w:spacing w:before="0" w:beforeAutospacing="0" w:after="0" w:afterAutospacing="0" w:line="100" w:lineRule="atLeast"/>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评标委员会二分之一以上专家认为某投标报价有低于成本价嫌疑的，且供应商无法证明其价格合理性的，为无效报价。符合磋商文件规定的中小微企业、监狱企业、残疾人福利性单位优惠条件的供应商，价格给予 6%的扣除，用扣除后的价格参与评审。</w:t>
            </w:r>
          </w:p>
        </w:tc>
        <w:tc>
          <w:tcPr>
            <w:tcW w:w="923" w:type="dxa"/>
            <w:noWrap w:val="0"/>
            <w:vAlign w:val="center"/>
          </w:tcPr>
          <w:p w14:paraId="7EC322F3">
            <w:pPr>
              <w:keepNext w:val="0"/>
              <w:keepLines w:val="0"/>
              <w:pageBreakBefore w:val="0"/>
              <w:widowControl w:val="0"/>
              <w:suppressLineNumbers w:val="0"/>
              <w:kinsoku/>
              <w:wordWrap/>
              <w:overflowPunct/>
              <w:topLinePunct w:val="0"/>
              <w:bidi w:val="0"/>
              <w:spacing w:before="0" w:beforeAutospacing="0" w:after="0" w:afterAutospacing="0" w:line="10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r>
      <w:tr w14:paraId="5B37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85" w:type="dxa"/>
            <w:noWrap w:val="0"/>
            <w:vAlign w:val="center"/>
          </w:tcPr>
          <w:p w14:paraId="123BE4E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1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w:t>
            </w:r>
          </w:p>
        </w:tc>
        <w:tc>
          <w:tcPr>
            <w:tcW w:w="6884" w:type="dxa"/>
            <w:noWrap w:val="0"/>
            <w:vAlign w:val="top"/>
          </w:tcPr>
          <w:p w14:paraId="016B960C">
            <w:pPr>
              <w:keepNext w:val="0"/>
              <w:keepLines w:val="0"/>
              <w:pageBreakBefore w:val="0"/>
              <w:widowControl w:val="0"/>
              <w:suppressLineNumbers w:val="0"/>
              <w:kinsoku/>
              <w:wordWrap/>
              <w:overflowPunct/>
              <w:topLinePunct w:val="0"/>
              <w:bidi w:val="0"/>
              <w:spacing w:before="0" w:beforeAutospacing="0" w:after="0" w:afterAutospacing="0" w:line="100" w:lineRule="atLeast"/>
              <w:ind w:left="0" w:right="0" w:firstLine="480" w:firstLineChars="200"/>
              <w:jc w:val="left"/>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供应商提供 </w:t>
            </w:r>
            <w:r>
              <w:rPr>
                <w:rFonts w:hint="eastAsia" w:ascii="仿宋" w:hAnsi="仿宋" w:eastAsia="仿宋" w:cs="仿宋"/>
                <w:color w:val="auto"/>
                <w:sz w:val="24"/>
                <w:szCs w:val="24"/>
                <w:highlight w:val="none"/>
                <w:lang w:val="en-US" w:eastAsia="zh-CN"/>
              </w:rPr>
              <w:t>2022</w:t>
            </w:r>
            <w:r>
              <w:rPr>
                <w:rFonts w:hint="eastAsia" w:ascii="仿宋" w:hAnsi="仿宋" w:eastAsia="仿宋" w:cs="仿宋"/>
                <w:color w:val="auto"/>
                <w:sz w:val="24"/>
                <w:szCs w:val="24"/>
                <w:highlight w:val="none"/>
                <w:lang w:val="en-US"/>
              </w:rPr>
              <w:t xml:space="preserve"> 年至今类似项目业绩，响应文件中附有其业绩证明材料每提供一个计 2 分，满分 4 分。（业绩以合同协议为准）</w:t>
            </w:r>
          </w:p>
        </w:tc>
        <w:tc>
          <w:tcPr>
            <w:tcW w:w="923" w:type="dxa"/>
            <w:noWrap w:val="0"/>
            <w:vAlign w:val="center"/>
          </w:tcPr>
          <w:p w14:paraId="0FD7B46D">
            <w:pPr>
              <w:keepNext w:val="0"/>
              <w:keepLines w:val="0"/>
              <w:pageBreakBefore w:val="0"/>
              <w:widowControl w:val="0"/>
              <w:suppressLineNumbers w:val="0"/>
              <w:kinsoku/>
              <w:wordWrap/>
              <w:overflowPunct/>
              <w:topLinePunct w:val="0"/>
              <w:bidi w:val="0"/>
              <w:spacing w:before="0" w:beforeAutospacing="0" w:after="0" w:afterAutospacing="0" w:line="10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14:paraId="318C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5" w:type="dxa"/>
            <w:noWrap w:val="0"/>
            <w:vAlign w:val="center"/>
          </w:tcPr>
          <w:p w14:paraId="560DE92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施工方案</w:t>
            </w:r>
          </w:p>
        </w:tc>
        <w:tc>
          <w:tcPr>
            <w:tcW w:w="6884" w:type="dxa"/>
            <w:noWrap w:val="0"/>
            <w:vAlign w:val="center"/>
          </w:tcPr>
          <w:p w14:paraId="661DBDC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 xml:space="preserve">供应商根据项目特点及采购人实际需求制定完善的项目施工方案，能够充分考虑各个工序并满足施工整体需求。根据施工方案的全面完整性、可行性进行比较打分： </w:t>
            </w:r>
          </w:p>
          <w:p w14:paraId="1EEE62D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1、施工方案全面、完整，可行性强，得</w:t>
            </w:r>
            <w:r>
              <w:rPr>
                <w:rFonts w:hint="eastAsia" w:ascii="仿宋" w:hAnsi="仿宋" w:eastAsia="仿宋" w:cs="仿宋"/>
                <w:snapToGrid w:val="0"/>
                <w:color w:val="auto"/>
                <w:kern w:val="0"/>
                <w:sz w:val="24"/>
                <w:szCs w:val="24"/>
                <w:lang w:val="en-US" w:eastAsia="zh-CN"/>
              </w:rPr>
              <w:t>13</w:t>
            </w:r>
            <w:r>
              <w:rPr>
                <w:rFonts w:hint="eastAsia" w:ascii="仿宋" w:hAnsi="仿宋" w:eastAsia="仿宋" w:cs="仿宋"/>
                <w:snapToGrid w:val="0"/>
                <w:color w:val="auto"/>
                <w:kern w:val="0"/>
                <w:sz w:val="24"/>
                <w:szCs w:val="24"/>
              </w:rPr>
              <w:t>-1</w:t>
            </w:r>
            <w:r>
              <w:rPr>
                <w:rFonts w:hint="eastAsia" w:ascii="仿宋" w:hAnsi="仿宋" w:eastAsia="仿宋" w:cs="仿宋"/>
                <w:snapToGrid w:val="0"/>
                <w:color w:val="auto"/>
                <w:kern w:val="0"/>
                <w:sz w:val="24"/>
                <w:szCs w:val="24"/>
                <w:lang w:val="en-US" w:eastAsia="zh-CN"/>
              </w:rPr>
              <w:t>8</w:t>
            </w:r>
            <w:r>
              <w:rPr>
                <w:rFonts w:hint="eastAsia" w:ascii="仿宋" w:hAnsi="仿宋" w:eastAsia="仿宋" w:cs="仿宋"/>
                <w:snapToGrid w:val="0"/>
                <w:color w:val="auto"/>
                <w:kern w:val="0"/>
                <w:sz w:val="24"/>
                <w:szCs w:val="24"/>
              </w:rPr>
              <w:t>分；</w:t>
            </w:r>
          </w:p>
          <w:p w14:paraId="68210F5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2、施工方案较完整，有一定可行性，得</w:t>
            </w:r>
            <w:r>
              <w:rPr>
                <w:rFonts w:hint="eastAsia" w:ascii="仿宋" w:hAnsi="仿宋" w:eastAsia="仿宋" w:cs="仿宋"/>
                <w:snapToGrid w:val="0"/>
                <w:color w:val="auto"/>
                <w:kern w:val="0"/>
                <w:sz w:val="24"/>
                <w:szCs w:val="24"/>
                <w:lang w:val="en-US" w:eastAsia="zh-CN"/>
              </w:rPr>
              <w:t>7</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12</w:t>
            </w:r>
            <w:r>
              <w:rPr>
                <w:rFonts w:hint="eastAsia" w:ascii="仿宋" w:hAnsi="仿宋" w:eastAsia="仿宋" w:cs="仿宋"/>
                <w:snapToGrid w:val="0"/>
                <w:color w:val="auto"/>
                <w:kern w:val="0"/>
                <w:sz w:val="24"/>
                <w:szCs w:val="24"/>
              </w:rPr>
              <w:t>分；</w:t>
            </w:r>
          </w:p>
          <w:p w14:paraId="26E0B6D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rPr>
              <w:t>3、施工方案不够完整、可行性较差，得0-</w:t>
            </w:r>
            <w:r>
              <w:rPr>
                <w:rFonts w:hint="eastAsia" w:ascii="仿宋" w:hAnsi="仿宋" w:eastAsia="仿宋" w:cs="仿宋"/>
                <w:snapToGrid w:val="0"/>
                <w:color w:val="auto"/>
                <w:kern w:val="0"/>
                <w:sz w:val="24"/>
                <w:szCs w:val="24"/>
                <w:lang w:val="en-US" w:eastAsia="zh-CN"/>
              </w:rPr>
              <w:t>6</w:t>
            </w:r>
            <w:r>
              <w:rPr>
                <w:rFonts w:hint="eastAsia" w:ascii="仿宋" w:hAnsi="仿宋" w:eastAsia="仿宋" w:cs="仿宋"/>
                <w:snapToGrid w:val="0"/>
                <w:color w:val="auto"/>
                <w:kern w:val="0"/>
                <w:sz w:val="24"/>
                <w:szCs w:val="24"/>
              </w:rPr>
              <w:t>分。</w:t>
            </w:r>
          </w:p>
        </w:tc>
        <w:tc>
          <w:tcPr>
            <w:tcW w:w="923" w:type="dxa"/>
            <w:noWrap w:val="0"/>
            <w:vAlign w:val="center"/>
          </w:tcPr>
          <w:p w14:paraId="755DE4B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r>
      <w:tr w14:paraId="5560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5" w:type="dxa"/>
            <w:noWrap w:val="0"/>
            <w:vAlign w:val="center"/>
          </w:tcPr>
          <w:p w14:paraId="33A79B0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资源配置计划</w:t>
            </w:r>
          </w:p>
        </w:tc>
        <w:tc>
          <w:tcPr>
            <w:tcW w:w="6884" w:type="dxa"/>
            <w:noWrap w:val="0"/>
            <w:vAlign w:val="center"/>
          </w:tcPr>
          <w:p w14:paraId="3C55E2C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有明确的拟投入的主要施工机械设备计划、主要材料进场计划、劳动力投入计划等。根据资源配置的合理性、配备的完善及齐全程度进行比较打分：</w:t>
            </w:r>
          </w:p>
          <w:p w14:paraId="75FB059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1、资源配置合理，配备完善、齐全、先进可行，得4-7分；</w:t>
            </w:r>
          </w:p>
          <w:p w14:paraId="16CFAA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2、资源配置不够合理，配备不够完善，得0-3分。</w:t>
            </w:r>
          </w:p>
        </w:tc>
        <w:tc>
          <w:tcPr>
            <w:tcW w:w="923" w:type="dxa"/>
            <w:noWrap w:val="0"/>
            <w:vAlign w:val="center"/>
          </w:tcPr>
          <w:p w14:paraId="5E6E5EA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r>
      <w:tr w14:paraId="7E17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5" w:type="dxa"/>
            <w:noWrap w:val="0"/>
            <w:vAlign w:val="center"/>
          </w:tcPr>
          <w:p w14:paraId="144A6E6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质量保证措施</w:t>
            </w:r>
          </w:p>
        </w:tc>
        <w:tc>
          <w:tcPr>
            <w:tcW w:w="6884" w:type="dxa"/>
            <w:noWrap w:val="0"/>
            <w:vAlign w:val="center"/>
          </w:tcPr>
          <w:p w14:paraId="4FDC68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有详细的确保工程质量的技术组织措施，质量目标明确，各施工节点的质量技术措施能满足项目需求。根据质量保证措施的全面性、有效性进行比较打分：</w:t>
            </w:r>
          </w:p>
          <w:p w14:paraId="1D8BBF3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1、质量保证措施详尽、全面有效，得 4-7分；</w:t>
            </w:r>
          </w:p>
          <w:p w14:paraId="6E384A7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2、质量保证措施不够详尽、全面，有效性不足，得 0-3分。</w:t>
            </w:r>
          </w:p>
        </w:tc>
        <w:tc>
          <w:tcPr>
            <w:tcW w:w="923" w:type="dxa"/>
            <w:noWrap w:val="0"/>
            <w:vAlign w:val="center"/>
          </w:tcPr>
          <w:p w14:paraId="215F875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r>
      <w:tr w14:paraId="1156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5" w:type="dxa"/>
            <w:noWrap w:val="0"/>
            <w:vAlign w:val="center"/>
          </w:tcPr>
          <w:p w14:paraId="4ABAB44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工期保证措施</w:t>
            </w:r>
          </w:p>
        </w:tc>
        <w:tc>
          <w:tcPr>
            <w:tcW w:w="6884" w:type="dxa"/>
            <w:noWrap w:val="0"/>
            <w:vAlign w:val="center"/>
          </w:tcPr>
          <w:p w14:paraId="0EB314E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针对本项目编制具体、可行、科学有效的确保工期的技术组织措施。根据工期保证措施的完善性、合理性、科学性进行比较打分：</w:t>
            </w:r>
          </w:p>
          <w:p w14:paraId="2D6A25E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1、工期保证措施完善、合理，科学有效，得4-7分；</w:t>
            </w:r>
          </w:p>
          <w:p w14:paraId="63615C5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2、工期保证措施基本完善，合理，得0-3分。</w:t>
            </w:r>
          </w:p>
        </w:tc>
        <w:tc>
          <w:tcPr>
            <w:tcW w:w="923" w:type="dxa"/>
            <w:noWrap w:val="0"/>
            <w:vAlign w:val="center"/>
          </w:tcPr>
          <w:p w14:paraId="3DB9059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r>
      <w:tr w14:paraId="761E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5" w:type="dxa"/>
            <w:noWrap w:val="0"/>
            <w:vAlign w:val="center"/>
          </w:tcPr>
          <w:p w14:paraId="69D58E2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安全生产措施</w:t>
            </w:r>
          </w:p>
        </w:tc>
        <w:tc>
          <w:tcPr>
            <w:tcW w:w="6884" w:type="dxa"/>
            <w:noWrap w:val="0"/>
            <w:vAlign w:val="center"/>
          </w:tcPr>
          <w:p w14:paraId="5DCE772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有明确的安全管理体系，安全生产措施能满足项目需求；根据安全生产措施的详尽性、具体性、明确性进行比较打分： </w:t>
            </w:r>
          </w:p>
          <w:p w14:paraId="5B22C5F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1、安全生产措施详细、具体、明确，得 4-7分； </w:t>
            </w:r>
          </w:p>
          <w:p w14:paraId="2147880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2、安全生产措施不够具体、明确，得 0-3分。</w:t>
            </w:r>
          </w:p>
        </w:tc>
        <w:tc>
          <w:tcPr>
            <w:tcW w:w="923" w:type="dxa"/>
            <w:noWrap w:val="0"/>
            <w:vAlign w:val="center"/>
          </w:tcPr>
          <w:p w14:paraId="59F4647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r>
      <w:tr w14:paraId="118F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5" w:type="dxa"/>
            <w:noWrap w:val="0"/>
            <w:vAlign w:val="center"/>
          </w:tcPr>
          <w:p w14:paraId="4F2FD9A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文明施工措施</w:t>
            </w:r>
          </w:p>
        </w:tc>
        <w:tc>
          <w:tcPr>
            <w:tcW w:w="6884" w:type="dxa"/>
            <w:noWrap w:val="0"/>
            <w:vAlign w:val="center"/>
          </w:tcPr>
          <w:p w14:paraId="756D5F6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针对本项目编制具体、可行的文明施工措施， 施工现场文明施工保障措施与项目实施的质量、进度及协调管理措施到位，施工总平面布置紧凑、场地规划合理、有严格的成品保护措施和制度、施工现场的临时管理设施到位，施工作业符合安全文明要求。根据文明施工措施内容的详尽性、完整性、可实施性进行比较打分： </w:t>
            </w:r>
          </w:p>
          <w:p w14:paraId="5B23A98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1、文明施工措施内容详尽完整，可实施性强，得4-7分；</w:t>
            </w:r>
          </w:p>
          <w:p w14:paraId="0BA44FC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2、文明施工措施内容基本完整，具有一定实施性，得0-3分。</w:t>
            </w:r>
          </w:p>
        </w:tc>
        <w:tc>
          <w:tcPr>
            <w:tcW w:w="923" w:type="dxa"/>
            <w:noWrap w:val="0"/>
            <w:vAlign w:val="center"/>
          </w:tcPr>
          <w:p w14:paraId="53E37C9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r>
      <w:tr w14:paraId="1018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5" w:type="dxa"/>
            <w:noWrap w:val="0"/>
            <w:vAlign w:val="center"/>
          </w:tcPr>
          <w:p w14:paraId="4E27FC8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环境保护措施</w:t>
            </w:r>
          </w:p>
        </w:tc>
        <w:tc>
          <w:tcPr>
            <w:tcW w:w="6884" w:type="dxa"/>
            <w:noWrap w:val="0"/>
            <w:vAlign w:val="center"/>
          </w:tcPr>
          <w:p w14:paraId="62C1290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针对本项目编制详细的环境保护措施，根据环保措施的全面性、详尽性、科学性，合理性进行比较打分：</w:t>
            </w:r>
          </w:p>
          <w:p w14:paraId="75A47D3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1、环保措施全面、详尽、科学、合理，得4-7分；</w:t>
            </w:r>
          </w:p>
          <w:p w14:paraId="2D6B3F9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2、环保措施基本全面、详尽、合理，得0-3分。</w:t>
            </w:r>
          </w:p>
        </w:tc>
        <w:tc>
          <w:tcPr>
            <w:tcW w:w="923" w:type="dxa"/>
            <w:noWrap w:val="0"/>
            <w:vAlign w:val="center"/>
          </w:tcPr>
          <w:p w14:paraId="764CB94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r>
      <w:tr w14:paraId="4ED3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5" w:type="dxa"/>
            <w:noWrap w:val="0"/>
            <w:vAlign w:val="center"/>
          </w:tcPr>
          <w:p w14:paraId="20F017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拟派人员情况</w:t>
            </w:r>
          </w:p>
        </w:tc>
        <w:tc>
          <w:tcPr>
            <w:tcW w:w="6884" w:type="dxa"/>
            <w:noWrap w:val="0"/>
            <w:vAlign w:val="center"/>
          </w:tcPr>
          <w:p w14:paraId="695D280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根据项目人员组成情况进行比较打分（0-6分）</w:t>
            </w:r>
          </w:p>
        </w:tc>
        <w:tc>
          <w:tcPr>
            <w:tcW w:w="923" w:type="dxa"/>
            <w:noWrap w:val="0"/>
            <w:vAlign w:val="center"/>
          </w:tcPr>
          <w:p w14:paraId="17F39B3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100" w:lineRule="atLeas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r>
    </w:tbl>
    <w:p w14:paraId="59862E65">
      <w:pPr>
        <w:bidi w:val="0"/>
        <w:rPr>
          <w:rFonts w:hint="eastAsia" w:ascii="仿宋" w:hAnsi="仿宋" w:eastAsia="仿宋" w:cs="仿宋"/>
          <w:color w:val="auto"/>
        </w:rPr>
      </w:pPr>
    </w:p>
    <w:p w14:paraId="0ACDD691">
      <w:pPr>
        <w:pStyle w:val="41"/>
        <w:keepNext w:val="0"/>
        <w:keepLines w:val="0"/>
        <w:pageBreakBefore w:val="0"/>
        <w:shd w:val="clear" w:color="auto" w:fill="FFFFFF"/>
        <w:kinsoku/>
        <w:wordWrap/>
        <w:overflowPunct/>
        <w:topLinePunct w:val="0"/>
        <w:bidi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 xml:space="preserve"> 评审过程中，不得去掉报价中的最高报价和最低报价。</w:t>
      </w:r>
    </w:p>
    <w:p w14:paraId="2CE38C66">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非实质性偏离是指响应文件在实质上响应磋商文件的要求，但在个别地方存在一些不规则、不一致、不完整的内容，并且澄清、说明或者更正这些内容不会改变响应文件的实质性内容。以下情况属于非实质性偏离：</w:t>
      </w:r>
    </w:p>
    <w:p w14:paraId="1870AC94">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（1）文字表述的内容含义不明确；</w:t>
      </w:r>
    </w:p>
    <w:p w14:paraId="7D4E0647">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（2）同类问题表述不一致；</w:t>
      </w:r>
    </w:p>
    <w:p w14:paraId="25B861AB">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（3）有明显文字和计算错误；</w:t>
      </w:r>
    </w:p>
    <w:p w14:paraId="5C1B2D63">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（4）提供的技术信息和数据资料不完整；</w:t>
      </w:r>
    </w:p>
    <w:p w14:paraId="2070F065">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（5）响应文件未按磋商文件要求进行编制目录、页码；</w:t>
      </w:r>
    </w:p>
    <w:p w14:paraId="680DFE4B">
      <w:pPr>
        <w:keepNext w:val="0"/>
        <w:keepLines w:val="0"/>
        <w:pageBreakBefore w:val="0"/>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（6）磋商小组认定的其他非实质性偏离。</w:t>
      </w:r>
    </w:p>
    <w:p w14:paraId="44BEA1FF">
      <w:pPr>
        <w:keepNext w:val="0"/>
        <w:keepLines w:val="0"/>
        <w:pageBreakBefore w:val="0"/>
        <w:tabs>
          <w:tab w:val="left" w:pos="7665"/>
        </w:tabs>
        <w:kinsoku/>
        <w:wordWrap/>
        <w:overflowPunct/>
        <w:topLinePunct w:val="0"/>
        <w:bidi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有上述（1）至（4）情形之一的，磋商小组应当书面要求供应商在规定的时间内予以澄清、说明或更正。供应商拒不或在规定的时间内没有进行澄清、说明或更正或者澄清、说明、更正的内容也不能说明问题的，视为响应文件制作不规范，按每一项非实质性偏离进行扣分处理，直至该项分值扣完为止。</w:t>
      </w:r>
    </w:p>
    <w:p w14:paraId="74D0CC23">
      <w:pPr>
        <w:pStyle w:val="20"/>
        <w:keepNext w:val="0"/>
        <w:keepLines w:val="0"/>
        <w:pageBreakBefore w:val="0"/>
        <w:tabs>
          <w:tab w:val="left" w:pos="600"/>
        </w:tabs>
        <w:kinsoku/>
        <w:wordWrap/>
        <w:overflowPunct/>
        <w:topLinePunct w:val="0"/>
        <w:bidi w:val="0"/>
        <w:spacing w:line="400" w:lineRule="exact"/>
        <w:ind w:firstLine="420" w:firstLineChars="200"/>
        <w:rPr>
          <w:rFonts w:hint="eastAsia" w:ascii="仿宋" w:hAnsi="仿宋" w:eastAsia="仿宋" w:cs="仿宋"/>
          <w:b/>
          <w:color w:val="auto"/>
          <w:sz w:val="30"/>
          <w:szCs w:val="30"/>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 在响应文件初审过程中，如果出现磋商小组成员意见不一致的情况，按照少数服从多数的原则确定。</w:t>
      </w:r>
    </w:p>
    <w:p w14:paraId="522C0D92">
      <w:pPr>
        <w:keepNext w:val="0"/>
        <w:keepLines w:val="0"/>
        <w:pageBreakBefore w:val="0"/>
        <w:widowControl/>
        <w:kinsoku/>
        <w:wordWrap/>
        <w:overflowPunct/>
        <w:topLinePunct w:val="0"/>
        <w:autoSpaceDE w:val="0"/>
        <w:autoSpaceDN w:val="0"/>
        <w:bidi w:val="0"/>
        <w:spacing w:before="120" w:beforeLines="50" w:after="120" w:afterLines="50" w:line="400" w:lineRule="exact"/>
        <w:ind w:right="51"/>
        <w:textAlignment w:val="bottom"/>
        <w:rPr>
          <w:rFonts w:hint="eastAsia" w:ascii="仿宋" w:hAnsi="仿宋" w:eastAsia="仿宋" w:cs="仿宋"/>
          <w:b/>
          <w:color w:val="auto"/>
          <w:sz w:val="30"/>
          <w:szCs w:val="30"/>
          <w:highlight w:val="none"/>
        </w:rPr>
      </w:pPr>
      <w:bookmarkStart w:id="191" w:name="_Toc482201971"/>
      <w:r>
        <w:rPr>
          <w:rFonts w:hint="eastAsia" w:ascii="仿宋" w:hAnsi="仿宋" w:eastAsia="仿宋" w:cs="仿宋"/>
          <w:b/>
          <w:color w:val="auto"/>
          <w:sz w:val="30"/>
          <w:szCs w:val="30"/>
          <w:highlight w:val="none"/>
        </w:rPr>
        <w:t>2.3 无效响应文件的认定</w:t>
      </w:r>
    </w:p>
    <w:p w14:paraId="23CF31A4">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在评审过程中，出现下列情形之一的，响应文件无效：</w:t>
      </w:r>
    </w:p>
    <w:p w14:paraId="6826B93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（1）不具备磋商文件中规定的资格条件和要求的；</w:t>
      </w:r>
    </w:p>
    <w:p w14:paraId="6851506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（2）响应文件未按照磋商文件规定的格式要求编制的；</w:t>
      </w:r>
    </w:p>
    <w:p w14:paraId="015C61F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（3）响应文件未按照磋商文件规定和要求签署、盖章的；</w:t>
      </w:r>
    </w:p>
    <w:p w14:paraId="3EF0F8D6">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（4）磋商报价超过了磋商文件中规定的预算（最高限价）金额的；</w:t>
      </w:r>
    </w:p>
    <w:p w14:paraId="7EA04B24">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（5）进口货物（产品）未办理正常进口手续的（如有）；</w:t>
      </w:r>
    </w:p>
    <w:p w14:paraId="3A782CBF">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（6）响应文件未完全响应磋商文件内容出现漏项、缺项的；</w:t>
      </w:r>
    </w:p>
    <w:p w14:paraId="5E23CD5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（7）响应文件的关键内容字迹模糊和无法辨认的；</w:t>
      </w:r>
    </w:p>
    <w:p w14:paraId="7BF53274">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（8）</w:t>
      </w:r>
      <w:r>
        <w:rPr>
          <w:rFonts w:hint="eastAsia" w:ascii="仿宋" w:hAnsi="仿宋" w:eastAsia="仿宋" w:cs="仿宋"/>
          <w:snapToGrid w:val="0"/>
          <w:color w:val="auto"/>
          <w:kern w:val="0"/>
          <w:szCs w:val="21"/>
          <w:highlight w:val="none"/>
          <w:lang w:eastAsia="zh-CN"/>
        </w:rPr>
        <w:t>服务</w:t>
      </w:r>
      <w:r>
        <w:rPr>
          <w:rFonts w:hint="eastAsia" w:ascii="仿宋" w:hAnsi="仿宋" w:eastAsia="仿宋" w:cs="仿宋"/>
          <w:snapToGrid w:val="0"/>
          <w:color w:val="auto"/>
          <w:kern w:val="0"/>
          <w:szCs w:val="21"/>
          <w:highlight w:val="none"/>
        </w:rPr>
        <w:t>期、质保期、质量、保修承诺等商务条款不能满足磋商文件要求的；</w:t>
      </w:r>
    </w:p>
    <w:p w14:paraId="4E3AFB8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（9）提供的主要材料与设备不符合强制执行的国家标准的；</w:t>
      </w:r>
    </w:p>
    <w:p w14:paraId="3DD5B2CF">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（10）提供的主要材料与设备不是国家强制节能产品品目清单中的产品（如有）；</w:t>
      </w:r>
    </w:p>
    <w:p w14:paraId="42E17B8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（11）响应文件中附有采购人不能接受的附加条件的；</w:t>
      </w:r>
    </w:p>
    <w:p w14:paraId="0AFF535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（12）响应文件不符合磋商文件和法律法规规定的其他情形的。</w:t>
      </w:r>
    </w:p>
    <w:p w14:paraId="48517DE1">
      <w:pPr>
        <w:keepNext w:val="0"/>
        <w:keepLines w:val="0"/>
        <w:pageBreakBefore w:val="0"/>
        <w:widowControl/>
        <w:kinsoku/>
        <w:wordWrap/>
        <w:overflowPunct/>
        <w:topLinePunct w:val="0"/>
        <w:autoSpaceDE w:val="0"/>
        <w:autoSpaceDN w:val="0"/>
        <w:bidi w:val="0"/>
        <w:spacing w:before="120" w:beforeLines="50" w:after="120" w:afterLines="50" w:line="400" w:lineRule="exact"/>
        <w:ind w:right="51"/>
        <w:textAlignment w:val="bottom"/>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2.4 特殊情况的处理</w:t>
      </w:r>
    </w:p>
    <w:p w14:paraId="0886EA59">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2.4.1 响应文件中如果出现前后不一致的，按照下列规定修正：</w:t>
      </w:r>
    </w:p>
    <w:p w14:paraId="212475AC">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（1）响应文件中的大写金额与小写金额不一致的，以大写金额为准；</w:t>
      </w:r>
    </w:p>
    <w:p w14:paraId="201B0BA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（2）响应文件中的总报价与按单价计算的汇总报价不一致的，以单价计算的汇总报价为准；</w:t>
      </w:r>
    </w:p>
    <w:p w14:paraId="4E7C0BC5">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（3）响应文件中的报价有明显小数点错误的，以总报价为准，并修改报价；</w:t>
      </w:r>
    </w:p>
    <w:p w14:paraId="4A6C25DE">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（4）响应文件中有关分项表内容与“磋商报价一览表”不一致的，以“磋商报价一览表”为准；</w:t>
      </w:r>
    </w:p>
    <w:p w14:paraId="6F99E908">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（5）响应文件中图表与文字表述不一致的，以文字表述为准；</w:t>
      </w:r>
    </w:p>
    <w:p w14:paraId="079F2F8F">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（6）响应文件正本与副本不一致的，以正本为准；</w:t>
      </w:r>
    </w:p>
    <w:p w14:paraId="1BA4082F">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（7）对不同文字文本响应文件的解释发生异议的，以中文文本为准。</w:t>
      </w:r>
    </w:p>
    <w:p w14:paraId="0735A37F">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按上述修正错误的方法</w:t>
      </w:r>
      <w:r>
        <w:rPr>
          <w:rFonts w:hint="eastAsia" w:ascii="仿宋" w:hAnsi="仿宋" w:eastAsia="仿宋" w:cs="仿宋"/>
          <w:b/>
          <w:bCs/>
          <w:snapToGrid w:val="0"/>
          <w:color w:val="auto"/>
          <w:kern w:val="0"/>
          <w:szCs w:val="21"/>
          <w:highlight w:val="none"/>
        </w:rPr>
        <w:t>调整</w:t>
      </w:r>
      <w:r>
        <w:rPr>
          <w:rFonts w:hint="eastAsia" w:ascii="仿宋" w:hAnsi="仿宋" w:eastAsia="仿宋" w:cs="仿宋"/>
          <w:b/>
          <w:color w:val="auto"/>
          <w:szCs w:val="21"/>
          <w:highlight w:val="none"/>
        </w:rPr>
        <w:t>的报价应对供应商具有约束力。如果供应商不接受修正后的价格，其响应文件将被拒绝。</w:t>
      </w:r>
    </w:p>
    <w:p w14:paraId="33A4BC72">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2.4.2 响应文件中，若某项有不合理报价（或零报价、漏报价）的，经磋商小组评审后，此项得分为零，不参与磋商报价分值的计算。</w:t>
      </w:r>
    </w:p>
    <w:p w14:paraId="11210E3B">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2.4.3 磋商小组成员打分超过得分界限或未按本办法赋分时，该成员的打分，按废票处理。</w:t>
      </w:r>
    </w:p>
    <w:p w14:paraId="713F9C20">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2.4.4 评审过程中，各种数字的计算结果，均保留两位小数，第三位“四舍五入”，但计算百分数时应精确到千分位，万分位“四舍五入”。</w:t>
      </w:r>
    </w:p>
    <w:p w14:paraId="78869CCB">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2.4.5 评审过程中，若出现本磋商办法以外的特殊情况时，将暂停评审，待磋商小组商榷后，再进行评审。</w:t>
      </w:r>
    </w:p>
    <w:p w14:paraId="6FBC0141">
      <w:pPr>
        <w:keepNext w:val="0"/>
        <w:keepLines w:val="0"/>
        <w:pageBreakBefore w:val="0"/>
        <w:kinsoku/>
        <w:wordWrap/>
        <w:overflowPunct/>
        <w:topLinePunct w:val="0"/>
        <w:bidi w:val="0"/>
        <w:adjustRightInd w:val="0"/>
        <w:snapToGrid w:val="0"/>
        <w:spacing w:line="400" w:lineRule="exact"/>
        <w:ind w:firstLine="422" w:firstLineChars="200"/>
        <w:rPr>
          <w:rFonts w:hint="eastAsia" w:ascii="仿宋" w:hAnsi="仿宋" w:eastAsia="仿宋" w:cs="仿宋"/>
          <w:b/>
          <w:bCs/>
          <w:snapToGrid w:val="0"/>
          <w:color w:val="auto"/>
          <w:kern w:val="0"/>
          <w:szCs w:val="21"/>
          <w:highlight w:val="none"/>
        </w:rPr>
      </w:pPr>
      <w:r>
        <w:rPr>
          <w:rFonts w:hint="eastAsia" w:ascii="仿宋" w:hAnsi="仿宋" w:eastAsia="仿宋" w:cs="仿宋"/>
          <w:b/>
          <w:bCs/>
          <w:snapToGrid w:val="0"/>
          <w:color w:val="auto"/>
          <w:kern w:val="0"/>
          <w:szCs w:val="21"/>
          <w:highlight w:val="none"/>
        </w:rPr>
        <w:t>2.4.6 评审过程中，若出现合格供应商不足3家时，采购人将依法重新组织采购活动。</w:t>
      </w:r>
    </w:p>
    <w:p w14:paraId="5DC15AC1">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2.4.7评审报告签署后，采购人或者采购代理机构发现存在本章第1.7.2条款情形之一的，应当组织原磋商小组进行重新评审，重新评审改变成交结果的，书面报告本级财政部门。</w:t>
      </w:r>
    </w:p>
    <w:p w14:paraId="59C8195A">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2.4.8 采购人、采购代理机构发现磋商小组未按照磋商文件规定的评审标准进行评审的，应当重新开展采购活动，并同时书面报告本级财政部门。</w:t>
      </w:r>
    </w:p>
    <w:p w14:paraId="3A50425A">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2.4.10评审争议处理原则</w:t>
      </w:r>
    </w:p>
    <w:p w14:paraId="40981CE0">
      <w:pPr>
        <w:keepNext w:val="0"/>
        <w:keepLines w:val="0"/>
        <w:pageBreakBefore w:val="0"/>
        <w:kinsoku/>
        <w:wordWrap/>
        <w:overflowPunct/>
        <w:topLinePunct w:val="0"/>
        <w:bidi w:val="0"/>
        <w:adjustRightInd w:val="0"/>
        <w:snapToGri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磋商小组在评审过程中，对响应文件资格性、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14:paraId="12D2B8C5">
      <w:pPr>
        <w:pStyle w:val="2"/>
        <w:numPr>
          <w:ilvl w:val="0"/>
          <w:numId w:val="5"/>
        </w:numPr>
        <w:spacing w:before="0" w:after="0" w:line="360" w:lineRule="auto"/>
        <w:jc w:val="center"/>
        <w:rPr>
          <w:rFonts w:hint="eastAsia" w:ascii="仿宋" w:hAnsi="仿宋" w:eastAsia="仿宋" w:cs="仿宋"/>
          <w:b/>
          <w:bCs/>
          <w:snapToGrid w:val="0"/>
          <w:color w:val="auto"/>
          <w:kern w:val="0"/>
          <w:sz w:val="24"/>
          <w:szCs w:val="24"/>
          <w:highlight w:val="none"/>
        </w:rPr>
        <w:sectPr>
          <w:pgSz w:w="11907" w:h="16840"/>
          <w:pgMar w:top="1440" w:right="1803" w:bottom="1440" w:left="1803" w:header="907" w:footer="654" w:gutter="0"/>
          <w:pgNumType w:fmt="decimal"/>
          <w:cols w:space="720" w:num="1"/>
          <w:docGrid w:linePitch="312" w:charSpace="0"/>
        </w:sectPr>
      </w:pPr>
      <w:r>
        <w:rPr>
          <w:rFonts w:hint="eastAsia" w:ascii="仿宋" w:hAnsi="仿宋" w:eastAsia="仿宋" w:cs="仿宋"/>
          <w:b w:val="0"/>
          <w:color w:val="auto"/>
          <w:sz w:val="36"/>
          <w:szCs w:val="36"/>
          <w:highlight w:val="none"/>
        </w:rPr>
        <w:br w:type="page"/>
      </w:r>
      <w:bookmarkStart w:id="192" w:name="_Toc1461"/>
      <w:bookmarkStart w:id="193" w:name="_Toc6296"/>
      <w:bookmarkStart w:id="194" w:name="_Toc588_WPSOffice_Level1"/>
      <w:bookmarkStart w:id="195" w:name="_Toc23458"/>
      <w:bookmarkStart w:id="196" w:name="_Toc4171"/>
      <w:bookmarkStart w:id="197" w:name="_Toc15072"/>
      <w:bookmarkStart w:id="198" w:name="_Toc6562"/>
    </w:p>
    <w:p w14:paraId="7FC46477">
      <w:pPr>
        <w:pStyle w:val="2"/>
        <w:numPr>
          <w:ilvl w:val="0"/>
          <w:numId w:val="0"/>
        </w:numPr>
        <w:spacing w:before="0" w:after="0"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val="en-US" w:eastAsia="zh-CN"/>
        </w:rPr>
        <w:t>第四章、</w:t>
      </w:r>
      <w:r>
        <w:rPr>
          <w:rFonts w:hint="eastAsia" w:ascii="仿宋" w:hAnsi="仿宋" w:eastAsia="仿宋" w:cs="仿宋"/>
          <w:b/>
          <w:bCs/>
          <w:color w:val="auto"/>
          <w:sz w:val="44"/>
          <w:szCs w:val="44"/>
          <w:highlight w:val="none"/>
        </w:rPr>
        <w:t>采购内容及要求</w:t>
      </w:r>
      <w:bookmarkEnd w:id="175"/>
      <w:bookmarkEnd w:id="191"/>
      <w:bookmarkEnd w:id="192"/>
      <w:bookmarkEnd w:id="193"/>
      <w:bookmarkEnd w:id="194"/>
      <w:bookmarkEnd w:id="195"/>
      <w:bookmarkEnd w:id="196"/>
      <w:bookmarkEnd w:id="197"/>
      <w:bookmarkEnd w:id="198"/>
      <w:bookmarkStart w:id="199" w:name="_Toc482201972"/>
    </w:p>
    <w:p w14:paraId="34DEBC1F">
      <w:pPr>
        <w:pStyle w:val="19"/>
        <w:rPr>
          <w:rStyle w:val="191"/>
          <w:rFonts w:hint="eastAsia" w:ascii="仿宋" w:hAnsi="仿宋" w:eastAsia="仿宋" w:cs="仿宋"/>
          <w:color w:val="auto"/>
          <w:sz w:val="24"/>
          <w:szCs w:val="24"/>
          <w:lang w:val="en-US" w:eastAsia="zh-CN" w:bidi="ar"/>
        </w:rPr>
      </w:pPr>
    </w:p>
    <w:bookmarkEnd w:id="199"/>
    <w:p w14:paraId="0A36584A">
      <w:pPr>
        <w:widowControl/>
        <w:spacing w:after="240" w:afterLines="100" w:line="400" w:lineRule="atLeast"/>
        <w:jc w:val="left"/>
        <w:outlineLvl w:val="0"/>
        <w:rPr>
          <w:rFonts w:hint="eastAsia" w:ascii="仿宋" w:hAnsi="仿宋" w:eastAsia="仿宋" w:cs="仿宋"/>
          <w:b w:val="0"/>
          <w:bCs/>
          <w:color w:val="auto"/>
          <w:sz w:val="24"/>
          <w:szCs w:val="24"/>
          <w:highlight w:val="none"/>
        </w:rPr>
      </w:pPr>
      <w:bookmarkStart w:id="200" w:name="_Toc16381"/>
      <w:bookmarkStart w:id="201" w:name="_Toc30381"/>
      <w:bookmarkStart w:id="202" w:name="_Toc21546"/>
      <w:bookmarkStart w:id="203" w:name="_Toc30170"/>
      <w:bookmarkStart w:id="204" w:name="_Toc26777_WPSOffice_Level1"/>
      <w:bookmarkStart w:id="205" w:name="_Toc16313"/>
      <w:bookmarkStart w:id="206" w:name="_Toc29359"/>
      <w:r>
        <w:rPr>
          <w:rFonts w:hint="eastAsia" w:ascii="仿宋" w:hAnsi="仿宋" w:eastAsia="仿宋" w:cs="仿宋"/>
          <w:b w:val="0"/>
          <w:bCs/>
          <w:color w:val="auto"/>
          <w:sz w:val="24"/>
          <w:szCs w:val="24"/>
          <w:highlight w:val="none"/>
        </w:rPr>
        <w:t>一、本次磋商内容为：主要建设内容为拆除原有绿化带，新建混凝土地面，新建花池及学生公寓楼维修改造等。</w:t>
      </w:r>
    </w:p>
    <w:p w14:paraId="39D8D8DD">
      <w:pPr>
        <w:widowControl/>
        <w:spacing w:after="240" w:afterLines="100" w:line="400" w:lineRule="atLeast"/>
        <w:jc w:val="left"/>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二、商务要求</w:t>
      </w:r>
    </w:p>
    <w:p w14:paraId="1BEC389E">
      <w:pPr>
        <w:widowControl/>
        <w:spacing w:after="240" w:afterLines="100" w:line="480" w:lineRule="auto"/>
        <w:jc w:val="left"/>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工</w:t>
      </w:r>
      <w:r>
        <w:rPr>
          <w:rFonts w:hint="eastAsia" w:ascii="仿宋" w:hAnsi="仿宋" w:eastAsia="仿宋" w:cs="仿宋"/>
          <w:b w:val="0"/>
          <w:bCs/>
          <w:color w:val="auto"/>
          <w:sz w:val="24"/>
          <w:szCs w:val="24"/>
          <w:highlight w:val="none"/>
        </w:rPr>
        <w:t>期：</w:t>
      </w:r>
      <w:r>
        <w:rPr>
          <w:rFonts w:hint="eastAsia" w:ascii="仿宋" w:hAnsi="仿宋" w:eastAsia="仿宋" w:cs="仿宋"/>
          <w:sz w:val="24"/>
          <w:szCs w:val="24"/>
          <w:lang w:val="en-US" w:eastAsia="zh-CN"/>
        </w:rPr>
        <w:t>30日历天</w:t>
      </w:r>
    </w:p>
    <w:p w14:paraId="3DF9F5FF">
      <w:pPr>
        <w:pStyle w:val="45"/>
        <w:spacing w:line="48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2、质量目标：达到行业合格标准。</w:t>
      </w:r>
    </w:p>
    <w:p w14:paraId="10742895">
      <w:pPr>
        <w:pStyle w:val="45"/>
        <w:spacing w:line="480" w:lineRule="auto"/>
        <w:ind w:left="0" w:leftChars="0" w:firstLine="0" w:firstLineChars="0"/>
        <w:rPr>
          <w:rFonts w:hint="eastAsia" w:ascii="仿宋" w:hAnsi="仿宋" w:eastAsia="仿宋" w:cs="仿宋"/>
          <w:b w:val="0"/>
          <w:bCs/>
          <w:color w:val="FF0000"/>
          <w:sz w:val="24"/>
          <w:szCs w:val="24"/>
          <w:highlight w:val="none"/>
          <w:lang w:val="en-US" w:eastAsia="zh-CN"/>
        </w:rPr>
      </w:pPr>
    </w:p>
    <w:p w14:paraId="4B853440">
      <w:pPr>
        <w:widowControl/>
        <w:spacing w:after="240" w:afterLines="100" w:line="400" w:lineRule="atLeast"/>
        <w:jc w:val="center"/>
        <w:outlineLvl w:val="0"/>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工程量清单另附</w:t>
      </w:r>
    </w:p>
    <w:p w14:paraId="3204656D">
      <w:pPr>
        <w:widowControl/>
        <w:spacing w:after="240" w:afterLines="100" w:line="400" w:lineRule="atLeast"/>
        <w:jc w:val="center"/>
        <w:outlineLvl w:val="0"/>
        <w:rPr>
          <w:rFonts w:hint="eastAsia" w:ascii="仿宋" w:hAnsi="仿宋" w:eastAsia="仿宋" w:cs="仿宋"/>
          <w:b/>
          <w:color w:val="auto"/>
          <w:sz w:val="44"/>
          <w:szCs w:val="44"/>
          <w:highlight w:val="none"/>
          <w:lang w:eastAsia="zh-CN"/>
        </w:rPr>
      </w:pPr>
    </w:p>
    <w:p w14:paraId="34758E7F">
      <w:pPr>
        <w:widowControl/>
        <w:spacing w:after="240" w:afterLines="100" w:line="400" w:lineRule="atLeast"/>
        <w:jc w:val="center"/>
        <w:outlineLvl w:val="0"/>
        <w:rPr>
          <w:rFonts w:hint="eastAsia" w:ascii="仿宋" w:hAnsi="仿宋" w:eastAsia="仿宋" w:cs="仿宋"/>
          <w:b/>
          <w:color w:val="auto"/>
          <w:sz w:val="44"/>
          <w:szCs w:val="44"/>
          <w:highlight w:val="none"/>
          <w:lang w:eastAsia="zh-CN"/>
        </w:rPr>
      </w:pPr>
    </w:p>
    <w:p w14:paraId="49C8E7D5">
      <w:pPr>
        <w:widowControl/>
        <w:spacing w:after="240" w:afterLines="100" w:line="400" w:lineRule="atLeast"/>
        <w:jc w:val="center"/>
        <w:outlineLvl w:val="0"/>
        <w:rPr>
          <w:rFonts w:hint="eastAsia" w:ascii="仿宋" w:hAnsi="仿宋" w:eastAsia="仿宋" w:cs="仿宋"/>
          <w:b/>
          <w:color w:val="auto"/>
          <w:sz w:val="44"/>
          <w:szCs w:val="44"/>
          <w:highlight w:val="none"/>
          <w:lang w:eastAsia="zh-CN"/>
        </w:rPr>
      </w:pPr>
    </w:p>
    <w:p w14:paraId="5CD441D0">
      <w:pPr>
        <w:widowControl/>
        <w:spacing w:after="240" w:afterLines="100" w:line="400" w:lineRule="atLeast"/>
        <w:jc w:val="center"/>
        <w:outlineLvl w:val="0"/>
        <w:rPr>
          <w:rFonts w:hint="eastAsia" w:ascii="仿宋" w:hAnsi="仿宋" w:eastAsia="仿宋" w:cs="仿宋"/>
          <w:b/>
          <w:color w:val="auto"/>
          <w:sz w:val="44"/>
          <w:szCs w:val="44"/>
          <w:highlight w:val="none"/>
          <w:lang w:eastAsia="zh-CN"/>
        </w:rPr>
      </w:pPr>
    </w:p>
    <w:p w14:paraId="6E8B37DE">
      <w:pPr>
        <w:widowControl/>
        <w:spacing w:after="240" w:afterLines="100" w:line="400" w:lineRule="atLeast"/>
        <w:jc w:val="center"/>
        <w:outlineLvl w:val="0"/>
        <w:rPr>
          <w:rFonts w:hint="eastAsia" w:ascii="仿宋" w:hAnsi="仿宋" w:eastAsia="仿宋" w:cs="仿宋"/>
          <w:b/>
          <w:color w:val="auto"/>
          <w:sz w:val="44"/>
          <w:szCs w:val="44"/>
          <w:highlight w:val="none"/>
          <w:lang w:eastAsia="zh-CN"/>
        </w:rPr>
      </w:pPr>
    </w:p>
    <w:p w14:paraId="4192A763">
      <w:pPr>
        <w:widowControl/>
        <w:spacing w:after="240" w:afterLines="100" w:line="400" w:lineRule="atLeast"/>
        <w:jc w:val="center"/>
        <w:outlineLvl w:val="0"/>
        <w:rPr>
          <w:rFonts w:hint="eastAsia" w:ascii="仿宋" w:hAnsi="仿宋" w:eastAsia="仿宋" w:cs="仿宋"/>
          <w:b/>
          <w:color w:val="auto"/>
          <w:sz w:val="44"/>
          <w:szCs w:val="44"/>
          <w:highlight w:val="none"/>
          <w:lang w:eastAsia="zh-CN"/>
        </w:rPr>
      </w:pPr>
    </w:p>
    <w:p w14:paraId="23C748CC">
      <w:pPr>
        <w:widowControl/>
        <w:spacing w:after="240" w:afterLines="100" w:line="400" w:lineRule="atLeast"/>
        <w:jc w:val="center"/>
        <w:outlineLvl w:val="0"/>
        <w:rPr>
          <w:rFonts w:hint="eastAsia" w:ascii="仿宋" w:hAnsi="仿宋" w:eastAsia="仿宋" w:cs="仿宋"/>
          <w:b/>
          <w:color w:val="auto"/>
          <w:sz w:val="44"/>
          <w:szCs w:val="44"/>
          <w:highlight w:val="none"/>
          <w:lang w:eastAsia="zh-CN"/>
        </w:rPr>
      </w:pPr>
    </w:p>
    <w:p w14:paraId="11457225">
      <w:pPr>
        <w:widowControl/>
        <w:spacing w:after="240" w:afterLines="100" w:line="400" w:lineRule="atLeast"/>
        <w:jc w:val="center"/>
        <w:outlineLvl w:val="0"/>
        <w:rPr>
          <w:rFonts w:hint="eastAsia" w:ascii="仿宋" w:hAnsi="仿宋" w:eastAsia="仿宋" w:cs="仿宋"/>
          <w:b/>
          <w:color w:val="auto"/>
          <w:sz w:val="44"/>
          <w:szCs w:val="44"/>
          <w:highlight w:val="none"/>
          <w:lang w:eastAsia="zh-CN"/>
        </w:rPr>
      </w:pPr>
    </w:p>
    <w:p w14:paraId="225829EC">
      <w:pPr>
        <w:widowControl/>
        <w:spacing w:after="240" w:afterLines="100" w:line="400" w:lineRule="atLeast"/>
        <w:jc w:val="center"/>
        <w:outlineLvl w:val="0"/>
        <w:rPr>
          <w:rFonts w:hint="eastAsia" w:ascii="仿宋" w:hAnsi="仿宋" w:eastAsia="仿宋" w:cs="仿宋"/>
          <w:b/>
          <w:color w:val="auto"/>
          <w:sz w:val="44"/>
          <w:szCs w:val="44"/>
          <w:highlight w:val="none"/>
        </w:rPr>
      </w:pPr>
    </w:p>
    <w:p w14:paraId="118E699B">
      <w:pPr>
        <w:widowControl/>
        <w:spacing w:after="240" w:afterLines="100" w:line="400" w:lineRule="atLeast"/>
        <w:jc w:val="center"/>
        <w:outlineLvl w:val="0"/>
        <w:rPr>
          <w:rFonts w:hint="eastAsia" w:ascii="仿宋" w:hAnsi="仿宋" w:eastAsia="仿宋" w:cs="仿宋"/>
          <w:b/>
          <w:color w:val="auto"/>
          <w:sz w:val="44"/>
          <w:szCs w:val="44"/>
          <w:highlight w:val="none"/>
        </w:rPr>
      </w:pPr>
    </w:p>
    <w:p w14:paraId="41201557">
      <w:pPr>
        <w:widowControl/>
        <w:spacing w:after="240" w:afterLines="100" w:line="400" w:lineRule="atLeas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w:t>
      </w:r>
      <w:r>
        <w:rPr>
          <w:rFonts w:hint="eastAsia" w:ascii="仿宋" w:hAnsi="仿宋" w:eastAsia="仿宋" w:cs="仿宋"/>
          <w:b/>
          <w:color w:val="auto"/>
          <w:sz w:val="44"/>
          <w:szCs w:val="44"/>
          <w:highlight w:val="none"/>
          <w:lang w:eastAsia="zh-CN"/>
        </w:rPr>
        <w:t>五</w:t>
      </w:r>
      <w:r>
        <w:rPr>
          <w:rFonts w:hint="eastAsia" w:ascii="仿宋" w:hAnsi="仿宋" w:eastAsia="仿宋" w:cs="仿宋"/>
          <w:b/>
          <w:color w:val="auto"/>
          <w:sz w:val="44"/>
          <w:szCs w:val="44"/>
          <w:highlight w:val="none"/>
        </w:rPr>
        <w:t>章  政府采购合同格式</w:t>
      </w:r>
      <w:bookmarkEnd w:id="200"/>
      <w:bookmarkEnd w:id="201"/>
      <w:bookmarkEnd w:id="202"/>
      <w:bookmarkEnd w:id="203"/>
      <w:bookmarkEnd w:id="204"/>
      <w:bookmarkEnd w:id="205"/>
      <w:bookmarkEnd w:id="206"/>
    </w:p>
    <w:p w14:paraId="08CA38FF">
      <w:pPr>
        <w:autoSpaceDE w:val="0"/>
        <w:autoSpaceDN w:val="0"/>
        <w:spacing w:line="360" w:lineRule="auto"/>
        <w:ind w:firstLine="482"/>
        <w:rPr>
          <w:rFonts w:hint="eastAsia" w:ascii="仿宋" w:hAnsi="仿宋" w:eastAsia="仿宋" w:cs="仿宋"/>
          <w:b w:val="0"/>
          <w:bCs w:val="0"/>
          <w:sz w:val="24"/>
        </w:rPr>
      </w:pPr>
      <w:bookmarkStart w:id="207" w:name="_Toc1314_WPSOffice_Level2"/>
      <w:bookmarkStart w:id="208" w:name="_Toc267261701"/>
      <w:r>
        <w:rPr>
          <w:rFonts w:hint="eastAsia" w:ascii="仿宋" w:hAnsi="仿宋" w:eastAsia="仿宋" w:cs="仿宋"/>
          <w:b w:val="0"/>
          <w:bCs w:val="0"/>
          <w:sz w:val="24"/>
        </w:rPr>
        <w:t>甲方（</w:t>
      </w:r>
      <w:r>
        <w:rPr>
          <w:rFonts w:hint="eastAsia" w:ascii="仿宋" w:hAnsi="仿宋" w:eastAsia="仿宋" w:cs="仿宋"/>
          <w:b w:val="0"/>
          <w:bCs w:val="0"/>
          <w:sz w:val="24"/>
          <w:lang w:eastAsia="zh-CN"/>
        </w:rPr>
        <w:t>采购人</w:t>
      </w:r>
      <w:r>
        <w:rPr>
          <w:rFonts w:hint="eastAsia" w:ascii="仿宋" w:hAnsi="仿宋" w:eastAsia="仿宋" w:cs="仿宋"/>
          <w:b w:val="0"/>
          <w:bCs w:val="0"/>
          <w:sz w:val="24"/>
        </w:rPr>
        <w:t xml:space="preserve">）：                                                 </w:t>
      </w:r>
    </w:p>
    <w:p w14:paraId="5D4B7C2C">
      <w:pPr>
        <w:autoSpaceDE w:val="0"/>
        <w:autoSpaceDN w:val="0"/>
        <w:spacing w:line="360" w:lineRule="auto"/>
        <w:ind w:firstLine="482"/>
        <w:rPr>
          <w:rFonts w:hint="eastAsia" w:ascii="仿宋" w:hAnsi="仿宋" w:eastAsia="仿宋" w:cs="仿宋"/>
          <w:b w:val="0"/>
          <w:bCs w:val="0"/>
          <w:sz w:val="24"/>
        </w:rPr>
      </w:pPr>
      <w:r>
        <w:rPr>
          <w:rFonts w:hint="eastAsia" w:ascii="仿宋" w:hAnsi="仿宋" w:eastAsia="仿宋" w:cs="仿宋"/>
          <w:b w:val="0"/>
          <w:bCs w:val="0"/>
          <w:sz w:val="24"/>
        </w:rPr>
        <w:t xml:space="preserve">乙方（成交供应商）：                                             </w:t>
      </w:r>
    </w:p>
    <w:p w14:paraId="6B42792F">
      <w:pPr>
        <w:autoSpaceDE w:val="0"/>
        <w:autoSpaceDN w:val="0"/>
        <w:spacing w:line="360" w:lineRule="auto"/>
        <w:ind w:firstLine="480"/>
        <w:jc w:val="left"/>
        <w:rPr>
          <w:rFonts w:hint="eastAsia" w:ascii="仿宋" w:hAnsi="仿宋" w:eastAsia="仿宋" w:cs="仿宋"/>
          <w:b w:val="0"/>
          <w:bCs w:val="0"/>
          <w:sz w:val="24"/>
        </w:rPr>
      </w:pPr>
      <w:r>
        <w:rPr>
          <w:rFonts w:hint="eastAsia" w:ascii="仿宋" w:hAnsi="仿宋" w:eastAsia="仿宋" w:cs="仿宋"/>
          <w:b w:val="0"/>
          <w:bCs w:val="0"/>
          <w:sz w:val="24"/>
        </w:rPr>
        <w:t>根据《中华人民共和国政府采购法》、《中华人民共和国合同法》等相关法律，甲、乙双方就(项目名称、项目编号），经平等协商达成合同如下：</w:t>
      </w:r>
    </w:p>
    <w:p w14:paraId="3EA78A27">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一、合同文件</w:t>
      </w:r>
    </w:p>
    <w:p w14:paraId="7B947889">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本合同所附下列文件是构成本合同不可分割的部分，组成合同的各项文件应互相解释，互为说明，解释合同文件的优先顺序如下：</w:t>
      </w:r>
    </w:p>
    <w:p w14:paraId="7B3AB9CB">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（一）合同格式以及合同条款</w:t>
      </w:r>
    </w:p>
    <w:p w14:paraId="5F4B6FF4">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（二）成交通知书</w:t>
      </w:r>
    </w:p>
    <w:p w14:paraId="5952F26B">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（三）成交供应商在评审过程中做出的有关澄清、说明、承诺或者补正文件</w:t>
      </w:r>
    </w:p>
    <w:p w14:paraId="51421A63">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（四）成交供应商响应文件</w:t>
      </w:r>
    </w:p>
    <w:p w14:paraId="76618F0E">
      <w:pPr>
        <w:autoSpaceDE w:val="0"/>
        <w:autoSpaceDN w:val="0"/>
        <w:spacing w:line="360" w:lineRule="auto"/>
        <w:ind w:firstLine="480"/>
        <w:rPr>
          <w:rFonts w:hint="eastAsia" w:ascii="仿宋" w:hAnsi="仿宋" w:eastAsia="仿宋" w:cs="仿宋"/>
          <w:b w:val="0"/>
          <w:bCs w:val="0"/>
          <w:sz w:val="24"/>
          <w:lang w:eastAsia="zh-CN"/>
        </w:rPr>
      </w:pPr>
      <w:r>
        <w:rPr>
          <w:rFonts w:hint="eastAsia" w:ascii="仿宋" w:hAnsi="仿宋" w:eastAsia="仿宋" w:cs="仿宋"/>
          <w:b w:val="0"/>
          <w:bCs w:val="0"/>
          <w:sz w:val="24"/>
        </w:rPr>
        <w:t>（五）</w:t>
      </w:r>
      <w:r>
        <w:rPr>
          <w:rFonts w:hint="eastAsia" w:ascii="仿宋" w:hAnsi="仿宋" w:eastAsia="仿宋" w:cs="仿宋"/>
          <w:b w:val="0"/>
          <w:bCs w:val="0"/>
          <w:sz w:val="24"/>
          <w:lang w:eastAsia="zh-CN"/>
        </w:rPr>
        <w:t>招标文件</w:t>
      </w:r>
    </w:p>
    <w:p w14:paraId="7298A5FA">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（六）本合同附件</w:t>
      </w:r>
    </w:p>
    <w:p w14:paraId="5B104F97">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二、合同的范围和条件</w:t>
      </w:r>
    </w:p>
    <w:p w14:paraId="64D48881">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本合同的范围和条件应与上述合同文件的规定相一致。</w:t>
      </w:r>
    </w:p>
    <w:p w14:paraId="6E025D5A">
      <w:pPr>
        <w:autoSpaceDE w:val="0"/>
        <w:autoSpaceDN w:val="0"/>
        <w:spacing w:line="360" w:lineRule="auto"/>
        <w:ind w:firstLine="501" w:firstLineChars="209"/>
        <w:rPr>
          <w:rFonts w:hint="eastAsia" w:ascii="仿宋" w:hAnsi="仿宋" w:eastAsia="仿宋" w:cs="仿宋"/>
          <w:b w:val="0"/>
          <w:bCs w:val="0"/>
          <w:sz w:val="24"/>
        </w:rPr>
      </w:pPr>
      <w:r>
        <w:rPr>
          <w:rFonts w:hint="eastAsia" w:ascii="仿宋" w:hAnsi="仿宋" w:eastAsia="仿宋" w:cs="仿宋"/>
          <w:b w:val="0"/>
          <w:bCs w:val="0"/>
          <w:sz w:val="24"/>
        </w:rPr>
        <w:t>三、</w:t>
      </w:r>
      <w:r>
        <w:rPr>
          <w:rFonts w:hint="eastAsia" w:ascii="仿宋" w:hAnsi="仿宋" w:eastAsia="仿宋" w:cs="仿宋"/>
          <w:b w:val="0"/>
          <w:bCs w:val="0"/>
          <w:sz w:val="24"/>
          <w:lang w:eastAsia="zh-CN"/>
        </w:rPr>
        <w:t>工程</w:t>
      </w:r>
      <w:r>
        <w:rPr>
          <w:rFonts w:hint="eastAsia" w:ascii="仿宋" w:hAnsi="仿宋" w:eastAsia="仿宋" w:cs="仿宋"/>
          <w:b w:val="0"/>
          <w:bCs w:val="0"/>
          <w:sz w:val="24"/>
        </w:rPr>
        <w:t>项目</w:t>
      </w:r>
    </w:p>
    <w:p w14:paraId="0B6EC741">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本合同所提供的</w:t>
      </w:r>
      <w:r>
        <w:rPr>
          <w:rFonts w:hint="eastAsia" w:ascii="仿宋" w:hAnsi="仿宋" w:eastAsia="仿宋" w:cs="仿宋"/>
          <w:b w:val="0"/>
          <w:bCs w:val="0"/>
          <w:sz w:val="24"/>
          <w:lang w:eastAsia="zh-CN"/>
        </w:rPr>
        <w:t>工程</w:t>
      </w:r>
      <w:r>
        <w:rPr>
          <w:rFonts w:hint="eastAsia" w:ascii="仿宋" w:hAnsi="仿宋" w:eastAsia="仿宋" w:cs="仿宋"/>
          <w:b w:val="0"/>
          <w:bCs w:val="0"/>
          <w:sz w:val="24"/>
        </w:rPr>
        <w:t>项目内容： （与响应文件中</w:t>
      </w:r>
      <w:r>
        <w:rPr>
          <w:rFonts w:hint="eastAsia" w:ascii="仿宋" w:hAnsi="仿宋" w:eastAsia="仿宋" w:cs="仿宋"/>
          <w:b w:val="0"/>
          <w:bCs w:val="0"/>
          <w:sz w:val="24"/>
          <w:lang w:eastAsia="zh-CN"/>
        </w:rPr>
        <w:t>工程量清单</w:t>
      </w:r>
      <w:r>
        <w:rPr>
          <w:rFonts w:hint="eastAsia" w:ascii="仿宋" w:hAnsi="仿宋" w:eastAsia="仿宋" w:cs="仿宋"/>
          <w:b w:val="0"/>
          <w:bCs w:val="0"/>
          <w:sz w:val="24"/>
        </w:rPr>
        <w:t>明细表一致）。</w:t>
      </w:r>
    </w:p>
    <w:p w14:paraId="5BA09124">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四、合同金额</w:t>
      </w:r>
    </w:p>
    <w:p w14:paraId="47AD0111">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合同金额为人民币</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万元，大写：</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万元。</w:t>
      </w:r>
    </w:p>
    <w:p w14:paraId="3234657A">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五、付款途径</w:t>
      </w:r>
    </w:p>
    <w:p w14:paraId="6C87EC93">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六、付款方式</w:t>
      </w:r>
    </w:p>
    <w:p w14:paraId="013157F4">
      <w:pPr>
        <w:autoSpaceDE w:val="0"/>
        <w:autoSpaceDN w:val="0"/>
        <w:spacing w:line="360" w:lineRule="auto"/>
        <w:ind w:firstLine="480"/>
        <w:jc w:val="left"/>
        <w:rPr>
          <w:rFonts w:hint="eastAsia" w:ascii="仿宋" w:hAnsi="仿宋" w:eastAsia="仿宋" w:cs="仿宋"/>
          <w:b w:val="0"/>
          <w:bCs w:val="0"/>
          <w:sz w:val="24"/>
        </w:rPr>
      </w:pPr>
      <w:r>
        <w:rPr>
          <w:rFonts w:hint="eastAsia" w:ascii="仿宋" w:hAnsi="仿宋" w:eastAsia="仿宋" w:cs="仿宋"/>
          <w:b w:val="0"/>
          <w:bCs w:val="0"/>
          <w:sz w:val="24"/>
        </w:rPr>
        <w:t>□分期支付方式</w:t>
      </w:r>
    </w:p>
    <w:p w14:paraId="5CD365B3">
      <w:pPr>
        <w:tabs>
          <w:tab w:val="left" w:pos="840"/>
        </w:tabs>
        <w:autoSpaceDE w:val="0"/>
        <w:autoSpaceDN w:val="0"/>
        <w:spacing w:line="360" w:lineRule="auto"/>
        <w:ind w:firstLine="480" w:firstLineChars="200"/>
        <w:rPr>
          <w:rFonts w:hint="eastAsia" w:ascii="仿宋" w:hAnsi="仿宋" w:eastAsia="仿宋" w:cs="仿宋"/>
          <w:b w:val="0"/>
          <w:bCs w:val="0"/>
          <w:sz w:val="24"/>
        </w:rPr>
      </w:pPr>
      <w:r>
        <w:rPr>
          <w:rFonts w:hint="eastAsia" w:ascii="仿宋" w:hAnsi="仿宋" w:eastAsia="仿宋" w:cs="仿宋"/>
          <w:b w:val="0"/>
          <w:bCs w:val="0"/>
          <w:sz w:val="24"/>
        </w:rPr>
        <w:t xml:space="preserve">合同生效后 </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个工作日内，甲方向乙方支付合同金额的</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%，即人民币</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万元，大写</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万元；提供服务成果并经双方验收合格之日起     个工作日内甲方向乙方支付合同金额的</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%，即人民币</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万元，大写：</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，余款</w:t>
      </w:r>
      <w:r>
        <w:rPr>
          <w:rFonts w:hint="eastAsia" w:ascii="仿宋" w:hAnsi="仿宋" w:eastAsia="仿宋" w:cs="仿宋"/>
          <w:b w:val="0"/>
          <w:bCs w:val="0"/>
          <w:color w:val="auto"/>
          <w:sz w:val="24"/>
          <w:u w:val="single"/>
        </w:rPr>
        <w:t xml:space="preserve">   %</w:t>
      </w:r>
      <w:r>
        <w:rPr>
          <w:rFonts w:hint="eastAsia" w:ascii="仿宋" w:hAnsi="仿宋" w:eastAsia="仿宋" w:cs="仿宋"/>
          <w:b w:val="0"/>
          <w:bCs w:val="0"/>
          <w:sz w:val="24"/>
        </w:rPr>
        <w:t>即人民币</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万元，质保期（</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 xml:space="preserve">年）满后 </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日内一次无息付清。</w:t>
      </w:r>
    </w:p>
    <w:p w14:paraId="3A67E529">
      <w:pPr>
        <w:autoSpaceDE w:val="0"/>
        <w:autoSpaceDN w:val="0"/>
        <w:spacing w:line="360" w:lineRule="auto"/>
        <w:ind w:firstLine="480"/>
        <w:jc w:val="left"/>
        <w:rPr>
          <w:rFonts w:hint="eastAsia" w:ascii="仿宋" w:hAnsi="仿宋" w:eastAsia="仿宋" w:cs="仿宋"/>
          <w:b w:val="0"/>
          <w:bCs w:val="0"/>
          <w:sz w:val="24"/>
        </w:rPr>
      </w:pPr>
      <w:r>
        <w:rPr>
          <w:rFonts w:hint="eastAsia" w:ascii="仿宋" w:hAnsi="仿宋" w:eastAsia="仿宋" w:cs="仿宋"/>
          <w:b w:val="0"/>
          <w:bCs w:val="0"/>
          <w:sz w:val="24"/>
        </w:rPr>
        <w:t>□一次性支付方式</w:t>
      </w:r>
    </w:p>
    <w:p w14:paraId="34026EF9">
      <w:pPr>
        <w:tabs>
          <w:tab w:val="left" w:pos="840"/>
        </w:tabs>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提供服务成果并经双方验收合格之日起</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个工作日内，甲方向乙方支付全部合同价款，即人民币</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万元，大写：</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 xml:space="preserve"> 。</w:t>
      </w:r>
    </w:p>
    <w:p w14:paraId="40A699FC">
      <w:pPr>
        <w:pStyle w:val="26"/>
        <w:tabs>
          <w:tab w:val="right" w:pos="8312"/>
        </w:tabs>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七、</w:t>
      </w:r>
      <w:r>
        <w:rPr>
          <w:rFonts w:hint="eastAsia" w:ascii="仿宋" w:hAnsi="仿宋" w:eastAsia="仿宋" w:cs="仿宋"/>
          <w:b w:val="0"/>
          <w:bCs w:val="0"/>
          <w:sz w:val="24"/>
          <w:szCs w:val="24"/>
          <w:lang w:eastAsia="zh-CN"/>
        </w:rPr>
        <w:t>项目工期</w:t>
      </w:r>
      <w:r>
        <w:rPr>
          <w:rFonts w:hint="eastAsia" w:ascii="仿宋" w:hAnsi="仿宋" w:eastAsia="仿宋" w:cs="仿宋"/>
          <w:b w:val="0"/>
          <w:bCs w:val="0"/>
          <w:sz w:val="24"/>
          <w:szCs w:val="24"/>
        </w:rPr>
        <w:t>、地点</w:t>
      </w:r>
      <w:r>
        <w:rPr>
          <w:rFonts w:hint="eastAsia" w:ascii="仿宋" w:hAnsi="仿宋" w:eastAsia="仿宋" w:cs="仿宋"/>
          <w:b w:val="0"/>
          <w:bCs w:val="0"/>
          <w:sz w:val="24"/>
          <w:szCs w:val="24"/>
        </w:rPr>
        <w:tab/>
      </w:r>
    </w:p>
    <w:p w14:paraId="3B5AE221">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eastAsia="zh-CN"/>
        </w:rPr>
        <w:t>项目工期</w:t>
      </w:r>
      <w:r>
        <w:rPr>
          <w:rFonts w:hint="eastAsia" w:ascii="仿宋" w:hAnsi="仿宋" w:eastAsia="仿宋" w:cs="仿宋"/>
          <w:b w:val="0"/>
          <w:bCs w:val="0"/>
          <w:sz w:val="24"/>
          <w:szCs w:val="24"/>
        </w:rPr>
        <w:t>：</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日至</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 xml:space="preserve"> 年</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日。</w:t>
      </w:r>
    </w:p>
    <w:p w14:paraId="5B39039E">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eastAsia="zh-CN"/>
        </w:rPr>
        <w:t>工程</w:t>
      </w:r>
      <w:r>
        <w:rPr>
          <w:rFonts w:hint="eastAsia" w:ascii="仿宋" w:hAnsi="仿宋" w:eastAsia="仿宋" w:cs="仿宋"/>
          <w:b w:val="0"/>
          <w:bCs w:val="0"/>
          <w:sz w:val="24"/>
          <w:szCs w:val="24"/>
        </w:rPr>
        <w:t>地点：</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 xml:space="preserve"> 。</w:t>
      </w:r>
    </w:p>
    <w:p w14:paraId="4A818FFB">
      <w:pPr>
        <w:pStyle w:val="26"/>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八、质量</w:t>
      </w:r>
    </w:p>
    <w:p w14:paraId="55DE1908">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乙方提供的</w:t>
      </w:r>
      <w:r>
        <w:rPr>
          <w:rFonts w:hint="eastAsia" w:ascii="仿宋" w:hAnsi="仿宋" w:eastAsia="仿宋" w:cs="仿宋"/>
          <w:b w:val="0"/>
          <w:bCs w:val="0"/>
          <w:sz w:val="24"/>
          <w:szCs w:val="24"/>
          <w:lang w:eastAsia="zh-CN"/>
        </w:rPr>
        <w:t>工程质量</w:t>
      </w:r>
      <w:r>
        <w:rPr>
          <w:rFonts w:hint="eastAsia" w:ascii="仿宋" w:hAnsi="仿宋" w:eastAsia="仿宋" w:cs="仿宋"/>
          <w:b w:val="0"/>
          <w:bCs w:val="0"/>
          <w:sz w:val="24"/>
          <w:szCs w:val="24"/>
        </w:rPr>
        <w:t>应符合国家（或行业）规定标准。</w:t>
      </w:r>
    </w:p>
    <w:p w14:paraId="3BB54905">
      <w:pPr>
        <w:spacing w:line="360" w:lineRule="auto"/>
        <w:ind w:firstLine="482"/>
        <w:rPr>
          <w:rFonts w:hint="eastAsia" w:ascii="仿宋" w:hAnsi="仿宋" w:eastAsia="仿宋" w:cs="仿宋"/>
          <w:b w:val="0"/>
          <w:bCs w:val="0"/>
          <w:sz w:val="24"/>
        </w:rPr>
      </w:pPr>
      <w:bookmarkStart w:id="209" w:name="_Toc223404485"/>
      <w:r>
        <w:rPr>
          <w:rFonts w:hint="eastAsia" w:ascii="仿宋" w:hAnsi="仿宋" w:eastAsia="仿宋" w:cs="仿宋"/>
          <w:b w:val="0"/>
          <w:bCs w:val="0"/>
          <w:sz w:val="24"/>
          <w:lang w:val="en-US" w:eastAsia="zh-CN"/>
        </w:rPr>
        <w:t>九</w:t>
      </w:r>
      <w:r>
        <w:rPr>
          <w:rFonts w:hint="eastAsia" w:ascii="仿宋" w:hAnsi="仿宋" w:eastAsia="仿宋" w:cs="仿宋"/>
          <w:b w:val="0"/>
          <w:bCs w:val="0"/>
          <w:sz w:val="24"/>
        </w:rPr>
        <w:t>、违约条款</w:t>
      </w:r>
      <w:bookmarkEnd w:id="209"/>
    </w:p>
    <w:p w14:paraId="45F3BEB5">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1、乙方延迟</w:t>
      </w:r>
      <w:r>
        <w:rPr>
          <w:rFonts w:hint="eastAsia" w:ascii="仿宋" w:hAnsi="仿宋" w:eastAsia="仿宋" w:cs="仿宋"/>
          <w:b w:val="0"/>
          <w:bCs w:val="0"/>
          <w:sz w:val="24"/>
          <w:szCs w:val="24"/>
          <w:lang w:eastAsia="zh-CN"/>
        </w:rPr>
        <w:t>工期</w:t>
      </w:r>
      <w:r>
        <w:rPr>
          <w:rFonts w:hint="eastAsia" w:ascii="仿宋" w:hAnsi="仿宋" w:eastAsia="仿宋" w:cs="仿宋"/>
          <w:b w:val="0"/>
          <w:bCs w:val="0"/>
          <w:sz w:val="24"/>
          <w:szCs w:val="24"/>
        </w:rPr>
        <w:t>，每延迟</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日，按合同金额的</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支付违约金。</w:t>
      </w:r>
    </w:p>
    <w:p w14:paraId="798B0FAB">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2、一方不按期履行合同，并经另一方提示后</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日内仍不履行合同的，守约方有权解除合同，违约方要承担相应的法律责任。</w:t>
      </w:r>
    </w:p>
    <w:p w14:paraId="1952570C">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3、如因一方违约，双方未能就赔偿损失达成协议，引起诉讼或仲裁时，违约方除应赔偿对方经济损失外，还应承担因诉讼或仲裁所支付的律师代理费等相关费用。</w:t>
      </w:r>
    </w:p>
    <w:p w14:paraId="7E63C812">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4、其它应承担的违约责任，以《中华人民共和国合同法》和其它有关法律、法规规定为准，无相关规定的，双方协商解决。</w:t>
      </w:r>
    </w:p>
    <w:p w14:paraId="5FBAB74C">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5、按照本合同规定应该偿付的违约金、赔偿金等，应当在明确责任后    日内，按银行规定或双方商定的结算办法付清，否则按逾期付款处理。</w:t>
      </w:r>
    </w:p>
    <w:p w14:paraId="2C26CF24">
      <w:pPr>
        <w:spacing w:line="360" w:lineRule="auto"/>
        <w:ind w:firstLine="482"/>
        <w:rPr>
          <w:rFonts w:hint="eastAsia" w:ascii="仿宋" w:hAnsi="仿宋" w:eastAsia="仿宋" w:cs="仿宋"/>
          <w:b w:val="0"/>
          <w:bCs w:val="0"/>
          <w:sz w:val="24"/>
        </w:rPr>
      </w:pPr>
      <w:bookmarkStart w:id="210" w:name="_Toc223404486"/>
      <w:r>
        <w:rPr>
          <w:rFonts w:hint="eastAsia" w:ascii="仿宋" w:hAnsi="仿宋" w:eastAsia="仿宋" w:cs="仿宋"/>
          <w:b w:val="0"/>
          <w:bCs w:val="0"/>
          <w:sz w:val="24"/>
        </w:rPr>
        <w:t>十一、不可抗力条款</w:t>
      </w:r>
      <w:bookmarkEnd w:id="210"/>
    </w:p>
    <w:p w14:paraId="7C6C5ECC">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因不可抗力致使一方不能及时或完全履行合同的，应及时通知</w:t>
      </w:r>
      <w:r>
        <w:rPr>
          <w:rFonts w:hint="eastAsia" w:ascii="仿宋" w:hAnsi="仿宋" w:eastAsia="仿宋" w:cs="仿宋"/>
          <w:b w:val="0"/>
          <w:bCs w:val="0"/>
          <w:sz w:val="24"/>
          <w:szCs w:val="24"/>
          <w:lang w:eastAsia="zh-CN"/>
        </w:rPr>
        <w:t>招标代理机构</w:t>
      </w:r>
      <w:r>
        <w:rPr>
          <w:rFonts w:hint="eastAsia" w:ascii="仿宋" w:hAnsi="仿宋" w:eastAsia="仿宋" w:cs="仿宋"/>
          <w:b w:val="0"/>
          <w:bCs w:val="0"/>
          <w:sz w:val="24"/>
          <w:szCs w:val="24"/>
        </w:rPr>
        <w:t>及另一方，双方互不承担责任，并在</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天内提供有关不可抗力的相应证明。合同未履行部分是否继续履行、如何履行等问题，可由双方协商解决。</w:t>
      </w:r>
    </w:p>
    <w:p w14:paraId="29E89B4F">
      <w:pPr>
        <w:spacing w:line="360" w:lineRule="auto"/>
        <w:ind w:firstLine="482"/>
        <w:rPr>
          <w:rFonts w:hint="eastAsia" w:ascii="仿宋" w:hAnsi="仿宋" w:eastAsia="仿宋" w:cs="仿宋"/>
          <w:b w:val="0"/>
          <w:bCs w:val="0"/>
          <w:sz w:val="24"/>
        </w:rPr>
      </w:pPr>
      <w:bookmarkStart w:id="211" w:name="_Toc223404487"/>
      <w:r>
        <w:rPr>
          <w:rFonts w:hint="eastAsia" w:ascii="仿宋" w:hAnsi="仿宋" w:eastAsia="仿宋" w:cs="仿宋"/>
          <w:b w:val="0"/>
          <w:bCs w:val="0"/>
          <w:sz w:val="24"/>
        </w:rPr>
        <w:t>十二、争议的解决方式</w:t>
      </w:r>
      <w:bookmarkEnd w:id="211"/>
    </w:p>
    <w:p w14:paraId="682C8316">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合同发生纠纷时，双方应协商解决，协商不成可以采用下列方式解决：</w:t>
      </w:r>
    </w:p>
    <w:p w14:paraId="05C7C132">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1、提交仲裁委员会仲裁；</w:t>
      </w:r>
    </w:p>
    <w:p w14:paraId="59C9C31B">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2、向人民法院诉讼。</w:t>
      </w:r>
    </w:p>
    <w:p w14:paraId="02C9BA6D">
      <w:pPr>
        <w:spacing w:line="360" w:lineRule="auto"/>
        <w:ind w:firstLine="482"/>
        <w:rPr>
          <w:rFonts w:hint="eastAsia" w:ascii="仿宋" w:hAnsi="仿宋" w:eastAsia="仿宋" w:cs="仿宋"/>
          <w:b w:val="0"/>
          <w:bCs w:val="0"/>
          <w:sz w:val="24"/>
        </w:rPr>
      </w:pPr>
      <w:bookmarkStart w:id="212" w:name="_Toc223404488"/>
      <w:r>
        <w:rPr>
          <w:rFonts w:hint="eastAsia" w:ascii="仿宋" w:hAnsi="仿宋" w:eastAsia="仿宋" w:cs="仿宋"/>
          <w:b w:val="0"/>
          <w:bCs w:val="0"/>
          <w:sz w:val="24"/>
        </w:rPr>
        <w:t>十三、补充协议</w:t>
      </w:r>
      <w:bookmarkEnd w:id="212"/>
    </w:p>
    <w:p w14:paraId="35CFFB23">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合同未尽事宜，经双方协商可签订补充协议，所签订的补充协议与本合同具有同等的法律效力，补充协议的生效应符合本合同的有关规定。合同补充条款应同时报政府采购监督管理部门备案。</w:t>
      </w:r>
    </w:p>
    <w:p w14:paraId="2FFA3027">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十四、合同保存</w:t>
      </w:r>
    </w:p>
    <w:p w14:paraId="0B9AC0F5">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本合同一式</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val="en-US" w:eastAsia="zh-CN"/>
        </w:rPr>
        <w:t xml:space="preserve"> </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份，甲方</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val="en-US" w:eastAsia="zh-CN"/>
        </w:rPr>
        <w:t xml:space="preserve"> </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份，乙方</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val="en-US" w:eastAsia="zh-CN"/>
        </w:rPr>
        <w:t xml:space="preserve"> </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份，</w:t>
      </w:r>
      <w:r>
        <w:rPr>
          <w:rFonts w:hint="eastAsia" w:ascii="仿宋" w:hAnsi="仿宋" w:eastAsia="仿宋" w:cs="仿宋"/>
          <w:b w:val="0"/>
          <w:bCs w:val="0"/>
          <w:sz w:val="24"/>
          <w:lang w:eastAsia="zh-CN"/>
        </w:rPr>
        <w:t>招标代理机构</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val="en-US" w:eastAsia="zh-CN"/>
        </w:rPr>
        <w:t xml:space="preserve"> </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份，</w:t>
      </w:r>
      <w:r>
        <w:rPr>
          <w:rFonts w:hint="eastAsia" w:ascii="仿宋" w:hAnsi="仿宋" w:eastAsia="仿宋" w:cs="仿宋"/>
          <w:b w:val="0"/>
          <w:bCs w:val="0"/>
          <w:sz w:val="24"/>
          <w:u w:val="none"/>
          <w:lang w:eastAsia="zh-CN"/>
        </w:rPr>
        <w:t>汉中市</w:t>
      </w:r>
      <w:r>
        <w:rPr>
          <w:rFonts w:hint="eastAsia" w:ascii="仿宋" w:hAnsi="仿宋" w:eastAsia="仿宋" w:cs="仿宋"/>
          <w:b w:val="0"/>
          <w:bCs w:val="0"/>
          <w:sz w:val="24"/>
        </w:rPr>
        <w:t>（县、区）政府采购监督管理部门</w:t>
      </w:r>
      <w:r>
        <w:rPr>
          <w:rFonts w:hint="eastAsia" w:ascii="仿宋" w:hAnsi="仿宋" w:eastAsia="仿宋" w:cs="仿宋"/>
          <w:b w:val="0"/>
          <w:bCs w:val="0"/>
          <w:sz w:val="24"/>
          <w:u w:val="single"/>
        </w:rPr>
        <w:t xml:space="preserve"> </w:t>
      </w:r>
      <w:r>
        <w:rPr>
          <w:rFonts w:hint="eastAsia" w:ascii="仿宋" w:hAnsi="仿宋" w:eastAsia="仿宋" w:cs="仿宋"/>
          <w:b w:val="0"/>
          <w:bCs w:val="0"/>
          <w:sz w:val="24"/>
          <w:u w:val="single"/>
          <w:lang w:val="en-US" w:eastAsia="zh-CN"/>
        </w:rPr>
        <w:t xml:space="preserve"> </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份。</w:t>
      </w:r>
    </w:p>
    <w:p w14:paraId="791B948D">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十五、其他需要补充的内容：</w:t>
      </w:r>
    </w:p>
    <w:p w14:paraId="2F528C35">
      <w:pPr>
        <w:pStyle w:val="26"/>
        <w:spacing w:line="360" w:lineRule="auto"/>
        <w:ind w:firstLine="480"/>
        <w:rPr>
          <w:rFonts w:hint="eastAsia" w:ascii="仿宋" w:hAnsi="仿宋" w:eastAsia="仿宋" w:cs="仿宋"/>
          <w:b w:val="0"/>
          <w:bCs w:val="0"/>
          <w:sz w:val="24"/>
          <w:szCs w:val="24"/>
        </w:rPr>
      </w:pPr>
      <w:r>
        <w:rPr>
          <w:rFonts w:hint="eastAsia" w:ascii="仿宋" w:hAnsi="仿宋" w:eastAsia="仿宋" w:cs="仿宋"/>
          <w:b w:val="0"/>
          <w:bCs w:val="0"/>
          <w:sz w:val="24"/>
          <w:szCs w:val="24"/>
        </w:rPr>
        <w:t>1、乙方应按</w:t>
      </w:r>
      <w:r>
        <w:rPr>
          <w:rFonts w:hint="eastAsia" w:ascii="仿宋" w:hAnsi="仿宋" w:eastAsia="仿宋" w:cs="仿宋"/>
          <w:b w:val="0"/>
          <w:bCs w:val="0"/>
          <w:sz w:val="24"/>
          <w:szCs w:val="24"/>
          <w:lang w:eastAsia="zh-CN"/>
        </w:rPr>
        <w:t>投标响应文件</w:t>
      </w:r>
      <w:r>
        <w:rPr>
          <w:rFonts w:hint="eastAsia" w:ascii="仿宋" w:hAnsi="仿宋" w:eastAsia="仿宋" w:cs="仿宋"/>
          <w:b w:val="0"/>
          <w:bCs w:val="0"/>
          <w:sz w:val="24"/>
          <w:szCs w:val="24"/>
        </w:rPr>
        <w:t>及乙方在</w:t>
      </w:r>
      <w:r>
        <w:rPr>
          <w:rFonts w:hint="eastAsia" w:ascii="仿宋" w:hAnsi="仿宋" w:eastAsia="仿宋" w:cs="仿宋"/>
          <w:b w:val="0"/>
          <w:bCs w:val="0"/>
          <w:sz w:val="24"/>
          <w:szCs w:val="24"/>
          <w:lang w:eastAsia="zh-CN"/>
        </w:rPr>
        <w:t>投标</w:t>
      </w:r>
      <w:r>
        <w:rPr>
          <w:rFonts w:hint="eastAsia" w:ascii="仿宋" w:hAnsi="仿宋" w:eastAsia="仿宋" w:cs="仿宋"/>
          <w:b w:val="0"/>
          <w:bCs w:val="0"/>
          <w:sz w:val="24"/>
          <w:szCs w:val="24"/>
        </w:rPr>
        <w:t>过程中做出的书面说明或承诺提供及时、快速、优质的服务。</w:t>
      </w:r>
    </w:p>
    <w:p w14:paraId="447CB284">
      <w:pPr>
        <w:autoSpaceDE w:val="0"/>
        <w:autoSpaceDN w:val="0"/>
        <w:spacing w:line="360" w:lineRule="auto"/>
        <w:ind w:firstLine="480"/>
        <w:rPr>
          <w:rFonts w:hint="eastAsia" w:ascii="仿宋" w:hAnsi="仿宋" w:eastAsia="仿宋" w:cs="仿宋"/>
          <w:b w:val="0"/>
          <w:bCs w:val="0"/>
          <w:sz w:val="24"/>
        </w:rPr>
      </w:pPr>
      <w:r>
        <w:rPr>
          <w:rFonts w:hint="eastAsia" w:ascii="仿宋" w:hAnsi="仿宋" w:eastAsia="仿宋" w:cs="仿宋"/>
          <w:b w:val="0"/>
          <w:bCs w:val="0"/>
          <w:sz w:val="24"/>
        </w:rPr>
        <w:t xml:space="preserve">2、其他服务内容：                                           </w:t>
      </w:r>
    </w:p>
    <w:p w14:paraId="66BFD1A0">
      <w:pPr>
        <w:autoSpaceDE w:val="0"/>
        <w:autoSpaceDN w:val="0"/>
        <w:spacing w:line="360" w:lineRule="auto"/>
        <w:rPr>
          <w:rFonts w:hint="eastAsia" w:ascii="仿宋" w:hAnsi="仿宋" w:eastAsia="仿宋" w:cs="仿宋"/>
          <w:b w:val="0"/>
          <w:bCs w:val="0"/>
          <w:sz w:val="24"/>
        </w:rPr>
      </w:pPr>
    </w:p>
    <w:p w14:paraId="53FCF90C">
      <w:pPr>
        <w:autoSpaceDE w:val="0"/>
        <w:autoSpaceDN w:val="0"/>
        <w:spacing w:line="360" w:lineRule="auto"/>
        <w:rPr>
          <w:rFonts w:hint="eastAsia" w:ascii="仿宋" w:hAnsi="仿宋" w:eastAsia="仿宋" w:cs="仿宋"/>
          <w:b w:val="0"/>
          <w:bCs w:val="0"/>
          <w:sz w:val="24"/>
        </w:rPr>
      </w:pPr>
      <w:r>
        <w:rPr>
          <w:rFonts w:hint="eastAsia" w:ascii="仿宋" w:hAnsi="仿宋" w:eastAsia="仿宋" w:cs="仿宋"/>
          <w:b w:val="0"/>
          <w:bCs w:val="0"/>
          <w:sz w:val="24"/>
        </w:rPr>
        <w:t>甲</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 xml:space="preserve">方：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乙</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方：</w:t>
      </w:r>
    </w:p>
    <w:p w14:paraId="017F0D68">
      <w:pPr>
        <w:autoSpaceDE w:val="0"/>
        <w:autoSpaceDN w:val="0"/>
        <w:spacing w:line="360" w:lineRule="auto"/>
        <w:rPr>
          <w:rFonts w:hint="eastAsia" w:ascii="仿宋" w:hAnsi="仿宋" w:eastAsia="仿宋" w:cs="仿宋"/>
          <w:b w:val="0"/>
          <w:bCs w:val="0"/>
          <w:sz w:val="24"/>
        </w:rPr>
      </w:pPr>
      <w:r>
        <w:rPr>
          <w:rFonts w:hint="eastAsia" w:ascii="仿宋" w:hAnsi="仿宋" w:eastAsia="仿宋" w:cs="仿宋"/>
          <w:b w:val="0"/>
          <w:bCs w:val="0"/>
          <w:sz w:val="24"/>
        </w:rPr>
        <w:t xml:space="preserve">单位名称(公章)：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 xml:space="preserve"> 单位名称(公章)：</w:t>
      </w:r>
    </w:p>
    <w:p w14:paraId="33298479">
      <w:pPr>
        <w:autoSpaceDE w:val="0"/>
        <w:autoSpaceDN w:val="0"/>
        <w:spacing w:line="360" w:lineRule="auto"/>
        <w:rPr>
          <w:rFonts w:hint="eastAsia" w:ascii="仿宋" w:hAnsi="仿宋" w:eastAsia="仿宋" w:cs="仿宋"/>
          <w:b w:val="0"/>
          <w:bCs w:val="0"/>
          <w:sz w:val="24"/>
        </w:rPr>
      </w:pPr>
      <w:r>
        <w:rPr>
          <w:rFonts w:hint="eastAsia" w:ascii="仿宋" w:hAnsi="仿宋" w:eastAsia="仿宋" w:cs="仿宋"/>
          <w:b w:val="0"/>
          <w:bCs w:val="0"/>
          <w:sz w:val="24"/>
        </w:rPr>
        <w:t>法定代表人或其授权代表（签字或盖章）：</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 xml:space="preserve"> 法定代表人或其授权代表（签字或盖章）：</w:t>
      </w:r>
    </w:p>
    <w:p w14:paraId="026B019D">
      <w:pPr>
        <w:autoSpaceDE w:val="0"/>
        <w:autoSpaceDN w:val="0"/>
        <w:spacing w:line="360" w:lineRule="auto"/>
        <w:rPr>
          <w:rFonts w:hint="eastAsia" w:ascii="仿宋" w:hAnsi="仿宋" w:eastAsia="仿宋" w:cs="仿宋"/>
          <w:b w:val="0"/>
          <w:bCs w:val="0"/>
          <w:sz w:val="24"/>
        </w:rPr>
      </w:pPr>
      <w:r>
        <w:rPr>
          <w:rFonts w:hint="eastAsia" w:ascii="仿宋" w:hAnsi="仿宋" w:eastAsia="仿宋" w:cs="仿宋"/>
          <w:b w:val="0"/>
          <w:bCs w:val="0"/>
          <w:sz w:val="24"/>
        </w:rPr>
        <w:t>开户银行：</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开户银行：</w:t>
      </w:r>
    </w:p>
    <w:p w14:paraId="13913FA2">
      <w:pPr>
        <w:autoSpaceDE w:val="0"/>
        <w:autoSpaceDN w:val="0"/>
        <w:spacing w:line="360" w:lineRule="auto"/>
        <w:rPr>
          <w:rFonts w:hint="eastAsia" w:ascii="仿宋" w:hAnsi="仿宋" w:eastAsia="仿宋" w:cs="仿宋"/>
          <w:b w:val="0"/>
          <w:bCs w:val="0"/>
          <w:sz w:val="24"/>
        </w:rPr>
      </w:pPr>
      <w:r>
        <w:rPr>
          <w:rFonts w:hint="eastAsia" w:ascii="仿宋" w:hAnsi="仿宋" w:eastAsia="仿宋" w:cs="仿宋"/>
          <w:b w:val="0"/>
          <w:bCs w:val="0"/>
          <w:sz w:val="24"/>
        </w:rPr>
        <w:t>账</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号：</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账</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号：</w:t>
      </w:r>
    </w:p>
    <w:p w14:paraId="0779092D">
      <w:pPr>
        <w:autoSpaceDE w:val="0"/>
        <w:autoSpaceDN w:val="0"/>
        <w:spacing w:line="360" w:lineRule="auto"/>
        <w:rPr>
          <w:rFonts w:hint="eastAsia" w:ascii="仿宋" w:hAnsi="仿宋" w:eastAsia="仿宋" w:cs="仿宋"/>
          <w:b w:val="0"/>
          <w:bCs w:val="0"/>
          <w:sz w:val="24"/>
        </w:rPr>
      </w:pPr>
      <w:r>
        <w:rPr>
          <w:rFonts w:hint="eastAsia" w:ascii="仿宋" w:hAnsi="仿宋" w:eastAsia="仿宋" w:cs="仿宋"/>
          <w:b w:val="0"/>
          <w:bCs w:val="0"/>
          <w:sz w:val="24"/>
        </w:rPr>
        <w:t xml:space="preserve">联系电话：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 xml:space="preserve">   联系电话：</w:t>
      </w:r>
    </w:p>
    <w:p w14:paraId="362A15AB">
      <w:pPr>
        <w:autoSpaceDE w:val="0"/>
        <w:autoSpaceDN w:val="0"/>
        <w:spacing w:line="360" w:lineRule="auto"/>
        <w:rPr>
          <w:rFonts w:hint="eastAsia" w:ascii="仿宋" w:hAnsi="仿宋" w:eastAsia="仿宋" w:cs="仿宋"/>
          <w:b w:val="0"/>
          <w:bCs w:val="0"/>
          <w:sz w:val="24"/>
        </w:rPr>
      </w:pPr>
      <w:r>
        <w:rPr>
          <w:rFonts w:hint="eastAsia" w:ascii="仿宋" w:hAnsi="仿宋" w:eastAsia="仿宋" w:cs="仿宋"/>
          <w:b w:val="0"/>
          <w:bCs w:val="0"/>
          <w:sz w:val="24"/>
        </w:rPr>
        <w:t xml:space="preserve">签订日期：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签订日期：</w:t>
      </w:r>
    </w:p>
    <w:p w14:paraId="0C41CBE4">
      <w:pPr>
        <w:autoSpaceDE w:val="0"/>
        <w:autoSpaceDN w:val="0"/>
        <w:spacing w:line="360" w:lineRule="auto"/>
        <w:ind w:left="380" w:firstLine="160"/>
        <w:rPr>
          <w:rFonts w:hint="eastAsia" w:ascii="仿宋" w:hAnsi="仿宋" w:eastAsia="仿宋" w:cs="仿宋"/>
          <w:b w:val="0"/>
          <w:bCs w:val="0"/>
          <w:sz w:val="24"/>
        </w:rPr>
      </w:pPr>
    </w:p>
    <w:p w14:paraId="5DFD3841">
      <w:pPr>
        <w:autoSpaceDE w:val="0"/>
        <w:autoSpaceDN w:val="0"/>
        <w:spacing w:line="360" w:lineRule="auto"/>
        <w:ind w:left="380" w:firstLine="160"/>
        <w:rPr>
          <w:rFonts w:hint="eastAsia" w:ascii="仿宋" w:hAnsi="仿宋" w:eastAsia="仿宋" w:cs="仿宋"/>
          <w:b w:val="0"/>
          <w:bCs w:val="0"/>
          <w:sz w:val="24"/>
        </w:rPr>
      </w:pPr>
      <w:r>
        <w:rPr>
          <w:rFonts w:hint="eastAsia" w:ascii="仿宋" w:hAnsi="仿宋" w:eastAsia="仿宋" w:cs="仿宋"/>
          <w:b w:val="0"/>
          <w:bCs w:val="0"/>
          <w:sz w:val="24"/>
        </w:rPr>
        <w:t>(注：本合同为简易版本，使用过程中，请结合具体项目，充实细化)</w:t>
      </w:r>
    </w:p>
    <w:p w14:paraId="38BEFC24">
      <w:pPr>
        <w:spacing w:line="360" w:lineRule="auto"/>
        <w:rPr>
          <w:rFonts w:hint="eastAsia" w:ascii="仿宋" w:hAnsi="仿宋" w:eastAsia="仿宋" w:cs="仿宋"/>
          <w:b w:val="0"/>
          <w:bCs w:val="0"/>
          <w:sz w:val="32"/>
          <w:szCs w:val="32"/>
        </w:rPr>
      </w:pPr>
    </w:p>
    <w:p w14:paraId="403DEB4D">
      <w:pPr>
        <w:pStyle w:val="2"/>
        <w:spacing w:line="240" w:lineRule="auto"/>
        <w:jc w:val="center"/>
        <w:rPr>
          <w:rFonts w:hint="eastAsia" w:ascii="仿宋" w:hAnsi="仿宋" w:eastAsia="仿宋" w:cs="仿宋"/>
          <w:color w:val="FF0000"/>
          <w:sz w:val="36"/>
          <w:szCs w:val="36"/>
          <w:highlight w:val="none"/>
        </w:rPr>
      </w:pPr>
    </w:p>
    <w:p w14:paraId="320F4867">
      <w:pPr>
        <w:rPr>
          <w:rFonts w:hint="eastAsia" w:ascii="仿宋" w:hAnsi="仿宋" w:eastAsia="仿宋" w:cs="仿宋"/>
          <w:color w:val="FF0000"/>
          <w:sz w:val="36"/>
          <w:szCs w:val="36"/>
          <w:highlight w:val="none"/>
        </w:rPr>
      </w:pPr>
    </w:p>
    <w:p w14:paraId="608DCD37">
      <w:pPr>
        <w:pStyle w:val="31"/>
        <w:rPr>
          <w:rFonts w:hint="eastAsia" w:ascii="仿宋" w:hAnsi="仿宋" w:eastAsia="仿宋" w:cs="仿宋"/>
          <w:color w:val="FF0000"/>
          <w:sz w:val="36"/>
          <w:szCs w:val="36"/>
          <w:highlight w:val="none"/>
        </w:rPr>
      </w:pPr>
    </w:p>
    <w:p w14:paraId="2E16DEE9">
      <w:pPr>
        <w:pStyle w:val="31"/>
        <w:rPr>
          <w:rFonts w:hint="eastAsia" w:ascii="仿宋" w:hAnsi="仿宋" w:eastAsia="仿宋" w:cs="仿宋"/>
          <w:color w:val="FF0000"/>
          <w:sz w:val="36"/>
          <w:szCs w:val="36"/>
          <w:highlight w:val="none"/>
        </w:rPr>
      </w:pPr>
    </w:p>
    <w:p w14:paraId="3E8B42E2">
      <w:pPr>
        <w:rPr>
          <w:rFonts w:hint="eastAsia" w:ascii="仿宋" w:hAnsi="仿宋" w:eastAsia="仿宋" w:cs="仿宋"/>
          <w:color w:val="FF0000"/>
          <w:sz w:val="36"/>
          <w:szCs w:val="36"/>
          <w:highlight w:val="none"/>
        </w:rPr>
      </w:pPr>
      <w:r>
        <w:rPr>
          <w:rFonts w:hint="eastAsia" w:ascii="仿宋" w:hAnsi="仿宋" w:eastAsia="仿宋" w:cs="仿宋"/>
          <w:color w:val="FF0000"/>
          <w:sz w:val="36"/>
          <w:szCs w:val="36"/>
          <w:highlight w:val="none"/>
        </w:rPr>
        <w:br w:type="page"/>
      </w:r>
    </w:p>
    <w:bookmarkEnd w:id="139"/>
    <w:bookmarkEnd w:id="207"/>
    <w:bookmarkEnd w:id="208"/>
    <w:p w14:paraId="58A6679F">
      <w:pPr>
        <w:numPr>
          <w:ilvl w:val="0"/>
          <w:numId w:val="6"/>
        </w:numPr>
        <w:spacing w:before="120" w:beforeLines="50" w:line="520" w:lineRule="exact"/>
        <w:jc w:val="center"/>
        <w:outlineLvl w:val="0"/>
        <w:rPr>
          <w:rFonts w:hint="eastAsia" w:ascii="仿宋" w:hAnsi="仿宋" w:eastAsia="仿宋" w:cs="仿宋"/>
          <w:b/>
          <w:color w:val="auto"/>
          <w:sz w:val="44"/>
          <w:szCs w:val="44"/>
          <w:highlight w:val="none"/>
        </w:rPr>
      </w:pPr>
      <w:bookmarkStart w:id="213" w:name="_Toc27682"/>
      <w:bookmarkStart w:id="214" w:name="_Toc17116"/>
      <w:bookmarkStart w:id="215" w:name="_Toc7119"/>
      <w:bookmarkStart w:id="216" w:name="_Toc7256_WPSOffice_Level1"/>
      <w:bookmarkStart w:id="217" w:name="_Toc17372"/>
      <w:bookmarkStart w:id="218" w:name="_Toc6445"/>
      <w:bookmarkStart w:id="219" w:name="_Toc7848"/>
      <w:r>
        <w:rPr>
          <w:rFonts w:hint="eastAsia" w:ascii="仿宋" w:hAnsi="仿宋" w:eastAsia="仿宋" w:cs="仿宋"/>
          <w:b/>
          <w:color w:val="auto"/>
          <w:sz w:val="44"/>
          <w:szCs w:val="44"/>
          <w:highlight w:val="none"/>
        </w:rPr>
        <w:t>响应文件格式</w:t>
      </w:r>
      <w:bookmarkEnd w:id="213"/>
      <w:bookmarkEnd w:id="214"/>
      <w:bookmarkEnd w:id="215"/>
      <w:bookmarkEnd w:id="216"/>
      <w:bookmarkEnd w:id="217"/>
      <w:bookmarkEnd w:id="218"/>
      <w:bookmarkEnd w:id="219"/>
    </w:p>
    <w:p w14:paraId="550D49B3">
      <w:pPr>
        <w:spacing w:before="120" w:beforeLines="50" w:line="520" w:lineRule="exact"/>
        <w:rPr>
          <w:rFonts w:hint="eastAsia" w:ascii="仿宋" w:hAnsi="仿宋" w:eastAsia="仿宋" w:cs="仿宋"/>
          <w:b/>
          <w:color w:val="auto"/>
          <w:sz w:val="44"/>
          <w:szCs w:val="44"/>
          <w:highlight w:val="none"/>
        </w:rPr>
      </w:pPr>
    </w:p>
    <w:p w14:paraId="7367610C">
      <w:pPr>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响应文件格式是供应商的部分响应文件格式，供应商应按照这些格式编制响应文件。编制响应文件前，请详细阅读磋商文件，理解文件中的每一项要求，做出逐一实质性响应，认为有必要，可做补充说明。</w:t>
      </w:r>
    </w:p>
    <w:p w14:paraId="0B6083BE">
      <w:pPr>
        <w:spacing w:line="400" w:lineRule="exact"/>
        <w:jc w:val="center"/>
        <w:rPr>
          <w:rFonts w:hint="eastAsia" w:ascii="仿宋" w:hAnsi="仿宋" w:eastAsia="仿宋" w:cs="仿宋"/>
          <w:b/>
          <w:color w:val="auto"/>
          <w:sz w:val="28"/>
          <w:szCs w:val="28"/>
          <w:highlight w:val="none"/>
        </w:rPr>
      </w:pPr>
    </w:p>
    <w:p w14:paraId="6D5EBA61">
      <w:pPr>
        <w:spacing w:line="400" w:lineRule="exact"/>
        <w:ind w:firstLine="570"/>
        <w:rPr>
          <w:rFonts w:hint="eastAsia" w:ascii="仿宋" w:hAnsi="仿宋" w:eastAsia="仿宋" w:cs="仿宋"/>
          <w:color w:val="auto"/>
          <w:sz w:val="28"/>
          <w:szCs w:val="28"/>
          <w:highlight w:val="none"/>
        </w:rPr>
      </w:pPr>
    </w:p>
    <w:p w14:paraId="2A315206">
      <w:pPr>
        <w:spacing w:line="400" w:lineRule="exact"/>
        <w:ind w:firstLine="570"/>
        <w:rPr>
          <w:rFonts w:hint="eastAsia" w:ascii="仿宋" w:hAnsi="仿宋" w:eastAsia="仿宋" w:cs="仿宋"/>
          <w:color w:val="auto"/>
          <w:sz w:val="28"/>
          <w:szCs w:val="28"/>
          <w:highlight w:val="none"/>
        </w:rPr>
      </w:pPr>
    </w:p>
    <w:p w14:paraId="698A37DE">
      <w:pPr>
        <w:spacing w:line="400" w:lineRule="exact"/>
        <w:ind w:firstLine="570"/>
        <w:rPr>
          <w:rFonts w:hint="eastAsia" w:ascii="仿宋" w:hAnsi="仿宋" w:eastAsia="仿宋" w:cs="仿宋"/>
          <w:color w:val="auto"/>
          <w:sz w:val="28"/>
          <w:szCs w:val="28"/>
          <w:highlight w:val="none"/>
        </w:rPr>
      </w:pPr>
    </w:p>
    <w:p w14:paraId="4ED3CAAB">
      <w:pPr>
        <w:spacing w:line="400" w:lineRule="exact"/>
        <w:ind w:firstLine="570"/>
        <w:rPr>
          <w:rFonts w:hint="eastAsia" w:ascii="仿宋" w:hAnsi="仿宋" w:eastAsia="仿宋" w:cs="仿宋"/>
          <w:color w:val="auto"/>
          <w:sz w:val="28"/>
          <w:szCs w:val="28"/>
          <w:highlight w:val="none"/>
        </w:rPr>
      </w:pPr>
    </w:p>
    <w:p w14:paraId="799196E0">
      <w:pPr>
        <w:spacing w:line="400" w:lineRule="exact"/>
        <w:ind w:firstLine="570"/>
        <w:rPr>
          <w:rFonts w:hint="eastAsia" w:ascii="仿宋" w:hAnsi="仿宋" w:eastAsia="仿宋" w:cs="仿宋"/>
          <w:color w:val="auto"/>
          <w:sz w:val="28"/>
          <w:szCs w:val="28"/>
          <w:highlight w:val="none"/>
        </w:rPr>
      </w:pPr>
    </w:p>
    <w:p w14:paraId="4E6B6558">
      <w:pPr>
        <w:spacing w:line="400" w:lineRule="exact"/>
        <w:ind w:firstLine="570"/>
        <w:rPr>
          <w:rFonts w:hint="eastAsia" w:ascii="仿宋" w:hAnsi="仿宋" w:eastAsia="仿宋" w:cs="仿宋"/>
          <w:color w:val="auto"/>
          <w:sz w:val="28"/>
          <w:szCs w:val="28"/>
          <w:highlight w:val="none"/>
        </w:rPr>
      </w:pPr>
    </w:p>
    <w:p w14:paraId="1979FBA1">
      <w:pPr>
        <w:spacing w:line="400" w:lineRule="exact"/>
        <w:ind w:firstLine="570"/>
        <w:rPr>
          <w:rFonts w:hint="eastAsia" w:ascii="仿宋" w:hAnsi="仿宋" w:eastAsia="仿宋" w:cs="仿宋"/>
          <w:color w:val="auto"/>
          <w:sz w:val="28"/>
          <w:szCs w:val="28"/>
          <w:highlight w:val="none"/>
        </w:rPr>
      </w:pPr>
    </w:p>
    <w:p w14:paraId="7BB0ABCD">
      <w:pPr>
        <w:spacing w:line="400" w:lineRule="exact"/>
        <w:ind w:firstLine="570"/>
        <w:rPr>
          <w:rFonts w:hint="eastAsia" w:ascii="仿宋" w:hAnsi="仿宋" w:eastAsia="仿宋" w:cs="仿宋"/>
          <w:color w:val="auto"/>
          <w:sz w:val="28"/>
          <w:szCs w:val="28"/>
          <w:highlight w:val="none"/>
        </w:rPr>
      </w:pPr>
    </w:p>
    <w:p w14:paraId="7F3AC019">
      <w:pPr>
        <w:spacing w:line="400" w:lineRule="exact"/>
        <w:ind w:firstLine="570"/>
        <w:rPr>
          <w:rFonts w:hint="eastAsia" w:ascii="仿宋" w:hAnsi="仿宋" w:eastAsia="仿宋" w:cs="仿宋"/>
          <w:color w:val="auto"/>
          <w:sz w:val="28"/>
          <w:szCs w:val="28"/>
          <w:highlight w:val="none"/>
        </w:rPr>
      </w:pPr>
    </w:p>
    <w:p w14:paraId="7939015F">
      <w:pPr>
        <w:spacing w:line="400" w:lineRule="exact"/>
        <w:ind w:firstLine="570"/>
        <w:rPr>
          <w:rFonts w:hint="eastAsia" w:ascii="仿宋" w:hAnsi="仿宋" w:eastAsia="仿宋" w:cs="仿宋"/>
          <w:color w:val="auto"/>
          <w:sz w:val="28"/>
          <w:szCs w:val="28"/>
          <w:highlight w:val="none"/>
        </w:rPr>
      </w:pPr>
    </w:p>
    <w:p w14:paraId="21079336">
      <w:pPr>
        <w:spacing w:line="400" w:lineRule="exact"/>
        <w:ind w:firstLine="570"/>
        <w:rPr>
          <w:rFonts w:hint="eastAsia" w:ascii="仿宋" w:hAnsi="仿宋" w:eastAsia="仿宋" w:cs="仿宋"/>
          <w:color w:val="auto"/>
          <w:sz w:val="28"/>
          <w:szCs w:val="28"/>
          <w:highlight w:val="none"/>
        </w:rPr>
      </w:pPr>
    </w:p>
    <w:p w14:paraId="4BFB04E4">
      <w:pPr>
        <w:spacing w:line="400" w:lineRule="exact"/>
        <w:ind w:firstLine="570"/>
        <w:rPr>
          <w:rFonts w:hint="eastAsia" w:ascii="仿宋" w:hAnsi="仿宋" w:eastAsia="仿宋" w:cs="仿宋"/>
          <w:color w:val="auto"/>
          <w:sz w:val="28"/>
          <w:szCs w:val="28"/>
          <w:highlight w:val="none"/>
        </w:rPr>
      </w:pPr>
    </w:p>
    <w:p w14:paraId="073B9645">
      <w:pPr>
        <w:spacing w:line="400" w:lineRule="exact"/>
        <w:ind w:firstLine="570"/>
        <w:rPr>
          <w:rFonts w:hint="eastAsia" w:ascii="仿宋" w:hAnsi="仿宋" w:eastAsia="仿宋" w:cs="仿宋"/>
          <w:color w:val="auto"/>
          <w:sz w:val="28"/>
          <w:szCs w:val="28"/>
          <w:highlight w:val="none"/>
        </w:rPr>
      </w:pPr>
    </w:p>
    <w:p w14:paraId="617BF01D">
      <w:pPr>
        <w:spacing w:line="400" w:lineRule="exact"/>
        <w:ind w:firstLine="570"/>
        <w:rPr>
          <w:rFonts w:hint="eastAsia" w:ascii="仿宋" w:hAnsi="仿宋" w:eastAsia="仿宋" w:cs="仿宋"/>
          <w:color w:val="auto"/>
          <w:sz w:val="28"/>
          <w:szCs w:val="28"/>
          <w:highlight w:val="none"/>
        </w:rPr>
      </w:pPr>
    </w:p>
    <w:p w14:paraId="69F6E2DA">
      <w:pPr>
        <w:spacing w:line="400" w:lineRule="exact"/>
        <w:ind w:firstLine="570"/>
        <w:rPr>
          <w:rFonts w:hint="eastAsia" w:ascii="仿宋" w:hAnsi="仿宋" w:eastAsia="仿宋" w:cs="仿宋"/>
          <w:color w:val="auto"/>
          <w:sz w:val="28"/>
          <w:szCs w:val="28"/>
          <w:highlight w:val="none"/>
        </w:rPr>
      </w:pPr>
    </w:p>
    <w:p w14:paraId="40CF6288">
      <w:pPr>
        <w:spacing w:line="400" w:lineRule="exact"/>
        <w:ind w:firstLine="570"/>
        <w:rPr>
          <w:rFonts w:hint="eastAsia" w:ascii="仿宋" w:hAnsi="仿宋" w:eastAsia="仿宋" w:cs="仿宋"/>
          <w:color w:val="auto"/>
          <w:sz w:val="28"/>
          <w:szCs w:val="28"/>
          <w:highlight w:val="none"/>
        </w:rPr>
      </w:pPr>
    </w:p>
    <w:p w14:paraId="477A2DEE">
      <w:pPr>
        <w:spacing w:line="400" w:lineRule="exact"/>
        <w:ind w:firstLine="570"/>
        <w:rPr>
          <w:rFonts w:hint="eastAsia" w:ascii="仿宋" w:hAnsi="仿宋" w:eastAsia="仿宋" w:cs="仿宋"/>
          <w:color w:val="auto"/>
          <w:sz w:val="28"/>
          <w:szCs w:val="28"/>
          <w:highlight w:val="none"/>
        </w:rPr>
      </w:pPr>
    </w:p>
    <w:p w14:paraId="606DF97D">
      <w:pPr>
        <w:spacing w:line="400" w:lineRule="exact"/>
        <w:ind w:firstLine="570"/>
        <w:rPr>
          <w:rFonts w:hint="eastAsia" w:ascii="仿宋" w:hAnsi="仿宋" w:eastAsia="仿宋" w:cs="仿宋"/>
          <w:color w:val="auto"/>
          <w:sz w:val="28"/>
          <w:szCs w:val="28"/>
          <w:highlight w:val="none"/>
        </w:rPr>
      </w:pPr>
    </w:p>
    <w:p w14:paraId="44061380">
      <w:pPr>
        <w:spacing w:line="400" w:lineRule="exact"/>
        <w:ind w:firstLine="570"/>
        <w:rPr>
          <w:rFonts w:hint="eastAsia" w:ascii="仿宋" w:hAnsi="仿宋" w:eastAsia="仿宋" w:cs="仿宋"/>
          <w:color w:val="auto"/>
          <w:sz w:val="28"/>
          <w:szCs w:val="28"/>
          <w:highlight w:val="none"/>
        </w:rPr>
      </w:pPr>
    </w:p>
    <w:p w14:paraId="16B4C1F6">
      <w:pPr>
        <w:spacing w:line="400" w:lineRule="exact"/>
        <w:ind w:firstLine="570"/>
        <w:rPr>
          <w:rFonts w:hint="eastAsia" w:ascii="仿宋" w:hAnsi="仿宋" w:eastAsia="仿宋" w:cs="仿宋"/>
          <w:color w:val="auto"/>
          <w:sz w:val="28"/>
          <w:szCs w:val="28"/>
          <w:highlight w:val="none"/>
        </w:rPr>
      </w:pPr>
    </w:p>
    <w:p w14:paraId="0B2FF09C">
      <w:pPr>
        <w:spacing w:line="400" w:lineRule="exact"/>
        <w:ind w:firstLine="570"/>
        <w:rPr>
          <w:rFonts w:hint="eastAsia" w:ascii="仿宋" w:hAnsi="仿宋" w:eastAsia="仿宋" w:cs="仿宋"/>
          <w:color w:val="auto"/>
          <w:sz w:val="28"/>
          <w:szCs w:val="28"/>
          <w:highlight w:val="none"/>
        </w:rPr>
      </w:pPr>
    </w:p>
    <w:p w14:paraId="7398CD98">
      <w:pPr>
        <w:spacing w:line="400" w:lineRule="exact"/>
        <w:ind w:firstLine="570"/>
        <w:rPr>
          <w:rFonts w:hint="eastAsia" w:ascii="仿宋" w:hAnsi="仿宋" w:eastAsia="仿宋" w:cs="仿宋"/>
          <w:color w:val="auto"/>
          <w:sz w:val="28"/>
          <w:szCs w:val="28"/>
          <w:highlight w:val="none"/>
        </w:rPr>
      </w:pPr>
    </w:p>
    <w:p w14:paraId="0FD546F1">
      <w:pPr>
        <w:spacing w:line="400" w:lineRule="exact"/>
        <w:ind w:firstLine="570"/>
        <w:rPr>
          <w:rFonts w:hint="eastAsia" w:ascii="仿宋" w:hAnsi="仿宋" w:eastAsia="仿宋" w:cs="仿宋"/>
          <w:color w:val="auto"/>
          <w:sz w:val="28"/>
          <w:szCs w:val="28"/>
          <w:highlight w:val="none"/>
        </w:rPr>
      </w:pPr>
    </w:p>
    <w:p w14:paraId="0977E339">
      <w:pPr>
        <w:adjustRightInd w:val="0"/>
        <w:snapToGrid w:val="0"/>
        <w:spacing w:line="360" w:lineRule="auto"/>
        <w:ind w:firstLine="482" w:firstLineChars="200"/>
        <w:rPr>
          <w:rFonts w:hint="eastAsia" w:ascii="仿宋" w:hAnsi="仿宋" w:eastAsia="仿宋" w:cs="仿宋"/>
          <w:b/>
          <w:color w:val="auto"/>
          <w:sz w:val="24"/>
          <w:highlight w:val="none"/>
        </w:rPr>
      </w:pPr>
    </w:p>
    <w:p w14:paraId="3E212915">
      <w:pPr>
        <w:spacing w:line="400" w:lineRule="exact"/>
        <w:ind w:firstLine="570"/>
        <w:rPr>
          <w:rFonts w:hint="eastAsia" w:ascii="仿宋" w:hAnsi="仿宋" w:eastAsia="仿宋" w:cs="仿宋"/>
          <w:color w:val="auto"/>
          <w:sz w:val="44"/>
          <w:szCs w:val="28"/>
          <w:highlight w:val="none"/>
        </w:rPr>
      </w:pPr>
    </w:p>
    <w:p w14:paraId="56159B33">
      <w:pPr>
        <w:pStyle w:val="19"/>
        <w:rPr>
          <w:rFonts w:hint="eastAsia" w:ascii="仿宋" w:hAnsi="仿宋" w:eastAsia="仿宋" w:cs="仿宋"/>
          <w:color w:val="auto"/>
        </w:rPr>
      </w:pPr>
    </w:p>
    <w:p w14:paraId="0E03583F">
      <w:pPr>
        <w:jc w:val="right"/>
        <w:rPr>
          <w:rFonts w:hint="eastAsia" w:ascii="仿宋" w:hAnsi="仿宋" w:eastAsia="仿宋" w:cs="仿宋"/>
          <w:color w:val="auto"/>
          <w:sz w:val="32"/>
          <w:szCs w:val="28"/>
          <w:highlight w:val="none"/>
        </w:rPr>
      </w:pPr>
      <w:bookmarkStart w:id="220" w:name="_Toc217446082"/>
    </w:p>
    <w:bookmarkEnd w:id="220"/>
    <w:p w14:paraId="3C2BB811">
      <w:pPr>
        <w:jc w:val="right"/>
        <w:rPr>
          <w:rFonts w:hint="eastAsia" w:ascii="仿宋" w:hAnsi="仿宋" w:eastAsia="仿宋" w:cs="仿宋"/>
          <w:color w:val="auto"/>
          <w:sz w:val="32"/>
          <w:szCs w:val="28"/>
          <w:highlight w:val="none"/>
        </w:rPr>
      </w:pPr>
    </w:p>
    <w:p w14:paraId="0E3C10FB">
      <w:pPr>
        <w:jc w:val="right"/>
        <w:rPr>
          <w:rFonts w:hint="eastAsia" w:ascii="仿宋" w:hAnsi="仿宋" w:eastAsia="仿宋" w:cs="仿宋"/>
          <w:b/>
          <w:bCs/>
          <w:color w:val="auto"/>
          <w:sz w:val="28"/>
          <w:szCs w:val="28"/>
          <w:highlight w:val="none"/>
        </w:rPr>
      </w:pPr>
      <w:bookmarkStart w:id="221" w:name="_Toc17834_WPSOffice_Level2"/>
    </w:p>
    <w:bookmarkEnd w:id="221"/>
    <w:p w14:paraId="614A22BA">
      <w:pPr>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正本/副本</w:t>
      </w:r>
    </w:p>
    <w:p w14:paraId="7709EDDA">
      <w:pPr>
        <w:spacing w:line="360" w:lineRule="auto"/>
        <w:rPr>
          <w:rFonts w:hint="eastAsia" w:ascii="仿宋" w:hAnsi="仿宋" w:eastAsia="仿宋" w:cs="仿宋"/>
          <w:b/>
          <w:bCs/>
          <w:color w:val="auto"/>
          <w:sz w:val="28"/>
          <w:szCs w:val="28"/>
          <w:highlight w:val="none"/>
        </w:rPr>
      </w:pPr>
      <w:bookmarkStart w:id="222" w:name="_Toc28516_WPSOffice_Level2"/>
      <w:r>
        <w:rPr>
          <w:rFonts w:hint="eastAsia" w:ascii="仿宋" w:hAnsi="仿宋" w:eastAsia="仿宋" w:cs="仿宋"/>
          <w:b/>
          <w:bCs/>
          <w:color w:val="auto"/>
          <w:sz w:val="28"/>
          <w:szCs w:val="28"/>
          <w:highlight w:val="none"/>
        </w:rPr>
        <w:t>政府采购项目</w:t>
      </w:r>
      <w:bookmarkEnd w:id="222"/>
    </w:p>
    <w:p w14:paraId="6A268EA7">
      <w:pPr>
        <w:spacing w:line="360" w:lineRule="auto"/>
        <w:rPr>
          <w:rFonts w:hint="eastAsia" w:ascii="仿宋" w:hAnsi="仿宋" w:eastAsia="仿宋" w:cs="仿宋"/>
          <w:color w:val="auto"/>
          <w:sz w:val="28"/>
          <w:szCs w:val="28"/>
          <w:highlight w:val="none"/>
          <w:lang w:val="en-US" w:eastAsia="zh-CN"/>
        </w:rPr>
      </w:pPr>
      <w:bookmarkStart w:id="223" w:name="_Toc26011_WPSOffice_Level2"/>
      <w:r>
        <w:rPr>
          <w:rFonts w:hint="eastAsia" w:ascii="仿宋" w:hAnsi="仿宋" w:eastAsia="仿宋" w:cs="仿宋"/>
          <w:b/>
          <w:bCs/>
          <w:color w:val="auto"/>
          <w:sz w:val="28"/>
          <w:szCs w:val="28"/>
          <w:highlight w:val="none"/>
        </w:rPr>
        <w:t>采购项目编号：</w:t>
      </w:r>
      <w:bookmarkEnd w:id="223"/>
      <w:r>
        <w:rPr>
          <w:rFonts w:hint="eastAsia" w:ascii="仿宋" w:hAnsi="仿宋" w:eastAsia="仿宋" w:cs="仿宋"/>
          <w:color w:val="auto"/>
          <w:sz w:val="28"/>
          <w:szCs w:val="28"/>
          <w:highlight w:val="none"/>
          <w:lang w:eastAsia="zh-CN"/>
        </w:rPr>
        <w:t>ZCBN-汉台区-2025-00145</w:t>
      </w:r>
    </w:p>
    <w:p w14:paraId="142FF32E">
      <w:pPr>
        <w:spacing w:line="360" w:lineRule="auto"/>
        <w:rPr>
          <w:rFonts w:hint="eastAsia" w:ascii="仿宋" w:hAnsi="仿宋" w:eastAsia="仿宋" w:cs="仿宋"/>
          <w:color w:val="auto"/>
          <w:sz w:val="22"/>
          <w:szCs w:val="22"/>
          <w:highlight w:val="none"/>
        </w:rPr>
      </w:pPr>
    </w:p>
    <w:p w14:paraId="56327ACE">
      <w:pPr>
        <w:pStyle w:val="5"/>
        <w:rPr>
          <w:rFonts w:hint="eastAsia" w:ascii="仿宋" w:hAnsi="仿宋" w:eastAsia="仿宋" w:cs="仿宋"/>
          <w:color w:val="auto"/>
        </w:rPr>
      </w:pPr>
    </w:p>
    <w:p w14:paraId="6EC79AA2">
      <w:pPr>
        <w:jc w:val="center"/>
        <w:rPr>
          <w:rFonts w:hint="eastAsia" w:ascii="仿宋" w:hAnsi="仿宋" w:eastAsia="仿宋" w:cs="仿宋"/>
          <w:b/>
          <w:color w:val="auto"/>
          <w:sz w:val="52"/>
          <w:szCs w:val="52"/>
          <w:highlight w:val="none"/>
        </w:rPr>
      </w:pPr>
    </w:p>
    <w:p w14:paraId="17DF266E">
      <w:pPr>
        <w:jc w:val="center"/>
        <w:rPr>
          <w:rFonts w:hint="eastAsia" w:ascii="仿宋" w:hAnsi="仿宋" w:eastAsia="仿宋" w:cs="仿宋"/>
          <w:color w:val="auto"/>
          <w:sz w:val="16"/>
          <w:szCs w:val="20"/>
          <w:highlight w:val="none"/>
          <w:lang w:eastAsia="zh-CN"/>
        </w:rPr>
      </w:pPr>
      <w:r>
        <w:rPr>
          <w:rFonts w:hint="eastAsia" w:ascii="仿宋" w:hAnsi="仿宋" w:eastAsia="仿宋" w:cs="仿宋"/>
          <w:b/>
          <w:color w:val="auto"/>
          <w:sz w:val="40"/>
          <w:szCs w:val="40"/>
          <w:highlight w:val="none"/>
          <w:lang w:eastAsia="zh-CN"/>
        </w:rPr>
        <w:t>学生公寓楼维修改造及前院环境提升工程</w:t>
      </w:r>
    </w:p>
    <w:p w14:paraId="222756ED">
      <w:pPr>
        <w:rPr>
          <w:rFonts w:hint="eastAsia" w:ascii="仿宋" w:hAnsi="仿宋" w:eastAsia="仿宋" w:cs="仿宋"/>
          <w:color w:val="auto"/>
          <w:highlight w:val="none"/>
        </w:rPr>
      </w:pPr>
    </w:p>
    <w:p w14:paraId="3AEE6434">
      <w:pPr>
        <w:rPr>
          <w:rFonts w:hint="eastAsia" w:ascii="仿宋" w:hAnsi="仿宋" w:eastAsia="仿宋" w:cs="仿宋"/>
          <w:color w:val="auto"/>
          <w:highlight w:val="none"/>
        </w:rPr>
      </w:pPr>
    </w:p>
    <w:p w14:paraId="4231E29C">
      <w:pPr>
        <w:rPr>
          <w:rFonts w:hint="eastAsia" w:ascii="仿宋" w:hAnsi="仿宋" w:eastAsia="仿宋" w:cs="仿宋"/>
          <w:color w:val="auto"/>
          <w:highlight w:val="none"/>
        </w:rPr>
      </w:pPr>
    </w:p>
    <w:p w14:paraId="702766D3">
      <w:pPr>
        <w:rPr>
          <w:rFonts w:hint="eastAsia" w:ascii="仿宋" w:hAnsi="仿宋" w:eastAsia="仿宋" w:cs="仿宋"/>
          <w:color w:val="auto"/>
          <w:highlight w:val="none"/>
        </w:rPr>
      </w:pPr>
    </w:p>
    <w:p w14:paraId="45D7271B">
      <w:pPr>
        <w:pStyle w:val="3"/>
        <w:spacing w:line="900" w:lineRule="exact"/>
        <w:jc w:val="center"/>
        <w:rPr>
          <w:rFonts w:hint="eastAsia" w:ascii="仿宋" w:hAnsi="仿宋" w:eastAsia="仿宋" w:cs="仿宋"/>
          <w:b/>
          <w:bCs/>
          <w:color w:val="auto"/>
          <w:sz w:val="48"/>
          <w:szCs w:val="48"/>
          <w:highlight w:val="none"/>
        </w:rPr>
      </w:pPr>
      <w:bookmarkStart w:id="224" w:name="_Toc24850"/>
      <w:bookmarkStart w:id="225" w:name="_Toc22663"/>
      <w:bookmarkStart w:id="226" w:name="_Toc7094"/>
      <w:bookmarkStart w:id="227" w:name="_Toc21268"/>
      <w:bookmarkStart w:id="228" w:name="_Toc29613"/>
      <w:bookmarkStart w:id="229" w:name="_Toc10700"/>
      <w:bookmarkStart w:id="230" w:name="_Toc30744"/>
      <w:r>
        <w:rPr>
          <w:rFonts w:hint="eastAsia" w:ascii="仿宋" w:hAnsi="仿宋" w:eastAsia="仿宋" w:cs="仿宋"/>
          <w:b/>
          <w:bCs/>
          <w:color w:val="auto"/>
          <w:sz w:val="48"/>
          <w:szCs w:val="48"/>
          <w:highlight w:val="none"/>
        </w:rPr>
        <w:t>竞争性磋商响应文件</w:t>
      </w:r>
      <w:bookmarkEnd w:id="224"/>
      <w:bookmarkEnd w:id="225"/>
      <w:bookmarkEnd w:id="226"/>
      <w:bookmarkEnd w:id="227"/>
      <w:bookmarkEnd w:id="228"/>
      <w:bookmarkEnd w:id="229"/>
      <w:bookmarkEnd w:id="230"/>
    </w:p>
    <w:p w14:paraId="77A2D40F">
      <w:pPr>
        <w:pStyle w:val="7"/>
        <w:rPr>
          <w:rFonts w:hint="eastAsia" w:ascii="仿宋" w:hAnsi="仿宋" w:eastAsia="仿宋" w:cs="仿宋"/>
          <w:color w:val="auto"/>
          <w:sz w:val="28"/>
          <w:szCs w:val="28"/>
          <w:highlight w:val="none"/>
        </w:rPr>
      </w:pPr>
    </w:p>
    <w:p w14:paraId="3E179E78">
      <w:pPr>
        <w:pStyle w:val="7"/>
        <w:rPr>
          <w:rFonts w:hint="eastAsia" w:ascii="仿宋" w:hAnsi="仿宋" w:eastAsia="仿宋" w:cs="仿宋"/>
          <w:color w:val="auto"/>
          <w:sz w:val="28"/>
          <w:szCs w:val="28"/>
          <w:highlight w:val="none"/>
        </w:rPr>
      </w:pPr>
    </w:p>
    <w:p w14:paraId="633798ED">
      <w:pPr>
        <w:pStyle w:val="7"/>
        <w:rPr>
          <w:rFonts w:hint="eastAsia" w:ascii="仿宋" w:hAnsi="仿宋" w:eastAsia="仿宋" w:cs="仿宋"/>
          <w:color w:val="auto"/>
          <w:sz w:val="28"/>
          <w:szCs w:val="28"/>
          <w:highlight w:val="none"/>
        </w:rPr>
      </w:pPr>
    </w:p>
    <w:p w14:paraId="5178658C">
      <w:pPr>
        <w:pStyle w:val="7"/>
        <w:rPr>
          <w:rFonts w:hint="eastAsia" w:ascii="仿宋" w:hAnsi="仿宋" w:eastAsia="仿宋" w:cs="仿宋"/>
          <w:color w:val="auto"/>
          <w:sz w:val="28"/>
          <w:szCs w:val="28"/>
          <w:highlight w:val="none"/>
        </w:rPr>
      </w:pPr>
    </w:p>
    <w:p w14:paraId="3FDC4DC0">
      <w:pPr>
        <w:pStyle w:val="7"/>
        <w:rPr>
          <w:rFonts w:hint="eastAsia" w:ascii="仿宋" w:hAnsi="仿宋" w:eastAsia="仿宋" w:cs="仿宋"/>
          <w:color w:val="auto"/>
          <w:sz w:val="28"/>
          <w:szCs w:val="28"/>
          <w:highlight w:val="none"/>
        </w:rPr>
      </w:pPr>
    </w:p>
    <w:p w14:paraId="068F4B22">
      <w:pPr>
        <w:pStyle w:val="7"/>
        <w:rPr>
          <w:rFonts w:hint="eastAsia" w:ascii="仿宋" w:hAnsi="仿宋" w:eastAsia="仿宋" w:cs="仿宋"/>
          <w:color w:val="auto"/>
          <w:sz w:val="28"/>
          <w:szCs w:val="28"/>
          <w:highlight w:val="none"/>
        </w:rPr>
      </w:pPr>
    </w:p>
    <w:p w14:paraId="538C2D61">
      <w:pPr>
        <w:pStyle w:val="7"/>
        <w:ind w:left="0" w:leftChars="0" w:firstLine="0" w:firstLineChars="0"/>
        <w:rPr>
          <w:rFonts w:hint="eastAsia" w:ascii="仿宋" w:hAnsi="仿宋" w:eastAsia="仿宋" w:cs="仿宋"/>
          <w:color w:val="auto"/>
          <w:sz w:val="28"/>
          <w:szCs w:val="28"/>
          <w:highlight w:val="none"/>
        </w:rPr>
      </w:pPr>
    </w:p>
    <w:p w14:paraId="1CED876B">
      <w:pPr>
        <w:pStyle w:val="7"/>
        <w:rPr>
          <w:rFonts w:hint="eastAsia" w:ascii="仿宋" w:hAnsi="仿宋" w:eastAsia="仿宋" w:cs="仿宋"/>
          <w:color w:val="auto"/>
          <w:sz w:val="28"/>
          <w:szCs w:val="28"/>
          <w:highlight w:val="none"/>
        </w:rPr>
      </w:pPr>
    </w:p>
    <w:p w14:paraId="7D3F41F7">
      <w:pPr>
        <w:pStyle w:val="7"/>
        <w:spacing w:before="120" w:beforeLines="50"/>
        <w:ind w:firstLine="1630" w:firstLineChars="580"/>
        <w:rPr>
          <w:rFonts w:hint="eastAsia" w:ascii="仿宋" w:hAnsi="仿宋" w:eastAsia="仿宋" w:cs="仿宋"/>
          <w:color w:val="auto"/>
          <w:sz w:val="28"/>
          <w:szCs w:val="28"/>
          <w:highlight w:val="none"/>
        </w:rPr>
      </w:pPr>
      <w:bookmarkStart w:id="231" w:name="_Toc15222_WPSOffice_Level2"/>
      <w:r>
        <w:rPr>
          <w:rFonts w:hint="eastAsia" w:ascii="仿宋" w:hAnsi="仿宋" w:eastAsia="仿宋" w:cs="仿宋"/>
          <w:b/>
          <w:color w:val="auto"/>
          <w:sz w:val="28"/>
          <w:szCs w:val="28"/>
          <w:highlight w:val="none"/>
        </w:rPr>
        <w:t xml:space="preserve">供应商：                         </w:t>
      </w:r>
      <w:r>
        <w:rPr>
          <w:rFonts w:hint="eastAsia" w:ascii="仿宋" w:hAnsi="仿宋" w:eastAsia="仿宋" w:cs="仿宋"/>
          <w:color w:val="auto"/>
          <w:sz w:val="28"/>
          <w:szCs w:val="28"/>
          <w:highlight w:val="none"/>
        </w:rPr>
        <w:t>（盖单位章）</w:t>
      </w:r>
      <w:bookmarkEnd w:id="231"/>
    </w:p>
    <w:p w14:paraId="46945ACE">
      <w:pPr>
        <w:pStyle w:val="7"/>
        <w:spacing w:before="120" w:beforeLines="50"/>
        <w:ind w:firstLine="1630" w:firstLineChars="580"/>
        <w:rPr>
          <w:rFonts w:hint="eastAsia" w:ascii="仿宋" w:hAnsi="仿宋" w:eastAsia="仿宋" w:cs="仿宋"/>
          <w:color w:val="auto"/>
          <w:sz w:val="28"/>
          <w:szCs w:val="28"/>
          <w:highlight w:val="none"/>
        </w:rPr>
      </w:pPr>
      <w:bookmarkStart w:id="232" w:name="_Toc6225_WPSOffice_Level2"/>
      <w:r>
        <w:rPr>
          <w:rFonts w:hint="eastAsia" w:ascii="仿宋" w:hAnsi="仿宋" w:eastAsia="仿宋" w:cs="仿宋"/>
          <w:b/>
          <w:color w:val="auto"/>
          <w:sz w:val="28"/>
          <w:szCs w:val="28"/>
          <w:highlight w:val="none"/>
        </w:rPr>
        <w:t xml:space="preserve">法定代表人或委托代理人：         </w:t>
      </w:r>
      <w:r>
        <w:rPr>
          <w:rFonts w:hint="eastAsia" w:ascii="仿宋" w:hAnsi="仿宋" w:eastAsia="仿宋" w:cs="仿宋"/>
          <w:color w:val="auto"/>
          <w:sz w:val="28"/>
          <w:szCs w:val="28"/>
          <w:highlight w:val="none"/>
        </w:rPr>
        <w:t>（签字）</w:t>
      </w:r>
      <w:bookmarkEnd w:id="232"/>
    </w:p>
    <w:p w14:paraId="09854467">
      <w:pPr>
        <w:pStyle w:val="7"/>
        <w:spacing w:before="120" w:beforeLines="50"/>
        <w:ind w:firstLine="1630" w:firstLineChars="580"/>
        <w:rPr>
          <w:rFonts w:hint="eastAsia" w:ascii="仿宋" w:hAnsi="仿宋" w:eastAsia="仿宋" w:cs="仿宋"/>
          <w:b/>
          <w:color w:val="auto"/>
          <w:sz w:val="28"/>
          <w:szCs w:val="28"/>
          <w:highlight w:val="none"/>
        </w:rPr>
      </w:pPr>
      <w:bookmarkStart w:id="233" w:name="_Toc3756_WPSOffice_Level2"/>
      <w:r>
        <w:rPr>
          <w:rFonts w:hint="eastAsia" w:ascii="仿宋" w:hAnsi="仿宋" w:eastAsia="仿宋" w:cs="仿宋"/>
          <w:b/>
          <w:color w:val="auto"/>
          <w:sz w:val="28"/>
          <w:szCs w:val="28"/>
          <w:highlight w:val="none"/>
        </w:rPr>
        <w:t>时  间：         年  月  日</w:t>
      </w:r>
      <w:bookmarkEnd w:id="233"/>
    </w:p>
    <w:p w14:paraId="6ACB383D">
      <w:pPr>
        <w:pStyle w:val="7"/>
        <w:spacing w:before="120" w:beforeLines="50"/>
        <w:ind w:firstLine="1630" w:firstLineChars="580"/>
        <w:rPr>
          <w:rFonts w:hint="eastAsia" w:ascii="仿宋" w:hAnsi="仿宋" w:eastAsia="仿宋" w:cs="仿宋"/>
          <w:b/>
          <w:color w:val="auto"/>
          <w:sz w:val="28"/>
          <w:szCs w:val="28"/>
          <w:highlight w:val="none"/>
        </w:rPr>
      </w:pPr>
    </w:p>
    <w:p w14:paraId="41EA6792">
      <w:pPr>
        <w:pStyle w:val="7"/>
        <w:spacing w:before="120" w:beforeLines="50"/>
        <w:ind w:left="0" w:leftChars="0" w:firstLine="0" w:firstLineChars="0"/>
        <w:jc w:val="center"/>
        <w:rPr>
          <w:rFonts w:hint="eastAsia" w:ascii="仿宋" w:hAnsi="仿宋" w:eastAsia="仿宋" w:cs="仿宋"/>
          <w:b/>
          <w:bCs/>
          <w:color w:val="auto"/>
          <w:sz w:val="32"/>
          <w:szCs w:val="40"/>
        </w:rPr>
      </w:pPr>
    </w:p>
    <w:p w14:paraId="28DB651A">
      <w:pPr>
        <w:jc w:val="center"/>
        <w:rPr>
          <w:rFonts w:hint="eastAsia" w:ascii="仿宋" w:hAnsi="仿宋" w:eastAsia="仿宋" w:cs="仿宋"/>
          <w:b/>
          <w:color w:val="auto"/>
          <w:sz w:val="44"/>
          <w:szCs w:val="44"/>
        </w:rPr>
      </w:pPr>
    </w:p>
    <w:p w14:paraId="01D982FB">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14:paraId="21ACF858">
      <w:pPr>
        <w:spacing w:line="480" w:lineRule="auto"/>
        <w:ind w:left="2100"/>
        <w:jc w:val="left"/>
        <w:rPr>
          <w:rFonts w:hint="eastAsia" w:ascii="仿宋" w:hAnsi="仿宋" w:eastAsia="仿宋" w:cs="仿宋"/>
          <w:color w:val="auto"/>
          <w:sz w:val="28"/>
          <w:szCs w:val="28"/>
        </w:rPr>
      </w:pPr>
    </w:p>
    <w:p w14:paraId="1063DA38">
      <w:pPr>
        <w:numPr>
          <w:ilvl w:val="0"/>
          <w:numId w:val="0"/>
        </w:numPr>
        <w:spacing w:line="480" w:lineRule="auto"/>
        <w:ind w:left="2100" w:leftChars="0"/>
        <w:jc w:val="left"/>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SA"/>
        </w:rPr>
        <w:t>1.</w:t>
      </w:r>
      <w:r>
        <w:rPr>
          <w:rFonts w:hint="eastAsia" w:ascii="仿宋" w:hAnsi="仿宋" w:eastAsia="仿宋" w:cs="仿宋"/>
          <w:color w:val="auto"/>
          <w:sz w:val="21"/>
          <w:szCs w:val="21"/>
        </w:rPr>
        <w:t>磋商函</w:t>
      </w:r>
    </w:p>
    <w:p w14:paraId="31DAC49D">
      <w:pPr>
        <w:numPr>
          <w:ilvl w:val="0"/>
          <w:numId w:val="0"/>
        </w:numPr>
        <w:spacing w:line="480" w:lineRule="auto"/>
        <w:ind w:left="2100" w:leftChars="0"/>
        <w:jc w:val="left"/>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SA"/>
        </w:rPr>
        <w:t>2.</w:t>
      </w:r>
      <w:r>
        <w:rPr>
          <w:rFonts w:hint="eastAsia" w:ascii="仿宋" w:hAnsi="仿宋" w:eastAsia="仿宋" w:cs="仿宋"/>
          <w:color w:val="auto"/>
          <w:sz w:val="21"/>
          <w:szCs w:val="21"/>
        </w:rPr>
        <w:t>磋商报价一览表</w:t>
      </w:r>
    </w:p>
    <w:p w14:paraId="7A1B1B34">
      <w:pPr>
        <w:numPr>
          <w:ilvl w:val="0"/>
          <w:numId w:val="0"/>
        </w:numPr>
        <w:spacing w:line="480" w:lineRule="auto"/>
        <w:ind w:left="2100" w:leftChars="0"/>
        <w:jc w:val="left"/>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SA"/>
        </w:rPr>
        <w:t>3.</w:t>
      </w:r>
      <w:r>
        <w:rPr>
          <w:rFonts w:hint="eastAsia" w:ascii="仿宋" w:hAnsi="仿宋" w:eastAsia="仿宋" w:cs="仿宋"/>
          <w:color w:val="auto"/>
          <w:sz w:val="21"/>
          <w:szCs w:val="21"/>
        </w:rPr>
        <w:t>法定代表人授权书</w:t>
      </w:r>
    </w:p>
    <w:p w14:paraId="41E0FB16">
      <w:pPr>
        <w:numPr>
          <w:ilvl w:val="0"/>
          <w:numId w:val="0"/>
        </w:numPr>
        <w:spacing w:line="480" w:lineRule="auto"/>
        <w:ind w:left="2100" w:leftChars="0"/>
        <w:jc w:val="left"/>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SA"/>
        </w:rPr>
        <w:t>4.</w:t>
      </w:r>
      <w:r>
        <w:rPr>
          <w:rFonts w:hint="eastAsia" w:ascii="仿宋" w:hAnsi="仿宋" w:eastAsia="仿宋" w:cs="仿宋"/>
          <w:color w:val="auto"/>
          <w:sz w:val="21"/>
          <w:szCs w:val="21"/>
        </w:rPr>
        <w:t>资格证明文件</w:t>
      </w:r>
    </w:p>
    <w:p w14:paraId="0F7FDEE9">
      <w:pPr>
        <w:numPr>
          <w:ilvl w:val="0"/>
          <w:numId w:val="0"/>
        </w:numPr>
        <w:spacing w:line="480" w:lineRule="auto"/>
        <w:ind w:left="2100" w:leftChars="0"/>
        <w:jc w:val="left"/>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SA"/>
        </w:rPr>
        <w:t>5.</w:t>
      </w:r>
      <w:r>
        <w:rPr>
          <w:rFonts w:hint="eastAsia" w:ascii="仿宋" w:hAnsi="仿宋" w:eastAsia="仿宋" w:cs="仿宋"/>
          <w:color w:val="auto"/>
          <w:sz w:val="21"/>
          <w:szCs w:val="21"/>
          <w:lang w:val="en-US" w:eastAsia="zh-CN"/>
        </w:rPr>
        <w:t>技术方案</w:t>
      </w:r>
    </w:p>
    <w:p w14:paraId="33E95D22">
      <w:pPr>
        <w:numPr>
          <w:ilvl w:val="0"/>
          <w:numId w:val="0"/>
        </w:numPr>
        <w:spacing w:line="480" w:lineRule="auto"/>
        <w:ind w:left="2100" w:leftChars="0"/>
        <w:jc w:val="left"/>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SA"/>
        </w:rPr>
        <w:t>6.</w:t>
      </w:r>
      <w:r>
        <w:rPr>
          <w:rFonts w:hint="eastAsia" w:ascii="仿宋" w:hAnsi="仿宋" w:eastAsia="仿宋" w:cs="仿宋"/>
          <w:color w:val="auto"/>
          <w:sz w:val="21"/>
          <w:szCs w:val="21"/>
        </w:rPr>
        <w:t>其它证明资料</w:t>
      </w:r>
    </w:p>
    <w:p w14:paraId="791C880E">
      <w:pPr>
        <w:numPr>
          <w:ilvl w:val="0"/>
          <w:numId w:val="0"/>
        </w:numPr>
        <w:spacing w:line="480" w:lineRule="auto"/>
        <w:ind w:left="2100" w:leftChars="0"/>
        <w:jc w:val="left"/>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SA"/>
        </w:rPr>
        <w:t>7.</w:t>
      </w:r>
      <w:r>
        <w:rPr>
          <w:rFonts w:hint="eastAsia" w:ascii="仿宋" w:hAnsi="仿宋" w:eastAsia="仿宋" w:cs="仿宋"/>
          <w:color w:val="auto"/>
          <w:sz w:val="21"/>
          <w:szCs w:val="21"/>
          <w:lang w:eastAsia="zh-CN"/>
        </w:rPr>
        <w:t>其它需说明事宜</w:t>
      </w:r>
    </w:p>
    <w:p w14:paraId="39640C53">
      <w:pPr>
        <w:numPr>
          <w:ilvl w:val="0"/>
          <w:numId w:val="0"/>
        </w:numPr>
        <w:spacing w:line="480" w:lineRule="auto"/>
        <w:ind w:left="2100" w:leftChars="0"/>
        <w:jc w:val="left"/>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SA"/>
        </w:rPr>
        <w:t>8.</w:t>
      </w:r>
      <w:r>
        <w:rPr>
          <w:rFonts w:hint="eastAsia" w:ascii="仿宋" w:hAnsi="仿宋" w:eastAsia="仿宋" w:cs="仿宋"/>
          <w:color w:val="auto"/>
          <w:sz w:val="21"/>
          <w:szCs w:val="21"/>
        </w:rPr>
        <w:t>拒绝政府采购领域商业贿赂承诺书</w:t>
      </w:r>
    </w:p>
    <w:p w14:paraId="03E030C1">
      <w:pPr>
        <w:numPr>
          <w:ilvl w:val="0"/>
          <w:numId w:val="0"/>
        </w:numPr>
        <w:spacing w:line="480" w:lineRule="auto"/>
        <w:ind w:left="2100" w:leftChars="0"/>
        <w:jc w:val="left"/>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bidi="ar-SA"/>
        </w:rPr>
        <w:t>9.</w:t>
      </w:r>
      <w:r>
        <w:rPr>
          <w:rFonts w:hint="eastAsia" w:ascii="仿宋" w:hAnsi="仿宋" w:eastAsia="仿宋" w:cs="仿宋"/>
          <w:color w:val="auto"/>
          <w:sz w:val="21"/>
          <w:szCs w:val="21"/>
        </w:rPr>
        <w:t>供应商享受政府采购优惠政策的证明材料</w:t>
      </w:r>
      <w:r>
        <w:rPr>
          <w:rFonts w:hint="eastAsia" w:ascii="仿宋" w:hAnsi="仿宋" w:eastAsia="仿宋" w:cs="仿宋"/>
          <w:color w:val="auto"/>
          <w:sz w:val="21"/>
          <w:szCs w:val="21"/>
          <w:lang w:eastAsia="zh-CN"/>
        </w:rPr>
        <w:t>（如有）</w:t>
      </w:r>
    </w:p>
    <w:p w14:paraId="12639F98">
      <w:pPr>
        <w:rPr>
          <w:rFonts w:hint="eastAsia" w:ascii="仿宋" w:hAnsi="仿宋" w:eastAsia="仿宋" w:cs="仿宋"/>
          <w:color w:val="auto"/>
        </w:rPr>
      </w:pPr>
    </w:p>
    <w:p w14:paraId="75E23F07">
      <w:pPr>
        <w:spacing w:line="540" w:lineRule="exact"/>
        <w:ind w:left="1050" w:leftChars="500" w:right="-99" w:rightChars="-47"/>
        <w:rPr>
          <w:rFonts w:hint="eastAsia" w:ascii="仿宋" w:hAnsi="仿宋" w:eastAsia="仿宋" w:cs="仿宋"/>
          <w:b/>
          <w:bCs/>
          <w:color w:val="auto"/>
          <w:sz w:val="28"/>
          <w:szCs w:val="28"/>
        </w:rPr>
      </w:pPr>
      <w:r>
        <w:rPr>
          <w:rFonts w:hint="eastAsia" w:ascii="仿宋" w:hAnsi="仿宋" w:eastAsia="仿宋" w:cs="仿宋"/>
          <w:b/>
          <w:bCs/>
          <w:color w:val="auto"/>
          <w:sz w:val="28"/>
          <w:szCs w:val="28"/>
        </w:rPr>
        <w:t>备注：竞争性磋商响应文件内容包括但不限于以上内容</w:t>
      </w:r>
    </w:p>
    <w:p w14:paraId="1C9C8594">
      <w:pPr>
        <w:adjustRightInd w:val="0"/>
        <w:snapToGrid w:val="0"/>
        <w:spacing w:line="360" w:lineRule="auto"/>
        <w:rPr>
          <w:rFonts w:hint="eastAsia" w:ascii="仿宋" w:hAnsi="仿宋" w:eastAsia="仿宋" w:cs="仿宋"/>
          <w:color w:val="auto"/>
          <w:szCs w:val="21"/>
          <w:highlight w:val="none"/>
        </w:rPr>
      </w:pPr>
    </w:p>
    <w:p w14:paraId="12EC0173">
      <w:pPr>
        <w:pStyle w:val="3"/>
        <w:spacing w:line="240" w:lineRule="auto"/>
        <w:rPr>
          <w:rFonts w:hint="eastAsia" w:ascii="仿宋" w:hAnsi="仿宋" w:eastAsia="仿宋" w:cs="仿宋"/>
          <w:color w:val="auto"/>
          <w:sz w:val="22"/>
          <w:szCs w:val="22"/>
        </w:rPr>
      </w:pPr>
      <w:bookmarkStart w:id="234" w:name="_Toc11331_WPSOffice_Level1"/>
      <w:r>
        <w:rPr>
          <w:rFonts w:hint="eastAsia" w:ascii="仿宋" w:hAnsi="仿宋" w:eastAsia="仿宋" w:cs="仿宋"/>
          <w:b/>
          <w:color w:val="auto"/>
          <w:sz w:val="36"/>
          <w:szCs w:val="36"/>
          <w:highlight w:val="none"/>
        </w:rPr>
        <w:br w:type="page"/>
      </w:r>
      <w:bookmarkEnd w:id="234"/>
      <w:r>
        <w:rPr>
          <w:rFonts w:hint="eastAsia" w:ascii="仿宋" w:hAnsi="仿宋" w:eastAsia="仿宋" w:cs="仿宋"/>
          <w:color w:val="auto"/>
          <w:sz w:val="22"/>
          <w:szCs w:val="22"/>
        </w:rPr>
        <w:t>1、磋商函（格式）</w:t>
      </w:r>
    </w:p>
    <w:p w14:paraId="45968F1E">
      <w:pPr>
        <w:ind w:right="-99" w:rightChars="-47"/>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磋 商 函</w:t>
      </w:r>
    </w:p>
    <w:p w14:paraId="30678ED2">
      <w:pPr>
        <w:spacing w:line="540" w:lineRule="exact"/>
        <w:ind w:right="-99" w:rightChars="-47"/>
        <w:rPr>
          <w:rFonts w:hint="eastAsia" w:ascii="仿宋" w:hAnsi="仿宋" w:eastAsia="仿宋" w:cs="仿宋"/>
          <w:b/>
          <w:color w:val="auto"/>
          <w:sz w:val="21"/>
          <w:szCs w:val="21"/>
          <w:lang w:eastAsia="zh-CN"/>
        </w:rPr>
      </w:pPr>
      <w:r>
        <w:rPr>
          <w:rFonts w:hint="eastAsia" w:ascii="仿宋" w:hAnsi="仿宋" w:eastAsia="仿宋" w:cs="仿宋"/>
          <w:b/>
          <w:color w:val="auto"/>
          <w:sz w:val="21"/>
          <w:szCs w:val="21"/>
        </w:rPr>
        <w:t>致：</w:t>
      </w:r>
      <w:r>
        <w:rPr>
          <w:rFonts w:hint="eastAsia" w:ascii="仿宋" w:hAnsi="仿宋" w:eastAsia="仿宋" w:cs="仿宋"/>
          <w:b/>
          <w:color w:val="auto"/>
          <w:sz w:val="21"/>
          <w:szCs w:val="21"/>
          <w:lang w:eastAsia="zh-CN"/>
        </w:rPr>
        <w:t>陕西佳鸿项目管理咨询有限公司</w:t>
      </w:r>
    </w:p>
    <w:p w14:paraId="149AAABF">
      <w:pPr>
        <w:spacing w:line="540" w:lineRule="exact"/>
        <w:ind w:right="-99" w:rightChars="-47" w:firstLine="411" w:firstLineChars="196"/>
        <w:rPr>
          <w:rFonts w:hint="eastAsia" w:ascii="仿宋" w:hAnsi="仿宋" w:eastAsia="仿宋" w:cs="仿宋"/>
          <w:color w:val="auto"/>
          <w:sz w:val="21"/>
          <w:szCs w:val="21"/>
        </w:rPr>
      </w:pPr>
      <w:r>
        <w:rPr>
          <w:rFonts w:hint="eastAsia" w:ascii="仿宋" w:hAnsi="仿宋" w:eastAsia="仿宋" w:cs="仿宋"/>
          <w:color w:val="auto"/>
          <w:sz w:val="21"/>
          <w:szCs w:val="21"/>
        </w:rPr>
        <w:t>根据贵单位</w:t>
      </w:r>
      <w:r>
        <w:rPr>
          <w:rFonts w:hint="eastAsia" w:ascii="仿宋" w:hAnsi="仿宋" w:eastAsia="仿宋" w:cs="仿宋"/>
          <w:color w:val="auto"/>
          <w:sz w:val="21"/>
          <w:szCs w:val="21"/>
          <w:u w:val="single"/>
        </w:rPr>
        <w:t xml:space="preserve">         （采项目名称）    </w:t>
      </w:r>
      <w:r>
        <w:rPr>
          <w:rFonts w:hint="eastAsia" w:ascii="仿宋" w:hAnsi="仿宋" w:eastAsia="仿宋" w:cs="仿宋"/>
          <w:color w:val="auto"/>
          <w:sz w:val="21"/>
          <w:szCs w:val="21"/>
        </w:rPr>
        <w:t>项目</w:t>
      </w:r>
      <w:r>
        <w:rPr>
          <w:rFonts w:hint="eastAsia" w:ascii="仿宋" w:hAnsi="仿宋" w:eastAsia="仿宋" w:cs="仿宋"/>
          <w:color w:val="auto"/>
          <w:sz w:val="21"/>
          <w:szCs w:val="21"/>
          <w:u w:val="single"/>
        </w:rPr>
        <w:t>（项目编号）</w:t>
      </w:r>
      <w:r>
        <w:rPr>
          <w:rFonts w:hint="eastAsia" w:ascii="仿宋" w:hAnsi="仿宋" w:eastAsia="仿宋" w:cs="仿宋"/>
          <w:color w:val="auto"/>
          <w:sz w:val="21"/>
          <w:szCs w:val="21"/>
        </w:rPr>
        <w:t>的磋商公告，我方代表</w:t>
      </w:r>
      <w:r>
        <w:rPr>
          <w:rFonts w:hint="eastAsia" w:ascii="仿宋" w:hAnsi="仿宋" w:eastAsia="仿宋" w:cs="仿宋"/>
          <w:color w:val="auto"/>
          <w:sz w:val="21"/>
          <w:szCs w:val="21"/>
          <w:u w:val="single"/>
        </w:rPr>
        <w:t xml:space="preserve">   （姓名、职务）   </w:t>
      </w:r>
      <w:r>
        <w:rPr>
          <w:rFonts w:hint="eastAsia" w:ascii="仿宋" w:hAnsi="仿宋" w:eastAsia="仿宋" w:cs="仿宋"/>
          <w:color w:val="auto"/>
          <w:sz w:val="21"/>
          <w:szCs w:val="21"/>
        </w:rPr>
        <w:t>经正式授权并代表</w:t>
      </w:r>
      <w:r>
        <w:rPr>
          <w:rFonts w:hint="eastAsia" w:ascii="仿宋" w:hAnsi="仿宋" w:eastAsia="仿宋" w:cs="仿宋"/>
          <w:color w:val="auto"/>
          <w:sz w:val="21"/>
          <w:szCs w:val="21"/>
          <w:u w:val="single"/>
        </w:rPr>
        <w:t xml:space="preserve">     （供应商名称）     </w:t>
      </w:r>
      <w:r>
        <w:rPr>
          <w:rFonts w:hint="eastAsia" w:ascii="仿宋" w:hAnsi="仿宋" w:eastAsia="仿宋" w:cs="仿宋"/>
          <w:color w:val="auto"/>
          <w:sz w:val="21"/>
          <w:szCs w:val="21"/>
        </w:rPr>
        <w:t>就该项目进行竞争性磋商。</w:t>
      </w:r>
    </w:p>
    <w:p w14:paraId="3F466591">
      <w:pPr>
        <w:spacing w:line="540" w:lineRule="exact"/>
        <w:ind w:right="-99" w:rightChars="-47"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在此，我方郑重声明以下诸点，并负法律责任：</w:t>
      </w:r>
    </w:p>
    <w:p w14:paraId="35ECD3A6">
      <w:pPr>
        <w:spacing w:line="540" w:lineRule="exact"/>
        <w:ind w:right="-99" w:rightChars="-47"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1、我方提交的磋商响应文件一式</w:t>
      </w:r>
      <w:r>
        <w:rPr>
          <w:rFonts w:hint="eastAsia" w:ascii="仿宋" w:hAnsi="仿宋" w:eastAsia="仿宋" w:cs="仿宋"/>
          <w:color w:val="auto"/>
          <w:sz w:val="21"/>
          <w:szCs w:val="21"/>
          <w:lang w:val="en-US" w:eastAsia="zh-CN"/>
        </w:rPr>
        <w:t>四</w:t>
      </w:r>
      <w:r>
        <w:rPr>
          <w:rFonts w:hint="eastAsia" w:ascii="仿宋" w:hAnsi="仿宋" w:eastAsia="仿宋" w:cs="仿宋"/>
          <w:color w:val="auto"/>
          <w:sz w:val="21"/>
          <w:szCs w:val="21"/>
        </w:rPr>
        <w:t>份，正本一份，副本</w:t>
      </w:r>
      <w:r>
        <w:rPr>
          <w:rFonts w:hint="eastAsia" w:ascii="仿宋" w:hAnsi="仿宋" w:eastAsia="仿宋" w:cs="仿宋"/>
          <w:color w:val="auto"/>
          <w:sz w:val="21"/>
          <w:szCs w:val="21"/>
          <w:lang w:val="en-US" w:eastAsia="zh-CN"/>
        </w:rPr>
        <w:t>二</w:t>
      </w:r>
      <w:r>
        <w:rPr>
          <w:rFonts w:hint="eastAsia" w:ascii="仿宋" w:hAnsi="仿宋" w:eastAsia="仿宋" w:cs="仿宋"/>
          <w:color w:val="auto"/>
          <w:sz w:val="21"/>
          <w:szCs w:val="21"/>
        </w:rPr>
        <w:t>份，电子文件（光盘或U盘）一份。</w:t>
      </w:r>
    </w:p>
    <w:p w14:paraId="467DA48C">
      <w:pPr>
        <w:spacing w:line="540" w:lineRule="exact"/>
        <w:ind w:right="-99" w:rightChars="-47"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2、我方所附磋商报价表中应提交和交付的服务磋商总价为人民币：</w:t>
      </w:r>
      <w:r>
        <w:rPr>
          <w:rFonts w:hint="eastAsia" w:ascii="仿宋" w:hAnsi="仿宋" w:eastAsia="仿宋" w:cs="仿宋"/>
          <w:color w:val="auto"/>
          <w:sz w:val="21"/>
          <w:szCs w:val="21"/>
          <w:u w:val="single"/>
        </w:rPr>
        <w:t>（同时用汉字大写和数字表示的磋商总价）</w:t>
      </w:r>
      <w:r>
        <w:rPr>
          <w:rFonts w:hint="eastAsia" w:ascii="仿宋" w:hAnsi="仿宋" w:eastAsia="仿宋" w:cs="仿宋"/>
          <w:color w:val="auto"/>
          <w:sz w:val="21"/>
          <w:szCs w:val="21"/>
        </w:rPr>
        <w:t>。该报价不受市场因素的影响。</w:t>
      </w:r>
    </w:p>
    <w:p w14:paraId="05FEDEB6">
      <w:pPr>
        <w:spacing w:line="540" w:lineRule="exact"/>
        <w:ind w:right="-99" w:rightChars="-47"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3、我方已详细审查全部磋商文件，完全理解并同意放弃对这方面有不明及误解质疑、投诉的权力。</w:t>
      </w:r>
    </w:p>
    <w:p w14:paraId="7D4BA8FD">
      <w:pPr>
        <w:spacing w:line="540" w:lineRule="exact"/>
        <w:ind w:right="-99" w:rightChars="-47"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4、我方完全理解并同意磋商文件中有关没收磋商保证金的条款。</w:t>
      </w:r>
    </w:p>
    <w:p w14:paraId="75A006D8">
      <w:pPr>
        <w:spacing w:line="540" w:lineRule="exact"/>
        <w:ind w:right="-99" w:rightChars="-47"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5、我方同意按照要求提供磋商有关的一切数据或资料。</w:t>
      </w:r>
    </w:p>
    <w:p w14:paraId="2A1DD87F">
      <w:pPr>
        <w:spacing w:line="540" w:lineRule="exact"/>
        <w:ind w:right="-99" w:rightChars="-47"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6、我方将按磋商文件的规定履行合同责任和义务。</w:t>
      </w:r>
    </w:p>
    <w:p w14:paraId="604AB24A">
      <w:pPr>
        <w:spacing w:line="540" w:lineRule="exact"/>
        <w:ind w:right="-99" w:rightChars="-47"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7、我方完全理解最低报价不是成交的唯一条件，尊重评标委员会的评审结果，并同意放弃对这方面有不明及误解质疑的权力。 </w:t>
      </w:r>
    </w:p>
    <w:p w14:paraId="08C52EE2">
      <w:pPr>
        <w:spacing w:line="540" w:lineRule="exact"/>
        <w:ind w:right="-99" w:rightChars="-47"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8、我方同意按磋商文件规定，遵守贵方有关磋商的各项规定。</w:t>
      </w:r>
    </w:p>
    <w:p w14:paraId="72C0C69D">
      <w:pPr>
        <w:spacing w:line="540" w:lineRule="exact"/>
        <w:ind w:right="-99" w:rightChars="-47"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9、磋商有效期为自磋商之日起</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个日历日。</w:t>
      </w:r>
    </w:p>
    <w:p w14:paraId="594696F1">
      <w:pPr>
        <w:spacing w:line="540" w:lineRule="exact"/>
        <w:ind w:right="-99" w:rightChars="-47"/>
        <w:rPr>
          <w:rFonts w:hint="eastAsia" w:ascii="仿宋" w:hAnsi="仿宋" w:eastAsia="仿宋" w:cs="仿宋"/>
          <w:color w:val="auto"/>
          <w:sz w:val="21"/>
          <w:szCs w:val="21"/>
        </w:rPr>
      </w:pPr>
      <w:r>
        <w:rPr>
          <w:rFonts w:hint="eastAsia" w:ascii="仿宋" w:hAnsi="仿宋" w:eastAsia="仿宋" w:cs="仿宋"/>
          <w:color w:val="auto"/>
          <w:sz w:val="21"/>
          <w:szCs w:val="21"/>
        </w:rPr>
        <w:t xml:space="preserve">    10、所有关于本项目的函电，请按下列地址联系：</w:t>
      </w:r>
    </w:p>
    <w:p w14:paraId="317A89FF">
      <w:pPr>
        <w:spacing w:line="600" w:lineRule="exact"/>
        <w:ind w:right="-99" w:rightChars="-47"/>
        <w:rPr>
          <w:rFonts w:hint="eastAsia" w:ascii="仿宋" w:hAnsi="仿宋" w:eastAsia="仿宋" w:cs="仿宋"/>
          <w:color w:val="auto"/>
          <w:sz w:val="21"/>
          <w:szCs w:val="21"/>
          <w:u w:val="single"/>
        </w:rPr>
      </w:pPr>
      <w:r>
        <w:rPr>
          <w:rFonts w:hint="eastAsia" w:ascii="仿宋" w:hAnsi="仿宋" w:eastAsia="仿宋" w:cs="仿宋"/>
          <w:color w:val="auto"/>
          <w:sz w:val="21"/>
          <w:szCs w:val="21"/>
        </w:rPr>
        <w:t xml:space="preserve">    供应商名称（公章）：</w:t>
      </w:r>
      <w:r>
        <w:rPr>
          <w:rFonts w:hint="eastAsia" w:ascii="仿宋" w:hAnsi="仿宋" w:eastAsia="仿宋" w:cs="仿宋"/>
          <w:color w:val="auto"/>
          <w:sz w:val="21"/>
          <w:szCs w:val="21"/>
          <w:u w:val="single"/>
        </w:rPr>
        <w:t xml:space="preserve">                                </w:t>
      </w:r>
    </w:p>
    <w:p w14:paraId="64C251B6">
      <w:pPr>
        <w:spacing w:line="600" w:lineRule="exact"/>
        <w:ind w:right="-99" w:rightChars="-47"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详 细 地 址：</w:t>
      </w:r>
      <w:r>
        <w:rPr>
          <w:rFonts w:hint="eastAsia" w:ascii="仿宋" w:hAnsi="仿宋" w:eastAsia="仿宋" w:cs="仿宋"/>
          <w:color w:val="auto"/>
          <w:sz w:val="21"/>
          <w:szCs w:val="21"/>
          <w:u w:val="single"/>
        </w:rPr>
        <w:t xml:space="preserve">                                      </w:t>
      </w:r>
    </w:p>
    <w:p w14:paraId="2E56AB51">
      <w:pPr>
        <w:tabs>
          <w:tab w:val="left" w:pos="360"/>
        </w:tabs>
        <w:spacing w:line="600" w:lineRule="exact"/>
        <w:ind w:right="-99" w:rightChars="-47"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邮 政 编 码：</w:t>
      </w:r>
      <w:r>
        <w:rPr>
          <w:rFonts w:hint="eastAsia" w:ascii="仿宋" w:hAnsi="仿宋" w:eastAsia="仿宋" w:cs="仿宋"/>
          <w:color w:val="auto"/>
          <w:sz w:val="21"/>
          <w:szCs w:val="21"/>
          <w:u w:val="single"/>
        </w:rPr>
        <w:t xml:space="preserve">                   </w:t>
      </w:r>
    </w:p>
    <w:p w14:paraId="749F51C7">
      <w:pPr>
        <w:autoSpaceDE w:val="0"/>
        <w:autoSpaceDN w:val="0"/>
        <w:adjustRightInd w:val="0"/>
        <w:spacing w:line="600" w:lineRule="exact"/>
        <w:ind w:right="-99" w:rightChars="-47" w:firstLine="420" w:firstLineChars="200"/>
        <w:rPr>
          <w:rFonts w:hint="eastAsia" w:ascii="仿宋" w:hAnsi="仿宋" w:eastAsia="仿宋" w:cs="仿宋"/>
          <w:color w:val="auto"/>
          <w:sz w:val="21"/>
          <w:szCs w:val="21"/>
          <w:u w:val="single"/>
          <w:lang w:val="zh-CN"/>
        </w:rPr>
      </w:pPr>
      <w:r>
        <w:rPr>
          <w:rFonts w:hint="eastAsia" w:ascii="仿宋" w:hAnsi="仿宋" w:eastAsia="仿宋" w:cs="仿宋"/>
          <w:color w:val="auto"/>
          <w:sz w:val="21"/>
          <w:szCs w:val="21"/>
          <w:lang w:val="zh-CN"/>
        </w:rPr>
        <w:t>电       话：</w:t>
      </w:r>
      <w:r>
        <w:rPr>
          <w:rFonts w:hint="eastAsia" w:ascii="仿宋" w:hAnsi="仿宋" w:eastAsia="仿宋" w:cs="仿宋"/>
          <w:color w:val="auto"/>
          <w:sz w:val="21"/>
          <w:szCs w:val="21"/>
          <w:u w:val="single"/>
          <w:lang w:val="zh-CN"/>
        </w:rPr>
        <w:t xml:space="preserve">                   </w:t>
      </w:r>
    </w:p>
    <w:p w14:paraId="5756B0E9">
      <w:pPr>
        <w:autoSpaceDE w:val="0"/>
        <w:autoSpaceDN w:val="0"/>
        <w:adjustRightInd w:val="0"/>
        <w:spacing w:line="600" w:lineRule="exact"/>
        <w:ind w:right="-99" w:rightChars="-47"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传       真：</w:t>
      </w:r>
      <w:r>
        <w:rPr>
          <w:rFonts w:hint="eastAsia" w:ascii="仿宋" w:hAnsi="仿宋" w:eastAsia="仿宋" w:cs="仿宋"/>
          <w:color w:val="auto"/>
          <w:sz w:val="21"/>
          <w:szCs w:val="21"/>
          <w:u w:val="single"/>
          <w:lang w:val="zh-CN"/>
        </w:rPr>
        <w:t xml:space="preserve">                   </w:t>
      </w:r>
    </w:p>
    <w:p w14:paraId="6662CF76">
      <w:pPr>
        <w:tabs>
          <w:tab w:val="left" w:pos="360"/>
        </w:tabs>
        <w:spacing w:line="600" w:lineRule="exact"/>
        <w:ind w:right="-99" w:rightChars="-47"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电 子 邮 件：</w:t>
      </w:r>
      <w:r>
        <w:rPr>
          <w:rFonts w:hint="eastAsia" w:ascii="仿宋" w:hAnsi="仿宋" w:eastAsia="仿宋" w:cs="仿宋"/>
          <w:color w:val="auto"/>
          <w:sz w:val="21"/>
          <w:szCs w:val="21"/>
          <w:u w:val="single"/>
        </w:rPr>
        <w:t xml:space="preserve">                   </w:t>
      </w:r>
    </w:p>
    <w:p w14:paraId="6CBD030A">
      <w:pPr>
        <w:autoSpaceDE w:val="0"/>
        <w:autoSpaceDN w:val="0"/>
        <w:adjustRightInd w:val="0"/>
        <w:spacing w:line="600" w:lineRule="exact"/>
        <w:ind w:right="-99" w:rightChars="-47" w:firstLine="420" w:firstLineChars="200"/>
        <w:rPr>
          <w:rFonts w:hint="eastAsia" w:ascii="仿宋" w:hAnsi="仿宋" w:eastAsia="仿宋" w:cs="仿宋"/>
          <w:color w:val="auto"/>
          <w:sz w:val="21"/>
          <w:szCs w:val="21"/>
          <w:u w:val="single"/>
          <w:lang w:val="zh-CN"/>
        </w:rPr>
      </w:pPr>
      <w:r>
        <w:rPr>
          <w:rFonts w:hint="eastAsia" w:ascii="仿宋" w:hAnsi="仿宋" w:eastAsia="仿宋" w:cs="仿宋"/>
          <w:color w:val="auto"/>
          <w:sz w:val="21"/>
          <w:szCs w:val="21"/>
          <w:lang w:val="zh-CN"/>
        </w:rPr>
        <w:t>开 户 银 行：</w:t>
      </w:r>
      <w:r>
        <w:rPr>
          <w:rFonts w:hint="eastAsia" w:ascii="仿宋" w:hAnsi="仿宋" w:eastAsia="仿宋" w:cs="仿宋"/>
          <w:color w:val="auto"/>
          <w:sz w:val="21"/>
          <w:szCs w:val="21"/>
          <w:u w:val="single"/>
          <w:lang w:val="zh-CN"/>
        </w:rPr>
        <w:t xml:space="preserve">                   </w:t>
      </w:r>
    </w:p>
    <w:p w14:paraId="6E87CF9C">
      <w:pPr>
        <w:autoSpaceDE w:val="0"/>
        <w:autoSpaceDN w:val="0"/>
        <w:adjustRightInd w:val="0"/>
        <w:spacing w:line="600" w:lineRule="exact"/>
        <w:ind w:right="-99" w:rightChars="-47"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帐       号：</w:t>
      </w:r>
      <w:r>
        <w:rPr>
          <w:rFonts w:hint="eastAsia" w:ascii="仿宋" w:hAnsi="仿宋" w:eastAsia="仿宋" w:cs="仿宋"/>
          <w:color w:val="auto"/>
          <w:sz w:val="21"/>
          <w:szCs w:val="21"/>
          <w:u w:val="single"/>
          <w:lang w:val="zh-CN"/>
        </w:rPr>
        <w:t xml:space="preserve">                   </w:t>
      </w:r>
    </w:p>
    <w:p w14:paraId="368FACD4">
      <w:pPr>
        <w:autoSpaceDE w:val="0"/>
        <w:autoSpaceDN w:val="0"/>
        <w:adjustRightInd w:val="0"/>
        <w:spacing w:line="480" w:lineRule="exact"/>
        <w:ind w:right="-99" w:rightChars="-47" w:hanging="60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 xml:space="preserve">             </w:t>
      </w:r>
    </w:p>
    <w:p w14:paraId="37E0F597">
      <w:pPr>
        <w:autoSpaceDE w:val="0"/>
        <w:autoSpaceDN w:val="0"/>
        <w:adjustRightInd w:val="0"/>
        <w:spacing w:line="480" w:lineRule="exact"/>
        <w:ind w:right="-99" w:rightChars="-47" w:hanging="600"/>
        <w:rPr>
          <w:rFonts w:hint="eastAsia" w:ascii="仿宋" w:hAnsi="仿宋" w:eastAsia="仿宋" w:cs="仿宋"/>
          <w:color w:val="auto"/>
          <w:sz w:val="21"/>
          <w:szCs w:val="21"/>
          <w:lang w:val="zh-CN"/>
        </w:rPr>
      </w:pPr>
    </w:p>
    <w:p w14:paraId="55E98589">
      <w:pPr>
        <w:autoSpaceDE w:val="0"/>
        <w:autoSpaceDN w:val="0"/>
        <w:adjustRightInd w:val="0"/>
        <w:spacing w:line="480" w:lineRule="exact"/>
        <w:ind w:right="-99" w:rightChars="-47" w:hanging="600"/>
        <w:rPr>
          <w:rFonts w:hint="eastAsia" w:ascii="仿宋" w:hAnsi="仿宋" w:eastAsia="仿宋" w:cs="仿宋"/>
          <w:color w:val="auto"/>
          <w:sz w:val="21"/>
          <w:szCs w:val="21"/>
          <w:lang w:val="zh-CN"/>
        </w:rPr>
      </w:pPr>
    </w:p>
    <w:p w14:paraId="177DA67A">
      <w:pPr>
        <w:autoSpaceDE w:val="0"/>
        <w:autoSpaceDN w:val="0"/>
        <w:adjustRightInd w:val="0"/>
        <w:spacing w:line="480" w:lineRule="exact"/>
        <w:ind w:right="-99" w:rightChars="-47" w:hanging="600"/>
        <w:rPr>
          <w:rFonts w:hint="eastAsia" w:ascii="仿宋" w:hAnsi="仿宋" w:eastAsia="仿宋" w:cs="仿宋"/>
          <w:color w:val="auto"/>
          <w:sz w:val="21"/>
          <w:szCs w:val="21"/>
          <w:lang w:val="zh-CN"/>
        </w:rPr>
      </w:pPr>
    </w:p>
    <w:p w14:paraId="04B38A19">
      <w:pPr>
        <w:autoSpaceDE w:val="0"/>
        <w:autoSpaceDN w:val="0"/>
        <w:adjustRightInd w:val="0"/>
        <w:spacing w:line="480" w:lineRule="exact"/>
        <w:ind w:right="-99" w:rightChars="-47" w:hanging="600"/>
        <w:rPr>
          <w:rFonts w:hint="eastAsia" w:ascii="仿宋" w:hAnsi="仿宋" w:eastAsia="仿宋" w:cs="仿宋"/>
          <w:color w:val="auto"/>
          <w:sz w:val="21"/>
          <w:szCs w:val="21"/>
          <w:lang w:val="zh-CN"/>
        </w:rPr>
      </w:pPr>
    </w:p>
    <w:p w14:paraId="456AA71A">
      <w:pPr>
        <w:autoSpaceDE w:val="0"/>
        <w:autoSpaceDN w:val="0"/>
        <w:adjustRightInd w:val="0"/>
        <w:spacing w:line="480" w:lineRule="exact"/>
        <w:ind w:right="-99" w:rightChars="-47"/>
        <w:rPr>
          <w:rFonts w:hint="eastAsia" w:ascii="仿宋" w:hAnsi="仿宋" w:eastAsia="仿宋" w:cs="仿宋"/>
          <w:color w:val="auto"/>
          <w:sz w:val="21"/>
          <w:szCs w:val="21"/>
          <w:lang w:val="zh-CN"/>
        </w:rPr>
      </w:pPr>
    </w:p>
    <w:p w14:paraId="147EA841">
      <w:pPr>
        <w:tabs>
          <w:tab w:val="left" w:pos="7492"/>
        </w:tabs>
        <w:autoSpaceDE w:val="0"/>
        <w:autoSpaceDN w:val="0"/>
        <w:adjustRightInd w:val="0"/>
        <w:spacing w:line="480" w:lineRule="exact"/>
        <w:ind w:right="-99" w:rightChars="-47"/>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ab/>
      </w:r>
    </w:p>
    <w:p w14:paraId="0DA856B9">
      <w:pPr>
        <w:autoSpaceDE w:val="0"/>
        <w:autoSpaceDN w:val="0"/>
        <w:adjustRightInd w:val="0"/>
        <w:spacing w:line="480" w:lineRule="exact"/>
        <w:ind w:right="-99" w:rightChars="-47" w:firstLine="2940" w:firstLineChars="1400"/>
        <w:rPr>
          <w:rFonts w:hint="eastAsia" w:ascii="仿宋" w:hAnsi="仿宋" w:eastAsia="仿宋" w:cs="仿宋"/>
          <w:color w:val="auto"/>
          <w:sz w:val="21"/>
          <w:szCs w:val="21"/>
        </w:rPr>
      </w:pPr>
      <w:r>
        <w:rPr>
          <w:rFonts w:hint="eastAsia" w:ascii="仿宋" w:hAnsi="仿宋" w:eastAsia="仿宋" w:cs="仿宋"/>
          <w:color w:val="auto"/>
          <w:sz w:val="21"/>
          <w:szCs w:val="21"/>
          <w:lang w:val="zh-CN"/>
        </w:rPr>
        <w:t>供应商</w:t>
      </w:r>
      <w:r>
        <w:rPr>
          <w:rFonts w:hint="eastAsia" w:ascii="仿宋" w:hAnsi="仿宋" w:eastAsia="仿宋" w:cs="仿宋"/>
          <w:color w:val="auto"/>
          <w:sz w:val="21"/>
          <w:szCs w:val="21"/>
        </w:rPr>
        <w:t>授权</w:t>
      </w:r>
      <w:r>
        <w:rPr>
          <w:rFonts w:hint="eastAsia" w:ascii="仿宋" w:hAnsi="仿宋" w:eastAsia="仿宋" w:cs="仿宋"/>
          <w:color w:val="auto"/>
          <w:sz w:val="21"/>
          <w:szCs w:val="21"/>
          <w:lang w:val="zh-CN"/>
        </w:rPr>
        <w:t>代表签名：</w:t>
      </w:r>
      <w:r>
        <w:rPr>
          <w:rFonts w:hint="eastAsia" w:ascii="仿宋" w:hAnsi="仿宋" w:eastAsia="仿宋" w:cs="仿宋"/>
          <w:color w:val="auto"/>
          <w:sz w:val="21"/>
          <w:szCs w:val="21"/>
          <w:u w:val="single"/>
        </w:rPr>
        <w:t xml:space="preserve">               </w:t>
      </w:r>
    </w:p>
    <w:p w14:paraId="0E5EEC6D">
      <w:pPr>
        <w:autoSpaceDE w:val="0"/>
        <w:autoSpaceDN w:val="0"/>
        <w:adjustRightInd w:val="0"/>
        <w:spacing w:line="480" w:lineRule="exact"/>
        <w:ind w:right="-99" w:rightChars="-47" w:firstLine="3465" w:firstLineChars="1650"/>
        <w:rPr>
          <w:rFonts w:hint="eastAsia" w:ascii="仿宋" w:hAnsi="仿宋" w:eastAsia="仿宋" w:cs="仿宋"/>
          <w:color w:val="auto"/>
          <w:sz w:val="21"/>
          <w:szCs w:val="21"/>
          <w:u w:val="single"/>
          <w:lang w:val="zh-CN"/>
        </w:rPr>
      </w:pPr>
      <w:r>
        <w:rPr>
          <w:rFonts w:hint="eastAsia" w:ascii="仿宋" w:hAnsi="仿宋" w:eastAsia="仿宋" w:cs="仿宋"/>
          <w:color w:val="auto"/>
          <w:sz w:val="21"/>
          <w:szCs w:val="21"/>
          <w:lang w:val="zh-CN"/>
        </w:rPr>
        <w:t>联系电话/手机：</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rPr>
        <w:t xml:space="preserve">  </w:t>
      </w:r>
    </w:p>
    <w:p w14:paraId="6E9E8C64">
      <w:pPr>
        <w:spacing w:line="480" w:lineRule="exact"/>
        <w:ind w:right="-99" w:rightChars="-47"/>
        <w:jc w:val="center"/>
        <w:rPr>
          <w:rFonts w:hint="eastAsia" w:ascii="仿宋" w:hAnsi="仿宋" w:eastAsia="仿宋" w:cs="仿宋"/>
          <w:color w:val="auto"/>
          <w:sz w:val="22"/>
          <w:szCs w:val="22"/>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w:t>
      </w:r>
    </w:p>
    <w:p w14:paraId="3B131F5C">
      <w:pPr>
        <w:spacing w:line="480" w:lineRule="exact"/>
        <w:ind w:right="-99" w:rightChars="-47"/>
        <w:jc w:val="center"/>
        <w:rPr>
          <w:rFonts w:hint="eastAsia" w:ascii="仿宋" w:hAnsi="仿宋" w:eastAsia="仿宋" w:cs="仿宋"/>
          <w:color w:val="auto"/>
          <w:sz w:val="22"/>
          <w:szCs w:val="22"/>
        </w:rPr>
        <w:sectPr>
          <w:pgSz w:w="11907" w:h="16840"/>
          <w:pgMar w:top="1440" w:right="1803" w:bottom="1440" w:left="1803" w:header="907" w:footer="654" w:gutter="0"/>
          <w:pgNumType w:fmt="decimal"/>
          <w:cols w:space="720" w:num="1"/>
          <w:docGrid w:linePitch="312" w:charSpace="0"/>
        </w:sectPr>
      </w:pPr>
    </w:p>
    <w:p w14:paraId="61F62FE8">
      <w:pPr>
        <w:pStyle w:val="3"/>
        <w:spacing w:line="240" w:lineRule="auto"/>
        <w:rPr>
          <w:rFonts w:hint="eastAsia" w:ascii="仿宋" w:hAnsi="仿宋" w:eastAsia="仿宋" w:cs="仿宋"/>
          <w:color w:val="auto"/>
          <w:sz w:val="24"/>
        </w:rPr>
      </w:pPr>
      <w:bookmarkStart w:id="235" w:name="_Toc194663919"/>
      <w:bookmarkStart w:id="236" w:name="_Toc193126882"/>
      <w:bookmarkStart w:id="237" w:name="_Toc188808834"/>
      <w:bookmarkStart w:id="238" w:name="_Toc193187098"/>
      <w:r>
        <w:rPr>
          <w:rFonts w:hint="eastAsia" w:ascii="仿宋" w:hAnsi="仿宋" w:eastAsia="仿宋" w:cs="仿宋"/>
          <w:color w:val="auto"/>
          <w:sz w:val="28"/>
          <w:szCs w:val="28"/>
        </w:rPr>
        <w:t>2、磋商报价一览表（格式）</w:t>
      </w:r>
      <w:bookmarkEnd w:id="235"/>
      <w:bookmarkEnd w:id="236"/>
      <w:bookmarkEnd w:id="237"/>
      <w:bookmarkEnd w:id="238"/>
      <w:r>
        <w:rPr>
          <w:rFonts w:hint="eastAsia" w:ascii="仿宋" w:hAnsi="仿宋" w:eastAsia="仿宋" w:cs="仿宋"/>
          <w:color w:val="auto"/>
          <w:sz w:val="28"/>
          <w:szCs w:val="28"/>
        </w:rPr>
        <w:t xml:space="preserve">                                                               </w:t>
      </w:r>
    </w:p>
    <w:p w14:paraId="7595931F">
      <w:pPr>
        <w:spacing w:line="480" w:lineRule="exact"/>
        <w:ind w:left="210" w:leftChars="100" w:right="-99" w:rightChars="-47"/>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磋商报价一览表</w:t>
      </w:r>
    </w:p>
    <w:p w14:paraId="2FCCAF33">
      <w:pPr>
        <w:spacing w:line="480" w:lineRule="exact"/>
        <w:ind w:right="-99" w:rightChars="-47"/>
        <w:rPr>
          <w:rFonts w:hint="eastAsia" w:ascii="仿宋" w:hAnsi="仿宋" w:eastAsia="仿宋" w:cs="仿宋"/>
          <w:bCs/>
          <w:color w:val="auto"/>
          <w:kern w:val="0"/>
          <w:sz w:val="28"/>
          <w:szCs w:val="28"/>
          <w:u w:val="single"/>
        </w:rPr>
      </w:pPr>
      <w:r>
        <w:rPr>
          <w:rFonts w:hint="eastAsia" w:ascii="仿宋" w:hAnsi="仿宋" w:eastAsia="仿宋" w:cs="仿宋"/>
          <w:bCs/>
          <w:color w:val="auto"/>
          <w:kern w:val="0"/>
          <w:sz w:val="28"/>
          <w:szCs w:val="28"/>
        </w:rPr>
        <w:t xml:space="preserve">                                     </w:t>
      </w:r>
    </w:p>
    <w:tbl>
      <w:tblPr>
        <w:tblStyle w:val="46"/>
        <w:tblW w:w="1213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6"/>
        <w:gridCol w:w="3766"/>
        <w:gridCol w:w="3098"/>
        <w:gridCol w:w="2713"/>
      </w:tblGrid>
      <w:tr w14:paraId="305DB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2556" w:type="dxa"/>
            <w:vAlign w:val="center"/>
          </w:tcPr>
          <w:p w14:paraId="474A15DF">
            <w:pPr>
              <w:keepNext w:val="0"/>
              <w:keepLines w:val="0"/>
              <w:suppressLineNumbers w:val="0"/>
              <w:spacing w:before="0" w:beforeAutospacing="0" w:after="0" w:afterAutospacing="0" w:line="480" w:lineRule="exact"/>
              <w:ind w:left="0" w:right="143" w:rightChars="68" w:firstLine="137" w:firstLineChars="49"/>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标项</w:t>
            </w:r>
            <w:r>
              <w:rPr>
                <w:rFonts w:hint="eastAsia" w:ascii="仿宋" w:hAnsi="仿宋" w:eastAsia="仿宋" w:cs="仿宋"/>
                <w:color w:val="auto"/>
                <w:sz w:val="28"/>
                <w:szCs w:val="28"/>
              </w:rPr>
              <w:t>编号</w:t>
            </w:r>
          </w:p>
        </w:tc>
        <w:tc>
          <w:tcPr>
            <w:tcW w:w="3766" w:type="dxa"/>
            <w:vAlign w:val="center"/>
          </w:tcPr>
          <w:p w14:paraId="20C55BD7">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磋商报价</w:t>
            </w:r>
          </w:p>
          <w:p w14:paraId="7836966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（人民币:元）</w:t>
            </w:r>
          </w:p>
        </w:tc>
        <w:tc>
          <w:tcPr>
            <w:tcW w:w="3098" w:type="dxa"/>
            <w:tcMar>
              <w:top w:w="57" w:type="dxa"/>
              <w:left w:w="28" w:type="dxa"/>
              <w:bottom w:w="57" w:type="dxa"/>
              <w:right w:w="28" w:type="dxa"/>
            </w:tcMar>
            <w:vAlign w:val="center"/>
          </w:tcPr>
          <w:p w14:paraId="2CCFC5F3">
            <w:pPr>
              <w:keepNext w:val="0"/>
              <w:keepLines w:val="0"/>
              <w:suppressLineNumbers w:val="0"/>
              <w:spacing w:before="0" w:beforeAutospacing="0" w:after="0" w:afterAutospacing="0" w:line="480" w:lineRule="exact"/>
              <w:ind w:left="210" w:leftChars="100" w:right="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工期</w:t>
            </w:r>
          </w:p>
        </w:tc>
        <w:tc>
          <w:tcPr>
            <w:tcW w:w="2713" w:type="dxa"/>
            <w:vAlign w:val="center"/>
          </w:tcPr>
          <w:p w14:paraId="465B1751">
            <w:pPr>
              <w:keepNext w:val="0"/>
              <w:keepLines w:val="0"/>
              <w:suppressLineNumbers w:val="0"/>
              <w:spacing w:before="0" w:beforeAutospacing="0" w:after="0" w:afterAutospacing="0" w:line="480" w:lineRule="exact"/>
              <w:ind w:left="210" w:leftChars="10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质量</w:t>
            </w:r>
          </w:p>
        </w:tc>
      </w:tr>
      <w:tr w14:paraId="36AAC7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2556" w:type="dxa"/>
            <w:vMerge w:val="restart"/>
            <w:vAlign w:val="center"/>
          </w:tcPr>
          <w:p w14:paraId="332A057A">
            <w:pPr>
              <w:keepNext w:val="0"/>
              <w:keepLines w:val="0"/>
              <w:suppressLineNumbers w:val="0"/>
              <w:spacing w:before="0" w:beforeAutospacing="0" w:after="0" w:afterAutospacing="0" w:line="480" w:lineRule="exact"/>
              <w:ind w:left="0" w:right="0"/>
              <w:jc w:val="center"/>
              <w:rPr>
                <w:rFonts w:hint="eastAsia" w:ascii="仿宋" w:hAnsi="仿宋" w:eastAsia="仿宋" w:cs="仿宋"/>
                <w:b/>
                <w:color w:val="auto"/>
                <w:sz w:val="28"/>
                <w:szCs w:val="28"/>
                <w:lang w:val="en-US" w:eastAsia="zh-CN"/>
              </w:rPr>
            </w:pPr>
            <w:r>
              <w:rPr>
                <w:rFonts w:hint="eastAsia" w:ascii="仿宋" w:hAnsi="仿宋" w:eastAsia="仿宋" w:cs="仿宋"/>
                <w:b w:val="0"/>
                <w:bCs/>
                <w:color w:val="auto"/>
                <w:sz w:val="28"/>
                <w:szCs w:val="28"/>
                <w:lang w:eastAsia="zh-CN"/>
              </w:rPr>
              <w:t>ZCBN-汉台区-2025-00145</w:t>
            </w:r>
          </w:p>
        </w:tc>
        <w:tc>
          <w:tcPr>
            <w:tcW w:w="3766" w:type="dxa"/>
            <w:vAlign w:val="center"/>
          </w:tcPr>
          <w:p w14:paraId="2B6A4937">
            <w:pPr>
              <w:keepNext w:val="0"/>
              <w:keepLines w:val="0"/>
              <w:suppressLineNumbers w:val="0"/>
              <w:spacing w:before="0" w:beforeAutospacing="0" w:after="0" w:afterAutospacing="0" w:line="480" w:lineRule="exact"/>
              <w:ind w:left="210" w:leftChars="100" w:right="0"/>
              <w:jc w:val="center"/>
              <w:rPr>
                <w:rFonts w:hint="eastAsia" w:ascii="仿宋" w:hAnsi="仿宋" w:eastAsia="仿宋" w:cs="仿宋"/>
                <w:color w:val="auto"/>
                <w:sz w:val="28"/>
                <w:szCs w:val="28"/>
              </w:rPr>
            </w:pPr>
          </w:p>
        </w:tc>
        <w:tc>
          <w:tcPr>
            <w:tcW w:w="3098" w:type="dxa"/>
            <w:tcMar>
              <w:top w:w="57" w:type="dxa"/>
              <w:left w:w="28" w:type="dxa"/>
              <w:bottom w:w="57" w:type="dxa"/>
              <w:right w:w="28" w:type="dxa"/>
            </w:tcMar>
            <w:vAlign w:val="center"/>
          </w:tcPr>
          <w:p w14:paraId="4063A08F">
            <w:pPr>
              <w:keepNext w:val="0"/>
              <w:keepLines w:val="0"/>
              <w:suppressLineNumbers w:val="0"/>
              <w:spacing w:before="0" w:beforeAutospacing="0" w:after="0" w:afterAutospacing="0" w:line="480" w:lineRule="exact"/>
              <w:ind w:left="210" w:leftChars="100" w:right="0"/>
              <w:jc w:val="center"/>
              <w:rPr>
                <w:rFonts w:hint="eastAsia" w:ascii="仿宋" w:hAnsi="仿宋" w:eastAsia="仿宋" w:cs="仿宋"/>
                <w:color w:val="auto"/>
                <w:sz w:val="28"/>
                <w:szCs w:val="28"/>
              </w:rPr>
            </w:pPr>
          </w:p>
        </w:tc>
        <w:tc>
          <w:tcPr>
            <w:tcW w:w="2713" w:type="dxa"/>
          </w:tcPr>
          <w:p w14:paraId="1417017A">
            <w:pPr>
              <w:keepNext w:val="0"/>
              <w:keepLines w:val="0"/>
              <w:suppressLineNumbers w:val="0"/>
              <w:spacing w:before="0" w:beforeAutospacing="0" w:after="0" w:afterAutospacing="0" w:line="480" w:lineRule="exact"/>
              <w:ind w:left="210" w:leftChars="100" w:right="0"/>
              <w:jc w:val="center"/>
              <w:rPr>
                <w:rFonts w:hint="eastAsia" w:ascii="仿宋" w:hAnsi="仿宋" w:eastAsia="仿宋" w:cs="仿宋"/>
                <w:color w:val="auto"/>
                <w:sz w:val="28"/>
                <w:szCs w:val="28"/>
                <w:lang w:val="en-US" w:eastAsia="zh-CN"/>
              </w:rPr>
            </w:pPr>
          </w:p>
        </w:tc>
      </w:tr>
      <w:tr w14:paraId="6C9F12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556" w:type="dxa"/>
            <w:vMerge w:val="continue"/>
            <w:tcMar>
              <w:top w:w="57" w:type="dxa"/>
              <w:left w:w="28" w:type="dxa"/>
              <w:bottom w:w="57" w:type="dxa"/>
              <w:right w:w="28" w:type="dxa"/>
            </w:tcMar>
            <w:vAlign w:val="center"/>
          </w:tcPr>
          <w:p w14:paraId="4079436D">
            <w:pPr>
              <w:keepNext w:val="0"/>
              <w:keepLines w:val="0"/>
              <w:suppressLineNumbers w:val="0"/>
              <w:spacing w:before="0" w:beforeAutospacing="0" w:after="0" w:afterAutospacing="0" w:line="480" w:lineRule="exact"/>
              <w:ind w:left="210" w:leftChars="100" w:right="0"/>
              <w:rPr>
                <w:rFonts w:hint="eastAsia" w:ascii="仿宋" w:hAnsi="仿宋" w:eastAsia="仿宋" w:cs="仿宋"/>
                <w:color w:val="auto"/>
                <w:sz w:val="28"/>
                <w:szCs w:val="28"/>
              </w:rPr>
            </w:pPr>
          </w:p>
        </w:tc>
        <w:tc>
          <w:tcPr>
            <w:tcW w:w="9577" w:type="dxa"/>
            <w:gridSpan w:val="3"/>
          </w:tcPr>
          <w:p w14:paraId="607E717C">
            <w:pPr>
              <w:keepNext w:val="0"/>
              <w:keepLines w:val="0"/>
              <w:suppressLineNumbers w:val="0"/>
              <w:spacing w:before="0" w:beforeAutospacing="0" w:after="0" w:afterAutospacing="0" w:line="480" w:lineRule="exact"/>
              <w:ind w:left="210" w:leftChars="100" w:right="0"/>
              <w:rPr>
                <w:rFonts w:hint="eastAsia" w:ascii="仿宋" w:hAnsi="仿宋" w:eastAsia="仿宋" w:cs="仿宋"/>
                <w:color w:val="auto"/>
                <w:sz w:val="28"/>
                <w:szCs w:val="28"/>
              </w:rPr>
            </w:pPr>
            <w:r>
              <w:rPr>
                <w:rFonts w:hint="eastAsia" w:ascii="仿宋" w:hAnsi="仿宋" w:eastAsia="仿宋" w:cs="仿宋"/>
                <w:color w:val="auto"/>
                <w:sz w:val="28"/>
                <w:szCs w:val="28"/>
              </w:rPr>
              <w:t>总计（大写） ：</w:t>
            </w:r>
          </w:p>
        </w:tc>
      </w:tr>
    </w:tbl>
    <w:p w14:paraId="76B211F2">
      <w:pPr>
        <w:spacing w:line="300" w:lineRule="exact"/>
        <w:ind w:right="-99" w:rightChars="-47" w:firstLine="360" w:firstLineChars="150"/>
        <w:rPr>
          <w:rFonts w:hint="eastAsia" w:ascii="仿宋" w:hAnsi="仿宋" w:eastAsia="仿宋" w:cs="仿宋"/>
          <w:color w:val="auto"/>
          <w:sz w:val="24"/>
        </w:rPr>
      </w:pPr>
    </w:p>
    <w:p w14:paraId="00601DC6">
      <w:pPr>
        <w:spacing w:line="400" w:lineRule="exact"/>
        <w:ind w:right="-99" w:rightChars="-47"/>
        <w:rPr>
          <w:rFonts w:hint="eastAsia" w:ascii="仿宋" w:hAnsi="仿宋" w:eastAsia="仿宋" w:cs="仿宋"/>
          <w:color w:val="auto"/>
          <w:sz w:val="21"/>
          <w:szCs w:val="21"/>
        </w:rPr>
      </w:pPr>
      <w:r>
        <w:rPr>
          <w:rFonts w:hint="eastAsia" w:ascii="仿宋" w:hAnsi="仿宋" w:eastAsia="仿宋" w:cs="仿宋"/>
          <w:color w:val="auto"/>
          <w:sz w:val="24"/>
        </w:rPr>
        <w:t xml:space="preserve">  </w:t>
      </w:r>
      <w:r>
        <w:rPr>
          <w:rFonts w:hint="eastAsia" w:ascii="仿宋" w:hAnsi="仿宋" w:eastAsia="仿宋" w:cs="仿宋"/>
          <w:color w:val="auto"/>
          <w:sz w:val="21"/>
          <w:szCs w:val="21"/>
        </w:rPr>
        <w:t xml:space="preserve"> 注：1、本表价格应按磋商总价填写，同时应保证磋商响应文件的正、副本中仍有此表且一致。</w:t>
      </w:r>
    </w:p>
    <w:p w14:paraId="7D4AD266">
      <w:pPr>
        <w:spacing w:line="400" w:lineRule="exact"/>
        <w:ind w:right="-99" w:rightChars="-47"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 xml:space="preserve">    2、此表中任何信息与响应文件其他处不一致时以此表为准。</w:t>
      </w:r>
    </w:p>
    <w:p w14:paraId="1760CD6D">
      <w:pPr>
        <w:spacing w:line="400" w:lineRule="exact"/>
        <w:ind w:right="-99" w:rightChars="-47" w:firstLine="630" w:firstLineChars="300"/>
        <w:rPr>
          <w:rFonts w:hint="eastAsia" w:ascii="仿宋" w:hAnsi="仿宋" w:eastAsia="仿宋" w:cs="仿宋"/>
          <w:color w:val="auto"/>
          <w:sz w:val="24"/>
        </w:rPr>
      </w:pPr>
      <w:r>
        <w:rPr>
          <w:rFonts w:hint="eastAsia" w:ascii="仿宋" w:hAnsi="仿宋" w:eastAsia="仿宋" w:cs="仿宋"/>
          <w:color w:val="auto"/>
          <w:sz w:val="21"/>
          <w:szCs w:val="21"/>
        </w:rPr>
        <w:t xml:space="preserve"> 3、报价精确到小数点后两位</w:t>
      </w:r>
      <w:r>
        <w:rPr>
          <w:rFonts w:hint="eastAsia" w:ascii="仿宋" w:hAnsi="仿宋" w:eastAsia="仿宋" w:cs="仿宋"/>
          <w:color w:val="auto"/>
          <w:sz w:val="24"/>
        </w:rPr>
        <w:t>。</w:t>
      </w:r>
    </w:p>
    <w:p w14:paraId="398E38CE">
      <w:pPr>
        <w:spacing w:line="480" w:lineRule="exact"/>
        <w:ind w:right="-99" w:rightChars="-47"/>
        <w:rPr>
          <w:rFonts w:hint="eastAsia" w:ascii="仿宋" w:hAnsi="仿宋" w:eastAsia="仿宋" w:cs="仿宋"/>
          <w:color w:val="auto"/>
        </w:rPr>
      </w:pPr>
    </w:p>
    <w:p w14:paraId="7E2179F3">
      <w:pPr>
        <w:spacing w:line="300" w:lineRule="exact"/>
        <w:ind w:right="-99" w:rightChars="-47" w:firstLine="315" w:firstLineChars="150"/>
        <w:rPr>
          <w:rFonts w:hint="eastAsia" w:ascii="仿宋" w:hAnsi="仿宋" w:eastAsia="仿宋" w:cs="仿宋"/>
          <w:color w:val="auto"/>
          <w:u w:val="single"/>
        </w:rPr>
        <w:sectPr>
          <w:headerReference r:id="rId6" w:type="default"/>
          <w:footerReference r:id="rId7" w:type="default"/>
          <w:pgSz w:w="16840" w:h="11907" w:orient="landscape"/>
          <w:pgMar w:top="1803" w:right="1440" w:bottom="1803" w:left="1440" w:header="851" w:footer="1021" w:gutter="0"/>
          <w:pgNumType w:fmt="decimal"/>
          <w:cols w:space="720" w:num="1"/>
          <w:docGrid w:linePitch="312" w:charSpace="0"/>
        </w:sectPr>
      </w:pPr>
      <w:r>
        <w:rPr>
          <w:rFonts w:hint="eastAsia" w:ascii="仿宋" w:hAnsi="仿宋" w:eastAsia="仿宋" w:cs="仿宋"/>
          <w:color w:val="auto"/>
        </w:rPr>
        <w:t>供应商授权代表签字：</w:t>
      </w:r>
      <w:r>
        <w:rPr>
          <w:rFonts w:hint="eastAsia" w:ascii="仿宋" w:hAnsi="仿宋" w:eastAsia="仿宋" w:cs="仿宋"/>
          <w:color w:val="auto"/>
          <w:u w:val="single"/>
        </w:rPr>
        <w:t xml:space="preserve">                  </w:t>
      </w:r>
      <w:r>
        <w:rPr>
          <w:rFonts w:hint="eastAsia" w:ascii="仿宋" w:hAnsi="仿宋" w:eastAsia="仿宋" w:cs="仿宋"/>
          <w:color w:val="auto"/>
        </w:rPr>
        <w:t>（供应商单位公章）                                        日 期：</w:t>
      </w:r>
      <w:r>
        <w:rPr>
          <w:rFonts w:hint="eastAsia" w:ascii="仿宋" w:hAnsi="仿宋" w:eastAsia="仿宋" w:cs="仿宋"/>
          <w:color w:val="auto"/>
          <w:u w:val="single"/>
        </w:rPr>
        <w:t xml:space="preserve">              </w:t>
      </w:r>
    </w:p>
    <w:p w14:paraId="24023EBA">
      <w:pPr>
        <w:pStyle w:val="3"/>
        <w:spacing w:line="240" w:lineRule="auto"/>
        <w:jc w:val="center"/>
        <w:rPr>
          <w:rFonts w:hint="eastAsia" w:ascii="仿宋" w:hAnsi="仿宋" w:eastAsia="仿宋" w:cs="仿宋"/>
          <w:color w:val="auto"/>
          <w:sz w:val="28"/>
          <w:szCs w:val="28"/>
          <w:lang w:val="en-US" w:eastAsia="zh-CN"/>
        </w:rPr>
        <w:sectPr>
          <w:headerReference r:id="rId8" w:type="default"/>
          <w:footerReference r:id="rId9" w:type="default"/>
          <w:pgSz w:w="11907" w:h="16840"/>
          <w:pgMar w:top="1440" w:right="1803" w:bottom="1440" w:left="1803" w:header="851" w:footer="992" w:gutter="0"/>
          <w:pgNumType w:fmt="decimal"/>
          <w:cols w:space="720" w:num="1"/>
          <w:docGrid w:linePitch="312" w:charSpace="0"/>
        </w:sectPr>
      </w:pPr>
      <w:bookmarkStart w:id="239" w:name="_Toc47262069"/>
      <w:bookmarkStart w:id="240" w:name="_Toc47261885"/>
      <w:bookmarkStart w:id="241" w:name="_Toc49019497"/>
      <w:bookmarkStart w:id="242" w:name="_Toc48995851"/>
      <w:bookmarkStart w:id="243" w:name="_Toc49019236"/>
      <w:bookmarkStart w:id="244" w:name="_Toc48791235"/>
      <w:bookmarkStart w:id="245" w:name="_Toc47418255"/>
      <w:bookmarkStart w:id="246" w:name="_Toc47418731"/>
      <w:bookmarkStart w:id="247" w:name="_Toc47418938"/>
      <w:bookmarkStart w:id="248" w:name="_Toc47261690"/>
      <w:bookmarkStart w:id="249" w:name="_Toc188808839"/>
      <w:bookmarkStart w:id="250" w:name="_Toc194663925"/>
      <w:bookmarkStart w:id="251" w:name="_Toc193126888"/>
      <w:bookmarkStart w:id="252" w:name="_Toc193187104"/>
      <w:r>
        <w:rPr>
          <w:rFonts w:hint="eastAsia" w:ascii="仿宋" w:hAnsi="仿宋" w:eastAsia="仿宋" w:cs="仿宋"/>
          <w:color w:val="auto"/>
          <w:sz w:val="28"/>
          <w:szCs w:val="28"/>
          <w:lang w:val="en-US" w:eastAsia="zh-CN"/>
        </w:rPr>
        <w:t>2-1工程量清单</w:t>
      </w:r>
    </w:p>
    <w:p w14:paraId="28D82939">
      <w:pPr>
        <w:pStyle w:val="3"/>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、法定代表人授权书</w:t>
      </w:r>
      <w:bookmarkEnd w:id="239"/>
      <w:bookmarkEnd w:id="240"/>
      <w:bookmarkEnd w:id="241"/>
      <w:bookmarkEnd w:id="242"/>
      <w:bookmarkEnd w:id="243"/>
      <w:bookmarkEnd w:id="244"/>
      <w:bookmarkEnd w:id="245"/>
      <w:bookmarkEnd w:id="246"/>
      <w:bookmarkEnd w:id="247"/>
      <w:bookmarkEnd w:id="248"/>
      <w:r>
        <w:rPr>
          <w:rFonts w:hint="eastAsia" w:ascii="仿宋" w:hAnsi="仿宋" w:eastAsia="仿宋" w:cs="仿宋"/>
          <w:color w:val="auto"/>
          <w:sz w:val="28"/>
          <w:szCs w:val="28"/>
        </w:rPr>
        <w:t>（格式）</w:t>
      </w:r>
      <w:bookmarkEnd w:id="249"/>
      <w:bookmarkEnd w:id="250"/>
      <w:bookmarkEnd w:id="251"/>
      <w:bookmarkEnd w:id="252"/>
    </w:p>
    <w:p w14:paraId="367B2098">
      <w:pPr>
        <w:pStyle w:val="4"/>
        <w:spacing w:line="240" w:lineRule="auto"/>
        <w:jc w:val="center"/>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-1、法定代表人证明书</w:t>
      </w:r>
    </w:p>
    <w:tbl>
      <w:tblPr>
        <w:tblStyle w:val="4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60"/>
        <w:gridCol w:w="1485"/>
        <w:gridCol w:w="1336"/>
        <w:gridCol w:w="2639"/>
      </w:tblGrid>
      <w:tr w14:paraId="2182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5"/>
          </w:tcPr>
          <w:p w14:paraId="6131F75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lang w:eastAsia="zh-CN"/>
              </w:rPr>
            </w:pPr>
            <w:r>
              <w:rPr>
                <w:rFonts w:hint="eastAsia" w:ascii="仿宋" w:hAnsi="仿宋" w:eastAsia="仿宋" w:cs="仿宋"/>
                <w:bCs/>
                <w:caps/>
                <w:color w:val="auto"/>
                <w:sz w:val="22"/>
                <w:szCs w:val="22"/>
              </w:rPr>
              <w:t>致：</w:t>
            </w:r>
            <w:r>
              <w:rPr>
                <w:rFonts w:hint="eastAsia" w:ascii="仿宋" w:hAnsi="仿宋" w:eastAsia="仿宋" w:cs="仿宋"/>
                <w:bCs/>
                <w:caps/>
                <w:color w:val="auto"/>
                <w:sz w:val="22"/>
                <w:szCs w:val="22"/>
                <w:lang w:eastAsia="zh-CN"/>
              </w:rPr>
              <w:t>陕西佳鸿项目管理咨询有限公司</w:t>
            </w:r>
          </w:p>
        </w:tc>
      </w:tr>
      <w:tr w14:paraId="4A4E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Pr>
          <w:p w14:paraId="09CC2D7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color w:val="auto"/>
                <w:sz w:val="22"/>
                <w:szCs w:val="22"/>
              </w:rPr>
            </w:pPr>
          </w:p>
          <w:p w14:paraId="3A63B08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color w:val="auto"/>
                <w:sz w:val="22"/>
                <w:szCs w:val="22"/>
              </w:rPr>
            </w:pPr>
          </w:p>
          <w:p w14:paraId="646F2EF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企</w:t>
            </w:r>
          </w:p>
          <w:p w14:paraId="43D24F4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业</w:t>
            </w:r>
          </w:p>
          <w:p w14:paraId="4ECDCF4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法</w:t>
            </w:r>
          </w:p>
          <w:p w14:paraId="180C829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人</w:t>
            </w:r>
          </w:p>
        </w:tc>
        <w:tc>
          <w:tcPr>
            <w:tcW w:w="2460" w:type="dxa"/>
          </w:tcPr>
          <w:p w14:paraId="3EAD43F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企 业 名 称</w:t>
            </w:r>
          </w:p>
        </w:tc>
        <w:tc>
          <w:tcPr>
            <w:tcW w:w="5460" w:type="dxa"/>
            <w:gridSpan w:val="3"/>
          </w:tcPr>
          <w:p w14:paraId="76EBCCE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324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5342B25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2460" w:type="dxa"/>
          </w:tcPr>
          <w:p w14:paraId="3D9F31F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法 定 地 址</w:t>
            </w:r>
          </w:p>
        </w:tc>
        <w:tc>
          <w:tcPr>
            <w:tcW w:w="5460" w:type="dxa"/>
            <w:gridSpan w:val="3"/>
          </w:tcPr>
          <w:p w14:paraId="4B3D97D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010B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0D5D7A8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2460" w:type="dxa"/>
          </w:tcPr>
          <w:p w14:paraId="5C17E2E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邮 政 编 码</w:t>
            </w:r>
          </w:p>
        </w:tc>
        <w:tc>
          <w:tcPr>
            <w:tcW w:w="5460" w:type="dxa"/>
            <w:gridSpan w:val="3"/>
          </w:tcPr>
          <w:p w14:paraId="2840EE3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028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7804ADD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2460" w:type="dxa"/>
          </w:tcPr>
          <w:p w14:paraId="5EFE731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网       址</w:t>
            </w:r>
          </w:p>
        </w:tc>
        <w:tc>
          <w:tcPr>
            <w:tcW w:w="5460" w:type="dxa"/>
            <w:gridSpan w:val="3"/>
          </w:tcPr>
          <w:p w14:paraId="7ADB900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511B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2FFAF99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2460" w:type="dxa"/>
          </w:tcPr>
          <w:p w14:paraId="2CCDE0C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工商登记机关</w:t>
            </w:r>
          </w:p>
        </w:tc>
        <w:tc>
          <w:tcPr>
            <w:tcW w:w="5460" w:type="dxa"/>
            <w:gridSpan w:val="3"/>
          </w:tcPr>
          <w:p w14:paraId="6DBCF7E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0" w:firstLineChars="1000"/>
              <w:jc w:val="left"/>
              <w:rPr>
                <w:rFonts w:hint="eastAsia" w:ascii="仿宋" w:hAnsi="仿宋" w:eastAsia="仿宋" w:cs="仿宋"/>
                <w:bCs/>
                <w:caps/>
                <w:color w:val="auto"/>
                <w:sz w:val="22"/>
                <w:szCs w:val="22"/>
              </w:rPr>
            </w:pPr>
          </w:p>
        </w:tc>
      </w:tr>
      <w:tr w14:paraId="635D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80" w:type="dxa"/>
            <w:vMerge w:val="continue"/>
          </w:tcPr>
          <w:p w14:paraId="0626A3A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2460" w:type="dxa"/>
            <w:vAlign w:val="center"/>
          </w:tcPr>
          <w:p w14:paraId="5E7EE95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税务登记机关</w:t>
            </w:r>
          </w:p>
        </w:tc>
        <w:tc>
          <w:tcPr>
            <w:tcW w:w="5460" w:type="dxa"/>
            <w:gridSpan w:val="3"/>
          </w:tcPr>
          <w:p w14:paraId="785B8E3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08F0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080" w:type="dxa"/>
            <w:vMerge w:val="continue"/>
          </w:tcPr>
          <w:p w14:paraId="7F86418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2460" w:type="dxa"/>
          </w:tcPr>
          <w:p w14:paraId="151E9CC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机构代码证号</w:t>
            </w:r>
          </w:p>
          <w:p w14:paraId="15F41AE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（或统一社会信用代码证号）</w:t>
            </w:r>
          </w:p>
        </w:tc>
        <w:tc>
          <w:tcPr>
            <w:tcW w:w="5460" w:type="dxa"/>
            <w:gridSpan w:val="3"/>
          </w:tcPr>
          <w:p w14:paraId="10AC313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660A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14:paraId="2B5E481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法 定</w:t>
            </w:r>
          </w:p>
          <w:p w14:paraId="206B578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代 表</w:t>
            </w:r>
          </w:p>
          <w:p w14:paraId="785E331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人</w:t>
            </w:r>
          </w:p>
        </w:tc>
        <w:tc>
          <w:tcPr>
            <w:tcW w:w="2460" w:type="dxa"/>
          </w:tcPr>
          <w:p w14:paraId="2E917B3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姓    名</w:t>
            </w:r>
          </w:p>
        </w:tc>
        <w:tc>
          <w:tcPr>
            <w:tcW w:w="1485" w:type="dxa"/>
          </w:tcPr>
          <w:p w14:paraId="6A1606E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336" w:type="dxa"/>
          </w:tcPr>
          <w:p w14:paraId="30191AE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性    别</w:t>
            </w:r>
          </w:p>
        </w:tc>
        <w:tc>
          <w:tcPr>
            <w:tcW w:w="2639" w:type="dxa"/>
          </w:tcPr>
          <w:p w14:paraId="2E80BA7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514B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Pr>
          <w:p w14:paraId="5912529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2460" w:type="dxa"/>
          </w:tcPr>
          <w:p w14:paraId="190496F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职    务</w:t>
            </w:r>
          </w:p>
        </w:tc>
        <w:tc>
          <w:tcPr>
            <w:tcW w:w="1485" w:type="dxa"/>
          </w:tcPr>
          <w:p w14:paraId="5D403FA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336" w:type="dxa"/>
          </w:tcPr>
          <w:p w14:paraId="190D0D5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联系电话</w:t>
            </w:r>
          </w:p>
        </w:tc>
        <w:tc>
          <w:tcPr>
            <w:tcW w:w="2639" w:type="dxa"/>
          </w:tcPr>
          <w:p w14:paraId="534CB79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2445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tcPr>
          <w:p w14:paraId="6B4E802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2460" w:type="dxa"/>
          </w:tcPr>
          <w:p w14:paraId="0FE7D4A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20" w:firstLineChars="100"/>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传    真</w:t>
            </w:r>
          </w:p>
        </w:tc>
        <w:tc>
          <w:tcPr>
            <w:tcW w:w="5460" w:type="dxa"/>
            <w:gridSpan w:val="3"/>
          </w:tcPr>
          <w:p w14:paraId="75C76BB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2749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080" w:type="dxa"/>
            <w:vMerge w:val="restart"/>
          </w:tcPr>
          <w:p w14:paraId="5678D58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p w14:paraId="4A4EE64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p w14:paraId="6E46FCB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p w14:paraId="406DA66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法定代表人（负责人）身份证</w:t>
            </w:r>
          </w:p>
        </w:tc>
        <w:tc>
          <w:tcPr>
            <w:tcW w:w="3945" w:type="dxa"/>
            <w:gridSpan w:val="2"/>
            <w:vMerge w:val="restart"/>
            <w:vAlign w:val="center"/>
          </w:tcPr>
          <w:p w14:paraId="0196EA7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color w:val="auto"/>
                <w:sz w:val="22"/>
                <w:szCs w:val="22"/>
              </w:rPr>
            </w:pPr>
          </w:p>
          <w:p w14:paraId="6980F79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lang w:eastAsia="zh-CN"/>
              </w:rPr>
            </w:pPr>
            <w:r>
              <w:rPr>
                <w:rFonts w:hint="eastAsia" w:ascii="仿宋" w:hAnsi="仿宋" w:eastAsia="仿宋" w:cs="仿宋"/>
                <w:bCs/>
                <w:caps/>
                <w:color w:val="auto"/>
                <w:sz w:val="22"/>
                <w:szCs w:val="22"/>
                <w:lang w:eastAsia="zh-CN"/>
              </w:rPr>
              <w:t>（复印或粘贴）</w:t>
            </w:r>
          </w:p>
          <w:p w14:paraId="5728EC9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p>
          <w:p w14:paraId="468A897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p>
          <w:p w14:paraId="74E6CC6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p>
        </w:tc>
        <w:tc>
          <w:tcPr>
            <w:tcW w:w="3975" w:type="dxa"/>
            <w:gridSpan w:val="2"/>
          </w:tcPr>
          <w:p w14:paraId="498F28F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（法定代表人签字）</w:t>
            </w:r>
          </w:p>
        </w:tc>
      </w:tr>
      <w:tr w14:paraId="39DC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080" w:type="dxa"/>
            <w:vMerge w:val="continue"/>
          </w:tcPr>
          <w:p w14:paraId="2BB6122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3945" w:type="dxa"/>
            <w:gridSpan w:val="2"/>
            <w:vMerge w:val="continue"/>
          </w:tcPr>
          <w:p w14:paraId="2774542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p>
        </w:tc>
        <w:tc>
          <w:tcPr>
            <w:tcW w:w="3975" w:type="dxa"/>
            <w:gridSpan w:val="2"/>
          </w:tcPr>
          <w:p w14:paraId="0F519BE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p w14:paraId="63FB795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p w14:paraId="241D60F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p w14:paraId="34F3BE4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110" w:firstLineChars="50"/>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（公章）</w:t>
            </w:r>
          </w:p>
          <w:p w14:paraId="2179357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 xml:space="preserve">   </w:t>
            </w:r>
          </w:p>
          <w:p w14:paraId="059FAC8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1320" w:firstLineChars="600"/>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年  月  日</w:t>
            </w:r>
          </w:p>
        </w:tc>
      </w:tr>
    </w:tbl>
    <w:p w14:paraId="35D04C12">
      <w:pPr>
        <w:spacing w:line="480" w:lineRule="exact"/>
        <w:ind w:right="-99" w:rightChars="-47"/>
        <w:outlineLvl w:val="1"/>
        <w:rPr>
          <w:rFonts w:hint="eastAsia" w:ascii="仿宋" w:hAnsi="仿宋" w:eastAsia="仿宋" w:cs="仿宋"/>
          <w:b/>
          <w:bCs/>
          <w:color w:val="auto"/>
          <w:sz w:val="28"/>
          <w:szCs w:val="28"/>
        </w:rPr>
        <w:sectPr>
          <w:pgSz w:w="11907" w:h="16840"/>
          <w:pgMar w:top="1440" w:right="1803" w:bottom="1440" w:left="1803" w:header="851" w:footer="992" w:gutter="0"/>
          <w:pgNumType w:fmt="decimal"/>
          <w:cols w:space="720" w:num="1"/>
          <w:docGrid w:linePitch="312" w:charSpace="0"/>
        </w:sectPr>
      </w:pPr>
    </w:p>
    <w:p w14:paraId="54579B73">
      <w:pPr>
        <w:pStyle w:val="4"/>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-2、法定代表人授权书</w:t>
      </w:r>
    </w:p>
    <w:tbl>
      <w:tblPr>
        <w:tblStyle w:val="4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40"/>
        <w:gridCol w:w="2709"/>
        <w:gridCol w:w="651"/>
        <w:gridCol w:w="1440"/>
        <w:gridCol w:w="2400"/>
      </w:tblGrid>
      <w:tr w14:paraId="65EC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8" w:type="dxa"/>
            <w:gridSpan w:val="6"/>
          </w:tcPr>
          <w:p w14:paraId="498C86D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lang w:eastAsia="zh-CN"/>
              </w:rPr>
            </w:pPr>
            <w:r>
              <w:rPr>
                <w:rFonts w:hint="eastAsia" w:ascii="仿宋" w:hAnsi="仿宋" w:eastAsia="仿宋" w:cs="仿宋"/>
                <w:bCs/>
                <w:caps/>
                <w:color w:val="auto"/>
                <w:sz w:val="22"/>
                <w:szCs w:val="22"/>
              </w:rPr>
              <w:t>致：</w:t>
            </w:r>
            <w:r>
              <w:rPr>
                <w:rFonts w:hint="eastAsia" w:ascii="仿宋" w:hAnsi="仿宋" w:eastAsia="仿宋" w:cs="仿宋"/>
                <w:bCs/>
                <w:caps/>
                <w:color w:val="auto"/>
                <w:sz w:val="22"/>
                <w:szCs w:val="22"/>
                <w:lang w:eastAsia="zh-CN"/>
              </w:rPr>
              <w:t>陕西佳鸿项目管理咨询有限公司</w:t>
            </w:r>
          </w:p>
        </w:tc>
      </w:tr>
      <w:tr w14:paraId="7844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28" w:type="dxa"/>
            <w:vMerge w:val="restart"/>
            <w:vAlign w:val="center"/>
          </w:tcPr>
          <w:p w14:paraId="0EA69B9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被</w:t>
            </w:r>
          </w:p>
          <w:p w14:paraId="2B7E873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授</w:t>
            </w:r>
          </w:p>
          <w:p w14:paraId="4982D6E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权</w:t>
            </w:r>
          </w:p>
          <w:p w14:paraId="371EEBF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人</w:t>
            </w:r>
          </w:p>
        </w:tc>
        <w:tc>
          <w:tcPr>
            <w:tcW w:w="1440" w:type="dxa"/>
          </w:tcPr>
          <w:p w14:paraId="65A2B8CA">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姓    名</w:t>
            </w:r>
          </w:p>
        </w:tc>
        <w:tc>
          <w:tcPr>
            <w:tcW w:w="3360" w:type="dxa"/>
            <w:gridSpan w:val="2"/>
          </w:tcPr>
          <w:p w14:paraId="546DA91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440" w:type="dxa"/>
          </w:tcPr>
          <w:p w14:paraId="062563B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性    别</w:t>
            </w:r>
          </w:p>
        </w:tc>
        <w:tc>
          <w:tcPr>
            <w:tcW w:w="2400" w:type="dxa"/>
          </w:tcPr>
          <w:p w14:paraId="1C09E85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423F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28" w:type="dxa"/>
            <w:vMerge w:val="continue"/>
          </w:tcPr>
          <w:p w14:paraId="47A20BC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440" w:type="dxa"/>
          </w:tcPr>
          <w:p w14:paraId="16423DA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职    务</w:t>
            </w:r>
          </w:p>
        </w:tc>
        <w:tc>
          <w:tcPr>
            <w:tcW w:w="3360" w:type="dxa"/>
            <w:gridSpan w:val="2"/>
          </w:tcPr>
          <w:p w14:paraId="54EA703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440" w:type="dxa"/>
          </w:tcPr>
          <w:p w14:paraId="3C28DCE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手机号码</w:t>
            </w:r>
          </w:p>
        </w:tc>
        <w:tc>
          <w:tcPr>
            <w:tcW w:w="2400" w:type="dxa"/>
          </w:tcPr>
          <w:p w14:paraId="0018760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226D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22C0194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440" w:type="dxa"/>
          </w:tcPr>
          <w:p w14:paraId="0EF8CD4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联系电话</w:t>
            </w:r>
          </w:p>
        </w:tc>
        <w:tc>
          <w:tcPr>
            <w:tcW w:w="3360" w:type="dxa"/>
            <w:gridSpan w:val="2"/>
          </w:tcPr>
          <w:p w14:paraId="7EE7DD1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440" w:type="dxa"/>
          </w:tcPr>
          <w:p w14:paraId="623056D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图文传真</w:t>
            </w:r>
          </w:p>
        </w:tc>
        <w:tc>
          <w:tcPr>
            <w:tcW w:w="2400" w:type="dxa"/>
          </w:tcPr>
          <w:p w14:paraId="2C5AFDF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0A52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6A6F7BD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440" w:type="dxa"/>
          </w:tcPr>
          <w:p w14:paraId="0C3EFE7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通讯地址</w:t>
            </w:r>
          </w:p>
        </w:tc>
        <w:tc>
          <w:tcPr>
            <w:tcW w:w="7200" w:type="dxa"/>
            <w:gridSpan w:val="4"/>
          </w:tcPr>
          <w:p w14:paraId="62A316A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62B9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7127A59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440" w:type="dxa"/>
          </w:tcPr>
          <w:p w14:paraId="49E6F59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网    址</w:t>
            </w:r>
          </w:p>
        </w:tc>
        <w:tc>
          <w:tcPr>
            <w:tcW w:w="7200" w:type="dxa"/>
            <w:gridSpan w:val="4"/>
          </w:tcPr>
          <w:p w14:paraId="53CB0FD5">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2025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restart"/>
          </w:tcPr>
          <w:p w14:paraId="62B5C0B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被</w:t>
            </w:r>
          </w:p>
          <w:p w14:paraId="35D76DE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授</w:t>
            </w:r>
          </w:p>
          <w:p w14:paraId="3CE3FC54">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权</w:t>
            </w:r>
          </w:p>
          <w:p w14:paraId="40CF816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项</w:t>
            </w:r>
          </w:p>
          <w:p w14:paraId="71CD5CD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目</w:t>
            </w:r>
          </w:p>
          <w:p w14:paraId="6B6CF5F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与</w:t>
            </w:r>
          </w:p>
          <w:p w14:paraId="2C0656D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内</w:t>
            </w:r>
          </w:p>
          <w:p w14:paraId="7C0838D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容</w:t>
            </w:r>
          </w:p>
        </w:tc>
        <w:tc>
          <w:tcPr>
            <w:tcW w:w="1440" w:type="dxa"/>
          </w:tcPr>
          <w:p w14:paraId="3507C63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项目名称</w:t>
            </w:r>
          </w:p>
        </w:tc>
        <w:tc>
          <w:tcPr>
            <w:tcW w:w="7200" w:type="dxa"/>
            <w:gridSpan w:val="4"/>
          </w:tcPr>
          <w:p w14:paraId="63C49E9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r>
      <w:tr w14:paraId="7D5F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7EFB86A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440" w:type="dxa"/>
          </w:tcPr>
          <w:p w14:paraId="6A49CC2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文件编号</w:t>
            </w:r>
          </w:p>
        </w:tc>
        <w:tc>
          <w:tcPr>
            <w:tcW w:w="7200" w:type="dxa"/>
            <w:gridSpan w:val="4"/>
          </w:tcPr>
          <w:p w14:paraId="46527456">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ZCBN-汉台区-2025-00145</w:t>
            </w:r>
          </w:p>
        </w:tc>
      </w:tr>
      <w:tr w14:paraId="471A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37F1056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440" w:type="dxa"/>
            <w:vAlign w:val="center"/>
          </w:tcPr>
          <w:p w14:paraId="7D83462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授权范围</w:t>
            </w:r>
          </w:p>
        </w:tc>
        <w:tc>
          <w:tcPr>
            <w:tcW w:w="7200" w:type="dxa"/>
            <w:gridSpan w:val="4"/>
          </w:tcPr>
          <w:p w14:paraId="74455533">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全权办理本次采购项目的磋商、现场澄清、联系、洽谈、签约、执行等具体事务，签署全部有关文件、文书、协议及合同。</w:t>
            </w:r>
          </w:p>
        </w:tc>
      </w:tr>
      <w:tr w14:paraId="0739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8" w:type="dxa"/>
            <w:vMerge w:val="continue"/>
          </w:tcPr>
          <w:p w14:paraId="2EA7419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440" w:type="dxa"/>
          </w:tcPr>
          <w:p w14:paraId="070783B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法律责任</w:t>
            </w:r>
          </w:p>
        </w:tc>
        <w:tc>
          <w:tcPr>
            <w:tcW w:w="7200" w:type="dxa"/>
            <w:gridSpan w:val="4"/>
          </w:tcPr>
          <w:p w14:paraId="5A4195E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本公司对被授权人在本项目中的签名承担全部法律责任。</w:t>
            </w:r>
          </w:p>
        </w:tc>
      </w:tr>
      <w:tr w14:paraId="5542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Merge w:val="continue"/>
          </w:tcPr>
          <w:p w14:paraId="7F26E6A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tc>
        <w:tc>
          <w:tcPr>
            <w:tcW w:w="1440" w:type="dxa"/>
            <w:vAlign w:val="center"/>
          </w:tcPr>
          <w:p w14:paraId="253452B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授权期限</w:t>
            </w:r>
          </w:p>
        </w:tc>
        <w:tc>
          <w:tcPr>
            <w:tcW w:w="7200" w:type="dxa"/>
            <w:gridSpan w:val="4"/>
            <w:vAlign w:val="center"/>
          </w:tcPr>
          <w:p w14:paraId="4DB5F50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color w:val="auto"/>
                <w:sz w:val="22"/>
                <w:szCs w:val="22"/>
                <w:lang w:eastAsia="zh-CN"/>
              </w:rPr>
            </w:pPr>
            <w:r>
              <w:rPr>
                <w:rFonts w:hint="eastAsia" w:ascii="仿宋" w:hAnsi="仿宋" w:eastAsia="仿宋" w:cs="仿宋"/>
                <w:bCs/>
                <w:caps/>
                <w:color w:val="auto"/>
                <w:sz w:val="22"/>
                <w:szCs w:val="22"/>
              </w:rPr>
              <w:t>本授权书自磋商大会之日计算有效期为</w:t>
            </w:r>
            <w:r>
              <w:rPr>
                <w:rFonts w:hint="eastAsia" w:ascii="仿宋" w:hAnsi="仿宋" w:eastAsia="仿宋" w:cs="仿宋"/>
                <w:bCs/>
                <w:caps/>
                <w:color w:val="auto"/>
                <w:sz w:val="22"/>
                <w:szCs w:val="22"/>
                <w:u w:val="single"/>
              </w:rPr>
              <w:t xml:space="preserve"> </w:t>
            </w:r>
            <w:r>
              <w:rPr>
                <w:rFonts w:hint="eastAsia" w:ascii="仿宋" w:hAnsi="仿宋" w:eastAsia="仿宋" w:cs="仿宋"/>
                <w:bCs/>
                <w:caps/>
                <w:color w:val="auto"/>
                <w:sz w:val="22"/>
                <w:szCs w:val="22"/>
                <w:u w:val="single"/>
                <w:lang w:val="en-US" w:eastAsia="zh-CN"/>
              </w:rPr>
              <w:t xml:space="preserve">    </w:t>
            </w:r>
            <w:r>
              <w:rPr>
                <w:rFonts w:hint="eastAsia" w:ascii="仿宋" w:hAnsi="仿宋" w:eastAsia="仿宋" w:cs="仿宋"/>
                <w:bCs/>
                <w:caps/>
                <w:color w:val="auto"/>
                <w:sz w:val="22"/>
                <w:szCs w:val="22"/>
                <w:u w:val="single"/>
              </w:rPr>
              <w:t xml:space="preserve"> </w:t>
            </w:r>
            <w:r>
              <w:rPr>
                <w:rFonts w:hint="eastAsia" w:ascii="仿宋" w:hAnsi="仿宋" w:eastAsia="仿宋" w:cs="仿宋"/>
                <w:bCs/>
                <w:caps/>
                <w:color w:val="auto"/>
                <w:sz w:val="22"/>
                <w:szCs w:val="22"/>
              </w:rPr>
              <w:t>天</w:t>
            </w:r>
            <w:r>
              <w:rPr>
                <w:rFonts w:hint="eastAsia" w:ascii="仿宋" w:hAnsi="仿宋" w:eastAsia="仿宋" w:cs="仿宋"/>
                <w:bCs/>
                <w:caps/>
                <w:color w:val="auto"/>
                <w:sz w:val="22"/>
                <w:szCs w:val="22"/>
                <w:lang w:eastAsia="zh-CN"/>
              </w:rPr>
              <w:t>（需满足磋商有效期）</w:t>
            </w:r>
          </w:p>
        </w:tc>
      </w:tr>
      <w:tr w14:paraId="0FAB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77" w:type="dxa"/>
            <w:gridSpan w:val="3"/>
          </w:tcPr>
          <w:p w14:paraId="7402CA7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560"/>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被授权人身份证</w:t>
            </w:r>
          </w:p>
        </w:tc>
        <w:tc>
          <w:tcPr>
            <w:tcW w:w="4491" w:type="dxa"/>
            <w:gridSpan w:val="3"/>
          </w:tcPr>
          <w:p w14:paraId="6820F4DE">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440" w:firstLineChars="200"/>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法定代表人签署栏</w:t>
            </w:r>
          </w:p>
        </w:tc>
      </w:tr>
      <w:tr w14:paraId="4BAD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4677" w:type="dxa"/>
            <w:gridSpan w:val="3"/>
            <w:vMerge w:val="restart"/>
            <w:vAlign w:val="center"/>
          </w:tcPr>
          <w:p w14:paraId="7803C8B2">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lang w:eastAsia="zh-CN"/>
              </w:rPr>
            </w:pPr>
            <w:r>
              <w:rPr>
                <w:rFonts w:hint="eastAsia" w:ascii="仿宋" w:hAnsi="仿宋" w:eastAsia="仿宋" w:cs="仿宋"/>
                <w:bCs/>
                <w:caps/>
                <w:color w:val="auto"/>
                <w:sz w:val="22"/>
                <w:szCs w:val="22"/>
                <w:lang w:eastAsia="zh-CN"/>
              </w:rPr>
              <w:t>（复印或粘贴）</w:t>
            </w:r>
          </w:p>
          <w:p w14:paraId="6D88AD31">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rPr>
                <w:rFonts w:hint="eastAsia" w:ascii="仿宋" w:hAnsi="仿宋" w:eastAsia="仿宋" w:cs="仿宋"/>
                <w:bCs/>
                <w:caps/>
                <w:color w:val="auto"/>
                <w:sz w:val="22"/>
                <w:szCs w:val="22"/>
              </w:rPr>
            </w:pPr>
          </w:p>
          <w:p w14:paraId="66229A8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p>
          <w:p w14:paraId="2D0D0CB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p>
          <w:p w14:paraId="5E63A67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p>
          <w:p w14:paraId="089FC957">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p>
        </w:tc>
        <w:tc>
          <w:tcPr>
            <w:tcW w:w="4491" w:type="dxa"/>
            <w:gridSpan w:val="3"/>
          </w:tcPr>
          <w:p w14:paraId="6566E94B">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440" w:firstLineChars="200"/>
              <w:jc w:val="left"/>
              <w:rPr>
                <w:rFonts w:hint="eastAsia" w:ascii="仿宋" w:hAnsi="仿宋" w:eastAsia="仿宋" w:cs="仿宋"/>
                <w:bCs/>
                <w:caps/>
                <w:color w:val="auto"/>
                <w:sz w:val="22"/>
                <w:szCs w:val="22"/>
              </w:rPr>
            </w:pPr>
          </w:p>
          <w:p w14:paraId="1D095FD9">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440" w:firstLineChars="200"/>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（法定代表人签字或盖章）</w:t>
            </w:r>
          </w:p>
        </w:tc>
      </w:tr>
      <w:tr w14:paraId="7400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4677" w:type="dxa"/>
            <w:gridSpan w:val="3"/>
            <w:vMerge w:val="continue"/>
          </w:tcPr>
          <w:p w14:paraId="7872E29D">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center"/>
              <w:rPr>
                <w:rFonts w:hint="eastAsia" w:ascii="仿宋" w:hAnsi="仿宋" w:eastAsia="仿宋" w:cs="仿宋"/>
                <w:bCs/>
                <w:caps/>
                <w:color w:val="auto"/>
                <w:sz w:val="22"/>
                <w:szCs w:val="22"/>
              </w:rPr>
            </w:pPr>
          </w:p>
        </w:tc>
        <w:tc>
          <w:tcPr>
            <w:tcW w:w="4491" w:type="dxa"/>
            <w:gridSpan w:val="3"/>
          </w:tcPr>
          <w:p w14:paraId="77B69B0F">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jc w:val="left"/>
              <w:rPr>
                <w:rFonts w:hint="eastAsia" w:ascii="仿宋" w:hAnsi="仿宋" w:eastAsia="仿宋" w:cs="仿宋"/>
                <w:bCs/>
                <w:caps/>
                <w:color w:val="auto"/>
                <w:sz w:val="22"/>
                <w:szCs w:val="22"/>
              </w:rPr>
            </w:pPr>
          </w:p>
          <w:p w14:paraId="32EC2118">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440" w:firstLineChars="200"/>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（公章）</w:t>
            </w:r>
          </w:p>
          <w:p w14:paraId="7E65CC5C">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1870" w:firstLineChars="850"/>
              <w:jc w:val="left"/>
              <w:rPr>
                <w:rFonts w:hint="eastAsia" w:ascii="仿宋" w:hAnsi="仿宋" w:eastAsia="仿宋" w:cs="仿宋"/>
                <w:bCs/>
                <w:caps/>
                <w:color w:val="auto"/>
                <w:sz w:val="22"/>
                <w:szCs w:val="22"/>
              </w:rPr>
            </w:pPr>
          </w:p>
          <w:p w14:paraId="080E9C60">
            <w:pPr>
              <w:keepNext w:val="0"/>
              <w:keepLines w:val="0"/>
              <w:suppressLineNumbers w:val="0"/>
              <w:tabs>
                <w:tab w:val="right" w:leader="dot" w:pos="9022"/>
              </w:tabs>
              <w:autoSpaceDE w:val="0"/>
              <w:autoSpaceDN w:val="0"/>
              <w:adjustRightInd w:val="0"/>
              <w:spacing w:before="0" w:beforeAutospacing="0" w:after="0" w:afterAutospacing="0" w:line="480" w:lineRule="exact"/>
              <w:ind w:left="0" w:right="-99" w:rightChars="-47" w:firstLine="2090" w:firstLineChars="950"/>
              <w:jc w:val="left"/>
              <w:rPr>
                <w:rFonts w:hint="eastAsia" w:ascii="仿宋" w:hAnsi="仿宋" w:eastAsia="仿宋" w:cs="仿宋"/>
                <w:bCs/>
                <w:caps/>
                <w:color w:val="auto"/>
                <w:sz w:val="22"/>
                <w:szCs w:val="22"/>
              </w:rPr>
            </w:pPr>
            <w:r>
              <w:rPr>
                <w:rFonts w:hint="eastAsia" w:ascii="仿宋" w:hAnsi="仿宋" w:eastAsia="仿宋" w:cs="仿宋"/>
                <w:bCs/>
                <w:caps/>
                <w:color w:val="auto"/>
                <w:sz w:val="22"/>
                <w:szCs w:val="22"/>
              </w:rPr>
              <w:t xml:space="preserve"> 年  月  日</w:t>
            </w:r>
          </w:p>
        </w:tc>
      </w:tr>
    </w:tbl>
    <w:p w14:paraId="1192F2F4">
      <w:pPr>
        <w:rPr>
          <w:rFonts w:hint="eastAsia" w:ascii="仿宋" w:hAnsi="仿宋" w:eastAsia="仿宋" w:cs="仿宋"/>
          <w:color w:val="auto"/>
          <w:sz w:val="22"/>
          <w:szCs w:val="22"/>
          <w:lang w:eastAsia="zh-CN"/>
        </w:rPr>
      </w:pPr>
    </w:p>
    <w:p w14:paraId="4C13E74E">
      <w:pPr>
        <w:rPr>
          <w:rFonts w:hint="eastAsia" w:ascii="仿宋" w:hAnsi="仿宋" w:eastAsia="仿宋" w:cs="仿宋"/>
          <w:color w:val="auto"/>
          <w:sz w:val="28"/>
          <w:szCs w:val="28"/>
        </w:rPr>
      </w:pPr>
      <w:r>
        <w:rPr>
          <w:rFonts w:hint="eastAsia" w:ascii="仿宋" w:hAnsi="仿宋" w:eastAsia="仿宋" w:cs="仿宋"/>
          <w:b/>
          <w:bCs/>
          <w:color w:val="auto"/>
          <w:sz w:val="22"/>
          <w:szCs w:val="22"/>
          <w:lang w:eastAsia="zh-CN"/>
        </w:rPr>
        <w:t>注：法定代表人直接参与项目开标活动，无需提供此授权书</w:t>
      </w:r>
      <w:r>
        <w:rPr>
          <w:rFonts w:hint="eastAsia" w:ascii="仿宋" w:hAnsi="仿宋" w:eastAsia="仿宋" w:cs="仿宋"/>
          <w:color w:val="auto"/>
          <w:sz w:val="28"/>
          <w:szCs w:val="28"/>
        </w:rPr>
        <w:br w:type="page"/>
      </w:r>
    </w:p>
    <w:p w14:paraId="48BF2D29">
      <w:pPr>
        <w:pStyle w:val="3"/>
        <w:numPr>
          <w:ilvl w:val="0"/>
          <w:numId w:val="0"/>
        </w:num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资格证明文件</w:t>
      </w:r>
      <w:bookmarkStart w:id="253" w:name="_Toc193126904"/>
      <w:bookmarkStart w:id="254" w:name="_Toc193187110"/>
      <w:bookmarkStart w:id="255" w:name="_Toc188808854"/>
      <w:bookmarkStart w:id="256" w:name="_Toc194663941"/>
    </w:p>
    <w:p w14:paraId="50DDA808">
      <w:pPr>
        <w:rPr>
          <w:rFonts w:hint="eastAsia" w:ascii="仿宋" w:hAnsi="仿宋" w:eastAsia="仿宋" w:cs="仿宋"/>
          <w:color w:val="auto"/>
        </w:rPr>
      </w:pPr>
    </w:p>
    <w:p w14:paraId="40983771">
      <w:pPr>
        <w:rPr>
          <w:rFonts w:hint="eastAsia" w:ascii="仿宋" w:hAnsi="仿宋" w:eastAsia="仿宋" w:cs="仿宋"/>
          <w:color w:val="auto"/>
        </w:rPr>
      </w:pPr>
    </w:p>
    <w:p w14:paraId="77CB6BF9">
      <w:pPr>
        <w:rPr>
          <w:rFonts w:hint="eastAsia" w:ascii="仿宋" w:hAnsi="仿宋" w:eastAsia="仿宋" w:cs="仿宋"/>
          <w:color w:val="auto"/>
        </w:rPr>
      </w:pPr>
    </w:p>
    <w:p w14:paraId="6E5CC420">
      <w:pPr>
        <w:rPr>
          <w:rFonts w:hint="eastAsia" w:ascii="仿宋" w:hAnsi="仿宋" w:eastAsia="仿宋" w:cs="仿宋"/>
          <w:color w:val="auto"/>
        </w:rPr>
      </w:pPr>
    </w:p>
    <w:p w14:paraId="04EE19C7">
      <w:pPr>
        <w:rPr>
          <w:rFonts w:hint="eastAsia" w:ascii="仿宋" w:hAnsi="仿宋" w:eastAsia="仿宋" w:cs="仿宋"/>
          <w:color w:val="auto"/>
        </w:rPr>
      </w:pPr>
    </w:p>
    <w:p w14:paraId="59AFDACB">
      <w:pPr>
        <w:rPr>
          <w:rFonts w:hint="eastAsia" w:ascii="仿宋" w:hAnsi="仿宋" w:eastAsia="仿宋" w:cs="仿宋"/>
          <w:color w:val="auto"/>
        </w:rPr>
      </w:pPr>
    </w:p>
    <w:p w14:paraId="533ED9CF">
      <w:pPr>
        <w:rPr>
          <w:rFonts w:hint="eastAsia" w:ascii="仿宋" w:hAnsi="仿宋" w:eastAsia="仿宋" w:cs="仿宋"/>
          <w:color w:val="auto"/>
        </w:rPr>
      </w:pPr>
    </w:p>
    <w:p w14:paraId="397965E4">
      <w:pPr>
        <w:rPr>
          <w:rFonts w:hint="eastAsia" w:ascii="仿宋" w:hAnsi="仿宋" w:eastAsia="仿宋" w:cs="仿宋"/>
          <w:color w:val="auto"/>
        </w:rPr>
      </w:pPr>
    </w:p>
    <w:p w14:paraId="0E8CCD56">
      <w:pPr>
        <w:rPr>
          <w:rFonts w:hint="eastAsia" w:ascii="仿宋" w:hAnsi="仿宋" w:eastAsia="仿宋" w:cs="仿宋"/>
          <w:color w:val="auto"/>
        </w:rPr>
      </w:pPr>
    </w:p>
    <w:p w14:paraId="2B718C55">
      <w:pPr>
        <w:rPr>
          <w:rFonts w:hint="eastAsia" w:ascii="仿宋" w:hAnsi="仿宋" w:eastAsia="仿宋" w:cs="仿宋"/>
          <w:color w:val="auto"/>
        </w:rPr>
      </w:pPr>
    </w:p>
    <w:p w14:paraId="69AA7750">
      <w:pPr>
        <w:rPr>
          <w:rFonts w:hint="eastAsia" w:ascii="仿宋" w:hAnsi="仿宋" w:eastAsia="仿宋" w:cs="仿宋"/>
          <w:color w:val="auto"/>
        </w:rPr>
      </w:pPr>
    </w:p>
    <w:p w14:paraId="6FF47CFA">
      <w:pPr>
        <w:rPr>
          <w:rFonts w:hint="eastAsia" w:ascii="仿宋" w:hAnsi="仿宋" w:eastAsia="仿宋" w:cs="仿宋"/>
          <w:color w:val="auto"/>
        </w:rPr>
      </w:pPr>
    </w:p>
    <w:p w14:paraId="7CA807C2">
      <w:pPr>
        <w:rPr>
          <w:rFonts w:hint="eastAsia" w:ascii="仿宋" w:hAnsi="仿宋" w:eastAsia="仿宋" w:cs="仿宋"/>
          <w:color w:val="auto"/>
        </w:rPr>
      </w:pPr>
    </w:p>
    <w:p w14:paraId="7484EB65">
      <w:pPr>
        <w:rPr>
          <w:rFonts w:hint="eastAsia" w:ascii="仿宋" w:hAnsi="仿宋" w:eastAsia="仿宋" w:cs="仿宋"/>
          <w:color w:val="auto"/>
        </w:rPr>
      </w:pPr>
    </w:p>
    <w:p w14:paraId="44748F48">
      <w:pPr>
        <w:rPr>
          <w:rFonts w:hint="eastAsia" w:ascii="仿宋" w:hAnsi="仿宋" w:eastAsia="仿宋" w:cs="仿宋"/>
          <w:color w:val="auto"/>
        </w:rPr>
      </w:pPr>
    </w:p>
    <w:p w14:paraId="54EEC699">
      <w:pPr>
        <w:rPr>
          <w:rFonts w:hint="eastAsia" w:ascii="仿宋" w:hAnsi="仿宋" w:eastAsia="仿宋" w:cs="仿宋"/>
          <w:color w:val="auto"/>
        </w:rPr>
      </w:pPr>
    </w:p>
    <w:p w14:paraId="787E400C">
      <w:pPr>
        <w:rPr>
          <w:rFonts w:hint="eastAsia" w:ascii="仿宋" w:hAnsi="仿宋" w:eastAsia="仿宋" w:cs="仿宋"/>
          <w:color w:val="auto"/>
        </w:rPr>
      </w:pPr>
    </w:p>
    <w:p w14:paraId="13C7C66E">
      <w:pPr>
        <w:rPr>
          <w:rFonts w:hint="eastAsia" w:ascii="仿宋" w:hAnsi="仿宋" w:eastAsia="仿宋" w:cs="仿宋"/>
          <w:color w:val="auto"/>
        </w:rPr>
      </w:pPr>
    </w:p>
    <w:p w14:paraId="14D7E01D">
      <w:pPr>
        <w:rPr>
          <w:rFonts w:hint="eastAsia" w:ascii="仿宋" w:hAnsi="仿宋" w:eastAsia="仿宋" w:cs="仿宋"/>
          <w:color w:val="auto"/>
        </w:rPr>
      </w:pPr>
    </w:p>
    <w:p w14:paraId="3D73F76A">
      <w:pPr>
        <w:rPr>
          <w:rFonts w:hint="eastAsia" w:ascii="仿宋" w:hAnsi="仿宋" w:eastAsia="仿宋" w:cs="仿宋"/>
          <w:color w:val="auto"/>
        </w:rPr>
      </w:pPr>
    </w:p>
    <w:p w14:paraId="58D2D3BD">
      <w:pPr>
        <w:rPr>
          <w:rFonts w:hint="eastAsia" w:ascii="仿宋" w:hAnsi="仿宋" w:eastAsia="仿宋" w:cs="仿宋"/>
          <w:color w:val="auto"/>
        </w:rPr>
      </w:pPr>
    </w:p>
    <w:p w14:paraId="22132750">
      <w:pPr>
        <w:rPr>
          <w:rFonts w:hint="eastAsia" w:ascii="仿宋" w:hAnsi="仿宋" w:eastAsia="仿宋" w:cs="仿宋"/>
          <w:color w:val="auto"/>
        </w:rPr>
      </w:pPr>
    </w:p>
    <w:p w14:paraId="744D20CD">
      <w:pPr>
        <w:rPr>
          <w:rFonts w:hint="eastAsia" w:ascii="仿宋" w:hAnsi="仿宋" w:eastAsia="仿宋" w:cs="仿宋"/>
          <w:color w:val="auto"/>
        </w:rPr>
      </w:pPr>
    </w:p>
    <w:p w14:paraId="034BC6E4">
      <w:pPr>
        <w:rPr>
          <w:rFonts w:hint="eastAsia" w:ascii="仿宋" w:hAnsi="仿宋" w:eastAsia="仿宋" w:cs="仿宋"/>
          <w:color w:val="auto"/>
        </w:rPr>
      </w:pPr>
    </w:p>
    <w:p w14:paraId="798D66A7">
      <w:pPr>
        <w:rPr>
          <w:rFonts w:hint="eastAsia" w:ascii="仿宋" w:hAnsi="仿宋" w:eastAsia="仿宋" w:cs="仿宋"/>
          <w:color w:val="auto"/>
        </w:rPr>
      </w:pPr>
    </w:p>
    <w:p w14:paraId="1D074A42">
      <w:pPr>
        <w:rPr>
          <w:rFonts w:hint="eastAsia" w:ascii="仿宋" w:hAnsi="仿宋" w:eastAsia="仿宋" w:cs="仿宋"/>
          <w:color w:val="auto"/>
        </w:rPr>
      </w:pPr>
    </w:p>
    <w:p w14:paraId="74858AFC">
      <w:pPr>
        <w:rPr>
          <w:rFonts w:hint="eastAsia" w:ascii="仿宋" w:hAnsi="仿宋" w:eastAsia="仿宋" w:cs="仿宋"/>
          <w:color w:val="auto"/>
        </w:rPr>
      </w:pPr>
    </w:p>
    <w:p w14:paraId="2C82CBA8">
      <w:pPr>
        <w:rPr>
          <w:rFonts w:hint="eastAsia" w:ascii="仿宋" w:hAnsi="仿宋" w:eastAsia="仿宋" w:cs="仿宋"/>
          <w:color w:val="auto"/>
        </w:rPr>
      </w:pPr>
    </w:p>
    <w:p w14:paraId="58DD01F5">
      <w:pPr>
        <w:rPr>
          <w:rFonts w:hint="eastAsia" w:ascii="仿宋" w:hAnsi="仿宋" w:eastAsia="仿宋" w:cs="仿宋"/>
          <w:color w:val="auto"/>
        </w:rPr>
      </w:pPr>
    </w:p>
    <w:p w14:paraId="00539675">
      <w:pPr>
        <w:rPr>
          <w:rFonts w:hint="eastAsia" w:ascii="仿宋" w:hAnsi="仿宋" w:eastAsia="仿宋" w:cs="仿宋"/>
          <w:color w:val="auto"/>
        </w:rPr>
      </w:pPr>
    </w:p>
    <w:p w14:paraId="0C5B59F9">
      <w:pPr>
        <w:rPr>
          <w:rFonts w:hint="eastAsia" w:ascii="仿宋" w:hAnsi="仿宋" w:eastAsia="仿宋" w:cs="仿宋"/>
          <w:color w:val="auto"/>
        </w:rPr>
      </w:pPr>
    </w:p>
    <w:p w14:paraId="5A85EBF5">
      <w:pPr>
        <w:rPr>
          <w:rFonts w:hint="eastAsia" w:ascii="仿宋" w:hAnsi="仿宋" w:eastAsia="仿宋" w:cs="仿宋"/>
          <w:color w:val="auto"/>
        </w:rPr>
      </w:pPr>
    </w:p>
    <w:p w14:paraId="0352B425">
      <w:pPr>
        <w:rPr>
          <w:rFonts w:hint="eastAsia" w:ascii="仿宋" w:hAnsi="仿宋" w:eastAsia="仿宋" w:cs="仿宋"/>
          <w:color w:val="auto"/>
        </w:rPr>
      </w:pPr>
    </w:p>
    <w:p w14:paraId="452DF20C">
      <w:pPr>
        <w:rPr>
          <w:rFonts w:hint="eastAsia" w:ascii="仿宋" w:hAnsi="仿宋" w:eastAsia="仿宋" w:cs="仿宋"/>
          <w:color w:val="auto"/>
        </w:rPr>
      </w:pPr>
    </w:p>
    <w:p w14:paraId="6EAFE05D">
      <w:pPr>
        <w:rPr>
          <w:rFonts w:hint="eastAsia" w:ascii="仿宋" w:hAnsi="仿宋" w:eastAsia="仿宋" w:cs="仿宋"/>
          <w:color w:val="auto"/>
        </w:rPr>
      </w:pPr>
    </w:p>
    <w:p w14:paraId="3495F937">
      <w:pPr>
        <w:rPr>
          <w:rFonts w:hint="eastAsia" w:ascii="仿宋" w:hAnsi="仿宋" w:eastAsia="仿宋" w:cs="仿宋"/>
          <w:color w:val="auto"/>
        </w:rPr>
      </w:pPr>
    </w:p>
    <w:p w14:paraId="511E67EE">
      <w:pPr>
        <w:rPr>
          <w:rFonts w:hint="eastAsia" w:ascii="仿宋" w:hAnsi="仿宋" w:eastAsia="仿宋" w:cs="仿宋"/>
          <w:color w:val="auto"/>
        </w:rPr>
      </w:pPr>
    </w:p>
    <w:p w14:paraId="7693E945">
      <w:pPr>
        <w:rPr>
          <w:rFonts w:hint="eastAsia" w:ascii="仿宋" w:hAnsi="仿宋" w:eastAsia="仿宋" w:cs="仿宋"/>
          <w:color w:val="auto"/>
        </w:rPr>
      </w:pPr>
    </w:p>
    <w:p w14:paraId="4D861AE2">
      <w:pPr>
        <w:rPr>
          <w:rFonts w:hint="eastAsia" w:ascii="仿宋" w:hAnsi="仿宋" w:eastAsia="仿宋" w:cs="仿宋"/>
          <w:color w:val="auto"/>
        </w:rPr>
      </w:pPr>
    </w:p>
    <w:p w14:paraId="5430EDAE">
      <w:pPr>
        <w:rPr>
          <w:rFonts w:hint="eastAsia" w:ascii="仿宋" w:hAnsi="仿宋" w:eastAsia="仿宋" w:cs="仿宋"/>
          <w:color w:val="auto"/>
        </w:rPr>
      </w:pPr>
    </w:p>
    <w:p w14:paraId="554B7C6F">
      <w:pPr>
        <w:rPr>
          <w:rFonts w:hint="eastAsia" w:ascii="仿宋" w:hAnsi="仿宋" w:eastAsia="仿宋" w:cs="仿宋"/>
          <w:color w:val="auto"/>
        </w:rPr>
      </w:pPr>
    </w:p>
    <w:p w14:paraId="32819C02">
      <w:pPr>
        <w:rPr>
          <w:rFonts w:hint="eastAsia" w:ascii="仿宋" w:hAnsi="仿宋" w:eastAsia="仿宋" w:cs="仿宋"/>
          <w:color w:val="auto"/>
        </w:rPr>
      </w:pPr>
    </w:p>
    <w:p w14:paraId="0430B27E">
      <w:pPr>
        <w:rPr>
          <w:rFonts w:hint="eastAsia" w:ascii="仿宋" w:hAnsi="仿宋" w:eastAsia="仿宋" w:cs="仿宋"/>
          <w:color w:val="auto"/>
        </w:rPr>
      </w:pPr>
    </w:p>
    <w:p w14:paraId="345B4428">
      <w:pPr>
        <w:rPr>
          <w:rFonts w:hint="eastAsia" w:ascii="仿宋" w:hAnsi="仿宋" w:eastAsia="仿宋" w:cs="仿宋"/>
          <w:color w:val="auto"/>
        </w:rPr>
      </w:pPr>
    </w:p>
    <w:p w14:paraId="5A81B551">
      <w:pPr>
        <w:rPr>
          <w:rFonts w:hint="eastAsia" w:ascii="仿宋" w:hAnsi="仿宋" w:eastAsia="仿宋" w:cs="仿宋"/>
          <w:color w:val="auto"/>
        </w:rPr>
      </w:pPr>
    </w:p>
    <w:p w14:paraId="6E014202">
      <w:pPr>
        <w:rPr>
          <w:rFonts w:hint="eastAsia" w:ascii="仿宋" w:hAnsi="仿宋" w:eastAsia="仿宋" w:cs="仿宋"/>
          <w:color w:val="auto"/>
        </w:rPr>
      </w:pPr>
    </w:p>
    <w:p w14:paraId="77A447E1">
      <w:pPr>
        <w:rPr>
          <w:rFonts w:hint="eastAsia" w:ascii="仿宋" w:hAnsi="仿宋" w:eastAsia="仿宋" w:cs="仿宋"/>
          <w:color w:val="auto"/>
        </w:rPr>
      </w:pPr>
    </w:p>
    <w:p w14:paraId="2BEFCDA1">
      <w:pPr>
        <w:rPr>
          <w:rFonts w:hint="eastAsia" w:ascii="仿宋" w:hAnsi="仿宋" w:eastAsia="仿宋" w:cs="仿宋"/>
          <w:color w:val="auto"/>
        </w:rPr>
      </w:pPr>
    </w:p>
    <w:p w14:paraId="2168A1E0">
      <w:pPr>
        <w:bidi w:val="0"/>
        <w:jc w:val="center"/>
        <w:outlineLvl w:val="1"/>
        <w:rPr>
          <w:rFonts w:hint="eastAsia" w:ascii="仿宋" w:hAnsi="仿宋" w:eastAsia="仿宋" w:cs="仿宋"/>
          <w:b/>
          <w:bCs/>
          <w:color w:val="auto"/>
          <w:sz w:val="32"/>
          <w:szCs w:val="32"/>
          <w:lang w:val="en-US" w:eastAsia="zh-CN"/>
        </w:rPr>
      </w:pPr>
      <w:bookmarkStart w:id="257" w:name="_Toc3074"/>
      <w:r>
        <w:rPr>
          <w:rFonts w:hint="eastAsia" w:ascii="仿宋" w:hAnsi="仿宋" w:eastAsia="仿宋" w:cs="仿宋"/>
          <w:b/>
          <w:bCs/>
          <w:color w:val="auto"/>
          <w:sz w:val="32"/>
          <w:szCs w:val="32"/>
          <w:lang w:val="en-US" w:eastAsia="zh-CN"/>
        </w:rPr>
        <w:t>《汉中市政府采购供应商资格承诺函</w:t>
      </w:r>
      <w:bookmarkEnd w:id="257"/>
      <w:r>
        <w:rPr>
          <w:rFonts w:hint="eastAsia" w:ascii="仿宋" w:hAnsi="仿宋" w:eastAsia="仿宋" w:cs="仿宋"/>
          <w:b/>
          <w:bCs/>
          <w:color w:val="auto"/>
          <w:sz w:val="32"/>
          <w:szCs w:val="32"/>
          <w:lang w:val="en-US" w:eastAsia="zh-CN"/>
        </w:rPr>
        <w:t>》</w:t>
      </w:r>
    </w:p>
    <w:p w14:paraId="12F8387C">
      <w:pPr>
        <w:bidi w:val="0"/>
        <w:spacing w:line="360" w:lineRule="auto"/>
        <w:outlineLvl w:val="9"/>
        <w:rPr>
          <w:rFonts w:hint="eastAsia" w:ascii="仿宋" w:hAnsi="仿宋" w:eastAsia="仿宋" w:cs="仿宋"/>
          <w:color w:val="auto"/>
          <w:sz w:val="24"/>
          <w:szCs w:val="24"/>
          <w:lang w:val="en-US" w:eastAsia="zh-CN"/>
        </w:rPr>
      </w:pPr>
    </w:p>
    <w:p w14:paraId="3EC612FE">
      <w:pPr>
        <w:bidi w:val="0"/>
        <w:spacing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致:</w:t>
      </w:r>
      <w:r>
        <w:rPr>
          <w:rFonts w:hint="eastAsia" w:ascii="仿宋" w:hAnsi="仿宋" w:eastAsia="仿宋" w:cs="仿宋"/>
          <w:color w:val="auto"/>
          <w:sz w:val="24"/>
          <w:szCs w:val="24"/>
          <w:u w:val="single"/>
          <w:lang w:val="en-US" w:eastAsia="zh-CN"/>
        </w:rPr>
        <w:t xml:space="preserve">          （采购人名称）、   （采购代理机构名称）</w:t>
      </w:r>
    </w:p>
    <w:p w14:paraId="3278BCCB">
      <w:pPr>
        <w:bidi w:val="0"/>
        <w:spacing w:line="360" w:lineRule="auto"/>
        <w:ind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single"/>
          <w:lang w:val="en-US" w:eastAsia="zh-CN"/>
        </w:rPr>
        <w:t xml:space="preserve">         （供应商名称)</w:t>
      </w:r>
      <w:r>
        <w:rPr>
          <w:rFonts w:hint="eastAsia" w:ascii="仿宋" w:hAnsi="仿宋" w:eastAsia="仿宋" w:cs="仿宋"/>
          <w:color w:val="auto"/>
          <w:sz w:val="24"/>
          <w:szCs w:val="24"/>
          <w:lang w:val="en-US" w:eastAsia="zh-CN"/>
        </w:rPr>
        <w:t>郑重承诺:</w:t>
      </w:r>
    </w:p>
    <w:p w14:paraId="1A1A1DC0">
      <w:pPr>
        <w:bidi w:val="0"/>
        <w:spacing w:line="360" w:lineRule="auto"/>
        <w:ind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1.我方具有良好的商业信誉和健全的财务会计制度，具有履行合同所必需的设备和专业技术能力，具有依法缴纳税收和社会保障金的良好记录，参加本项目采购活动前三年内无重大违法活动记录。</w:t>
      </w:r>
    </w:p>
    <w:p w14:paraId="11A47E9B">
      <w:pPr>
        <w:bidi w:val="0"/>
        <w:spacing w:line="360" w:lineRule="auto"/>
        <w:ind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2.我方未列入在信用中国网站“失信被执行人”、“重大税收违法案件当事人名单”中</w:t>
      </w:r>
      <w:r>
        <w:rPr>
          <w:rFonts w:hint="eastAsia" w:ascii="仿宋" w:hAnsi="仿宋" w:eastAsia="仿宋" w:cs="仿宋"/>
          <w:color w:val="auto"/>
          <w:sz w:val="24"/>
          <w:szCs w:val="24"/>
          <w:u w:val="single"/>
          <w:lang w:val="en-US" w:eastAsia="zh-CN"/>
        </w:rPr>
        <w:t>(www.</w:t>
      </w:r>
      <w:r>
        <w:rPr>
          <w:rFonts w:hint="eastAsia" w:ascii="仿宋" w:hAnsi="仿宋" w:eastAsia="仿宋" w:cs="仿宋"/>
          <w:b w:val="0"/>
          <w:bCs w:val="0"/>
          <w:color w:val="auto"/>
          <w:sz w:val="24"/>
          <w:szCs w:val="24"/>
          <w:u w:val="single"/>
          <w:lang w:val="en-US" w:eastAsia="zh-CN"/>
        </w:rPr>
        <w:t>creditchina</w:t>
      </w:r>
      <w:r>
        <w:rPr>
          <w:rFonts w:hint="eastAsia" w:ascii="仿宋" w:hAnsi="仿宋" w:eastAsia="仿宋" w:cs="仿宋"/>
          <w:color w:val="auto"/>
          <w:sz w:val="24"/>
          <w:szCs w:val="24"/>
          <w:u w:val="single"/>
          <w:lang w:val="en-US" w:eastAsia="zh-CN"/>
        </w:rPr>
        <w:t>.gov.cn)</w:t>
      </w:r>
      <w:r>
        <w:rPr>
          <w:rFonts w:hint="eastAsia" w:ascii="仿宋" w:hAnsi="仿宋" w:eastAsia="仿宋" w:cs="仿宋"/>
          <w:color w:val="auto"/>
          <w:sz w:val="24"/>
          <w:szCs w:val="24"/>
          <w:lang w:val="en-US" w:eastAsia="zh-CN"/>
        </w:rPr>
        <w:t>，也未列入中国政府采购网“政府采购严重违法失信行为记录名单”中</w:t>
      </w:r>
      <w:r>
        <w:rPr>
          <w:rFonts w:hint="eastAsia" w:ascii="仿宋" w:hAnsi="仿宋" w:eastAsia="仿宋" w:cs="仿宋"/>
          <w:color w:val="auto"/>
          <w:sz w:val="24"/>
          <w:szCs w:val="24"/>
          <w:u w:val="single"/>
          <w:lang w:val="en-US" w:eastAsia="zh-CN"/>
        </w:rPr>
        <w:t>(www.ccgp.gov.cn)</w:t>
      </w:r>
      <w:r>
        <w:rPr>
          <w:rFonts w:hint="eastAsia" w:ascii="仿宋" w:hAnsi="仿宋" w:eastAsia="仿宋" w:cs="仿宋"/>
          <w:color w:val="auto"/>
          <w:sz w:val="24"/>
          <w:szCs w:val="24"/>
          <w:u w:val="none"/>
          <w:lang w:val="en-US" w:eastAsia="zh-CN"/>
        </w:rPr>
        <w:t>。</w:t>
      </w:r>
    </w:p>
    <w:p w14:paraId="36CC8FBC">
      <w:pPr>
        <w:bidi w:val="0"/>
        <w:spacing w:line="360" w:lineRule="auto"/>
        <w:ind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3.我方在采购项目评审环节结束后，随时接受采购人，采购代理机构的检查验证，配合提供相关证明材料，证明符合《中华人民共和国政府采购法》规定的投标人基本资格条件。</w:t>
      </w:r>
    </w:p>
    <w:p w14:paraId="3EB7C435">
      <w:pPr>
        <w:bidi w:val="0"/>
        <w:spacing w:line="360" w:lineRule="auto"/>
        <w:ind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我方对以上承诺负全部法律责任。</w:t>
      </w:r>
    </w:p>
    <w:p w14:paraId="4BBE4A7D">
      <w:pPr>
        <w:bidi w:val="0"/>
        <w:spacing w:line="360" w:lineRule="auto"/>
        <w:ind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特此承诺。</w:t>
      </w:r>
    </w:p>
    <w:p w14:paraId="26963398">
      <w:pPr>
        <w:bidi w:val="0"/>
        <w:spacing w:line="360" w:lineRule="auto"/>
        <w:ind w:firstLine="3840" w:firstLineChars="1600"/>
        <w:outlineLvl w:val="9"/>
        <w:rPr>
          <w:rFonts w:hint="eastAsia" w:ascii="仿宋" w:hAnsi="仿宋" w:eastAsia="仿宋" w:cs="仿宋"/>
          <w:color w:val="auto"/>
          <w:sz w:val="24"/>
          <w:szCs w:val="24"/>
          <w:lang w:val="en-US" w:eastAsia="zh-CN"/>
        </w:rPr>
      </w:pPr>
    </w:p>
    <w:p w14:paraId="41A0AFDB">
      <w:pPr>
        <w:bidi w:val="0"/>
        <w:spacing w:line="360" w:lineRule="auto"/>
        <w:ind w:firstLine="3840" w:firstLineChars="1600"/>
        <w:outlineLvl w:val="9"/>
        <w:rPr>
          <w:rFonts w:hint="eastAsia" w:ascii="仿宋" w:hAnsi="仿宋" w:eastAsia="仿宋" w:cs="仿宋"/>
          <w:color w:val="auto"/>
          <w:sz w:val="24"/>
          <w:szCs w:val="24"/>
          <w:lang w:val="en-US" w:eastAsia="zh-CN"/>
        </w:rPr>
      </w:pPr>
    </w:p>
    <w:p w14:paraId="5DA157B9">
      <w:pPr>
        <w:bidi w:val="0"/>
        <w:spacing w:line="360" w:lineRule="auto"/>
        <w:ind w:firstLine="3840" w:firstLineChars="1600"/>
        <w:outlineLvl w:val="9"/>
        <w:rPr>
          <w:rFonts w:hint="eastAsia" w:ascii="仿宋" w:hAnsi="仿宋" w:eastAsia="仿宋" w:cs="仿宋"/>
          <w:color w:val="auto"/>
          <w:sz w:val="24"/>
          <w:szCs w:val="24"/>
          <w:lang w:val="en-US" w:eastAsia="zh-CN"/>
        </w:rPr>
      </w:pPr>
    </w:p>
    <w:p w14:paraId="05F43A2C">
      <w:pPr>
        <w:bidi w:val="0"/>
        <w:spacing w:line="360" w:lineRule="auto"/>
        <w:ind w:firstLine="3840" w:firstLineChars="1600"/>
        <w:outlineLvl w:val="9"/>
        <w:rPr>
          <w:rFonts w:hint="eastAsia" w:ascii="仿宋" w:hAnsi="仿宋" w:eastAsia="仿宋" w:cs="仿宋"/>
          <w:color w:val="auto"/>
          <w:sz w:val="24"/>
          <w:szCs w:val="24"/>
          <w:lang w:val="en-US" w:eastAsia="zh-CN"/>
        </w:rPr>
      </w:pPr>
    </w:p>
    <w:p w14:paraId="5B4C803D">
      <w:pPr>
        <w:bidi w:val="0"/>
        <w:spacing w:line="360" w:lineRule="auto"/>
        <w:ind w:firstLine="3840" w:firstLineChars="1600"/>
        <w:outlineLvl w:val="9"/>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供应商名称：</w:t>
      </w:r>
      <w:r>
        <w:rPr>
          <w:rFonts w:hint="eastAsia" w:ascii="仿宋" w:hAnsi="仿宋" w:eastAsia="仿宋" w:cs="仿宋"/>
          <w:color w:val="auto"/>
          <w:sz w:val="24"/>
          <w:szCs w:val="24"/>
          <w:u w:val="single"/>
          <w:lang w:val="en-US" w:eastAsia="zh-CN"/>
        </w:rPr>
        <w:t>填写全称并加盖公章</w:t>
      </w:r>
    </w:p>
    <w:p w14:paraId="6B384861">
      <w:pPr>
        <w:bidi w:val="0"/>
        <w:spacing w:line="360" w:lineRule="auto"/>
        <w:ind w:firstLine="3840" w:firstLineChars="1600"/>
        <w:outlineLvl w:val="9"/>
        <w:rPr>
          <w:rFonts w:hint="eastAsia" w:ascii="仿宋" w:hAnsi="仿宋" w:eastAsia="仿宋" w:cs="仿宋"/>
          <w:sz w:val="28"/>
          <w:szCs w:val="28"/>
          <w:u w:val="none"/>
          <w:lang w:val="en-US" w:eastAsia="zh-CN"/>
        </w:rPr>
      </w:pPr>
      <w:r>
        <w:rPr>
          <w:rFonts w:hint="eastAsia" w:ascii="仿宋" w:hAnsi="仿宋" w:eastAsia="仿宋" w:cs="仿宋"/>
          <w:color w:val="auto"/>
          <w:sz w:val="24"/>
          <w:szCs w:val="24"/>
          <w:u w:val="none"/>
          <w:lang w:val="en-US" w:eastAsia="zh-CN"/>
        </w:rPr>
        <w:t>日期：    年   月   日</w:t>
      </w:r>
    </w:p>
    <w:p w14:paraId="08B8CD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24"/>
          <w:szCs w:val="24"/>
          <w:highlight w:val="none"/>
          <w:lang w:val="en-US" w:eastAsia="zh-CN"/>
        </w:rPr>
      </w:pPr>
    </w:p>
    <w:p w14:paraId="2FD36DF4">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4"/>
          <w:highlight w:val="none"/>
          <w:lang w:val="en-US" w:eastAsia="zh-CN"/>
        </w:rPr>
      </w:pPr>
    </w:p>
    <w:p w14:paraId="3DDCD68F">
      <w:pPr>
        <w:rPr>
          <w:rFonts w:hint="eastAsia" w:ascii="仿宋" w:hAnsi="仿宋" w:eastAsia="仿宋" w:cs="仿宋"/>
          <w:color w:val="auto"/>
        </w:rPr>
      </w:pPr>
    </w:p>
    <w:p w14:paraId="50C13038">
      <w:pPr>
        <w:rPr>
          <w:rFonts w:hint="eastAsia" w:ascii="仿宋" w:hAnsi="仿宋" w:eastAsia="仿宋" w:cs="仿宋"/>
          <w:color w:val="auto"/>
        </w:rPr>
      </w:pPr>
    </w:p>
    <w:p w14:paraId="74CC51CE">
      <w:pPr>
        <w:rPr>
          <w:rFonts w:hint="eastAsia" w:ascii="仿宋" w:hAnsi="仿宋" w:eastAsia="仿宋" w:cs="仿宋"/>
          <w:color w:val="auto"/>
        </w:rPr>
      </w:pPr>
    </w:p>
    <w:p w14:paraId="06E46344">
      <w:pPr>
        <w:rPr>
          <w:rFonts w:hint="eastAsia" w:ascii="仿宋" w:hAnsi="仿宋" w:eastAsia="仿宋" w:cs="仿宋"/>
          <w:color w:val="auto"/>
        </w:rPr>
      </w:pPr>
    </w:p>
    <w:p w14:paraId="3BAB2C69">
      <w:pPr>
        <w:rPr>
          <w:rFonts w:hint="eastAsia" w:ascii="仿宋" w:hAnsi="仿宋" w:eastAsia="仿宋" w:cs="仿宋"/>
          <w:color w:val="auto"/>
        </w:rPr>
      </w:pPr>
    </w:p>
    <w:p w14:paraId="62176E7A">
      <w:pPr>
        <w:rPr>
          <w:rFonts w:hint="eastAsia" w:ascii="仿宋" w:hAnsi="仿宋" w:eastAsia="仿宋" w:cs="仿宋"/>
          <w:color w:val="auto"/>
        </w:rPr>
      </w:pPr>
    </w:p>
    <w:p w14:paraId="1A0A35CC">
      <w:pPr>
        <w:rPr>
          <w:rFonts w:hint="eastAsia" w:ascii="仿宋" w:hAnsi="仿宋" w:eastAsia="仿宋" w:cs="仿宋"/>
          <w:color w:val="auto"/>
        </w:rPr>
      </w:pPr>
    </w:p>
    <w:p w14:paraId="016A08AC">
      <w:pPr>
        <w:rPr>
          <w:rFonts w:hint="eastAsia" w:ascii="仿宋" w:hAnsi="仿宋" w:eastAsia="仿宋" w:cs="仿宋"/>
          <w:color w:val="auto"/>
        </w:rPr>
      </w:pPr>
    </w:p>
    <w:p w14:paraId="2884E4B5">
      <w:pPr>
        <w:rPr>
          <w:rFonts w:hint="eastAsia" w:ascii="仿宋" w:hAnsi="仿宋" w:eastAsia="仿宋" w:cs="仿宋"/>
          <w:color w:val="auto"/>
        </w:rPr>
      </w:pPr>
    </w:p>
    <w:p w14:paraId="2A018818">
      <w:pPr>
        <w:rPr>
          <w:rFonts w:hint="eastAsia" w:ascii="仿宋" w:hAnsi="仿宋" w:eastAsia="仿宋" w:cs="仿宋"/>
          <w:color w:val="auto"/>
        </w:rPr>
      </w:pPr>
    </w:p>
    <w:p w14:paraId="687A5B7B">
      <w:pPr>
        <w:rPr>
          <w:rFonts w:hint="eastAsia" w:ascii="仿宋" w:hAnsi="仿宋" w:eastAsia="仿宋" w:cs="仿宋"/>
          <w:color w:val="auto"/>
        </w:rPr>
      </w:pPr>
    </w:p>
    <w:p w14:paraId="767CDEEB">
      <w:pPr>
        <w:rPr>
          <w:rFonts w:hint="eastAsia" w:ascii="仿宋" w:hAnsi="仿宋" w:eastAsia="仿宋" w:cs="仿宋"/>
          <w:color w:val="auto"/>
        </w:rPr>
      </w:pPr>
    </w:p>
    <w:bookmarkEnd w:id="253"/>
    <w:bookmarkEnd w:id="254"/>
    <w:bookmarkEnd w:id="255"/>
    <w:bookmarkEnd w:id="256"/>
    <w:p w14:paraId="4D6AA7CB">
      <w:pPr>
        <w:pStyle w:val="3"/>
        <w:numPr>
          <w:ilvl w:val="0"/>
          <w:numId w:val="7"/>
        </w:numPr>
        <w:spacing w:line="24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技术</w:t>
      </w:r>
      <w:r>
        <w:rPr>
          <w:rFonts w:hint="eastAsia" w:ascii="仿宋" w:hAnsi="仿宋" w:eastAsia="仿宋" w:cs="仿宋"/>
          <w:color w:val="auto"/>
          <w:sz w:val="28"/>
          <w:szCs w:val="28"/>
        </w:rPr>
        <w:t>方案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依据评审方法，自行编制</w:t>
      </w:r>
      <w:r>
        <w:rPr>
          <w:rFonts w:hint="eastAsia" w:ascii="仿宋" w:hAnsi="仿宋" w:eastAsia="仿宋" w:cs="仿宋"/>
          <w:color w:val="auto"/>
          <w:sz w:val="28"/>
          <w:szCs w:val="28"/>
          <w:lang w:eastAsia="zh-CN"/>
        </w:rPr>
        <w:t>）</w:t>
      </w:r>
    </w:p>
    <w:p w14:paraId="62883641">
      <w:pPr>
        <w:rPr>
          <w:rFonts w:hint="eastAsia" w:ascii="仿宋" w:hAnsi="仿宋" w:eastAsia="仿宋" w:cs="仿宋"/>
          <w:color w:val="auto"/>
          <w:sz w:val="28"/>
          <w:szCs w:val="28"/>
        </w:rPr>
      </w:pPr>
    </w:p>
    <w:p w14:paraId="25B7456C">
      <w:pPr>
        <w:pStyle w:val="44"/>
        <w:rPr>
          <w:rFonts w:hint="eastAsia" w:ascii="仿宋" w:hAnsi="仿宋" w:eastAsia="仿宋" w:cs="仿宋"/>
          <w:color w:val="auto"/>
          <w:sz w:val="28"/>
          <w:szCs w:val="28"/>
        </w:rPr>
      </w:pPr>
    </w:p>
    <w:p w14:paraId="6EE6DA9F">
      <w:pPr>
        <w:pStyle w:val="44"/>
        <w:rPr>
          <w:rFonts w:hint="eastAsia" w:ascii="仿宋" w:hAnsi="仿宋" w:eastAsia="仿宋" w:cs="仿宋"/>
          <w:color w:val="auto"/>
          <w:sz w:val="28"/>
          <w:szCs w:val="28"/>
        </w:rPr>
      </w:pPr>
    </w:p>
    <w:p w14:paraId="1CC06365">
      <w:pPr>
        <w:pStyle w:val="44"/>
        <w:rPr>
          <w:rFonts w:hint="eastAsia" w:ascii="仿宋" w:hAnsi="仿宋" w:eastAsia="仿宋" w:cs="仿宋"/>
          <w:color w:val="auto"/>
          <w:sz w:val="28"/>
          <w:szCs w:val="28"/>
        </w:rPr>
      </w:pPr>
    </w:p>
    <w:p w14:paraId="40A5CCD0">
      <w:pPr>
        <w:pStyle w:val="44"/>
        <w:rPr>
          <w:rFonts w:hint="eastAsia" w:ascii="仿宋" w:hAnsi="仿宋" w:eastAsia="仿宋" w:cs="仿宋"/>
          <w:color w:val="auto"/>
          <w:sz w:val="28"/>
          <w:szCs w:val="28"/>
        </w:rPr>
      </w:pPr>
    </w:p>
    <w:p w14:paraId="314E96EF">
      <w:pPr>
        <w:pStyle w:val="44"/>
        <w:rPr>
          <w:rFonts w:hint="eastAsia" w:ascii="仿宋" w:hAnsi="仿宋" w:eastAsia="仿宋" w:cs="仿宋"/>
          <w:color w:val="auto"/>
          <w:sz w:val="28"/>
          <w:szCs w:val="28"/>
        </w:rPr>
      </w:pPr>
    </w:p>
    <w:p w14:paraId="7049E404">
      <w:pPr>
        <w:pStyle w:val="44"/>
        <w:rPr>
          <w:rFonts w:hint="eastAsia" w:ascii="仿宋" w:hAnsi="仿宋" w:eastAsia="仿宋" w:cs="仿宋"/>
          <w:color w:val="auto"/>
          <w:sz w:val="28"/>
          <w:szCs w:val="28"/>
        </w:rPr>
      </w:pPr>
    </w:p>
    <w:p w14:paraId="7DA7661B">
      <w:pPr>
        <w:pStyle w:val="44"/>
        <w:rPr>
          <w:rFonts w:hint="eastAsia" w:ascii="仿宋" w:hAnsi="仿宋" w:eastAsia="仿宋" w:cs="仿宋"/>
          <w:color w:val="auto"/>
          <w:sz w:val="28"/>
          <w:szCs w:val="28"/>
        </w:rPr>
      </w:pPr>
    </w:p>
    <w:p w14:paraId="070C43B8">
      <w:pPr>
        <w:pStyle w:val="44"/>
        <w:rPr>
          <w:rFonts w:hint="eastAsia" w:ascii="仿宋" w:hAnsi="仿宋" w:eastAsia="仿宋" w:cs="仿宋"/>
          <w:color w:val="auto"/>
          <w:sz w:val="28"/>
          <w:szCs w:val="28"/>
        </w:rPr>
      </w:pPr>
    </w:p>
    <w:p w14:paraId="65C627BF">
      <w:pPr>
        <w:pStyle w:val="44"/>
        <w:rPr>
          <w:rFonts w:hint="eastAsia" w:ascii="仿宋" w:hAnsi="仿宋" w:eastAsia="仿宋" w:cs="仿宋"/>
          <w:color w:val="auto"/>
          <w:sz w:val="28"/>
          <w:szCs w:val="28"/>
        </w:rPr>
      </w:pPr>
    </w:p>
    <w:p w14:paraId="6CBE7611">
      <w:pPr>
        <w:pStyle w:val="44"/>
        <w:rPr>
          <w:rFonts w:hint="eastAsia" w:ascii="仿宋" w:hAnsi="仿宋" w:eastAsia="仿宋" w:cs="仿宋"/>
          <w:color w:val="auto"/>
          <w:sz w:val="28"/>
          <w:szCs w:val="28"/>
        </w:rPr>
      </w:pPr>
    </w:p>
    <w:p w14:paraId="5440C09F">
      <w:pPr>
        <w:pStyle w:val="44"/>
        <w:rPr>
          <w:rFonts w:hint="eastAsia" w:ascii="仿宋" w:hAnsi="仿宋" w:eastAsia="仿宋" w:cs="仿宋"/>
          <w:color w:val="auto"/>
          <w:sz w:val="28"/>
          <w:szCs w:val="28"/>
        </w:rPr>
      </w:pPr>
    </w:p>
    <w:p w14:paraId="074FEB95">
      <w:pPr>
        <w:pStyle w:val="44"/>
        <w:rPr>
          <w:rFonts w:hint="eastAsia" w:ascii="仿宋" w:hAnsi="仿宋" w:eastAsia="仿宋" w:cs="仿宋"/>
          <w:color w:val="auto"/>
          <w:sz w:val="28"/>
          <w:szCs w:val="28"/>
        </w:rPr>
      </w:pPr>
    </w:p>
    <w:p w14:paraId="7B7CF232">
      <w:pPr>
        <w:pStyle w:val="44"/>
        <w:rPr>
          <w:rFonts w:hint="eastAsia" w:ascii="仿宋" w:hAnsi="仿宋" w:eastAsia="仿宋" w:cs="仿宋"/>
          <w:color w:val="auto"/>
          <w:sz w:val="28"/>
          <w:szCs w:val="28"/>
        </w:rPr>
      </w:pPr>
    </w:p>
    <w:p w14:paraId="67E5C407">
      <w:pPr>
        <w:pStyle w:val="44"/>
        <w:rPr>
          <w:rFonts w:hint="eastAsia" w:ascii="仿宋" w:hAnsi="仿宋" w:eastAsia="仿宋" w:cs="仿宋"/>
          <w:color w:val="auto"/>
          <w:sz w:val="28"/>
          <w:szCs w:val="28"/>
        </w:rPr>
      </w:pPr>
    </w:p>
    <w:p w14:paraId="0315CB9F">
      <w:pPr>
        <w:pStyle w:val="44"/>
        <w:rPr>
          <w:rFonts w:hint="eastAsia" w:ascii="仿宋" w:hAnsi="仿宋" w:eastAsia="仿宋" w:cs="仿宋"/>
          <w:color w:val="auto"/>
          <w:sz w:val="28"/>
          <w:szCs w:val="28"/>
        </w:rPr>
      </w:pPr>
    </w:p>
    <w:p w14:paraId="2BB1EC67">
      <w:pPr>
        <w:pStyle w:val="44"/>
        <w:rPr>
          <w:rFonts w:hint="eastAsia" w:ascii="仿宋" w:hAnsi="仿宋" w:eastAsia="仿宋" w:cs="仿宋"/>
          <w:color w:val="auto"/>
          <w:sz w:val="28"/>
          <w:szCs w:val="28"/>
        </w:rPr>
      </w:pPr>
    </w:p>
    <w:p w14:paraId="6ACA6331">
      <w:pPr>
        <w:pStyle w:val="44"/>
        <w:rPr>
          <w:rFonts w:hint="eastAsia" w:ascii="仿宋" w:hAnsi="仿宋" w:eastAsia="仿宋" w:cs="仿宋"/>
          <w:color w:val="auto"/>
          <w:sz w:val="28"/>
          <w:szCs w:val="28"/>
        </w:rPr>
      </w:pPr>
    </w:p>
    <w:p w14:paraId="460380D5">
      <w:pPr>
        <w:pStyle w:val="44"/>
        <w:rPr>
          <w:rFonts w:hint="eastAsia" w:ascii="仿宋" w:hAnsi="仿宋" w:eastAsia="仿宋" w:cs="仿宋"/>
          <w:color w:val="auto"/>
          <w:sz w:val="28"/>
          <w:szCs w:val="28"/>
        </w:rPr>
      </w:pPr>
    </w:p>
    <w:p w14:paraId="2975CC49">
      <w:pPr>
        <w:pStyle w:val="44"/>
        <w:rPr>
          <w:rFonts w:hint="eastAsia" w:ascii="仿宋" w:hAnsi="仿宋" w:eastAsia="仿宋" w:cs="仿宋"/>
          <w:color w:val="auto"/>
          <w:sz w:val="28"/>
          <w:szCs w:val="28"/>
        </w:rPr>
      </w:pPr>
    </w:p>
    <w:p w14:paraId="7B6108C9">
      <w:pPr>
        <w:pStyle w:val="44"/>
        <w:rPr>
          <w:rFonts w:hint="eastAsia" w:ascii="仿宋" w:hAnsi="仿宋" w:eastAsia="仿宋" w:cs="仿宋"/>
          <w:color w:val="auto"/>
          <w:sz w:val="28"/>
          <w:szCs w:val="28"/>
        </w:rPr>
      </w:pPr>
    </w:p>
    <w:p w14:paraId="409E7669">
      <w:pPr>
        <w:pStyle w:val="44"/>
        <w:rPr>
          <w:rFonts w:hint="eastAsia" w:ascii="仿宋" w:hAnsi="仿宋" w:eastAsia="仿宋" w:cs="仿宋"/>
          <w:color w:val="auto"/>
          <w:sz w:val="28"/>
          <w:szCs w:val="28"/>
        </w:rPr>
      </w:pPr>
    </w:p>
    <w:p w14:paraId="008453BD">
      <w:pPr>
        <w:pStyle w:val="44"/>
        <w:rPr>
          <w:rFonts w:hint="eastAsia" w:ascii="仿宋" w:hAnsi="仿宋" w:eastAsia="仿宋" w:cs="仿宋"/>
          <w:color w:val="auto"/>
          <w:sz w:val="28"/>
          <w:szCs w:val="28"/>
        </w:rPr>
      </w:pPr>
    </w:p>
    <w:p w14:paraId="6F9F2592">
      <w:pPr>
        <w:pStyle w:val="44"/>
        <w:rPr>
          <w:rFonts w:hint="eastAsia" w:ascii="仿宋" w:hAnsi="仿宋" w:eastAsia="仿宋" w:cs="仿宋"/>
          <w:color w:val="auto"/>
          <w:sz w:val="28"/>
          <w:szCs w:val="28"/>
        </w:rPr>
      </w:pPr>
    </w:p>
    <w:p w14:paraId="76F31D80">
      <w:pPr>
        <w:pStyle w:val="44"/>
        <w:rPr>
          <w:rFonts w:hint="eastAsia" w:ascii="仿宋" w:hAnsi="仿宋" w:eastAsia="仿宋" w:cs="仿宋"/>
          <w:color w:val="auto"/>
          <w:sz w:val="28"/>
          <w:szCs w:val="28"/>
        </w:rPr>
      </w:pPr>
    </w:p>
    <w:p w14:paraId="2E9A2599">
      <w:pPr>
        <w:pStyle w:val="44"/>
        <w:rPr>
          <w:rFonts w:hint="eastAsia" w:ascii="仿宋" w:hAnsi="仿宋" w:eastAsia="仿宋" w:cs="仿宋"/>
          <w:color w:val="auto"/>
          <w:sz w:val="28"/>
          <w:szCs w:val="28"/>
        </w:rPr>
      </w:pPr>
    </w:p>
    <w:p w14:paraId="53B680E8">
      <w:pPr>
        <w:pStyle w:val="44"/>
        <w:rPr>
          <w:rFonts w:hint="eastAsia" w:ascii="仿宋" w:hAnsi="仿宋" w:eastAsia="仿宋" w:cs="仿宋"/>
          <w:color w:val="auto"/>
          <w:sz w:val="28"/>
          <w:szCs w:val="28"/>
        </w:rPr>
      </w:pPr>
    </w:p>
    <w:p w14:paraId="258CDDA6">
      <w:pPr>
        <w:pStyle w:val="44"/>
        <w:rPr>
          <w:rFonts w:hint="eastAsia" w:ascii="仿宋" w:hAnsi="仿宋" w:eastAsia="仿宋" w:cs="仿宋"/>
          <w:color w:val="auto"/>
          <w:sz w:val="28"/>
          <w:szCs w:val="28"/>
        </w:rPr>
      </w:pPr>
    </w:p>
    <w:p w14:paraId="4F0ABEAD">
      <w:pPr>
        <w:pStyle w:val="44"/>
        <w:rPr>
          <w:rFonts w:hint="eastAsia" w:ascii="仿宋" w:hAnsi="仿宋" w:eastAsia="仿宋" w:cs="仿宋"/>
          <w:color w:val="auto"/>
          <w:sz w:val="28"/>
          <w:szCs w:val="28"/>
        </w:rPr>
      </w:pPr>
    </w:p>
    <w:p w14:paraId="671E6839">
      <w:pPr>
        <w:pStyle w:val="44"/>
        <w:rPr>
          <w:rFonts w:hint="eastAsia" w:ascii="仿宋" w:hAnsi="仿宋" w:eastAsia="仿宋" w:cs="仿宋"/>
          <w:color w:val="auto"/>
          <w:sz w:val="28"/>
          <w:szCs w:val="28"/>
        </w:rPr>
      </w:pPr>
    </w:p>
    <w:p w14:paraId="0CF5DA3B">
      <w:pPr>
        <w:pStyle w:val="44"/>
        <w:rPr>
          <w:rFonts w:hint="eastAsia" w:ascii="仿宋" w:hAnsi="仿宋" w:eastAsia="仿宋" w:cs="仿宋"/>
          <w:color w:val="auto"/>
          <w:sz w:val="28"/>
          <w:szCs w:val="28"/>
        </w:rPr>
      </w:pPr>
    </w:p>
    <w:p w14:paraId="1B3D8550">
      <w:pPr>
        <w:pStyle w:val="44"/>
        <w:rPr>
          <w:rFonts w:hint="eastAsia" w:ascii="仿宋" w:hAnsi="仿宋" w:eastAsia="仿宋" w:cs="仿宋"/>
          <w:color w:val="auto"/>
          <w:sz w:val="28"/>
          <w:szCs w:val="28"/>
        </w:rPr>
      </w:pPr>
    </w:p>
    <w:p w14:paraId="4D181684">
      <w:pPr>
        <w:pStyle w:val="44"/>
        <w:rPr>
          <w:rFonts w:hint="eastAsia" w:ascii="仿宋" w:hAnsi="仿宋" w:eastAsia="仿宋" w:cs="仿宋"/>
          <w:color w:val="auto"/>
          <w:sz w:val="28"/>
          <w:szCs w:val="28"/>
        </w:rPr>
      </w:pPr>
    </w:p>
    <w:p w14:paraId="145C7363">
      <w:pPr>
        <w:pStyle w:val="44"/>
        <w:rPr>
          <w:rFonts w:hint="eastAsia" w:ascii="仿宋" w:hAnsi="仿宋" w:eastAsia="仿宋" w:cs="仿宋"/>
          <w:color w:val="auto"/>
          <w:sz w:val="28"/>
          <w:szCs w:val="28"/>
        </w:rPr>
      </w:pPr>
    </w:p>
    <w:p w14:paraId="4F68C1C0">
      <w:pPr>
        <w:pStyle w:val="44"/>
        <w:rPr>
          <w:rFonts w:hint="eastAsia" w:ascii="仿宋" w:hAnsi="仿宋" w:eastAsia="仿宋" w:cs="仿宋"/>
          <w:color w:val="auto"/>
          <w:sz w:val="28"/>
          <w:szCs w:val="28"/>
        </w:rPr>
      </w:pPr>
    </w:p>
    <w:p w14:paraId="6D7A7BC3">
      <w:pPr>
        <w:pStyle w:val="44"/>
        <w:rPr>
          <w:rFonts w:hint="eastAsia" w:ascii="仿宋" w:hAnsi="仿宋" w:eastAsia="仿宋" w:cs="仿宋"/>
          <w:color w:val="auto"/>
          <w:sz w:val="28"/>
          <w:szCs w:val="28"/>
        </w:rPr>
      </w:pPr>
    </w:p>
    <w:p w14:paraId="5B56B4CC">
      <w:pPr>
        <w:autoSpaceDE w:val="0"/>
        <w:autoSpaceDN w:val="0"/>
        <w:adjustRightInd w:val="0"/>
        <w:spacing w:line="360" w:lineRule="auto"/>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供应商业绩证明资料</w:t>
      </w:r>
    </w:p>
    <w:tbl>
      <w:tblPr>
        <w:tblStyle w:val="46"/>
        <w:tblW w:w="88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046"/>
        <w:gridCol w:w="2600"/>
        <w:gridCol w:w="1697"/>
        <w:gridCol w:w="1657"/>
      </w:tblGrid>
      <w:tr w14:paraId="7AB9D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5" w:type="dxa"/>
            <w:noWrap w:val="0"/>
            <w:vAlign w:val="center"/>
          </w:tcPr>
          <w:p w14:paraId="06CCE99B">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046" w:type="dxa"/>
            <w:noWrap w:val="0"/>
            <w:vAlign w:val="center"/>
          </w:tcPr>
          <w:p w14:paraId="376F32A5">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2600" w:type="dxa"/>
            <w:noWrap w:val="0"/>
            <w:vAlign w:val="center"/>
          </w:tcPr>
          <w:p w14:paraId="488326FE">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业主</w:t>
            </w:r>
            <w:r>
              <w:rPr>
                <w:rFonts w:hint="eastAsia" w:ascii="仿宋" w:hAnsi="仿宋" w:eastAsia="仿宋" w:cs="仿宋"/>
                <w:b/>
                <w:color w:val="auto"/>
                <w:sz w:val="24"/>
                <w:szCs w:val="24"/>
              </w:rPr>
              <w:t>名称</w:t>
            </w:r>
          </w:p>
        </w:tc>
        <w:tc>
          <w:tcPr>
            <w:tcW w:w="1697" w:type="dxa"/>
            <w:noWrap w:val="0"/>
            <w:vAlign w:val="center"/>
          </w:tcPr>
          <w:p w14:paraId="04B117C8">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合同金额</w:t>
            </w:r>
          </w:p>
        </w:tc>
        <w:tc>
          <w:tcPr>
            <w:tcW w:w="1657" w:type="dxa"/>
            <w:noWrap w:val="0"/>
            <w:vAlign w:val="center"/>
          </w:tcPr>
          <w:p w14:paraId="407FDE1E">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合同</w:t>
            </w:r>
          </w:p>
          <w:p w14:paraId="27B38A3C">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签订时间</w:t>
            </w:r>
          </w:p>
        </w:tc>
      </w:tr>
      <w:tr w14:paraId="0B160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2BD7724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7B268F4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697EAAE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1E7FEC6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67024136">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22E0F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38E3D7C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312A1D06">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0C4C5BE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54F6903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166D109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456F9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5" w:type="dxa"/>
            <w:noWrap w:val="0"/>
            <w:vAlign w:val="top"/>
          </w:tcPr>
          <w:p w14:paraId="715BFDA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362B06B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05F3484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1F21DE75">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5038638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27E41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16AAD49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4C67DEC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1403920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0FD0C746">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7D6AECC2">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03036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4117307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7EB011F6">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76A4326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6DC71836">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2B22036F">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7D641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4220476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67E52F6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1B544A15">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3BD8E3D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458DFB6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23C52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5" w:type="dxa"/>
            <w:noWrap w:val="0"/>
            <w:vAlign w:val="top"/>
          </w:tcPr>
          <w:p w14:paraId="45B10F9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55F5146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5DBDBD4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3940E1A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36BA85CC">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0A526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74E7D472">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28831DD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214ABBC2">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559BD94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76FCD0E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568C0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73031A1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778CDB6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007BD65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05EC0A95">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2BB25B3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2611A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noWrap w:val="0"/>
            <w:vAlign w:val="top"/>
          </w:tcPr>
          <w:p w14:paraId="0CA9063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046" w:type="dxa"/>
            <w:noWrap w:val="0"/>
            <w:vAlign w:val="top"/>
          </w:tcPr>
          <w:p w14:paraId="64BADBA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2600" w:type="dxa"/>
            <w:noWrap w:val="0"/>
            <w:vAlign w:val="top"/>
          </w:tcPr>
          <w:p w14:paraId="613F03B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97" w:type="dxa"/>
            <w:noWrap w:val="0"/>
            <w:vAlign w:val="top"/>
          </w:tcPr>
          <w:p w14:paraId="79F45EC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c>
          <w:tcPr>
            <w:tcW w:w="1657" w:type="dxa"/>
            <w:noWrap w:val="0"/>
            <w:vAlign w:val="top"/>
          </w:tcPr>
          <w:p w14:paraId="7197DB7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bl>
    <w:p w14:paraId="6DBCF2CD">
      <w:pPr>
        <w:rPr>
          <w:rFonts w:hint="eastAsia" w:ascii="仿宋" w:hAnsi="仿宋" w:eastAsia="仿宋" w:cs="仿宋"/>
          <w:color w:val="auto"/>
          <w:sz w:val="28"/>
          <w:szCs w:val="28"/>
        </w:rPr>
      </w:pPr>
    </w:p>
    <w:p w14:paraId="606B66D1">
      <w:pPr>
        <w:autoSpaceDE w:val="0"/>
        <w:autoSpaceDN w:val="0"/>
        <w:adjustRightInd w:val="0"/>
        <w:spacing w:line="560" w:lineRule="exact"/>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注：1.本表后附合同复印件，签订时间及金额以合同中的内容为准。</w:t>
      </w:r>
    </w:p>
    <w:p w14:paraId="5F62E9EB">
      <w:pPr>
        <w:spacing w:line="540" w:lineRule="exact"/>
        <w:ind w:right="-197" w:rightChars="-94" w:firstLine="560" w:firstLineChars="200"/>
        <w:jc w:val="left"/>
        <w:rPr>
          <w:rFonts w:hint="eastAsia" w:ascii="仿宋" w:hAnsi="仿宋" w:eastAsia="仿宋" w:cs="仿宋"/>
          <w:color w:val="auto"/>
          <w:sz w:val="28"/>
          <w:szCs w:val="28"/>
        </w:rPr>
      </w:pPr>
    </w:p>
    <w:p w14:paraId="696C5613">
      <w:pPr>
        <w:spacing w:line="540" w:lineRule="exact"/>
        <w:ind w:right="-197" w:rightChars="-94" w:firstLine="560" w:firstLineChars="200"/>
        <w:jc w:val="left"/>
        <w:rPr>
          <w:rFonts w:hint="eastAsia" w:ascii="仿宋" w:hAnsi="仿宋" w:eastAsia="仿宋" w:cs="仿宋"/>
          <w:color w:val="auto"/>
          <w:sz w:val="28"/>
          <w:szCs w:val="28"/>
        </w:rPr>
      </w:pPr>
    </w:p>
    <w:p w14:paraId="3E90FE09">
      <w:pPr>
        <w:spacing w:line="360" w:lineRule="auto"/>
        <w:ind w:firstLine="1890" w:firstLineChars="900"/>
        <w:jc w:val="both"/>
        <w:rPr>
          <w:rFonts w:hint="eastAsia" w:ascii="仿宋" w:hAnsi="仿宋" w:eastAsia="仿宋" w:cs="仿宋"/>
          <w:color w:val="auto"/>
          <w:sz w:val="21"/>
          <w:szCs w:val="21"/>
        </w:rPr>
      </w:pPr>
      <w:r>
        <w:rPr>
          <w:rFonts w:hint="eastAsia" w:ascii="仿宋" w:hAnsi="仿宋" w:eastAsia="仿宋" w:cs="仿宋"/>
          <w:color w:val="auto"/>
          <w:sz w:val="21"/>
          <w:szCs w:val="21"/>
        </w:rPr>
        <w:t>供应商（公章）：</w:t>
      </w:r>
      <w:r>
        <w:rPr>
          <w:rFonts w:hint="eastAsia" w:ascii="仿宋" w:hAnsi="仿宋" w:eastAsia="仿宋" w:cs="仿宋"/>
          <w:color w:val="auto"/>
          <w:sz w:val="21"/>
          <w:szCs w:val="21"/>
          <w:u w:val="single"/>
        </w:rPr>
        <w:t xml:space="preserve">                     </w:t>
      </w:r>
    </w:p>
    <w:p w14:paraId="35B4C6B2">
      <w:pPr>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 xml:space="preserve">                  法定代表人或授权代表（签字或盖章）：</w:t>
      </w:r>
    </w:p>
    <w:p w14:paraId="4101C18F">
      <w:pPr>
        <w:autoSpaceDE w:val="0"/>
        <w:autoSpaceDN w:val="0"/>
        <w:adjustRightInd w:val="0"/>
        <w:spacing w:line="360" w:lineRule="auto"/>
        <w:ind w:firstLine="210" w:firstLineChars="100"/>
        <w:jc w:val="both"/>
        <w:rPr>
          <w:rFonts w:hint="eastAsia" w:ascii="仿宋" w:hAnsi="仿宋" w:eastAsia="仿宋" w:cs="仿宋"/>
          <w:b/>
          <w:bCs/>
          <w:color w:val="auto"/>
          <w:sz w:val="21"/>
          <w:szCs w:val="21"/>
          <w:lang w:val="zh-CN" w:eastAsia="zh-CN"/>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highlight w:val="none"/>
        </w:rPr>
        <w:t>日 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6517F185">
      <w:pPr>
        <w:pStyle w:val="44"/>
        <w:rPr>
          <w:rFonts w:hint="eastAsia" w:ascii="仿宋" w:hAnsi="仿宋" w:eastAsia="仿宋" w:cs="仿宋"/>
          <w:color w:val="auto"/>
          <w:sz w:val="28"/>
          <w:szCs w:val="28"/>
        </w:rPr>
      </w:pPr>
    </w:p>
    <w:p w14:paraId="1A4792B8">
      <w:pPr>
        <w:pStyle w:val="44"/>
        <w:rPr>
          <w:rFonts w:hint="eastAsia" w:ascii="仿宋" w:hAnsi="仿宋" w:eastAsia="仿宋" w:cs="仿宋"/>
          <w:color w:val="auto"/>
          <w:sz w:val="28"/>
          <w:szCs w:val="28"/>
        </w:rPr>
      </w:pPr>
    </w:p>
    <w:p w14:paraId="4369EE06">
      <w:pPr>
        <w:pStyle w:val="44"/>
        <w:rPr>
          <w:rFonts w:hint="eastAsia" w:ascii="仿宋" w:hAnsi="仿宋" w:eastAsia="仿宋" w:cs="仿宋"/>
          <w:color w:val="auto"/>
          <w:sz w:val="28"/>
          <w:szCs w:val="28"/>
        </w:rPr>
      </w:pPr>
    </w:p>
    <w:p w14:paraId="0D094492">
      <w:pPr>
        <w:pStyle w:val="44"/>
        <w:rPr>
          <w:rFonts w:hint="eastAsia" w:ascii="仿宋" w:hAnsi="仿宋" w:eastAsia="仿宋" w:cs="仿宋"/>
          <w:color w:val="auto"/>
          <w:sz w:val="28"/>
          <w:szCs w:val="28"/>
        </w:rPr>
      </w:pPr>
    </w:p>
    <w:p w14:paraId="0A34C548">
      <w:pPr>
        <w:pStyle w:val="44"/>
        <w:rPr>
          <w:rFonts w:hint="eastAsia" w:ascii="仿宋" w:hAnsi="仿宋" w:eastAsia="仿宋" w:cs="仿宋"/>
          <w:color w:val="auto"/>
          <w:sz w:val="28"/>
          <w:szCs w:val="28"/>
        </w:rPr>
      </w:pPr>
    </w:p>
    <w:p w14:paraId="6EDA06BE">
      <w:pPr>
        <w:rPr>
          <w:rFonts w:hint="eastAsia" w:ascii="仿宋" w:hAnsi="仿宋" w:eastAsia="仿宋" w:cs="仿宋"/>
          <w:color w:val="auto"/>
          <w:sz w:val="28"/>
          <w:szCs w:val="28"/>
        </w:rPr>
      </w:pPr>
      <w:r>
        <w:rPr>
          <w:rFonts w:hint="eastAsia" w:ascii="仿宋" w:hAnsi="仿宋" w:eastAsia="仿宋" w:cs="仿宋"/>
          <w:b/>
          <w:bCs w:val="0"/>
          <w:color w:val="auto"/>
          <w:kern w:val="2"/>
          <w:sz w:val="28"/>
          <w:szCs w:val="28"/>
          <w:highlight w:val="none"/>
          <w:lang w:val="en-US" w:eastAsia="zh-CN" w:bidi="ar-SA"/>
        </w:rPr>
        <w:br w:type="page"/>
      </w:r>
    </w:p>
    <w:p w14:paraId="3A25CEA6">
      <w:pPr>
        <w:pStyle w:val="3"/>
        <w:numPr>
          <w:ilvl w:val="0"/>
          <w:numId w:val="0"/>
        </w:numPr>
        <w:spacing w:line="240" w:lineRule="auto"/>
        <w:ind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其它证明资料</w:t>
      </w:r>
    </w:p>
    <w:p w14:paraId="36A92EA2">
      <w:pPr>
        <w:widowControl w:val="0"/>
        <w:numPr>
          <w:ilvl w:val="0"/>
          <w:numId w:val="0"/>
        </w:numPr>
        <w:jc w:val="both"/>
        <w:rPr>
          <w:rFonts w:hint="eastAsia" w:ascii="仿宋" w:hAnsi="仿宋" w:eastAsia="仿宋" w:cs="仿宋"/>
          <w:color w:val="auto"/>
        </w:rPr>
      </w:pPr>
    </w:p>
    <w:p w14:paraId="55A39BCA">
      <w:pPr>
        <w:pStyle w:val="44"/>
        <w:rPr>
          <w:rFonts w:hint="eastAsia" w:ascii="仿宋" w:hAnsi="仿宋" w:eastAsia="仿宋" w:cs="仿宋"/>
          <w:color w:val="auto"/>
        </w:rPr>
      </w:pPr>
    </w:p>
    <w:p w14:paraId="6BB0B1CD">
      <w:pPr>
        <w:pStyle w:val="44"/>
        <w:rPr>
          <w:rFonts w:hint="eastAsia" w:ascii="仿宋" w:hAnsi="仿宋" w:eastAsia="仿宋" w:cs="仿宋"/>
          <w:color w:val="auto"/>
        </w:rPr>
      </w:pPr>
    </w:p>
    <w:p w14:paraId="670B13B9">
      <w:pPr>
        <w:rPr>
          <w:rFonts w:hint="eastAsia" w:ascii="仿宋" w:hAnsi="仿宋" w:eastAsia="仿宋" w:cs="仿宋"/>
          <w:color w:val="auto"/>
        </w:rPr>
      </w:pPr>
    </w:p>
    <w:p w14:paraId="4D95E386">
      <w:pPr>
        <w:rPr>
          <w:rFonts w:hint="eastAsia" w:ascii="仿宋" w:hAnsi="仿宋" w:eastAsia="仿宋" w:cs="仿宋"/>
          <w:color w:val="auto"/>
        </w:rPr>
      </w:pPr>
    </w:p>
    <w:p w14:paraId="0819220C">
      <w:pPr>
        <w:rPr>
          <w:rFonts w:hint="eastAsia" w:ascii="仿宋" w:hAnsi="仿宋" w:eastAsia="仿宋" w:cs="仿宋"/>
          <w:color w:val="auto"/>
        </w:rPr>
      </w:pPr>
    </w:p>
    <w:p w14:paraId="48C3D9A0">
      <w:pPr>
        <w:rPr>
          <w:rFonts w:hint="eastAsia" w:ascii="仿宋" w:hAnsi="仿宋" w:eastAsia="仿宋" w:cs="仿宋"/>
          <w:color w:val="auto"/>
        </w:rPr>
      </w:pPr>
    </w:p>
    <w:p w14:paraId="60F7F42F">
      <w:pPr>
        <w:rPr>
          <w:rFonts w:hint="eastAsia" w:ascii="仿宋" w:hAnsi="仿宋" w:eastAsia="仿宋" w:cs="仿宋"/>
          <w:color w:val="auto"/>
        </w:rPr>
      </w:pPr>
    </w:p>
    <w:p w14:paraId="53E8D93D">
      <w:pPr>
        <w:rPr>
          <w:rFonts w:hint="eastAsia" w:ascii="仿宋" w:hAnsi="仿宋" w:eastAsia="仿宋" w:cs="仿宋"/>
          <w:color w:val="auto"/>
        </w:rPr>
      </w:pPr>
    </w:p>
    <w:p w14:paraId="1847CA7F">
      <w:pPr>
        <w:rPr>
          <w:rFonts w:hint="eastAsia" w:ascii="仿宋" w:hAnsi="仿宋" w:eastAsia="仿宋" w:cs="仿宋"/>
          <w:color w:val="auto"/>
        </w:rPr>
      </w:pPr>
    </w:p>
    <w:p w14:paraId="1385CF47">
      <w:pPr>
        <w:rPr>
          <w:rFonts w:hint="eastAsia" w:ascii="仿宋" w:hAnsi="仿宋" w:eastAsia="仿宋" w:cs="仿宋"/>
          <w:color w:val="auto"/>
        </w:rPr>
      </w:pPr>
    </w:p>
    <w:p w14:paraId="451375AB">
      <w:pPr>
        <w:rPr>
          <w:rFonts w:hint="eastAsia" w:ascii="仿宋" w:hAnsi="仿宋" w:eastAsia="仿宋" w:cs="仿宋"/>
          <w:color w:val="auto"/>
        </w:rPr>
      </w:pPr>
    </w:p>
    <w:p w14:paraId="5CAD251E">
      <w:pPr>
        <w:rPr>
          <w:rFonts w:hint="eastAsia" w:ascii="仿宋" w:hAnsi="仿宋" w:eastAsia="仿宋" w:cs="仿宋"/>
          <w:color w:val="auto"/>
        </w:rPr>
      </w:pPr>
    </w:p>
    <w:p w14:paraId="1081DAE6">
      <w:pPr>
        <w:rPr>
          <w:rFonts w:hint="eastAsia" w:ascii="仿宋" w:hAnsi="仿宋" w:eastAsia="仿宋" w:cs="仿宋"/>
          <w:color w:val="auto"/>
        </w:rPr>
      </w:pPr>
    </w:p>
    <w:p w14:paraId="3806534C">
      <w:pPr>
        <w:rPr>
          <w:rFonts w:hint="eastAsia" w:ascii="仿宋" w:hAnsi="仿宋" w:eastAsia="仿宋" w:cs="仿宋"/>
          <w:color w:val="auto"/>
        </w:rPr>
      </w:pPr>
    </w:p>
    <w:p w14:paraId="5FF6CDEC">
      <w:pPr>
        <w:rPr>
          <w:rFonts w:hint="eastAsia" w:ascii="仿宋" w:hAnsi="仿宋" w:eastAsia="仿宋" w:cs="仿宋"/>
          <w:color w:val="auto"/>
        </w:rPr>
      </w:pPr>
    </w:p>
    <w:p w14:paraId="5CECCC24">
      <w:pPr>
        <w:rPr>
          <w:rFonts w:hint="eastAsia" w:ascii="仿宋" w:hAnsi="仿宋" w:eastAsia="仿宋" w:cs="仿宋"/>
          <w:color w:val="auto"/>
        </w:rPr>
      </w:pPr>
    </w:p>
    <w:p w14:paraId="64AA19B0">
      <w:pPr>
        <w:rPr>
          <w:rFonts w:hint="eastAsia" w:ascii="仿宋" w:hAnsi="仿宋" w:eastAsia="仿宋" w:cs="仿宋"/>
          <w:color w:val="auto"/>
        </w:rPr>
      </w:pPr>
    </w:p>
    <w:p w14:paraId="24E291F5">
      <w:pPr>
        <w:rPr>
          <w:rFonts w:hint="eastAsia" w:ascii="仿宋" w:hAnsi="仿宋" w:eastAsia="仿宋" w:cs="仿宋"/>
          <w:color w:val="auto"/>
        </w:rPr>
      </w:pPr>
    </w:p>
    <w:p w14:paraId="218DBCFD">
      <w:pPr>
        <w:rPr>
          <w:rFonts w:hint="eastAsia" w:ascii="仿宋" w:hAnsi="仿宋" w:eastAsia="仿宋" w:cs="仿宋"/>
          <w:color w:val="auto"/>
        </w:rPr>
      </w:pPr>
    </w:p>
    <w:p w14:paraId="706BB828">
      <w:pPr>
        <w:rPr>
          <w:rFonts w:hint="eastAsia" w:ascii="仿宋" w:hAnsi="仿宋" w:eastAsia="仿宋" w:cs="仿宋"/>
          <w:color w:val="auto"/>
        </w:rPr>
      </w:pPr>
    </w:p>
    <w:p w14:paraId="421C3524">
      <w:pPr>
        <w:rPr>
          <w:rFonts w:hint="eastAsia" w:ascii="仿宋" w:hAnsi="仿宋" w:eastAsia="仿宋" w:cs="仿宋"/>
          <w:color w:val="auto"/>
        </w:rPr>
      </w:pPr>
    </w:p>
    <w:p w14:paraId="12759F82">
      <w:pPr>
        <w:rPr>
          <w:rFonts w:hint="eastAsia" w:ascii="仿宋" w:hAnsi="仿宋" w:eastAsia="仿宋" w:cs="仿宋"/>
          <w:color w:val="auto"/>
        </w:rPr>
      </w:pPr>
    </w:p>
    <w:p w14:paraId="2B61D395">
      <w:pPr>
        <w:rPr>
          <w:rFonts w:hint="eastAsia" w:ascii="仿宋" w:hAnsi="仿宋" w:eastAsia="仿宋" w:cs="仿宋"/>
          <w:color w:val="auto"/>
        </w:rPr>
      </w:pPr>
    </w:p>
    <w:p w14:paraId="5F9C6FB3">
      <w:pPr>
        <w:rPr>
          <w:rFonts w:hint="eastAsia" w:ascii="仿宋" w:hAnsi="仿宋" w:eastAsia="仿宋" w:cs="仿宋"/>
          <w:color w:val="auto"/>
        </w:rPr>
      </w:pPr>
    </w:p>
    <w:p w14:paraId="23E437C8">
      <w:pPr>
        <w:rPr>
          <w:rFonts w:hint="eastAsia" w:ascii="仿宋" w:hAnsi="仿宋" w:eastAsia="仿宋" w:cs="仿宋"/>
          <w:color w:val="auto"/>
        </w:rPr>
      </w:pPr>
    </w:p>
    <w:p w14:paraId="44A2140B">
      <w:pPr>
        <w:rPr>
          <w:rFonts w:hint="eastAsia" w:ascii="仿宋" w:hAnsi="仿宋" w:eastAsia="仿宋" w:cs="仿宋"/>
          <w:color w:val="auto"/>
        </w:rPr>
      </w:pPr>
    </w:p>
    <w:p w14:paraId="04DC7833">
      <w:pPr>
        <w:rPr>
          <w:rFonts w:hint="eastAsia" w:ascii="仿宋" w:hAnsi="仿宋" w:eastAsia="仿宋" w:cs="仿宋"/>
          <w:color w:val="auto"/>
        </w:rPr>
      </w:pPr>
    </w:p>
    <w:p w14:paraId="575E6862">
      <w:pPr>
        <w:rPr>
          <w:rFonts w:hint="eastAsia" w:ascii="仿宋" w:hAnsi="仿宋" w:eastAsia="仿宋" w:cs="仿宋"/>
          <w:color w:val="auto"/>
        </w:rPr>
      </w:pPr>
    </w:p>
    <w:p w14:paraId="0D35F54D">
      <w:pPr>
        <w:rPr>
          <w:rFonts w:hint="eastAsia" w:ascii="仿宋" w:hAnsi="仿宋" w:eastAsia="仿宋" w:cs="仿宋"/>
          <w:color w:val="auto"/>
        </w:rPr>
      </w:pPr>
    </w:p>
    <w:p w14:paraId="4636F499">
      <w:pPr>
        <w:rPr>
          <w:rFonts w:hint="eastAsia" w:ascii="仿宋" w:hAnsi="仿宋" w:eastAsia="仿宋" w:cs="仿宋"/>
          <w:color w:val="auto"/>
        </w:rPr>
      </w:pPr>
    </w:p>
    <w:p w14:paraId="7333227D">
      <w:pPr>
        <w:rPr>
          <w:rFonts w:hint="eastAsia" w:ascii="仿宋" w:hAnsi="仿宋" w:eastAsia="仿宋" w:cs="仿宋"/>
          <w:color w:val="auto"/>
        </w:rPr>
      </w:pPr>
    </w:p>
    <w:p w14:paraId="37DC9713">
      <w:pPr>
        <w:rPr>
          <w:rFonts w:hint="eastAsia" w:ascii="仿宋" w:hAnsi="仿宋" w:eastAsia="仿宋" w:cs="仿宋"/>
          <w:color w:val="auto"/>
        </w:rPr>
      </w:pPr>
    </w:p>
    <w:p w14:paraId="6A91070D">
      <w:pPr>
        <w:rPr>
          <w:rFonts w:hint="eastAsia" w:ascii="仿宋" w:hAnsi="仿宋" w:eastAsia="仿宋" w:cs="仿宋"/>
          <w:color w:val="auto"/>
        </w:rPr>
      </w:pPr>
    </w:p>
    <w:p w14:paraId="37C755FE">
      <w:pPr>
        <w:rPr>
          <w:rFonts w:hint="eastAsia" w:ascii="仿宋" w:hAnsi="仿宋" w:eastAsia="仿宋" w:cs="仿宋"/>
          <w:color w:val="auto"/>
        </w:rPr>
      </w:pPr>
    </w:p>
    <w:p w14:paraId="43D42372">
      <w:pPr>
        <w:rPr>
          <w:rFonts w:hint="eastAsia" w:ascii="仿宋" w:hAnsi="仿宋" w:eastAsia="仿宋" w:cs="仿宋"/>
          <w:color w:val="auto"/>
        </w:rPr>
      </w:pPr>
    </w:p>
    <w:p w14:paraId="507BE7D5">
      <w:pPr>
        <w:rPr>
          <w:rFonts w:hint="eastAsia" w:ascii="仿宋" w:hAnsi="仿宋" w:eastAsia="仿宋" w:cs="仿宋"/>
          <w:color w:val="auto"/>
        </w:rPr>
      </w:pPr>
    </w:p>
    <w:p w14:paraId="5BBA895C">
      <w:pPr>
        <w:rPr>
          <w:rFonts w:hint="eastAsia" w:ascii="仿宋" w:hAnsi="仿宋" w:eastAsia="仿宋" w:cs="仿宋"/>
          <w:color w:val="auto"/>
        </w:rPr>
      </w:pPr>
    </w:p>
    <w:p w14:paraId="01E98850">
      <w:pPr>
        <w:rPr>
          <w:rFonts w:hint="eastAsia" w:ascii="仿宋" w:hAnsi="仿宋" w:eastAsia="仿宋" w:cs="仿宋"/>
          <w:color w:val="auto"/>
        </w:rPr>
      </w:pPr>
    </w:p>
    <w:p w14:paraId="044726EB">
      <w:pPr>
        <w:rPr>
          <w:rFonts w:hint="eastAsia" w:ascii="仿宋" w:hAnsi="仿宋" w:eastAsia="仿宋" w:cs="仿宋"/>
          <w:color w:val="auto"/>
        </w:rPr>
      </w:pPr>
    </w:p>
    <w:p w14:paraId="613ECEEB">
      <w:pPr>
        <w:rPr>
          <w:rFonts w:hint="eastAsia" w:ascii="仿宋" w:hAnsi="仿宋" w:eastAsia="仿宋" w:cs="仿宋"/>
          <w:color w:val="auto"/>
        </w:rPr>
      </w:pPr>
    </w:p>
    <w:p w14:paraId="4E0E3A59">
      <w:pPr>
        <w:rPr>
          <w:rFonts w:hint="eastAsia" w:ascii="仿宋" w:hAnsi="仿宋" w:eastAsia="仿宋" w:cs="仿宋"/>
          <w:color w:val="auto"/>
        </w:rPr>
      </w:pPr>
    </w:p>
    <w:p w14:paraId="462312A5">
      <w:pPr>
        <w:rPr>
          <w:rFonts w:hint="eastAsia" w:ascii="仿宋" w:hAnsi="仿宋" w:eastAsia="仿宋" w:cs="仿宋"/>
          <w:color w:val="auto"/>
        </w:rPr>
      </w:pPr>
    </w:p>
    <w:p w14:paraId="3FE45EC6">
      <w:pPr>
        <w:pStyle w:val="44"/>
        <w:rPr>
          <w:rFonts w:hint="eastAsia" w:ascii="仿宋" w:hAnsi="仿宋" w:eastAsia="仿宋" w:cs="仿宋"/>
          <w:color w:val="auto"/>
        </w:rPr>
      </w:pPr>
    </w:p>
    <w:p w14:paraId="0A60E8D8">
      <w:pPr>
        <w:pStyle w:val="44"/>
        <w:rPr>
          <w:rFonts w:hint="eastAsia" w:ascii="仿宋" w:hAnsi="仿宋" w:eastAsia="仿宋" w:cs="仿宋"/>
          <w:color w:val="auto"/>
        </w:rPr>
      </w:pPr>
    </w:p>
    <w:p w14:paraId="519FA11D">
      <w:pPr>
        <w:pStyle w:val="44"/>
        <w:rPr>
          <w:rFonts w:hint="eastAsia" w:ascii="仿宋" w:hAnsi="仿宋" w:eastAsia="仿宋" w:cs="仿宋"/>
          <w:color w:val="auto"/>
        </w:rPr>
      </w:pPr>
    </w:p>
    <w:p w14:paraId="3A4276C7">
      <w:pPr>
        <w:pStyle w:val="44"/>
        <w:rPr>
          <w:rFonts w:hint="eastAsia" w:ascii="仿宋" w:hAnsi="仿宋" w:eastAsia="仿宋" w:cs="仿宋"/>
          <w:color w:val="auto"/>
        </w:rPr>
      </w:pPr>
    </w:p>
    <w:p w14:paraId="36E06340">
      <w:pPr>
        <w:spacing w:line="480" w:lineRule="auto"/>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7</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其它需说明事宜</w:t>
      </w:r>
    </w:p>
    <w:p w14:paraId="3B735BF1">
      <w:pPr>
        <w:spacing w:line="400" w:lineRule="exact"/>
        <w:ind w:right="-99" w:rightChars="-47"/>
        <w:rPr>
          <w:rFonts w:hint="eastAsia" w:ascii="仿宋" w:hAnsi="仿宋" w:eastAsia="仿宋" w:cs="仿宋"/>
          <w:b/>
          <w:color w:val="auto"/>
          <w:sz w:val="28"/>
          <w:szCs w:val="28"/>
        </w:rPr>
      </w:pPr>
    </w:p>
    <w:p w14:paraId="5318B3FF">
      <w:pPr>
        <w:pStyle w:val="19"/>
        <w:rPr>
          <w:rFonts w:hint="eastAsia" w:ascii="仿宋" w:hAnsi="仿宋" w:eastAsia="仿宋" w:cs="仿宋"/>
          <w:b/>
          <w:color w:val="auto"/>
          <w:sz w:val="28"/>
          <w:szCs w:val="28"/>
        </w:rPr>
      </w:pPr>
    </w:p>
    <w:p w14:paraId="4B990FBA">
      <w:pPr>
        <w:pStyle w:val="19"/>
        <w:rPr>
          <w:rFonts w:hint="eastAsia" w:ascii="仿宋" w:hAnsi="仿宋" w:eastAsia="仿宋" w:cs="仿宋"/>
          <w:b/>
          <w:color w:val="auto"/>
          <w:sz w:val="28"/>
          <w:szCs w:val="28"/>
        </w:rPr>
      </w:pPr>
    </w:p>
    <w:p w14:paraId="2DAC8DC5">
      <w:pPr>
        <w:pStyle w:val="19"/>
        <w:rPr>
          <w:rFonts w:hint="eastAsia" w:ascii="仿宋" w:hAnsi="仿宋" w:eastAsia="仿宋" w:cs="仿宋"/>
          <w:b/>
          <w:color w:val="auto"/>
          <w:sz w:val="28"/>
          <w:szCs w:val="28"/>
        </w:rPr>
      </w:pPr>
    </w:p>
    <w:p w14:paraId="05315F42">
      <w:pPr>
        <w:pStyle w:val="19"/>
        <w:rPr>
          <w:rFonts w:hint="eastAsia" w:ascii="仿宋" w:hAnsi="仿宋" w:eastAsia="仿宋" w:cs="仿宋"/>
          <w:b/>
          <w:color w:val="auto"/>
          <w:sz w:val="28"/>
          <w:szCs w:val="28"/>
        </w:rPr>
      </w:pPr>
    </w:p>
    <w:p w14:paraId="28D3631A">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03C2BB1A">
      <w:pPr>
        <w:pStyle w:val="3"/>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、《拒绝政府采购领域商业贿赂承诺书》（格式） </w:t>
      </w:r>
    </w:p>
    <w:p w14:paraId="679ACD54">
      <w:pPr>
        <w:widowControl/>
        <w:spacing w:line="480" w:lineRule="exact"/>
        <w:ind w:right="-99" w:rightChars="-47"/>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陕西省政府采购供应商</w:t>
      </w:r>
    </w:p>
    <w:p w14:paraId="26338D86">
      <w:pPr>
        <w:widowControl/>
        <w:spacing w:line="480" w:lineRule="exact"/>
        <w:ind w:right="-99" w:rightChars="-47"/>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拒绝政府采购领域商业贿赂承诺书</w:t>
      </w:r>
    </w:p>
    <w:p w14:paraId="7F60A4CC">
      <w:pPr>
        <w:widowControl/>
        <w:spacing w:line="540" w:lineRule="exact"/>
        <w:ind w:right="-99" w:rightChars="-47" w:firstLine="660" w:firstLineChars="300"/>
        <w:rPr>
          <w:rFonts w:hint="eastAsia" w:ascii="仿宋" w:hAnsi="仿宋" w:eastAsia="仿宋" w:cs="仿宋"/>
          <w:color w:val="auto"/>
          <w:sz w:val="22"/>
          <w:szCs w:val="22"/>
        </w:rPr>
      </w:pPr>
      <w:r>
        <w:rPr>
          <w:rFonts w:hint="eastAsia" w:ascii="仿宋" w:hAnsi="仿宋" w:eastAsia="仿宋" w:cs="仿宋"/>
          <w:color w:val="auto"/>
          <w:sz w:val="22"/>
          <w:szCs w:val="22"/>
        </w:rPr>
        <w:t xml:space="preserve">为响应党中央、国务院关于治理政府采购领域商业贿赂行为的号召，我单位在此庄严承诺： </w:t>
      </w:r>
    </w:p>
    <w:p w14:paraId="14E7F677">
      <w:pPr>
        <w:widowControl/>
        <w:numPr>
          <w:ilvl w:val="0"/>
          <w:numId w:val="8"/>
        </w:numPr>
        <w:spacing w:line="540" w:lineRule="exact"/>
        <w:ind w:right="-99" w:rightChars="-47" w:firstLine="440" w:firstLineChars="200"/>
        <w:rPr>
          <w:rFonts w:hint="eastAsia" w:ascii="仿宋" w:hAnsi="仿宋" w:eastAsia="仿宋" w:cs="仿宋"/>
          <w:color w:val="auto"/>
          <w:kern w:val="0"/>
          <w:sz w:val="22"/>
          <w:szCs w:val="22"/>
        </w:rPr>
      </w:pPr>
      <w:r>
        <w:rPr>
          <w:rFonts w:hint="eastAsia" w:ascii="仿宋" w:hAnsi="仿宋" w:eastAsia="仿宋" w:cs="仿宋"/>
          <w:color w:val="auto"/>
          <w:sz w:val="22"/>
          <w:szCs w:val="22"/>
        </w:rPr>
        <w:t xml:space="preserve">在参与政府采购活动中遵纪守法、诚信经营、公平竞标。 </w:t>
      </w:r>
      <w:r>
        <w:rPr>
          <w:rFonts w:hint="eastAsia" w:ascii="仿宋" w:hAnsi="仿宋" w:eastAsia="仿宋" w:cs="仿宋"/>
          <w:color w:val="auto"/>
          <w:sz w:val="22"/>
          <w:szCs w:val="22"/>
        </w:rPr>
        <w:br w:type="textWrapping"/>
      </w:r>
      <w:r>
        <w:rPr>
          <w:rFonts w:hint="eastAsia" w:ascii="仿宋" w:hAnsi="仿宋" w:eastAsia="仿宋" w:cs="仿宋"/>
          <w:color w:val="auto"/>
          <w:sz w:val="22"/>
          <w:szCs w:val="22"/>
        </w:rPr>
        <w:t xml:space="preserve">　　2、不向采购人、采购代理机构和政府采购磋商专家进行任何形式的商业贿赂以谋取交易机会。 </w:t>
      </w:r>
    </w:p>
    <w:p w14:paraId="62EBCB94">
      <w:pPr>
        <w:widowControl/>
        <w:spacing w:line="540" w:lineRule="exact"/>
        <w:ind w:right="-99" w:rightChars="-47"/>
        <w:rPr>
          <w:rFonts w:hint="eastAsia" w:ascii="仿宋" w:hAnsi="仿宋" w:eastAsia="仿宋" w:cs="仿宋"/>
          <w:color w:val="auto"/>
          <w:sz w:val="22"/>
          <w:szCs w:val="22"/>
        </w:rPr>
      </w:pPr>
      <w:r>
        <w:rPr>
          <w:rFonts w:hint="eastAsia" w:ascii="仿宋" w:hAnsi="仿宋" w:eastAsia="仿宋" w:cs="仿宋"/>
          <w:color w:val="auto"/>
          <w:sz w:val="22"/>
          <w:szCs w:val="22"/>
        </w:rPr>
        <w:t xml:space="preserve">   3、不向政府采购采购代理机构和采购人提供虚假资质文件或采用虚假应标方式参与政府采购市场竞争并谋取成交。 </w:t>
      </w:r>
    </w:p>
    <w:p w14:paraId="1C1CB329">
      <w:pPr>
        <w:widowControl/>
        <w:spacing w:line="540" w:lineRule="exact"/>
        <w:ind w:right="-99" w:rightChars="-47"/>
        <w:rPr>
          <w:rFonts w:hint="eastAsia" w:ascii="仿宋" w:hAnsi="仿宋" w:eastAsia="仿宋" w:cs="仿宋"/>
          <w:color w:val="auto"/>
          <w:sz w:val="22"/>
          <w:szCs w:val="22"/>
        </w:rPr>
      </w:pPr>
      <w:r>
        <w:rPr>
          <w:rFonts w:hint="eastAsia" w:ascii="仿宋" w:hAnsi="仿宋" w:eastAsia="仿宋" w:cs="仿宋"/>
          <w:color w:val="auto"/>
          <w:sz w:val="22"/>
          <w:szCs w:val="22"/>
        </w:rPr>
        <w:t>   4、不采取“围标、陪标”等商业欺诈手段获得政府采购定单。</w:t>
      </w:r>
    </w:p>
    <w:p w14:paraId="5085DB9E">
      <w:pPr>
        <w:widowControl/>
        <w:numPr>
          <w:ilvl w:val="0"/>
          <w:numId w:val="9"/>
        </w:numPr>
        <w:spacing w:line="540" w:lineRule="exact"/>
        <w:ind w:right="-99" w:rightChars="-47" w:firstLine="440" w:firstLineChars="200"/>
        <w:rPr>
          <w:rFonts w:hint="eastAsia" w:ascii="仿宋" w:hAnsi="仿宋" w:eastAsia="仿宋" w:cs="仿宋"/>
          <w:color w:val="auto"/>
          <w:kern w:val="0"/>
          <w:sz w:val="22"/>
          <w:szCs w:val="22"/>
        </w:rPr>
      </w:pPr>
      <w:r>
        <w:rPr>
          <w:rFonts w:hint="eastAsia" w:ascii="仿宋" w:hAnsi="仿宋" w:eastAsia="仿宋" w:cs="仿宋"/>
          <w:color w:val="auto"/>
          <w:sz w:val="22"/>
          <w:szCs w:val="22"/>
        </w:rPr>
        <w:t>不采取不正当手段诋毁、排挤其他供应商。</w:t>
      </w:r>
    </w:p>
    <w:p w14:paraId="2FC9879D">
      <w:pPr>
        <w:widowControl/>
        <w:spacing w:line="540" w:lineRule="exact"/>
        <w:ind w:right="-99" w:rightChars="-47"/>
        <w:rPr>
          <w:rFonts w:hint="eastAsia" w:ascii="仿宋" w:hAnsi="仿宋" w:eastAsia="仿宋" w:cs="仿宋"/>
          <w:color w:val="auto"/>
          <w:sz w:val="22"/>
          <w:szCs w:val="22"/>
        </w:rPr>
      </w:pPr>
      <w:r>
        <w:rPr>
          <w:rFonts w:hint="eastAsia" w:ascii="仿宋" w:hAnsi="仿宋" w:eastAsia="仿宋" w:cs="仿宋"/>
          <w:color w:val="auto"/>
          <w:sz w:val="22"/>
          <w:szCs w:val="22"/>
        </w:rPr>
        <w:t xml:space="preserve">   6、不在提供商品和服务时“偷梁换柱、以次充好”损害采购人的合法权益。     </w:t>
      </w:r>
    </w:p>
    <w:p w14:paraId="618B723F">
      <w:pPr>
        <w:widowControl/>
        <w:numPr>
          <w:ilvl w:val="0"/>
          <w:numId w:val="10"/>
        </w:numPr>
        <w:spacing w:line="540" w:lineRule="exact"/>
        <w:ind w:right="-99" w:rightChars="-47" w:firstLine="440" w:firstLineChars="200"/>
        <w:rPr>
          <w:rFonts w:hint="eastAsia" w:ascii="仿宋" w:hAnsi="仿宋" w:eastAsia="仿宋" w:cs="仿宋"/>
          <w:color w:val="auto"/>
          <w:kern w:val="0"/>
          <w:sz w:val="22"/>
          <w:szCs w:val="22"/>
        </w:rPr>
      </w:pPr>
      <w:r>
        <w:rPr>
          <w:rFonts w:hint="eastAsia" w:ascii="仿宋" w:hAnsi="仿宋" w:eastAsia="仿宋" w:cs="仿宋"/>
          <w:color w:val="auto"/>
          <w:sz w:val="22"/>
          <w:szCs w:val="22"/>
        </w:rPr>
        <w:t>不与采购人、采购代理机构政府采购磋商专家或其它供应商恶意串通，进行质疑和投诉，维护政府采购市场秩序。</w:t>
      </w:r>
    </w:p>
    <w:p w14:paraId="37C6ADD5">
      <w:pPr>
        <w:widowControl/>
        <w:spacing w:line="540" w:lineRule="exact"/>
        <w:ind w:right="-99" w:rightChars="-47"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8、尊重和接受政府采购监督管理部门的监督和政府采购代理机构采购要求，承担因违约行为给采购人造成的损失。</w:t>
      </w:r>
    </w:p>
    <w:p w14:paraId="21DEDE14">
      <w:pPr>
        <w:widowControl/>
        <w:spacing w:line="540" w:lineRule="exact"/>
        <w:ind w:right="-99" w:rightChars="-47" w:firstLine="440" w:firstLineChars="200"/>
        <w:rPr>
          <w:rFonts w:hint="eastAsia" w:ascii="仿宋" w:hAnsi="仿宋" w:eastAsia="仿宋" w:cs="仿宋"/>
          <w:color w:val="auto"/>
          <w:kern w:val="0"/>
          <w:sz w:val="22"/>
          <w:szCs w:val="22"/>
        </w:rPr>
      </w:pPr>
      <w:r>
        <w:rPr>
          <w:rFonts w:hint="eastAsia" w:ascii="仿宋" w:hAnsi="仿宋" w:eastAsia="仿宋" w:cs="仿宋"/>
          <w:color w:val="auto"/>
          <w:sz w:val="22"/>
          <w:szCs w:val="22"/>
        </w:rPr>
        <w:t xml:space="preserve">9、不发生其他有悖于政府采购公开、公平、公正和诚信原则的行为。 </w:t>
      </w:r>
    </w:p>
    <w:p w14:paraId="7CFD08EB">
      <w:pPr>
        <w:widowControl/>
        <w:spacing w:line="540" w:lineRule="exact"/>
        <w:ind w:right="-99" w:rightChars="-47"/>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承诺单位：</w:t>
      </w:r>
      <w:r>
        <w:rPr>
          <w:rFonts w:hint="eastAsia" w:ascii="仿宋" w:hAnsi="仿宋" w:eastAsia="仿宋" w:cs="仿宋"/>
          <w:color w:val="auto"/>
          <w:kern w:val="0"/>
          <w:sz w:val="22"/>
          <w:szCs w:val="22"/>
          <w:u w:val="single"/>
        </w:rPr>
        <w:t xml:space="preserve">　　                 　       </w:t>
      </w:r>
      <w:r>
        <w:rPr>
          <w:rFonts w:hint="eastAsia" w:ascii="仿宋" w:hAnsi="仿宋" w:eastAsia="仿宋" w:cs="仿宋"/>
          <w:color w:val="auto"/>
          <w:kern w:val="0"/>
          <w:sz w:val="22"/>
          <w:szCs w:val="22"/>
        </w:rPr>
        <w:t xml:space="preserve">（盖章） </w:t>
      </w:r>
      <w:r>
        <w:rPr>
          <w:rFonts w:hint="eastAsia" w:ascii="仿宋" w:hAnsi="仿宋" w:eastAsia="仿宋" w:cs="仿宋"/>
          <w:color w:val="auto"/>
          <w:kern w:val="0"/>
          <w:sz w:val="22"/>
          <w:szCs w:val="22"/>
        </w:rPr>
        <w:br w:type="textWrapping"/>
      </w:r>
      <w:r>
        <w:rPr>
          <w:rFonts w:hint="eastAsia" w:ascii="仿宋" w:hAnsi="仿宋" w:eastAsia="仿宋" w:cs="仿宋"/>
          <w:color w:val="auto"/>
          <w:sz w:val="22"/>
          <w:szCs w:val="22"/>
        </w:rPr>
        <w:t>法定代表人（负责人）</w:t>
      </w:r>
      <w:r>
        <w:rPr>
          <w:rFonts w:hint="eastAsia" w:ascii="仿宋" w:hAnsi="仿宋" w:eastAsia="仿宋" w:cs="仿宋"/>
          <w:color w:val="auto"/>
          <w:kern w:val="0"/>
          <w:sz w:val="22"/>
          <w:szCs w:val="22"/>
        </w:rPr>
        <w:t>：</w:t>
      </w:r>
      <w:r>
        <w:rPr>
          <w:rFonts w:hint="eastAsia" w:ascii="仿宋" w:hAnsi="仿宋" w:eastAsia="仿宋" w:cs="仿宋"/>
          <w:color w:val="auto"/>
          <w:kern w:val="0"/>
          <w:sz w:val="22"/>
          <w:szCs w:val="22"/>
          <w:u w:val="single"/>
        </w:rPr>
        <w:t xml:space="preserve">　　　　　     　 </w:t>
      </w:r>
      <w:r>
        <w:rPr>
          <w:rFonts w:hint="eastAsia" w:ascii="仿宋" w:hAnsi="仿宋" w:eastAsia="仿宋" w:cs="仿宋"/>
          <w:color w:val="auto"/>
          <w:kern w:val="0"/>
          <w:sz w:val="22"/>
          <w:szCs w:val="22"/>
        </w:rPr>
        <w:t xml:space="preserve">（签字） </w:t>
      </w:r>
    </w:p>
    <w:p w14:paraId="2D0F03EA">
      <w:pPr>
        <w:widowControl/>
        <w:spacing w:line="540" w:lineRule="exact"/>
        <w:ind w:right="-99" w:rightChars="-47"/>
        <w:rPr>
          <w:rFonts w:hint="eastAsia" w:ascii="仿宋" w:hAnsi="仿宋" w:eastAsia="仿宋" w:cs="仿宋"/>
          <w:color w:val="auto"/>
          <w:kern w:val="0"/>
          <w:sz w:val="22"/>
          <w:szCs w:val="22"/>
          <w:u w:val="single"/>
        </w:rPr>
      </w:pPr>
      <w:r>
        <w:rPr>
          <w:rFonts w:hint="eastAsia" w:ascii="仿宋" w:hAnsi="仿宋" w:eastAsia="仿宋" w:cs="仿宋"/>
          <w:color w:val="auto"/>
          <w:kern w:val="0"/>
          <w:sz w:val="22"/>
          <w:szCs w:val="22"/>
        </w:rPr>
        <w:t>地　　址：</w:t>
      </w:r>
      <w:r>
        <w:rPr>
          <w:rFonts w:hint="eastAsia" w:ascii="仿宋" w:hAnsi="仿宋" w:eastAsia="仿宋" w:cs="仿宋"/>
          <w:color w:val="auto"/>
          <w:kern w:val="0"/>
          <w:sz w:val="22"/>
          <w:szCs w:val="22"/>
          <w:u w:val="single"/>
        </w:rPr>
        <w:t>　　　                　　　　</w:t>
      </w:r>
      <w:r>
        <w:rPr>
          <w:rFonts w:hint="eastAsia" w:ascii="仿宋" w:hAnsi="仿宋" w:eastAsia="仿宋" w:cs="仿宋"/>
          <w:color w:val="auto"/>
          <w:kern w:val="0"/>
          <w:sz w:val="22"/>
          <w:szCs w:val="22"/>
        </w:rPr>
        <w:t xml:space="preserve">                             </w:t>
      </w:r>
    </w:p>
    <w:p w14:paraId="10DCC18D">
      <w:pPr>
        <w:widowControl/>
        <w:spacing w:line="540" w:lineRule="exact"/>
        <w:ind w:right="-99" w:rightChars="-47"/>
        <w:rPr>
          <w:rFonts w:hint="eastAsia" w:ascii="仿宋" w:hAnsi="仿宋" w:eastAsia="仿宋" w:cs="仿宋"/>
          <w:color w:val="auto"/>
          <w:kern w:val="0"/>
          <w:sz w:val="22"/>
          <w:szCs w:val="22"/>
          <w:u w:val="single"/>
        </w:rPr>
      </w:pPr>
      <w:r>
        <w:rPr>
          <w:rFonts w:hint="eastAsia" w:ascii="仿宋" w:hAnsi="仿宋" w:eastAsia="仿宋" w:cs="仿宋"/>
          <w:color w:val="auto"/>
          <w:kern w:val="0"/>
          <w:sz w:val="22"/>
          <w:szCs w:val="22"/>
        </w:rPr>
        <w:t>电　　话：</w:t>
      </w:r>
      <w:r>
        <w:rPr>
          <w:rFonts w:hint="eastAsia" w:ascii="仿宋" w:hAnsi="仿宋" w:eastAsia="仿宋" w:cs="仿宋"/>
          <w:color w:val="auto"/>
          <w:kern w:val="0"/>
          <w:sz w:val="22"/>
          <w:szCs w:val="22"/>
          <w:u w:val="single"/>
        </w:rPr>
        <w:t>　　　                　　　　</w:t>
      </w:r>
    </w:p>
    <w:p w14:paraId="6D90ABA9">
      <w:pPr>
        <w:widowControl/>
        <w:spacing w:line="540" w:lineRule="exact"/>
        <w:ind w:right="-99" w:rightChars="-47"/>
        <w:rPr>
          <w:rFonts w:hint="eastAsia" w:ascii="仿宋" w:hAnsi="仿宋" w:eastAsia="仿宋" w:cs="仿宋"/>
          <w:color w:val="auto"/>
          <w:kern w:val="0"/>
          <w:sz w:val="28"/>
          <w:szCs w:val="28"/>
          <w:u w:val="single"/>
        </w:rPr>
      </w:pPr>
      <w:r>
        <w:rPr>
          <w:rFonts w:hint="eastAsia" w:ascii="仿宋" w:hAnsi="仿宋" w:eastAsia="仿宋" w:cs="仿宋"/>
          <w:color w:val="auto"/>
          <w:kern w:val="0"/>
          <w:sz w:val="22"/>
          <w:szCs w:val="22"/>
        </w:rPr>
        <w:t>邮    编：</w:t>
      </w:r>
      <w:r>
        <w:rPr>
          <w:rFonts w:hint="eastAsia" w:ascii="仿宋" w:hAnsi="仿宋" w:eastAsia="仿宋" w:cs="仿宋"/>
          <w:color w:val="auto"/>
          <w:kern w:val="0"/>
          <w:sz w:val="22"/>
          <w:szCs w:val="22"/>
          <w:u w:val="single"/>
        </w:rPr>
        <w:t>　                          　</w:t>
      </w:r>
    </w:p>
    <w:p w14:paraId="6675C0C1">
      <w:pPr>
        <w:autoSpaceDE w:val="0"/>
        <w:autoSpaceDN w:val="0"/>
        <w:adjustRightInd w:val="0"/>
        <w:snapToGrid w:val="0"/>
        <w:spacing w:line="360" w:lineRule="auto"/>
        <w:ind w:right="-99" w:rightChars="-47"/>
        <w:rPr>
          <w:rFonts w:hint="eastAsia" w:ascii="仿宋" w:hAnsi="仿宋" w:eastAsia="仿宋" w:cs="仿宋"/>
          <w:b/>
          <w:color w:val="auto"/>
          <w:sz w:val="28"/>
          <w:szCs w:val="28"/>
        </w:rPr>
      </w:pPr>
    </w:p>
    <w:p w14:paraId="3E7C2042">
      <w:pPr>
        <w:tabs>
          <w:tab w:val="left" w:pos="3600"/>
        </w:tabs>
        <w:adjustRightInd w:val="0"/>
        <w:snapToGrid w:val="0"/>
        <w:spacing w:before="240" w:beforeLines="100"/>
        <w:jc w:val="left"/>
        <w:rPr>
          <w:rFonts w:hint="eastAsia" w:ascii="仿宋" w:hAnsi="仿宋" w:eastAsia="仿宋" w:cs="仿宋"/>
          <w:b/>
          <w:color w:val="auto"/>
          <w:kern w:val="2"/>
          <w:sz w:val="28"/>
          <w:szCs w:val="28"/>
          <w:lang w:val="en-US" w:eastAsia="zh-CN" w:bidi="ar-SA"/>
        </w:rPr>
      </w:pPr>
      <w:bookmarkStart w:id="258" w:name="_Toc25126_WPSOffice_Level1"/>
    </w:p>
    <w:p w14:paraId="51BB24A6">
      <w:pPr>
        <w:tabs>
          <w:tab w:val="left" w:pos="3600"/>
        </w:tabs>
        <w:adjustRightInd w:val="0"/>
        <w:snapToGrid w:val="0"/>
        <w:spacing w:before="240" w:beforeLines="100"/>
        <w:jc w:val="left"/>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9、供应商享受政府采购优惠政策的证明材料</w:t>
      </w:r>
      <w:bookmarkEnd w:id="258"/>
    </w:p>
    <w:p w14:paraId="28566EFE">
      <w:pPr>
        <w:adjustRightInd w:val="0"/>
        <w:snapToGrid w:val="0"/>
        <w:spacing w:line="360" w:lineRule="auto"/>
        <w:rPr>
          <w:rFonts w:hint="eastAsia" w:ascii="仿宋" w:hAnsi="仿宋" w:eastAsia="仿宋" w:cs="仿宋"/>
          <w:bCs/>
          <w:color w:val="auto"/>
          <w:szCs w:val="21"/>
          <w:highlight w:val="none"/>
        </w:rPr>
      </w:pPr>
    </w:p>
    <w:p w14:paraId="73401BEB">
      <w:pPr>
        <w:pStyle w:val="26"/>
        <w:adjustRightInd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说明：</w:t>
      </w:r>
    </w:p>
    <w:p w14:paraId="4E6DFB1E">
      <w:pPr>
        <w:pStyle w:val="26"/>
        <w:adjustRightInd w:val="0"/>
        <w:snapToGrid w:val="0"/>
        <w:spacing w:line="360" w:lineRule="auto"/>
        <w:ind w:firstLine="630" w:firstLineChars="300"/>
        <w:rPr>
          <w:rFonts w:hint="eastAsia" w:ascii="仿宋" w:hAnsi="仿宋" w:eastAsia="仿宋" w:cs="仿宋"/>
          <w:color w:val="auto"/>
          <w:highlight w:val="none"/>
        </w:rPr>
      </w:pPr>
      <w:bookmarkStart w:id="259" w:name="_Toc29673_WPSOffice_Level2"/>
      <w:r>
        <w:rPr>
          <w:rFonts w:hint="eastAsia" w:ascii="仿宋" w:hAnsi="仿宋" w:eastAsia="仿宋" w:cs="仿宋"/>
          <w:color w:val="auto"/>
          <w:highlight w:val="none"/>
        </w:rPr>
        <w:t>1.中小企业声明函格式见附件5；</w:t>
      </w:r>
      <w:bookmarkEnd w:id="259"/>
    </w:p>
    <w:p w14:paraId="0D4E8537">
      <w:pPr>
        <w:pStyle w:val="26"/>
        <w:adjustRightInd w:val="0"/>
        <w:snapToGrid w:val="0"/>
        <w:spacing w:line="360" w:lineRule="auto"/>
        <w:ind w:firstLine="630" w:firstLineChars="300"/>
        <w:rPr>
          <w:rFonts w:hint="eastAsia" w:ascii="仿宋" w:hAnsi="仿宋" w:eastAsia="仿宋" w:cs="仿宋"/>
          <w:color w:val="auto"/>
          <w:highlight w:val="none"/>
        </w:rPr>
      </w:pPr>
      <w:bookmarkStart w:id="260" w:name="_Toc125_WPSOffice_Level2"/>
      <w:r>
        <w:rPr>
          <w:rFonts w:hint="eastAsia" w:ascii="仿宋" w:hAnsi="仿宋" w:eastAsia="仿宋" w:cs="仿宋"/>
          <w:color w:val="auto"/>
          <w:highlight w:val="none"/>
        </w:rPr>
        <w:t>2.残疾人福利性单位声明函格式见附件6；</w:t>
      </w:r>
      <w:bookmarkEnd w:id="260"/>
    </w:p>
    <w:p w14:paraId="48AA1AFF">
      <w:pPr>
        <w:adjustRightInd w:val="0"/>
        <w:snapToGrid w:val="0"/>
        <w:spacing w:line="360" w:lineRule="auto"/>
        <w:ind w:firstLine="630" w:firstLineChars="300"/>
        <w:rPr>
          <w:rFonts w:hint="eastAsia" w:ascii="仿宋" w:hAnsi="仿宋" w:eastAsia="仿宋" w:cs="仿宋"/>
          <w:color w:val="auto"/>
          <w:szCs w:val="21"/>
          <w:highlight w:val="none"/>
        </w:rPr>
      </w:pPr>
      <w:bookmarkStart w:id="261" w:name="_Toc20059_WPSOffice_Level2"/>
      <w:r>
        <w:rPr>
          <w:rFonts w:hint="eastAsia" w:ascii="仿宋" w:hAnsi="仿宋" w:eastAsia="仿宋" w:cs="仿宋"/>
          <w:color w:val="auto"/>
          <w:szCs w:val="21"/>
          <w:highlight w:val="none"/>
        </w:rPr>
        <w:t>3.监狱企业证明文件见附件7；</w:t>
      </w:r>
      <w:bookmarkEnd w:id="261"/>
    </w:p>
    <w:p w14:paraId="29E2803D">
      <w:pPr>
        <w:adjustRightInd w:val="0"/>
        <w:snapToGrid w:val="0"/>
        <w:spacing w:line="360" w:lineRule="auto"/>
        <w:ind w:firstLine="630" w:firstLineChars="300"/>
        <w:rPr>
          <w:rFonts w:hint="eastAsia" w:ascii="仿宋" w:hAnsi="仿宋" w:eastAsia="仿宋" w:cs="仿宋"/>
          <w:b/>
          <w:bCs/>
          <w:color w:val="auto"/>
          <w:szCs w:val="21"/>
          <w:highlight w:val="none"/>
        </w:rPr>
      </w:pPr>
      <w:bookmarkStart w:id="262" w:name="_Toc7777_WPSOffice_Level2"/>
      <w:r>
        <w:rPr>
          <w:rFonts w:hint="eastAsia" w:ascii="仿宋" w:hAnsi="仿宋" w:eastAsia="仿宋" w:cs="仿宋"/>
          <w:color w:val="auto"/>
          <w:szCs w:val="21"/>
          <w:highlight w:val="none"/>
        </w:rPr>
        <w:t>4.“节能</w:t>
      </w:r>
      <w:r>
        <w:rPr>
          <w:rFonts w:hint="eastAsia" w:ascii="仿宋" w:hAnsi="仿宋" w:eastAsia="仿宋" w:cs="仿宋"/>
          <w:bCs/>
          <w:color w:val="auto"/>
          <w:szCs w:val="21"/>
          <w:highlight w:val="none"/>
        </w:rPr>
        <w:t>产品</w:t>
      </w:r>
      <w:r>
        <w:rPr>
          <w:rFonts w:hint="eastAsia" w:ascii="仿宋" w:hAnsi="仿宋" w:eastAsia="仿宋" w:cs="仿宋"/>
          <w:color w:val="auto"/>
          <w:szCs w:val="21"/>
          <w:highlight w:val="none"/>
        </w:rPr>
        <w:t>”、“环境标志</w:t>
      </w:r>
      <w:r>
        <w:rPr>
          <w:rFonts w:hint="eastAsia" w:ascii="仿宋" w:hAnsi="仿宋" w:eastAsia="仿宋" w:cs="仿宋"/>
          <w:bCs/>
          <w:color w:val="auto"/>
          <w:szCs w:val="21"/>
          <w:highlight w:val="none"/>
        </w:rPr>
        <w:t>产品</w:t>
      </w:r>
      <w:r>
        <w:rPr>
          <w:rFonts w:hint="eastAsia" w:ascii="仿宋" w:hAnsi="仿宋" w:eastAsia="仿宋" w:cs="仿宋"/>
          <w:color w:val="auto"/>
          <w:szCs w:val="21"/>
          <w:highlight w:val="none"/>
        </w:rPr>
        <w:t>”证明材料格式见附件8。</w:t>
      </w:r>
      <w:bookmarkEnd w:id="262"/>
    </w:p>
    <w:p w14:paraId="0303E6CC">
      <w:pPr>
        <w:adjustRightInd w:val="0"/>
        <w:spacing w:line="400" w:lineRule="exact"/>
        <w:jc w:val="left"/>
        <w:rPr>
          <w:rFonts w:hint="eastAsia" w:ascii="仿宋" w:hAnsi="仿宋" w:eastAsia="仿宋" w:cs="仿宋"/>
          <w:b/>
          <w:color w:val="auto"/>
          <w:sz w:val="36"/>
          <w:szCs w:val="36"/>
          <w:highlight w:val="none"/>
        </w:rPr>
      </w:pPr>
    </w:p>
    <w:p w14:paraId="4DF1C146">
      <w:pPr>
        <w:adjustRightInd w:val="0"/>
        <w:spacing w:line="400" w:lineRule="exact"/>
        <w:jc w:val="left"/>
        <w:rPr>
          <w:rFonts w:hint="eastAsia" w:ascii="仿宋" w:hAnsi="仿宋" w:eastAsia="仿宋" w:cs="仿宋"/>
          <w:b/>
          <w:color w:val="auto"/>
          <w:sz w:val="36"/>
          <w:szCs w:val="36"/>
          <w:highlight w:val="none"/>
        </w:rPr>
      </w:pPr>
    </w:p>
    <w:p w14:paraId="20EA9B7E">
      <w:pPr>
        <w:adjustRightInd w:val="0"/>
        <w:spacing w:line="400" w:lineRule="exact"/>
        <w:jc w:val="left"/>
        <w:rPr>
          <w:rFonts w:hint="eastAsia" w:ascii="仿宋" w:hAnsi="仿宋" w:eastAsia="仿宋" w:cs="仿宋"/>
          <w:b/>
          <w:color w:val="auto"/>
          <w:sz w:val="36"/>
          <w:szCs w:val="36"/>
          <w:highlight w:val="none"/>
        </w:rPr>
      </w:pPr>
    </w:p>
    <w:p w14:paraId="7D35F00B">
      <w:pPr>
        <w:adjustRightInd w:val="0"/>
        <w:spacing w:line="400" w:lineRule="exact"/>
        <w:jc w:val="left"/>
        <w:rPr>
          <w:rFonts w:hint="eastAsia" w:ascii="仿宋" w:hAnsi="仿宋" w:eastAsia="仿宋" w:cs="仿宋"/>
          <w:b/>
          <w:color w:val="auto"/>
          <w:sz w:val="36"/>
          <w:szCs w:val="36"/>
          <w:highlight w:val="none"/>
        </w:rPr>
      </w:pPr>
    </w:p>
    <w:p w14:paraId="1E687091">
      <w:pPr>
        <w:adjustRightInd w:val="0"/>
        <w:spacing w:line="400" w:lineRule="exact"/>
        <w:jc w:val="left"/>
        <w:rPr>
          <w:rFonts w:hint="eastAsia" w:ascii="仿宋" w:hAnsi="仿宋" w:eastAsia="仿宋" w:cs="仿宋"/>
          <w:b/>
          <w:color w:val="auto"/>
          <w:sz w:val="36"/>
          <w:szCs w:val="36"/>
          <w:highlight w:val="none"/>
        </w:rPr>
      </w:pPr>
    </w:p>
    <w:p w14:paraId="7B2055BE">
      <w:pPr>
        <w:adjustRightInd w:val="0"/>
        <w:spacing w:line="400" w:lineRule="exact"/>
        <w:jc w:val="left"/>
        <w:rPr>
          <w:rFonts w:hint="eastAsia" w:ascii="仿宋" w:hAnsi="仿宋" w:eastAsia="仿宋" w:cs="仿宋"/>
          <w:b/>
          <w:color w:val="auto"/>
          <w:sz w:val="36"/>
          <w:szCs w:val="36"/>
          <w:highlight w:val="none"/>
        </w:rPr>
      </w:pPr>
    </w:p>
    <w:p w14:paraId="58F92C34">
      <w:pPr>
        <w:adjustRightInd w:val="0"/>
        <w:spacing w:line="400" w:lineRule="exact"/>
        <w:jc w:val="left"/>
        <w:rPr>
          <w:rFonts w:hint="eastAsia" w:ascii="仿宋" w:hAnsi="仿宋" w:eastAsia="仿宋" w:cs="仿宋"/>
          <w:b/>
          <w:color w:val="auto"/>
          <w:sz w:val="36"/>
          <w:szCs w:val="36"/>
          <w:highlight w:val="none"/>
        </w:rPr>
      </w:pPr>
    </w:p>
    <w:p w14:paraId="7A249990">
      <w:pPr>
        <w:adjustRightInd w:val="0"/>
        <w:spacing w:line="400" w:lineRule="exact"/>
        <w:jc w:val="left"/>
        <w:rPr>
          <w:rFonts w:hint="eastAsia" w:ascii="仿宋" w:hAnsi="仿宋" w:eastAsia="仿宋" w:cs="仿宋"/>
          <w:b/>
          <w:color w:val="auto"/>
          <w:sz w:val="36"/>
          <w:szCs w:val="36"/>
          <w:highlight w:val="none"/>
        </w:rPr>
      </w:pPr>
    </w:p>
    <w:p w14:paraId="67B4B979">
      <w:pPr>
        <w:adjustRightInd w:val="0"/>
        <w:spacing w:line="400" w:lineRule="exact"/>
        <w:jc w:val="left"/>
        <w:rPr>
          <w:rFonts w:hint="eastAsia" w:ascii="仿宋" w:hAnsi="仿宋" w:eastAsia="仿宋" w:cs="仿宋"/>
          <w:color w:val="auto"/>
          <w:kern w:val="0"/>
          <w:highlight w:val="none"/>
        </w:rPr>
      </w:pPr>
    </w:p>
    <w:p w14:paraId="086C9059">
      <w:pPr>
        <w:adjustRightInd w:val="0"/>
        <w:spacing w:line="400" w:lineRule="exact"/>
        <w:jc w:val="left"/>
        <w:rPr>
          <w:rFonts w:hint="eastAsia" w:ascii="仿宋" w:hAnsi="仿宋" w:eastAsia="仿宋" w:cs="仿宋"/>
          <w:color w:val="auto"/>
          <w:kern w:val="0"/>
          <w:highlight w:val="none"/>
        </w:rPr>
      </w:pPr>
    </w:p>
    <w:p w14:paraId="0EAB7A44">
      <w:pPr>
        <w:adjustRightInd w:val="0"/>
        <w:spacing w:line="400" w:lineRule="exact"/>
        <w:jc w:val="left"/>
        <w:rPr>
          <w:rFonts w:hint="eastAsia" w:ascii="仿宋" w:hAnsi="仿宋" w:eastAsia="仿宋" w:cs="仿宋"/>
          <w:color w:val="auto"/>
          <w:kern w:val="0"/>
          <w:highlight w:val="none"/>
        </w:rPr>
      </w:pPr>
    </w:p>
    <w:p w14:paraId="54435B79">
      <w:pPr>
        <w:adjustRightInd w:val="0"/>
        <w:spacing w:line="400" w:lineRule="exact"/>
        <w:jc w:val="left"/>
        <w:rPr>
          <w:rFonts w:hint="eastAsia" w:ascii="仿宋" w:hAnsi="仿宋" w:eastAsia="仿宋" w:cs="仿宋"/>
          <w:color w:val="auto"/>
          <w:kern w:val="0"/>
          <w:highlight w:val="none"/>
        </w:rPr>
      </w:pPr>
    </w:p>
    <w:p w14:paraId="5DDCD597">
      <w:pPr>
        <w:adjustRightInd w:val="0"/>
        <w:spacing w:line="400" w:lineRule="exact"/>
        <w:jc w:val="left"/>
        <w:rPr>
          <w:rFonts w:hint="eastAsia" w:ascii="仿宋" w:hAnsi="仿宋" w:eastAsia="仿宋" w:cs="仿宋"/>
          <w:color w:val="auto"/>
          <w:kern w:val="0"/>
          <w:highlight w:val="none"/>
        </w:rPr>
      </w:pPr>
    </w:p>
    <w:p w14:paraId="151BF62D">
      <w:pPr>
        <w:adjustRightInd w:val="0"/>
        <w:spacing w:line="400" w:lineRule="exact"/>
        <w:jc w:val="left"/>
        <w:rPr>
          <w:rFonts w:hint="eastAsia" w:ascii="仿宋" w:hAnsi="仿宋" w:eastAsia="仿宋" w:cs="仿宋"/>
          <w:color w:val="auto"/>
          <w:kern w:val="0"/>
          <w:highlight w:val="none"/>
        </w:rPr>
      </w:pPr>
    </w:p>
    <w:p w14:paraId="39CBC4C6">
      <w:pPr>
        <w:adjustRightInd w:val="0"/>
        <w:spacing w:line="400" w:lineRule="exact"/>
        <w:jc w:val="left"/>
        <w:rPr>
          <w:rFonts w:hint="eastAsia" w:ascii="仿宋" w:hAnsi="仿宋" w:eastAsia="仿宋" w:cs="仿宋"/>
          <w:color w:val="auto"/>
          <w:kern w:val="0"/>
          <w:highlight w:val="none"/>
        </w:rPr>
      </w:pPr>
    </w:p>
    <w:p w14:paraId="7415C833">
      <w:pPr>
        <w:adjustRightInd w:val="0"/>
        <w:spacing w:line="400" w:lineRule="exact"/>
        <w:jc w:val="left"/>
        <w:rPr>
          <w:rFonts w:hint="eastAsia" w:ascii="仿宋" w:hAnsi="仿宋" w:eastAsia="仿宋" w:cs="仿宋"/>
          <w:color w:val="auto"/>
          <w:kern w:val="0"/>
          <w:highlight w:val="none"/>
        </w:rPr>
      </w:pPr>
    </w:p>
    <w:p w14:paraId="0A005EC0">
      <w:pPr>
        <w:adjustRightInd w:val="0"/>
        <w:spacing w:line="400" w:lineRule="exact"/>
        <w:jc w:val="left"/>
        <w:rPr>
          <w:rFonts w:hint="eastAsia" w:ascii="仿宋" w:hAnsi="仿宋" w:eastAsia="仿宋" w:cs="仿宋"/>
          <w:color w:val="auto"/>
          <w:kern w:val="0"/>
          <w:highlight w:val="none"/>
        </w:rPr>
      </w:pPr>
    </w:p>
    <w:p w14:paraId="45A06696">
      <w:pPr>
        <w:adjustRightInd w:val="0"/>
        <w:spacing w:line="400" w:lineRule="exact"/>
        <w:jc w:val="left"/>
        <w:rPr>
          <w:rFonts w:hint="eastAsia" w:ascii="仿宋" w:hAnsi="仿宋" w:eastAsia="仿宋" w:cs="仿宋"/>
          <w:color w:val="auto"/>
          <w:kern w:val="0"/>
          <w:highlight w:val="none"/>
        </w:rPr>
      </w:pPr>
    </w:p>
    <w:p w14:paraId="0371A471">
      <w:pPr>
        <w:adjustRightInd w:val="0"/>
        <w:spacing w:line="400" w:lineRule="exact"/>
        <w:jc w:val="left"/>
        <w:rPr>
          <w:rFonts w:hint="eastAsia" w:ascii="仿宋" w:hAnsi="仿宋" w:eastAsia="仿宋" w:cs="仿宋"/>
          <w:color w:val="auto"/>
          <w:kern w:val="0"/>
          <w:highlight w:val="none"/>
        </w:rPr>
      </w:pPr>
    </w:p>
    <w:p w14:paraId="7CB3AA69">
      <w:pPr>
        <w:adjustRightInd w:val="0"/>
        <w:spacing w:line="400" w:lineRule="exact"/>
        <w:jc w:val="left"/>
        <w:rPr>
          <w:rFonts w:hint="eastAsia" w:ascii="仿宋" w:hAnsi="仿宋" w:eastAsia="仿宋" w:cs="仿宋"/>
          <w:color w:val="auto"/>
          <w:kern w:val="0"/>
          <w:highlight w:val="none"/>
        </w:rPr>
      </w:pPr>
    </w:p>
    <w:p w14:paraId="46AE868B">
      <w:pPr>
        <w:adjustRightInd w:val="0"/>
        <w:spacing w:line="400" w:lineRule="exact"/>
        <w:jc w:val="left"/>
        <w:rPr>
          <w:rFonts w:hint="eastAsia" w:ascii="仿宋" w:hAnsi="仿宋" w:eastAsia="仿宋" w:cs="仿宋"/>
          <w:color w:val="auto"/>
          <w:kern w:val="0"/>
          <w:highlight w:val="none"/>
        </w:rPr>
      </w:pPr>
    </w:p>
    <w:p w14:paraId="3CC6F386">
      <w:pPr>
        <w:adjustRightInd w:val="0"/>
        <w:spacing w:line="400" w:lineRule="exact"/>
        <w:jc w:val="left"/>
        <w:rPr>
          <w:rFonts w:hint="eastAsia" w:ascii="仿宋" w:hAnsi="仿宋" w:eastAsia="仿宋" w:cs="仿宋"/>
          <w:color w:val="auto"/>
          <w:kern w:val="0"/>
          <w:highlight w:val="none"/>
        </w:rPr>
      </w:pPr>
    </w:p>
    <w:p w14:paraId="2ACEE16C">
      <w:pPr>
        <w:adjustRightInd w:val="0"/>
        <w:spacing w:line="400" w:lineRule="exact"/>
        <w:jc w:val="left"/>
        <w:rPr>
          <w:rFonts w:hint="eastAsia" w:ascii="仿宋" w:hAnsi="仿宋" w:eastAsia="仿宋" w:cs="仿宋"/>
          <w:color w:val="auto"/>
          <w:kern w:val="0"/>
          <w:highlight w:val="none"/>
        </w:rPr>
      </w:pPr>
    </w:p>
    <w:p w14:paraId="63B3A5A7">
      <w:pPr>
        <w:adjustRightInd w:val="0"/>
        <w:spacing w:line="400" w:lineRule="exact"/>
        <w:jc w:val="left"/>
        <w:rPr>
          <w:rFonts w:hint="eastAsia" w:ascii="仿宋" w:hAnsi="仿宋" w:eastAsia="仿宋" w:cs="仿宋"/>
          <w:color w:val="auto"/>
          <w:kern w:val="0"/>
          <w:highlight w:val="none"/>
        </w:rPr>
      </w:pPr>
    </w:p>
    <w:p w14:paraId="404AFB05">
      <w:pPr>
        <w:adjustRightInd w:val="0"/>
        <w:spacing w:line="400" w:lineRule="exact"/>
        <w:jc w:val="left"/>
        <w:rPr>
          <w:rFonts w:hint="eastAsia" w:ascii="仿宋" w:hAnsi="仿宋" w:eastAsia="仿宋" w:cs="仿宋"/>
          <w:color w:val="auto"/>
          <w:kern w:val="0"/>
          <w:highlight w:val="none"/>
        </w:rPr>
      </w:pPr>
    </w:p>
    <w:p w14:paraId="6F38CC85">
      <w:pPr>
        <w:pStyle w:val="86"/>
        <w:spacing w:line="400" w:lineRule="exact"/>
        <w:rPr>
          <w:rFonts w:hint="eastAsia" w:ascii="仿宋" w:hAnsi="仿宋" w:eastAsia="仿宋" w:cs="仿宋"/>
          <w:color w:val="auto"/>
          <w:sz w:val="28"/>
          <w:szCs w:val="28"/>
          <w:highlight w:val="none"/>
        </w:rPr>
      </w:pPr>
    </w:p>
    <w:p w14:paraId="180D76D7">
      <w:pPr>
        <w:pStyle w:val="86"/>
        <w:spacing w:line="400" w:lineRule="exact"/>
        <w:rPr>
          <w:rFonts w:hint="eastAsia" w:ascii="仿宋" w:hAnsi="仿宋" w:eastAsia="仿宋" w:cs="仿宋"/>
          <w:color w:val="auto"/>
          <w:sz w:val="28"/>
          <w:szCs w:val="28"/>
          <w:highlight w:val="none"/>
        </w:rPr>
        <w:sectPr>
          <w:headerReference r:id="rId10" w:type="default"/>
          <w:footerReference r:id="rId11" w:type="default"/>
          <w:pgSz w:w="11906" w:h="16838"/>
          <w:pgMar w:top="1440" w:right="1803" w:bottom="1440" w:left="1803" w:header="851" w:footer="992" w:gutter="0"/>
          <w:pgNumType w:fmt="decimal"/>
          <w:cols w:space="720" w:num="1"/>
          <w:docGrid w:linePitch="312" w:charSpace="0"/>
        </w:sectPr>
      </w:pPr>
      <w:bookmarkStart w:id="263" w:name="_Toc1052_WPSOffice_Level2"/>
    </w:p>
    <w:p w14:paraId="6ECB3360">
      <w:pPr>
        <w:pStyle w:val="8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bookmarkEnd w:id="263"/>
    </w:p>
    <w:p w14:paraId="601D5259">
      <w:pPr>
        <w:pStyle w:val="19"/>
        <w:spacing w:before="77" w:line="221" w:lineRule="auto"/>
        <w:ind w:left="3396"/>
        <w:outlineLvl w:val="0"/>
        <w:rPr>
          <w:rFonts w:hint="eastAsia" w:ascii="仿宋" w:hAnsi="仿宋" w:eastAsia="仿宋" w:cs="仿宋"/>
          <w:sz w:val="38"/>
          <w:szCs w:val="38"/>
        </w:rPr>
      </w:pPr>
      <w:bookmarkStart w:id="264" w:name="_Toc2420_WPSOffice_Level2"/>
      <w:r>
        <w:rPr>
          <w:rFonts w:hint="eastAsia" w:ascii="仿宋" w:hAnsi="仿宋" w:eastAsia="仿宋" w:cs="仿宋"/>
          <w:spacing w:val="-4"/>
          <w:sz w:val="38"/>
          <w:szCs w:val="38"/>
        </w:rPr>
        <w:t>中小企业声明函</w:t>
      </w:r>
    </w:p>
    <w:p w14:paraId="5BF6389F">
      <w:pPr>
        <w:spacing w:line="269" w:lineRule="auto"/>
        <w:rPr>
          <w:rFonts w:hint="eastAsia" w:ascii="仿宋" w:hAnsi="仿宋" w:eastAsia="仿宋" w:cs="仿宋"/>
          <w:sz w:val="21"/>
        </w:rPr>
      </w:pPr>
    </w:p>
    <w:p w14:paraId="440B3409">
      <w:pPr>
        <w:pStyle w:val="19"/>
        <w:spacing w:before="62" w:line="221" w:lineRule="auto"/>
        <w:ind w:left="385"/>
        <w:rPr>
          <w:rFonts w:hint="eastAsia" w:ascii="仿宋" w:hAnsi="仿宋" w:eastAsia="仿宋" w:cs="仿宋"/>
        </w:rPr>
      </w:pPr>
      <w:r>
        <w:rPr>
          <w:rFonts w:hint="eastAsia" w:ascii="仿宋" w:hAnsi="仿宋" w:eastAsia="仿宋" w:cs="仿宋"/>
          <w:spacing w:val="2"/>
        </w:rPr>
        <w:t>本公司（联合体）郑重声明，根据《政府采购促进中小企业发展管理办法》</w:t>
      </w:r>
      <w:r>
        <w:rPr>
          <w:rFonts w:hint="eastAsia" w:ascii="仿宋" w:hAnsi="仿宋" w:eastAsia="仿宋" w:cs="仿宋"/>
          <w:spacing w:val="1"/>
        </w:rPr>
        <w:t>（财库﹝2020﹞46 号）的规</w:t>
      </w:r>
    </w:p>
    <w:p w14:paraId="68C28C24">
      <w:pPr>
        <w:pStyle w:val="19"/>
        <w:spacing w:before="157" w:line="375" w:lineRule="auto"/>
        <w:ind w:left="16" w:right="1" w:hanging="11"/>
        <w:rPr>
          <w:rFonts w:hint="eastAsia" w:ascii="仿宋" w:hAnsi="仿宋" w:eastAsia="仿宋" w:cs="仿宋"/>
        </w:rPr>
      </w:pPr>
      <w:r>
        <w:rPr>
          <w:rFonts w:hint="eastAsia" w:ascii="仿宋" w:hAnsi="仿宋" w:eastAsia="仿宋" w:cs="仿宋"/>
          <w:spacing w:val="-1"/>
        </w:rPr>
        <w:t>定，本公司（联合体）参加</w:t>
      </w:r>
      <w:r>
        <w:rPr>
          <w:rFonts w:hint="eastAsia" w:ascii="仿宋" w:hAnsi="仿宋" w:eastAsia="仿宋" w:cs="仿宋"/>
          <w:spacing w:val="103"/>
          <w:u w:val="single" w:color="222222"/>
        </w:rPr>
        <w:t xml:space="preserve"> </w:t>
      </w:r>
      <w:r>
        <w:rPr>
          <w:rFonts w:hint="eastAsia" w:ascii="仿宋" w:hAnsi="仿宋" w:eastAsia="仿宋" w:cs="仿宋"/>
          <w:spacing w:val="-1"/>
          <w:u w:val="single" w:color="222222"/>
        </w:rPr>
        <w:t>{采购单位名称}</w:t>
      </w:r>
      <w:r>
        <w:rPr>
          <w:rFonts w:hint="eastAsia" w:ascii="仿宋" w:hAnsi="仿宋" w:eastAsia="仿宋" w:cs="仿宋"/>
          <w:spacing w:val="73"/>
          <w:u w:val="single" w:color="222222"/>
        </w:rPr>
        <w:t xml:space="preserve"> </w:t>
      </w:r>
      <w:r>
        <w:rPr>
          <w:rFonts w:hint="eastAsia" w:ascii="仿宋" w:hAnsi="仿宋" w:eastAsia="仿宋" w:cs="仿宋"/>
          <w:spacing w:val="-1"/>
        </w:rPr>
        <w:t>的</w:t>
      </w:r>
      <w:r>
        <w:rPr>
          <w:rFonts w:hint="eastAsia" w:ascii="仿宋" w:hAnsi="仿宋" w:eastAsia="仿宋" w:cs="仿宋"/>
          <w:spacing w:val="91"/>
          <w:u w:val="single" w:color="222222"/>
        </w:rPr>
        <w:t xml:space="preserve"> </w:t>
      </w:r>
      <w:r>
        <w:rPr>
          <w:rFonts w:hint="eastAsia" w:ascii="仿宋" w:hAnsi="仿宋" w:eastAsia="仿宋" w:cs="仿宋"/>
          <w:spacing w:val="-1"/>
          <w:u w:val="single" w:color="222222"/>
        </w:rPr>
        <w:t>{项目名称}</w:t>
      </w:r>
      <w:r>
        <w:rPr>
          <w:rFonts w:hint="eastAsia" w:ascii="仿宋" w:hAnsi="仿宋" w:eastAsia="仿宋" w:cs="仿宋"/>
          <w:spacing w:val="56"/>
          <w:w w:val="101"/>
          <w:u w:val="single" w:color="222222"/>
        </w:rPr>
        <w:t xml:space="preserve"> </w:t>
      </w:r>
      <w:r>
        <w:rPr>
          <w:rFonts w:hint="eastAsia" w:ascii="仿宋" w:hAnsi="仿宋" w:eastAsia="仿宋" w:cs="仿宋"/>
          <w:spacing w:val="-1"/>
        </w:rPr>
        <w:t>采购活动，工程的施工单位全部为符合政策要求</w:t>
      </w:r>
      <w:r>
        <w:rPr>
          <w:rFonts w:hint="eastAsia" w:ascii="仿宋" w:hAnsi="仿宋" w:eastAsia="仿宋" w:cs="仿宋"/>
        </w:rPr>
        <w:t xml:space="preserve"> </w:t>
      </w:r>
      <w:r>
        <w:rPr>
          <w:rFonts w:hint="eastAsia" w:ascii="仿宋" w:hAnsi="仿宋" w:eastAsia="仿宋" w:cs="仿宋"/>
          <w:spacing w:val="1"/>
        </w:rPr>
        <w:t>的中小企业。相关企业（含联合体中的中小企业、签订分包意向协议的中小企业）的具体情况如下：</w:t>
      </w:r>
    </w:p>
    <w:p w14:paraId="6690FBE3">
      <w:pPr>
        <w:pStyle w:val="19"/>
        <w:spacing w:before="236" w:line="373" w:lineRule="auto"/>
        <w:ind w:left="7" w:right="1" w:firstLine="391"/>
        <w:rPr>
          <w:rFonts w:hint="eastAsia" w:ascii="仿宋" w:hAnsi="仿宋" w:eastAsia="仿宋" w:cs="仿宋"/>
        </w:rPr>
      </w:pPr>
      <w:r>
        <w:rPr>
          <w:rFonts w:hint="eastAsia" w:ascii="仿宋" w:hAnsi="仿宋" w:eastAsia="仿宋" w:cs="仿宋"/>
          <w:spacing w:val="-2"/>
        </w:rPr>
        <w:t>1.</w:t>
      </w:r>
      <w:r>
        <w:rPr>
          <w:rFonts w:hint="eastAsia" w:ascii="仿宋" w:hAnsi="仿宋" w:eastAsia="仿宋" w:cs="仿宋"/>
          <w:spacing w:val="95"/>
          <w:w w:val="101"/>
          <w:u w:val="single" w:color="222222"/>
        </w:rPr>
        <w:t xml:space="preserve"> </w:t>
      </w:r>
      <w:r>
        <w:rPr>
          <w:rFonts w:hint="eastAsia" w:ascii="仿宋" w:hAnsi="仿宋" w:eastAsia="仿宋" w:cs="仿宋"/>
          <w:spacing w:val="-2"/>
          <w:u w:val="single" w:color="222222"/>
        </w:rPr>
        <w:t>{标的名称}</w:t>
      </w:r>
      <w:r>
        <w:rPr>
          <w:rFonts w:hint="eastAsia" w:ascii="仿宋" w:hAnsi="仿宋" w:eastAsia="仿宋" w:cs="仿宋"/>
          <w:spacing w:val="49"/>
          <w:u w:val="single" w:color="222222"/>
        </w:rPr>
        <w:t xml:space="preserve"> </w:t>
      </w:r>
      <w:r>
        <w:rPr>
          <w:rFonts w:hint="eastAsia" w:ascii="仿宋" w:hAnsi="仿宋" w:eastAsia="仿宋" w:cs="仿宋"/>
          <w:spacing w:val="25"/>
        </w:rPr>
        <w:t xml:space="preserve"> </w:t>
      </w:r>
      <w:r>
        <w:rPr>
          <w:rFonts w:hint="eastAsia" w:ascii="仿宋" w:hAnsi="仿宋" w:eastAsia="仿宋" w:cs="仿宋"/>
          <w:spacing w:val="-2"/>
        </w:rPr>
        <w:t xml:space="preserve">，属 于 </w:t>
      </w:r>
      <w:r>
        <w:rPr>
          <w:rFonts w:hint="eastAsia" w:ascii="仿宋" w:hAnsi="仿宋" w:eastAsia="仿宋" w:cs="仿宋"/>
          <w:spacing w:val="-2"/>
          <w:u w:val="single" w:color="222222"/>
        </w:rPr>
        <w:t xml:space="preserve">  {采购文件中明确的所属行业}</w:t>
      </w:r>
      <w:r>
        <w:rPr>
          <w:rFonts w:hint="eastAsia" w:ascii="仿宋" w:hAnsi="仿宋" w:eastAsia="仿宋" w:cs="仿宋"/>
          <w:spacing w:val="60"/>
          <w:u w:val="single" w:color="222222"/>
        </w:rPr>
        <w:t xml:space="preserve"> </w:t>
      </w:r>
      <w:r>
        <w:rPr>
          <w:rFonts w:hint="eastAsia" w:ascii="仿宋" w:hAnsi="仿宋" w:eastAsia="仿宋" w:cs="仿宋"/>
          <w:spacing w:val="-2"/>
        </w:rPr>
        <w:t>行业；承建企业为</w:t>
      </w:r>
      <w:r>
        <w:rPr>
          <w:rFonts w:hint="eastAsia" w:ascii="仿宋" w:hAnsi="仿宋" w:eastAsia="仿宋" w:cs="仿宋"/>
          <w:spacing w:val="-94"/>
        </w:rPr>
        <w:t xml:space="preserve"> </w:t>
      </w:r>
      <w:r>
        <w:rPr>
          <w:rFonts w:hint="eastAsia" w:ascii="仿宋" w:hAnsi="仿宋" w:eastAsia="仿宋" w:cs="仿宋"/>
          <w:spacing w:val="1"/>
          <w:u w:val="single" w:color="222222"/>
        </w:rPr>
        <w:t xml:space="preserve">   </w:t>
      </w:r>
      <w:r>
        <w:rPr>
          <w:rFonts w:hint="eastAsia" w:ascii="仿宋" w:hAnsi="仿宋" w:eastAsia="仿宋" w:cs="仿宋"/>
          <w:spacing w:val="-71"/>
        </w:rPr>
        <w:t xml:space="preserve"> </w:t>
      </w:r>
      <w:r>
        <w:rPr>
          <w:rFonts w:hint="eastAsia" w:ascii="仿宋" w:hAnsi="仿宋" w:eastAsia="仿宋" w:cs="仿宋"/>
          <w:spacing w:val="-2"/>
        </w:rPr>
        <w:t xml:space="preserve">，从业人员 </w:t>
      </w:r>
      <w:r>
        <w:rPr>
          <w:rFonts w:hint="eastAsia" w:ascii="仿宋" w:hAnsi="仿宋" w:eastAsia="仿宋" w:cs="仿宋"/>
          <w:spacing w:val="-2"/>
          <w:u w:val="single" w:color="222222"/>
        </w:rPr>
        <w:t xml:space="preserve">   </w:t>
      </w:r>
      <w:r>
        <w:rPr>
          <w:rFonts w:hint="eastAsia" w:ascii="仿宋" w:hAnsi="仿宋" w:eastAsia="仿宋" w:cs="仿宋"/>
          <w:spacing w:val="-86"/>
        </w:rPr>
        <w:t xml:space="preserve"> </w:t>
      </w:r>
      <w:r>
        <w:rPr>
          <w:rFonts w:hint="eastAsia" w:ascii="仿宋" w:hAnsi="仿宋" w:eastAsia="仿宋" w:cs="仿宋"/>
          <w:spacing w:val="-2"/>
        </w:rPr>
        <w:t>人，营业</w:t>
      </w:r>
      <w:r>
        <w:rPr>
          <w:rFonts w:hint="eastAsia" w:ascii="仿宋" w:hAnsi="仿宋" w:eastAsia="仿宋" w:cs="仿宋"/>
        </w:rPr>
        <w:t xml:space="preserve"> </w:t>
      </w:r>
      <w:r>
        <w:rPr>
          <w:rFonts w:hint="eastAsia" w:ascii="仿宋" w:hAnsi="仿宋" w:eastAsia="仿宋" w:cs="仿宋"/>
          <w:spacing w:val="-1"/>
        </w:rPr>
        <w:t>收入为</w:t>
      </w:r>
      <w:r>
        <w:rPr>
          <w:rFonts w:hint="eastAsia" w:ascii="仿宋" w:hAnsi="仿宋" w:eastAsia="仿宋" w:cs="仿宋"/>
          <w:spacing w:val="-82"/>
        </w:rPr>
        <w:t xml:space="preserve"> </w:t>
      </w:r>
      <w:r>
        <w:rPr>
          <w:rFonts w:hint="eastAsia" w:ascii="仿宋" w:hAnsi="仿宋" w:eastAsia="仿宋" w:cs="仿宋"/>
          <w:spacing w:val="1"/>
          <w:u w:val="single" w:color="222222"/>
        </w:rPr>
        <w:t xml:space="preserve">   </w:t>
      </w:r>
      <w:r>
        <w:rPr>
          <w:rFonts w:hint="eastAsia" w:ascii="仿宋" w:hAnsi="仿宋" w:eastAsia="仿宋" w:cs="仿宋"/>
          <w:spacing w:val="-83"/>
        </w:rPr>
        <w:t xml:space="preserve"> </w:t>
      </w:r>
      <w:r>
        <w:rPr>
          <w:rFonts w:hint="eastAsia" w:ascii="仿宋" w:hAnsi="仿宋" w:eastAsia="仿宋" w:cs="仿宋"/>
          <w:spacing w:val="-1"/>
        </w:rPr>
        <w:t>万元，资产总额为</w:t>
      </w:r>
      <w:r>
        <w:rPr>
          <w:rFonts w:hint="eastAsia" w:ascii="仿宋" w:hAnsi="仿宋" w:eastAsia="仿宋" w:cs="仿宋"/>
          <w:spacing w:val="-93"/>
        </w:rPr>
        <w:t xml:space="preserve"> </w:t>
      </w:r>
      <w:r>
        <w:rPr>
          <w:rFonts w:hint="eastAsia" w:ascii="仿宋" w:hAnsi="仿宋" w:eastAsia="仿宋" w:cs="仿宋"/>
          <w:spacing w:val="1"/>
          <w:u w:val="single" w:color="222222"/>
        </w:rPr>
        <w:t xml:space="preserve">   </w:t>
      </w:r>
      <w:r>
        <w:rPr>
          <w:rFonts w:hint="eastAsia" w:ascii="仿宋" w:hAnsi="仿宋" w:eastAsia="仿宋" w:cs="仿宋"/>
          <w:spacing w:val="-83"/>
        </w:rPr>
        <w:t xml:space="preserve"> </w:t>
      </w:r>
      <w:r>
        <w:rPr>
          <w:rFonts w:hint="eastAsia" w:ascii="仿宋" w:hAnsi="仿宋" w:eastAsia="仿宋" w:cs="仿宋"/>
          <w:spacing w:val="-1"/>
        </w:rPr>
        <w:t>万元，属于</w:t>
      </w:r>
      <w:r>
        <w:rPr>
          <w:rFonts w:hint="eastAsia" w:ascii="仿宋" w:hAnsi="仿宋" w:eastAsia="仿宋" w:cs="仿宋"/>
          <w:spacing w:val="-94"/>
        </w:rPr>
        <w:t xml:space="preserve"> </w:t>
      </w:r>
      <w:r>
        <w:rPr>
          <w:rFonts w:hint="eastAsia" w:ascii="仿宋" w:hAnsi="仿宋" w:eastAsia="仿宋" w:cs="仿宋"/>
          <w:spacing w:val="-1"/>
          <w:u w:val="single" w:color="222222"/>
        </w:rPr>
        <w:t xml:space="preserve">   </w:t>
      </w:r>
      <w:r>
        <w:rPr>
          <w:rFonts w:hint="eastAsia" w:ascii="仿宋" w:hAnsi="仿宋" w:eastAsia="仿宋" w:cs="仿宋"/>
          <w:spacing w:val="-1"/>
        </w:rPr>
        <w:t>；</w:t>
      </w:r>
    </w:p>
    <w:p w14:paraId="3EFE60E1">
      <w:pPr>
        <w:pStyle w:val="19"/>
        <w:spacing w:line="373" w:lineRule="auto"/>
        <w:ind w:left="2" w:right="1" w:firstLine="404"/>
        <w:rPr>
          <w:rFonts w:hint="eastAsia" w:ascii="仿宋" w:hAnsi="仿宋" w:eastAsia="仿宋" w:cs="仿宋"/>
        </w:rPr>
      </w:pPr>
      <w:r>
        <w:rPr>
          <w:rFonts w:hint="eastAsia" w:ascii="仿宋" w:hAnsi="仿宋" w:eastAsia="仿宋" w:cs="仿宋"/>
          <w:spacing w:val="1"/>
        </w:rPr>
        <w:t>以上企业，不属于大企业的分支机构，不存在控股股东为大企业的情形，也不存在与大企业的负责人为同一</w:t>
      </w:r>
      <w:r>
        <w:rPr>
          <w:rFonts w:hint="eastAsia" w:ascii="仿宋" w:hAnsi="仿宋" w:eastAsia="仿宋" w:cs="仿宋"/>
          <w:spacing w:val="17"/>
        </w:rPr>
        <w:t xml:space="preserve"> </w:t>
      </w:r>
      <w:r>
        <w:rPr>
          <w:rFonts w:hint="eastAsia" w:ascii="仿宋" w:hAnsi="仿宋" w:eastAsia="仿宋" w:cs="仿宋"/>
          <w:spacing w:val="-1"/>
        </w:rPr>
        <w:t>人的情形。</w:t>
      </w:r>
    </w:p>
    <w:p w14:paraId="49F5B57F">
      <w:pPr>
        <w:pStyle w:val="19"/>
        <w:spacing w:line="220" w:lineRule="auto"/>
        <w:ind w:left="385"/>
        <w:rPr>
          <w:rFonts w:hint="eastAsia" w:ascii="仿宋" w:hAnsi="仿宋" w:eastAsia="仿宋" w:cs="仿宋"/>
        </w:rPr>
      </w:pPr>
      <w:r>
        <w:rPr>
          <w:rFonts w:hint="eastAsia" w:ascii="仿宋" w:hAnsi="仿宋" w:eastAsia="仿宋" w:cs="仿宋"/>
          <w:spacing w:val="2"/>
        </w:rPr>
        <w:t>本企业对上述声明内容的真实性负责。如有虚</w:t>
      </w:r>
      <w:r>
        <w:rPr>
          <w:rFonts w:hint="eastAsia" w:ascii="仿宋" w:hAnsi="仿宋" w:eastAsia="仿宋" w:cs="仿宋"/>
          <w:spacing w:val="1"/>
        </w:rPr>
        <w:t>假，将依法承担相应责任。</w:t>
      </w:r>
    </w:p>
    <w:p w14:paraId="7E264000">
      <w:pPr>
        <w:spacing w:line="250" w:lineRule="auto"/>
        <w:rPr>
          <w:rFonts w:hint="eastAsia" w:ascii="仿宋" w:hAnsi="仿宋" w:eastAsia="仿宋" w:cs="仿宋"/>
          <w:sz w:val="21"/>
        </w:rPr>
      </w:pPr>
    </w:p>
    <w:p w14:paraId="48FD01DC">
      <w:pPr>
        <w:spacing w:line="250" w:lineRule="auto"/>
        <w:rPr>
          <w:rFonts w:hint="eastAsia" w:ascii="仿宋" w:hAnsi="仿宋" w:eastAsia="仿宋" w:cs="仿宋"/>
          <w:sz w:val="21"/>
        </w:rPr>
      </w:pPr>
    </w:p>
    <w:p w14:paraId="13C5D4C2">
      <w:pPr>
        <w:spacing w:line="250" w:lineRule="auto"/>
        <w:jc w:val="right"/>
        <w:rPr>
          <w:rFonts w:hint="eastAsia" w:ascii="仿宋" w:hAnsi="仿宋" w:eastAsia="仿宋" w:cs="仿宋"/>
          <w:sz w:val="21"/>
        </w:rPr>
      </w:pPr>
    </w:p>
    <w:p w14:paraId="0286690F">
      <w:pPr>
        <w:spacing w:line="250" w:lineRule="auto"/>
        <w:jc w:val="right"/>
        <w:rPr>
          <w:rFonts w:hint="eastAsia" w:ascii="仿宋" w:hAnsi="仿宋" w:eastAsia="仿宋" w:cs="仿宋"/>
          <w:sz w:val="21"/>
        </w:rPr>
      </w:pPr>
    </w:p>
    <w:p w14:paraId="1ED89696">
      <w:pPr>
        <w:pStyle w:val="19"/>
        <w:spacing w:before="66" w:line="423" w:lineRule="auto"/>
        <w:jc w:val="right"/>
        <w:rPr>
          <w:rFonts w:hint="eastAsia" w:ascii="仿宋" w:hAnsi="仿宋" w:eastAsia="仿宋" w:cs="仿宋"/>
          <w:sz w:val="20"/>
          <w:szCs w:val="20"/>
        </w:rPr>
      </w:pPr>
      <w:r>
        <w:rPr>
          <w:rFonts w:hint="eastAsia" w:ascii="仿宋" w:hAnsi="仿宋" w:eastAsia="仿宋" w:cs="仿宋"/>
          <w:sz w:val="20"/>
          <w:szCs w:val="20"/>
        </w:rPr>
        <w:t>企业名称(签章)：</w:t>
      </w:r>
      <w:r>
        <w:rPr>
          <w:rFonts w:hint="eastAsia" w:ascii="仿宋" w:hAnsi="仿宋" w:eastAsia="仿宋" w:cs="仿宋"/>
          <w:spacing w:val="87"/>
          <w:sz w:val="20"/>
          <w:szCs w:val="20"/>
          <w:u w:val="single" w:color="222222"/>
        </w:rPr>
        <w:t xml:space="preserve"> </w:t>
      </w:r>
      <w:r>
        <w:rPr>
          <w:rFonts w:hint="eastAsia" w:ascii="仿宋" w:hAnsi="仿宋" w:eastAsia="仿宋" w:cs="仿宋"/>
          <w:sz w:val="20"/>
          <w:szCs w:val="20"/>
          <w:u w:val="single" w:color="222222"/>
        </w:rPr>
        <w:t>{供应商名称}</w:t>
      </w:r>
      <w:r>
        <w:rPr>
          <w:rFonts w:hint="eastAsia" w:ascii="仿宋" w:hAnsi="仿宋" w:eastAsia="仿宋" w:cs="仿宋"/>
          <w:spacing w:val="63"/>
          <w:sz w:val="20"/>
          <w:szCs w:val="20"/>
          <w:u w:val="single" w:color="222222"/>
        </w:rPr>
        <w:t xml:space="preserve"> </w:t>
      </w:r>
      <w:r>
        <w:rPr>
          <w:rFonts w:hint="eastAsia" w:ascii="仿宋" w:hAnsi="仿宋" w:eastAsia="仿宋" w:cs="仿宋"/>
          <w:sz w:val="20"/>
          <w:szCs w:val="20"/>
        </w:rPr>
        <w:t xml:space="preserve"> </w:t>
      </w:r>
    </w:p>
    <w:p w14:paraId="14FF641A">
      <w:pPr>
        <w:pStyle w:val="19"/>
        <w:spacing w:before="66" w:line="423" w:lineRule="auto"/>
        <w:jc w:val="right"/>
        <w:rPr>
          <w:rFonts w:hint="eastAsia" w:ascii="仿宋" w:hAnsi="仿宋" w:eastAsia="仿宋" w:cs="仿宋"/>
          <w:sz w:val="20"/>
          <w:szCs w:val="20"/>
        </w:rPr>
      </w:pPr>
      <w:r>
        <w:rPr>
          <w:rFonts w:hint="eastAsia" w:ascii="仿宋" w:hAnsi="仿宋" w:eastAsia="仿宋" w:cs="仿宋"/>
          <w:spacing w:val="-7"/>
          <w:sz w:val="20"/>
          <w:szCs w:val="20"/>
        </w:rPr>
        <w:t>日</w:t>
      </w:r>
      <w:r>
        <w:rPr>
          <w:rFonts w:hint="eastAsia" w:ascii="仿宋" w:hAnsi="仿宋" w:eastAsia="仿宋" w:cs="仿宋"/>
          <w:spacing w:val="23"/>
          <w:sz w:val="20"/>
          <w:szCs w:val="20"/>
        </w:rPr>
        <w:t xml:space="preserve"> </w:t>
      </w:r>
      <w:r>
        <w:rPr>
          <w:rFonts w:hint="eastAsia" w:ascii="仿宋" w:hAnsi="仿宋" w:eastAsia="仿宋" w:cs="仿宋"/>
          <w:spacing w:val="-7"/>
          <w:sz w:val="20"/>
          <w:szCs w:val="20"/>
        </w:rPr>
        <w:t xml:space="preserve">期: </w:t>
      </w:r>
      <w:r>
        <w:rPr>
          <w:rFonts w:hint="eastAsia" w:ascii="仿宋" w:hAnsi="仿宋" w:eastAsia="仿宋" w:cs="仿宋"/>
          <w:spacing w:val="-7"/>
          <w:sz w:val="20"/>
          <w:szCs w:val="20"/>
          <w:u w:val="single" w:color="222222"/>
        </w:rPr>
        <w:t xml:space="preserve">  {当前日期}</w:t>
      </w:r>
      <w:r>
        <w:rPr>
          <w:rFonts w:hint="eastAsia" w:ascii="仿宋" w:hAnsi="仿宋" w:eastAsia="仿宋" w:cs="仿宋"/>
          <w:sz w:val="20"/>
          <w:szCs w:val="20"/>
          <w:u w:val="single" w:color="222222"/>
        </w:rPr>
        <w:t xml:space="preserve">  </w:t>
      </w:r>
    </w:p>
    <w:p w14:paraId="1377A06D">
      <w:pPr>
        <w:spacing w:line="242" w:lineRule="auto"/>
        <w:rPr>
          <w:rFonts w:hint="eastAsia" w:ascii="仿宋" w:hAnsi="仿宋" w:eastAsia="仿宋" w:cs="仿宋"/>
          <w:sz w:val="21"/>
        </w:rPr>
      </w:pPr>
    </w:p>
    <w:p w14:paraId="2E7A93B5">
      <w:pPr>
        <w:spacing w:line="242" w:lineRule="auto"/>
        <w:rPr>
          <w:rFonts w:hint="eastAsia" w:ascii="仿宋" w:hAnsi="仿宋" w:eastAsia="仿宋" w:cs="仿宋"/>
          <w:sz w:val="21"/>
        </w:rPr>
      </w:pPr>
    </w:p>
    <w:p w14:paraId="7C21B090">
      <w:pPr>
        <w:spacing w:line="242" w:lineRule="auto"/>
        <w:rPr>
          <w:rFonts w:hint="eastAsia" w:ascii="仿宋" w:hAnsi="仿宋" w:eastAsia="仿宋" w:cs="仿宋"/>
          <w:sz w:val="21"/>
        </w:rPr>
      </w:pPr>
    </w:p>
    <w:p w14:paraId="220FBA37">
      <w:pPr>
        <w:spacing w:line="243" w:lineRule="auto"/>
        <w:rPr>
          <w:rFonts w:hint="eastAsia" w:ascii="仿宋" w:hAnsi="仿宋" w:eastAsia="仿宋" w:cs="仿宋"/>
          <w:sz w:val="21"/>
        </w:rPr>
      </w:pPr>
    </w:p>
    <w:p w14:paraId="712B99FA">
      <w:pPr>
        <w:pStyle w:val="19"/>
        <w:spacing w:before="62" w:line="226" w:lineRule="auto"/>
        <w:ind w:left="384"/>
        <w:rPr>
          <w:rFonts w:hint="eastAsia" w:ascii="仿宋" w:hAnsi="仿宋" w:eastAsia="仿宋" w:cs="仿宋"/>
        </w:rPr>
      </w:pPr>
      <w:r>
        <w:rPr>
          <w:rFonts w:hint="eastAsia" w:ascii="仿宋" w:hAnsi="仿宋" w:eastAsia="仿宋" w:cs="仿宋"/>
          <w:spacing w:val="-4"/>
        </w:rPr>
        <w:t>注：</w:t>
      </w:r>
    </w:p>
    <w:p w14:paraId="16CA3517">
      <w:pPr>
        <w:pStyle w:val="19"/>
        <w:spacing w:before="153" w:line="297" w:lineRule="auto"/>
        <w:ind w:left="2" w:right="97" w:firstLine="396"/>
        <w:rPr>
          <w:rFonts w:hint="eastAsia" w:ascii="仿宋" w:hAnsi="仿宋" w:eastAsia="仿宋" w:cs="仿宋"/>
        </w:rPr>
      </w:pPr>
      <w:r>
        <w:rPr>
          <w:rFonts w:hint="eastAsia" w:ascii="仿宋" w:hAnsi="仿宋" w:eastAsia="仿宋" w:cs="仿宋"/>
          <w:spacing w:val="2"/>
        </w:rPr>
        <w:t>1、供应商根据《工业和信息化部、国家统计局、国家</w:t>
      </w:r>
      <w:r>
        <w:rPr>
          <w:rFonts w:hint="eastAsia" w:ascii="仿宋" w:hAnsi="仿宋" w:eastAsia="仿宋" w:cs="仿宋"/>
          <w:spacing w:val="1"/>
        </w:rPr>
        <w:t>发展和改革委员会、财政部关于印发中小企业划型标</w:t>
      </w:r>
      <w:r>
        <w:rPr>
          <w:rFonts w:hint="eastAsia" w:ascii="仿宋" w:hAnsi="仿宋" w:eastAsia="仿宋" w:cs="仿宋"/>
        </w:rPr>
        <w:t xml:space="preserve"> </w:t>
      </w:r>
      <w:r>
        <w:rPr>
          <w:rFonts w:hint="eastAsia" w:ascii="仿宋" w:hAnsi="仿宋" w:eastAsia="仿宋" w:cs="仿宋"/>
          <w:spacing w:val="2"/>
        </w:rPr>
        <w:t>准规定的通知》（工信部联企业〔2011〕300号）规定，</w:t>
      </w:r>
      <w:r>
        <w:rPr>
          <w:rFonts w:hint="eastAsia" w:ascii="仿宋" w:hAnsi="仿宋" w:eastAsia="仿宋" w:cs="仿宋"/>
          <w:spacing w:val="1"/>
        </w:rPr>
        <w:t>结合自身实际，确定对应的中小企业划型。</w:t>
      </w:r>
    </w:p>
    <w:p w14:paraId="2DEF4034">
      <w:pPr>
        <w:pStyle w:val="19"/>
        <w:spacing w:before="157" w:line="297" w:lineRule="auto"/>
        <w:ind w:right="289" w:firstLine="387"/>
        <w:rPr>
          <w:rFonts w:hint="eastAsia" w:ascii="仿宋" w:hAnsi="仿宋" w:eastAsia="仿宋" w:cs="仿宋"/>
        </w:rPr>
      </w:pPr>
      <w:r>
        <w:rPr>
          <w:rFonts w:hint="eastAsia" w:ascii="仿宋" w:hAnsi="仿宋" w:eastAsia="仿宋" w:cs="仿宋"/>
          <w:spacing w:val="2"/>
        </w:rPr>
        <w:t>2、从业人员、营业收入、资产总额填报上一年度数据，无上一年度数据的新成</w:t>
      </w:r>
      <w:r>
        <w:rPr>
          <w:rFonts w:hint="eastAsia" w:ascii="仿宋" w:hAnsi="仿宋" w:eastAsia="仿宋" w:cs="仿宋"/>
          <w:spacing w:val="1"/>
        </w:rPr>
        <w:t>立企业从业人员、营业收</w:t>
      </w:r>
      <w:r>
        <w:rPr>
          <w:rFonts w:hint="eastAsia" w:ascii="仿宋" w:hAnsi="仿宋" w:eastAsia="仿宋" w:cs="仿宋"/>
        </w:rPr>
        <w:t xml:space="preserve"> </w:t>
      </w:r>
      <w:r>
        <w:rPr>
          <w:rFonts w:hint="eastAsia" w:ascii="仿宋" w:hAnsi="仿宋" w:eastAsia="仿宋" w:cs="仿宋"/>
          <w:spacing w:val="2"/>
        </w:rPr>
        <w:t>入、资产总额均填0，根据提交投标（响应）文件时的</w:t>
      </w:r>
      <w:r>
        <w:rPr>
          <w:rFonts w:hint="eastAsia" w:ascii="仿宋" w:hAnsi="仿宋" w:eastAsia="仿宋" w:cs="仿宋"/>
          <w:spacing w:val="1"/>
        </w:rPr>
        <w:t>实际情况填写企业类型。</w:t>
      </w:r>
    </w:p>
    <w:p w14:paraId="31389BF8">
      <w:pPr>
        <w:pStyle w:val="19"/>
        <w:spacing w:before="156" w:line="221" w:lineRule="auto"/>
        <w:ind w:left="388"/>
        <w:rPr>
          <w:rFonts w:hint="eastAsia" w:ascii="仿宋" w:hAnsi="仿宋" w:eastAsia="仿宋" w:cs="仿宋"/>
        </w:rPr>
      </w:pPr>
      <w:r>
        <w:rPr>
          <w:rFonts w:hint="eastAsia" w:ascii="仿宋" w:hAnsi="仿宋" w:eastAsia="仿宋" w:cs="仿宋"/>
          <w:spacing w:val="1"/>
        </w:rPr>
        <w:t>3、供应商不属于中小企业的，无需提供此声明。</w:t>
      </w:r>
    </w:p>
    <w:p w14:paraId="4259B39A">
      <w:pPr>
        <w:tabs>
          <w:tab w:val="left" w:pos="6818"/>
        </w:tabs>
        <w:adjustRightInd w:val="0"/>
        <w:snapToGrid w:val="0"/>
        <w:spacing w:line="360" w:lineRule="auto"/>
        <w:rPr>
          <w:rFonts w:hint="eastAsia" w:ascii="仿宋" w:hAnsi="仿宋" w:eastAsia="仿宋" w:cs="仿宋"/>
          <w:color w:val="auto"/>
          <w:sz w:val="28"/>
          <w:szCs w:val="28"/>
          <w:highlight w:val="none"/>
        </w:rPr>
      </w:pPr>
    </w:p>
    <w:p w14:paraId="7B9E1FEE">
      <w:pPr>
        <w:tabs>
          <w:tab w:val="left" w:pos="6818"/>
        </w:tabs>
        <w:adjustRightInd w:val="0"/>
        <w:snapToGrid w:val="0"/>
        <w:spacing w:line="360" w:lineRule="auto"/>
        <w:rPr>
          <w:rFonts w:hint="eastAsia" w:ascii="仿宋" w:hAnsi="仿宋" w:eastAsia="仿宋" w:cs="仿宋"/>
          <w:color w:val="auto"/>
          <w:sz w:val="28"/>
          <w:szCs w:val="28"/>
          <w:highlight w:val="none"/>
        </w:rPr>
      </w:pPr>
    </w:p>
    <w:p w14:paraId="1AB0ADE1">
      <w:pPr>
        <w:tabs>
          <w:tab w:val="left" w:pos="6818"/>
        </w:tabs>
        <w:adjustRightInd w:val="0"/>
        <w:snapToGrid w:val="0"/>
        <w:spacing w:line="360" w:lineRule="auto"/>
        <w:rPr>
          <w:rFonts w:hint="eastAsia" w:ascii="仿宋" w:hAnsi="仿宋" w:eastAsia="仿宋" w:cs="仿宋"/>
          <w:color w:val="auto"/>
          <w:sz w:val="28"/>
          <w:szCs w:val="28"/>
          <w:highlight w:val="none"/>
        </w:rPr>
      </w:pPr>
    </w:p>
    <w:p w14:paraId="0F7C0E72">
      <w:pPr>
        <w:tabs>
          <w:tab w:val="left" w:pos="6818"/>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bookmarkEnd w:id="264"/>
      <w:r>
        <w:rPr>
          <w:rFonts w:hint="eastAsia" w:ascii="仿宋" w:hAnsi="仿宋" w:eastAsia="仿宋" w:cs="仿宋"/>
          <w:color w:val="auto"/>
          <w:sz w:val="28"/>
          <w:szCs w:val="28"/>
          <w:highlight w:val="none"/>
        </w:rPr>
        <w:tab/>
      </w:r>
    </w:p>
    <w:p w14:paraId="61402344">
      <w:pPr>
        <w:spacing w:line="588" w:lineRule="exact"/>
        <w:jc w:val="center"/>
        <w:rPr>
          <w:rFonts w:hint="eastAsia" w:ascii="仿宋" w:hAnsi="仿宋" w:eastAsia="仿宋" w:cs="仿宋"/>
          <w:b/>
          <w:color w:val="auto"/>
          <w:spacing w:val="6"/>
          <w:sz w:val="36"/>
          <w:szCs w:val="36"/>
          <w:highlight w:val="none"/>
        </w:rPr>
      </w:pPr>
    </w:p>
    <w:p w14:paraId="389BE99D">
      <w:pPr>
        <w:spacing w:line="588" w:lineRule="exact"/>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10825533">
      <w:pPr>
        <w:spacing w:line="588" w:lineRule="exact"/>
        <w:rPr>
          <w:rFonts w:hint="eastAsia" w:ascii="仿宋" w:hAnsi="仿宋" w:eastAsia="仿宋" w:cs="仿宋"/>
          <w:b/>
          <w:color w:val="auto"/>
          <w:spacing w:val="6"/>
          <w:sz w:val="30"/>
          <w:szCs w:val="30"/>
          <w:highlight w:val="none"/>
        </w:rPr>
      </w:pPr>
    </w:p>
    <w:p w14:paraId="4557BE62">
      <w:pPr>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 141</w:t>
      </w:r>
      <w:r>
        <w:rPr>
          <w:rFonts w:hint="eastAsia" w:ascii="仿宋" w:hAnsi="仿宋" w:eastAsia="仿宋" w:cs="仿宋"/>
          <w:color w:val="auto"/>
          <w:spacing w:val="6"/>
          <w:szCs w:val="21"/>
          <w:highlight w:val="none"/>
        </w:rPr>
        <w:t>号）的规定，本单位为符合条件的残疾人福利性单位，且本单位参加</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4B72AEBB">
      <w:pPr>
        <w:spacing w:line="360" w:lineRule="auto"/>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07DD83E3">
      <w:pPr>
        <w:spacing w:line="360" w:lineRule="auto"/>
        <w:ind w:firstLine="444" w:firstLineChars="200"/>
        <w:rPr>
          <w:rFonts w:hint="eastAsia" w:ascii="仿宋" w:hAnsi="仿宋" w:eastAsia="仿宋" w:cs="仿宋"/>
          <w:color w:val="auto"/>
          <w:spacing w:val="6"/>
          <w:szCs w:val="21"/>
          <w:highlight w:val="none"/>
        </w:rPr>
      </w:pPr>
    </w:p>
    <w:p w14:paraId="07477EB1">
      <w:pPr>
        <w:spacing w:line="360" w:lineRule="auto"/>
        <w:ind w:firstLine="444" w:firstLineChars="200"/>
        <w:rPr>
          <w:rFonts w:hint="eastAsia" w:ascii="仿宋" w:hAnsi="仿宋" w:eastAsia="仿宋" w:cs="仿宋"/>
          <w:color w:val="auto"/>
          <w:spacing w:val="6"/>
          <w:szCs w:val="21"/>
          <w:highlight w:val="none"/>
        </w:rPr>
      </w:pPr>
    </w:p>
    <w:p w14:paraId="497A7E75">
      <w:pPr>
        <w:tabs>
          <w:tab w:val="left" w:pos="4860"/>
        </w:tabs>
        <w:spacing w:line="360" w:lineRule="auto"/>
        <w:ind w:right="1560" w:firstLine="444" w:firstLineChars="200"/>
        <w:jc w:val="cente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                     单位名称：</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（盖单位章）</w:t>
      </w:r>
    </w:p>
    <w:p w14:paraId="4C0E6A82">
      <w:pPr>
        <w:tabs>
          <w:tab w:val="left" w:pos="4860"/>
        </w:tabs>
        <w:spacing w:line="360" w:lineRule="auto"/>
        <w:ind w:right="1560" w:firstLine="444" w:firstLineChars="200"/>
        <w:jc w:val="cente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 </w:t>
      </w:r>
    </w:p>
    <w:p w14:paraId="685446CB">
      <w:pPr>
        <w:tabs>
          <w:tab w:val="left" w:pos="4860"/>
        </w:tabs>
        <w:spacing w:line="360" w:lineRule="auto"/>
        <w:ind w:right="1560" w:firstLine="444" w:firstLineChars="200"/>
        <w:jc w:val="center"/>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 xml:space="preserve">                   日     期：    年   月  日</w:t>
      </w:r>
    </w:p>
    <w:p w14:paraId="7ED821A1">
      <w:pPr>
        <w:adjustRightInd w:val="0"/>
        <w:snapToGrid w:val="0"/>
        <w:spacing w:line="360" w:lineRule="auto"/>
        <w:rPr>
          <w:rFonts w:hint="eastAsia" w:ascii="仿宋" w:hAnsi="仿宋" w:eastAsia="仿宋" w:cs="仿宋"/>
          <w:b/>
          <w:color w:val="auto"/>
          <w:sz w:val="24"/>
          <w:highlight w:val="none"/>
        </w:rPr>
      </w:pPr>
    </w:p>
    <w:p w14:paraId="3B60481E">
      <w:pPr>
        <w:adjustRightInd w:val="0"/>
        <w:snapToGrid w:val="0"/>
        <w:spacing w:before="50" w:line="360" w:lineRule="auto"/>
        <w:jc w:val="center"/>
        <w:rPr>
          <w:rFonts w:hint="eastAsia" w:ascii="仿宋" w:hAnsi="仿宋" w:eastAsia="仿宋" w:cs="仿宋"/>
          <w:b/>
          <w:color w:val="auto"/>
          <w:sz w:val="36"/>
          <w:szCs w:val="36"/>
          <w:highlight w:val="none"/>
        </w:rPr>
      </w:pPr>
    </w:p>
    <w:p w14:paraId="3FF50960">
      <w:pPr>
        <w:adjustRightInd w:val="0"/>
        <w:snapToGrid w:val="0"/>
        <w:spacing w:before="50" w:line="360" w:lineRule="auto"/>
        <w:jc w:val="center"/>
        <w:rPr>
          <w:rFonts w:hint="eastAsia" w:ascii="仿宋" w:hAnsi="仿宋" w:eastAsia="仿宋" w:cs="仿宋"/>
          <w:b/>
          <w:color w:val="auto"/>
          <w:sz w:val="36"/>
          <w:szCs w:val="36"/>
          <w:highlight w:val="none"/>
        </w:rPr>
      </w:pPr>
    </w:p>
    <w:p w14:paraId="080BB32C">
      <w:pPr>
        <w:adjustRightInd w:val="0"/>
        <w:snapToGrid w:val="0"/>
        <w:spacing w:before="50" w:line="360" w:lineRule="auto"/>
        <w:jc w:val="center"/>
        <w:rPr>
          <w:rFonts w:hint="eastAsia" w:ascii="仿宋" w:hAnsi="仿宋" w:eastAsia="仿宋" w:cs="仿宋"/>
          <w:b/>
          <w:color w:val="auto"/>
          <w:sz w:val="36"/>
          <w:szCs w:val="36"/>
          <w:highlight w:val="none"/>
        </w:rPr>
      </w:pPr>
    </w:p>
    <w:p w14:paraId="26209E1A">
      <w:pPr>
        <w:adjustRightInd w:val="0"/>
        <w:snapToGrid w:val="0"/>
        <w:spacing w:before="50" w:line="360" w:lineRule="auto"/>
        <w:jc w:val="center"/>
        <w:rPr>
          <w:rFonts w:hint="eastAsia" w:ascii="仿宋" w:hAnsi="仿宋" w:eastAsia="仿宋" w:cs="仿宋"/>
          <w:b/>
          <w:color w:val="auto"/>
          <w:sz w:val="36"/>
          <w:szCs w:val="36"/>
          <w:highlight w:val="none"/>
        </w:rPr>
      </w:pPr>
    </w:p>
    <w:p w14:paraId="3C5C56EC">
      <w:pPr>
        <w:adjustRightInd w:val="0"/>
        <w:snapToGrid w:val="0"/>
        <w:spacing w:before="50" w:line="360" w:lineRule="auto"/>
        <w:rPr>
          <w:rFonts w:hint="eastAsia" w:ascii="仿宋" w:hAnsi="仿宋" w:eastAsia="仿宋" w:cs="仿宋"/>
          <w:b/>
          <w:color w:val="auto"/>
          <w:sz w:val="36"/>
          <w:szCs w:val="36"/>
          <w:highlight w:val="none"/>
        </w:rPr>
      </w:pPr>
    </w:p>
    <w:p w14:paraId="6AC5A959">
      <w:pPr>
        <w:adjustRightInd w:val="0"/>
        <w:snapToGrid w:val="0"/>
        <w:spacing w:line="36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注：供应商应仔细阅读《财政部 民政部 中国残疾人联合会关于促进残疾人就业政府采购政策的通知》，并如实填写本表，符合条件的供应商未按上述要求提供、填写的，评审时不予以考虑。</w:t>
      </w:r>
      <w:r>
        <w:rPr>
          <w:rFonts w:hint="eastAsia" w:ascii="仿宋" w:hAnsi="仿宋" w:eastAsia="仿宋" w:cs="仿宋"/>
          <w:b/>
          <w:bCs/>
          <w:color w:val="auto"/>
          <w:szCs w:val="21"/>
          <w:highlight w:val="none"/>
        </w:rPr>
        <w:t>不符合条件的供应商无需填写。如果出现虚假应标，由此产生的后果由供应商自行负责。</w:t>
      </w:r>
    </w:p>
    <w:p w14:paraId="1FF60EC4">
      <w:pPr>
        <w:adjustRightInd w:val="0"/>
        <w:snapToGrid w:val="0"/>
        <w:spacing w:line="360" w:lineRule="exact"/>
        <w:ind w:firstLine="525" w:firstLineChars="250"/>
        <w:rPr>
          <w:rFonts w:hint="eastAsia" w:ascii="仿宋" w:hAnsi="仿宋" w:eastAsia="仿宋" w:cs="仿宋"/>
          <w:color w:val="auto"/>
          <w:szCs w:val="21"/>
          <w:highlight w:val="none"/>
        </w:rPr>
      </w:pPr>
    </w:p>
    <w:p w14:paraId="72D070B8">
      <w:pPr>
        <w:spacing w:before="240" w:beforeLines="100" w:line="360" w:lineRule="auto"/>
        <w:ind w:firstLine="409" w:firstLineChars="195"/>
        <w:rPr>
          <w:rFonts w:hint="eastAsia" w:ascii="仿宋" w:hAnsi="仿宋" w:eastAsia="仿宋" w:cs="仿宋"/>
          <w:bCs/>
          <w:iCs/>
          <w:color w:val="auto"/>
          <w:highlight w:val="none"/>
        </w:rPr>
      </w:pPr>
    </w:p>
    <w:p w14:paraId="4BDDF173">
      <w:pPr>
        <w:spacing w:before="240" w:beforeLines="100" w:line="360" w:lineRule="auto"/>
        <w:ind w:firstLine="409" w:firstLineChars="195"/>
        <w:rPr>
          <w:rFonts w:hint="eastAsia" w:ascii="仿宋" w:hAnsi="仿宋" w:eastAsia="仿宋" w:cs="仿宋"/>
          <w:bCs/>
          <w:iCs/>
          <w:color w:val="auto"/>
          <w:highlight w:val="none"/>
        </w:rPr>
      </w:pPr>
    </w:p>
    <w:p w14:paraId="5B3D38DF">
      <w:pPr>
        <w:adjustRightInd w:val="0"/>
        <w:snapToGrid w:val="0"/>
        <w:spacing w:before="50" w:line="360" w:lineRule="auto"/>
        <w:jc w:val="left"/>
        <w:rPr>
          <w:rFonts w:hint="eastAsia" w:ascii="仿宋" w:hAnsi="仿宋" w:eastAsia="仿宋" w:cs="仿宋"/>
          <w:color w:val="auto"/>
          <w:sz w:val="28"/>
          <w:szCs w:val="28"/>
          <w:highlight w:val="none"/>
        </w:rPr>
      </w:pPr>
      <w:bookmarkStart w:id="265" w:name="_Toc28162_WPSOffice_Level2"/>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bookmarkEnd w:id="265"/>
    </w:p>
    <w:p w14:paraId="1442A537">
      <w:pPr>
        <w:adjustRightInd w:val="0"/>
        <w:snapToGrid w:val="0"/>
        <w:spacing w:before="50"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监狱企业证明文件</w:t>
      </w:r>
    </w:p>
    <w:p w14:paraId="21F463D6">
      <w:pPr>
        <w:adjustRightInd w:val="0"/>
        <w:snapToGrid w:val="0"/>
        <w:spacing w:before="50" w:line="360" w:lineRule="auto"/>
        <w:jc w:val="center"/>
        <w:rPr>
          <w:rFonts w:hint="eastAsia" w:ascii="仿宋" w:hAnsi="仿宋" w:eastAsia="仿宋" w:cs="仿宋"/>
          <w:b/>
          <w:color w:val="auto"/>
          <w:sz w:val="36"/>
          <w:szCs w:val="36"/>
          <w:highlight w:val="none"/>
        </w:rPr>
      </w:pPr>
    </w:p>
    <w:p w14:paraId="51AC5BAC">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81F9B35">
      <w:pPr>
        <w:adjustRightInd w:val="0"/>
        <w:snapToGrid w:val="0"/>
        <w:spacing w:line="360" w:lineRule="auto"/>
        <w:ind w:firstLine="525"/>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1.无格式要求，由出具监狱企业证明的单位自行拟定；</w:t>
      </w:r>
    </w:p>
    <w:p w14:paraId="5E7AD5E0">
      <w:pPr>
        <w:adjustRightInd w:val="0"/>
        <w:snapToGrid w:val="0"/>
        <w:spacing w:line="360" w:lineRule="auto"/>
        <w:ind w:firstLine="525"/>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2.供应商未提供的，评审时不视为中小企业。</w:t>
      </w:r>
    </w:p>
    <w:p w14:paraId="04A97AB7">
      <w:pPr>
        <w:adjustRightInd w:val="0"/>
        <w:snapToGrid w:val="0"/>
        <w:spacing w:line="360" w:lineRule="auto"/>
        <w:ind w:firstLine="525"/>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
          <w:bCs/>
          <w:color w:val="auto"/>
          <w:szCs w:val="21"/>
          <w:highlight w:val="none"/>
        </w:rPr>
        <w:t>不符合条件的供应商无需填写。如果出现虚假应标，由此产生的后果由供应商自行负责。</w:t>
      </w:r>
    </w:p>
    <w:p w14:paraId="5A532213">
      <w:pPr>
        <w:adjustRightInd w:val="0"/>
        <w:snapToGrid w:val="0"/>
        <w:spacing w:before="50" w:line="360" w:lineRule="auto"/>
        <w:jc w:val="left"/>
        <w:rPr>
          <w:rFonts w:hint="eastAsia" w:ascii="仿宋" w:hAnsi="仿宋" w:eastAsia="仿宋" w:cs="仿宋"/>
          <w:color w:val="auto"/>
          <w:sz w:val="28"/>
          <w:szCs w:val="28"/>
          <w:highlight w:val="none"/>
        </w:rPr>
      </w:pPr>
    </w:p>
    <w:p w14:paraId="17448BE4">
      <w:pPr>
        <w:adjustRightInd w:val="0"/>
        <w:snapToGrid w:val="0"/>
        <w:spacing w:before="5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p>
    <w:p w14:paraId="4C7BE989">
      <w:pPr>
        <w:adjustRightInd w:val="0"/>
        <w:snapToGrid w:val="0"/>
        <w:spacing w:before="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color w:val="auto"/>
          <w:sz w:val="36"/>
          <w:szCs w:val="36"/>
          <w:highlight w:val="none"/>
        </w:rPr>
        <w:t>“节能</w:t>
      </w:r>
      <w:r>
        <w:rPr>
          <w:rFonts w:hint="eastAsia" w:ascii="仿宋" w:hAnsi="仿宋" w:eastAsia="仿宋" w:cs="仿宋"/>
          <w:b/>
          <w:bCs/>
          <w:color w:val="auto"/>
          <w:sz w:val="36"/>
          <w:szCs w:val="36"/>
          <w:highlight w:val="none"/>
        </w:rPr>
        <w:t>产品</w:t>
      </w:r>
      <w:r>
        <w:rPr>
          <w:rFonts w:hint="eastAsia" w:ascii="仿宋" w:hAnsi="仿宋" w:eastAsia="仿宋" w:cs="仿宋"/>
          <w:b/>
          <w:color w:val="auto"/>
          <w:sz w:val="36"/>
          <w:szCs w:val="36"/>
          <w:highlight w:val="none"/>
        </w:rPr>
        <w:t>”、“环境标志</w:t>
      </w:r>
      <w:r>
        <w:rPr>
          <w:rFonts w:hint="eastAsia" w:ascii="仿宋" w:hAnsi="仿宋" w:eastAsia="仿宋" w:cs="仿宋"/>
          <w:b/>
          <w:bCs/>
          <w:color w:val="auto"/>
          <w:sz w:val="36"/>
          <w:szCs w:val="36"/>
          <w:highlight w:val="none"/>
        </w:rPr>
        <w:t>产品</w:t>
      </w:r>
      <w:r>
        <w:rPr>
          <w:rFonts w:hint="eastAsia" w:ascii="仿宋" w:hAnsi="仿宋" w:eastAsia="仿宋" w:cs="仿宋"/>
          <w:b/>
          <w:color w:val="auto"/>
          <w:sz w:val="36"/>
          <w:szCs w:val="36"/>
          <w:highlight w:val="none"/>
        </w:rPr>
        <w:t>”证明材料</w:t>
      </w:r>
    </w:p>
    <w:p w14:paraId="6716B0F4">
      <w:pPr>
        <w:spacing w:line="360" w:lineRule="auto"/>
        <w:rPr>
          <w:rFonts w:hint="eastAsia" w:ascii="仿宋" w:hAnsi="仿宋" w:eastAsia="仿宋" w:cs="仿宋"/>
          <w:color w:val="auto"/>
          <w:sz w:val="24"/>
          <w:highlight w:val="none"/>
        </w:rPr>
      </w:pPr>
    </w:p>
    <w:p w14:paraId="12988956">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1E3B7FE0">
      <w:pPr>
        <w:adjustRightInd w:val="0"/>
        <w:snapToGrid w:val="0"/>
        <w:spacing w:line="360" w:lineRule="auto"/>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供应商提供的主要材料与设备</w:t>
      </w:r>
      <w:r>
        <w:rPr>
          <w:rFonts w:hint="eastAsia" w:ascii="仿宋" w:hAnsi="仿宋" w:eastAsia="仿宋" w:cs="仿宋"/>
          <w:bCs/>
          <w:color w:val="auto"/>
          <w:szCs w:val="21"/>
          <w:highlight w:val="none"/>
        </w:rPr>
        <w:t>属于节能产品或环境标志产品的</w:t>
      </w:r>
      <w:r>
        <w:rPr>
          <w:rFonts w:hint="eastAsia" w:ascii="仿宋" w:hAnsi="仿宋" w:eastAsia="仿宋" w:cs="仿宋"/>
          <w:color w:val="auto"/>
          <w:szCs w:val="21"/>
          <w:highlight w:val="none"/>
        </w:rPr>
        <w:t>，应当按照供应商须知第3.4.1项规定提供相关证明材料，并在《主要材料与设备报价表》中填写相应的证书编号；</w:t>
      </w:r>
    </w:p>
    <w:p w14:paraId="5E0DDD98">
      <w:pPr>
        <w:adjustRightInd w:val="0"/>
        <w:snapToGrid w:val="0"/>
        <w:spacing w:line="360" w:lineRule="auto"/>
        <w:ind w:firstLine="525" w:firstLineChars="2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2.供应商未按上述要求提供、</w:t>
      </w:r>
      <w:r>
        <w:rPr>
          <w:rFonts w:hint="eastAsia" w:ascii="仿宋" w:hAnsi="仿宋" w:eastAsia="仿宋" w:cs="仿宋"/>
          <w:color w:val="auto"/>
          <w:szCs w:val="21"/>
          <w:highlight w:val="none"/>
        </w:rPr>
        <w:t>填写</w:t>
      </w:r>
      <w:r>
        <w:rPr>
          <w:rFonts w:hint="eastAsia" w:ascii="仿宋" w:hAnsi="仿宋" w:eastAsia="仿宋" w:cs="仿宋"/>
          <w:bCs/>
          <w:color w:val="auto"/>
          <w:szCs w:val="21"/>
          <w:highlight w:val="none"/>
        </w:rPr>
        <w:t>的，评审时不予加分。</w:t>
      </w:r>
    </w:p>
    <w:p w14:paraId="07E2FA67">
      <w:pPr>
        <w:adjustRightInd w:val="0"/>
        <w:spacing w:line="400" w:lineRule="exact"/>
        <w:jc w:val="left"/>
        <w:rPr>
          <w:rFonts w:hint="eastAsia" w:ascii="仿宋" w:hAnsi="仿宋" w:eastAsia="仿宋" w:cs="仿宋"/>
          <w:bCs/>
          <w:color w:val="auto"/>
          <w:sz w:val="28"/>
          <w:szCs w:val="28"/>
          <w:highlight w:val="none"/>
        </w:rPr>
      </w:pPr>
    </w:p>
    <w:p w14:paraId="740B0FDA">
      <w:pPr>
        <w:pStyle w:val="86"/>
        <w:spacing w:line="400" w:lineRule="exact"/>
        <w:rPr>
          <w:rFonts w:hint="eastAsia" w:ascii="仿宋" w:hAnsi="仿宋" w:eastAsia="仿宋" w:cs="仿宋"/>
          <w:color w:val="auto"/>
          <w:highlight w:val="none"/>
        </w:rPr>
      </w:pPr>
    </w:p>
    <w:p w14:paraId="0352CCB0">
      <w:pPr>
        <w:rPr>
          <w:rFonts w:hint="eastAsia" w:ascii="仿宋" w:hAnsi="仿宋" w:eastAsia="仿宋" w:cs="仿宋"/>
        </w:rPr>
      </w:pPr>
    </w:p>
    <w:p w14:paraId="7B07F8F5">
      <w:pPr>
        <w:pStyle w:val="86"/>
        <w:spacing w:line="400" w:lineRule="exact"/>
        <w:rPr>
          <w:rFonts w:hint="eastAsia" w:ascii="仿宋" w:hAnsi="仿宋" w:eastAsia="仿宋" w:cs="仿宋"/>
          <w:color w:val="auto"/>
          <w:highlight w:val="none"/>
        </w:rPr>
      </w:pPr>
    </w:p>
    <w:sectPr>
      <w:headerReference r:id="rId12" w:type="default"/>
      <w:footerReference r:id="rId13" w:type="default"/>
      <w:pgSz w:w="11906" w:h="16838"/>
      <w:pgMar w:top="1440" w:right="1803" w:bottom="1440" w:left="1803"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1B64B4B5-165B-4DD6-B4AF-8C734E560B5A}"/>
  </w:font>
  <w:font w:name="Cambria">
    <w:panose1 w:val="02040503050406030204"/>
    <w:charset w:val="00"/>
    <w:family w:val="roman"/>
    <w:pitch w:val="default"/>
    <w:sig w:usb0="E00006FF" w:usb1="420024FF" w:usb2="02000000" w:usb3="00000000" w:csb0="2000019F" w:csb1="00000000"/>
  </w:font>
  <w:font w:name="AGYXIQ+Frutiger-Cn">
    <w:altName w:val="宋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C443">
    <w:pPr>
      <w:pStyle w:val="31"/>
      <w:ind w:right="360"/>
      <w:jc w:val="center"/>
      <w:rPr>
        <w:rFonts w:hint="eastAsia"/>
      </w:rP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612F">
    <w:pPr>
      <w:pStyle w:val="31"/>
      <w:ind w:right="36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51F95">
                          <w:pPr>
                            <w:pStyle w:val="3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851F95">
                    <w:pPr>
                      <w:pStyle w:val="3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r>
      <w:rPr>
        <w:rFonts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D7B4">
    <w:pPr>
      <w:spacing w:line="280" w:lineRule="exact"/>
      <w:jc w:val="center"/>
      <w:rPr>
        <w:rFonts w:ascii="宋体" w:hAnsi="宋体" w:cs="宋体"/>
        <w:b/>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18A6">
    <w:pPr>
      <w:spacing w:line="280" w:lineRule="exact"/>
      <w:rPr>
        <w:rFonts w:ascii="宋体" w:hAnsi="宋体" w:cs="宋体"/>
        <w:b/>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99174">
    <w:pPr>
      <w:pStyle w:val="31"/>
      <w:ind w:right="360"/>
      <w:jc w:val="center"/>
      <w:rPr>
        <w:rFonts w:hint="eastAsia"/>
        <w:kern w:val="0"/>
        <w:szCs w:val="21"/>
      </w:rPr>
    </w:pPr>
  </w:p>
  <w:p w14:paraId="2E3C5140">
    <w:pPr>
      <w:pStyle w:val="31"/>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6ABA">
    <w:pPr>
      <w:pStyle w:val="31"/>
      <w:ind w:right="360"/>
      <w:jc w:val="center"/>
      <w:rPr>
        <w:rFonts w:hint="eastAsia"/>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63BE5">
                          <w:pPr>
                            <w:pStyle w:val="3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EC63BE5">
                    <w:pPr>
                      <w:pStyle w:val="3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65</w:t>
                    </w:r>
                    <w:r>
                      <w:rPr>
                        <w:rFonts w:hint="eastAsia"/>
                        <w:lang w:eastAsia="zh-CN"/>
                      </w:rPr>
                      <w:fldChar w:fldCharType="end"/>
                    </w:r>
                    <w:r>
                      <w:rPr>
                        <w:rFonts w:hint="eastAsia"/>
                        <w:lang w:eastAsia="zh-CN"/>
                      </w:rPr>
                      <w:t xml:space="preserve"> 页</w:t>
                    </w:r>
                  </w:p>
                </w:txbxContent>
              </v:textbox>
            </v:shape>
          </w:pict>
        </mc:Fallback>
      </mc:AlternateContent>
    </w:r>
  </w:p>
  <w:p w14:paraId="38EFC278">
    <w:pPr>
      <w:pStyle w:val="3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109A">
    <w:pPr>
      <w:pStyle w:val="32"/>
      <w:pBdr>
        <w:bottom w:val="none" w:color="auto" w:sz="0" w:space="1"/>
      </w:pBdr>
      <w:jc w:val="both"/>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A3F69">
    <w:pPr>
      <w:spacing w:line="460" w:lineRule="exact"/>
      <w:jc w:val="center"/>
      <w:rPr>
        <w:rFonts w:ascii="宋体" w:hAnsi="宋体"/>
        <w:b/>
        <w:szCs w:val="21"/>
        <w:u w:val="single"/>
        <w:shd w:val="pct10"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5923">
    <w:pPr>
      <w:spacing w:line="460" w:lineRule="exact"/>
      <w:rPr>
        <w:rFonts w:ascii="宋体" w:hAnsi="宋体"/>
        <w:b/>
        <w:szCs w:val="21"/>
        <w:u w:val="single"/>
        <w:shd w:val="pct10" w:color="auto" w:fill="FFFFF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C22DD">
    <w:pPr>
      <w:spacing w:line="460" w:lineRule="exact"/>
      <w:rPr>
        <w:rFonts w:ascii="宋体" w:hAnsi="宋体"/>
        <w:b/>
        <w:szCs w:val="21"/>
        <w:u w:val="single"/>
        <w:shd w:val="pct10" w:color="auto" w:fill="FFFFF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87EB">
    <w:pPr>
      <w:spacing w:line="460" w:lineRule="exact"/>
      <w:rPr>
        <w:rFonts w:ascii="宋体" w:hAnsi="宋体"/>
        <w:b/>
        <w:szCs w:val="21"/>
        <w:u w:val="single"/>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4D519"/>
    <w:multiLevelType w:val="singleLevel"/>
    <w:tmpl w:val="8344D519"/>
    <w:lvl w:ilvl="0" w:tentative="0">
      <w:start w:val="5"/>
      <w:numFmt w:val="decimal"/>
      <w:suff w:val="nothing"/>
      <w:lvlText w:val="%1、"/>
      <w:lvlJc w:val="left"/>
    </w:lvl>
  </w:abstractNum>
  <w:abstractNum w:abstractNumId="1">
    <w:nsid w:val="B5B0B6FF"/>
    <w:multiLevelType w:val="singleLevel"/>
    <w:tmpl w:val="B5B0B6FF"/>
    <w:lvl w:ilvl="0" w:tentative="0">
      <w:start w:val="1"/>
      <w:numFmt w:val="decimal"/>
      <w:lvlText w:val="%1."/>
      <w:lvlJc w:val="left"/>
      <w:pPr>
        <w:tabs>
          <w:tab w:val="left" w:pos="312"/>
        </w:tabs>
      </w:pPr>
    </w:lvl>
  </w:abstractNum>
  <w:abstractNum w:abstractNumId="2">
    <w:nsid w:val="E48839A0"/>
    <w:multiLevelType w:val="singleLevel"/>
    <w:tmpl w:val="E48839A0"/>
    <w:lvl w:ilvl="0" w:tentative="0">
      <w:start w:val="6"/>
      <w:numFmt w:val="chineseCounting"/>
      <w:suff w:val="space"/>
      <w:lvlText w:val="第%1章"/>
      <w:lvlJc w:val="left"/>
      <w:rPr>
        <w:rFonts w:hint="eastAsia"/>
      </w:rPr>
    </w:lvl>
  </w:abstractNum>
  <w:abstractNum w:abstractNumId="3">
    <w:nsid w:val="00000003"/>
    <w:multiLevelType w:val="singleLevel"/>
    <w:tmpl w:val="00000003"/>
    <w:lvl w:ilvl="0" w:tentative="0">
      <w:start w:val="7"/>
      <w:numFmt w:val="decimal"/>
      <w:suff w:val="nothing"/>
      <w:lvlText w:val="%1、"/>
      <w:lvlJc w:val="left"/>
    </w:lvl>
  </w:abstractNum>
  <w:abstractNum w:abstractNumId="4">
    <w:nsid w:val="00000007"/>
    <w:multiLevelType w:val="singleLevel"/>
    <w:tmpl w:val="00000007"/>
    <w:lvl w:ilvl="0" w:tentative="0">
      <w:start w:val="1"/>
      <w:numFmt w:val="decimal"/>
      <w:suff w:val="nothing"/>
      <w:lvlText w:val="%1、"/>
      <w:lvlJc w:val="left"/>
    </w:lvl>
  </w:abstractNum>
  <w:abstractNum w:abstractNumId="5">
    <w:nsid w:val="00000009"/>
    <w:multiLevelType w:val="singleLevel"/>
    <w:tmpl w:val="00000009"/>
    <w:lvl w:ilvl="0" w:tentative="0">
      <w:start w:val="5"/>
      <w:numFmt w:val="decimal"/>
      <w:suff w:val="nothing"/>
      <w:lvlText w:val="%1、"/>
      <w:lvlJc w:val="left"/>
    </w:lvl>
  </w:abstractNum>
  <w:abstractNum w:abstractNumId="6">
    <w:nsid w:val="0E70071A"/>
    <w:multiLevelType w:val="multilevel"/>
    <w:tmpl w:val="0E70071A"/>
    <w:lvl w:ilvl="0" w:tentative="0">
      <w:start w:val="4"/>
      <w:numFmt w:val="bullet"/>
      <w:lvlText w:val="□"/>
      <w:lvlJc w:val="left"/>
      <w:pPr>
        <w:tabs>
          <w:tab w:val="left" w:pos="420"/>
        </w:tabs>
        <w:ind w:left="420" w:hanging="210"/>
      </w:pPr>
      <w:rPr>
        <w:rFonts w:hint="eastAsia" w:ascii="宋体" w:hAnsi="宋体" w:eastAsia="宋体" w:cs="宋体"/>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7">
    <w:nsid w:val="1AC38F43"/>
    <w:multiLevelType w:val="singleLevel"/>
    <w:tmpl w:val="1AC38F43"/>
    <w:lvl w:ilvl="0" w:tentative="0">
      <w:start w:val="4"/>
      <w:numFmt w:val="chineseCounting"/>
      <w:suff w:val="space"/>
      <w:lvlText w:val="第%1章"/>
      <w:lvlJc w:val="left"/>
      <w:rPr>
        <w:rFonts w:hint="eastAsia"/>
        <w:sz w:val="44"/>
        <w:szCs w:val="44"/>
      </w:rPr>
    </w:lvl>
  </w:abstractNum>
  <w:abstractNum w:abstractNumId="8">
    <w:nsid w:val="22055814"/>
    <w:multiLevelType w:val="multilevel"/>
    <w:tmpl w:val="22055814"/>
    <w:lvl w:ilvl="0" w:tentative="0">
      <w:start w:val="1"/>
      <w:numFmt w:val="decimal"/>
      <w:pStyle w:val="7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
  </w:num>
  <w:num w:numId="5">
    <w:abstractNumId w:val="7"/>
  </w:num>
  <w:num w:numId="6">
    <w:abstractNumId w:val="2"/>
  </w:num>
  <w:num w:numId="7">
    <w:abstractNumId w:val="0"/>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GFjODc2MDEzNjJkMDAxMzJhNzgwM2IyMDgyZmYifQ=="/>
  </w:docVars>
  <w:rsids>
    <w:rsidRoot w:val="00E07E8D"/>
    <w:rsid w:val="0000069E"/>
    <w:rsid w:val="00000750"/>
    <w:rsid w:val="000007BB"/>
    <w:rsid w:val="000017F6"/>
    <w:rsid w:val="000022B9"/>
    <w:rsid w:val="00002731"/>
    <w:rsid w:val="00002972"/>
    <w:rsid w:val="00002D20"/>
    <w:rsid w:val="00002F7A"/>
    <w:rsid w:val="00003615"/>
    <w:rsid w:val="00003C7F"/>
    <w:rsid w:val="000040DC"/>
    <w:rsid w:val="00004491"/>
    <w:rsid w:val="0000477A"/>
    <w:rsid w:val="00005385"/>
    <w:rsid w:val="00005EA6"/>
    <w:rsid w:val="000065CF"/>
    <w:rsid w:val="00006F96"/>
    <w:rsid w:val="000074B7"/>
    <w:rsid w:val="00007669"/>
    <w:rsid w:val="00007D47"/>
    <w:rsid w:val="000107A6"/>
    <w:rsid w:val="00010F17"/>
    <w:rsid w:val="000112F4"/>
    <w:rsid w:val="000119A1"/>
    <w:rsid w:val="00011CB5"/>
    <w:rsid w:val="0001236F"/>
    <w:rsid w:val="00012598"/>
    <w:rsid w:val="00012C61"/>
    <w:rsid w:val="00013BA0"/>
    <w:rsid w:val="000140A6"/>
    <w:rsid w:val="0001500A"/>
    <w:rsid w:val="0001581C"/>
    <w:rsid w:val="00016B35"/>
    <w:rsid w:val="00016CC4"/>
    <w:rsid w:val="00016DF8"/>
    <w:rsid w:val="00017925"/>
    <w:rsid w:val="00017BA8"/>
    <w:rsid w:val="00017D45"/>
    <w:rsid w:val="00017E02"/>
    <w:rsid w:val="00017F51"/>
    <w:rsid w:val="000200BB"/>
    <w:rsid w:val="000203D3"/>
    <w:rsid w:val="00020477"/>
    <w:rsid w:val="000207EC"/>
    <w:rsid w:val="00020D27"/>
    <w:rsid w:val="000217DD"/>
    <w:rsid w:val="000218BE"/>
    <w:rsid w:val="00021AE9"/>
    <w:rsid w:val="00022627"/>
    <w:rsid w:val="0002333B"/>
    <w:rsid w:val="00023569"/>
    <w:rsid w:val="00023733"/>
    <w:rsid w:val="00023E59"/>
    <w:rsid w:val="0002418E"/>
    <w:rsid w:val="000249DF"/>
    <w:rsid w:val="00024DA6"/>
    <w:rsid w:val="000261A3"/>
    <w:rsid w:val="00026B21"/>
    <w:rsid w:val="00027108"/>
    <w:rsid w:val="00027190"/>
    <w:rsid w:val="000274A5"/>
    <w:rsid w:val="00027B9A"/>
    <w:rsid w:val="0003048D"/>
    <w:rsid w:val="00030BA1"/>
    <w:rsid w:val="00030D9B"/>
    <w:rsid w:val="00031163"/>
    <w:rsid w:val="0003181B"/>
    <w:rsid w:val="00031B94"/>
    <w:rsid w:val="00031C12"/>
    <w:rsid w:val="00031D3B"/>
    <w:rsid w:val="00032573"/>
    <w:rsid w:val="0003269B"/>
    <w:rsid w:val="00032A8D"/>
    <w:rsid w:val="00033A36"/>
    <w:rsid w:val="00033E77"/>
    <w:rsid w:val="000341F0"/>
    <w:rsid w:val="000342F8"/>
    <w:rsid w:val="00034485"/>
    <w:rsid w:val="000349A2"/>
    <w:rsid w:val="00035340"/>
    <w:rsid w:val="000353EF"/>
    <w:rsid w:val="000362E9"/>
    <w:rsid w:val="00036855"/>
    <w:rsid w:val="00036BD5"/>
    <w:rsid w:val="00037195"/>
    <w:rsid w:val="000371FE"/>
    <w:rsid w:val="000377D9"/>
    <w:rsid w:val="000379DA"/>
    <w:rsid w:val="00040272"/>
    <w:rsid w:val="0004115D"/>
    <w:rsid w:val="0004150C"/>
    <w:rsid w:val="00041D91"/>
    <w:rsid w:val="000420AB"/>
    <w:rsid w:val="00042979"/>
    <w:rsid w:val="000433B9"/>
    <w:rsid w:val="00043ECA"/>
    <w:rsid w:val="000443F3"/>
    <w:rsid w:val="00044997"/>
    <w:rsid w:val="0004577D"/>
    <w:rsid w:val="00045977"/>
    <w:rsid w:val="00045E36"/>
    <w:rsid w:val="00046582"/>
    <w:rsid w:val="00046A51"/>
    <w:rsid w:val="000500AF"/>
    <w:rsid w:val="000501D5"/>
    <w:rsid w:val="00051D6F"/>
    <w:rsid w:val="00051FFC"/>
    <w:rsid w:val="00052F51"/>
    <w:rsid w:val="00053172"/>
    <w:rsid w:val="0005443B"/>
    <w:rsid w:val="000544AB"/>
    <w:rsid w:val="000544BB"/>
    <w:rsid w:val="00054888"/>
    <w:rsid w:val="000551FD"/>
    <w:rsid w:val="000554F2"/>
    <w:rsid w:val="00055BF1"/>
    <w:rsid w:val="000561CD"/>
    <w:rsid w:val="00056351"/>
    <w:rsid w:val="000578D3"/>
    <w:rsid w:val="00060260"/>
    <w:rsid w:val="00060B4C"/>
    <w:rsid w:val="000612C9"/>
    <w:rsid w:val="00061B6E"/>
    <w:rsid w:val="00061C1A"/>
    <w:rsid w:val="0006207C"/>
    <w:rsid w:val="00062E4A"/>
    <w:rsid w:val="00063CD5"/>
    <w:rsid w:val="00064E95"/>
    <w:rsid w:val="00065286"/>
    <w:rsid w:val="0006604A"/>
    <w:rsid w:val="0006675E"/>
    <w:rsid w:val="000668A3"/>
    <w:rsid w:val="0006703E"/>
    <w:rsid w:val="00067B1B"/>
    <w:rsid w:val="00067B34"/>
    <w:rsid w:val="00070C3E"/>
    <w:rsid w:val="00071238"/>
    <w:rsid w:val="0007142D"/>
    <w:rsid w:val="0007190E"/>
    <w:rsid w:val="000722EA"/>
    <w:rsid w:val="00072537"/>
    <w:rsid w:val="00072590"/>
    <w:rsid w:val="000727D1"/>
    <w:rsid w:val="00072F21"/>
    <w:rsid w:val="00072FDD"/>
    <w:rsid w:val="000731E2"/>
    <w:rsid w:val="00073752"/>
    <w:rsid w:val="00074A65"/>
    <w:rsid w:val="00075104"/>
    <w:rsid w:val="00075E0B"/>
    <w:rsid w:val="00076569"/>
    <w:rsid w:val="00076ACA"/>
    <w:rsid w:val="0007760B"/>
    <w:rsid w:val="00077933"/>
    <w:rsid w:val="000779F1"/>
    <w:rsid w:val="00077EC3"/>
    <w:rsid w:val="00080359"/>
    <w:rsid w:val="00080440"/>
    <w:rsid w:val="00081035"/>
    <w:rsid w:val="0008239F"/>
    <w:rsid w:val="000825C8"/>
    <w:rsid w:val="0008287C"/>
    <w:rsid w:val="000837F0"/>
    <w:rsid w:val="00086189"/>
    <w:rsid w:val="00086728"/>
    <w:rsid w:val="000868AC"/>
    <w:rsid w:val="00086CA1"/>
    <w:rsid w:val="00086DB5"/>
    <w:rsid w:val="00087F47"/>
    <w:rsid w:val="0009005B"/>
    <w:rsid w:val="00090CA3"/>
    <w:rsid w:val="00091B7D"/>
    <w:rsid w:val="0009201E"/>
    <w:rsid w:val="000927DE"/>
    <w:rsid w:val="0009285B"/>
    <w:rsid w:val="00092AB2"/>
    <w:rsid w:val="00092F8F"/>
    <w:rsid w:val="0009371E"/>
    <w:rsid w:val="00093DE4"/>
    <w:rsid w:val="00093E47"/>
    <w:rsid w:val="000945C6"/>
    <w:rsid w:val="000946D3"/>
    <w:rsid w:val="00094760"/>
    <w:rsid w:val="000949E2"/>
    <w:rsid w:val="0009512C"/>
    <w:rsid w:val="00095192"/>
    <w:rsid w:val="000955F2"/>
    <w:rsid w:val="00095796"/>
    <w:rsid w:val="00095841"/>
    <w:rsid w:val="00095EC0"/>
    <w:rsid w:val="00096778"/>
    <w:rsid w:val="00096A79"/>
    <w:rsid w:val="00096E8E"/>
    <w:rsid w:val="0009711C"/>
    <w:rsid w:val="00097367"/>
    <w:rsid w:val="000973A0"/>
    <w:rsid w:val="0009782D"/>
    <w:rsid w:val="00097C26"/>
    <w:rsid w:val="00097E7A"/>
    <w:rsid w:val="000A1078"/>
    <w:rsid w:val="000A1612"/>
    <w:rsid w:val="000A1BD8"/>
    <w:rsid w:val="000A26FF"/>
    <w:rsid w:val="000A2DAC"/>
    <w:rsid w:val="000A34CA"/>
    <w:rsid w:val="000A3947"/>
    <w:rsid w:val="000A3CF2"/>
    <w:rsid w:val="000A3D69"/>
    <w:rsid w:val="000A403F"/>
    <w:rsid w:val="000A412E"/>
    <w:rsid w:val="000A4391"/>
    <w:rsid w:val="000A45DB"/>
    <w:rsid w:val="000A4823"/>
    <w:rsid w:val="000A494C"/>
    <w:rsid w:val="000A4BE9"/>
    <w:rsid w:val="000A50B7"/>
    <w:rsid w:val="000A646D"/>
    <w:rsid w:val="000A6827"/>
    <w:rsid w:val="000A6CAA"/>
    <w:rsid w:val="000A7111"/>
    <w:rsid w:val="000A7411"/>
    <w:rsid w:val="000A75D5"/>
    <w:rsid w:val="000A766E"/>
    <w:rsid w:val="000A776B"/>
    <w:rsid w:val="000B0B6E"/>
    <w:rsid w:val="000B0B74"/>
    <w:rsid w:val="000B0E51"/>
    <w:rsid w:val="000B0F3E"/>
    <w:rsid w:val="000B12AF"/>
    <w:rsid w:val="000B21A0"/>
    <w:rsid w:val="000B2517"/>
    <w:rsid w:val="000B26CB"/>
    <w:rsid w:val="000B3C24"/>
    <w:rsid w:val="000B4208"/>
    <w:rsid w:val="000B43A7"/>
    <w:rsid w:val="000B4E99"/>
    <w:rsid w:val="000B5F7E"/>
    <w:rsid w:val="000B7773"/>
    <w:rsid w:val="000B78DE"/>
    <w:rsid w:val="000B7D12"/>
    <w:rsid w:val="000C0130"/>
    <w:rsid w:val="000C03C2"/>
    <w:rsid w:val="000C05F5"/>
    <w:rsid w:val="000C06F1"/>
    <w:rsid w:val="000C1477"/>
    <w:rsid w:val="000C18DA"/>
    <w:rsid w:val="000C1A60"/>
    <w:rsid w:val="000C1FDA"/>
    <w:rsid w:val="000C252A"/>
    <w:rsid w:val="000C2E15"/>
    <w:rsid w:val="000C31D9"/>
    <w:rsid w:val="000C3353"/>
    <w:rsid w:val="000C45B5"/>
    <w:rsid w:val="000C57F6"/>
    <w:rsid w:val="000C5B36"/>
    <w:rsid w:val="000C6027"/>
    <w:rsid w:val="000C6149"/>
    <w:rsid w:val="000C6174"/>
    <w:rsid w:val="000C6BD2"/>
    <w:rsid w:val="000C6D58"/>
    <w:rsid w:val="000D09C2"/>
    <w:rsid w:val="000D0AC8"/>
    <w:rsid w:val="000D0DA0"/>
    <w:rsid w:val="000D11D7"/>
    <w:rsid w:val="000D14D4"/>
    <w:rsid w:val="000D1580"/>
    <w:rsid w:val="000D2034"/>
    <w:rsid w:val="000D211D"/>
    <w:rsid w:val="000D216A"/>
    <w:rsid w:val="000D3E80"/>
    <w:rsid w:val="000D40DF"/>
    <w:rsid w:val="000D435B"/>
    <w:rsid w:val="000D48DB"/>
    <w:rsid w:val="000D4E6D"/>
    <w:rsid w:val="000D505C"/>
    <w:rsid w:val="000D5130"/>
    <w:rsid w:val="000D5222"/>
    <w:rsid w:val="000D5CA1"/>
    <w:rsid w:val="000D6547"/>
    <w:rsid w:val="000D69D8"/>
    <w:rsid w:val="000D6B0A"/>
    <w:rsid w:val="000D769C"/>
    <w:rsid w:val="000D79A1"/>
    <w:rsid w:val="000D7A08"/>
    <w:rsid w:val="000E000E"/>
    <w:rsid w:val="000E04D5"/>
    <w:rsid w:val="000E12AF"/>
    <w:rsid w:val="000E3A7D"/>
    <w:rsid w:val="000E44D5"/>
    <w:rsid w:val="000E450C"/>
    <w:rsid w:val="000E45DD"/>
    <w:rsid w:val="000E4FFE"/>
    <w:rsid w:val="000E5BF4"/>
    <w:rsid w:val="000E62FD"/>
    <w:rsid w:val="000E639E"/>
    <w:rsid w:val="000E65DB"/>
    <w:rsid w:val="000E66A1"/>
    <w:rsid w:val="000E7429"/>
    <w:rsid w:val="000E75D2"/>
    <w:rsid w:val="000E7812"/>
    <w:rsid w:val="000E7856"/>
    <w:rsid w:val="000E7DDB"/>
    <w:rsid w:val="000F099F"/>
    <w:rsid w:val="000F0F52"/>
    <w:rsid w:val="000F1020"/>
    <w:rsid w:val="000F13C1"/>
    <w:rsid w:val="000F1761"/>
    <w:rsid w:val="000F193D"/>
    <w:rsid w:val="000F197B"/>
    <w:rsid w:val="000F19D2"/>
    <w:rsid w:val="000F1B02"/>
    <w:rsid w:val="000F1FD4"/>
    <w:rsid w:val="000F26F1"/>
    <w:rsid w:val="000F2C30"/>
    <w:rsid w:val="000F2FCF"/>
    <w:rsid w:val="000F3994"/>
    <w:rsid w:val="000F3AC0"/>
    <w:rsid w:val="000F3AFE"/>
    <w:rsid w:val="000F3E28"/>
    <w:rsid w:val="000F4903"/>
    <w:rsid w:val="000F4D99"/>
    <w:rsid w:val="000F575B"/>
    <w:rsid w:val="000F5874"/>
    <w:rsid w:val="000F6488"/>
    <w:rsid w:val="000F65A1"/>
    <w:rsid w:val="000F6F99"/>
    <w:rsid w:val="000F733B"/>
    <w:rsid w:val="000F7DFC"/>
    <w:rsid w:val="000F7EF6"/>
    <w:rsid w:val="001007DA"/>
    <w:rsid w:val="001010BE"/>
    <w:rsid w:val="0010261B"/>
    <w:rsid w:val="00102BC2"/>
    <w:rsid w:val="00104B6E"/>
    <w:rsid w:val="00104D09"/>
    <w:rsid w:val="00104DCA"/>
    <w:rsid w:val="00106EA2"/>
    <w:rsid w:val="00107250"/>
    <w:rsid w:val="00107F37"/>
    <w:rsid w:val="001101E6"/>
    <w:rsid w:val="001102CC"/>
    <w:rsid w:val="00110D6A"/>
    <w:rsid w:val="00111706"/>
    <w:rsid w:val="0011178F"/>
    <w:rsid w:val="00111A38"/>
    <w:rsid w:val="001122FB"/>
    <w:rsid w:val="00113423"/>
    <w:rsid w:val="00113F51"/>
    <w:rsid w:val="00114D24"/>
    <w:rsid w:val="00115838"/>
    <w:rsid w:val="00115ECB"/>
    <w:rsid w:val="0011640B"/>
    <w:rsid w:val="00116653"/>
    <w:rsid w:val="001169AC"/>
    <w:rsid w:val="00116CE8"/>
    <w:rsid w:val="001172EB"/>
    <w:rsid w:val="001173EF"/>
    <w:rsid w:val="001174C6"/>
    <w:rsid w:val="0011788F"/>
    <w:rsid w:val="00120B6A"/>
    <w:rsid w:val="00120BA6"/>
    <w:rsid w:val="00120F8B"/>
    <w:rsid w:val="001214F4"/>
    <w:rsid w:val="001215FD"/>
    <w:rsid w:val="00121EA8"/>
    <w:rsid w:val="00122275"/>
    <w:rsid w:val="0012286F"/>
    <w:rsid w:val="0012305D"/>
    <w:rsid w:val="00123132"/>
    <w:rsid w:val="001235AA"/>
    <w:rsid w:val="00123626"/>
    <w:rsid w:val="00123B12"/>
    <w:rsid w:val="00123F03"/>
    <w:rsid w:val="001242C0"/>
    <w:rsid w:val="00126512"/>
    <w:rsid w:val="0012672F"/>
    <w:rsid w:val="00126766"/>
    <w:rsid w:val="001267D4"/>
    <w:rsid w:val="001278FB"/>
    <w:rsid w:val="001279FA"/>
    <w:rsid w:val="0013002F"/>
    <w:rsid w:val="00130DD5"/>
    <w:rsid w:val="00131051"/>
    <w:rsid w:val="001317B6"/>
    <w:rsid w:val="001318EE"/>
    <w:rsid w:val="00131AD6"/>
    <w:rsid w:val="00131BAF"/>
    <w:rsid w:val="00131F73"/>
    <w:rsid w:val="00134C8A"/>
    <w:rsid w:val="0013529E"/>
    <w:rsid w:val="00135913"/>
    <w:rsid w:val="00135D48"/>
    <w:rsid w:val="001361C5"/>
    <w:rsid w:val="001369C7"/>
    <w:rsid w:val="00137115"/>
    <w:rsid w:val="001376FA"/>
    <w:rsid w:val="00137A6A"/>
    <w:rsid w:val="00137E4B"/>
    <w:rsid w:val="00140600"/>
    <w:rsid w:val="00140B7A"/>
    <w:rsid w:val="00140D50"/>
    <w:rsid w:val="00141457"/>
    <w:rsid w:val="001419B6"/>
    <w:rsid w:val="00141B50"/>
    <w:rsid w:val="00141C27"/>
    <w:rsid w:val="00141C80"/>
    <w:rsid w:val="00142FBD"/>
    <w:rsid w:val="0014329F"/>
    <w:rsid w:val="0014361E"/>
    <w:rsid w:val="001437ED"/>
    <w:rsid w:val="00143853"/>
    <w:rsid w:val="001441BB"/>
    <w:rsid w:val="0014435D"/>
    <w:rsid w:val="001444EA"/>
    <w:rsid w:val="001449BE"/>
    <w:rsid w:val="001454DC"/>
    <w:rsid w:val="00145935"/>
    <w:rsid w:val="001475B0"/>
    <w:rsid w:val="001479D9"/>
    <w:rsid w:val="0015044A"/>
    <w:rsid w:val="00150A0A"/>
    <w:rsid w:val="00150FD4"/>
    <w:rsid w:val="00151A8A"/>
    <w:rsid w:val="001520A4"/>
    <w:rsid w:val="001521FF"/>
    <w:rsid w:val="0015222A"/>
    <w:rsid w:val="00152D48"/>
    <w:rsid w:val="0015323F"/>
    <w:rsid w:val="00153607"/>
    <w:rsid w:val="001542EC"/>
    <w:rsid w:val="0015590F"/>
    <w:rsid w:val="00155A0B"/>
    <w:rsid w:val="00155FA7"/>
    <w:rsid w:val="0015718E"/>
    <w:rsid w:val="00157814"/>
    <w:rsid w:val="00160013"/>
    <w:rsid w:val="001615B7"/>
    <w:rsid w:val="001615ED"/>
    <w:rsid w:val="001623A6"/>
    <w:rsid w:val="0016247D"/>
    <w:rsid w:val="001629B0"/>
    <w:rsid w:val="00162DD3"/>
    <w:rsid w:val="00163714"/>
    <w:rsid w:val="00163B7B"/>
    <w:rsid w:val="00163DD1"/>
    <w:rsid w:val="001647AA"/>
    <w:rsid w:val="00164C1D"/>
    <w:rsid w:val="001660B9"/>
    <w:rsid w:val="00166103"/>
    <w:rsid w:val="00166502"/>
    <w:rsid w:val="001667B2"/>
    <w:rsid w:val="001669AF"/>
    <w:rsid w:val="001677A6"/>
    <w:rsid w:val="0017046B"/>
    <w:rsid w:val="001706FD"/>
    <w:rsid w:val="001707E5"/>
    <w:rsid w:val="00170EBF"/>
    <w:rsid w:val="00171298"/>
    <w:rsid w:val="0017256A"/>
    <w:rsid w:val="00172BC2"/>
    <w:rsid w:val="00172C82"/>
    <w:rsid w:val="001730A8"/>
    <w:rsid w:val="001732F3"/>
    <w:rsid w:val="0017384A"/>
    <w:rsid w:val="00173956"/>
    <w:rsid w:val="00174733"/>
    <w:rsid w:val="00174F76"/>
    <w:rsid w:val="0017522E"/>
    <w:rsid w:val="001757AA"/>
    <w:rsid w:val="001757EC"/>
    <w:rsid w:val="00175C11"/>
    <w:rsid w:val="00176668"/>
    <w:rsid w:val="00176D84"/>
    <w:rsid w:val="00181CB0"/>
    <w:rsid w:val="00182AC6"/>
    <w:rsid w:val="001831B0"/>
    <w:rsid w:val="001833FF"/>
    <w:rsid w:val="00183B68"/>
    <w:rsid w:val="00183D6B"/>
    <w:rsid w:val="001842A8"/>
    <w:rsid w:val="00184DB2"/>
    <w:rsid w:val="0018523A"/>
    <w:rsid w:val="00185D69"/>
    <w:rsid w:val="00187096"/>
    <w:rsid w:val="0018716C"/>
    <w:rsid w:val="001905BD"/>
    <w:rsid w:val="00190D3A"/>
    <w:rsid w:val="00190FA0"/>
    <w:rsid w:val="0019113C"/>
    <w:rsid w:val="001919B3"/>
    <w:rsid w:val="00192180"/>
    <w:rsid w:val="001926DC"/>
    <w:rsid w:val="00192D0E"/>
    <w:rsid w:val="001931AD"/>
    <w:rsid w:val="001937A6"/>
    <w:rsid w:val="001941A7"/>
    <w:rsid w:val="00194380"/>
    <w:rsid w:val="001947A6"/>
    <w:rsid w:val="00194B5A"/>
    <w:rsid w:val="00194CDC"/>
    <w:rsid w:val="0019573C"/>
    <w:rsid w:val="00195CDE"/>
    <w:rsid w:val="00196E1C"/>
    <w:rsid w:val="0019724F"/>
    <w:rsid w:val="00197390"/>
    <w:rsid w:val="0019768F"/>
    <w:rsid w:val="00197CA6"/>
    <w:rsid w:val="00197FF1"/>
    <w:rsid w:val="001A16BB"/>
    <w:rsid w:val="001A1A39"/>
    <w:rsid w:val="001A1BB4"/>
    <w:rsid w:val="001A200A"/>
    <w:rsid w:val="001A25B5"/>
    <w:rsid w:val="001A2859"/>
    <w:rsid w:val="001A31E7"/>
    <w:rsid w:val="001A3B61"/>
    <w:rsid w:val="001A3F97"/>
    <w:rsid w:val="001A4351"/>
    <w:rsid w:val="001A48D6"/>
    <w:rsid w:val="001A4CBB"/>
    <w:rsid w:val="001A4F13"/>
    <w:rsid w:val="001A51FF"/>
    <w:rsid w:val="001A5341"/>
    <w:rsid w:val="001A5FB9"/>
    <w:rsid w:val="001A6402"/>
    <w:rsid w:val="001A6456"/>
    <w:rsid w:val="001A6914"/>
    <w:rsid w:val="001A7279"/>
    <w:rsid w:val="001A7815"/>
    <w:rsid w:val="001A7948"/>
    <w:rsid w:val="001B08B7"/>
    <w:rsid w:val="001B0D44"/>
    <w:rsid w:val="001B0F19"/>
    <w:rsid w:val="001B10A4"/>
    <w:rsid w:val="001B11EF"/>
    <w:rsid w:val="001B134C"/>
    <w:rsid w:val="001B1BCC"/>
    <w:rsid w:val="001B1F0D"/>
    <w:rsid w:val="001B276D"/>
    <w:rsid w:val="001B27D3"/>
    <w:rsid w:val="001B3B1B"/>
    <w:rsid w:val="001B3BDA"/>
    <w:rsid w:val="001B4452"/>
    <w:rsid w:val="001B4995"/>
    <w:rsid w:val="001B4C29"/>
    <w:rsid w:val="001B593D"/>
    <w:rsid w:val="001B6214"/>
    <w:rsid w:val="001B62A7"/>
    <w:rsid w:val="001B6719"/>
    <w:rsid w:val="001B67E0"/>
    <w:rsid w:val="001B710E"/>
    <w:rsid w:val="001B7DEB"/>
    <w:rsid w:val="001C049F"/>
    <w:rsid w:val="001C057A"/>
    <w:rsid w:val="001C0694"/>
    <w:rsid w:val="001C1468"/>
    <w:rsid w:val="001C177D"/>
    <w:rsid w:val="001C17D7"/>
    <w:rsid w:val="001C1B0E"/>
    <w:rsid w:val="001C1CD6"/>
    <w:rsid w:val="001C1DA7"/>
    <w:rsid w:val="001C23BC"/>
    <w:rsid w:val="001C2C6F"/>
    <w:rsid w:val="001C3129"/>
    <w:rsid w:val="001C356F"/>
    <w:rsid w:val="001C4011"/>
    <w:rsid w:val="001C455E"/>
    <w:rsid w:val="001C466D"/>
    <w:rsid w:val="001C4D56"/>
    <w:rsid w:val="001C5087"/>
    <w:rsid w:val="001C52AA"/>
    <w:rsid w:val="001C5AD8"/>
    <w:rsid w:val="001C6427"/>
    <w:rsid w:val="001C6628"/>
    <w:rsid w:val="001C7A24"/>
    <w:rsid w:val="001D0639"/>
    <w:rsid w:val="001D06A5"/>
    <w:rsid w:val="001D0A8F"/>
    <w:rsid w:val="001D15BD"/>
    <w:rsid w:val="001D19F9"/>
    <w:rsid w:val="001D25DD"/>
    <w:rsid w:val="001D2684"/>
    <w:rsid w:val="001D336D"/>
    <w:rsid w:val="001D4463"/>
    <w:rsid w:val="001D44A2"/>
    <w:rsid w:val="001D46A7"/>
    <w:rsid w:val="001D48FF"/>
    <w:rsid w:val="001D4A63"/>
    <w:rsid w:val="001D4E47"/>
    <w:rsid w:val="001D584C"/>
    <w:rsid w:val="001D5987"/>
    <w:rsid w:val="001D598B"/>
    <w:rsid w:val="001D65D9"/>
    <w:rsid w:val="001D66B4"/>
    <w:rsid w:val="001D69CE"/>
    <w:rsid w:val="001D6CB4"/>
    <w:rsid w:val="001D7177"/>
    <w:rsid w:val="001D719E"/>
    <w:rsid w:val="001D73CF"/>
    <w:rsid w:val="001D7DBF"/>
    <w:rsid w:val="001E0AF6"/>
    <w:rsid w:val="001E0BB2"/>
    <w:rsid w:val="001E0CBB"/>
    <w:rsid w:val="001E1ED0"/>
    <w:rsid w:val="001E204F"/>
    <w:rsid w:val="001E2B1A"/>
    <w:rsid w:val="001E304C"/>
    <w:rsid w:val="001E3078"/>
    <w:rsid w:val="001E3C15"/>
    <w:rsid w:val="001E3DA8"/>
    <w:rsid w:val="001E44B5"/>
    <w:rsid w:val="001E5DD0"/>
    <w:rsid w:val="001E61DA"/>
    <w:rsid w:val="001E652F"/>
    <w:rsid w:val="001E6720"/>
    <w:rsid w:val="001E682F"/>
    <w:rsid w:val="001E6B5D"/>
    <w:rsid w:val="001E74AF"/>
    <w:rsid w:val="001F0232"/>
    <w:rsid w:val="001F090D"/>
    <w:rsid w:val="001F09E3"/>
    <w:rsid w:val="001F1593"/>
    <w:rsid w:val="001F2048"/>
    <w:rsid w:val="001F2D43"/>
    <w:rsid w:val="001F33C0"/>
    <w:rsid w:val="001F3490"/>
    <w:rsid w:val="001F3A08"/>
    <w:rsid w:val="001F3ED3"/>
    <w:rsid w:val="001F46BD"/>
    <w:rsid w:val="001F4AFE"/>
    <w:rsid w:val="001F4EE5"/>
    <w:rsid w:val="001F58EA"/>
    <w:rsid w:val="001F5CC9"/>
    <w:rsid w:val="001F652E"/>
    <w:rsid w:val="001F6596"/>
    <w:rsid w:val="001F65A6"/>
    <w:rsid w:val="001F6C15"/>
    <w:rsid w:val="001F6F07"/>
    <w:rsid w:val="001F7974"/>
    <w:rsid w:val="001F7B87"/>
    <w:rsid w:val="001F7CCB"/>
    <w:rsid w:val="001F7D2E"/>
    <w:rsid w:val="00200242"/>
    <w:rsid w:val="00200C8F"/>
    <w:rsid w:val="0020112E"/>
    <w:rsid w:val="00201BA6"/>
    <w:rsid w:val="0020244B"/>
    <w:rsid w:val="0020253F"/>
    <w:rsid w:val="00203D56"/>
    <w:rsid w:val="00204469"/>
    <w:rsid w:val="002048D3"/>
    <w:rsid w:val="00204D67"/>
    <w:rsid w:val="0020517F"/>
    <w:rsid w:val="00205401"/>
    <w:rsid w:val="00205537"/>
    <w:rsid w:val="002059A6"/>
    <w:rsid w:val="00206EB2"/>
    <w:rsid w:val="00207013"/>
    <w:rsid w:val="002073EA"/>
    <w:rsid w:val="00207505"/>
    <w:rsid w:val="00210804"/>
    <w:rsid w:val="00210A7F"/>
    <w:rsid w:val="00210FD7"/>
    <w:rsid w:val="00211192"/>
    <w:rsid w:val="00211D38"/>
    <w:rsid w:val="0021293B"/>
    <w:rsid w:val="00212B2B"/>
    <w:rsid w:val="00212D70"/>
    <w:rsid w:val="00214833"/>
    <w:rsid w:val="002148F4"/>
    <w:rsid w:val="002154A7"/>
    <w:rsid w:val="0021575B"/>
    <w:rsid w:val="002157BF"/>
    <w:rsid w:val="002163A8"/>
    <w:rsid w:val="002178E9"/>
    <w:rsid w:val="00217D62"/>
    <w:rsid w:val="00220101"/>
    <w:rsid w:val="00220357"/>
    <w:rsid w:val="002203C9"/>
    <w:rsid w:val="0022061B"/>
    <w:rsid w:val="002207BF"/>
    <w:rsid w:val="0022111A"/>
    <w:rsid w:val="00221660"/>
    <w:rsid w:val="00221976"/>
    <w:rsid w:val="0022203A"/>
    <w:rsid w:val="00222318"/>
    <w:rsid w:val="0022430D"/>
    <w:rsid w:val="0022431F"/>
    <w:rsid w:val="0022472C"/>
    <w:rsid w:val="002263A9"/>
    <w:rsid w:val="00226424"/>
    <w:rsid w:val="00226925"/>
    <w:rsid w:val="00227107"/>
    <w:rsid w:val="0022722F"/>
    <w:rsid w:val="00227490"/>
    <w:rsid w:val="002274C9"/>
    <w:rsid w:val="00227D9A"/>
    <w:rsid w:val="0023047A"/>
    <w:rsid w:val="00230F38"/>
    <w:rsid w:val="0023127E"/>
    <w:rsid w:val="00232314"/>
    <w:rsid w:val="00232944"/>
    <w:rsid w:val="00232EE5"/>
    <w:rsid w:val="00233069"/>
    <w:rsid w:val="002331C6"/>
    <w:rsid w:val="002338A3"/>
    <w:rsid w:val="00233A41"/>
    <w:rsid w:val="0023507F"/>
    <w:rsid w:val="00235B94"/>
    <w:rsid w:val="00235CD7"/>
    <w:rsid w:val="00235D8A"/>
    <w:rsid w:val="00235F2F"/>
    <w:rsid w:val="00235FC7"/>
    <w:rsid w:val="0023732A"/>
    <w:rsid w:val="00237472"/>
    <w:rsid w:val="0023797A"/>
    <w:rsid w:val="002400C2"/>
    <w:rsid w:val="002404A5"/>
    <w:rsid w:val="00240926"/>
    <w:rsid w:val="0024098C"/>
    <w:rsid w:val="00240DCF"/>
    <w:rsid w:val="00240F8A"/>
    <w:rsid w:val="00241AC6"/>
    <w:rsid w:val="00242477"/>
    <w:rsid w:val="00243542"/>
    <w:rsid w:val="00243721"/>
    <w:rsid w:val="002439C7"/>
    <w:rsid w:val="00244286"/>
    <w:rsid w:val="0024440D"/>
    <w:rsid w:val="00244497"/>
    <w:rsid w:val="00245077"/>
    <w:rsid w:val="002452FC"/>
    <w:rsid w:val="00245553"/>
    <w:rsid w:val="00245799"/>
    <w:rsid w:val="002459F4"/>
    <w:rsid w:val="0024631A"/>
    <w:rsid w:val="00246336"/>
    <w:rsid w:val="00246A70"/>
    <w:rsid w:val="00247B3C"/>
    <w:rsid w:val="00250BB4"/>
    <w:rsid w:val="00251F54"/>
    <w:rsid w:val="00252085"/>
    <w:rsid w:val="0025374C"/>
    <w:rsid w:val="00253C49"/>
    <w:rsid w:val="0025431D"/>
    <w:rsid w:val="0025480E"/>
    <w:rsid w:val="00254C78"/>
    <w:rsid w:val="00255656"/>
    <w:rsid w:val="0025569A"/>
    <w:rsid w:val="00255B6A"/>
    <w:rsid w:val="00255CB8"/>
    <w:rsid w:val="0025665A"/>
    <w:rsid w:val="00256913"/>
    <w:rsid w:val="00256A01"/>
    <w:rsid w:val="00257526"/>
    <w:rsid w:val="002579DF"/>
    <w:rsid w:val="00260083"/>
    <w:rsid w:val="0026076F"/>
    <w:rsid w:val="002609B6"/>
    <w:rsid w:val="002612EF"/>
    <w:rsid w:val="00261BCF"/>
    <w:rsid w:val="002627A9"/>
    <w:rsid w:val="00262F17"/>
    <w:rsid w:val="00263316"/>
    <w:rsid w:val="00263B9C"/>
    <w:rsid w:val="002645AE"/>
    <w:rsid w:val="00265263"/>
    <w:rsid w:val="002652BE"/>
    <w:rsid w:val="002653B9"/>
    <w:rsid w:val="00265869"/>
    <w:rsid w:val="00265DB6"/>
    <w:rsid w:val="002660DA"/>
    <w:rsid w:val="00266DDB"/>
    <w:rsid w:val="00267067"/>
    <w:rsid w:val="00267B37"/>
    <w:rsid w:val="00267F6F"/>
    <w:rsid w:val="00270095"/>
    <w:rsid w:val="002702A3"/>
    <w:rsid w:val="002702D2"/>
    <w:rsid w:val="00270756"/>
    <w:rsid w:val="0027107B"/>
    <w:rsid w:val="00271AEB"/>
    <w:rsid w:val="002728E8"/>
    <w:rsid w:val="002731DD"/>
    <w:rsid w:val="002738FA"/>
    <w:rsid w:val="00273D58"/>
    <w:rsid w:val="002743F7"/>
    <w:rsid w:val="00274537"/>
    <w:rsid w:val="0027491D"/>
    <w:rsid w:val="00274E96"/>
    <w:rsid w:val="00275BB1"/>
    <w:rsid w:val="0027628E"/>
    <w:rsid w:val="00276AF5"/>
    <w:rsid w:val="002801F8"/>
    <w:rsid w:val="002802C9"/>
    <w:rsid w:val="00280B19"/>
    <w:rsid w:val="002812EC"/>
    <w:rsid w:val="00281DEE"/>
    <w:rsid w:val="002828E0"/>
    <w:rsid w:val="00282F8B"/>
    <w:rsid w:val="00283275"/>
    <w:rsid w:val="002833D5"/>
    <w:rsid w:val="00283591"/>
    <w:rsid w:val="00283654"/>
    <w:rsid w:val="00284241"/>
    <w:rsid w:val="002855FD"/>
    <w:rsid w:val="00285701"/>
    <w:rsid w:val="00286253"/>
    <w:rsid w:val="002866A2"/>
    <w:rsid w:val="00286871"/>
    <w:rsid w:val="00286F65"/>
    <w:rsid w:val="0028712E"/>
    <w:rsid w:val="00287A5A"/>
    <w:rsid w:val="00287FBE"/>
    <w:rsid w:val="0029009F"/>
    <w:rsid w:val="0029027D"/>
    <w:rsid w:val="00290DDC"/>
    <w:rsid w:val="00291026"/>
    <w:rsid w:val="00292458"/>
    <w:rsid w:val="002924FF"/>
    <w:rsid w:val="00293581"/>
    <w:rsid w:val="00293B34"/>
    <w:rsid w:val="00293C92"/>
    <w:rsid w:val="002942A8"/>
    <w:rsid w:val="002945D4"/>
    <w:rsid w:val="0029524A"/>
    <w:rsid w:val="002956F2"/>
    <w:rsid w:val="00295788"/>
    <w:rsid w:val="00295F0E"/>
    <w:rsid w:val="002960A5"/>
    <w:rsid w:val="002960C1"/>
    <w:rsid w:val="0029641A"/>
    <w:rsid w:val="002967BB"/>
    <w:rsid w:val="00296B0A"/>
    <w:rsid w:val="002A0372"/>
    <w:rsid w:val="002A1572"/>
    <w:rsid w:val="002A1738"/>
    <w:rsid w:val="002A180A"/>
    <w:rsid w:val="002A1832"/>
    <w:rsid w:val="002A1D82"/>
    <w:rsid w:val="002A2B22"/>
    <w:rsid w:val="002A31EA"/>
    <w:rsid w:val="002A3818"/>
    <w:rsid w:val="002A3C56"/>
    <w:rsid w:val="002A3DDF"/>
    <w:rsid w:val="002A4996"/>
    <w:rsid w:val="002A4A73"/>
    <w:rsid w:val="002A5275"/>
    <w:rsid w:val="002A5823"/>
    <w:rsid w:val="002A58F0"/>
    <w:rsid w:val="002A59F9"/>
    <w:rsid w:val="002A5B8C"/>
    <w:rsid w:val="002A5C37"/>
    <w:rsid w:val="002A61A2"/>
    <w:rsid w:val="002A663E"/>
    <w:rsid w:val="002A6C08"/>
    <w:rsid w:val="002A6D8D"/>
    <w:rsid w:val="002A75D1"/>
    <w:rsid w:val="002A7F13"/>
    <w:rsid w:val="002B09C0"/>
    <w:rsid w:val="002B0A7D"/>
    <w:rsid w:val="002B0DCA"/>
    <w:rsid w:val="002B1570"/>
    <w:rsid w:val="002B17B0"/>
    <w:rsid w:val="002B226D"/>
    <w:rsid w:val="002B2457"/>
    <w:rsid w:val="002B32B4"/>
    <w:rsid w:val="002B37FB"/>
    <w:rsid w:val="002B4586"/>
    <w:rsid w:val="002B4B5B"/>
    <w:rsid w:val="002B550E"/>
    <w:rsid w:val="002B5FD8"/>
    <w:rsid w:val="002B6304"/>
    <w:rsid w:val="002B6379"/>
    <w:rsid w:val="002B7483"/>
    <w:rsid w:val="002B7722"/>
    <w:rsid w:val="002B78CB"/>
    <w:rsid w:val="002B7BA4"/>
    <w:rsid w:val="002B7D3B"/>
    <w:rsid w:val="002C052E"/>
    <w:rsid w:val="002C0FA9"/>
    <w:rsid w:val="002C10AB"/>
    <w:rsid w:val="002C13CC"/>
    <w:rsid w:val="002C2BDC"/>
    <w:rsid w:val="002C40AF"/>
    <w:rsid w:val="002C41F8"/>
    <w:rsid w:val="002C4726"/>
    <w:rsid w:val="002C4EF7"/>
    <w:rsid w:val="002C50DF"/>
    <w:rsid w:val="002C5A41"/>
    <w:rsid w:val="002C6930"/>
    <w:rsid w:val="002C6C5B"/>
    <w:rsid w:val="002C6CBA"/>
    <w:rsid w:val="002C7130"/>
    <w:rsid w:val="002C7B81"/>
    <w:rsid w:val="002C7BEC"/>
    <w:rsid w:val="002C7FAB"/>
    <w:rsid w:val="002D035D"/>
    <w:rsid w:val="002D0512"/>
    <w:rsid w:val="002D15A8"/>
    <w:rsid w:val="002D1DD9"/>
    <w:rsid w:val="002D2043"/>
    <w:rsid w:val="002D2922"/>
    <w:rsid w:val="002D314D"/>
    <w:rsid w:val="002D3676"/>
    <w:rsid w:val="002D3ACE"/>
    <w:rsid w:val="002D3CC8"/>
    <w:rsid w:val="002D3D09"/>
    <w:rsid w:val="002D4863"/>
    <w:rsid w:val="002D4B56"/>
    <w:rsid w:val="002D4DE3"/>
    <w:rsid w:val="002D4EE4"/>
    <w:rsid w:val="002D5000"/>
    <w:rsid w:val="002D5011"/>
    <w:rsid w:val="002D54B0"/>
    <w:rsid w:val="002D57FE"/>
    <w:rsid w:val="002D67BD"/>
    <w:rsid w:val="002D6A87"/>
    <w:rsid w:val="002D6AA2"/>
    <w:rsid w:val="002D7ADA"/>
    <w:rsid w:val="002E0128"/>
    <w:rsid w:val="002E141C"/>
    <w:rsid w:val="002E1B66"/>
    <w:rsid w:val="002E2164"/>
    <w:rsid w:val="002E23C3"/>
    <w:rsid w:val="002E2AC3"/>
    <w:rsid w:val="002E2DDC"/>
    <w:rsid w:val="002E3396"/>
    <w:rsid w:val="002E41EE"/>
    <w:rsid w:val="002E43A6"/>
    <w:rsid w:val="002E6576"/>
    <w:rsid w:val="002E663A"/>
    <w:rsid w:val="002E670B"/>
    <w:rsid w:val="002E6A2E"/>
    <w:rsid w:val="002E74E9"/>
    <w:rsid w:val="002F08FE"/>
    <w:rsid w:val="002F19E0"/>
    <w:rsid w:val="002F1D53"/>
    <w:rsid w:val="002F2177"/>
    <w:rsid w:val="002F250E"/>
    <w:rsid w:val="002F28E1"/>
    <w:rsid w:val="002F36C6"/>
    <w:rsid w:val="002F37E9"/>
    <w:rsid w:val="002F38AF"/>
    <w:rsid w:val="002F4292"/>
    <w:rsid w:val="002F4EAA"/>
    <w:rsid w:val="002F649C"/>
    <w:rsid w:val="002F68B7"/>
    <w:rsid w:val="002F71A5"/>
    <w:rsid w:val="002F767A"/>
    <w:rsid w:val="002F773B"/>
    <w:rsid w:val="002F7C8F"/>
    <w:rsid w:val="00300B25"/>
    <w:rsid w:val="00300C60"/>
    <w:rsid w:val="00300E08"/>
    <w:rsid w:val="00301B7E"/>
    <w:rsid w:val="00301C60"/>
    <w:rsid w:val="00301C78"/>
    <w:rsid w:val="0030216B"/>
    <w:rsid w:val="00302699"/>
    <w:rsid w:val="003028C1"/>
    <w:rsid w:val="00302E62"/>
    <w:rsid w:val="00302EB7"/>
    <w:rsid w:val="003033B4"/>
    <w:rsid w:val="00304E15"/>
    <w:rsid w:val="00304FC8"/>
    <w:rsid w:val="00305140"/>
    <w:rsid w:val="0030515E"/>
    <w:rsid w:val="00306559"/>
    <w:rsid w:val="00306819"/>
    <w:rsid w:val="003106E6"/>
    <w:rsid w:val="00310D85"/>
    <w:rsid w:val="00311258"/>
    <w:rsid w:val="003112AB"/>
    <w:rsid w:val="00311E05"/>
    <w:rsid w:val="00311F59"/>
    <w:rsid w:val="00312335"/>
    <w:rsid w:val="00312C09"/>
    <w:rsid w:val="00312F5E"/>
    <w:rsid w:val="00314667"/>
    <w:rsid w:val="0031480C"/>
    <w:rsid w:val="00314828"/>
    <w:rsid w:val="00314A89"/>
    <w:rsid w:val="00314B35"/>
    <w:rsid w:val="003153E0"/>
    <w:rsid w:val="0031584E"/>
    <w:rsid w:val="00316001"/>
    <w:rsid w:val="00316476"/>
    <w:rsid w:val="00316BFC"/>
    <w:rsid w:val="0031729C"/>
    <w:rsid w:val="00317CCF"/>
    <w:rsid w:val="00317E54"/>
    <w:rsid w:val="003207E9"/>
    <w:rsid w:val="0032082E"/>
    <w:rsid w:val="00320D7B"/>
    <w:rsid w:val="0032138B"/>
    <w:rsid w:val="0032157B"/>
    <w:rsid w:val="00321764"/>
    <w:rsid w:val="0032193A"/>
    <w:rsid w:val="00321F4F"/>
    <w:rsid w:val="00321F8E"/>
    <w:rsid w:val="0032206E"/>
    <w:rsid w:val="00322446"/>
    <w:rsid w:val="003224B5"/>
    <w:rsid w:val="00322583"/>
    <w:rsid w:val="0032275F"/>
    <w:rsid w:val="00322D2F"/>
    <w:rsid w:val="0032355E"/>
    <w:rsid w:val="00323B8D"/>
    <w:rsid w:val="0032421B"/>
    <w:rsid w:val="0032443B"/>
    <w:rsid w:val="00324A6C"/>
    <w:rsid w:val="0032537F"/>
    <w:rsid w:val="00325880"/>
    <w:rsid w:val="00326524"/>
    <w:rsid w:val="003265F5"/>
    <w:rsid w:val="00327B51"/>
    <w:rsid w:val="00327E83"/>
    <w:rsid w:val="0033018B"/>
    <w:rsid w:val="00330277"/>
    <w:rsid w:val="00330458"/>
    <w:rsid w:val="003310B9"/>
    <w:rsid w:val="00331884"/>
    <w:rsid w:val="003322DA"/>
    <w:rsid w:val="003323B7"/>
    <w:rsid w:val="003329DC"/>
    <w:rsid w:val="00333541"/>
    <w:rsid w:val="00333597"/>
    <w:rsid w:val="0033375D"/>
    <w:rsid w:val="00334289"/>
    <w:rsid w:val="003348CA"/>
    <w:rsid w:val="00334B76"/>
    <w:rsid w:val="003352A6"/>
    <w:rsid w:val="0033554D"/>
    <w:rsid w:val="00335E22"/>
    <w:rsid w:val="00335F4C"/>
    <w:rsid w:val="00336E42"/>
    <w:rsid w:val="00337228"/>
    <w:rsid w:val="00337B2D"/>
    <w:rsid w:val="0034048B"/>
    <w:rsid w:val="00340864"/>
    <w:rsid w:val="0034165E"/>
    <w:rsid w:val="00341FB5"/>
    <w:rsid w:val="003422DB"/>
    <w:rsid w:val="00343129"/>
    <w:rsid w:val="003431CE"/>
    <w:rsid w:val="00343833"/>
    <w:rsid w:val="00343EDC"/>
    <w:rsid w:val="00343EF3"/>
    <w:rsid w:val="0034553C"/>
    <w:rsid w:val="00345692"/>
    <w:rsid w:val="00346240"/>
    <w:rsid w:val="0034632E"/>
    <w:rsid w:val="003464FC"/>
    <w:rsid w:val="0034671B"/>
    <w:rsid w:val="00346964"/>
    <w:rsid w:val="00346A36"/>
    <w:rsid w:val="003471A3"/>
    <w:rsid w:val="003471C3"/>
    <w:rsid w:val="00347D20"/>
    <w:rsid w:val="00350537"/>
    <w:rsid w:val="0035081B"/>
    <w:rsid w:val="00350B38"/>
    <w:rsid w:val="003511C6"/>
    <w:rsid w:val="00351283"/>
    <w:rsid w:val="00351F70"/>
    <w:rsid w:val="00353323"/>
    <w:rsid w:val="003544D6"/>
    <w:rsid w:val="00354ADD"/>
    <w:rsid w:val="00355019"/>
    <w:rsid w:val="00355346"/>
    <w:rsid w:val="00355358"/>
    <w:rsid w:val="00355956"/>
    <w:rsid w:val="00355E6B"/>
    <w:rsid w:val="003561A4"/>
    <w:rsid w:val="00356291"/>
    <w:rsid w:val="003563EB"/>
    <w:rsid w:val="00356787"/>
    <w:rsid w:val="00356AD3"/>
    <w:rsid w:val="00356B8F"/>
    <w:rsid w:val="00356F5F"/>
    <w:rsid w:val="00357322"/>
    <w:rsid w:val="003573EB"/>
    <w:rsid w:val="00361DFA"/>
    <w:rsid w:val="00363E11"/>
    <w:rsid w:val="003641D9"/>
    <w:rsid w:val="00364A60"/>
    <w:rsid w:val="00364BB2"/>
    <w:rsid w:val="00364C05"/>
    <w:rsid w:val="00364F98"/>
    <w:rsid w:val="00365355"/>
    <w:rsid w:val="0036661B"/>
    <w:rsid w:val="00366751"/>
    <w:rsid w:val="00366B35"/>
    <w:rsid w:val="0036710B"/>
    <w:rsid w:val="00367C5D"/>
    <w:rsid w:val="00370727"/>
    <w:rsid w:val="003707DA"/>
    <w:rsid w:val="00370B8D"/>
    <w:rsid w:val="00370BD8"/>
    <w:rsid w:val="00371160"/>
    <w:rsid w:val="00371637"/>
    <w:rsid w:val="00372BFC"/>
    <w:rsid w:val="003730E3"/>
    <w:rsid w:val="0037313B"/>
    <w:rsid w:val="003734F9"/>
    <w:rsid w:val="00373C40"/>
    <w:rsid w:val="00374088"/>
    <w:rsid w:val="003740B7"/>
    <w:rsid w:val="00374728"/>
    <w:rsid w:val="00374A5E"/>
    <w:rsid w:val="00374F74"/>
    <w:rsid w:val="00375414"/>
    <w:rsid w:val="003758F9"/>
    <w:rsid w:val="00375A53"/>
    <w:rsid w:val="00376346"/>
    <w:rsid w:val="00377434"/>
    <w:rsid w:val="00377D8C"/>
    <w:rsid w:val="00380116"/>
    <w:rsid w:val="003801E0"/>
    <w:rsid w:val="00381776"/>
    <w:rsid w:val="00381C6B"/>
    <w:rsid w:val="00381D55"/>
    <w:rsid w:val="00381DDA"/>
    <w:rsid w:val="00381E2D"/>
    <w:rsid w:val="003826B1"/>
    <w:rsid w:val="003828F3"/>
    <w:rsid w:val="00383063"/>
    <w:rsid w:val="00383B6C"/>
    <w:rsid w:val="00383BAA"/>
    <w:rsid w:val="00384337"/>
    <w:rsid w:val="0038483D"/>
    <w:rsid w:val="00385552"/>
    <w:rsid w:val="00385662"/>
    <w:rsid w:val="00386494"/>
    <w:rsid w:val="00386724"/>
    <w:rsid w:val="00386B30"/>
    <w:rsid w:val="00386EB5"/>
    <w:rsid w:val="00387659"/>
    <w:rsid w:val="00390059"/>
    <w:rsid w:val="00390284"/>
    <w:rsid w:val="003903A7"/>
    <w:rsid w:val="0039061B"/>
    <w:rsid w:val="00390AED"/>
    <w:rsid w:val="003914BE"/>
    <w:rsid w:val="00392E52"/>
    <w:rsid w:val="003931D3"/>
    <w:rsid w:val="00393454"/>
    <w:rsid w:val="0039357D"/>
    <w:rsid w:val="003935F3"/>
    <w:rsid w:val="003939EC"/>
    <w:rsid w:val="00393B8B"/>
    <w:rsid w:val="00393C58"/>
    <w:rsid w:val="003946A3"/>
    <w:rsid w:val="0039529B"/>
    <w:rsid w:val="003953DE"/>
    <w:rsid w:val="0039540F"/>
    <w:rsid w:val="003957B1"/>
    <w:rsid w:val="00395883"/>
    <w:rsid w:val="00395D72"/>
    <w:rsid w:val="00396215"/>
    <w:rsid w:val="003962D6"/>
    <w:rsid w:val="00396A3E"/>
    <w:rsid w:val="00396ABD"/>
    <w:rsid w:val="00396F96"/>
    <w:rsid w:val="00397274"/>
    <w:rsid w:val="00397DC1"/>
    <w:rsid w:val="003A0323"/>
    <w:rsid w:val="003A207B"/>
    <w:rsid w:val="003A337B"/>
    <w:rsid w:val="003A3BE1"/>
    <w:rsid w:val="003A3D9B"/>
    <w:rsid w:val="003A42CD"/>
    <w:rsid w:val="003A4618"/>
    <w:rsid w:val="003A4A8E"/>
    <w:rsid w:val="003A4E23"/>
    <w:rsid w:val="003A5A10"/>
    <w:rsid w:val="003A7457"/>
    <w:rsid w:val="003A77FD"/>
    <w:rsid w:val="003B015B"/>
    <w:rsid w:val="003B02CF"/>
    <w:rsid w:val="003B04D9"/>
    <w:rsid w:val="003B0C36"/>
    <w:rsid w:val="003B0C4B"/>
    <w:rsid w:val="003B0E47"/>
    <w:rsid w:val="003B0FFC"/>
    <w:rsid w:val="003B10DD"/>
    <w:rsid w:val="003B1145"/>
    <w:rsid w:val="003B18A1"/>
    <w:rsid w:val="003B1F23"/>
    <w:rsid w:val="003B2BB8"/>
    <w:rsid w:val="003B4BE3"/>
    <w:rsid w:val="003B5071"/>
    <w:rsid w:val="003B563E"/>
    <w:rsid w:val="003B657B"/>
    <w:rsid w:val="003B6889"/>
    <w:rsid w:val="003B6E50"/>
    <w:rsid w:val="003B7226"/>
    <w:rsid w:val="003C0B2F"/>
    <w:rsid w:val="003C0DB2"/>
    <w:rsid w:val="003C1534"/>
    <w:rsid w:val="003C24BD"/>
    <w:rsid w:val="003C2575"/>
    <w:rsid w:val="003C268F"/>
    <w:rsid w:val="003C35EF"/>
    <w:rsid w:val="003C365B"/>
    <w:rsid w:val="003C3870"/>
    <w:rsid w:val="003C391D"/>
    <w:rsid w:val="003C3924"/>
    <w:rsid w:val="003C4874"/>
    <w:rsid w:val="003C4B97"/>
    <w:rsid w:val="003C51BF"/>
    <w:rsid w:val="003C5620"/>
    <w:rsid w:val="003C5994"/>
    <w:rsid w:val="003C5BCD"/>
    <w:rsid w:val="003C6C4C"/>
    <w:rsid w:val="003C6FCC"/>
    <w:rsid w:val="003C728F"/>
    <w:rsid w:val="003C7453"/>
    <w:rsid w:val="003C7534"/>
    <w:rsid w:val="003C7BD0"/>
    <w:rsid w:val="003C7DC9"/>
    <w:rsid w:val="003D04AE"/>
    <w:rsid w:val="003D0AD3"/>
    <w:rsid w:val="003D1A2A"/>
    <w:rsid w:val="003D1B22"/>
    <w:rsid w:val="003D204F"/>
    <w:rsid w:val="003D2162"/>
    <w:rsid w:val="003D2439"/>
    <w:rsid w:val="003D2630"/>
    <w:rsid w:val="003D2706"/>
    <w:rsid w:val="003D3692"/>
    <w:rsid w:val="003D4062"/>
    <w:rsid w:val="003D4AE8"/>
    <w:rsid w:val="003D55C6"/>
    <w:rsid w:val="003D59F9"/>
    <w:rsid w:val="003D5B5A"/>
    <w:rsid w:val="003D6B22"/>
    <w:rsid w:val="003D6C1A"/>
    <w:rsid w:val="003D71F7"/>
    <w:rsid w:val="003E088B"/>
    <w:rsid w:val="003E1127"/>
    <w:rsid w:val="003E12F8"/>
    <w:rsid w:val="003E1A30"/>
    <w:rsid w:val="003E2861"/>
    <w:rsid w:val="003E29C5"/>
    <w:rsid w:val="003E2C08"/>
    <w:rsid w:val="003E2EF4"/>
    <w:rsid w:val="003E3662"/>
    <w:rsid w:val="003E396F"/>
    <w:rsid w:val="003E4D9A"/>
    <w:rsid w:val="003E5091"/>
    <w:rsid w:val="003E5A58"/>
    <w:rsid w:val="003E6352"/>
    <w:rsid w:val="003E648F"/>
    <w:rsid w:val="003E6A8D"/>
    <w:rsid w:val="003E6E29"/>
    <w:rsid w:val="003E747F"/>
    <w:rsid w:val="003E7F03"/>
    <w:rsid w:val="003F0748"/>
    <w:rsid w:val="003F0D12"/>
    <w:rsid w:val="003F0E11"/>
    <w:rsid w:val="003F0EF5"/>
    <w:rsid w:val="003F0F03"/>
    <w:rsid w:val="003F1542"/>
    <w:rsid w:val="003F1830"/>
    <w:rsid w:val="003F1E78"/>
    <w:rsid w:val="003F290A"/>
    <w:rsid w:val="003F2B91"/>
    <w:rsid w:val="003F2DD7"/>
    <w:rsid w:val="003F341D"/>
    <w:rsid w:val="003F3EF7"/>
    <w:rsid w:val="003F428A"/>
    <w:rsid w:val="003F43B4"/>
    <w:rsid w:val="003F4413"/>
    <w:rsid w:val="003F4CB1"/>
    <w:rsid w:val="003F583B"/>
    <w:rsid w:val="003F593E"/>
    <w:rsid w:val="003F5B25"/>
    <w:rsid w:val="003F6893"/>
    <w:rsid w:val="003F7B50"/>
    <w:rsid w:val="003F7EEF"/>
    <w:rsid w:val="004002F8"/>
    <w:rsid w:val="004008F7"/>
    <w:rsid w:val="0040176E"/>
    <w:rsid w:val="00402433"/>
    <w:rsid w:val="00402858"/>
    <w:rsid w:val="00402F62"/>
    <w:rsid w:val="00403FF7"/>
    <w:rsid w:val="00404853"/>
    <w:rsid w:val="00404B0D"/>
    <w:rsid w:val="004053F8"/>
    <w:rsid w:val="00405703"/>
    <w:rsid w:val="0040583E"/>
    <w:rsid w:val="004058AB"/>
    <w:rsid w:val="0040695F"/>
    <w:rsid w:val="004074B6"/>
    <w:rsid w:val="004076D5"/>
    <w:rsid w:val="004102B2"/>
    <w:rsid w:val="00410911"/>
    <w:rsid w:val="004109EA"/>
    <w:rsid w:val="0041154D"/>
    <w:rsid w:val="00411796"/>
    <w:rsid w:val="00412843"/>
    <w:rsid w:val="00412BF2"/>
    <w:rsid w:val="00413CCA"/>
    <w:rsid w:val="00414060"/>
    <w:rsid w:val="004141DF"/>
    <w:rsid w:val="00414326"/>
    <w:rsid w:val="004152DE"/>
    <w:rsid w:val="00415DCE"/>
    <w:rsid w:val="00416032"/>
    <w:rsid w:val="004171DD"/>
    <w:rsid w:val="00417238"/>
    <w:rsid w:val="00417F34"/>
    <w:rsid w:val="0042061D"/>
    <w:rsid w:val="004210D1"/>
    <w:rsid w:val="004216B8"/>
    <w:rsid w:val="00421C89"/>
    <w:rsid w:val="00421D23"/>
    <w:rsid w:val="00422920"/>
    <w:rsid w:val="00422EAC"/>
    <w:rsid w:val="0042350E"/>
    <w:rsid w:val="0042388B"/>
    <w:rsid w:val="004239F0"/>
    <w:rsid w:val="00423EBE"/>
    <w:rsid w:val="004246C8"/>
    <w:rsid w:val="00424792"/>
    <w:rsid w:val="00424A93"/>
    <w:rsid w:val="00424D63"/>
    <w:rsid w:val="0042593A"/>
    <w:rsid w:val="00425BD4"/>
    <w:rsid w:val="004267E6"/>
    <w:rsid w:val="00426A31"/>
    <w:rsid w:val="00426D55"/>
    <w:rsid w:val="00430E97"/>
    <w:rsid w:val="0043135E"/>
    <w:rsid w:val="004317D4"/>
    <w:rsid w:val="004318FF"/>
    <w:rsid w:val="00431D61"/>
    <w:rsid w:val="00432542"/>
    <w:rsid w:val="00432945"/>
    <w:rsid w:val="00432C83"/>
    <w:rsid w:val="004339C6"/>
    <w:rsid w:val="00433AC3"/>
    <w:rsid w:val="00433B45"/>
    <w:rsid w:val="00433E47"/>
    <w:rsid w:val="004343E1"/>
    <w:rsid w:val="00434968"/>
    <w:rsid w:val="00434A35"/>
    <w:rsid w:val="00435058"/>
    <w:rsid w:val="004350DF"/>
    <w:rsid w:val="00435679"/>
    <w:rsid w:val="004360B8"/>
    <w:rsid w:val="00436FAC"/>
    <w:rsid w:val="004374D4"/>
    <w:rsid w:val="00437FF0"/>
    <w:rsid w:val="004401D2"/>
    <w:rsid w:val="00440652"/>
    <w:rsid w:val="00440750"/>
    <w:rsid w:val="004415F7"/>
    <w:rsid w:val="00442A9D"/>
    <w:rsid w:val="00442D87"/>
    <w:rsid w:val="004432DB"/>
    <w:rsid w:val="00443432"/>
    <w:rsid w:val="00443714"/>
    <w:rsid w:val="00443AF9"/>
    <w:rsid w:val="00444619"/>
    <w:rsid w:val="004447BE"/>
    <w:rsid w:val="00444B9F"/>
    <w:rsid w:val="00444D0A"/>
    <w:rsid w:val="00444FC2"/>
    <w:rsid w:val="00445C88"/>
    <w:rsid w:val="00445D24"/>
    <w:rsid w:val="004461C3"/>
    <w:rsid w:val="004466CE"/>
    <w:rsid w:val="004467D9"/>
    <w:rsid w:val="00447637"/>
    <w:rsid w:val="004476EC"/>
    <w:rsid w:val="0045042F"/>
    <w:rsid w:val="00451FA0"/>
    <w:rsid w:val="004523CB"/>
    <w:rsid w:val="00452903"/>
    <w:rsid w:val="004533F3"/>
    <w:rsid w:val="00453B16"/>
    <w:rsid w:val="00454ACA"/>
    <w:rsid w:val="00454AE2"/>
    <w:rsid w:val="00454CBF"/>
    <w:rsid w:val="00454CFB"/>
    <w:rsid w:val="00455C75"/>
    <w:rsid w:val="00456115"/>
    <w:rsid w:val="0045662D"/>
    <w:rsid w:val="004577B1"/>
    <w:rsid w:val="0045780E"/>
    <w:rsid w:val="00457859"/>
    <w:rsid w:val="0045789C"/>
    <w:rsid w:val="00460343"/>
    <w:rsid w:val="004607AE"/>
    <w:rsid w:val="00460AA0"/>
    <w:rsid w:val="00460C45"/>
    <w:rsid w:val="00460CA0"/>
    <w:rsid w:val="0046109C"/>
    <w:rsid w:val="00461945"/>
    <w:rsid w:val="00461A5E"/>
    <w:rsid w:val="00461B58"/>
    <w:rsid w:val="00461FEB"/>
    <w:rsid w:val="00464025"/>
    <w:rsid w:val="00464308"/>
    <w:rsid w:val="00464329"/>
    <w:rsid w:val="00464643"/>
    <w:rsid w:val="00465015"/>
    <w:rsid w:val="00465044"/>
    <w:rsid w:val="00465286"/>
    <w:rsid w:val="00465376"/>
    <w:rsid w:val="00465A06"/>
    <w:rsid w:val="00465A23"/>
    <w:rsid w:val="00465D98"/>
    <w:rsid w:val="00466CEE"/>
    <w:rsid w:val="004676B2"/>
    <w:rsid w:val="00467947"/>
    <w:rsid w:val="004679F6"/>
    <w:rsid w:val="00470143"/>
    <w:rsid w:val="004703CB"/>
    <w:rsid w:val="00470D68"/>
    <w:rsid w:val="00471F93"/>
    <w:rsid w:val="00472BC3"/>
    <w:rsid w:val="00473494"/>
    <w:rsid w:val="0047378E"/>
    <w:rsid w:val="00474115"/>
    <w:rsid w:val="004742D5"/>
    <w:rsid w:val="00474FFB"/>
    <w:rsid w:val="0047515B"/>
    <w:rsid w:val="00475449"/>
    <w:rsid w:val="0047581F"/>
    <w:rsid w:val="004761BC"/>
    <w:rsid w:val="004762A2"/>
    <w:rsid w:val="0047647D"/>
    <w:rsid w:val="0047659F"/>
    <w:rsid w:val="004767C6"/>
    <w:rsid w:val="00476B42"/>
    <w:rsid w:val="00476D82"/>
    <w:rsid w:val="00476E19"/>
    <w:rsid w:val="00476EE6"/>
    <w:rsid w:val="0047769A"/>
    <w:rsid w:val="00477A5A"/>
    <w:rsid w:val="004808BF"/>
    <w:rsid w:val="00480CAF"/>
    <w:rsid w:val="0048218A"/>
    <w:rsid w:val="00482880"/>
    <w:rsid w:val="00482B9B"/>
    <w:rsid w:val="00482C88"/>
    <w:rsid w:val="00483AA6"/>
    <w:rsid w:val="00483B0E"/>
    <w:rsid w:val="00484134"/>
    <w:rsid w:val="00484170"/>
    <w:rsid w:val="00485CC8"/>
    <w:rsid w:val="00485F03"/>
    <w:rsid w:val="0048608C"/>
    <w:rsid w:val="00486603"/>
    <w:rsid w:val="00486680"/>
    <w:rsid w:val="00486953"/>
    <w:rsid w:val="00486BF3"/>
    <w:rsid w:val="00486E76"/>
    <w:rsid w:val="004876A8"/>
    <w:rsid w:val="0048777A"/>
    <w:rsid w:val="004908BA"/>
    <w:rsid w:val="00492167"/>
    <w:rsid w:val="004921AF"/>
    <w:rsid w:val="004922F8"/>
    <w:rsid w:val="0049298C"/>
    <w:rsid w:val="00492FAB"/>
    <w:rsid w:val="0049313A"/>
    <w:rsid w:val="0049316E"/>
    <w:rsid w:val="00493811"/>
    <w:rsid w:val="004940F8"/>
    <w:rsid w:val="004950C6"/>
    <w:rsid w:val="00495477"/>
    <w:rsid w:val="004958F0"/>
    <w:rsid w:val="00495AB1"/>
    <w:rsid w:val="004972CA"/>
    <w:rsid w:val="00497878"/>
    <w:rsid w:val="00497910"/>
    <w:rsid w:val="00497CFE"/>
    <w:rsid w:val="00497F7D"/>
    <w:rsid w:val="004A0571"/>
    <w:rsid w:val="004A09C9"/>
    <w:rsid w:val="004A0F19"/>
    <w:rsid w:val="004A1FCC"/>
    <w:rsid w:val="004A268E"/>
    <w:rsid w:val="004A3140"/>
    <w:rsid w:val="004A321A"/>
    <w:rsid w:val="004A3E10"/>
    <w:rsid w:val="004A457B"/>
    <w:rsid w:val="004A4AA8"/>
    <w:rsid w:val="004A4D6D"/>
    <w:rsid w:val="004A5792"/>
    <w:rsid w:val="004A5EBC"/>
    <w:rsid w:val="004A6033"/>
    <w:rsid w:val="004A6BA8"/>
    <w:rsid w:val="004A6C03"/>
    <w:rsid w:val="004A6E1D"/>
    <w:rsid w:val="004A6F89"/>
    <w:rsid w:val="004A70C2"/>
    <w:rsid w:val="004A7867"/>
    <w:rsid w:val="004A79F2"/>
    <w:rsid w:val="004A7A68"/>
    <w:rsid w:val="004A7ED9"/>
    <w:rsid w:val="004A7FAA"/>
    <w:rsid w:val="004B0033"/>
    <w:rsid w:val="004B0197"/>
    <w:rsid w:val="004B0201"/>
    <w:rsid w:val="004B05C8"/>
    <w:rsid w:val="004B1BB8"/>
    <w:rsid w:val="004B1DFD"/>
    <w:rsid w:val="004B2C17"/>
    <w:rsid w:val="004B3ED9"/>
    <w:rsid w:val="004B4595"/>
    <w:rsid w:val="004B4707"/>
    <w:rsid w:val="004B52CF"/>
    <w:rsid w:val="004B53AD"/>
    <w:rsid w:val="004B54FD"/>
    <w:rsid w:val="004B5ED1"/>
    <w:rsid w:val="004B65CF"/>
    <w:rsid w:val="004B6613"/>
    <w:rsid w:val="004B72C1"/>
    <w:rsid w:val="004B7631"/>
    <w:rsid w:val="004B7AFD"/>
    <w:rsid w:val="004B7B83"/>
    <w:rsid w:val="004B7CEF"/>
    <w:rsid w:val="004C0E2B"/>
    <w:rsid w:val="004C0E69"/>
    <w:rsid w:val="004C1CB1"/>
    <w:rsid w:val="004C29C5"/>
    <w:rsid w:val="004C2C94"/>
    <w:rsid w:val="004C31F4"/>
    <w:rsid w:val="004C3404"/>
    <w:rsid w:val="004C3468"/>
    <w:rsid w:val="004C3527"/>
    <w:rsid w:val="004C365F"/>
    <w:rsid w:val="004C4166"/>
    <w:rsid w:val="004C42FE"/>
    <w:rsid w:val="004C472B"/>
    <w:rsid w:val="004C4992"/>
    <w:rsid w:val="004C512E"/>
    <w:rsid w:val="004C51FD"/>
    <w:rsid w:val="004C5B27"/>
    <w:rsid w:val="004C5FC5"/>
    <w:rsid w:val="004C6ACC"/>
    <w:rsid w:val="004C7210"/>
    <w:rsid w:val="004C73C2"/>
    <w:rsid w:val="004C79AE"/>
    <w:rsid w:val="004C79FA"/>
    <w:rsid w:val="004C7B72"/>
    <w:rsid w:val="004C7D1F"/>
    <w:rsid w:val="004C7E85"/>
    <w:rsid w:val="004D1023"/>
    <w:rsid w:val="004D1B9D"/>
    <w:rsid w:val="004D20A2"/>
    <w:rsid w:val="004D235F"/>
    <w:rsid w:val="004D23A4"/>
    <w:rsid w:val="004D24D5"/>
    <w:rsid w:val="004D391E"/>
    <w:rsid w:val="004D4CF9"/>
    <w:rsid w:val="004D500E"/>
    <w:rsid w:val="004D5BF5"/>
    <w:rsid w:val="004D6055"/>
    <w:rsid w:val="004D6995"/>
    <w:rsid w:val="004D7200"/>
    <w:rsid w:val="004D7229"/>
    <w:rsid w:val="004D77C4"/>
    <w:rsid w:val="004E04EB"/>
    <w:rsid w:val="004E07E3"/>
    <w:rsid w:val="004E08ED"/>
    <w:rsid w:val="004E0FC9"/>
    <w:rsid w:val="004E14E2"/>
    <w:rsid w:val="004E1B5C"/>
    <w:rsid w:val="004E2802"/>
    <w:rsid w:val="004E2ADC"/>
    <w:rsid w:val="004E3351"/>
    <w:rsid w:val="004E33C6"/>
    <w:rsid w:val="004E34F0"/>
    <w:rsid w:val="004E4AB3"/>
    <w:rsid w:val="004E5121"/>
    <w:rsid w:val="004E5AF9"/>
    <w:rsid w:val="004E61C5"/>
    <w:rsid w:val="004E6AFB"/>
    <w:rsid w:val="004E6C36"/>
    <w:rsid w:val="004E74F3"/>
    <w:rsid w:val="004E7833"/>
    <w:rsid w:val="004E7D61"/>
    <w:rsid w:val="004E7F93"/>
    <w:rsid w:val="004F01C7"/>
    <w:rsid w:val="004F0905"/>
    <w:rsid w:val="004F1362"/>
    <w:rsid w:val="004F20F3"/>
    <w:rsid w:val="004F2F26"/>
    <w:rsid w:val="004F3486"/>
    <w:rsid w:val="004F3576"/>
    <w:rsid w:val="004F391D"/>
    <w:rsid w:val="004F4B9A"/>
    <w:rsid w:val="004F4EC4"/>
    <w:rsid w:val="004F4F72"/>
    <w:rsid w:val="004F57B6"/>
    <w:rsid w:val="004F5990"/>
    <w:rsid w:val="004F625E"/>
    <w:rsid w:val="004F7720"/>
    <w:rsid w:val="004F7CC9"/>
    <w:rsid w:val="00500607"/>
    <w:rsid w:val="00500A09"/>
    <w:rsid w:val="00501225"/>
    <w:rsid w:val="0050154D"/>
    <w:rsid w:val="00501EE0"/>
    <w:rsid w:val="005027CB"/>
    <w:rsid w:val="0050287A"/>
    <w:rsid w:val="00503387"/>
    <w:rsid w:val="00503C30"/>
    <w:rsid w:val="00504DFC"/>
    <w:rsid w:val="005054BB"/>
    <w:rsid w:val="00505502"/>
    <w:rsid w:val="005057E0"/>
    <w:rsid w:val="0050592D"/>
    <w:rsid w:val="00505AC2"/>
    <w:rsid w:val="00505D90"/>
    <w:rsid w:val="00505DAA"/>
    <w:rsid w:val="0050647B"/>
    <w:rsid w:val="0050666A"/>
    <w:rsid w:val="0050696D"/>
    <w:rsid w:val="00506B5E"/>
    <w:rsid w:val="00506FAD"/>
    <w:rsid w:val="0051008D"/>
    <w:rsid w:val="00510162"/>
    <w:rsid w:val="00511CCC"/>
    <w:rsid w:val="00512F1B"/>
    <w:rsid w:val="0051361C"/>
    <w:rsid w:val="00513B63"/>
    <w:rsid w:val="00514198"/>
    <w:rsid w:val="0051494F"/>
    <w:rsid w:val="00514CF6"/>
    <w:rsid w:val="00514D69"/>
    <w:rsid w:val="0051517F"/>
    <w:rsid w:val="005151E3"/>
    <w:rsid w:val="0051540E"/>
    <w:rsid w:val="00515569"/>
    <w:rsid w:val="00515CB2"/>
    <w:rsid w:val="00515EA1"/>
    <w:rsid w:val="005160AF"/>
    <w:rsid w:val="00516371"/>
    <w:rsid w:val="00516712"/>
    <w:rsid w:val="00516C7E"/>
    <w:rsid w:val="00516D0D"/>
    <w:rsid w:val="005178C9"/>
    <w:rsid w:val="00517A49"/>
    <w:rsid w:val="00517FA3"/>
    <w:rsid w:val="00520163"/>
    <w:rsid w:val="00520685"/>
    <w:rsid w:val="00520E7A"/>
    <w:rsid w:val="0052179A"/>
    <w:rsid w:val="00522113"/>
    <w:rsid w:val="00523070"/>
    <w:rsid w:val="00523929"/>
    <w:rsid w:val="00523DF3"/>
    <w:rsid w:val="0052531E"/>
    <w:rsid w:val="005259C2"/>
    <w:rsid w:val="005259D4"/>
    <w:rsid w:val="005265A9"/>
    <w:rsid w:val="00526CED"/>
    <w:rsid w:val="00527506"/>
    <w:rsid w:val="00530755"/>
    <w:rsid w:val="0053082B"/>
    <w:rsid w:val="00533017"/>
    <w:rsid w:val="0053393F"/>
    <w:rsid w:val="00534094"/>
    <w:rsid w:val="00534357"/>
    <w:rsid w:val="005355FB"/>
    <w:rsid w:val="00535D61"/>
    <w:rsid w:val="00535EBD"/>
    <w:rsid w:val="00537088"/>
    <w:rsid w:val="00537101"/>
    <w:rsid w:val="00537D00"/>
    <w:rsid w:val="0054046A"/>
    <w:rsid w:val="00540AA6"/>
    <w:rsid w:val="00541246"/>
    <w:rsid w:val="00541EB7"/>
    <w:rsid w:val="005421D0"/>
    <w:rsid w:val="00542489"/>
    <w:rsid w:val="00542713"/>
    <w:rsid w:val="00542B1C"/>
    <w:rsid w:val="00542B79"/>
    <w:rsid w:val="00543500"/>
    <w:rsid w:val="00543DF8"/>
    <w:rsid w:val="0054432D"/>
    <w:rsid w:val="00544654"/>
    <w:rsid w:val="00545664"/>
    <w:rsid w:val="00545A3F"/>
    <w:rsid w:val="00545D7C"/>
    <w:rsid w:val="00546301"/>
    <w:rsid w:val="005463D1"/>
    <w:rsid w:val="00546486"/>
    <w:rsid w:val="00546F53"/>
    <w:rsid w:val="00547274"/>
    <w:rsid w:val="00547482"/>
    <w:rsid w:val="005477F2"/>
    <w:rsid w:val="00547905"/>
    <w:rsid w:val="00547AFC"/>
    <w:rsid w:val="00547DCA"/>
    <w:rsid w:val="00550736"/>
    <w:rsid w:val="00550893"/>
    <w:rsid w:val="00550AB5"/>
    <w:rsid w:val="0055161E"/>
    <w:rsid w:val="005523D2"/>
    <w:rsid w:val="005524D6"/>
    <w:rsid w:val="00552BFC"/>
    <w:rsid w:val="00553211"/>
    <w:rsid w:val="00553DD3"/>
    <w:rsid w:val="00554690"/>
    <w:rsid w:val="0055473F"/>
    <w:rsid w:val="00554CCF"/>
    <w:rsid w:val="00554F15"/>
    <w:rsid w:val="0055602B"/>
    <w:rsid w:val="00556780"/>
    <w:rsid w:val="00556AB5"/>
    <w:rsid w:val="0055705B"/>
    <w:rsid w:val="00557611"/>
    <w:rsid w:val="00557967"/>
    <w:rsid w:val="005603FD"/>
    <w:rsid w:val="0056088C"/>
    <w:rsid w:val="005610CC"/>
    <w:rsid w:val="0056136E"/>
    <w:rsid w:val="00561C09"/>
    <w:rsid w:val="00562397"/>
    <w:rsid w:val="0056293C"/>
    <w:rsid w:val="00562AD0"/>
    <w:rsid w:val="00562B5E"/>
    <w:rsid w:val="00562CB9"/>
    <w:rsid w:val="00562F7C"/>
    <w:rsid w:val="005644C5"/>
    <w:rsid w:val="00564717"/>
    <w:rsid w:val="00565912"/>
    <w:rsid w:val="00566B4C"/>
    <w:rsid w:val="00567365"/>
    <w:rsid w:val="00570370"/>
    <w:rsid w:val="0057074D"/>
    <w:rsid w:val="005707D5"/>
    <w:rsid w:val="00570C02"/>
    <w:rsid w:val="00571153"/>
    <w:rsid w:val="00571633"/>
    <w:rsid w:val="0057163E"/>
    <w:rsid w:val="0057290B"/>
    <w:rsid w:val="00572C82"/>
    <w:rsid w:val="00573184"/>
    <w:rsid w:val="005731F8"/>
    <w:rsid w:val="005737AC"/>
    <w:rsid w:val="00573A46"/>
    <w:rsid w:val="00574037"/>
    <w:rsid w:val="00574635"/>
    <w:rsid w:val="0057483D"/>
    <w:rsid w:val="00574BAB"/>
    <w:rsid w:val="00574D13"/>
    <w:rsid w:val="005759A5"/>
    <w:rsid w:val="00575AA4"/>
    <w:rsid w:val="00576A57"/>
    <w:rsid w:val="00576E6B"/>
    <w:rsid w:val="00576F56"/>
    <w:rsid w:val="00577E9A"/>
    <w:rsid w:val="0058039F"/>
    <w:rsid w:val="00580915"/>
    <w:rsid w:val="005813B3"/>
    <w:rsid w:val="00581D82"/>
    <w:rsid w:val="00582721"/>
    <w:rsid w:val="00582729"/>
    <w:rsid w:val="0058272C"/>
    <w:rsid w:val="00582865"/>
    <w:rsid w:val="00582CFE"/>
    <w:rsid w:val="00583009"/>
    <w:rsid w:val="00583E0F"/>
    <w:rsid w:val="00584E3A"/>
    <w:rsid w:val="00585EB1"/>
    <w:rsid w:val="0058635D"/>
    <w:rsid w:val="005866A7"/>
    <w:rsid w:val="00586C08"/>
    <w:rsid w:val="00586C5C"/>
    <w:rsid w:val="00586D05"/>
    <w:rsid w:val="005871FE"/>
    <w:rsid w:val="005875D4"/>
    <w:rsid w:val="00587646"/>
    <w:rsid w:val="00587756"/>
    <w:rsid w:val="00587F57"/>
    <w:rsid w:val="0059001F"/>
    <w:rsid w:val="005904EA"/>
    <w:rsid w:val="005907B1"/>
    <w:rsid w:val="00591217"/>
    <w:rsid w:val="0059141A"/>
    <w:rsid w:val="005915B6"/>
    <w:rsid w:val="00591C17"/>
    <w:rsid w:val="0059224F"/>
    <w:rsid w:val="00592A88"/>
    <w:rsid w:val="00592DD8"/>
    <w:rsid w:val="00593393"/>
    <w:rsid w:val="00593F83"/>
    <w:rsid w:val="00594248"/>
    <w:rsid w:val="005947C5"/>
    <w:rsid w:val="00594CED"/>
    <w:rsid w:val="00594CFD"/>
    <w:rsid w:val="0059502D"/>
    <w:rsid w:val="00595032"/>
    <w:rsid w:val="005954C3"/>
    <w:rsid w:val="00595B3F"/>
    <w:rsid w:val="00595E39"/>
    <w:rsid w:val="00596F8F"/>
    <w:rsid w:val="005978C9"/>
    <w:rsid w:val="005979A7"/>
    <w:rsid w:val="00597D47"/>
    <w:rsid w:val="00597F08"/>
    <w:rsid w:val="005A0880"/>
    <w:rsid w:val="005A099C"/>
    <w:rsid w:val="005A0E04"/>
    <w:rsid w:val="005A0FEB"/>
    <w:rsid w:val="005A1257"/>
    <w:rsid w:val="005A1899"/>
    <w:rsid w:val="005A1E65"/>
    <w:rsid w:val="005A21D8"/>
    <w:rsid w:val="005A2B2D"/>
    <w:rsid w:val="005A2FB5"/>
    <w:rsid w:val="005A2FDC"/>
    <w:rsid w:val="005A3807"/>
    <w:rsid w:val="005A3B39"/>
    <w:rsid w:val="005A5A3D"/>
    <w:rsid w:val="005A5BB3"/>
    <w:rsid w:val="005A6186"/>
    <w:rsid w:val="005A6627"/>
    <w:rsid w:val="005A6AEC"/>
    <w:rsid w:val="005A6F64"/>
    <w:rsid w:val="005A7196"/>
    <w:rsid w:val="005A74F6"/>
    <w:rsid w:val="005A78CE"/>
    <w:rsid w:val="005B003D"/>
    <w:rsid w:val="005B01C8"/>
    <w:rsid w:val="005B045F"/>
    <w:rsid w:val="005B12D0"/>
    <w:rsid w:val="005B1929"/>
    <w:rsid w:val="005B28C0"/>
    <w:rsid w:val="005B316F"/>
    <w:rsid w:val="005B3C5C"/>
    <w:rsid w:val="005B406C"/>
    <w:rsid w:val="005B4570"/>
    <w:rsid w:val="005B45A1"/>
    <w:rsid w:val="005B4692"/>
    <w:rsid w:val="005B4B95"/>
    <w:rsid w:val="005B5A57"/>
    <w:rsid w:val="005B5DE4"/>
    <w:rsid w:val="005B5E6E"/>
    <w:rsid w:val="005B5F16"/>
    <w:rsid w:val="005B609A"/>
    <w:rsid w:val="005B62ED"/>
    <w:rsid w:val="005B6F18"/>
    <w:rsid w:val="005B761C"/>
    <w:rsid w:val="005C005E"/>
    <w:rsid w:val="005C00FC"/>
    <w:rsid w:val="005C0128"/>
    <w:rsid w:val="005C012E"/>
    <w:rsid w:val="005C03A5"/>
    <w:rsid w:val="005C0DDA"/>
    <w:rsid w:val="005C0F51"/>
    <w:rsid w:val="005C1371"/>
    <w:rsid w:val="005C19E7"/>
    <w:rsid w:val="005C2364"/>
    <w:rsid w:val="005C36FC"/>
    <w:rsid w:val="005C379D"/>
    <w:rsid w:val="005C3D15"/>
    <w:rsid w:val="005C5884"/>
    <w:rsid w:val="005C60A3"/>
    <w:rsid w:val="005C659C"/>
    <w:rsid w:val="005C68A8"/>
    <w:rsid w:val="005C6DFC"/>
    <w:rsid w:val="005C6F87"/>
    <w:rsid w:val="005C7BBD"/>
    <w:rsid w:val="005C7F33"/>
    <w:rsid w:val="005D1B0B"/>
    <w:rsid w:val="005D3E4C"/>
    <w:rsid w:val="005D41B2"/>
    <w:rsid w:val="005D4E46"/>
    <w:rsid w:val="005D50A7"/>
    <w:rsid w:val="005D53A0"/>
    <w:rsid w:val="005D5439"/>
    <w:rsid w:val="005D5746"/>
    <w:rsid w:val="005D58A3"/>
    <w:rsid w:val="005D5D7C"/>
    <w:rsid w:val="005D5EC0"/>
    <w:rsid w:val="005D6049"/>
    <w:rsid w:val="005D723A"/>
    <w:rsid w:val="005D74EA"/>
    <w:rsid w:val="005D761E"/>
    <w:rsid w:val="005E02C5"/>
    <w:rsid w:val="005E0342"/>
    <w:rsid w:val="005E03F1"/>
    <w:rsid w:val="005E0A69"/>
    <w:rsid w:val="005E0D01"/>
    <w:rsid w:val="005E1EA6"/>
    <w:rsid w:val="005E2117"/>
    <w:rsid w:val="005E22DE"/>
    <w:rsid w:val="005E23EE"/>
    <w:rsid w:val="005E269D"/>
    <w:rsid w:val="005E2AE3"/>
    <w:rsid w:val="005E2F5F"/>
    <w:rsid w:val="005E3EDE"/>
    <w:rsid w:val="005E461A"/>
    <w:rsid w:val="005E4DCB"/>
    <w:rsid w:val="005E52A6"/>
    <w:rsid w:val="005E53D1"/>
    <w:rsid w:val="005E6146"/>
    <w:rsid w:val="005E64F5"/>
    <w:rsid w:val="005E6C3C"/>
    <w:rsid w:val="005E6F02"/>
    <w:rsid w:val="005E7720"/>
    <w:rsid w:val="005E792C"/>
    <w:rsid w:val="005E79E3"/>
    <w:rsid w:val="005E7DDB"/>
    <w:rsid w:val="005F0384"/>
    <w:rsid w:val="005F0E94"/>
    <w:rsid w:val="005F1549"/>
    <w:rsid w:val="005F1ABF"/>
    <w:rsid w:val="005F2B29"/>
    <w:rsid w:val="005F2D9F"/>
    <w:rsid w:val="005F37D0"/>
    <w:rsid w:val="005F3A84"/>
    <w:rsid w:val="005F450B"/>
    <w:rsid w:val="005F4892"/>
    <w:rsid w:val="005F520D"/>
    <w:rsid w:val="005F56FC"/>
    <w:rsid w:val="005F5C8D"/>
    <w:rsid w:val="005F5CF8"/>
    <w:rsid w:val="005F6205"/>
    <w:rsid w:val="005F6533"/>
    <w:rsid w:val="005F6B7D"/>
    <w:rsid w:val="005F6BB8"/>
    <w:rsid w:val="0060064A"/>
    <w:rsid w:val="00600CFA"/>
    <w:rsid w:val="00601396"/>
    <w:rsid w:val="00601936"/>
    <w:rsid w:val="00601AAE"/>
    <w:rsid w:val="00601BF1"/>
    <w:rsid w:val="006025CB"/>
    <w:rsid w:val="006027F0"/>
    <w:rsid w:val="00603072"/>
    <w:rsid w:val="00603E4F"/>
    <w:rsid w:val="00604726"/>
    <w:rsid w:val="00605381"/>
    <w:rsid w:val="00605CC1"/>
    <w:rsid w:val="006061D0"/>
    <w:rsid w:val="006062F1"/>
    <w:rsid w:val="00606ED2"/>
    <w:rsid w:val="006071D3"/>
    <w:rsid w:val="006079F5"/>
    <w:rsid w:val="00607D8E"/>
    <w:rsid w:val="006106BE"/>
    <w:rsid w:val="006114EB"/>
    <w:rsid w:val="00611740"/>
    <w:rsid w:val="00612126"/>
    <w:rsid w:val="006124EC"/>
    <w:rsid w:val="006129E5"/>
    <w:rsid w:val="00612F2B"/>
    <w:rsid w:val="006134C3"/>
    <w:rsid w:val="006147A6"/>
    <w:rsid w:val="006147D2"/>
    <w:rsid w:val="00614F06"/>
    <w:rsid w:val="00614F32"/>
    <w:rsid w:val="00615077"/>
    <w:rsid w:val="006150AB"/>
    <w:rsid w:val="0061568A"/>
    <w:rsid w:val="00615FE0"/>
    <w:rsid w:val="00617011"/>
    <w:rsid w:val="0061718D"/>
    <w:rsid w:val="00617260"/>
    <w:rsid w:val="00617415"/>
    <w:rsid w:val="006218BF"/>
    <w:rsid w:val="00622026"/>
    <w:rsid w:val="00622B31"/>
    <w:rsid w:val="00623535"/>
    <w:rsid w:val="006235E6"/>
    <w:rsid w:val="0062370D"/>
    <w:rsid w:val="006243D3"/>
    <w:rsid w:val="006244E4"/>
    <w:rsid w:val="0062478F"/>
    <w:rsid w:val="00624B57"/>
    <w:rsid w:val="006253DD"/>
    <w:rsid w:val="0062563C"/>
    <w:rsid w:val="00625D41"/>
    <w:rsid w:val="006267A2"/>
    <w:rsid w:val="006277D4"/>
    <w:rsid w:val="006306EA"/>
    <w:rsid w:val="00630F29"/>
    <w:rsid w:val="006314A6"/>
    <w:rsid w:val="0063153A"/>
    <w:rsid w:val="00631769"/>
    <w:rsid w:val="00631985"/>
    <w:rsid w:val="00631F30"/>
    <w:rsid w:val="00632414"/>
    <w:rsid w:val="0063258C"/>
    <w:rsid w:val="006325F0"/>
    <w:rsid w:val="00632AE3"/>
    <w:rsid w:val="00632B13"/>
    <w:rsid w:val="00633490"/>
    <w:rsid w:val="0063384C"/>
    <w:rsid w:val="006338C8"/>
    <w:rsid w:val="00633FA1"/>
    <w:rsid w:val="00635F55"/>
    <w:rsid w:val="00636488"/>
    <w:rsid w:val="00636903"/>
    <w:rsid w:val="006373F5"/>
    <w:rsid w:val="00637D2F"/>
    <w:rsid w:val="00637D4A"/>
    <w:rsid w:val="006400D4"/>
    <w:rsid w:val="00640444"/>
    <w:rsid w:val="0064080D"/>
    <w:rsid w:val="0064089D"/>
    <w:rsid w:val="006409B1"/>
    <w:rsid w:val="00640B77"/>
    <w:rsid w:val="00640BE0"/>
    <w:rsid w:val="00640F7E"/>
    <w:rsid w:val="006414E2"/>
    <w:rsid w:val="00642453"/>
    <w:rsid w:val="0064286E"/>
    <w:rsid w:val="00642AF6"/>
    <w:rsid w:val="00643CD5"/>
    <w:rsid w:val="00644D8A"/>
    <w:rsid w:val="00644EC7"/>
    <w:rsid w:val="00645037"/>
    <w:rsid w:val="006451B9"/>
    <w:rsid w:val="0064652E"/>
    <w:rsid w:val="00647F22"/>
    <w:rsid w:val="006504C4"/>
    <w:rsid w:val="00650A73"/>
    <w:rsid w:val="00651111"/>
    <w:rsid w:val="006512C7"/>
    <w:rsid w:val="00651419"/>
    <w:rsid w:val="006514C8"/>
    <w:rsid w:val="006517BE"/>
    <w:rsid w:val="00652293"/>
    <w:rsid w:val="00652627"/>
    <w:rsid w:val="00652C42"/>
    <w:rsid w:val="00652CCA"/>
    <w:rsid w:val="0065332E"/>
    <w:rsid w:val="00653518"/>
    <w:rsid w:val="00654913"/>
    <w:rsid w:val="00654B37"/>
    <w:rsid w:val="00654DDD"/>
    <w:rsid w:val="00654E8A"/>
    <w:rsid w:val="006557CD"/>
    <w:rsid w:val="0065637F"/>
    <w:rsid w:val="006567DC"/>
    <w:rsid w:val="006572D0"/>
    <w:rsid w:val="00657EE7"/>
    <w:rsid w:val="0066067B"/>
    <w:rsid w:val="0066109A"/>
    <w:rsid w:val="00661459"/>
    <w:rsid w:val="006624F4"/>
    <w:rsid w:val="00662A44"/>
    <w:rsid w:val="006631A5"/>
    <w:rsid w:val="00663D20"/>
    <w:rsid w:val="0066507B"/>
    <w:rsid w:val="006657E1"/>
    <w:rsid w:val="006667A9"/>
    <w:rsid w:val="00666824"/>
    <w:rsid w:val="00666AF5"/>
    <w:rsid w:val="00667133"/>
    <w:rsid w:val="00667DB9"/>
    <w:rsid w:val="006702AC"/>
    <w:rsid w:val="00670913"/>
    <w:rsid w:val="006715C8"/>
    <w:rsid w:val="006719BC"/>
    <w:rsid w:val="0067210C"/>
    <w:rsid w:val="00672AAC"/>
    <w:rsid w:val="00672BD0"/>
    <w:rsid w:val="0067336C"/>
    <w:rsid w:val="00673537"/>
    <w:rsid w:val="006741F4"/>
    <w:rsid w:val="0067443A"/>
    <w:rsid w:val="0067491D"/>
    <w:rsid w:val="00674D69"/>
    <w:rsid w:val="006754F4"/>
    <w:rsid w:val="00675513"/>
    <w:rsid w:val="006759AD"/>
    <w:rsid w:val="00676078"/>
    <w:rsid w:val="00676496"/>
    <w:rsid w:val="00676904"/>
    <w:rsid w:val="00676956"/>
    <w:rsid w:val="00677F0B"/>
    <w:rsid w:val="00680551"/>
    <w:rsid w:val="00680696"/>
    <w:rsid w:val="006806DD"/>
    <w:rsid w:val="00680DA3"/>
    <w:rsid w:val="006812FE"/>
    <w:rsid w:val="006815A5"/>
    <w:rsid w:val="0068230E"/>
    <w:rsid w:val="0068258A"/>
    <w:rsid w:val="00682632"/>
    <w:rsid w:val="00682FA9"/>
    <w:rsid w:val="00683F4A"/>
    <w:rsid w:val="00684999"/>
    <w:rsid w:val="00685309"/>
    <w:rsid w:val="00685BF6"/>
    <w:rsid w:val="00685C6C"/>
    <w:rsid w:val="00685D2F"/>
    <w:rsid w:val="00686589"/>
    <w:rsid w:val="00686AA5"/>
    <w:rsid w:val="00687BE4"/>
    <w:rsid w:val="00690F4E"/>
    <w:rsid w:val="006911F0"/>
    <w:rsid w:val="006917E3"/>
    <w:rsid w:val="00691A43"/>
    <w:rsid w:val="006923D5"/>
    <w:rsid w:val="00692CFB"/>
    <w:rsid w:val="00693649"/>
    <w:rsid w:val="00693F02"/>
    <w:rsid w:val="00694107"/>
    <w:rsid w:val="0069418A"/>
    <w:rsid w:val="00695715"/>
    <w:rsid w:val="00695964"/>
    <w:rsid w:val="00695991"/>
    <w:rsid w:val="006959A6"/>
    <w:rsid w:val="00696709"/>
    <w:rsid w:val="00696A90"/>
    <w:rsid w:val="00697165"/>
    <w:rsid w:val="0069747A"/>
    <w:rsid w:val="00697B7A"/>
    <w:rsid w:val="00697F74"/>
    <w:rsid w:val="006A07D6"/>
    <w:rsid w:val="006A0F19"/>
    <w:rsid w:val="006A1A83"/>
    <w:rsid w:val="006A26CA"/>
    <w:rsid w:val="006A355B"/>
    <w:rsid w:val="006A3EEA"/>
    <w:rsid w:val="006A3F2A"/>
    <w:rsid w:val="006A4891"/>
    <w:rsid w:val="006A4C01"/>
    <w:rsid w:val="006A4EEF"/>
    <w:rsid w:val="006A54EF"/>
    <w:rsid w:val="006A5636"/>
    <w:rsid w:val="006A5F90"/>
    <w:rsid w:val="006A68A8"/>
    <w:rsid w:val="006A6903"/>
    <w:rsid w:val="006A6A04"/>
    <w:rsid w:val="006A6F33"/>
    <w:rsid w:val="006A6F69"/>
    <w:rsid w:val="006A77DF"/>
    <w:rsid w:val="006B10C6"/>
    <w:rsid w:val="006B18DF"/>
    <w:rsid w:val="006B1D66"/>
    <w:rsid w:val="006B233B"/>
    <w:rsid w:val="006B2557"/>
    <w:rsid w:val="006B2616"/>
    <w:rsid w:val="006B280B"/>
    <w:rsid w:val="006B2A5C"/>
    <w:rsid w:val="006B3FD7"/>
    <w:rsid w:val="006B4B26"/>
    <w:rsid w:val="006B5065"/>
    <w:rsid w:val="006B7557"/>
    <w:rsid w:val="006C01ED"/>
    <w:rsid w:val="006C0856"/>
    <w:rsid w:val="006C0DE8"/>
    <w:rsid w:val="006C12ED"/>
    <w:rsid w:val="006C1EAC"/>
    <w:rsid w:val="006C2950"/>
    <w:rsid w:val="006C2D0A"/>
    <w:rsid w:val="006C2DBC"/>
    <w:rsid w:val="006C3302"/>
    <w:rsid w:val="006C3433"/>
    <w:rsid w:val="006C35EF"/>
    <w:rsid w:val="006C505A"/>
    <w:rsid w:val="006C5FA6"/>
    <w:rsid w:val="006C7B7A"/>
    <w:rsid w:val="006D00EF"/>
    <w:rsid w:val="006D01FA"/>
    <w:rsid w:val="006D208A"/>
    <w:rsid w:val="006D220B"/>
    <w:rsid w:val="006D3005"/>
    <w:rsid w:val="006D3193"/>
    <w:rsid w:val="006D32B7"/>
    <w:rsid w:val="006D3964"/>
    <w:rsid w:val="006D39C1"/>
    <w:rsid w:val="006D3ADF"/>
    <w:rsid w:val="006D3F92"/>
    <w:rsid w:val="006D3FEB"/>
    <w:rsid w:val="006D420C"/>
    <w:rsid w:val="006D4581"/>
    <w:rsid w:val="006D6B94"/>
    <w:rsid w:val="006D71FE"/>
    <w:rsid w:val="006D7314"/>
    <w:rsid w:val="006D7A76"/>
    <w:rsid w:val="006D7D7D"/>
    <w:rsid w:val="006E0329"/>
    <w:rsid w:val="006E050D"/>
    <w:rsid w:val="006E1257"/>
    <w:rsid w:val="006E2109"/>
    <w:rsid w:val="006E248A"/>
    <w:rsid w:val="006E24D6"/>
    <w:rsid w:val="006E3DE4"/>
    <w:rsid w:val="006E4300"/>
    <w:rsid w:val="006E4F19"/>
    <w:rsid w:val="006E571B"/>
    <w:rsid w:val="006E583F"/>
    <w:rsid w:val="006E5A5B"/>
    <w:rsid w:val="006E5F7D"/>
    <w:rsid w:val="006E6B65"/>
    <w:rsid w:val="006E6C70"/>
    <w:rsid w:val="006E6F2E"/>
    <w:rsid w:val="006E7399"/>
    <w:rsid w:val="006E7421"/>
    <w:rsid w:val="006E7C62"/>
    <w:rsid w:val="006F04B9"/>
    <w:rsid w:val="006F054C"/>
    <w:rsid w:val="006F06D8"/>
    <w:rsid w:val="006F0795"/>
    <w:rsid w:val="006F0EFB"/>
    <w:rsid w:val="006F1E8D"/>
    <w:rsid w:val="006F26D5"/>
    <w:rsid w:val="006F2E82"/>
    <w:rsid w:val="006F406F"/>
    <w:rsid w:val="006F5419"/>
    <w:rsid w:val="006F56AA"/>
    <w:rsid w:val="006F5D25"/>
    <w:rsid w:val="006F6477"/>
    <w:rsid w:val="006F6516"/>
    <w:rsid w:val="006F68F0"/>
    <w:rsid w:val="006F79B5"/>
    <w:rsid w:val="006F79DF"/>
    <w:rsid w:val="007007E0"/>
    <w:rsid w:val="007009DC"/>
    <w:rsid w:val="00700B38"/>
    <w:rsid w:val="00700EB7"/>
    <w:rsid w:val="00700F50"/>
    <w:rsid w:val="00701000"/>
    <w:rsid w:val="0070140A"/>
    <w:rsid w:val="007015E1"/>
    <w:rsid w:val="00701A74"/>
    <w:rsid w:val="00701BD2"/>
    <w:rsid w:val="00701DAC"/>
    <w:rsid w:val="00701F39"/>
    <w:rsid w:val="00703551"/>
    <w:rsid w:val="0070370C"/>
    <w:rsid w:val="007039D0"/>
    <w:rsid w:val="00703C05"/>
    <w:rsid w:val="00703EBB"/>
    <w:rsid w:val="00704D77"/>
    <w:rsid w:val="00704FED"/>
    <w:rsid w:val="00705392"/>
    <w:rsid w:val="007055A1"/>
    <w:rsid w:val="00705B14"/>
    <w:rsid w:val="007062CD"/>
    <w:rsid w:val="007065AD"/>
    <w:rsid w:val="007066D1"/>
    <w:rsid w:val="00706A7A"/>
    <w:rsid w:val="00706D43"/>
    <w:rsid w:val="007072BC"/>
    <w:rsid w:val="007072E5"/>
    <w:rsid w:val="00710044"/>
    <w:rsid w:val="00710060"/>
    <w:rsid w:val="00710FBF"/>
    <w:rsid w:val="00711A52"/>
    <w:rsid w:val="00711DF0"/>
    <w:rsid w:val="00711E62"/>
    <w:rsid w:val="0071222F"/>
    <w:rsid w:val="00712F8B"/>
    <w:rsid w:val="00713714"/>
    <w:rsid w:val="00713AA1"/>
    <w:rsid w:val="00713BF0"/>
    <w:rsid w:val="00713F8D"/>
    <w:rsid w:val="00714F19"/>
    <w:rsid w:val="00714FB3"/>
    <w:rsid w:val="00715153"/>
    <w:rsid w:val="00715634"/>
    <w:rsid w:val="00715A73"/>
    <w:rsid w:val="00716185"/>
    <w:rsid w:val="00716334"/>
    <w:rsid w:val="007172A8"/>
    <w:rsid w:val="00717932"/>
    <w:rsid w:val="00717B5D"/>
    <w:rsid w:val="0072055F"/>
    <w:rsid w:val="00720F17"/>
    <w:rsid w:val="00720F95"/>
    <w:rsid w:val="00721D94"/>
    <w:rsid w:val="007221F4"/>
    <w:rsid w:val="007221FF"/>
    <w:rsid w:val="00722301"/>
    <w:rsid w:val="007225CB"/>
    <w:rsid w:val="00722C87"/>
    <w:rsid w:val="00722E38"/>
    <w:rsid w:val="00724D0D"/>
    <w:rsid w:val="00724D35"/>
    <w:rsid w:val="00724E07"/>
    <w:rsid w:val="007262AF"/>
    <w:rsid w:val="007263D1"/>
    <w:rsid w:val="007265B3"/>
    <w:rsid w:val="00726CCB"/>
    <w:rsid w:val="00727202"/>
    <w:rsid w:val="00727C6C"/>
    <w:rsid w:val="00727CB3"/>
    <w:rsid w:val="007302DC"/>
    <w:rsid w:val="007303CD"/>
    <w:rsid w:val="007316BA"/>
    <w:rsid w:val="007319E3"/>
    <w:rsid w:val="00731B92"/>
    <w:rsid w:val="00732044"/>
    <w:rsid w:val="00732DFF"/>
    <w:rsid w:val="0073323C"/>
    <w:rsid w:val="00733853"/>
    <w:rsid w:val="00733C4E"/>
    <w:rsid w:val="00734784"/>
    <w:rsid w:val="007358C4"/>
    <w:rsid w:val="00735919"/>
    <w:rsid w:val="00735D24"/>
    <w:rsid w:val="007364DF"/>
    <w:rsid w:val="007368C8"/>
    <w:rsid w:val="007400E1"/>
    <w:rsid w:val="0074059A"/>
    <w:rsid w:val="0074074F"/>
    <w:rsid w:val="00740908"/>
    <w:rsid w:val="00740965"/>
    <w:rsid w:val="00740AE2"/>
    <w:rsid w:val="007415FF"/>
    <w:rsid w:val="00741F54"/>
    <w:rsid w:val="00742013"/>
    <w:rsid w:val="00742645"/>
    <w:rsid w:val="007427BD"/>
    <w:rsid w:val="00742D37"/>
    <w:rsid w:val="00743296"/>
    <w:rsid w:val="00743680"/>
    <w:rsid w:val="00743A99"/>
    <w:rsid w:val="00743C34"/>
    <w:rsid w:val="00744033"/>
    <w:rsid w:val="00744745"/>
    <w:rsid w:val="007448A9"/>
    <w:rsid w:val="00744B8F"/>
    <w:rsid w:val="00745C65"/>
    <w:rsid w:val="00745D04"/>
    <w:rsid w:val="007461C0"/>
    <w:rsid w:val="00747A11"/>
    <w:rsid w:val="00747BD6"/>
    <w:rsid w:val="00747E6E"/>
    <w:rsid w:val="00747F44"/>
    <w:rsid w:val="007506D7"/>
    <w:rsid w:val="00750A2F"/>
    <w:rsid w:val="00751FA8"/>
    <w:rsid w:val="007526BD"/>
    <w:rsid w:val="007527CC"/>
    <w:rsid w:val="00752B74"/>
    <w:rsid w:val="00752CFE"/>
    <w:rsid w:val="00753164"/>
    <w:rsid w:val="00753273"/>
    <w:rsid w:val="00753AB8"/>
    <w:rsid w:val="00753BFB"/>
    <w:rsid w:val="00753EED"/>
    <w:rsid w:val="00754245"/>
    <w:rsid w:val="00754C4A"/>
    <w:rsid w:val="00754FBB"/>
    <w:rsid w:val="0075516B"/>
    <w:rsid w:val="007553AA"/>
    <w:rsid w:val="007553D8"/>
    <w:rsid w:val="00755490"/>
    <w:rsid w:val="00755803"/>
    <w:rsid w:val="00755C3E"/>
    <w:rsid w:val="007565F0"/>
    <w:rsid w:val="00756734"/>
    <w:rsid w:val="00756B96"/>
    <w:rsid w:val="00760165"/>
    <w:rsid w:val="00761969"/>
    <w:rsid w:val="00761BEF"/>
    <w:rsid w:val="007625E6"/>
    <w:rsid w:val="00762772"/>
    <w:rsid w:val="00762994"/>
    <w:rsid w:val="00762BFF"/>
    <w:rsid w:val="007633D5"/>
    <w:rsid w:val="00764066"/>
    <w:rsid w:val="0076420D"/>
    <w:rsid w:val="007643E1"/>
    <w:rsid w:val="007646F5"/>
    <w:rsid w:val="00765275"/>
    <w:rsid w:val="00765277"/>
    <w:rsid w:val="007653C0"/>
    <w:rsid w:val="00765891"/>
    <w:rsid w:val="00765A7C"/>
    <w:rsid w:val="00765CFA"/>
    <w:rsid w:val="00765E94"/>
    <w:rsid w:val="00766281"/>
    <w:rsid w:val="00766570"/>
    <w:rsid w:val="007672E6"/>
    <w:rsid w:val="007674FB"/>
    <w:rsid w:val="0076790E"/>
    <w:rsid w:val="007700D1"/>
    <w:rsid w:val="00770716"/>
    <w:rsid w:val="0077095E"/>
    <w:rsid w:val="007712AC"/>
    <w:rsid w:val="0077179A"/>
    <w:rsid w:val="00771A25"/>
    <w:rsid w:val="00771D5D"/>
    <w:rsid w:val="0077242E"/>
    <w:rsid w:val="00772EED"/>
    <w:rsid w:val="007735AC"/>
    <w:rsid w:val="00773F25"/>
    <w:rsid w:val="00775216"/>
    <w:rsid w:val="00775DB1"/>
    <w:rsid w:val="007767FF"/>
    <w:rsid w:val="00776B79"/>
    <w:rsid w:val="0077754B"/>
    <w:rsid w:val="007777C9"/>
    <w:rsid w:val="00777881"/>
    <w:rsid w:val="00777953"/>
    <w:rsid w:val="00777B68"/>
    <w:rsid w:val="0078039D"/>
    <w:rsid w:val="00781330"/>
    <w:rsid w:val="00781680"/>
    <w:rsid w:val="007816FB"/>
    <w:rsid w:val="00782309"/>
    <w:rsid w:val="00782636"/>
    <w:rsid w:val="00782639"/>
    <w:rsid w:val="00782A72"/>
    <w:rsid w:val="00783924"/>
    <w:rsid w:val="00783FFA"/>
    <w:rsid w:val="007840C9"/>
    <w:rsid w:val="0078425A"/>
    <w:rsid w:val="00784E87"/>
    <w:rsid w:val="007850A5"/>
    <w:rsid w:val="0078619C"/>
    <w:rsid w:val="0078623E"/>
    <w:rsid w:val="007876DC"/>
    <w:rsid w:val="00787844"/>
    <w:rsid w:val="00787F97"/>
    <w:rsid w:val="00790D62"/>
    <w:rsid w:val="00790EE1"/>
    <w:rsid w:val="00790F10"/>
    <w:rsid w:val="007925C4"/>
    <w:rsid w:val="00792AB3"/>
    <w:rsid w:val="007938D9"/>
    <w:rsid w:val="00794641"/>
    <w:rsid w:val="00794BF0"/>
    <w:rsid w:val="007950E9"/>
    <w:rsid w:val="00795702"/>
    <w:rsid w:val="0079572D"/>
    <w:rsid w:val="00795A66"/>
    <w:rsid w:val="00795E49"/>
    <w:rsid w:val="0079643D"/>
    <w:rsid w:val="00797BF8"/>
    <w:rsid w:val="00797E39"/>
    <w:rsid w:val="007A08DD"/>
    <w:rsid w:val="007A134C"/>
    <w:rsid w:val="007A15D2"/>
    <w:rsid w:val="007A1662"/>
    <w:rsid w:val="007A1B70"/>
    <w:rsid w:val="007A42E2"/>
    <w:rsid w:val="007A511E"/>
    <w:rsid w:val="007A5371"/>
    <w:rsid w:val="007A5B53"/>
    <w:rsid w:val="007A5F3C"/>
    <w:rsid w:val="007A60AB"/>
    <w:rsid w:val="007A64AD"/>
    <w:rsid w:val="007A67C1"/>
    <w:rsid w:val="007B01F0"/>
    <w:rsid w:val="007B0FD5"/>
    <w:rsid w:val="007B1272"/>
    <w:rsid w:val="007B17AB"/>
    <w:rsid w:val="007B1A32"/>
    <w:rsid w:val="007B1E9E"/>
    <w:rsid w:val="007B2F39"/>
    <w:rsid w:val="007B3042"/>
    <w:rsid w:val="007B3489"/>
    <w:rsid w:val="007B3D7B"/>
    <w:rsid w:val="007B45EB"/>
    <w:rsid w:val="007B4C71"/>
    <w:rsid w:val="007B4EED"/>
    <w:rsid w:val="007B52E7"/>
    <w:rsid w:val="007B5609"/>
    <w:rsid w:val="007B5A46"/>
    <w:rsid w:val="007B5F76"/>
    <w:rsid w:val="007B6BAD"/>
    <w:rsid w:val="007B79B1"/>
    <w:rsid w:val="007C0961"/>
    <w:rsid w:val="007C1E61"/>
    <w:rsid w:val="007C1F33"/>
    <w:rsid w:val="007C2608"/>
    <w:rsid w:val="007C2FBF"/>
    <w:rsid w:val="007C3130"/>
    <w:rsid w:val="007C3344"/>
    <w:rsid w:val="007C37A4"/>
    <w:rsid w:val="007C3EA7"/>
    <w:rsid w:val="007C4019"/>
    <w:rsid w:val="007C4868"/>
    <w:rsid w:val="007C4ACF"/>
    <w:rsid w:val="007C52CB"/>
    <w:rsid w:val="007C597E"/>
    <w:rsid w:val="007C6331"/>
    <w:rsid w:val="007C69DB"/>
    <w:rsid w:val="007C6F31"/>
    <w:rsid w:val="007C755D"/>
    <w:rsid w:val="007D022D"/>
    <w:rsid w:val="007D023E"/>
    <w:rsid w:val="007D0F57"/>
    <w:rsid w:val="007D177D"/>
    <w:rsid w:val="007D1FDC"/>
    <w:rsid w:val="007D25FE"/>
    <w:rsid w:val="007D2BCC"/>
    <w:rsid w:val="007D2DF7"/>
    <w:rsid w:val="007D30F6"/>
    <w:rsid w:val="007D3D53"/>
    <w:rsid w:val="007D3E27"/>
    <w:rsid w:val="007D3F9C"/>
    <w:rsid w:val="007D414D"/>
    <w:rsid w:val="007D45BB"/>
    <w:rsid w:val="007D5013"/>
    <w:rsid w:val="007D5264"/>
    <w:rsid w:val="007D5893"/>
    <w:rsid w:val="007D58EA"/>
    <w:rsid w:val="007D5B46"/>
    <w:rsid w:val="007D6636"/>
    <w:rsid w:val="007D66DD"/>
    <w:rsid w:val="007D6EF9"/>
    <w:rsid w:val="007D7907"/>
    <w:rsid w:val="007D7ADD"/>
    <w:rsid w:val="007E072F"/>
    <w:rsid w:val="007E07B3"/>
    <w:rsid w:val="007E08BC"/>
    <w:rsid w:val="007E0D0F"/>
    <w:rsid w:val="007E0F81"/>
    <w:rsid w:val="007E1093"/>
    <w:rsid w:val="007E10F5"/>
    <w:rsid w:val="007E1347"/>
    <w:rsid w:val="007E16A4"/>
    <w:rsid w:val="007E2598"/>
    <w:rsid w:val="007E2794"/>
    <w:rsid w:val="007E2D9B"/>
    <w:rsid w:val="007E2E81"/>
    <w:rsid w:val="007E4289"/>
    <w:rsid w:val="007E447F"/>
    <w:rsid w:val="007E4A8F"/>
    <w:rsid w:val="007E5288"/>
    <w:rsid w:val="007E5346"/>
    <w:rsid w:val="007E562F"/>
    <w:rsid w:val="007E5664"/>
    <w:rsid w:val="007E589A"/>
    <w:rsid w:val="007E6506"/>
    <w:rsid w:val="007E672A"/>
    <w:rsid w:val="007E6878"/>
    <w:rsid w:val="007E704E"/>
    <w:rsid w:val="007E76BE"/>
    <w:rsid w:val="007E7E71"/>
    <w:rsid w:val="007F03A8"/>
    <w:rsid w:val="007F06BB"/>
    <w:rsid w:val="007F07C5"/>
    <w:rsid w:val="007F0FB7"/>
    <w:rsid w:val="007F1872"/>
    <w:rsid w:val="007F2A37"/>
    <w:rsid w:val="007F301B"/>
    <w:rsid w:val="007F32F2"/>
    <w:rsid w:val="007F34CF"/>
    <w:rsid w:val="007F3F8E"/>
    <w:rsid w:val="007F417C"/>
    <w:rsid w:val="007F4AD2"/>
    <w:rsid w:val="007F4B95"/>
    <w:rsid w:val="007F6564"/>
    <w:rsid w:val="007F6886"/>
    <w:rsid w:val="007F69AB"/>
    <w:rsid w:val="007F6A94"/>
    <w:rsid w:val="007F6EF2"/>
    <w:rsid w:val="00800145"/>
    <w:rsid w:val="00800BC3"/>
    <w:rsid w:val="008017D1"/>
    <w:rsid w:val="00802B13"/>
    <w:rsid w:val="0080341C"/>
    <w:rsid w:val="00804615"/>
    <w:rsid w:val="00804D3F"/>
    <w:rsid w:val="00805C68"/>
    <w:rsid w:val="008061E0"/>
    <w:rsid w:val="00806351"/>
    <w:rsid w:val="00806672"/>
    <w:rsid w:val="008069D1"/>
    <w:rsid w:val="00807DD1"/>
    <w:rsid w:val="008111B2"/>
    <w:rsid w:val="00811FC6"/>
    <w:rsid w:val="00812565"/>
    <w:rsid w:val="00813A46"/>
    <w:rsid w:val="00813B39"/>
    <w:rsid w:val="00814455"/>
    <w:rsid w:val="00814AE4"/>
    <w:rsid w:val="00815032"/>
    <w:rsid w:val="00816808"/>
    <w:rsid w:val="00816C3E"/>
    <w:rsid w:val="008177BA"/>
    <w:rsid w:val="00820351"/>
    <w:rsid w:val="008208CE"/>
    <w:rsid w:val="00820A9A"/>
    <w:rsid w:val="00820CD0"/>
    <w:rsid w:val="0082116A"/>
    <w:rsid w:val="008219BF"/>
    <w:rsid w:val="00821B5C"/>
    <w:rsid w:val="00822504"/>
    <w:rsid w:val="00822706"/>
    <w:rsid w:val="00822F19"/>
    <w:rsid w:val="00824F2C"/>
    <w:rsid w:val="0082500E"/>
    <w:rsid w:val="00825597"/>
    <w:rsid w:val="008256C3"/>
    <w:rsid w:val="00826FAC"/>
    <w:rsid w:val="00827C7B"/>
    <w:rsid w:val="00830021"/>
    <w:rsid w:val="00830293"/>
    <w:rsid w:val="008313E8"/>
    <w:rsid w:val="008322C2"/>
    <w:rsid w:val="0083250E"/>
    <w:rsid w:val="0083296B"/>
    <w:rsid w:val="00832ACA"/>
    <w:rsid w:val="00832EC9"/>
    <w:rsid w:val="008335AE"/>
    <w:rsid w:val="00833779"/>
    <w:rsid w:val="0083384F"/>
    <w:rsid w:val="00833AF4"/>
    <w:rsid w:val="00834759"/>
    <w:rsid w:val="00834950"/>
    <w:rsid w:val="00834B2C"/>
    <w:rsid w:val="00834C82"/>
    <w:rsid w:val="00834D81"/>
    <w:rsid w:val="00835216"/>
    <w:rsid w:val="0083572C"/>
    <w:rsid w:val="00835783"/>
    <w:rsid w:val="00835BB1"/>
    <w:rsid w:val="00835BEE"/>
    <w:rsid w:val="0083625E"/>
    <w:rsid w:val="008368EB"/>
    <w:rsid w:val="008369AE"/>
    <w:rsid w:val="00837574"/>
    <w:rsid w:val="00837753"/>
    <w:rsid w:val="0083788F"/>
    <w:rsid w:val="00837AF4"/>
    <w:rsid w:val="0084015C"/>
    <w:rsid w:val="008402B2"/>
    <w:rsid w:val="00840C1B"/>
    <w:rsid w:val="00840C76"/>
    <w:rsid w:val="0084177B"/>
    <w:rsid w:val="00841D62"/>
    <w:rsid w:val="00841E74"/>
    <w:rsid w:val="008425D4"/>
    <w:rsid w:val="00842E80"/>
    <w:rsid w:val="00843D4D"/>
    <w:rsid w:val="00844158"/>
    <w:rsid w:val="008450A8"/>
    <w:rsid w:val="00845FA1"/>
    <w:rsid w:val="00847161"/>
    <w:rsid w:val="0084780B"/>
    <w:rsid w:val="00847ABD"/>
    <w:rsid w:val="00847C9D"/>
    <w:rsid w:val="00850A88"/>
    <w:rsid w:val="00850E8A"/>
    <w:rsid w:val="0085127D"/>
    <w:rsid w:val="008516D1"/>
    <w:rsid w:val="00851AFC"/>
    <w:rsid w:val="00851D87"/>
    <w:rsid w:val="00852A7F"/>
    <w:rsid w:val="00852A89"/>
    <w:rsid w:val="008531DE"/>
    <w:rsid w:val="008534C6"/>
    <w:rsid w:val="00853E5C"/>
    <w:rsid w:val="0085496E"/>
    <w:rsid w:val="00855072"/>
    <w:rsid w:val="008551E0"/>
    <w:rsid w:val="00855F9F"/>
    <w:rsid w:val="008561DD"/>
    <w:rsid w:val="00856241"/>
    <w:rsid w:val="00856798"/>
    <w:rsid w:val="008567BD"/>
    <w:rsid w:val="00857B87"/>
    <w:rsid w:val="00857F62"/>
    <w:rsid w:val="0086045B"/>
    <w:rsid w:val="008604E9"/>
    <w:rsid w:val="008605E4"/>
    <w:rsid w:val="00862091"/>
    <w:rsid w:val="00862CEA"/>
    <w:rsid w:val="00863106"/>
    <w:rsid w:val="008637D6"/>
    <w:rsid w:val="008639A5"/>
    <w:rsid w:val="00863F71"/>
    <w:rsid w:val="008641D8"/>
    <w:rsid w:val="00864CA8"/>
    <w:rsid w:val="008657B0"/>
    <w:rsid w:val="00865886"/>
    <w:rsid w:val="00865A22"/>
    <w:rsid w:val="008672E9"/>
    <w:rsid w:val="008677EB"/>
    <w:rsid w:val="00867E38"/>
    <w:rsid w:val="0087000B"/>
    <w:rsid w:val="00870112"/>
    <w:rsid w:val="0087044E"/>
    <w:rsid w:val="00870A48"/>
    <w:rsid w:val="008711D1"/>
    <w:rsid w:val="00871771"/>
    <w:rsid w:val="00871AE1"/>
    <w:rsid w:val="00871D75"/>
    <w:rsid w:val="00871FE8"/>
    <w:rsid w:val="00872C4C"/>
    <w:rsid w:val="00872F3E"/>
    <w:rsid w:val="008742AE"/>
    <w:rsid w:val="008743E5"/>
    <w:rsid w:val="00874D51"/>
    <w:rsid w:val="008750DF"/>
    <w:rsid w:val="00875A4F"/>
    <w:rsid w:val="00875C9C"/>
    <w:rsid w:val="00876F92"/>
    <w:rsid w:val="0087738A"/>
    <w:rsid w:val="00877402"/>
    <w:rsid w:val="0087780E"/>
    <w:rsid w:val="008778BA"/>
    <w:rsid w:val="00877AA3"/>
    <w:rsid w:val="00877E9A"/>
    <w:rsid w:val="00880412"/>
    <w:rsid w:val="00880EE6"/>
    <w:rsid w:val="008819CD"/>
    <w:rsid w:val="00881C57"/>
    <w:rsid w:val="00881E2A"/>
    <w:rsid w:val="00881E98"/>
    <w:rsid w:val="00881EE9"/>
    <w:rsid w:val="008836F9"/>
    <w:rsid w:val="008845D9"/>
    <w:rsid w:val="00884B50"/>
    <w:rsid w:val="008853C3"/>
    <w:rsid w:val="008853F2"/>
    <w:rsid w:val="0088658E"/>
    <w:rsid w:val="00886F13"/>
    <w:rsid w:val="00886F43"/>
    <w:rsid w:val="008874D7"/>
    <w:rsid w:val="00887904"/>
    <w:rsid w:val="00887D82"/>
    <w:rsid w:val="008909E2"/>
    <w:rsid w:val="00892073"/>
    <w:rsid w:val="00892772"/>
    <w:rsid w:val="00892816"/>
    <w:rsid w:val="008933D2"/>
    <w:rsid w:val="008944D0"/>
    <w:rsid w:val="00894E4E"/>
    <w:rsid w:val="00895459"/>
    <w:rsid w:val="008955AF"/>
    <w:rsid w:val="00895A1F"/>
    <w:rsid w:val="008977F5"/>
    <w:rsid w:val="008A055A"/>
    <w:rsid w:val="008A0573"/>
    <w:rsid w:val="008A06AB"/>
    <w:rsid w:val="008A07AD"/>
    <w:rsid w:val="008A0EFE"/>
    <w:rsid w:val="008A177D"/>
    <w:rsid w:val="008A1DF8"/>
    <w:rsid w:val="008A1E23"/>
    <w:rsid w:val="008A2124"/>
    <w:rsid w:val="008A2846"/>
    <w:rsid w:val="008A2B23"/>
    <w:rsid w:val="008A2EE9"/>
    <w:rsid w:val="008A2F71"/>
    <w:rsid w:val="008A3181"/>
    <w:rsid w:val="008A3DAE"/>
    <w:rsid w:val="008A40AD"/>
    <w:rsid w:val="008A4964"/>
    <w:rsid w:val="008A5303"/>
    <w:rsid w:val="008A5461"/>
    <w:rsid w:val="008A56BD"/>
    <w:rsid w:val="008A6067"/>
    <w:rsid w:val="008A688B"/>
    <w:rsid w:val="008A7A19"/>
    <w:rsid w:val="008B0720"/>
    <w:rsid w:val="008B28C2"/>
    <w:rsid w:val="008B2C04"/>
    <w:rsid w:val="008B2D66"/>
    <w:rsid w:val="008B2E3D"/>
    <w:rsid w:val="008B33BD"/>
    <w:rsid w:val="008B33F4"/>
    <w:rsid w:val="008B35D3"/>
    <w:rsid w:val="008B39F0"/>
    <w:rsid w:val="008B39F6"/>
    <w:rsid w:val="008B48F7"/>
    <w:rsid w:val="008B4A90"/>
    <w:rsid w:val="008B5189"/>
    <w:rsid w:val="008B540F"/>
    <w:rsid w:val="008B565B"/>
    <w:rsid w:val="008B59E2"/>
    <w:rsid w:val="008B5AEE"/>
    <w:rsid w:val="008B5F30"/>
    <w:rsid w:val="008B6228"/>
    <w:rsid w:val="008B6AF4"/>
    <w:rsid w:val="008B6EF1"/>
    <w:rsid w:val="008B716C"/>
    <w:rsid w:val="008C01B4"/>
    <w:rsid w:val="008C0342"/>
    <w:rsid w:val="008C0B03"/>
    <w:rsid w:val="008C1782"/>
    <w:rsid w:val="008C19E0"/>
    <w:rsid w:val="008C20A1"/>
    <w:rsid w:val="008C238B"/>
    <w:rsid w:val="008C2770"/>
    <w:rsid w:val="008C2B12"/>
    <w:rsid w:val="008C32E1"/>
    <w:rsid w:val="008C3B94"/>
    <w:rsid w:val="008C4218"/>
    <w:rsid w:val="008C4E01"/>
    <w:rsid w:val="008C4E39"/>
    <w:rsid w:val="008C54E6"/>
    <w:rsid w:val="008C566E"/>
    <w:rsid w:val="008C6307"/>
    <w:rsid w:val="008C6340"/>
    <w:rsid w:val="008C648E"/>
    <w:rsid w:val="008C6563"/>
    <w:rsid w:val="008C6628"/>
    <w:rsid w:val="008C6D50"/>
    <w:rsid w:val="008C709F"/>
    <w:rsid w:val="008C75E4"/>
    <w:rsid w:val="008C77F8"/>
    <w:rsid w:val="008C7883"/>
    <w:rsid w:val="008D0122"/>
    <w:rsid w:val="008D039B"/>
    <w:rsid w:val="008D0FC9"/>
    <w:rsid w:val="008D0FD6"/>
    <w:rsid w:val="008D13A1"/>
    <w:rsid w:val="008D1441"/>
    <w:rsid w:val="008D197B"/>
    <w:rsid w:val="008D1BBF"/>
    <w:rsid w:val="008D1C30"/>
    <w:rsid w:val="008D1CAF"/>
    <w:rsid w:val="008D25FE"/>
    <w:rsid w:val="008D286F"/>
    <w:rsid w:val="008D2C6D"/>
    <w:rsid w:val="008D2E4E"/>
    <w:rsid w:val="008D302A"/>
    <w:rsid w:val="008D327E"/>
    <w:rsid w:val="008D32C8"/>
    <w:rsid w:val="008D3572"/>
    <w:rsid w:val="008D3AC1"/>
    <w:rsid w:val="008D3BFE"/>
    <w:rsid w:val="008D3CFF"/>
    <w:rsid w:val="008D3D40"/>
    <w:rsid w:val="008D3F08"/>
    <w:rsid w:val="008D444E"/>
    <w:rsid w:val="008D53A3"/>
    <w:rsid w:val="008D56CD"/>
    <w:rsid w:val="008D5DDB"/>
    <w:rsid w:val="008D7897"/>
    <w:rsid w:val="008E11D9"/>
    <w:rsid w:val="008E1266"/>
    <w:rsid w:val="008E1522"/>
    <w:rsid w:val="008E192D"/>
    <w:rsid w:val="008E1932"/>
    <w:rsid w:val="008E1AF9"/>
    <w:rsid w:val="008E1DBF"/>
    <w:rsid w:val="008E209A"/>
    <w:rsid w:val="008E2296"/>
    <w:rsid w:val="008E2370"/>
    <w:rsid w:val="008E2558"/>
    <w:rsid w:val="008E2668"/>
    <w:rsid w:val="008E28FA"/>
    <w:rsid w:val="008E2B7A"/>
    <w:rsid w:val="008E3009"/>
    <w:rsid w:val="008E31C3"/>
    <w:rsid w:val="008E3319"/>
    <w:rsid w:val="008E3C0C"/>
    <w:rsid w:val="008E44EF"/>
    <w:rsid w:val="008E4589"/>
    <w:rsid w:val="008E4A27"/>
    <w:rsid w:val="008E4AFB"/>
    <w:rsid w:val="008E534E"/>
    <w:rsid w:val="008E63B8"/>
    <w:rsid w:val="008E66C1"/>
    <w:rsid w:val="008E7B9E"/>
    <w:rsid w:val="008F07C4"/>
    <w:rsid w:val="008F0EBF"/>
    <w:rsid w:val="008F1534"/>
    <w:rsid w:val="008F16ED"/>
    <w:rsid w:val="008F2528"/>
    <w:rsid w:val="008F3037"/>
    <w:rsid w:val="008F33AE"/>
    <w:rsid w:val="008F367C"/>
    <w:rsid w:val="008F39CE"/>
    <w:rsid w:val="008F3CE7"/>
    <w:rsid w:val="008F3ED0"/>
    <w:rsid w:val="008F787B"/>
    <w:rsid w:val="008F7ED8"/>
    <w:rsid w:val="00900141"/>
    <w:rsid w:val="009002FE"/>
    <w:rsid w:val="009015F3"/>
    <w:rsid w:val="009023C8"/>
    <w:rsid w:val="00902B65"/>
    <w:rsid w:val="00903A42"/>
    <w:rsid w:val="00903BF3"/>
    <w:rsid w:val="00904C64"/>
    <w:rsid w:val="009052A9"/>
    <w:rsid w:val="00905827"/>
    <w:rsid w:val="0090592B"/>
    <w:rsid w:val="00905C24"/>
    <w:rsid w:val="009060F4"/>
    <w:rsid w:val="00906775"/>
    <w:rsid w:val="009106CD"/>
    <w:rsid w:val="00911444"/>
    <w:rsid w:val="0091147E"/>
    <w:rsid w:val="0091161A"/>
    <w:rsid w:val="00911B18"/>
    <w:rsid w:val="00911B90"/>
    <w:rsid w:val="00912224"/>
    <w:rsid w:val="009123DB"/>
    <w:rsid w:val="00913B8B"/>
    <w:rsid w:val="00914934"/>
    <w:rsid w:val="00914EC6"/>
    <w:rsid w:val="00914FE3"/>
    <w:rsid w:val="00915046"/>
    <w:rsid w:val="0091525F"/>
    <w:rsid w:val="00915C64"/>
    <w:rsid w:val="00915F51"/>
    <w:rsid w:val="00916049"/>
    <w:rsid w:val="00916D77"/>
    <w:rsid w:val="00916E59"/>
    <w:rsid w:val="009170B1"/>
    <w:rsid w:val="00917329"/>
    <w:rsid w:val="009178E5"/>
    <w:rsid w:val="00917B55"/>
    <w:rsid w:val="00920320"/>
    <w:rsid w:val="00920493"/>
    <w:rsid w:val="009204D3"/>
    <w:rsid w:val="00920F08"/>
    <w:rsid w:val="009211ED"/>
    <w:rsid w:val="0092124C"/>
    <w:rsid w:val="009229E6"/>
    <w:rsid w:val="00922C83"/>
    <w:rsid w:val="00922DF1"/>
    <w:rsid w:val="009230F0"/>
    <w:rsid w:val="00923537"/>
    <w:rsid w:val="00924AB6"/>
    <w:rsid w:val="00924C38"/>
    <w:rsid w:val="00924F65"/>
    <w:rsid w:val="00926094"/>
    <w:rsid w:val="00926239"/>
    <w:rsid w:val="00926EFA"/>
    <w:rsid w:val="009270AD"/>
    <w:rsid w:val="00927330"/>
    <w:rsid w:val="009273ED"/>
    <w:rsid w:val="009279FF"/>
    <w:rsid w:val="0093038C"/>
    <w:rsid w:val="00930806"/>
    <w:rsid w:val="00930B50"/>
    <w:rsid w:val="00930F1F"/>
    <w:rsid w:val="00932A19"/>
    <w:rsid w:val="00932F42"/>
    <w:rsid w:val="009331BE"/>
    <w:rsid w:val="00933523"/>
    <w:rsid w:val="009335E9"/>
    <w:rsid w:val="00933A16"/>
    <w:rsid w:val="00933B76"/>
    <w:rsid w:val="00934749"/>
    <w:rsid w:val="00935061"/>
    <w:rsid w:val="0093514D"/>
    <w:rsid w:val="0093515E"/>
    <w:rsid w:val="00935840"/>
    <w:rsid w:val="009359B1"/>
    <w:rsid w:val="00935BC2"/>
    <w:rsid w:val="009366F4"/>
    <w:rsid w:val="009368D5"/>
    <w:rsid w:val="00936B94"/>
    <w:rsid w:val="00937C70"/>
    <w:rsid w:val="00941B6D"/>
    <w:rsid w:val="00941F07"/>
    <w:rsid w:val="0094213B"/>
    <w:rsid w:val="00942570"/>
    <w:rsid w:val="009428D9"/>
    <w:rsid w:val="00942E5F"/>
    <w:rsid w:val="00943365"/>
    <w:rsid w:val="0094387C"/>
    <w:rsid w:val="00943AB4"/>
    <w:rsid w:val="00943BA0"/>
    <w:rsid w:val="00943D98"/>
    <w:rsid w:val="0094454F"/>
    <w:rsid w:val="00944AFD"/>
    <w:rsid w:val="00945029"/>
    <w:rsid w:val="0094530C"/>
    <w:rsid w:val="00945BD9"/>
    <w:rsid w:val="00945E92"/>
    <w:rsid w:val="009465A9"/>
    <w:rsid w:val="0094687E"/>
    <w:rsid w:val="00946B8D"/>
    <w:rsid w:val="00946DE5"/>
    <w:rsid w:val="00947A8D"/>
    <w:rsid w:val="00950655"/>
    <w:rsid w:val="00950891"/>
    <w:rsid w:val="00950948"/>
    <w:rsid w:val="00950999"/>
    <w:rsid w:val="00950AE8"/>
    <w:rsid w:val="00950B15"/>
    <w:rsid w:val="00950D53"/>
    <w:rsid w:val="00951D1A"/>
    <w:rsid w:val="009521B5"/>
    <w:rsid w:val="00952B2E"/>
    <w:rsid w:val="00952E76"/>
    <w:rsid w:val="00953BE0"/>
    <w:rsid w:val="0095555E"/>
    <w:rsid w:val="00956DEA"/>
    <w:rsid w:val="00956E28"/>
    <w:rsid w:val="0096012B"/>
    <w:rsid w:val="00960E8F"/>
    <w:rsid w:val="00961754"/>
    <w:rsid w:val="00962633"/>
    <w:rsid w:val="009629A5"/>
    <w:rsid w:val="00962D2A"/>
    <w:rsid w:val="0096382C"/>
    <w:rsid w:val="00965923"/>
    <w:rsid w:val="00966B32"/>
    <w:rsid w:val="00966D10"/>
    <w:rsid w:val="00967164"/>
    <w:rsid w:val="00967429"/>
    <w:rsid w:val="00971489"/>
    <w:rsid w:val="009715B4"/>
    <w:rsid w:val="009716C8"/>
    <w:rsid w:val="00971B58"/>
    <w:rsid w:val="00973331"/>
    <w:rsid w:val="0097359A"/>
    <w:rsid w:val="0097412A"/>
    <w:rsid w:val="00974210"/>
    <w:rsid w:val="009750DE"/>
    <w:rsid w:val="009763E1"/>
    <w:rsid w:val="009766CD"/>
    <w:rsid w:val="00976E8E"/>
    <w:rsid w:val="00976EAD"/>
    <w:rsid w:val="009773E9"/>
    <w:rsid w:val="009777AB"/>
    <w:rsid w:val="009804D0"/>
    <w:rsid w:val="00980914"/>
    <w:rsid w:val="00980EFE"/>
    <w:rsid w:val="00980F62"/>
    <w:rsid w:val="0098132F"/>
    <w:rsid w:val="00981F2C"/>
    <w:rsid w:val="00982185"/>
    <w:rsid w:val="009824F3"/>
    <w:rsid w:val="00982AFC"/>
    <w:rsid w:val="00983BB9"/>
    <w:rsid w:val="00983D2E"/>
    <w:rsid w:val="00984F89"/>
    <w:rsid w:val="00984FFE"/>
    <w:rsid w:val="009853D4"/>
    <w:rsid w:val="009856F8"/>
    <w:rsid w:val="0098684F"/>
    <w:rsid w:val="00986D6C"/>
    <w:rsid w:val="009871CE"/>
    <w:rsid w:val="00987804"/>
    <w:rsid w:val="00987EC1"/>
    <w:rsid w:val="00990333"/>
    <w:rsid w:val="00990877"/>
    <w:rsid w:val="00990EAC"/>
    <w:rsid w:val="00991A10"/>
    <w:rsid w:val="00993036"/>
    <w:rsid w:val="00993336"/>
    <w:rsid w:val="00993887"/>
    <w:rsid w:val="00993BB8"/>
    <w:rsid w:val="009943EC"/>
    <w:rsid w:val="00994C4B"/>
    <w:rsid w:val="00994C5B"/>
    <w:rsid w:val="00994DEA"/>
    <w:rsid w:val="009952FE"/>
    <w:rsid w:val="00995560"/>
    <w:rsid w:val="009956D0"/>
    <w:rsid w:val="00995AE1"/>
    <w:rsid w:val="00996508"/>
    <w:rsid w:val="00996A69"/>
    <w:rsid w:val="00996D38"/>
    <w:rsid w:val="009970AD"/>
    <w:rsid w:val="00997755"/>
    <w:rsid w:val="00997895"/>
    <w:rsid w:val="009A048C"/>
    <w:rsid w:val="009A06A2"/>
    <w:rsid w:val="009A08D8"/>
    <w:rsid w:val="009A0EC3"/>
    <w:rsid w:val="009A2D74"/>
    <w:rsid w:val="009A3B2D"/>
    <w:rsid w:val="009A3D81"/>
    <w:rsid w:val="009A3E31"/>
    <w:rsid w:val="009A5EA3"/>
    <w:rsid w:val="009A6046"/>
    <w:rsid w:val="009A7393"/>
    <w:rsid w:val="009A7EA7"/>
    <w:rsid w:val="009B04D5"/>
    <w:rsid w:val="009B05C7"/>
    <w:rsid w:val="009B0E3E"/>
    <w:rsid w:val="009B2667"/>
    <w:rsid w:val="009B2793"/>
    <w:rsid w:val="009B2FDB"/>
    <w:rsid w:val="009B36BE"/>
    <w:rsid w:val="009B38FD"/>
    <w:rsid w:val="009B3B5A"/>
    <w:rsid w:val="009B3D13"/>
    <w:rsid w:val="009B3DA5"/>
    <w:rsid w:val="009B4BC4"/>
    <w:rsid w:val="009B4F11"/>
    <w:rsid w:val="009B54B1"/>
    <w:rsid w:val="009B596F"/>
    <w:rsid w:val="009B5F10"/>
    <w:rsid w:val="009B66FC"/>
    <w:rsid w:val="009B6B21"/>
    <w:rsid w:val="009B6F36"/>
    <w:rsid w:val="009B6FD4"/>
    <w:rsid w:val="009B797F"/>
    <w:rsid w:val="009B7EF4"/>
    <w:rsid w:val="009B7F82"/>
    <w:rsid w:val="009C059E"/>
    <w:rsid w:val="009C113C"/>
    <w:rsid w:val="009C12B2"/>
    <w:rsid w:val="009C1BCA"/>
    <w:rsid w:val="009C1D20"/>
    <w:rsid w:val="009C263F"/>
    <w:rsid w:val="009C27DC"/>
    <w:rsid w:val="009C28C1"/>
    <w:rsid w:val="009C2F0A"/>
    <w:rsid w:val="009C3521"/>
    <w:rsid w:val="009C3AA3"/>
    <w:rsid w:val="009C3D4D"/>
    <w:rsid w:val="009C3F11"/>
    <w:rsid w:val="009C4022"/>
    <w:rsid w:val="009C4538"/>
    <w:rsid w:val="009C4C8B"/>
    <w:rsid w:val="009C4DC4"/>
    <w:rsid w:val="009C550B"/>
    <w:rsid w:val="009C5C34"/>
    <w:rsid w:val="009C5CE3"/>
    <w:rsid w:val="009C6173"/>
    <w:rsid w:val="009C6884"/>
    <w:rsid w:val="009C69BC"/>
    <w:rsid w:val="009C6D8D"/>
    <w:rsid w:val="009C70D7"/>
    <w:rsid w:val="009C731E"/>
    <w:rsid w:val="009C7A6A"/>
    <w:rsid w:val="009C7CD7"/>
    <w:rsid w:val="009C7DA3"/>
    <w:rsid w:val="009D009F"/>
    <w:rsid w:val="009D018D"/>
    <w:rsid w:val="009D03AE"/>
    <w:rsid w:val="009D12FE"/>
    <w:rsid w:val="009D155D"/>
    <w:rsid w:val="009D159E"/>
    <w:rsid w:val="009D22BC"/>
    <w:rsid w:val="009D2BC2"/>
    <w:rsid w:val="009D3985"/>
    <w:rsid w:val="009D42A7"/>
    <w:rsid w:val="009D43F4"/>
    <w:rsid w:val="009D49A1"/>
    <w:rsid w:val="009D5510"/>
    <w:rsid w:val="009D5611"/>
    <w:rsid w:val="009D56C2"/>
    <w:rsid w:val="009D63EA"/>
    <w:rsid w:val="009D6BFB"/>
    <w:rsid w:val="009D7364"/>
    <w:rsid w:val="009E044A"/>
    <w:rsid w:val="009E062F"/>
    <w:rsid w:val="009E0D30"/>
    <w:rsid w:val="009E1617"/>
    <w:rsid w:val="009E1794"/>
    <w:rsid w:val="009E1F5F"/>
    <w:rsid w:val="009E2280"/>
    <w:rsid w:val="009E2552"/>
    <w:rsid w:val="009E273E"/>
    <w:rsid w:val="009E2C72"/>
    <w:rsid w:val="009E337B"/>
    <w:rsid w:val="009E3661"/>
    <w:rsid w:val="009E42A6"/>
    <w:rsid w:val="009E493C"/>
    <w:rsid w:val="009E4D48"/>
    <w:rsid w:val="009E5605"/>
    <w:rsid w:val="009E683B"/>
    <w:rsid w:val="009E6AAD"/>
    <w:rsid w:val="009E6AC2"/>
    <w:rsid w:val="009E70A8"/>
    <w:rsid w:val="009E7424"/>
    <w:rsid w:val="009E7BF3"/>
    <w:rsid w:val="009E7C5B"/>
    <w:rsid w:val="009F0802"/>
    <w:rsid w:val="009F0822"/>
    <w:rsid w:val="009F0C87"/>
    <w:rsid w:val="009F0CEA"/>
    <w:rsid w:val="009F1185"/>
    <w:rsid w:val="009F18BB"/>
    <w:rsid w:val="009F23D2"/>
    <w:rsid w:val="009F3266"/>
    <w:rsid w:val="009F4D58"/>
    <w:rsid w:val="009F5626"/>
    <w:rsid w:val="009F5B90"/>
    <w:rsid w:val="009F6EF7"/>
    <w:rsid w:val="009F7D3F"/>
    <w:rsid w:val="009F7FCD"/>
    <w:rsid w:val="00A003A8"/>
    <w:rsid w:val="00A00528"/>
    <w:rsid w:val="00A00BB9"/>
    <w:rsid w:val="00A01EDF"/>
    <w:rsid w:val="00A01FCE"/>
    <w:rsid w:val="00A02006"/>
    <w:rsid w:val="00A02044"/>
    <w:rsid w:val="00A02D16"/>
    <w:rsid w:val="00A02DB0"/>
    <w:rsid w:val="00A041FF"/>
    <w:rsid w:val="00A04A2A"/>
    <w:rsid w:val="00A0546E"/>
    <w:rsid w:val="00A055A8"/>
    <w:rsid w:val="00A05736"/>
    <w:rsid w:val="00A05AB4"/>
    <w:rsid w:val="00A05C81"/>
    <w:rsid w:val="00A06603"/>
    <w:rsid w:val="00A066DA"/>
    <w:rsid w:val="00A068AC"/>
    <w:rsid w:val="00A06A50"/>
    <w:rsid w:val="00A06A69"/>
    <w:rsid w:val="00A0757F"/>
    <w:rsid w:val="00A07B0A"/>
    <w:rsid w:val="00A07D43"/>
    <w:rsid w:val="00A104E5"/>
    <w:rsid w:val="00A10645"/>
    <w:rsid w:val="00A10797"/>
    <w:rsid w:val="00A10840"/>
    <w:rsid w:val="00A110F1"/>
    <w:rsid w:val="00A114E0"/>
    <w:rsid w:val="00A118BD"/>
    <w:rsid w:val="00A11ADE"/>
    <w:rsid w:val="00A11F66"/>
    <w:rsid w:val="00A12258"/>
    <w:rsid w:val="00A12EDC"/>
    <w:rsid w:val="00A12F6A"/>
    <w:rsid w:val="00A1315B"/>
    <w:rsid w:val="00A13527"/>
    <w:rsid w:val="00A137F3"/>
    <w:rsid w:val="00A13AE1"/>
    <w:rsid w:val="00A13BE9"/>
    <w:rsid w:val="00A14033"/>
    <w:rsid w:val="00A1409D"/>
    <w:rsid w:val="00A14B97"/>
    <w:rsid w:val="00A14BC4"/>
    <w:rsid w:val="00A15522"/>
    <w:rsid w:val="00A15A1C"/>
    <w:rsid w:val="00A161A3"/>
    <w:rsid w:val="00A16C7E"/>
    <w:rsid w:val="00A170F4"/>
    <w:rsid w:val="00A17BED"/>
    <w:rsid w:val="00A17DF9"/>
    <w:rsid w:val="00A17F47"/>
    <w:rsid w:val="00A20BB1"/>
    <w:rsid w:val="00A21320"/>
    <w:rsid w:val="00A21779"/>
    <w:rsid w:val="00A21ADF"/>
    <w:rsid w:val="00A225FC"/>
    <w:rsid w:val="00A2283A"/>
    <w:rsid w:val="00A22B86"/>
    <w:rsid w:val="00A22C7A"/>
    <w:rsid w:val="00A23104"/>
    <w:rsid w:val="00A23DD1"/>
    <w:rsid w:val="00A23EAF"/>
    <w:rsid w:val="00A244CC"/>
    <w:rsid w:val="00A246C8"/>
    <w:rsid w:val="00A248B2"/>
    <w:rsid w:val="00A24AEE"/>
    <w:rsid w:val="00A24CC8"/>
    <w:rsid w:val="00A259E3"/>
    <w:rsid w:val="00A25EF6"/>
    <w:rsid w:val="00A26753"/>
    <w:rsid w:val="00A26A28"/>
    <w:rsid w:val="00A301FC"/>
    <w:rsid w:val="00A3020F"/>
    <w:rsid w:val="00A302B2"/>
    <w:rsid w:val="00A30A55"/>
    <w:rsid w:val="00A31588"/>
    <w:rsid w:val="00A32393"/>
    <w:rsid w:val="00A327A2"/>
    <w:rsid w:val="00A3325E"/>
    <w:rsid w:val="00A348DB"/>
    <w:rsid w:val="00A34B56"/>
    <w:rsid w:val="00A35129"/>
    <w:rsid w:val="00A353C8"/>
    <w:rsid w:val="00A35D7C"/>
    <w:rsid w:val="00A368A3"/>
    <w:rsid w:val="00A36BD0"/>
    <w:rsid w:val="00A37148"/>
    <w:rsid w:val="00A377C9"/>
    <w:rsid w:val="00A401D5"/>
    <w:rsid w:val="00A40DE1"/>
    <w:rsid w:val="00A41E4E"/>
    <w:rsid w:val="00A42024"/>
    <w:rsid w:val="00A42485"/>
    <w:rsid w:val="00A424CF"/>
    <w:rsid w:val="00A4335C"/>
    <w:rsid w:val="00A4363C"/>
    <w:rsid w:val="00A43959"/>
    <w:rsid w:val="00A440C1"/>
    <w:rsid w:val="00A4417E"/>
    <w:rsid w:val="00A446C9"/>
    <w:rsid w:val="00A44FB8"/>
    <w:rsid w:val="00A453E6"/>
    <w:rsid w:val="00A45D67"/>
    <w:rsid w:val="00A46050"/>
    <w:rsid w:val="00A46637"/>
    <w:rsid w:val="00A46C36"/>
    <w:rsid w:val="00A46E15"/>
    <w:rsid w:val="00A46ECE"/>
    <w:rsid w:val="00A47127"/>
    <w:rsid w:val="00A472B7"/>
    <w:rsid w:val="00A47A27"/>
    <w:rsid w:val="00A47A8C"/>
    <w:rsid w:val="00A47C44"/>
    <w:rsid w:val="00A505BC"/>
    <w:rsid w:val="00A50B3E"/>
    <w:rsid w:val="00A51190"/>
    <w:rsid w:val="00A51DF4"/>
    <w:rsid w:val="00A51F1E"/>
    <w:rsid w:val="00A52E31"/>
    <w:rsid w:val="00A53297"/>
    <w:rsid w:val="00A537E5"/>
    <w:rsid w:val="00A5417C"/>
    <w:rsid w:val="00A54517"/>
    <w:rsid w:val="00A5484C"/>
    <w:rsid w:val="00A55297"/>
    <w:rsid w:val="00A55BF6"/>
    <w:rsid w:val="00A563D2"/>
    <w:rsid w:val="00A5676B"/>
    <w:rsid w:val="00A569B7"/>
    <w:rsid w:val="00A56AC1"/>
    <w:rsid w:val="00A57011"/>
    <w:rsid w:val="00A570DB"/>
    <w:rsid w:val="00A57594"/>
    <w:rsid w:val="00A575CA"/>
    <w:rsid w:val="00A57749"/>
    <w:rsid w:val="00A57958"/>
    <w:rsid w:val="00A60289"/>
    <w:rsid w:val="00A60A3C"/>
    <w:rsid w:val="00A60A67"/>
    <w:rsid w:val="00A6179C"/>
    <w:rsid w:val="00A61B25"/>
    <w:rsid w:val="00A6202B"/>
    <w:rsid w:val="00A6213A"/>
    <w:rsid w:val="00A62464"/>
    <w:rsid w:val="00A63167"/>
    <w:rsid w:val="00A6333A"/>
    <w:rsid w:val="00A63AD6"/>
    <w:rsid w:val="00A63BA1"/>
    <w:rsid w:val="00A63BDA"/>
    <w:rsid w:val="00A646D2"/>
    <w:rsid w:val="00A65375"/>
    <w:rsid w:val="00A654D6"/>
    <w:rsid w:val="00A66515"/>
    <w:rsid w:val="00A665C7"/>
    <w:rsid w:val="00A666A6"/>
    <w:rsid w:val="00A71776"/>
    <w:rsid w:val="00A71D37"/>
    <w:rsid w:val="00A71F60"/>
    <w:rsid w:val="00A726F4"/>
    <w:rsid w:val="00A73B52"/>
    <w:rsid w:val="00A749B3"/>
    <w:rsid w:val="00A753D2"/>
    <w:rsid w:val="00A7618F"/>
    <w:rsid w:val="00A7642D"/>
    <w:rsid w:val="00A76BD6"/>
    <w:rsid w:val="00A77326"/>
    <w:rsid w:val="00A77453"/>
    <w:rsid w:val="00A77EE9"/>
    <w:rsid w:val="00A80EBE"/>
    <w:rsid w:val="00A8101A"/>
    <w:rsid w:val="00A8166A"/>
    <w:rsid w:val="00A816EE"/>
    <w:rsid w:val="00A820B9"/>
    <w:rsid w:val="00A82B11"/>
    <w:rsid w:val="00A82C50"/>
    <w:rsid w:val="00A82FCA"/>
    <w:rsid w:val="00A83D73"/>
    <w:rsid w:val="00A83ED7"/>
    <w:rsid w:val="00A8437B"/>
    <w:rsid w:val="00A84684"/>
    <w:rsid w:val="00A847AC"/>
    <w:rsid w:val="00A85164"/>
    <w:rsid w:val="00A85539"/>
    <w:rsid w:val="00A859E2"/>
    <w:rsid w:val="00A85BF3"/>
    <w:rsid w:val="00A86306"/>
    <w:rsid w:val="00A86DF9"/>
    <w:rsid w:val="00A874CC"/>
    <w:rsid w:val="00A900ED"/>
    <w:rsid w:val="00A90D8B"/>
    <w:rsid w:val="00A90D98"/>
    <w:rsid w:val="00A90F88"/>
    <w:rsid w:val="00A91723"/>
    <w:rsid w:val="00A91865"/>
    <w:rsid w:val="00A927AF"/>
    <w:rsid w:val="00A93FD9"/>
    <w:rsid w:val="00A94245"/>
    <w:rsid w:val="00A944A1"/>
    <w:rsid w:val="00A94ECD"/>
    <w:rsid w:val="00A95176"/>
    <w:rsid w:val="00A9541E"/>
    <w:rsid w:val="00A9595F"/>
    <w:rsid w:val="00A96491"/>
    <w:rsid w:val="00A971CB"/>
    <w:rsid w:val="00A9740F"/>
    <w:rsid w:val="00AA0975"/>
    <w:rsid w:val="00AA10FA"/>
    <w:rsid w:val="00AA19C7"/>
    <w:rsid w:val="00AA1C63"/>
    <w:rsid w:val="00AA3238"/>
    <w:rsid w:val="00AA3A42"/>
    <w:rsid w:val="00AA3B24"/>
    <w:rsid w:val="00AA453C"/>
    <w:rsid w:val="00AA4561"/>
    <w:rsid w:val="00AA4686"/>
    <w:rsid w:val="00AA4BE1"/>
    <w:rsid w:val="00AA51AF"/>
    <w:rsid w:val="00AA5BDB"/>
    <w:rsid w:val="00AA78C2"/>
    <w:rsid w:val="00AA7AD9"/>
    <w:rsid w:val="00AB174A"/>
    <w:rsid w:val="00AB22F2"/>
    <w:rsid w:val="00AB2D20"/>
    <w:rsid w:val="00AB2FA4"/>
    <w:rsid w:val="00AB391A"/>
    <w:rsid w:val="00AB393F"/>
    <w:rsid w:val="00AB3AE1"/>
    <w:rsid w:val="00AB4169"/>
    <w:rsid w:val="00AB4221"/>
    <w:rsid w:val="00AB4330"/>
    <w:rsid w:val="00AB4418"/>
    <w:rsid w:val="00AB4618"/>
    <w:rsid w:val="00AB49C0"/>
    <w:rsid w:val="00AB4A74"/>
    <w:rsid w:val="00AB4C1B"/>
    <w:rsid w:val="00AB5112"/>
    <w:rsid w:val="00AB5119"/>
    <w:rsid w:val="00AB5292"/>
    <w:rsid w:val="00AB5350"/>
    <w:rsid w:val="00AB5358"/>
    <w:rsid w:val="00AB53E8"/>
    <w:rsid w:val="00AB6205"/>
    <w:rsid w:val="00AB6388"/>
    <w:rsid w:val="00AB639A"/>
    <w:rsid w:val="00AB6AD1"/>
    <w:rsid w:val="00AB7B5D"/>
    <w:rsid w:val="00AC08FA"/>
    <w:rsid w:val="00AC0D41"/>
    <w:rsid w:val="00AC10D1"/>
    <w:rsid w:val="00AC146C"/>
    <w:rsid w:val="00AC17A8"/>
    <w:rsid w:val="00AC18CF"/>
    <w:rsid w:val="00AC23AE"/>
    <w:rsid w:val="00AC3546"/>
    <w:rsid w:val="00AC3F66"/>
    <w:rsid w:val="00AC40B6"/>
    <w:rsid w:val="00AC4673"/>
    <w:rsid w:val="00AC48CB"/>
    <w:rsid w:val="00AC5A0D"/>
    <w:rsid w:val="00AC6463"/>
    <w:rsid w:val="00AC6E68"/>
    <w:rsid w:val="00AD0552"/>
    <w:rsid w:val="00AD0E04"/>
    <w:rsid w:val="00AD1413"/>
    <w:rsid w:val="00AD1CE8"/>
    <w:rsid w:val="00AD1D1E"/>
    <w:rsid w:val="00AD2195"/>
    <w:rsid w:val="00AD2A71"/>
    <w:rsid w:val="00AD2AD5"/>
    <w:rsid w:val="00AD2B87"/>
    <w:rsid w:val="00AD2CF4"/>
    <w:rsid w:val="00AD3838"/>
    <w:rsid w:val="00AD4375"/>
    <w:rsid w:val="00AD456B"/>
    <w:rsid w:val="00AD5577"/>
    <w:rsid w:val="00AD5F45"/>
    <w:rsid w:val="00AD62CF"/>
    <w:rsid w:val="00AD6737"/>
    <w:rsid w:val="00AD6A09"/>
    <w:rsid w:val="00AD6AE7"/>
    <w:rsid w:val="00AD7028"/>
    <w:rsid w:val="00AD717C"/>
    <w:rsid w:val="00AD7396"/>
    <w:rsid w:val="00AD753F"/>
    <w:rsid w:val="00AD76C7"/>
    <w:rsid w:val="00AE0DE8"/>
    <w:rsid w:val="00AE13E3"/>
    <w:rsid w:val="00AE150C"/>
    <w:rsid w:val="00AE1653"/>
    <w:rsid w:val="00AE19A6"/>
    <w:rsid w:val="00AE2490"/>
    <w:rsid w:val="00AE2729"/>
    <w:rsid w:val="00AE284E"/>
    <w:rsid w:val="00AE28B0"/>
    <w:rsid w:val="00AE322C"/>
    <w:rsid w:val="00AE3E1D"/>
    <w:rsid w:val="00AE40D9"/>
    <w:rsid w:val="00AE45C0"/>
    <w:rsid w:val="00AE5019"/>
    <w:rsid w:val="00AE50BF"/>
    <w:rsid w:val="00AE558C"/>
    <w:rsid w:val="00AE58C7"/>
    <w:rsid w:val="00AE5C15"/>
    <w:rsid w:val="00AE5C8C"/>
    <w:rsid w:val="00AE6092"/>
    <w:rsid w:val="00AE626A"/>
    <w:rsid w:val="00AE63C4"/>
    <w:rsid w:val="00AE6D97"/>
    <w:rsid w:val="00AE73A3"/>
    <w:rsid w:val="00AE74AD"/>
    <w:rsid w:val="00AE74F7"/>
    <w:rsid w:val="00AF00E7"/>
    <w:rsid w:val="00AF03CD"/>
    <w:rsid w:val="00AF0C44"/>
    <w:rsid w:val="00AF2313"/>
    <w:rsid w:val="00AF2A56"/>
    <w:rsid w:val="00AF2E03"/>
    <w:rsid w:val="00AF3714"/>
    <w:rsid w:val="00AF3838"/>
    <w:rsid w:val="00AF3E77"/>
    <w:rsid w:val="00AF421B"/>
    <w:rsid w:val="00AF454C"/>
    <w:rsid w:val="00AF5058"/>
    <w:rsid w:val="00AF5679"/>
    <w:rsid w:val="00AF5A46"/>
    <w:rsid w:val="00AF609E"/>
    <w:rsid w:val="00AF60EA"/>
    <w:rsid w:val="00AF6387"/>
    <w:rsid w:val="00AF6B95"/>
    <w:rsid w:val="00AF6BEF"/>
    <w:rsid w:val="00AF71B8"/>
    <w:rsid w:val="00AF73B3"/>
    <w:rsid w:val="00B00B73"/>
    <w:rsid w:val="00B00EBA"/>
    <w:rsid w:val="00B01458"/>
    <w:rsid w:val="00B01476"/>
    <w:rsid w:val="00B01A33"/>
    <w:rsid w:val="00B01AE4"/>
    <w:rsid w:val="00B01BDC"/>
    <w:rsid w:val="00B02500"/>
    <w:rsid w:val="00B02AEB"/>
    <w:rsid w:val="00B02DFB"/>
    <w:rsid w:val="00B03307"/>
    <w:rsid w:val="00B035F7"/>
    <w:rsid w:val="00B04174"/>
    <w:rsid w:val="00B0435E"/>
    <w:rsid w:val="00B0495A"/>
    <w:rsid w:val="00B04A39"/>
    <w:rsid w:val="00B0512E"/>
    <w:rsid w:val="00B05C07"/>
    <w:rsid w:val="00B063E8"/>
    <w:rsid w:val="00B06597"/>
    <w:rsid w:val="00B06654"/>
    <w:rsid w:val="00B06BF0"/>
    <w:rsid w:val="00B06F77"/>
    <w:rsid w:val="00B0731E"/>
    <w:rsid w:val="00B07890"/>
    <w:rsid w:val="00B11975"/>
    <w:rsid w:val="00B12244"/>
    <w:rsid w:val="00B127C7"/>
    <w:rsid w:val="00B13131"/>
    <w:rsid w:val="00B131DE"/>
    <w:rsid w:val="00B134CF"/>
    <w:rsid w:val="00B150F3"/>
    <w:rsid w:val="00B174D5"/>
    <w:rsid w:val="00B178C7"/>
    <w:rsid w:val="00B20D57"/>
    <w:rsid w:val="00B20DFE"/>
    <w:rsid w:val="00B21023"/>
    <w:rsid w:val="00B21D49"/>
    <w:rsid w:val="00B22C6D"/>
    <w:rsid w:val="00B232A6"/>
    <w:rsid w:val="00B23904"/>
    <w:rsid w:val="00B24ED1"/>
    <w:rsid w:val="00B250E2"/>
    <w:rsid w:val="00B250E8"/>
    <w:rsid w:val="00B2510E"/>
    <w:rsid w:val="00B2624E"/>
    <w:rsid w:val="00B265E3"/>
    <w:rsid w:val="00B26CDE"/>
    <w:rsid w:val="00B2707F"/>
    <w:rsid w:val="00B2727B"/>
    <w:rsid w:val="00B27AC2"/>
    <w:rsid w:val="00B27C32"/>
    <w:rsid w:val="00B27FB5"/>
    <w:rsid w:val="00B30468"/>
    <w:rsid w:val="00B307C6"/>
    <w:rsid w:val="00B30E45"/>
    <w:rsid w:val="00B31ADE"/>
    <w:rsid w:val="00B3335A"/>
    <w:rsid w:val="00B33AF3"/>
    <w:rsid w:val="00B34578"/>
    <w:rsid w:val="00B3482A"/>
    <w:rsid w:val="00B3492B"/>
    <w:rsid w:val="00B34E62"/>
    <w:rsid w:val="00B359EB"/>
    <w:rsid w:val="00B361E3"/>
    <w:rsid w:val="00B366D0"/>
    <w:rsid w:val="00B36E4C"/>
    <w:rsid w:val="00B37E1B"/>
    <w:rsid w:val="00B401CE"/>
    <w:rsid w:val="00B401DF"/>
    <w:rsid w:val="00B40783"/>
    <w:rsid w:val="00B407B3"/>
    <w:rsid w:val="00B40DEC"/>
    <w:rsid w:val="00B412E2"/>
    <w:rsid w:val="00B4130C"/>
    <w:rsid w:val="00B413FD"/>
    <w:rsid w:val="00B42020"/>
    <w:rsid w:val="00B43151"/>
    <w:rsid w:val="00B431B8"/>
    <w:rsid w:val="00B4358A"/>
    <w:rsid w:val="00B440DD"/>
    <w:rsid w:val="00B45056"/>
    <w:rsid w:val="00B454F1"/>
    <w:rsid w:val="00B45DDA"/>
    <w:rsid w:val="00B4602D"/>
    <w:rsid w:val="00B46734"/>
    <w:rsid w:val="00B46792"/>
    <w:rsid w:val="00B46A04"/>
    <w:rsid w:val="00B46BFC"/>
    <w:rsid w:val="00B47552"/>
    <w:rsid w:val="00B5022D"/>
    <w:rsid w:val="00B5102C"/>
    <w:rsid w:val="00B52042"/>
    <w:rsid w:val="00B52225"/>
    <w:rsid w:val="00B52DAA"/>
    <w:rsid w:val="00B52FC1"/>
    <w:rsid w:val="00B536CC"/>
    <w:rsid w:val="00B5416A"/>
    <w:rsid w:val="00B54F5A"/>
    <w:rsid w:val="00B54FBC"/>
    <w:rsid w:val="00B5521D"/>
    <w:rsid w:val="00B5619F"/>
    <w:rsid w:val="00B56866"/>
    <w:rsid w:val="00B56AED"/>
    <w:rsid w:val="00B56DCE"/>
    <w:rsid w:val="00B5706D"/>
    <w:rsid w:val="00B57239"/>
    <w:rsid w:val="00B57334"/>
    <w:rsid w:val="00B57ABC"/>
    <w:rsid w:val="00B604F2"/>
    <w:rsid w:val="00B6071A"/>
    <w:rsid w:val="00B60EAB"/>
    <w:rsid w:val="00B61389"/>
    <w:rsid w:val="00B617C3"/>
    <w:rsid w:val="00B62605"/>
    <w:rsid w:val="00B630E0"/>
    <w:rsid w:val="00B6357F"/>
    <w:rsid w:val="00B63614"/>
    <w:rsid w:val="00B63AB7"/>
    <w:rsid w:val="00B63DC3"/>
    <w:rsid w:val="00B64248"/>
    <w:rsid w:val="00B642AB"/>
    <w:rsid w:val="00B648D1"/>
    <w:rsid w:val="00B64B31"/>
    <w:rsid w:val="00B6545F"/>
    <w:rsid w:val="00B65631"/>
    <w:rsid w:val="00B66157"/>
    <w:rsid w:val="00B66555"/>
    <w:rsid w:val="00B66651"/>
    <w:rsid w:val="00B6680B"/>
    <w:rsid w:val="00B669D0"/>
    <w:rsid w:val="00B674B3"/>
    <w:rsid w:val="00B702AB"/>
    <w:rsid w:val="00B717E9"/>
    <w:rsid w:val="00B71AF4"/>
    <w:rsid w:val="00B71C54"/>
    <w:rsid w:val="00B7259B"/>
    <w:rsid w:val="00B72897"/>
    <w:rsid w:val="00B72E63"/>
    <w:rsid w:val="00B7388E"/>
    <w:rsid w:val="00B73F60"/>
    <w:rsid w:val="00B744C2"/>
    <w:rsid w:val="00B74F35"/>
    <w:rsid w:val="00B7549C"/>
    <w:rsid w:val="00B7604B"/>
    <w:rsid w:val="00B76103"/>
    <w:rsid w:val="00B76408"/>
    <w:rsid w:val="00B77969"/>
    <w:rsid w:val="00B800B4"/>
    <w:rsid w:val="00B81472"/>
    <w:rsid w:val="00B816E0"/>
    <w:rsid w:val="00B81BD2"/>
    <w:rsid w:val="00B81D52"/>
    <w:rsid w:val="00B83901"/>
    <w:rsid w:val="00B83E3B"/>
    <w:rsid w:val="00B846F1"/>
    <w:rsid w:val="00B848A8"/>
    <w:rsid w:val="00B852A0"/>
    <w:rsid w:val="00B85F03"/>
    <w:rsid w:val="00B863A6"/>
    <w:rsid w:val="00B8707C"/>
    <w:rsid w:val="00B87244"/>
    <w:rsid w:val="00B8758A"/>
    <w:rsid w:val="00B9053F"/>
    <w:rsid w:val="00B90C53"/>
    <w:rsid w:val="00B90EA7"/>
    <w:rsid w:val="00B9123E"/>
    <w:rsid w:val="00B9194F"/>
    <w:rsid w:val="00B91E13"/>
    <w:rsid w:val="00B94649"/>
    <w:rsid w:val="00B94AB8"/>
    <w:rsid w:val="00B95546"/>
    <w:rsid w:val="00B9566C"/>
    <w:rsid w:val="00B95A7A"/>
    <w:rsid w:val="00B95B8C"/>
    <w:rsid w:val="00B96697"/>
    <w:rsid w:val="00B96B82"/>
    <w:rsid w:val="00B96FA5"/>
    <w:rsid w:val="00B97B22"/>
    <w:rsid w:val="00BA16CB"/>
    <w:rsid w:val="00BA1808"/>
    <w:rsid w:val="00BA221A"/>
    <w:rsid w:val="00BA3427"/>
    <w:rsid w:val="00BA38C7"/>
    <w:rsid w:val="00BA40AB"/>
    <w:rsid w:val="00BA48D8"/>
    <w:rsid w:val="00BA4E1A"/>
    <w:rsid w:val="00BA5269"/>
    <w:rsid w:val="00BA5485"/>
    <w:rsid w:val="00BA55EA"/>
    <w:rsid w:val="00BA5D6C"/>
    <w:rsid w:val="00BA5FD0"/>
    <w:rsid w:val="00BA652B"/>
    <w:rsid w:val="00BA6686"/>
    <w:rsid w:val="00BA6BE8"/>
    <w:rsid w:val="00BA6D41"/>
    <w:rsid w:val="00BA6F4F"/>
    <w:rsid w:val="00BA739D"/>
    <w:rsid w:val="00BB0169"/>
    <w:rsid w:val="00BB05FA"/>
    <w:rsid w:val="00BB06EC"/>
    <w:rsid w:val="00BB0DD3"/>
    <w:rsid w:val="00BB1A8A"/>
    <w:rsid w:val="00BB22F7"/>
    <w:rsid w:val="00BB2FA5"/>
    <w:rsid w:val="00BB3561"/>
    <w:rsid w:val="00BB3A11"/>
    <w:rsid w:val="00BB3A2C"/>
    <w:rsid w:val="00BB3A8F"/>
    <w:rsid w:val="00BB3D8C"/>
    <w:rsid w:val="00BB4D2E"/>
    <w:rsid w:val="00BB4D9F"/>
    <w:rsid w:val="00BB5ABD"/>
    <w:rsid w:val="00BB64EB"/>
    <w:rsid w:val="00BB660D"/>
    <w:rsid w:val="00BB6929"/>
    <w:rsid w:val="00BB767B"/>
    <w:rsid w:val="00BB7C6C"/>
    <w:rsid w:val="00BC0244"/>
    <w:rsid w:val="00BC113B"/>
    <w:rsid w:val="00BC15E7"/>
    <w:rsid w:val="00BC21D1"/>
    <w:rsid w:val="00BC2708"/>
    <w:rsid w:val="00BC3413"/>
    <w:rsid w:val="00BC3D5F"/>
    <w:rsid w:val="00BC3F35"/>
    <w:rsid w:val="00BC4768"/>
    <w:rsid w:val="00BC5323"/>
    <w:rsid w:val="00BC56F7"/>
    <w:rsid w:val="00BC59EA"/>
    <w:rsid w:val="00BC5C5A"/>
    <w:rsid w:val="00BC5DC3"/>
    <w:rsid w:val="00BC628A"/>
    <w:rsid w:val="00BC6BF6"/>
    <w:rsid w:val="00BC6BF9"/>
    <w:rsid w:val="00BC73E4"/>
    <w:rsid w:val="00BC7D97"/>
    <w:rsid w:val="00BD0584"/>
    <w:rsid w:val="00BD0C55"/>
    <w:rsid w:val="00BD106A"/>
    <w:rsid w:val="00BD13E6"/>
    <w:rsid w:val="00BD15B9"/>
    <w:rsid w:val="00BD1AA7"/>
    <w:rsid w:val="00BD1CAE"/>
    <w:rsid w:val="00BD25EE"/>
    <w:rsid w:val="00BD2962"/>
    <w:rsid w:val="00BD3355"/>
    <w:rsid w:val="00BD4662"/>
    <w:rsid w:val="00BD4858"/>
    <w:rsid w:val="00BD602D"/>
    <w:rsid w:val="00BD67BD"/>
    <w:rsid w:val="00BD6A51"/>
    <w:rsid w:val="00BD6DEF"/>
    <w:rsid w:val="00BD7186"/>
    <w:rsid w:val="00BE039E"/>
    <w:rsid w:val="00BE044C"/>
    <w:rsid w:val="00BE0461"/>
    <w:rsid w:val="00BE07A3"/>
    <w:rsid w:val="00BE153B"/>
    <w:rsid w:val="00BE19D3"/>
    <w:rsid w:val="00BE2A61"/>
    <w:rsid w:val="00BE2C19"/>
    <w:rsid w:val="00BE3077"/>
    <w:rsid w:val="00BE33F7"/>
    <w:rsid w:val="00BE3BFA"/>
    <w:rsid w:val="00BE43A5"/>
    <w:rsid w:val="00BE4DDD"/>
    <w:rsid w:val="00BE54C8"/>
    <w:rsid w:val="00BE5767"/>
    <w:rsid w:val="00BE5795"/>
    <w:rsid w:val="00BE5990"/>
    <w:rsid w:val="00BE74FA"/>
    <w:rsid w:val="00BE7AC3"/>
    <w:rsid w:val="00BE7FAD"/>
    <w:rsid w:val="00BF0B35"/>
    <w:rsid w:val="00BF145A"/>
    <w:rsid w:val="00BF188D"/>
    <w:rsid w:val="00BF301D"/>
    <w:rsid w:val="00BF3179"/>
    <w:rsid w:val="00BF334F"/>
    <w:rsid w:val="00BF39DC"/>
    <w:rsid w:val="00BF3BF4"/>
    <w:rsid w:val="00BF43D0"/>
    <w:rsid w:val="00BF444A"/>
    <w:rsid w:val="00BF49AF"/>
    <w:rsid w:val="00BF49F3"/>
    <w:rsid w:val="00BF616F"/>
    <w:rsid w:val="00BF6E7E"/>
    <w:rsid w:val="00BF7534"/>
    <w:rsid w:val="00BF7D31"/>
    <w:rsid w:val="00C00111"/>
    <w:rsid w:val="00C003CC"/>
    <w:rsid w:val="00C0134F"/>
    <w:rsid w:val="00C02877"/>
    <w:rsid w:val="00C028C8"/>
    <w:rsid w:val="00C02E81"/>
    <w:rsid w:val="00C0392C"/>
    <w:rsid w:val="00C03C74"/>
    <w:rsid w:val="00C03CD7"/>
    <w:rsid w:val="00C041D1"/>
    <w:rsid w:val="00C04460"/>
    <w:rsid w:val="00C047E8"/>
    <w:rsid w:val="00C0489F"/>
    <w:rsid w:val="00C0521B"/>
    <w:rsid w:val="00C05B9A"/>
    <w:rsid w:val="00C06BE1"/>
    <w:rsid w:val="00C06E58"/>
    <w:rsid w:val="00C06FEB"/>
    <w:rsid w:val="00C1044B"/>
    <w:rsid w:val="00C1050B"/>
    <w:rsid w:val="00C1150D"/>
    <w:rsid w:val="00C11561"/>
    <w:rsid w:val="00C11ED2"/>
    <w:rsid w:val="00C11F2B"/>
    <w:rsid w:val="00C12096"/>
    <w:rsid w:val="00C125E7"/>
    <w:rsid w:val="00C136B9"/>
    <w:rsid w:val="00C148E3"/>
    <w:rsid w:val="00C1495C"/>
    <w:rsid w:val="00C150EC"/>
    <w:rsid w:val="00C15122"/>
    <w:rsid w:val="00C15308"/>
    <w:rsid w:val="00C157B5"/>
    <w:rsid w:val="00C158A1"/>
    <w:rsid w:val="00C159D6"/>
    <w:rsid w:val="00C16B8E"/>
    <w:rsid w:val="00C16FE5"/>
    <w:rsid w:val="00C17051"/>
    <w:rsid w:val="00C17130"/>
    <w:rsid w:val="00C175C5"/>
    <w:rsid w:val="00C17886"/>
    <w:rsid w:val="00C17A14"/>
    <w:rsid w:val="00C17A3C"/>
    <w:rsid w:val="00C17FE8"/>
    <w:rsid w:val="00C200E6"/>
    <w:rsid w:val="00C2050D"/>
    <w:rsid w:val="00C20567"/>
    <w:rsid w:val="00C20578"/>
    <w:rsid w:val="00C209EB"/>
    <w:rsid w:val="00C2150B"/>
    <w:rsid w:val="00C21D00"/>
    <w:rsid w:val="00C222DF"/>
    <w:rsid w:val="00C22A28"/>
    <w:rsid w:val="00C22AE1"/>
    <w:rsid w:val="00C23D63"/>
    <w:rsid w:val="00C23DE7"/>
    <w:rsid w:val="00C24AFB"/>
    <w:rsid w:val="00C25346"/>
    <w:rsid w:val="00C25F35"/>
    <w:rsid w:val="00C2622F"/>
    <w:rsid w:val="00C26D69"/>
    <w:rsid w:val="00C271A7"/>
    <w:rsid w:val="00C300D4"/>
    <w:rsid w:val="00C30B99"/>
    <w:rsid w:val="00C30E71"/>
    <w:rsid w:val="00C31114"/>
    <w:rsid w:val="00C31B38"/>
    <w:rsid w:val="00C31BA4"/>
    <w:rsid w:val="00C3267F"/>
    <w:rsid w:val="00C326B2"/>
    <w:rsid w:val="00C32A07"/>
    <w:rsid w:val="00C32AE5"/>
    <w:rsid w:val="00C34252"/>
    <w:rsid w:val="00C34689"/>
    <w:rsid w:val="00C34B56"/>
    <w:rsid w:val="00C34FED"/>
    <w:rsid w:val="00C35710"/>
    <w:rsid w:val="00C35BB3"/>
    <w:rsid w:val="00C35EB8"/>
    <w:rsid w:val="00C36068"/>
    <w:rsid w:val="00C36585"/>
    <w:rsid w:val="00C36E8F"/>
    <w:rsid w:val="00C36EF2"/>
    <w:rsid w:val="00C376E9"/>
    <w:rsid w:val="00C377BB"/>
    <w:rsid w:val="00C3784A"/>
    <w:rsid w:val="00C37A45"/>
    <w:rsid w:val="00C37E05"/>
    <w:rsid w:val="00C4022A"/>
    <w:rsid w:val="00C40E91"/>
    <w:rsid w:val="00C413B6"/>
    <w:rsid w:val="00C41416"/>
    <w:rsid w:val="00C4155A"/>
    <w:rsid w:val="00C41DE6"/>
    <w:rsid w:val="00C41DE9"/>
    <w:rsid w:val="00C42418"/>
    <w:rsid w:val="00C425B9"/>
    <w:rsid w:val="00C43854"/>
    <w:rsid w:val="00C43A18"/>
    <w:rsid w:val="00C43E04"/>
    <w:rsid w:val="00C43E9C"/>
    <w:rsid w:val="00C447BB"/>
    <w:rsid w:val="00C44805"/>
    <w:rsid w:val="00C4492F"/>
    <w:rsid w:val="00C44E15"/>
    <w:rsid w:val="00C451A2"/>
    <w:rsid w:val="00C458C4"/>
    <w:rsid w:val="00C45C8E"/>
    <w:rsid w:val="00C46268"/>
    <w:rsid w:val="00C464C9"/>
    <w:rsid w:val="00C46C86"/>
    <w:rsid w:val="00C46DC6"/>
    <w:rsid w:val="00C4719F"/>
    <w:rsid w:val="00C47347"/>
    <w:rsid w:val="00C47A0B"/>
    <w:rsid w:val="00C47DB3"/>
    <w:rsid w:val="00C50974"/>
    <w:rsid w:val="00C51536"/>
    <w:rsid w:val="00C51BFC"/>
    <w:rsid w:val="00C52088"/>
    <w:rsid w:val="00C5268A"/>
    <w:rsid w:val="00C53742"/>
    <w:rsid w:val="00C546C9"/>
    <w:rsid w:val="00C54EB8"/>
    <w:rsid w:val="00C54F31"/>
    <w:rsid w:val="00C5571D"/>
    <w:rsid w:val="00C6000A"/>
    <w:rsid w:val="00C6060B"/>
    <w:rsid w:val="00C60E68"/>
    <w:rsid w:val="00C6132E"/>
    <w:rsid w:val="00C619F6"/>
    <w:rsid w:val="00C61CB6"/>
    <w:rsid w:val="00C6209A"/>
    <w:rsid w:val="00C621E3"/>
    <w:rsid w:val="00C62726"/>
    <w:rsid w:val="00C62F9A"/>
    <w:rsid w:val="00C63A70"/>
    <w:rsid w:val="00C63B06"/>
    <w:rsid w:val="00C63BB4"/>
    <w:rsid w:val="00C63D57"/>
    <w:rsid w:val="00C64BD3"/>
    <w:rsid w:val="00C65071"/>
    <w:rsid w:val="00C6613C"/>
    <w:rsid w:val="00C662FE"/>
    <w:rsid w:val="00C66495"/>
    <w:rsid w:val="00C665B5"/>
    <w:rsid w:val="00C66BB3"/>
    <w:rsid w:val="00C67073"/>
    <w:rsid w:val="00C67FDF"/>
    <w:rsid w:val="00C70533"/>
    <w:rsid w:val="00C70AB6"/>
    <w:rsid w:val="00C70AE5"/>
    <w:rsid w:val="00C70D06"/>
    <w:rsid w:val="00C71F8D"/>
    <w:rsid w:val="00C7209A"/>
    <w:rsid w:val="00C72A48"/>
    <w:rsid w:val="00C72A7D"/>
    <w:rsid w:val="00C732C2"/>
    <w:rsid w:val="00C73CB9"/>
    <w:rsid w:val="00C73D85"/>
    <w:rsid w:val="00C7407D"/>
    <w:rsid w:val="00C740FA"/>
    <w:rsid w:val="00C74D73"/>
    <w:rsid w:val="00C7509B"/>
    <w:rsid w:val="00C75219"/>
    <w:rsid w:val="00C75552"/>
    <w:rsid w:val="00C757C9"/>
    <w:rsid w:val="00C75901"/>
    <w:rsid w:val="00C75B23"/>
    <w:rsid w:val="00C75F37"/>
    <w:rsid w:val="00C7603D"/>
    <w:rsid w:val="00C76256"/>
    <w:rsid w:val="00C76FF7"/>
    <w:rsid w:val="00C77195"/>
    <w:rsid w:val="00C7745B"/>
    <w:rsid w:val="00C77A17"/>
    <w:rsid w:val="00C77B02"/>
    <w:rsid w:val="00C77C06"/>
    <w:rsid w:val="00C77C0F"/>
    <w:rsid w:val="00C77E33"/>
    <w:rsid w:val="00C77ED9"/>
    <w:rsid w:val="00C8022A"/>
    <w:rsid w:val="00C8109F"/>
    <w:rsid w:val="00C81B82"/>
    <w:rsid w:val="00C81C44"/>
    <w:rsid w:val="00C828B9"/>
    <w:rsid w:val="00C839D1"/>
    <w:rsid w:val="00C84375"/>
    <w:rsid w:val="00C84E38"/>
    <w:rsid w:val="00C84FA4"/>
    <w:rsid w:val="00C862D3"/>
    <w:rsid w:val="00C864C4"/>
    <w:rsid w:val="00C86756"/>
    <w:rsid w:val="00C86A86"/>
    <w:rsid w:val="00C86E25"/>
    <w:rsid w:val="00C86E69"/>
    <w:rsid w:val="00C87813"/>
    <w:rsid w:val="00C90346"/>
    <w:rsid w:val="00C918B1"/>
    <w:rsid w:val="00C936BE"/>
    <w:rsid w:val="00C93A07"/>
    <w:rsid w:val="00C94116"/>
    <w:rsid w:val="00C94D62"/>
    <w:rsid w:val="00C9553E"/>
    <w:rsid w:val="00C95718"/>
    <w:rsid w:val="00C96F15"/>
    <w:rsid w:val="00C97EA4"/>
    <w:rsid w:val="00CA01DD"/>
    <w:rsid w:val="00CA021B"/>
    <w:rsid w:val="00CA0C18"/>
    <w:rsid w:val="00CA1EB7"/>
    <w:rsid w:val="00CA22B3"/>
    <w:rsid w:val="00CA271F"/>
    <w:rsid w:val="00CA30BE"/>
    <w:rsid w:val="00CA37B6"/>
    <w:rsid w:val="00CA3867"/>
    <w:rsid w:val="00CA4153"/>
    <w:rsid w:val="00CA43FC"/>
    <w:rsid w:val="00CA4ECC"/>
    <w:rsid w:val="00CA5F07"/>
    <w:rsid w:val="00CA609B"/>
    <w:rsid w:val="00CA611B"/>
    <w:rsid w:val="00CA63BB"/>
    <w:rsid w:val="00CA7332"/>
    <w:rsid w:val="00CA78DA"/>
    <w:rsid w:val="00CA7D07"/>
    <w:rsid w:val="00CA7F3F"/>
    <w:rsid w:val="00CB01E1"/>
    <w:rsid w:val="00CB04E6"/>
    <w:rsid w:val="00CB1031"/>
    <w:rsid w:val="00CB1465"/>
    <w:rsid w:val="00CB197D"/>
    <w:rsid w:val="00CB1E28"/>
    <w:rsid w:val="00CB204E"/>
    <w:rsid w:val="00CB2325"/>
    <w:rsid w:val="00CB23D1"/>
    <w:rsid w:val="00CB2760"/>
    <w:rsid w:val="00CB2AE8"/>
    <w:rsid w:val="00CB2E7C"/>
    <w:rsid w:val="00CB2F71"/>
    <w:rsid w:val="00CB30E4"/>
    <w:rsid w:val="00CB3D4D"/>
    <w:rsid w:val="00CB407A"/>
    <w:rsid w:val="00CB49B3"/>
    <w:rsid w:val="00CB4A86"/>
    <w:rsid w:val="00CB5612"/>
    <w:rsid w:val="00CB5986"/>
    <w:rsid w:val="00CB7148"/>
    <w:rsid w:val="00CB776B"/>
    <w:rsid w:val="00CB78C7"/>
    <w:rsid w:val="00CB7E1F"/>
    <w:rsid w:val="00CC038A"/>
    <w:rsid w:val="00CC0916"/>
    <w:rsid w:val="00CC0A1E"/>
    <w:rsid w:val="00CC0BE3"/>
    <w:rsid w:val="00CC146D"/>
    <w:rsid w:val="00CC16BC"/>
    <w:rsid w:val="00CC1743"/>
    <w:rsid w:val="00CC1AD0"/>
    <w:rsid w:val="00CC2256"/>
    <w:rsid w:val="00CC245F"/>
    <w:rsid w:val="00CC2D24"/>
    <w:rsid w:val="00CC32BB"/>
    <w:rsid w:val="00CC3613"/>
    <w:rsid w:val="00CC3C62"/>
    <w:rsid w:val="00CC4232"/>
    <w:rsid w:val="00CC51B5"/>
    <w:rsid w:val="00CC5C5F"/>
    <w:rsid w:val="00CC66A6"/>
    <w:rsid w:val="00CC7593"/>
    <w:rsid w:val="00CC781A"/>
    <w:rsid w:val="00CD0466"/>
    <w:rsid w:val="00CD0483"/>
    <w:rsid w:val="00CD04BC"/>
    <w:rsid w:val="00CD0626"/>
    <w:rsid w:val="00CD064E"/>
    <w:rsid w:val="00CD0BE8"/>
    <w:rsid w:val="00CD20E8"/>
    <w:rsid w:val="00CD21BC"/>
    <w:rsid w:val="00CD2855"/>
    <w:rsid w:val="00CD2C1C"/>
    <w:rsid w:val="00CD3279"/>
    <w:rsid w:val="00CD375E"/>
    <w:rsid w:val="00CD3D2B"/>
    <w:rsid w:val="00CD43B2"/>
    <w:rsid w:val="00CD497F"/>
    <w:rsid w:val="00CD4A3E"/>
    <w:rsid w:val="00CD5377"/>
    <w:rsid w:val="00CD58A1"/>
    <w:rsid w:val="00CD5BDA"/>
    <w:rsid w:val="00CD6102"/>
    <w:rsid w:val="00CD65FE"/>
    <w:rsid w:val="00CD669D"/>
    <w:rsid w:val="00CD6B0D"/>
    <w:rsid w:val="00CE08AF"/>
    <w:rsid w:val="00CE0D85"/>
    <w:rsid w:val="00CE0F03"/>
    <w:rsid w:val="00CE1FAF"/>
    <w:rsid w:val="00CE213A"/>
    <w:rsid w:val="00CE23F0"/>
    <w:rsid w:val="00CE26FC"/>
    <w:rsid w:val="00CE2BA1"/>
    <w:rsid w:val="00CE4FBD"/>
    <w:rsid w:val="00CE5545"/>
    <w:rsid w:val="00CE6449"/>
    <w:rsid w:val="00CE7260"/>
    <w:rsid w:val="00CE76A6"/>
    <w:rsid w:val="00CE7C1C"/>
    <w:rsid w:val="00CE7E6E"/>
    <w:rsid w:val="00CF123C"/>
    <w:rsid w:val="00CF12BA"/>
    <w:rsid w:val="00CF174B"/>
    <w:rsid w:val="00CF1896"/>
    <w:rsid w:val="00CF1E2D"/>
    <w:rsid w:val="00CF2F52"/>
    <w:rsid w:val="00CF306C"/>
    <w:rsid w:val="00CF37F0"/>
    <w:rsid w:val="00CF3B0C"/>
    <w:rsid w:val="00CF454A"/>
    <w:rsid w:val="00CF5136"/>
    <w:rsid w:val="00CF5528"/>
    <w:rsid w:val="00CF5ABF"/>
    <w:rsid w:val="00CF62DA"/>
    <w:rsid w:val="00CF72BD"/>
    <w:rsid w:val="00CF7449"/>
    <w:rsid w:val="00CF76DD"/>
    <w:rsid w:val="00CF798C"/>
    <w:rsid w:val="00D00E0A"/>
    <w:rsid w:val="00D01587"/>
    <w:rsid w:val="00D0195A"/>
    <w:rsid w:val="00D02663"/>
    <w:rsid w:val="00D02C7C"/>
    <w:rsid w:val="00D032E9"/>
    <w:rsid w:val="00D0372E"/>
    <w:rsid w:val="00D04011"/>
    <w:rsid w:val="00D05C72"/>
    <w:rsid w:val="00D05D31"/>
    <w:rsid w:val="00D05F43"/>
    <w:rsid w:val="00D0660B"/>
    <w:rsid w:val="00D0689D"/>
    <w:rsid w:val="00D06EDB"/>
    <w:rsid w:val="00D06F8C"/>
    <w:rsid w:val="00D0796F"/>
    <w:rsid w:val="00D07A05"/>
    <w:rsid w:val="00D12131"/>
    <w:rsid w:val="00D125F0"/>
    <w:rsid w:val="00D126DB"/>
    <w:rsid w:val="00D130B9"/>
    <w:rsid w:val="00D13416"/>
    <w:rsid w:val="00D13779"/>
    <w:rsid w:val="00D13A27"/>
    <w:rsid w:val="00D13D3A"/>
    <w:rsid w:val="00D1488A"/>
    <w:rsid w:val="00D151EA"/>
    <w:rsid w:val="00D158CF"/>
    <w:rsid w:val="00D15ABB"/>
    <w:rsid w:val="00D16142"/>
    <w:rsid w:val="00D16897"/>
    <w:rsid w:val="00D16F63"/>
    <w:rsid w:val="00D172D1"/>
    <w:rsid w:val="00D17BB9"/>
    <w:rsid w:val="00D17BEE"/>
    <w:rsid w:val="00D2034E"/>
    <w:rsid w:val="00D2130D"/>
    <w:rsid w:val="00D2193D"/>
    <w:rsid w:val="00D222D6"/>
    <w:rsid w:val="00D22DEB"/>
    <w:rsid w:val="00D239A5"/>
    <w:rsid w:val="00D2469F"/>
    <w:rsid w:val="00D24F63"/>
    <w:rsid w:val="00D25308"/>
    <w:rsid w:val="00D25B51"/>
    <w:rsid w:val="00D25E03"/>
    <w:rsid w:val="00D26045"/>
    <w:rsid w:val="00D26E67"/>
    <w:rsid w:val="00D27A22"/>
    <w:rsid w:val="00D304BB"/>
    <w:rsid w:val="00D30E02"/>
    <w:rsid w:val="00D317FB"/>
    <w:rsid w:val="00D31A68"/>
    <w:rsid w:val="00D31E68"/>
    <w:rsid w:val="00D32B30"/>
    <w:rsid w:val="00D32D57"/>
    <w:rsid w:val="00D332F7"/>
    <w:rsid w:val="00D33355"/>
    <w:rsid w:val="00D335F5"/>
    <w:rsid w:val="00D33B10"/>
    <w:rsid w:val="00D3452E"/>
    <w:rsid w:val="00D345F9"/>
    <w:rsid w:val="00D34D6F"/>
    <w:rsid w:val="00D34D87"/>
    <w:rsid w:val="00D34F00"/>
    <w:rsid w:val="00D35222"/>
    <w:rsid w:val="00D35870"/>
    <w:rsid w:val="00D35942"/>
    <w:rsid w:val="00D35A1A"/>
    <w:rsid w:val="00D35B2D"/>
    <w:rsid w:val="00D36170"/>
    <w:rsid w:val="00D362C4"/>
    <w:rsid w:val="00D368AD"/>
    <w:rsid w:val="00D36AEE"/>
    <w:rsid w:val="00D3743F"/>
    <w:rsid w:val="00D374E3"/>
    <w:rsid w:val="00D37778"/>
    <w:rsid w:val="00D37A4C"/>
    <w:rsid w:val="00D406EA"/>
    <w:rsid w:val="00D41220"/>
    <w:rsid w:val="00D416B1"/>
    <w:rsid w:val="00D41F7A"/>
    <w:rsid w:val="00D4300D"/>
    <w:rsid w:val="00D44B63"/>
    <w:rsid w:val="00D44D16"/>
    <w:rsid w:val="00D473DC"/>
    <w:rsid w:val="00D47563"/>
    <w:rsid w:val="00D4762B"/>
    <w:rsid w:val="00D478D6"/>
    <w:rsid w:val="00D479D3"/>
    <w:rsid w:val="00D50597"/>
    <w:rsid w:val="00D51FBA"/>
    <w:rsid w:val="00D526E3"/>
    <w:rsid w:val="00D52DE4"/>
    <w:rsid w:val="00D534A7"/>
    <w:rsid w:val="00D53BB9"/>
    <w:rsid w:val="00D53F7E"/>
    <w:rsid w:val="00D53F7F"/>
    <w:rsid w:val="00D542B7"/>
    <w:rsid w:val="00D5465C"/>
    <w:rsid w:val="00D54B76"/>
    <w:rsid w:val="00D54F45"/>
    <w:rsid w:val="00D551D0"/>
    <w:rsid w:val="00D553DC"/>
    <w:rsid w:val="00D5544D"/>
    <w:rsid w:val="00D554C8"/>
    <w:rsid w:val="00D560EE"/>
    <w:rsid w:val="00D56281"/>
    <w:rsid w:val="00D56343"/>
    <w:rsid w:val="00D5674B"/>
    <w:rsid w:val="00D56861"/>
    <w:rsid w:val="00D56A53"/>
    <w:rsid w:val="00D574E2"/>
    <w:rsid w:val="00D5761C"/>
    <w:rsid w:val="00D57D60"/>
    <w:rsid w:val="00D57F7C"/>
    <w:rsid w:val="00D60973"/>
    <w:rsid w:val="00D61B47"/>
    <w:rsid w:val="00D61CB1"/>
    <w:rsid w:val="00D61D71"/>
    <w:rsid w:val="00D62477"/>
    <w:rsid w:val="00D627AA"/>
    <w:rsid w:val="00D629F4"/>
    <w:rsid w:val="00D62FF7"/>
    <w:rsid w:val="00D631FD"/>
    <w:rsid w:val="00D636E5"/>
    <w:rsid w:val="00D638D2"/>
    <w:rsid w:val="00D65291"/>
    <w:rsid w:val="00D658BB"/>
    <w:rsid w:val="00D65F79"/>
    <w:rsid w:val="00D65FB4"/>
    <w:rsid w:val="00D66CA4"/>
    <w:rsid w:val="00D66F85"/>
    <w:rsid w:val="00D66F8D"/>
    <w:rsid w:val="00D67183"/>
    <w:rsid w:val="00D676C0"/>
    <w:rsid w:val="00D70D85"/>
    <w:rsid w:val="00D70E4D"/>
    <w:rsid w:val="00D715A4"/>
    <w:rsid w:val="00D7160E"/>
    <w:rsid w:val="00D71CC0"/>
    <w:rsid w:val="00D71F0E"/>
    <w:rsid w:val="00D730D4"/>
    <w:rsid w:val="00D736C5"/>
    <w:rsid w:val="00D74347"/>
    <w:rsid w:val="00D75798"/>
    <w:rsid w:val="00D766F6"/>
    <w:rsid w:val="00D76EC5"/>
    <w:rsid w:val="00D7758E"/>
    <w:rsid w:val="00D8060B"/>
    <w:rsid w:val="00D80719"/>
    <w:rsid w:val="00D808DB"/>
    <w:rsid w:val="00D80C2B"/>
    <w:rsid w:val="00D81B45"/>
    <w:rsid w:val="00D81DCA"/>
    <w:rsid w:val="00D82034"/>
    <w:rsid w:val="00D8250B"/>
    <w:rsid w:val="00D825D2"/>
    <w:rsid w:val="00D82E8E"/>
    <w:rsid w:val="00D82F4C"/>
    <w:rsid w:val="00D82FC0"/>
    <w:rsid w:val="00D83002"/>
    <w:rsid w:val="00D836A7"/>
    <w:rsid w:val="00D8422F"/>
    <w:rsid w:val="00D845A3"/>
    <w:rsid w:val="00D845C9"/>
    <w:rsid w:val="00D84BF3"/>
    <w:rsid w:val="00D85212"/>
    <w:rsid w:val="00D858EB"/>
    <w:rsid w:val="00D8621A"/>
    <w:rsid w:val="00D86226"/>
    <w:rsid w:val="00D86896"/>
    <w:rsid w:val="00D86D7C"/>
    <w:rsid w:val="00D8734E"/>
    <w:rsid w:val="00D873AB"/>
    <w:rsid w:val="00D876A4"/>
    <w:rsid w:val="00D87A83"/>
    <w:rsid w:val="00D9017C"/>
    <w:rsid w:val="00D902FC"/>
    <w:rsid w:val="00D9041A"/>
    <w:rsid w:val="00D90F8D"/>
    <w:rsid w:val="00D9120F"/>
    <w:rsid w:val="00D913DF"/>
    <w:rsid w:val="00D914AE"/>
    <w:rsid w:val="00D9200B"/>
    <w:rsid w:val="00D92330"/>
    <w:rsid w:val="00D92588"/>
    <w:rsid w:val="00D9279F"/>
    <w:rsid w:val="00D927C1"/>
    <w:rsid w:val="00D93AFB"/>
    <w:rsid w:val="00D93CCF"/>
    <w:rsid w:val="00D93F23"/>
    <w:rsid w:val="00D93F5C"/>
    <w:rsid w:val="00D941F8"/>
    <w:rsid w:val="00D955E3"/>
    <w:rsid w:val="00D959D7"/>
    <w:rsid w:val="00D95A4C"/>
    <w:rsid w:val="00D96946"/>
    <w:rsid w:val="00D96CA5"/>
    <w:rsid w:val="00D97103"/>
    <w:rsid w:val="00D97979"/>
    <w:rsid w:val="00D97F14"/>
    <w:rsid w:val="00DA02C5"/>
    <w:rsid w:val="00DA0BD0"/>
    <w:rsid w:val="00DA0CAE"/>
    <w:rsid w:val="00DA1B8D"/>
    <w:rsid w:val="00DA285F"/>
    <w:rsid w:val="00DA2FE2"/>
    <w:rsid w:val="00DA3532"/>
    <w:rsid w:val="00DA39EE"/>
    <w:rsid w:val="00DA3CEF"/>
    <w:rsid w:val="00DA4641"/>
    <w:rsid w:val="00DA46A1"/>
    <w:rsid w:val="00DA47F4"/>
    <w:rsid w:val="00DA4B3A"/>
    <w:rsid w:val="00DA50AB"/>
    <w:rsid w:val="00DA5206"/>
    <w:rsid w:val="00DA521A"/>
    <w:rsid w:val="00DA605D"/>
    <w:rsid w:val="00DA64DD"/>
    <w:rsid w:val="00DA7826"/>
    <w:rsid w:val="00DA78E1"/>
    <w:rsid w:val="00DA7DFB"/>
    <w:rsid w:val="00DB05DE"/>
    <w:rsid w:val="00DB06D1"/>
    <w:rsid w:val="00DB0EB5"/>
    <w:rsid w:val="00DB141B"/>
    <w:rsid w:val="00DB1480"/>
    <w:rsid w:val="00DB155F"/>
    <w:rsid w:val="00DB1708"/>
    <w:rsid w:val="00DB2016"/>
    <w:rsid w:val="00DB24D1"/>
    <w:rsid w:val="00DB28D7"/>
    <w:rsid w:val="00DB2C30"/>
    <w:rsid w:val="00DB2E19"/>
    <w:rsid w:val="00DB2F15"/>
    <w:rsid w:val="00DB328C"/>
    <w:rsid w:val="00DB36E9"/>
    <w:rsid w:val="00DB3823"/>
    <w:rsid w:val="00DB3AD2"/>
    <w:rsid w:val="00DB3C70"/>
    <w:rsid w:val="00DB3CBA"/>
    <w:rsid w:val="00DB3E4B"/>
    <w:rsid w:val="00DB4596"/>
    <w:rsid w:val="00DB5329"/>
    <w:rsid w:val="00DB535C"/>
    <w:rsid w:val="00DB56F7"/>
    <w:rsid w:val="00DB5AE6"/>
    <w:rsid w:val="00DB62FC"/>
    <w:rsid w:val="00DB6D70"/>
    <w:rsid w:val="00DB7365"/>
    <w:rsid w:val="00DB7E8F"/>
    <w:rsid w:val="00DC02ED"/>
    <w:rsid w:val="00DC0981"/>
    <w:rsid w:val="00DC0C45"/>
    <w:rsid w:val="00DC0D30"/>
    <w:rsid w:val="00DC1263"/>
    <w:rsid w:val="00DC1C8F"/>
    <w:rsid w:val="00DC28AF"/>
    <w:rsid w:val="00DC29AA"/>
    <w:rsid w:val="00DC357F"/>
    <w:rsid w:val="00DC3999"/>
    <w:rsid w:val="00DC3EEE"/>
    <w:rsid w:val="00DC4E16"/>
    <w:rsid w:val="00DC503A"/>
    <w:rsid w:val="00DC5B50"/>
    <w:rsid w:val="00DC5C2C"/>
    <w:rsid w:val="00DC6423"/>
    <w:rsid w:val="00DD00A5"/>
    <w:rsid w:val="00DD0D7A"/>
    <w:rsid w:val="00DD1063"/>
    <w:rsid w:val="00DD1693"/>
    <w:rsid w:val="00DD1F24"/>
    <w:rsid w:val="00DD21C9"/>
    <w:rsid w:val="00DD28FD"/>
    <w:rsid w:val="00DD2B74"/>
    <w:rsid w:val="00DD3758"/>
    <w:rsid w:val="00DD47F1"/>
    <w:rsid w:val="00DD4827"/>
    <w:rsid w:val="00DD4AA4"/>
    <w:rsid w:val="00DD4F1C"/>
    <w:rsid w:val="00DD4F63"/>
    <w:rsid w:val="00DD522B"/>
    <w:rsid w:val="00DD54EF"/>
    <w:rsid w:val="00DD6BC7"/>
    <w:rsid w:val="00DD772C"/>
    <w:rsid w:val="00DD7897"/>
    <w:rsid w:val="00DD7CF5"/>
    <w:rsid w:val="00DD7D21"/>
    <w:rsid w:val="00DE10FC"/>
    <w:rsid w:val="00DE1466"/>
    <w:rsid w:val="00DE28C7"/>
    <w:rsid w:val="00DE2C0E"/>
    <w:rsid w:val="00DE2F20"/>
    <w:rsid w:val="00DE35DD"/>
    <w:rsid w:val="00DE393A"/>
    <w:rsid w:val="00DE393D"/>
    <w:rsid w:val="00DE3B10"/>
    <w:rsid w:val="00DE43D8"/>
    <w:rsid w:val="00DE4A2C"/>
    <w:rsid w:val="00DE563A"/>
    <w:rsid w:val="00DE5FCB"/>
    <w:rsid w:val="00DE63FE"/>
    <w:rsid w:val="00DE671F"/>
    <w:rsid w:val="00DE6A41"/>
    <w:rsid w:val="00DE6C65"/>
    <w:rsid w:val="00DE6CB3"/>
    <w:rsid w:val="00DE7045"/>
    <w:rsid w:val="00DE7653"/>
    <w:rsid w:val="00DE765D"/>
    <w:rsid w:val="00DE7CE6"/>
    <w:rsid w:val="00DF0135"/>
    <w:rsid w:val="00DF067A"/>
    <w:rsid w:val="00DF0E8D"/>
    <w:rsid w:val="00DF13B1"/>
    <w:rsid w:val="00DF1A9B"/>
    <w:rsid w:val="00DF1D70"/>
    <w:rsid w:val="00DF2624"/>
    <w:rsid w:val="00DF2A01"/>
    <w:rsid w:val="00DF32FC"/>
    <w:rsid w:val="00DF3A9A"/>
    <w:rsid w:val="00DF3E12"/>
    <w:rsid w:val="00DF4096"/>
    <w:rsid w:val="00DF42D1"/>
    <w:rsid w:val="00DF42FE"/>
    <w:rsid w:val="00DF4D3E"/>
    <w:rsid w:val="00DF6766"/>
    <w:rsid w:val="00DF6A8B"/>
    <w:rsid w:val="00DF7457"/>
    <w:rsid w:val="00DF75B0"/>
    <w:rsid w:val="00DF7883"/>
    <w:rsid w:val="00E00989"/>
    <w:rsid w:val="00E00B14"/>
    <w:rsid w:val="00E00FE9"/>
    <w:rsid w:val="00E021A8"/>
    <w:rsid w:val="00E02218"/>
    <w:rsid w:val="00E02E56"/>
    <w:rsid w:val="00E030D8"/>
    <w:rsid w:val="00E04046"/>
    <w:rsid w:val="00E04857"/>
    <w:rsid w:val="00E048FC"/>
    <w:rsid w:val="00E04AF3"/>
    <w:rsid w:val="00E060EF"/>
    <w:rsid w:val="00E062AE"/>
    <w:rsid w:val="00E06528"/>
    <w:rsid w:val="00E066BA"/>
    <w:rsid w:val="00E0679B"/>
    <w:rsid w:val="00E06ABB"/>
    <w:rsid w:val="00E07E8D"/>
    <w:rsid w:val="00E07F7C"/>
    <w:rsid w:val="00E106BA"/>
    <w:rsid w:val="00E1106F"/>
    <w:rsid w:val="00E112CE"/>
    <w:rsid w:val="00E119DE"/>
    <w:rsid w:val="00E12A9A"/>
    <w:rsid w:val="00E1413A"/>
    <w:rsid w:val="00E1460D"/>
    <w:rsid w:val="00E1478F"/>
    <w:rsid w:val="00E151B2"/>
    <w:rsid w:val="00E15405"/>
    <w:rsid w:val="00E157F9"/>
    <w:rsid w:val="00E15EEF"/>
    <w:rsid w:val="00E16130"/>
    <w:rsid w:val="00E16BD2"/>
    <w:rsid w:val="00E17057"/>
    <w:rsid w:val="00E17F6B"/>
    <w:rsid w:val="00E21313"/>
    <w:rsid w:val="00E214B9"/>
    <w:rsid w:val="00E21501"/>
    <w:rsid w:val="00E222F7"/>
    <w:rsid w:val="00E224CC"/>
    <w:rsid w:val="00E229C7"/>
    <w:rsid w:val="00E22B16"/>
    <w:rsid w:val="00E22E00"/>
    <w:rsid w:val="00E231DF"/>
    <w:rsid w:val="00E23AE1"/>
    <w:rsid w:val="00E24008"/>
    <w:rsid w:val="00E24730"/>
    <w:rsid w:val="00E247C2"/>
    <w:rsid w:val="00E24A71"/>
    <w:rsid w:val="00E25817"/>
    <w:rsid w:val="00E25A02"/>
    <w:rsid w:val="00E265DA"/>
    <w:rsid w:val="00E267D9"/>
    <w:rsid w:val="00E26E72"/>
    <w:rsid w:val="00E26FA7"/>
    <w:rsid w:val="00E271FF"/>
    <w:rsid w:val="00E2754E"/>
    <w:rsid w:val="00E2774E"/>
    <w:rsid w:val="00E27FA9"/>
    <w:rsid w:val="00E300B9"/>
    <w:rsid w:val="00E30D1E"/>
    <w:rsid w:val="00E3104D"/>
    <w:rsid w:val="00E32049"/>
    <w:rsid w:val="00E320B6"/>
    <w:rsid w:val="00E32B43"/>
    <w:rsid w:val="00E336A9"/>
    <w:rsid w:val="00E3394F"/>
    <w:rsid w:val="00E33C63"/>
    <w:rsid w:val="00E33D6D"/>
    <w:rsid w:val="00E354E7"/>
    <w:rsid w:val="00E355AE"/>
    <w:rsid w:val="00E35613"/>
    <w:rsid w:val="00E35963"/>
    <w:rsid w:val="00E35A51"/>
    <w:rsid w:val="00E35EE5"/>
    <w:rsid w:val="00E361ED"/>
    <w:rsid w:val="00E3656E"/>
    <w:rsid w:val="00E3671F"/>
    <w:rsid w:val="00E36723"/>
    <w:rsid w:val="00E36BFB"/>
    <w:rsid w:val="00E36CE6"/>
    <w:rsid w:val="00E375EA"/>
    <w:rsid w:val="00E4052D"/>
    <w:rsid w:val="00E4184A"/>
    <w:rsid w:val="00E42051"/>
    <w:rsid w:val="00E425C4"/>
    <w:rsid w:val="00E43A35"/>
    <w:rsid w:val="00E448C4"/>
    <w:rsid w:val="00E452A5"/>
    <w:rsid w:val="00E4533C"/>
    <w:rsid w:val="00E45FFB"/>
    <w:rsid w:val="00E460B3"/>
    <w:rsid w:val="00E46B2F"/>
    <w:rsid w:val="00E46D22"/>
    <w:rsid w:val="00E4749B"/>
    <w:rsid w:val="00E47C37"/>
    <w:rsid w:val="00E47D9A"/>
    <w:rsid w:val="00E50675"/>
    <w:rsid w:val="00E506B6"/>
    <w:rsid w:val="00E50A6A"/>
    <w:rsid w:val="00E50BB9"/>
    <w:rsid w:val="00E51997"/>
    <w:rsid w:val="00E51A5B"/>
    <w:rsid w:val="00E52673"/>
    <w:rsid w:val="00E526B9"/>
    <w:rsid w:val="00E528B7"/>
    <w:rsid w:val="00E53D0F"/>
    <w:rsid w:val="00E54047"/>
    <w:rsid w:val="00E5435D"/>
    <w:rsid w:val="00E55C07"/>
    <w:rsid w:val="00E55D85"/>
    <w:rsid w:val="00E56175"/>
    <w:rsid w:val="00E5703D"/>
    <w:rsid w:val="00E57E6C"/>
    <w:rsid w:val="00E6013B"/>
    <w:rsid w:val="00E603C0"/>
    <w:rsid w:val="00E60EE0"/>
    <w:rsid w:val="00E60F0D"/>
    <w:rsid w:val="00E61163"/>
    <w:rsid w:val="00E618E0"/>
    <w:rsid w:val="00E620CD"/>
    <w:rsid w:val="00E62C5A"/>
    <w:rsid w:val="00E63387"/>
    <w:rsid w:val="00E63798"/>
    <w:rsid w:val="00E64B88"/>
    <w:rsid w:val="00E65654"/>
    <w:rsid w:val="00E66016"/>
    <w:rsid w:val="00E675D7"/>
    <w:rsid w:val="00E67672"/>
    <w:rsid w:val="00E705B1"/>
    <w:rsid w:val="00E70C4C"/>
    <w:rsid w:val="00E7119E"/>
    <w:rsid w:val="00E71510"/>
    <w:rsid w:val="00E71569"/>
    <w:rsid w:val="00E71934"/>
    <w:rsid w:val="00E71A79"/>
    <w:rsid w:val="00E726CA"/>
    <w:rsid w:val="00E72C97"/>
    <w:rsid w:val="00E72D1F"/>
    <w:rsid w:val="00E73404"/>
    <w:rsid w:val="00E73532"/>
    <w:rsid w:val="00E735D2"/>
    <w:rsid w:val="00E735F6"/>
    <w:rsid w:val="00E7361E"/>
    <w:rsid w:val="00E73709"/>
    <w:rsid w:val="00E73DD3"/>
    <w:rsid w:val="00E73EC8"/>
    <w:rsid w:val="00E74A23"/>
    <w:rsid w:val="00E751DB"/>
    <w:rsid w:val="00E75425"/>
    <w:rsid w:val="00E75701"/>
    <w:rsid w:val="00E75719"/>
    <w:rsid w:val="00E75ECA"/>
    <w:rsid w:val="00E774FB"/>
    <w:rsid w:val="00E7788A"/>
    <w:rsid w:val="00E77A8B"/>
    <w:rsid w:val="00E80424"/>
    <w:rsid w:val="00E80F50"/>
    <w:rsid w:val="00E81EDC"/>
    <w:rsid w:val="00E82779"/>
    <w:rsid w:val="00E827DF"/>
    <w:rsid w:val="00E8291E"/>
    <w:rsid w:val="00E82DF1"/>
    <w:rsid w:val="00E83157"/>
    <w:rsid w:val="00E83F35"/>
    <w:rsid w:val="00E8410E"/>
    <w:rsid w:val="00E849F6"/>
    <w:rsid w:val="00E8521D"/>
    <w:rsid w:val="00E85389"/>
    <w:rsid w:val="00E854DD"/>
    <w:rsid w:val="00E85918"/>
    <w:rsid w:val="00E8604F"/>
    <w:rsid w:val="00E8615D"/>
    <w:rsid w:val="00E86A3D"/>
    <w:rsid w:val="00E86AC8"/>
    <w:rsid w:val="00E87095"/>
    <w:rsid w:val="00E8727C"/>
    <w:rsid w:val="00E87826"/>
    <w:rsid w:val="00E916D4"/>
    <w:rsid w:val="00E9195E"/>
    <w:rsid w:val="00E91983"/>
    <w:rsid w:val="00E94742"/>
    <w:rsid w:val="00E9481C"/>
    <w:rsid w:val="00E949C6"/>
    <w:rsid w:val="00E94C3E"/>
    <w:rsid w:val="00E94ECD"/>
    <w:rsid w:val="00E954E4"/>
    <w:rsid w:val="00E957CB"/>
    <w:rsid w:val="00E96FF9"/>
    <w:rsid w:val="00E97247"/>
    <w:rsid w:val="00E97C2B"/>
    <w:rsid w:val="00EA0180"/>
    <w:rsid w:val="00EA0465"/>
    <w:rsid w:val="00EA081D"/>
    <w:rsid w:val="00EA0C14"/>
    <w:rsid w:val="00EA1430"/>
    <w:rsid w:val="00EA260F"/>
    <w:rsid w:val="00EA2C4B"/>
    <w:rsid w:val="00EA3142"/>
    <w:rsid w:val="00EA43C1"/>
    <w:rsid w:val="00EA463B"/>
    <w:rsid w:val="00EA4AFF"/>
    <w:rsid w:val="00EA50A1"/>
    <w:rsid w:val="00EA60D8"/>
    <w:rsid w:val="00EA6BC9"/>
    <w:rsid w:val="00EA76BF"/>
    <w:rsid w:val="00EA7727"/>
    <w:rsid w:val="00EA7A40"/>
    <w:rsid w:val="00EB02E6"/>
    <w:rsid w:val="00EB1304"/>
    <w:rsid w:val="00EB1D5B"/>
    <w:rsid w:val="00EB2696"/>
    <w:rsid w:val="00EB2958"/>
    <w:rsid w:val="00EB33EA"/>
    <w:rsid w:val="00EB3567"/>
    <w:rsid w:val="00EB397F"/>
    <w:rsid w:val="00EB3D5E"/>
    <w:rsid w:val="00EB3FC3"/>
    <w:rsid w:val="00EB42B0"/>
    <w:rsid w:val="00EB45FA"/>
    <w:rsid w:val="00EB4AAA"/>
    <w:rsid w:val="00EB4D93"/>
    <w:rsid w:val="00EB4E08"/>
    <w:rsid w:val="00EB581E"/>
    <w:rsid w:val="00EB5862"/>
    <w:rsid w:val="00EB58FA"/>
    <w:rsid w:val="00EB5963"/>
    <w:rsid w:val="00EB59D0"/>
    <w:rsid w:val="00EB5EFB"/>
    <w:rsid w:val="00EB663E"/>
    <w:rsid w:val="00EB6DB6"/>
    <w:rsid w:val="00EB6F2C"/>
    <w:rsid w:val="00EC00BA"/>
    <w:rsid w:val="00EC0183"/>
    <w:rsid w:val="00EC0968"/>
    <w:rsid w:val="00EC1160"/>
    <w:rsid w:val="00EC15CF"/>
    <w:rsid w:val="00EC16B6"/>
    <w:rsid w:val="00EC1FA6"/>
    <w:rsid w:val="00EC2220"/>
    <w:rsid w:val="00EC23A0"/>
    <w:rsid w:val="00EC2578"/>
    <w:rsid w:val="00EC29B9"/>
    <w:rsid w:val="00EC2AEB"/>
    <w:rsid w:val="00EC339D"/>
    <w:rsid w:val="00EC3626"/>
    <w:rsid w:val="00EC46B3"/>
    <w:rsid w:val="00EC49D0"/>
    <w:rsid w:val="00EC608E"/>
    <w:rsid w:val="00EC6C11"/>
    <w:rsid w:val="00EC70FF"/>
    <w:rsid w:val="00EC77A9"/>
    <w:rsid w:val="00EC7B23"/>
    <w:rsid w:val="00ED03EF"/>
    <w:rsid w:val="00ED0ACF"/>
    <w:rsid w:val="00ED1A2D"/>
    <w:rsid w:val="00ED1A7E"/>
    <w:rsid w:val="00ED1D37"/>
    <w:rsid w:val="00ED1FD5"/>
    <w:rsid w:val="00ED2B23"/>
    <w:rsid w:val="00ED2CBC"/>
    <w:rsid w:val="00ED38A1"/>
    <w:rsid w:val="00ED3929"/>
    <w:rsid w:val="00ED499B"/>
    <w:rsid w:val="00ED5544"/>
    <w:rsid w:val="00ED5940"/>
    <w:rsid w:val="00ED5E7B"/>
    <w:rsid w:val="00ED657B"/>
    <w:rsid w:val="00ED6642"/>
    <w:rsid w:val="00ED6A36"/>
    <w:rsid w:val="00ED6D86"/>
    <w:rsid w:val="00ED6E30"/>
    <w:rsid w:val="00ED70B7"/>
    <w:rsid w:val="00ED7282"/>
    <w:rsid w:val="00ED72C6"/>
    <w:rsid w:val="00ED794E"/>
    <w:rsid w:val="00EE001B"/>
    <w:rsid w:val="00EE00D4"/>
    <w:rsid w:val="00EE0E46"/>
    <w:rsid w:val="00EE16A1"/>
    <w:rsid w:val="00EE1B92"/>
    <w:rsid w:val="00EE2165"/>
    <w:rsid w:val="00EE2968"/>
    <w:rsid w:val="00EE2E23"/>
    <w:rsid w:val="00EE3007"/>
    <w:rsid w:val="00EE3213"/>
    <w:rsid w:val="00EE39DD"/>
    <w:rsid w:val="00EE39E7"/>
    <w:rsid w:val="00EE5EEB"/>
    <w:rsid w:val="00EE5F32"/>
    <w:rsid w:val="00EE6144"/>
    <w:rsid w:val="00EE6170"/>
    <w:rsid w:val="00EE7624"/>
    <w:rsid w:val="00EF01F6"/>
    <w:rsid w:val="00EF03A0"/>
    <w:rsid w:val="00EF0BD0"/>
    <w:rsid w:val="00EF0BE0"/>
    <w:rsid w:val="00EF1880"/>
    <w:rsid w:val="00EF1AF1"/>
    <w:rsid w:val="00EF1EC0"/>
    <w:rsid w:val="00EF28A0"/>
    <w:rsid w:val="00EF2E1F"/>
    <w:rsid w:val="00EF3376"/>
    <w:rsid w:val="00EF390C"/>
    <w:rsid w:val="00EF3F8C"/>
    <w:rsid w:val="00EF492A"/>
    <w:rsid w:val="00EF4EC0"/>
    <w:rsid w:val="00EF50F2"/>
    <w:rsid w:val="00EF5134"/>
    <w:rsid w:val="00EF579B"/>
    <w:rsid w:val="00EF5804"/>
    <w:rsid w:val="00EF58C2"/>
    <w:rsid w:val="00EF6BEA"/>
    <w:rsid w:val="00EF7490"/>
    <w:rsid w:val="00EF7B59"/>
    <w:rsid w:val="00F00548"/>
    <w:rsid w:val="00F00FAB"/>
    <w:rsid w:val="00F0104A"/>
    <w:rsid w:val="00F01065"/>
    <w:rsid w:val="00F0112D"/>
    <w:rsid w:val="00F01305"/>
    <w:rsid w:val="00F01492"/>
    <w:rsid w:val="00F01BE9"/>
    <w:rsid w:val="00F02F4F"/>
    <w:rsid w:val="00F0371F"/>
    <w:rsid w:val="00F03904"/>
    <w:rsid w:val="00F03B75"/>
    <w:rsid w:val="00F0413B"/>
    <w:rsid w:val="00F04154"/>
    <w:rsid w:val="00F042AB"/>
    <w:rsid w:val="00F06353"/>
    <w:rsid w:val="00F06696"/>
    <w:rsid w:val="00F07054"/>
    <w:rsid w:val="00F07498"/>
    <w:rsid w:val="00F07D62"/>
    <w:rsid w:val="00F109D6"/>
    <w:rsid w:val="00F109E9"/>
    <w:rsid w:val="00F11022"/>
    <w:rsid w:val="00F110E9"/>
    <w:rsid w:val="00F11130"/>
    <w:rsid w:val="00F12A7A"/>
    <w:rsid w:val="00F132E6"/>
    <w:rsid w:val="00F134C7"/>
    <w:rsid w:val="00F14060"/>
    <w:rsid w:val="00F14338"/>
    <w:rsid w:val="00F14E13"/>
    <w:rsid w:val="00F151CE"/>
    <w:rsid w:val="00F16D96"/>
    <w:rsid w:val="00F17871"/>
    <w:rsid w:val="00F17EF8"/>
    <w:rsid w:val="00F203A0"/>
    <w:rsid w:val="00F2174E"/>
    <w:rsid w:val="00F218CF"/>
    <w:rsid w:val="00F21D30"/>
    <w:rsid w:val="00F22041"/>
    <w:rsid w:val="00F22401"/>
    <w:rsid w:val="00F225EC"/>
    <w:rsid w:val="00F22F80"/>
    <w:rsid w:val="00F2326E"/>
    <w:rsid w:val="00F2337D"/>
    <w:rsid w:val="00F2372A"/>
    <w:rsid w:val="00F23B63"/>
    <w:rsid w:val="00F25E88"/>
    <w:rsid w:val="00F26293"/>
    <w:rsid w:val="00F26318"/>
    <w:rsid w:val="00F26570"/>
    <w:rsid w:val="00F26920"/>
    <w:rsid w:val="00F273DA"/>
    <w:rsid w:val="00F27796"/>
    <w:rsid w:val="00F279CF"/>
    <w:rsid w:val="00F27A50"/>
    <w:rsid w:val="00F301CB"/>
    <w:rsid w:val="00F30438"/>
    <w:rsid w:val="00F31794"/>
    <w:rsid w:val="00F31901"/>
    <w:rsid w:val="00F31AFF"/>
    <w:rsid w:val="00F31BB6"/>
    <w:rsid w:val="00F31DB6"/>
    <w:rsid w:val="00F321B0"/>
    <w:rsid w:val="00F32417"/>
    <w:rsid w:val="00F325B4"/>
    <w:rsid w:val="00F32B38"/>
    <w:rsid w:val="00F32D41"/>
    <w:rsid w:val="00F33CED"/>
    <w:rsid w:val="00F34147"/>
    <w:rsid w:val="00F34149"/>
    <w:rsid w:val="00F35386"/>
    <w:rsid w:val="00F354EC"/>
    <w:rsid w:val="00F35E25"/>
    <w:rsid w:val="00F367D4"/>
    <w:rsid w:val="00F36C54"/>
    <w:rsid w:val="00F379D2"/>
    <w:rsid w:val="00F40278"/>
    <w:rsid w:val="00F40BC6"/>
    <w:rsid w:val="00F40CBE"/>
    <w:rsid w:val="00F40FBF"/>
    <w:rsid w:val="00F41396"/>
    <w:rsid w:val="00F4175F"/>
    <w:rsid w:val="00F41A91"/>
    <w:rsid w:val="00F41AA9"/>
    <w:rsid w:val="00F41FF0"/>
    <w:rsid w:val="00F421AC"/>
    <w:rsid w:val="00F4347F"/>
    <w:rsid w:val="00F43C86"/>
    <w:rsid w:val="00F43E65"/>
    <w:rsid w:val="00F4406D"/>
    <w:rsid w:val="00F44195"/>
    <w:rsid w:val="00F44D71"/>
    <w:rsid w:val="00F451AE"/>
    <w:rsid w:val="00F46AB4"/>
    <w:rsid w:val="00F4701B"/>
    <w:rsid w:val="00F4723D"/>
    <w:rsid w:val="00F4767F"/>
    <w:rsid w:val="00F47AF8"/>
    <w:rsid w:val="00F50EDB"/>
    <w:rsid w:val="00F51089"/>
    <w:rsid w:val="00F512D6"/>
    <w:rsid w:val="00F51CAA"/>
    <w:rsid w:val="00F520EA"/>
    <w:rsid w:val="00F52962"/>
    <w:rsid w:val="00F52A3D"/>
    <w:rsid w:val="00F53560"/>
    <w:rsid w:val="00F53687"/>
    <w:rsid w:val="00F53A11"/>
    <w:rsid w:val="00F53DAA"/>
    <w:rsid w:val="00F53DCD"/>
    <w:rsid w:val="00F540CF"/>
    <w:rsid w:val="00F5486C"/>
    <w:rsid w:val="00F54E62"/>
    <w:rsid w:val="00F551E3"/>
    <w:rsid w:val="00F551ED"/>
    <w:rsid w:val="00F55694"/>
    <w:rsid w:val="00F5576F"/>
    <w:rsid w:val="00F557EA"/>
    <w:rsid w:val="00F55FD5"/>
    <w:rsid w:val="00F5640E"/>
    <w:rsid w:val="00F56D57"/>
    <w:rsid w:val="00F56DB0"/>
    <w:rsid w:val="00F56F50"/>
    <w:rsid w:val="00F57A35"/>
    <w:rsid w:val="00F6042E"/>
    <w:rsid w:val="00F60C57"/>
    <w:rsid w:val="00F61742"/>
    <w:rsid w:val="00F624D4"/>
    <w:rsid w:val="00F624EB"/>
    <w:rsid w:val="00F62AB4"/>
    <w:rsid w:val="00F631EA"/>
    <w:rsid w:val="00F63324"/>
    <w:rsid w:val="00F6465A"/>
    <w:rsid w:val="00F6549D"/>
    <w:rsid w:val="00F65561"/>
    <w:rsid w:val="00F6566E"/>
    <w:rsid w:val="00F657AE"/>
    <w:rsid w:val="00F658C2"/>
    <w:rsid w:val="00F65B68"/>
    <w:rsid w:val="00F660B3"/>
    <w:rsid w:val="00F66E7B"/>
    <w:rsid w:val="00F672AA"/>
    <w:rsid w:val="00F67CB0"/>
    <w:rsid w:val="00F7045A"/>
    <w:rsid w:val="00F707AB"/>
    <w:rsid w:val="00F711B4"/>
    <w:rsid w:val="00F711B5"/>
    <w:rsid w:val="00F714EC"/>
    <w:rsid w:val="00F718D5"/>
    <w:rsid w:val="00F71AC3"/>
    <w:rsid w:val="00F71CB0"/>
    <w:rsid w:val="00F72232"/>
    <w:rsid w:val="00F72577"/>
    <w:rsid w:val="00F72D08"/>
    <w:rsid w:val="00F736FC"/>
    <w:rsid w:val="00F7424E"/>
    <w:rsid w:val="00F7427B"/>
    <w:rsid w:val="00F7487E"/>
    <w:rsid w:val="00F74FC2"/>
    <w:rsid w:val="00F75497"/>
    <w:rsid w:val="00F75837"/>
    <w:rsid w:val="00F7659B"/>
    <w:rsid w:val="00F76669"/>
    <w:rsid w:val="00F77A49"/>
    <w:rsid w:val="00F77C73"/>
    <w:rsid w:val="00F77E6A"/>
    <w:rsid w:val="00F80507"/>
    <w:rsid w:val="00F80536"/>
    <w:rsid w:val="00F80A5D"/>
    <w:rsid w:val="00F80EF1"/>
    <w:rsid w:val="00F81031"/>
    <w:rsid w:val="00F81437"/>
    <w:rsid w:val="00F815A6"/>
    <w:rsid w:val="00F8181E"/>
    <w:rsid w:val="00F81DF0"/>
    <w:rsid w:val="00F82628"/>
    <w:rsid w:val="00F83FC5"/>
    <w:rsid w:val="00F85055"/>
    <w:rsid w:val="00F859ED"/>
    <w:rsid w:val="00F8663E"/>
    <w:rsid w:val="00F86733"/>
    <w:rsid w:val="00F86BB3"/>
    <w:rsid w:val="00F86FF9"/>
    <w:rsid w:val="00F8736C"/>
    <w:rsid w:val="00F8785A"/>
    <w:rsid w:val="00F87A9A"/>
    <w:rsid w:val="00F87AB7"/>
    <w:rsid w:val="00F90288"/>
    <w:rsid w:val="00F916A1"/>
    <w:rsid w:val="00F91B00"/>
    <w:rsid w:val="00F91D3C"/>
    <w:rsid w:val="00F934F1"/>
    <w:rsid w:val="00F935A6"/>
    <w:rsid w:val="00F94243"/>
    <w:rsid w:val="00F94593"/>
    <w:rsid w:val="00F94903"/>
    <w:rsid w:val="00F95564"/>
    <w:rsid w:val="00F95EE7"/>
    <w:rsid w:val="00F95F44"/>
    <w:rsid w:val="00F9752A"/>
    <w:rsid w:val="00F975F0"/>
    <w:rsid w:val="00F97CE7"/>
    <w:rsid w:val="00FA0467"/>
    <w:rsid w:val="00FA054E"/>
    <w:rsid w:val="00FA156E"/>
    <w:rsid w:val="00FA1A30"/>
    <w:rsid w:val="00FA2093"/>
    <w:rsid w:val="00FA27B9"/>
    <w:rsid w:val="00FA28B0"/>
    <w:rsid w:val="00FA2B69"/>
    <w:rsid w:val="00FA311D"/>
    <w:rsid w:val="00FA50B6"/>
    <w:rsid w:val="00FA618F"/>
    <w:rsid w:val="00FA689D"/>
    <w:rsid w:val="00FA6AB9"/>
    <w:rsid w:val="00FA6E16"/>
    <w:rsid w:val="00FA7265"/>
    <w:rsid w:val="00FA72BC"/>
    <w:rsid w:val="00FB0B01"/>
    <w:rsid w:val="00FB1B76"/>
    <w:rsid w:val="00FB1C45"/>
    <w:rsid w:val="00FB1EF0"/>
    <w:rsid w:val="00FB2766"/>
    <w:rsid w:val="00FB2FD5"/>
    <w:rsid w:val="00FB3098"/>
    <w:rsid w:val="00FB39A5"/>
    <w:rsid w:val="00FB3B23"/>
    <w:rsid w:val="00FB49A6"/>
    <w:rsid w:val="00FB49DF"/>
    <w:rsid w:val="00FB5886"/>
    <w:rsid w:val="00FB5FF8"/>
    <w:rsid w:val="00FB6711"/>
    <w:rsid w:val="00FB695F"/>
    <w:rsid w:val="00FB6D77"/>
    <w:rsid w:val="00FB7308"/>
    <w:rsid w:val="00FB775E"/>
    <w:rsid w:val="00FB77ED"/>
    <w:rsid w:val="00FB78CC"/>
    <w:rsid w:val="00FC0B02"/>
    <w:rsid w:val="00FC0B5C"/>
    <w:rsid w:val="00FC1551"/>
    <w:rsid w:val="00FC16C6"/>
    <w:rsid w:val="00FC1C37"/>
    <w:rsid w:val="00FC1F78"/>
    <w:rsid w:val="00FC28EA"/>
    <w:rsid w:val="00FC298B"/>
    <w:rsid w:val="00FC2CB4"/>
    <w:rsid w:val="00FC2E81"/>
    <w:rsid w:val="00FC3C0B"/>
    <w:rsid w:val="00FC44F3"/>
    <w:rsid w:val="00FC4973"/>
    <w:rsid w:val="00FC5498"/>
    <w:rsid w:val="00FC5A4F"/>
    <w:rsid w:val="00FC6013"/>
    <w:rsid w:val="00FC6BAD"/>
    <w:rsid w:val="00FC6E24"/>
    <w:rsid w:val="00FC720E"/>
    <w:rsid w:val="00FC72EB"/>
    <w:rsid w:val="00FC7644"/>
    <w:rsid w:val="00FC7BCA"/>
    <w:rsid w:val="00FC7FA0"/>
    <w:rsid w:val="00FD004B"/>
    <w:rsid w:val="00FD037C"/>
    <w:rsid w:val="00FD0C36"/>
    <w:rsid w:val="00FD1023"/>
    <w:rsid w:val="00FD1454"/>
    <w:rsid w:val="00FD19F5"/>
    <w:rsid w:val="00FD1F00"/>
    <w:rsid w:val="00FD218C"/>
    <w:rsid w:val="00FD237A"/>
    <w:rsid w:val="00FD2395"/>
    <w:rsid w:val="00FD2580"/>
    <w:rsid w:val="00FD2607"/>
    <w:rsid w:val="00FD343A"/>
    <w:rsid w:val="00FD5557"/>
    <w:rsid w:val="00FD5F94"/>
    <w:rsid w:val="00FD6174"/>
    <w:rsid w:val="00FD6398"/>
    <w:rsid w:val="00FD643D"/>
    <w:rsid w:val="00FD6B29"/>
    <w:rsid w:val="00FD6B90"/>
    <w:rsid w:val="00FD6E14"/>
    <w:rsid w:val="00FD7035"/>
    <w:rsid w:val="00FD77E2"/>
    <w:rsid w:val="00FD7CC4"/>
    <w:rsid w:val="00FE01EF"/>
    <w:rsid w:val="00FE1201"/>
    <w:rsid w:val="00FE1E04"/>
    <w:rsid w:val="00FE29A4"/>
    <w:rsid w:val="00FE2A4D"/>
    <w:rsid w:val="00FE4559"/>
    <w:rsid w:val="00FE4A89"/>
    <w:rsid w:val="00FE55D5"/>
    <w:rsid w:val="00FE58E5"/>
    <w:rsid w:val="00FE5F38"/>
    <w:rsid w:val="00FE6463"/>
    <w:rsid w:val="00FE702E"/>
    <w:rsid w:val="00FF053C"/>
    <w:rsid w:val="00FF0549"/>
    <w:rsid w:val="00FF0815"/>
    <w:rsid w:val="00FF0E06"/>
    <w:rsid w:val="00FF0F33"/>
    <w:rsid w:val="00FF12AB"/>
    <w:rsid w:val="00FF1E07"/>
    <w:rsid w:val="00FF287E"/>
    <w:rsid w:val="00FF3E36"/>
    <w:rsid w:val="00FF40D2"/>
    <w:rsid w:val="00FF4202"/>
    <w:rsid w:val="00FF5792"/>
    <w:rsid w:val="00FF5945"/>
    <w:rsid w:val="00FF61E0"/>
    <w:rsid w:val="00FF64C1"/>
    <w:rsid w:val="00FF6B4F"/>
    <w:rsid w:val="00FF7931"/>
    <w:rsid w:val="00FF7DF3"/>
    <w:rsid w:val="01087921"/>
    <w:rsid w:val="011F501F"/>
    <w:rsid w:val="01325A8F"/>
    <w:rsid w:val="013740C7"/>
    <w:rsid w:val="01657547"/>
    <w:rsid w:val="01B925C5"/>
    <w:rsid w:val="01F01484"/>
    <w:rsid w:val="020C49A1"/>
    <w:rsid w:val="02462873"/>
    <w:rsid w:val="025979B0"/>
    <w:rsid w:val="025A2A49"/>
    <w:rsid w:val="025D250C"/>
    <w:rsid w:val="026676B1"/>
    <w:rsid w:val="02761525"/>
    <w:rsid w:val="034E4A80"/>
    <w:rsid w:val="03947B1F"/>
    <w:rsid w:val="03A60CAF"/>
    <w:rsid w:val="046D22FD"/>
    <w:rsid w:val="0472170A"/>
    <w:rsid w:val="047D6ED0"/>
    <w:rsid w:val="04B026FF"/>
    <w:rsid w:val="04CB0BD2"/>
    <w:rsid w:val="05187EB4"/>
    <w:rsid w:val="054352C2"/>
    <w:rsid w:val="05B376AC"/>
    <w:rsid w:val="05C54954"/>
    <w:rsid w:val="05D51D1D"/>
    <w:rsid w:val="05DD7D0E"/>
    <w:rsid w:val="0620235A"/>
    <w:rsid w:val="068152FB"/>
    <w:rsid w:val="068721B0"/>
    <w:rsid w:val="068C79F0"/>
    <w:rsid w:val="06A92350"/>
    <w:rsid w:val="06BC578E"/>
    <w:rsid w:val="06DC05C8"/>
    <w:rsid w:val="06F058E2"/>
    <w:rsid w:val="06F17BC9"/>
    <w:rsid w:val="071807FD"/>
    <w:rsid w:val="072C0774"/>
    <w:rsid w:val="072F3960"/>
    <w:rsid w:val="074C3154"/>
    <w:rsid w:val="076A0C82"/>
    <w:rsid w:val="077F291D"/>
    <w:rsid w:val="07806899"/>
    <w:rsid w:val="079F5C53"/>
    <w:rsid w:val="07AE2E73"/>
    <w:rsid w:val="07F13DA6"/>
    <w:rsid w:val="081D74F8"/>
    <w:rsid w:val="083D52C7"/>
    <w:rsid w:val="084B0747"/>
    <w:rsid w:val="088713CF"/>
    <w:rsid w:val="08DD1E40"/>
    <w:rsid w:val="099F454C"/>
    <w:rsid w:val="09CA058E"/>
    <w:rsid w:val="09FA711F"/>
    <w:rsid w:val="0A2A0F76"/>
    <w:rsid w:val="0A43244A"/>
    <w:rsid w:val="0A874A8B"/>
    <w:rsid w:val="0AD57BB7"/>
    <w:rsid w:val="0B013C93"/>
    <w:rsid w:val="0B0808AF"/>
    <w:rsid w:val="0B6223F2"/>
    <w:rsid w:val="0B9855E1"/>
    <w:rsid w:val="0BC542E9"/>
    <w:rsid w:val="0BFD1F0A"/>
    <w:rsid w:val="0C011912"/>
    <w:rsid w:val="0C2C0215"/>
    <w:rsid w:val="0C4C0604"/>
    <w:rsid w:val="0C5224B1"/>
    <w:rsid w:val="0C9F06C7"/>
    <w:rsid w:val="0CC4099A"/>
    <w:rsid w:val="0CCB0F69"/>
    <w:rsid w:val="0CED5EDE"/>
    <w:rsid w:val="0CF47DD7"/>
    <w:rsid w:val="0CF95FFD"/>
    <w:rsid w:val="0D0259DA"/>
    <w:rsid w:val="0D177EAC"/>
    <w:rsid w:val="0D276B24"/>
    <w:rsid w:val="0D9517F4"/>
    <w:rsid w:val="0DAA2E13"/>
    <w:rsid w:val="0DAC24A0"/>
    <w:rsid w:val="0DBD4932"/>
    <w:rsid w:val="0DD269B4"/>
    <w:rsid w:val="0E2E2E20"/>
    <w:rsid w:val="0EAA5CD4"/>
    <w:rsid w:val="0EE64C44"/>
    <w:rsid w:val="0EF36C51"/>
    <w:rsid w:val="0EF776D2"/>
    <w:rsid w:val="0F690F4A"/>
    <w:rsid w:val="0FA4736A"/>
    <w:rsid w:val="0FE72873"/>
    <w:rsid w:val="0FF56606"/>
    <w:rsid w:val="0FFB2B9B"/>
    <w:rsid w:val="102410C6"/>
    <w:rsid w:val="10381125"/>
    <w:rsid w:val="105231B3"/>
    <w:rsid w:val="107B3450"/>
    <w:rsid w:val="10991687"/>
    <w:rsid w:val="10FF75DF"/>
    <w:rsid w:val="110D65DA"/>
    <w:rsid w:val="112062AC"/>
    <w:rsid w:val="11235234"/>
    <w:rsid w:val="11300749"/>
    <w:rsid w:val="11567BA9"/>
    <w:rsid w:val="115B520D"/>
    <w:rsid w:val="11715020"/>
    <w:rsid w:val="117A78EF"/>
    <w:rsid w:val="11DC0469"/>
    <w:rsid w:val="12206C45"/>
    <w:rsid w:val="12356796"/>
    <w:rsid w:val="123A2F26"/>
    <w:rsid w:val="12A54532"/>
    <w:rsid w:val="12CC233E"/>
    <w:rsid w:val="13475173"/>
    <w:rsid w:val="13581E49"/>
    <w:rsid w:val="13B13A0A"/>
    <w:rsid w:val="13BE21B9"/>
    <w:rsid w:val="141451BB"/>
    <w:rsid w:val="14721F7F"/>
    <w:rsid w:val="14880E34"/>
    <w:rsid w:val="14BC5944"/>
    <w:rsid w:val="14DB1649"/>
    <w:rsid w:val="14E92C0A"/>
    <w:rsid w:val="159D1999"/>
    <w:rsid w:val="15D218F8"/>
    <w:rsid w:val="15DE37C5"/>
    <w:rsid w:val="16134523"/>
    <w:rsid w:val="16194382"/>
    <w:rsid w:val="16441FFC"/>
    <w:rsid w:val="165813C4"/>
    <w:rsid w:val="16910B82"/>
    <w:rsid w:val="169C6917"/>
    <w:rsid w:val="16A01B34"/>
    <w:rsid w:val="16A90140"/>
    <w:rsid w:val="17486F69"/>
    <w:rsid w:val="174C540E"/>
    <w:rsid w:val="174F2117"/>
    <w:rsid w:val="1750746F"/>
    <w:rsid w:val="177F3F6A"/>
    <w:rsid w:val="17D3400A"/>
    <w:rsid w:val="17D93278"/>
    <w:rsid w:val="17DC769F"/>
    <w:rsid w:val="180F1DBD"/>
    <w:rsid w:val="18271B83"/>
    <w:rsid w:val="1827373C"/>
    <w:rsid w:val="182C6729"/>
    <w:rsid w:val="185E488C"/>
    <w:rsid w:val="18A5507B"/>
    <w:rsid w:val="18CC7763"/>
    <w:rsid w:val="18F57676"/>
    <w:rsid w:val="19094FE8"/>
    <w:rsid w:val="191215A4"/>
    <w:rsid w:val="192D4EDF"/>
    <w:rsid w:val="19561A3B"/>
    <w:rsid w:val="19690209"/>
    <w:rsid w:val="19A34EB2"/>
    <w:rsid w:val="1A8E715A"/>
    <w:rsid w:val="1A907B5F"/>
    <w:rsid w:val="1ADB550A"/>
    <w:rsid w:val="1AF128EB"/>
    <w:rsid w:val="1B152C95"/>
    <w:rsid w:val="1B2202C4"/>
    <w:rsid w:val="1B2A6B57"/>
    <w:rsid w:val="1B331036"/>
    <w:rsid w:val="1B340464"/>
    <w:rsid w:val="1B707AD4"/>
    <w:rsid w:val="1B76162A"/>
    <w:rsid w:val="1B7C4393"/>
    <w:rsid w:val="1B7F0850"/>
    <w:rsid w:val="1B8367C3"/>
    <w:rsid w:val="1B947B53"/>
    <w:rsid w:val="1BF303E9"/>
    <w:rsid w:val="1C174DEB"/>
    <w:rsid w:val="1C4A5887"/>
    <w:rsid w:val="1C530CBA"/>
    <w:rsid w:val="1C747784"/>
    <w:rsid w:val="1CB826E0"/>
    <w:rsid w:val="1CCE5BC2"/>
    <w:rsid w:val="1CF3362F"/>
    <w:rsid w:val="1D000A34"/>
    <w:rsid w:val="1D9146BD"/>
    <w:rsid w:val="1E096343"/>
    <w:rsid w:val="1E344773"/>
    <w:rsid w:val="1E427D07"/>
    <w:rsid w:val="1E636E12"/>
    <w:rsid w:val="1EA8381C"/>
    <w:rsid w:val="1EB32A5C"/>
    <w:rsid w:val="1EB34A2D"/>
    <w:rsid w:val="1EB97F53"/>
    <w:rsid w:val="1EC738EA"/>
    <w:rsid w:val="1EDA4290"/>
    <w:rsid w:val="1EE045C4"/>
    <w:rsid w:val="1EFB4ECA"/>
    <w:rsid w:val="1F0974EB"/>
    <w:rsid w:val="1F342A56"/>
    <w:rsid w:val="1F4E31C7"/>
    <w:rsid w:val="1F8B7E8D"/>
    <w:rsid w:val="1FE72131"/>
    <w:rsid w:val="1FF66F63"/>
    <w:rsid w:val="2025417D"/>
    <w:rsid w:val="20AD05D0"/>
    <w:rsid w:val="20B4784E"/>
    <w:rsid w:val="20EC1EDF"/>
    <w:rsid w:val="20F913FF"/>
    <w:rsid w:val="210B39A1"/>
    <w:rsid w:val="217E2785"/>
    <w:rsid w:val="2180094C"/>
    <w:rsid w:val="21A33F9E"/>
    <w:rsid w:val="21DA7226"/>
    <w:rsid w:val="21DC67D8"/>
    <w:rsid w:val="21E81C49"/>
    <w:rsid w:val="21EA3D5D"/>
    <w:rsid w:val="22497634"/>
    <w:rsid w:val="22735240"/>
    <w:rsid w:val="22BB7CE7"/>
    <w:rsid w:val="22F92DE8"/>
    <w:rsid w:val="23047455"/>
    <w:rsid w:val="238606B2"/>
    <w:rsid w:val="23C92C6E"/>
    <w:rsid w:val="23FF170E"/>
    <w:rsid w:val="24025648"/>
    <w:rsid w:val="2436620B"/>
    <w:rsid w:val="245357FD"/>
    <w:rsid w:val="24810CCB"/>
    <w:rsid w:val="24D41A97"/>
    <w:rsid w:val="24FF139E"/>
    <w:rsid w:val="25470C94"/>
    <w:rsid w:val="25703D14"/>
    <w:rsid w:val="25B01FF2"/>
    <w:rsid w:val="26015B0F"/>
    <w:rsid w:val="262B7E38"/>
    <w:rsid w:val="266273FF"/>
    <w:rsid w:val="26C6192F"/>
    <w:rsid w:val="270368A5"/>
    <w:rsid w:val="2709377B"/>
    <w:rsid w:val="271635D9"/>
    <w:rsid w:val="27174C6B"/>
    <w:rsid w:val="274A166A"/>
    <w:rsid w:val="276819BA"/>
    <w:rsid w:val="277F476C"/>
    <w:rsid w:val="278338DC"/>
    <w:rsid w:val="278970EC"/>
    <w:rsid w:val="27914354"/>
    <w:rsid w:val="27D82559"/>
    <w:rsid w:val="280B39EC"/>
    <w:rsid w:val="280D4ECB"/>
    <w:rsid w:val="282A0D99"/>
    <w:rsid w:val="285424D3"/>
    <w:rsid w:val="28542963"/>
    <w:rsid w:val="28655613"/>
    <w:rsid w:val="28910EE1"/>
    <w:rsid w:val="289F7620"/>
    <w:rsid w:val="28E440CB"/>
    <w:rsid w:val="291D5F93"/>
    <w:rsid w:val="293B49B3"/>
    <w:rsid w:val="295E7ADC"/>
    <w:rsid w:val="2974494B"/>
    <w:rsid w:val="2981560F"/>
    <w:rsid w:val="299946E5"/>
    <w:rsid w:val="29B005FC"/>
    <w:rsid w:val="29D609B1"/>
    <w:rsid w:val="29E234CB"/>
    <w:rsid w:val="2A1654C7"/>
    <w:rsid w:val="2A274461"/>
    <w:rsid w:val="2A397DBC"/>
    <w:rsid w:val="2A570D05"/>
    <w:rsid w:val="2A8E0AB8"/>
    <w:rsid w:val="2A95491E"/>
    <w:rsid w:val="2ADF061D"/>
    <w:rsid w:val="2AF76857"/>
    <w:rsid w:val="2B0271EB"/>
    <w:rsid w:val="2B0A3C4B"/>
    <w:rsid w:val="2B2F225E"/>
    <w:rsid w:val="2B320029"/>
    <w:rsid w:val="2B704049"/>
    <w:rsid w:val="2BC72F4D"/>
    <w:rsid w:val="2BF5348F"/>
    <w:rsid w:val="2C717D0A"/>
    <w:rsid w:val="2C79084D"/>
    <w:rsid w:val="2C796DB8"/>
    <w:rsid w:val="2C8B5ED0"/>
    <w:rsid w:val="2C9424B7"/>
    <w:rsid w:val="2CE03226"/>
    <w:rsid w:val="2D3E41FC"/>
    <w:rsid w:val="2D674746"/>
    <w:rsid w:val="2DCB2E33"/>
    <w:rsid w:val="2DCE6B5D"/>
    <w:rsid w:val="2E027B8B"/>
    <w:rsid w:val="2E12335B"/>
    <w:rsid w:val="2E203AB2"/>
    <w:rsid w:val="2E3E070B"/>
    <w:rsid w:val="2E627104"/>
    <w:rsid w:val="2E6B689A"/>
    <w:rsid w:val="2E777D30"/>
    <w:rsid w:val="2EE746E9"/>
    <w:rsid w:val="2F0D34ED"/>
    <w:rsid w:val="2F340BB0"/>
    <w:rsid w:val="2FCA4C95"/>
    <w:rsid w:val="3002621D"/>
    <w:rsid w:val="30422D49"/>
    <w:rsid w:val="30E03411"/>
    <w:rsid w:val="30E62243"/>
    <w:rsid w:val="312732DE"/>
    <w:rsid w:val="31355142"/>
    <w:rsid w:val="31376D40"/>
    <w:rsid w:val="31476550"/>
    <w:rsid w:val="315E31E3"/>
    <w:rsid w:val="31B04860"/>
    <w:rsid w:val="31B34852"/>
    <w:rsid w:val="31B54FE6"/>
    <w:rsid w:val="31BA4390"/>
    <w:rsid w:val="31C22E2E"/>
    <w:rsid w:val="31F80E92"/>
    <w:rsid w:val="32336DA4"/>
    <w:rsid w:val="326E13C7"/>
    <w:rsid w:val="32F46FC2"/>
    <w:rsid w:val="330176E2"/>
    <w:rsid w:val="33092D40"/>
    <w:rsid w:val="332F53E5"/>
    <w:rsid w:val="336472E3"/>
    <w:rsid w:val="33A900ED"/>
    <w:rsid w:val="33F813B8"/>
    <w:rsid w:val="340C6FD8"/>
    <w:rsid w:val="346150DF"/>
    <w:rsid w:val="34E521E2"/>
    <w:rsid w:val="34E71D2F"/>
    <w:rsid w:val="34EB792B"/>
    <w:rsid w:val="352D2D85"/>
    <w:rsid w:val="352E42F0"/>
    <w:rsid w:val="353A10F0"/>
    <w:rsid w:val="35534721"/>
    <w:rsid w:val="355447E0"/>
    <w:rsid w:val="3572431A"/>
    <w:rsid w:val="35724EDF"/>
    <w:rsid w:val="35F37A74"/>
    <w:rsid w:val="35FE2545"/>
    <w:rsid w:val="365531D5"/>
    <w:rsid w:val="367F5267"/>
    <w:rsid w:val="368F3D27"/>
    <w:rsid w:val="36B01782"/>
    <w:rsid w:val="36F42D6B"/>
    <w:rsid w:val="36FD34CA"/>
    <w:rsid w:val="370A148E"/>
    <w:rsid w:val="3722005D"/>
    <w:rsid w:val="37431804"/>
    <w:rsid w:val="37530180"/>
    <w:rsid w:val="37B671B0"/>
    <w:rsid w:val="37C444C8"/>
    <w:rsid w:val="37E70595"/>
    <w:rsid w:val="37EF6EBB"/>
    <w:rsid w:val="37FE56D1"/>
    <w:rsid w:val="38894CFD"/>
    <w:rsid w:val="38B34C44"/>
    <w:rsid w:val="38DB6696"/>
    <w:rsid w:val="38F10F0E"/>
    <w:rsid w:val="393269F4"/>
    <w:rsid w:val="3938474D"/>
    <w:rsid w:val="396C250A"/>
    <w:rsid w:val="39744D5D"/>
    <w:rsid w:val="399E27F6"/>
    <w:rsid w:val="39C61073"/>
    <w:rsid w:val="3B34257F"/>
    <w:rsid w:val="3B854E3C"/>
    <w:rsid w:val="3B8D2E62"/>
    <w:rsid w:val="3B9A105F"/>
    <w:rsid w:val="3BBE0FAD"/>
    <w:rsid w:val="3BE62F7B"/>
    <w:rsid w:val="3C3A521C"/>
    <w:rsid w:val="3C6549D8"/>
    <w:rsid w:val="3C7021F2"/>
    <w:rsid w:val="3C7C11BA"/>
    <w:rsid w:val="3C7D700F"/>
    <w:rsid w:val="3C7E21D5"/>
    <w:rsid w:val="3CC752F6"/>
    <w:rsid w:val="3CD42058"/>
    <w:rsid w:val="3D2E3AD0"/>
    <w:rsid w:val="3D576E4D"/>
    <w:rsid w:val="3D5C0027"/>
    <w:rsid w:val="3D91058D"/>
    <w:rsid w:val="3DD15B01"/>
    <w:rsid w:val="3E1E4746"/>
    <w:rsid w:val="3E1E61E6"/>
    <w:rsid w:val="3E4C7651"/>
    <w:rsid w:val="3EA61B67"/>
    <w:rsid w:val="3EC577CE"/>
    <w:rsid w:val="3ECD44BA"/>
    <w:rsid w:val="3EDE5BE9"/>
    <w:rsid w:val="3EE80289"/>
    <w:rsid w:val="3EEB5440"/>
    <w:rsid w:val="3EF22CEA"/>
    <w:rsid w:val="3F1E7DB9"/>
    <w:rsid w:val="3F402B4A"/>
    <w:rsid w:val="3F4579CC"/>
    <w:rsid w:val="3F5E3ACD"/>
    <w:rsid w:val="3F790C5F"/>
    <w:rsid w:val="3F890756"/>
    <w:rsid w:val="3FA54467"/>
    <w:rsid w:val="3FDD11BE"/>
    <w:rsid w:val="400D443B"/>
    <w:rsid w:val="401E6996"/>
    <w:rsid w:val="4024421A"/>
    <w:rsid w:val="404D5CDB"/>
    <w:rsid w:val="40545E0C"/>
    <w:rsid w:val="405C4545"/>
    <w:rsid w:val="405C6914"/>
    <w:rsid w:val="406325FC"/>
    <w:rsid w:val="406B45A9"/>
    <w:rsid w:val="40842252"/>
    <w:rsid w:val="40914CE3"/>
    <w:rsid w:val="40D821E4"/>
    <w:rsid w:val="40DC28C4"/>
    <w:rsid w:val="40DD4E66"/>
    <w:rsid w:val="40F15F4B"/>
    <w:rsid w:val="410560EC"/>
    <w:rsid w:val="416949FF"/>
    <w:rsid w:val="41A24A30"/>
    <w:rsid w:val="41AD023F"/>
    <w:rsid w:val="42595F52"/>
    <w:rsid w:val="426B3DF9"/>
    <w:rsid w:val="426B5BC3"/>
    <w:rsid w:val="4274508B"/>
    <w:rsid w:val="42786774"/>
    <w:rsid w:val="428D5CD5"/>
    <w:rsid w:val="429043C0"/>
    <w:rsid w:val="42B91124"/>
    <w:rsid w:val="42F34585"/>
    <w:rsid w:val="43165686"/>
    <w:rsid w:val="432F56FC"/>
    <w:rsid w:val="43372236"/>
    <w:rsid w:val="433930C1"/>
    <w:rsid w:val="435269FA"/>
    <w:rsid w:val="43736F3E"/>
    <w:rsid w:val="43E41382"/>
    <w:rsid w:val="43E5547F"/>
    <w:rsid w:val="43EE573A"/>
    <w:rsid w:val="44195DBC"/>
    <w:rsid w:val="44874B24"/>
    <w:rsid w:val="448D48ED"/>
    <w:rsid w:val="44C965AE"/>
    <w:rsid w:val="45022B91"/>
    <w:rsid w:val="453F2CE0"/>
    <w:rsid w:val="45596713"/>
    <w:rsid w:val="458C12F1"/>
    <w:rsid w:val="459F5134"/>
    <w:rsid w:val="45A43523"/>
    <w:rsid w:val="45A54E4D"/>
    <w:rsid w:val="45B626AF"/>
    <w:rsid w:val="45CF0C65"/>
    <w:rsid w:val="4607150E"/>
    <w:rsid w:val="46442791"/>
    <w:rsid w:val="465962BB"/>
    <w:rsid w:val="46CA371B"/>
    <w:rsid w:val="472A5625"/>
    <w:rsid w:val="477A607D"/>
    <w:rsid w:val="47A17BE1"/>
    <w:rsid w:val="47AE3F08"/>
    <w:rsid w:val="47D209FF"/>
    <w:rsid w:val="47FC705A"/>
    <w:rsid w:val="48294017"/>
    <w:rsid w:val="487C1A48"/>
    <w:rsid w:val="4964616A"/>
    <w:rsid w:val="497964D5"/>
    <w:rsid w:val="49EA6EE4"/>
    <w:rsid w:val="4A042449"/>
    <w:rsid w:val="4A0D1FEA"/>
    <w:rsid w:val="4A0E68B9"/>
    <w:rsid w:val="4A21091C"/>
    <w:rsid w:val="4A8057BE"/>
    <w:rsid w:val="4A8A2770"/>
    <w:rsid w:val="4A9D2FD4"/>
    <w:rsid w:val="4AC8475E"/>
    <w:rsid w:val="4B2636B7"/>
    <w:rsid w:val="4B280987"/>
    <w:rsid w:val="4B3B7E71"/>
    <w:rsid w:val="4B427D92"/>
    <w:rsid w:val="4B4C3318"/>
    <w:rsid w:val="4B60499A"/>
    <w:rsid w:val="4B7E06E2"/>
    <w:rsid w:val="4B7E2C6D"/>
    <w:rsid w:val="4B8C0EE4"/>
    <w:rsid w:val="4BBC5C4E"/>
    <w:rsid w:val="4BC70A64"/>
    <w:rsid w:val="4BE02A4A"/>
    <w:rsid w:val="4C161718"/>
    <w:rsid w:val="4C6A7E48"/>
    <w:rsid w:val="4C9E3370"/>
    <w:rsid w:val="4D4B21E3"/>
    <w:rsid w:val="4D9B4C52"/>
    <w:rsid w:val="4DC44B93"/>
    <w:rsid w:val="4DFD40C0"/>
    <w:rsid w:val="4E157C24"/>
    <w:rsid w:val="4E877D43"/>
    <w:rsid w:val="4E972856"/>
    <w:rsid w:val="4F0016F7"/>
    <w:rsid w:val="4F2E4538"/>
    <w:rsid w:val="4F580DE7"/>
    <w:rsid w:val="4F593890"/>
    <w:rsid w:val="4F6472B1"/>
    <w:rsid w:val="4F7E58D9"/>
    <w:rsid w:val="4FA4609F"/>
    <w:rsid w:val="4FAA0B86"/>
    <w:rsid w:val="4FB938A1"/>
    <w:rsid w:val="4FED057D"/>
    <w:rsid w:val="500715B9"/>
    <w:rsid w:val="504728B5"/>
    <w:rsid w:val="505720F7"/>
    <w:rsid w:val="50744E65"/>
    <w:rsid w:val="50A542C1"/>
    <w:rsid w:val="50A852B2"/>
    <w:rsid w:val="50AF4C9D"/>
    <w:rsid w:val="50BC51F2"/>
    <w:rsid w:val="50C121C9"/>
    <w:rsid w:val="512D73DA"/>
    <w:rsid w:val="51477DE0"/>
    <w:rsid w:val="514A14D1"/>
    <w:rsid w:val="51561FEF"/>
    <w:rsid w:val="51BD037A"/>
    <w:rsid w:val="51DA5A7E"/>
    <w:rsid w:val="51EA75C2"/>
    <w:rsid w:val="51FE26DD"/>
    <w:rsid w:val="5217423B"/>
    <w:rsid w:val="521A1F41"/>
    <w:rsid w:val="521F7AA6"/>
    <w:rsid w:val="52595FA5"/>
    <w:rsid w:val="526473C9"/>
    <w:rsid w:val="527C069C"/>
    <w:rsid w:val="527E37E2"/>
    <w:rsid w:val="528B6208"/>
    <w:rsid w:val="52B831DF"/>
    <w:rsid w:val="52DB7796"/>
    <w:rsid w:val="53056435"/>
    <w:rsid w:val="5334256E"/>
    <w:rsid w:val="5347402E"/>
    <w:rsid w:val="5379571A"/>
    <w:rsid w:val="538D6B07"/>
    <w:rsid w:val="53BE278C"/>
    <w:rsid w:val="53C41B58"/>
    <w:rsid w:val="53C9756F"/>
    <w:rsid w:val="54223901"/>
    <w:rsid w:val="54453E24"/>
    <w:rsid w:val="545C7C81"/>
    <w:rsid w:val="548F0ECC"/>
    <w:rsid w:val="549C13A7"/>
    <w:rsid w:val="54DA2731"/>
    <w:rsid w:val="54EA57BF"/>
    <w:rsid w:val="550B5A18"/>
    <w:rsid w:val="555579B7"/>
    <w:rsid w:val="557C4262"/>
    <w:rsid w:val="55803F93"/>
    <w:rsid w:val="55C10F32"/>
    <w:rsid w:val="55C83AD8"/>
    <w:rsid w:val="55D944EA"/>
    <w:rsid w:val="55EC5128"/>
    <w:rsid w:val="562B5327"/>
    <w:rsid w:val="56425E25"/>
    <w:rsid w:val="56CD7199"/>
    <w:rsid w:val="56D07096"/>
    <w:rsid w:val="56D71F8B"/>
    <w:rsid w:val="56F86282"/>
    <w:rsid w:val="56FE4C36"/>
    <w:rsid w:val="570F2349"/>
    <w:rsid w:val="57132598"/>
    <w:rsid w:val="575A3F2B"/>
    <w:rsid w:val="576120B0"/>
    <w:rsid w:val="578D45DC"/>
    <w:rsid w:val="57C54141"/>
    <w:rsid w:val="58002FC7"/>
    <w:rsid w:val="581D7A74"/>
    <w:rsid w:val="587E0D6B"/>
    <w:rsid w:val="5886185F"/>
    <w:rsid w:val="58A23D20"/>
    <w:rsid w:val="58A45194"/>
    <w:rsid w:val="58C64669"/>
    <w:rsid w:val="58D455F0"/>
    <w:rsid w:val="59213FBC"/>
    <w:rsid w:val="592606B9"/>
    <w:rsid w:val="5943734F"/>
    <w:rsid w:val="5949057B"/>
    <w:rsid w:val="596B6232"/>
    <w:rsid w:val="597C0677"/>
    <w:rsid w:val="5986071D"/>
    <w:rsid w:val="598E005F"/>
    <w:rsid w:val="5A30458D"/>
    <w:rsid w:val="5A395DF9"/>
    <w:rsid w:val="5A3F31ED"/>
    <w:rsid w:val="5A461998"/>
    <w:rsid w:val="5A5D3366"/>
    <w:rsid w:val="5A7A44CD"/>
    <w:rsid w:val="5A8167A3"/>
    <w:rsid w:val="5A842A4C"/>
    <w:rsid w:val="5AC24B0D"/>
    <w:rsid w:val="5AD2635A"/>
    <w:rsid w:val="5B0B591B"/>
    <w:rsid w:val="5B244126"/>
    <w:rsid w:val="5B362690"/>
    <w:rsid w:val="5B7913E7"/>
    <w:rsid w:val="5BC94E13"/>
    <w:rsid w:val="5C06153A"/>
    <w:rsid w:val="5C097AF8"/>
    <w:rsid w:val="5C17068B"/>
    <w:rsid w:val="5C356CDA"/>
    <w:rsid w:val="5C60064A"/>
    <w:rsid w:val="5C73458C"/>
    <w:rsid w:val="5C993C55"/>
    <w:rsid w:val="5C9A27FC"/>
    <w:rsid w:val="5C9A3EAA"/>
    <w:rsid w:val="5D455433"/>
    <w:rsid w:val="5D5A24A5"/>
    <w:rsid w:val="5D696BFC"/>
    <w:rsid w:val="5D6E0BAE"/>
    <w:rsid w:val="5D765B96"/>
    <w:rsid w:val="5D7A01D5"/>
    <w:rsid w:val="5D895F6D"/>
    <w:rsid w:val="5DBD6477"/>
    <w:rsid w:val="5DE45BB2"/>
    <w:rsid w:val="5DF14FC0"/>
    <w:rsid w:val="5DFF67C0"/>
    <w:rsid w:val="5E05684C"/>
    <w:rsid w:val="5E0C30A2"/>
    <w:rsid w:val="5E152542"/>
    <w:rsid w:val="5E4C0F4B"/>
    <w:rsid w:val="5E6C38E5"/>
    <w:rsid w:val="5E9D68A0"/>
    <w:rsid w:val="5EBB5F52"/>
    <w:rsid w:val="5F247FCF"/>
    <w:rsid w:val="5F37043F"/>
    <w:rsid w:val="5F494852"/>
    <w:rsid w:val="5F5058FD"/>
    <w:rsid w:val="5F932737"/>
    <w:rsid w:val="5FB62FA8"/>
    <w:rsid w:val="5FBE5FB6"/>
    <w:rsid w:val="5FC670EC"/>
    <w:rsid w:val="5FDE51CF"/>
    <w:rsid w:val="60081EB9"/>
    <w:rsid w:val="600B7455"/>
    <w:rsid w:val="60425259"/>
    <w:rsid w:val="60482FB0"/>
    <w:rsid w:val="605E2110"/>
    <w:rsid w:val="608E4A56"/>
    <w:rsid w:val="60ED4467"/>
    <w:rsid w:val="60F51E55"/>
    <w:rsid w:val="611B137E"/>
    <w:rsid w:val="612C0D28"/>
    <w:rsid w:val="61312F54"/>
    <w:rsid w:val="6142168F"/>
    <w:rsid w:val="61780576"/>
    <w:rsid w:val="61955691"/>
    <w:rsid w:val="61B0416E"/>
    <w:rsid w:val="61CA6479"/>
    <w:rsid w:val="61D57C4E"/>
    <w:rsid w:val="61EE359C"/>
    <w:rsid w:val="622E2A9D"/>
    <w:rsid w:val="624015DB"/>
    <w:rsid w:val="62454CEC"/>
    <w:rsid w:val="625200D9"/>
    <w:rsid w:val="62571FDB"/>
    <w:rsid w:val="625B3509"/>
    <w:rsid w:val="62696CD8"/>
    <w:rsid w:val="62C30A64"/>
    <w:rsid w:val="62DA27D3"/>
    <w:rsid w:val="62E305FD"/>
    <w:rsid w:val="63055F18"/>
    <w:rsid w:val="63331267"/>
    <w:rsid w:val="634B6E79"/>
    <w:rsid w:val="634C303D"/>
    <w:rsid w:val="635251A9"/>
    <w:rsid w:val="635765A9"/>
    <w:rsid w:val="636C2A7B"/>
    <w:rsid w:val="63B56BAE"/>
    <w:rsid w:val="63B81B33"/>
    <w:rsid w:val="63C01BFB"/>
    <w:rsid w:val="64042AD6"/>
    <w:rsid w:val="64362280"/>
    <w:rsid w:val="64814219"/>
    <w:rsid w:val="649E201C"/>
    <w:rsid w:val="64CE5F6F"/>
    <w:rsid w:val="64F96942"/>
    <w:rsid w:val="65444E42"/>
    <w:rsid w:val="65530293"/>
    <w:rsid w:val="65737188"/>
    <w:rsid w:val="659B26D3"/>
    <w:rsid w:val="65A92D3E"/>
    <w:rsid w:val="65C17CA2"/>
    <w:rsid w:val="65C40065"/>
    <w:rsid w:val="65C92484"/>
    <w:rsid w:val="662B15AE"/>
    <w:rsid w:val="66B345CC"/>
    <w:rsid w:val="66CF5D4E"/>
    <w:rsid w:val="67093277"/>
    <w:rsid w:val="67C1181B"/>
    <w:rsid w:val="67DC35C6"/>
    <w:rsid w:val="683D6804"/>
    <w:rsid w:val="6863147D"/>
    <w:rsid w:val="68B90972"/>
    <w:rsid w:val="693E6BE5"/>
    <w:rsid w:val="698D7B85"/>
    <w:rsid w:val="69995B45"/>
    <w:rsid w:val="6A1B27BD"/>
    <w:rsid w:val="6A2247A4"/>
    <w:rsid w:val="6A4B7F53"/>
    <w:rsid w:val="6A6F6B0D"/>
    <w:rsid w:val="6A9D367C"/>
    <w:rsid w:val="6ABA1302"/>
    <w:rsid w:val="6AC57D73"/>
    <w:rsid w:val="6B8E5616"/>
    <w:rsid w:val="6BA91851"/>
    <w:rsid w:val="6BEA20E8"/>
    <w:rsid w:val="6C1D2147"/>
    <w:rsid w:val="6C6C582F"/>
    <w:rsid w:val="6C755679"/>
    <w:rsid w:val="6C7B37A7"/>
    <w:rsid w:val="6CBC23FC"/>
    <w:rsid w:val="6CF74025"/>
    <w:rsid w:val="6D03766B"/>
    <w:rsid w:val="6D237406"/>
    <w:rsid w:val="6D261363"/>
    <w:rsid w:val="6D2A73B7"/>
    <w:rsid w:val="6D630F17"/>
    <w:rsid w:val="6D657534"/>
    <w:rsid w:val="6D75783F"/>
    <w:rsid w:val="6DB16CC5"/>
    <w:rsid w:val="6DC468C4"/>
    <w:rsid w:val="6DF97399"/>
    <w:rsid w:val="6DFF1EAA"/>
    <w:rsid w:val="6E3902D9"/>
    <w:rsid w:val="6E941E5C"/>
    <w:rsid w:val="6EA41728"/>
    <w:rsid w:val="6EFA1187"/>
    <w:rsid w:val="6F05346A"/>
    <w:rsid w:val="6F1D0B9E"/>
    <w:rsid w:val="6F511F7B"/>
    <w:rsid w:val="6F673F10"/>
    <w:rsid w:val="6F924A50"/>
    <w:rsid w:val="6FF86AB2"/>
    <w:rsid w:val="703C2DD8"/>
    <w:rsid w:val="7064279B"/>
    <w:rsid w:val="709403B2"/>
    <w:rsid w:val="71090B36"/>
    <w:rsid w:val="71512657"/>
    <w:rsid w:val="715F6F32"/>
    <w:rsid w:val="71766497"/>
    <w:rsid w:val="71995F2C"/>
    <w:rsid w:val="719D2C55"/>
    <w:rsid w:val="71A64ED8"/>
    <w:rsid w:val="71F32259"/>
    <w:rsid w:val="720E3106"/>
    <w:rsid w:val="72251374"/>
    <w:rsid w:val="72796D87"/>
    <w:rsid w:val="72DD3F90"/>
    <w:rsid w:val="72FC5AFF"/>
    <w:rsid w:val="730507F7"/>
    <w:rsid w:val="73183A6A"/>
    <w:rsid w:val="736B5A94"/>
    <w:rsid w:val="739C6924"/>
    <w:rsid w:val="74173DD8"/>
    <w:rsid w:val="744D77F4"/>
    <w:rsid w:val="74A344B3"/>
    <w:rsid w:val="74E85ACF"/>
    <w:rsid w:val="753D30AC"/>
    <w:rsid w:val="756D5575"/>
    <w:rsid w:val="75736ACE"/>
    <w:rsid w:val="75900F5E"/>
    <w:rsid w:val="75A52514"/>
    <w:rsid w:val="75A609B4"/>
    <w:rsid w:val="75BA430D"/>
    <w:rsid w:val="75C877B1"/>
    <w:rsid w:val="75E40C59"/>
    <w:rsid w:val="76294B58"/>
    <w:rsid w:val="76346562"/>
    <w:rsid w:val="76363021"/>
    <w:rsid w:val="763A57B0"/>
    <w:rsid w:val="766B19D8"/>
    <w:rsid w:val="76AA1309"/>
    <w:rsid w:val="76C762BE"/>
    <w:rsid w:val="76E719E2"/>
    <w:rsid w:val="77123979"/>
    <w:rsid w:val="7774418D"/>
    <w:rsid w:val="7783277A"/>
    <w:rsid w:val="77A37C45"/>
    <w:rsid w:val="77A96E9E"/>
    <w:rsid w:val="77EE7469"/>
    <w:rsid w:val="77FF7B09"/>
    <w:rsid w:val="783E5F90"/>
    <w:rsid w:val="788319F0"/>
    <w:rsid w:val="78C7646D"/>
    <w:rsid w:val="78ED74AB"/>
    <w:rsid w:val="790B0B92"/>
    <w:rsid w:val="79150D0E"/>
    <w:rsid w:val="79317305"/>
    <w:rsid w:val="79464952"/>
    <w:rsid w:val="79626849"/>
    <w:rsid w:val="79AD1219"/>
    <w:rsid w:val="79FD3320"/>
    <w:rsid w:val="7A1E16FE"/>
    <w:rsid w:val="7A1F5229"/>
    <w:rsid w:val="7A3C4FAD"/>
    <w:rsid w:val="7A6B2AB8"/>
    <w:rsid w:val="7A763C0A"/>
    <w:rsid w:val="7ACC7131"/>
    <w:rsid w:val="7AE46A56"/>
    <w:rsid w:val="7AF52D5A"/>
    <w:rsid w:val="7AFA2168"/>
    <w:rsid w:val="7B0E7F4B"/>
    <w:rsid w:val="7B157452"/>
    <w:rsid w:val="7B714E52"/>
    <w:rsid w:val="7B9314EA"/>
    <w:rsid w:val="7BAA7163"/>
    <w:rsid w:val="7BAF5939"/>
    <w:rsid w:val="7BB05AC5"/>
    <w:rsid w:val="7BF60006"/>
    <w:rsid w:val="7C214CA5"/>
    <w:rsid w:val="7C3D1381"/>
    <w:rsid w:val="7C5C0A33"/>
    <w:rsid w:val="7C7E4854"/>
    <w:rsid w:val="7CB273BE"/>
    <w:rsid w:val="7CBD4814"/>
    <w:rsid w:val="7CC67DE9"/>
    <w:rsid w:val="7D2E4040"/>
    <w:rsid w:val="7D361602"/>
    <w:rsid w:val="7D486F24"/>
    <w:rsid w:val="7D7315E2"/>
    <w:rsid w:val="7D793E25"/>
    <w:rsid w:val="7D9360A2"/>
    <w:rsid w:val="7E1121F6"/>
    <w:rsid w:val="7E125107"/>
    <w:rsid w:val="7E20336E"/>
    <w:rsid w:val="7E5B37E4"/>
    <w:rsid w:val="7E7370FF"/>
    <w:rsid w:val="7E902018"/>
    <w:rsid w:val="7EC32F0D"/>
    <w:rsid w:val="7EC66716"/>
    <w:rsid w:val="7EDA0EBD"/>
    <w:rsid w:val="7EEC56FB"/>
    <w:rsid w:val="7F0A526A"/>
    <w:rsid w:val="7F3C536E"/>
    <w:rsid w:val="7FA8349D"/>
    <w:rsid w:val="7FB824BB"/>
    <w:rsid w:val="7FC05795"/>
    <w:rsid w:val="7FF83F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5"/>
    <w:qFormat/>
    <w:uiPriority w:val="0"/>
    <w:pPr>
      <w:keepNext/>
      <w:keepLines/>
      <w:spacing w:before="340" w:after="330" w:line="576" w:lineRule="auto"/>
      <w:outlineLvl w:val="0"/>
    </w:pPr>
    <w:rPr>
      <w:b/>
      <w:kern w:val="44"/>
      <w:sz w:val="32"/>
      <w:szCs w:val="20"/>
    </w:rPr>
  </w:style>
  <w:style w:type="paragraph" w:styleId="3">
    <w:name w:val="heading 2"/>
    <w:basedOn w:val="1"/>
    <w:next w:val="1"/>
    <w:link w:val="125"/>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1"/>
    <w:link w:val="144"/>
    <w:qFormat/>
    <w:uiPriority w:val="0"/>
    <w:pPr>
      <w:keepNext/>
      <w:keepLines/>
      <w:spacing w:before="260" w:after="260" w:line="412" w:lineRule="auto"/>
      <w:outlineLvl w:val="2"/>
    </w:pPr>
    <w:rPr>
      <w:b/>
      <w:sz w:val="32"/>
      <w:szCs w:val="20"/>
    </w:rPr>
  </w:style>
  <w:style w:type="paragraph" w:styleId="5">
    <w:name w:val="heading 4"/>
    <w:basedOn w:val="1"/>
    <w:next w:val="1"/>
    <w:link w:val="17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30"/>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link w:val="134"/>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7"/>
    <w:link w:val="141"/>
    <w:qFormat/>
    <w:uiPriority w:val="0"/>
    <w:pPr>
      <w:keepNext/>
      <w:keepLines/>
      <w:numPr>
        <w:ilvl w:val="6"/>
        <w:numId w:val="1"/>
      </w:numPr>
      <w:spacing w:before="240" w:after="64" w:line="316" w:lineRule="auto"/>
      <w:outlineLvl w:val="6"/>
    </w:pPr>
    <w:rPr>
      <w:b/>
      <w:sz w:val="24"/>
    </w:rPr>
  </w:style>
  <w:style w:type="paragraph" w:styleId="10">
    <w:name w:val="heading 8"/>
    <w:basedOn w:val="1"/>
    <w:next w:val="7"/>
    <w:link w:val="156"/>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7"/>
    <w:link w:val="149"/>
    <w:qFormat/>
    <w:uiPriority w:val="0"/>
    <w:pPr>
      <w:keepNext/>
      <w:keepLines/>
      <w:numPr>
        <w:ilvl w:val="8"/>
        <w:numId w:val="1"/>
      </w:numPr>
      <w:spacing w:before="240" w:after="64" w:line="316" w:lineRule="auto"/>
      <w:outlineLvl w:val="8"/>
    </w:pPr>
    <w:rPr>
      <w:rFonts w:ascii="Arial" w:hAnsi="Arial" w:eastAsia="黑体"/>
    </w:rPr>
  </w:style>
  <w:style w:type="character" w:default="1" w:styleId="49">
    <w:name w:val="Default Paragraph Font"/>
    <w:semiHidden/>
    <w:qFormat/>
    <w:uiPriority w:val="0"/>
  </w:style>
  <w:style w:type="table" w:default="1" w:styleId="4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7">
    <w:name w:val="Normal Indent"/>
    <w:basedOn w:val="1"/>
    <w:link w:val="159"/>
    <w:qFormat/>
    <w:uiPriority w:val="0"/>
    <w:pPr>
      <w:ind w:firstLine="420"/>
    </w:pPr>
    <w:rPr>
      <w:szCs w:val="20"/>
    </w:rPr>
  </w:style>
  <w:style w:type="paragraph" w:styleId="12">
    <w:name w:val="toc 7"/>
    <w:basedOn w:val="1"/>
    <w:next w:val="1"/>
    <w:qFormat/>
    <w:uiPriority w:val="0"/>
    <w:pPr>
      <w:ind w:left="2520" w:leftChars="1200"/>
    </w:pPr>
    <w:rPr>
      <w:rFonts w:ascii="Calibri" w:hAnsi="Calibri"/>
      <w:szCs w:val="22"/>
    </w:rPr>
  </w:style>
  <w:style w:type="paragraph" w:styleId="13">
    <w:name w:val="Note Heading"/>
    <w:basedOn w:val="1"/>
    <w:next w:val="1"/>
    <w:qFormat/>
    <w:uiPriority w:val="0"/>
    <w:pPr>
      <w:jc w:val="center"/>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21"/>
    <w:qFormat/>
    <w:uiPriority w:val="0"/>
    <w:pPr>
      <w:shd w:val="clear" w:color="auto" w:fill="000080"/>
    </w:pPr>
  </w:style>
  <w:style w:type="paragraph" w:styleId="16">
    <w:name w:val="annotation text"/>
    <w:basedOn w:val="1"/>
    <w:link w:val="128"/>
    <w:qFormat/>
    <w:uiPriority w:val="0"/>
    <w:pPr>
      <w:adjustRightInd w:val="0"/>
      <w:spacing w:line="360" w:lineRule="atLeast"/>
      <w:jc w:val="left"/>
      <w:textAlignment w:val="baseline"/>
    </w:pPr>
    <w:rPr>
      <w:kern w:val="0"/>
      <w:sz w:val="24"/>
      <w:szCs w:val="20"/>
    </w:rPr>
  </w:style>
  <w:style w:type="paragraph" w:styleId="17">
    <w:name w:val="index 6"/>
    <w:next w:val="1"/>
    <w:qFormat/>
    <w:uiPriority w:val="0"/>
    <w:pPr>
      <w:jc w:val="both"/>
    </w:pPr>
    <w:rPr>
      <w:rFonts w:ascii="Calibri" w:hAnsi="Calibri" w:eastAsia="宋体" w:cs="Times New Roman"/>
      <w:sz w:val="21"/>
      <w:szCs w:val="24"/>
      <w:lang w:val="en-US" w:eastAsia="zh-CN" w:bidi="ar-SA"/>
    </w:rPr>
  </w:style>
  <w:style w:type="paragraph" w:styleId="18">
    <w:name w:val="Body Text 3"/>
    <w:basedOn w:val="1"/>
    <w:link w:val="172"/>
    <w:qFormat/>
    <w:uiPriority w:val="0"/>
    <w:pPr>
      <w:widowControl/>
      <w:spacing w:after="120"/>
      <w:jc w:val="left"/>
    </w:pPr>
    <w:rPr>
      <w:kern w:val="0"/>
      <w:sz w:val="16"/>
      <w:szCs w:val="16"/>
    </w:rPr>
  </w:style>
  <w:style w:type="paragraph" w:styleId="19">
    <w:name w:val="Body Text"/>
    <w:basedOn w:val="1"/>
    <w:link w:val="136"/>
    <w:qFormat/>
    <w:uiPriority w:val="0"/>
    <w:pPr>
      <w:widowControl/>
      <w:jc w:val="left"/>
    </w:pPr>
    <w:rPr>
      <w:kern w:val="0"/>
      <w:sz w:val="24"/>
      <w:szCs w:val="20"/>
    </w:rPr>
  </w:style>
  <w:style w:type="paragraph" w:styleId="20">
    <w:name w:val="Body Text Indent"/>
    <w:basedOn w:val="1"/>
    <w:next w:val="21"/>
    <w:link w:val="120"/>
    <w:qFormat/>
    <w:uiPriority w:val="0"/>
    <w:pPr>
      <w:ind w:firstLine="630"/>
    </w:pPr>
    <w:rPr>
      <w:sz w:val="32"/>
      <w:szCs w:val="20"/>
    </w:rPr>
  </w:style>
  <w:style w:type="paragraph" w:customStyle="1" w:styleId="21">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tabs>
        <w:tab w:val="right" w:leader="dot" w:pos="8296"/>
      </w:tabs>
      <w:ind w:left="1050" w:leftChars="500"/>
    </w:pPr>
    <w:rPr>
      <w:rFonts w:ascii="Calibri" w:hAnsi="Calibri"/>
      <w:szCs w:val="22"/>
    </w:rPr>
  </w:style>
  <w:style w:type="paragraph" w:styleId="25">
    <w:name w:val="toc 3"/>
    <w:basedOn w:val="1"/>
    <w:next w:val="1"/>
    <w:qFormat/>
    <w:uiPriority w:val="0"/>
    <w:pPr>
      <w:ind w:left="840" w:leftChars="400"/>
    </w:p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154"/>
    <w:qFormat/>
    <w:uiPriority w:val="0"/>
    <w:pPr>
      <w:ind w:left="100" w:leftChars="2500"/>
    </w:pPr>
  </w:style>
  <w:style w:type="paragraph" w:styleId="29">
    <w:name w:val="Body Text Indent 2"/>
    <w:basedOn w:val="1"/>
    <w:link w:val="133"/>
    <w:qFormat/>
    <w:uiPriority w:val="0"/>
    <w:pPr>
      <w:ind w:firstLine="630"/>
    </w:pPr>
    <w:rPr>
      <w:sz w:val="32"/>
      <w:szCs w:val="20"/>
    </w:rPr>
  </w:style>
  <w:style w:type="paragraph" w:styleId="30">
    <w:name w:val="Balloon Text"/>
    <w:basedOn w:val="1"/>
    <w:link w:val="140"/>
    <w:qFormat/>
    <w:uiPriority w:val="0"/>
    <w:rPr>
      <w:sz w:val="18"/>
      <w:szCs w:val="18"/>
    </w:rPr>
  </w:style>
  <w:style w:type="paragraph" w:styleId="31">
    <w:name w:val="footer"/>
    <w:basedOn w:val="1"/>
    <w:link w:val="126"/>
    <w:qFormat/>
    <w:uiPriority w:val="0"/>
    <w:pPr>
      <w:tabs>
        <w:tab w:val="center" w:pos="4153"/>
        <w:tab w:val="right" w:pos="8306"/>
      </w:tabs>
      <w:snapToGrid w:val="0"/>
      <w:jc w:val="left"/>
    </w:pPr>
    <w:rPr>
      <w:sz w:val="18"/>
      <w:szCs w:val="20"/>
    </w:rPr>
  </w:style>
  <w:style w:type="paragraph" w:styleId="32">
    <w:name w:val="header"/>
    <w:basedOn w:val="1"/>
    <w:link w:val="138"/>
    <w:qFormat/>
    <w:uiPriority w:val="0"/>
    <w:pPr>
      <w:pBdr>
        <w:bottom w:val="single" w:color="auto" w:sz="6" w:space="1"/>
      </w:pBdr>
      <w:tabs>
        <w:tab w:val="center" w:pos="4153"/>
        <w:tab w:val="right" w:pos="8306"/>
      </w:tabs>
      <w:snapToGrid w:val="0"/>
      <w:jc w:val="center"/>
    </w:pPr>
    <w:rPr>
      <w:sz w:val="18"/>
      <w:szCs w:val="20"/>
    </w:rPr>
  </w:style>
  <w:style w:type="paragraph" w:styleId="33">
    <w:name w:val="toc 1"/>
    <w:basedOn w:val="1"/>
    <w:next w:val="1"/>
    <w:qFormat/>
    <w:uiPriority w:val="39"/>
    <w:pPr>
      <w:tabs>
        <w:tab w:val="right" w:leader="dot" w:pos="9060"/>
      </w:tabs>
      <w:spacing w:line="720" w:lineRule="auto"/>
    </w:pPr>
  </w:style>
  <w:style w:type="paragraph" w:styleId="34">
    <w:name w:val="toc 4"/>
    <w:basedOn w:val="1"/>
    <w:next w:val="1"/>
    <w:qFormat/>
    <w:uiPriority w:val="0"/>
    <w:pPr>
      <w:tabs>
        <w:tab w:val="left" w:pos="1890"/>
        <w:tab w:val="right" w:leader="dot" w:pos="8296"/>
      </w:tabs>
      <w:ind w:left="630" w:leftChars="300"/>
    </w:pPr>
    <w:rPr>
      <w:rFonts w:ascii="Calibri" w:hAnsi="Calibri"/>
      <w:szCs w:val="22"/>
    </w:rPr>
  </w:style>
  <w:style w:type="paragraph" w:styleId="35">
    <w:name w:val="Subtitle"/>
    <w:basedOn w:val="1"/>
    <w:next w:val="1"/>
    <w:link w:val="143"/>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148"/>
    <w:qFormat/>
    <w:uiPriority w:val="0"/>
    <w:pPr>
      <w:adjustRightInd w:val="0"/>
      <w:snapToGrid w:val="0"/>
      <w:spacing w:line="360" w:lineRule="auto"/>
      <w:ind w:firstLine="600" w:firstLineChars="200"/>
    </w:pPr>
    <w:rPr>
      <w:rFonts w:ascii="黑体" w:eastAsia="黑体"/>
      <w:sz w:val="30"/>
      <w:szCs w:val="28"/>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3360" w:leftChars="1600"/>
    </w:pPr>
    <w:rPr>
      <w:rFonts w:ascii="Calibri" w:hAnsi="Calibri"/>
      <w:szCs w:val="22"/>
    </w:rPr>
  </w:style>
  <w:style w:type="paragraph" w:styleId="40">
    <w:name w:val="Body Text 2"/>
    <w:basedOn w:val="1"/>
    <w:link w:val="152"/>
    <w:qFormat/>
    <w:uiPriority w:val="0"/>
    <w:pPr>
      <w:widowControl/>
      <w:spacing w:after="120" w:line="480" w:lineRule="auto"/>
      <w:jc w:val="left"/>
    </w:pPr>
    <w:rPr>
      <w:kern w:val="0"/>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42">
    <w:name w:val="Title"/>
    <w:basedOn w:val="1"/>
    <w:link w:val="127"/>
    <w:qFormat/>
    <w:uiPriority w:val="0"/>
    <w:pPr>
      <w:adjustRightInd w:val="0"/>
      <w:spacing w:before="240" w:after="60" w:line="312" w:lineRule="atLeast"/>
      <w:jc w:val="center"/>
      <w:textAlignment w:val="baseline"/>
      <w:outlineLvl w:val="0"/>
    </w:pPr>
    <w:rPr>
      <w:rFonts w:ascii="Arial" w:hAnsi="Arial" w:eastAsia="楷体_GB2312"/>
      <w:b/>
      <w:kern w:val="0"/>
      <w:sz w:val="32"/>
      <w:szCs w:val="32"/>
    </w:rPr>
  </w:style>
  <w:style w:type="paragraph" w:styleId="43">
    <w:name w:val="annotation subject"/>
    <w:basedOn w:val="16"/>
    <w:next w:val="16"/>
    <w:link w:val="137"/>
    <w:qFormat/>
    <w:uiPriority w:val="0"/>
    <w:pPr>
      <w:adjustRightInd/>
      <w:spacing w:line="240" w:lineRule="auto"/>
      <w:textAlignment w:val="auto"/>
    </w:pPr>
    <w:rPr>
      <w:b/>
      <w:bCs/>
      <w:kern w:val="2"/>
      <w:sz w:val="21"/>
      <w:szCs w:val="24"/>
    </w:rPr>
  </w:style>
  <w:style w:type="paragraph" w:styleId="44">
    <w:name w:val="Body Text First Indent"/>
    <w:basedOn w:val="19"/>
    <w:next w:val="1"/>
    <w:qFormat/>
    <w:uiPriority w:val="0"/>
    <w:pPr>
      <w:adjustRightInd w:val="0"/>
      <w:ind w:firstLine="420"/>
      <w:jc w:val="left"/>
      <w:textAlignment w:val="baseline"/>
    </w:pPr>
    <w:rPr>
      <w:kern w:val="0"/>
    </w:rPr>
  </w:style>
  <w:style w:type="paragraph" w:styleId="45">
    <w:name w:val="Body Text First Indent 2"/>
    <w:basedOn w:val="20"/>
    <w:qFormat/>
    <w:uiPriority w:val="0"/>
    <w:pPr>
      <w:ind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Classic 1"/>
    <w:basedOn w:val="46"/>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99"/>
    <w:rPr>
      <w:color w:val="800080"/>
      <w:u w:val="single"/>
    </w:rPr>
  </w:style>
  <w:style w:type="character" w:styleId="53">
    <w:name w:val="Emphasis"/>
    <w:qFormat/>
    <w:uiPriority w:val="0"/>
    <w:rPr>
      <w:i/>
      <w:iCs/>
    </w:rPr>
  </w:style>
  <w:style w:type="character" w:styleId="54">
    <w:name w:val="HTML Definition"/>
    <w:basedOn w:val="49"/>
    <w:qFormat/>
    <w:uiPriority w:val="0"/>
    <w:rPr>
      <w:i/>
    </w:rPr>
  </w:style>
  <w:style w:type="character" w:styleId="55">
    <w:name w:val="Hyperlink"/>
    <w:qFormat/>
    <w:uiPriority w:val="99"/>
    <w:rPr>
      <w:color w:val="136EC2"/>
      <w:u w:val="single"/>
    </w:rPr>
  </w:style>
  <w:style w:type="character" w:styleId="56">
    <w:name w:val="HTML Code"/>
    <w:basedOn w:val="49"/>
    <w:qFormat/>
    <w:uiPriority w:val="0"/>
    <w:rPr>
      <w:rFonts w:ascii="Consolas" w:hAnsi="Consolas" w:eastAsia="Consolas" w:cs="Consolas"/>
      <w:color w:val="C7254E"/>
      <w:sz w:val="21"/>
      <w:szCs w:val="21"/>
      <w:shd w:val="clear" w:fill="F9F2F4"/>
    </w:rPr>
  </w:style>
  <w:style w:type="character" w:styleId="57">
    <w:name w:val="annotation reference"/>
    <w:qFormat/>
    <w:uiPriority w:val="0"/>
    <w:rPr>
      <w:sz w:val="21"/>
      <w:szCs w:val="21"/>
    </w:rPr>
  </w:style>
  <w:style w:type="character" w:styleId="58">
    <w:name w:val="HTML Keyboard"/>
    <w:basedOn w:val="49"/>
    <w:qFormat/>
    <w:uiPriority w:val="0"/>
    <w:rPr>
      <w:rFonts w:hint="default" w:ascii="Consolas" w:hAnsi="Consolas" w:eastAsia="Consolas" w:cs="Consolas"/>
      <w:color w:val="FFFFFF"/>
      <w:sz w:val="21"/>
      <w:szCs w:val="21"/>
      <w:shd w:val="clear" w:fill="333333"/>
    </w:rPr>
  </w:style>
  <w:style w:type="character" w:styleId="59">
    <w:name w:val="HTML Sample"/>
    <w:basedOn w:val="49"/>
    <w:qFormat/>
    <w:uiPriority w:val="0"/>
    <w:rPr>
      <w:rFonts w:hint="default" w:ascii="Consolas" w:hAnsi="Consolas" w:eastAsia="Consolas" w:cs="Consolas"/>
      <w:sz w:val="21"/>
      <w:szCs w:val="21"/>
    </w:rPr>
  </w:style>
  <w:style w:type="paragraph" w:customStyle="1" w:styleId="60">
    <w:name w:val="列出段落1"/>
    <w:basedOn w:val="1"/>
    <w:qFormat/>
    <w:uiPriority w:val="99"/>
    <w:pPr>
      <w:ind w:firstLine="420" w:firstLineChars="200"/>
    </w:pPr>
    <w:rPr>
      <w:szCs w:val="20"/>
    </w:rPr>
  </w:style>
  <w:style w:type="paragraph" w:customStyle="1" w:styleId="61">
    <w:name w:val=" 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3">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6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5">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6">
    <w:name w:val="_Style 56"/>
    <w:basedOn w:val="2"/>
    <w:next w:val="1"/>
    <w:qFormat/>
    <w:uiPriority w:val="0"/>
    <w:pPr>
      <w:outlineLvl w:val="9"/>
    </w:pPr>
    <w:rPr>
      <w:rFonts w:ascii="Calibri" w:hAnsi="Calibri"/>
      <w:bCs/>
      <w:sz w:val="44"/>
      <w:szCs w:val="44"/>
    </w:rPr>
  </w:style>
  <w:style w:type="paragraph" w:styleId="67">
    <w:name w:val="Quote"/>
    <w:basedOn w:val="1"/>
    <w:next w:val="1"/>
    <w:link w:val="139"/>
    <w:qFormat/>
    <w:uiPriority w:val="0"/>
    <w:rPr>
      <w:i/>
      <w:iCs/>
      <w:color w:val="000000"/>
      <w:szCs w:val="22"/>
    </w:rPr>
  </w:style>
  <w:style w:type="paragraph" w:customStyle="1" w:styleId="68">
    <w:name w:val="WPSOffice手动目录 1"/>
    <w:qFormat/>
    <w:uiPriority w:val="0"/>
    <w:rPr>
      <w:rFonts w:ascii="Times New Roman" w:hAnsi="Times New Roman" w:eastAsia="宋体" w:cs="Times New Roman"/>
      <w:lang w:val="en-US" w:eastAsia="zh-CN" w:bidi="ar-SA"/>
    </w:rPr>
  </w:style>
  <w:style w:type="paragraph" w:customStyle="1" w:styleId="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0">
    <w:name w:val="表格文字"/>
    <w:basedOn w:val="1"/>
    <w:qFormat/>
    <w:uiPriority w:val="0"/>
    <w:pPr>
      <w:adjustRightInd w:val="0"/>
      <w:spacing w:line="420" w:lineRule="atLeast"/>
      <w:jc w:val="left"/>
      <w:textAlignment w:val="baseline"/>
    </w:pPr>
    <w:rPr>
      <w:kern w:val="0"/>
      <w:szCs w:val="20"/>
    </w:rPr>
  </w:style>
  <w:style w:type="paragraph" w:customStyle="1" w:styleId="71">
    <w:name w:val="Char Char Char Char Char Char Char"/>
    <w:basedOn w:val="1"/>
    <w:qFormat/>
    <w:uiPriority w:val="0"/>
    <w:rPr>
      <w:rFonts w:ascii="Tahoma" w:hAnsi="Tahoma"/>
      <w:sz w:val="24"/>
      <w:szCs w:val="20"/>
    </w:rPr>
  </w:style>
  <w:style w:type="paragraph" w:customStyle="1" w:styleId="7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3">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74">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75">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76">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 Char Char Char Char Char Char Char"/>
    <w:basedOn w:val="1"/>
    <w:qFormat/>
    <w:uiPriority w:val="0"/>
    <w:rPr>
      <w:rFonts w:ascii="Tahoma" w:hAnsi="Tahoma"/>
      <w:sz w:val="24"/>
    </w:rPr>
  </w:style>
  <w:style w:type="paragraph" w:customStyle="1" w:styleId="78">
    <w:name w:val="样式1"/>
    <w:basedOn w:val="1"/>
    <w:qFormat/>
    <w:uiPriority w:val="0"/>
    <w:pPr>
      <w:numPr>
        <w:ilvl w:val="0"/>
        <w:numId w:val="2"/>
      </w:numPr>
      <w:tabs>
        <w:tab w:val="left" w:pos="709"/>
      </w:tabs>
      <w:adjustRightInd w:val="0"/>
      <w:textAlignment w:val="baseline"/>
    </w:pPr>
    <w:rPr>
      <w:rFonts w:ascii="宋体" w:hAnsi="宋体"/>
      <w:kern w:val="0"/>
      <w:szCs w:val="21"/>
    </w:rPr>
  </w:style>
  <w:style w:type="paragraph" w:customStyle="1" w:styleId="79">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8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kern w:val="0"/>
    </w:rPr>
  </w:style>
  <w:style w:type="paragraph" w:styleId="81">
    <w:name w:val="List Paragraph"/>
    <w:basedOn w:val="1"/>
    <w:qFormat/>
    <w:uiPriority w:val="34"/>
    <w:pPr>
      <w:ind w:firstLine="420" w:firstLineChars="200"/>
    </w:pPr>
    <w:rPr>
      <w:sz w:val="18"/>
      <w:szCs w:val="18"/>
    </w:rPr>
  </w:style>
  <w:style w:type="paragraph" w:customStyle="1" w:styleId="82">
    <w:name w:val="正文首行缩进两字符"/>
    <w:basedOn w:val="1"/>
    <w:qFormat/>
    <w:uiPriority w:val="0"/>
    <w:pPr>
      <w:spacing w:line="360" w:lineRule="auto"/>
      <w:ind w:firstLine="200" w:firstLineChars="200"/>
    </w:pPr>
  </w:style>
  <w:style w:type="paragraph" w:customStyle="1" w:styleId="83">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Char Char Char Char Char Char Char1"/>
    <w:basedOn w:val="1"/>
    <w:qFormat/>
    <w:uiPriority w:val="0"/>
    <w:rPr>
      <w:rFonts w:ascii="Tahoma" w:hAnsi="Tahoma"/>
      <w:sz w:val="24"/>
    </w:rPr>
  </w:style>
  <w:style w:type="paragraph" w:customStyle="1" w:styleId="86">
    <w:name w:val="Char1"/>
    <w:basedOn w:val="1"/>
    <w:qFormat/>
    <w:uiPriority w:val="0"/>
    <w:rPr>
      <w:szCs w:val="21"/>
    </w:rPr>
  </w:style>
  <w:style w:type="paragraph" w:styleId="87">
    <w:name w:val="Intense Quote"/>
    <w:basedOn w:val="1"/>
    <w:next w:val="1"/>
    <w:link w:val="150"/>
    <w:qFormat/>
    <w:uiPriority w:val="0"/>
    <w:pPr>
      <w:pBdr>
        <w:bottom w:val="single" w:color="4F81BD" w:sz="4" w:space="4"/>
      </w:pBdr>
      <w:spacing w:before="200" w:after="280"/>
      <w:ind w:left="936" w:right="936"/>
    </w:pPr>
    <w:rPr>
      <w:b/>
      <w:bCs/>
      <w:i/>
      <w:iCs/>
      <w:color w:val="4F81BD"/>
      <w:szCs w:val="22"/>
    </w:rPr>
  </w:style>
  <w:style w:type="paragraph" w:customStyle="1" w:styleId="88">
    <w:name w:val="Char Char Char Char"/>
    <w:basedOn w:val="1"/>
    <w:qFormat/>
    <w:uiPriority w:val="0"/>
    <w:pPr>
      <w:adjustRightInd w:val="0"/>
      <w:spacing w:line="440" w:lineRule="exact"/>
    </w:pPr>
    <w:rPr>
      <w:rFonts w:ascii="宋体"/>
      <w:kern w:val="0"/>
      <w:sz w:val="28"/>
      <w:szCs w:val="27"/>
    </w:rPr>
  </w:style>
  <w:style w:type="paragraph" w:customStyle="1" w:styleId="89">
    <w:name w:val="Char Char1"/>
    <w:basedOn w:val="1"/>
    <w:qFormat/>
    <w:uiPriority w:val="0"/>
    <w:pPr>
      <w:adjustRightInd w:val="0"/>
      <w:spacing w:line="440" w:lineRule="exact"/>
    </w:pPr>
    <w:rPr>
      <w:rFonts w:ascii="宋体"/>
      <w:kern w:val="0"/>
      <w:sz w:val="28"/>
      <w:szCs w:val="27"/>
    </w:rPr>
  </w:style>
  <w:style w:type="paragraph" w:customStyle="1" w:styleId="90">
    <w:name w:val="Blockquote"/>
    <w:basedOn w:val="1"/>
    <w:link w:val="169"/>
    <w:qFormat/>
    <w:uiPriority w:val="0"/>
    <w:pPr>
      <w:autoSpaceDE w:val="0"/>
      <w:autoSpaceDN w:val="0"/>
      <w:adjustRightInd w:val="0"/>
      <w:spacing w:before="100" w:after="100"/>
      <w:ind w:left="360" w:right="360"/>
      <w:jc w:val="left"/>
    </w:pPr>
    <w:rPr>
      <w:kern w:val="0"/>
      <w:sz w:val="24"/>
      <w:szCs w:val="20"/>
    </w:rPr>
  </w:style>
  <w:style w:type="paragraph" w:customStyle="1" w:styleId="9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92">
    <w:name w:val="默认段落字体 Para Char Char Char Char Char Char Char"/>
    <w:basedOn w:val="1"/>
    <w:qFormat/>
    <w:uiPriority w:val="0"/>
    <w:rPr>
      <w:rFonts w:ascii="Tahoma" w:hAnsi="Tahoma"/>
      <w:sz w:val="24"/>
      <w:szCs w:val="20"/>
    </w:rPr>
  </w:style>
  <w:style w:type="paragraph" w:customStyle="1" w:styleId="93">
    <w:name w:val="目录"/>
    <w:basedOn w:val="1"/>
    <w:qFormat/>
    <w:uiPriority w:val="0"/>
    <w:pPr>
      <w:widowControl/>
      <w:jc w:val="center"/>
    </w:pPr>
    <w:rPr>
      <w:rFonts w:ascii="宋体"/>
      <w:b/>
      <w:kern w:val="0"/>
      <w:sz w:val="36"/>
      <w:szCs w:val="20"/>
    </w:rPr>
  </w:style>
  <w:style w:type="paragraph" w:customStyle="1" w:styleId="94">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95">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96">
    <w:name w:val="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8">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99">
    <w:name w:val="Char Char Char"/>
    <w:basedOn w:val="1"/>
    <w:qFormat/>
    <w:uiPriority w:val="0"/>
    <w:pPr>
      <w:spacing w:line="360" w:lineRule="auto"/>
      <w:jc w:val="center"/>
    </w:pPr>
    <w:rPr>
      <w:rFonts w:ascii="Tahoma" w:hAnsi="Tahoma"/>
      <w:sz w:val="24"/>
      <w:szCs w:val="20"/>
    </w:rPr>
  </w:style>
  <w:style w:type="paragraph" w:customStyle="1" w:styleId="100">
    <w:name w:val="p0"/>
    <w:basedOn w:val="1"/>
    <w:link w:val="142"/>
    <w:qFormat/>
    <w:uiPriority w:val="0"/>
    <w:pPr>
      <w:widowControl/>
    </w:pPr>
    <w:rPr>
      <w:kern w:val="0"/>
      <w:szCs w:val="21"/>
    </w:rPr>
  </w:style>
  <w:style w:type="paragraph" w:customStyle="1" w:styleId="101">
    <w:name w:val=" Char Char Char Char Char Char"/>
    <w:basedOn w:val="1"/>
    <w:qFormat/>
    <w:uiPriority w:val="0"/>
    <w:pPr>
      <w:widowControl/>
      <w:spacing w:after="160" w:line="240" w:lineRule="exact"/>
      <w:jc w:val="left"/>
    </w:pPr>
    <w:rPr>
      <w:szCs w:val="20"/>
    </w:rPr>
  </w:style>
  <w:style w:type="paragraph" w:customStyle="1" w:styleId="102">
    <w:name w:val="表格"/>
    <w:basedOn w:val="1"/>
    <w:qFormat/>
    <w:uiPriority w:val="0"/>
    <w:pPr>
      <w:spacing w:line="400" w:lineRule="exact"/>
    </w:pPr>
    <w:rPr>
      <w:sz w:val="24"/>
    </w:rPr>
  </w:style>
  <w:style w:type="paragraph" w:customStyle="1" w:styleId="103">
    <w:name w:val="样式 标题 3 + (中文) 黑体 小四 非加粗 段前: 7.8 磅 段后: 0 磅 行距: 固定值 20 磅"/>
    <w:basedOn w:val="4"/>
    <w:qFormat/>
    <w:uiPriority w:val="0"/>
    <w:pPr>
      <w:spacing w:before="0" w:after="0" w:line="400" w:lineRule="exact"/>
    </w:pPr>
    <w:rPr>
      <w:rFonts w:eastAsia="黑体" w:cs="宋体"/>
      <w:b w:val="0"/>
      <w:sz w:val="24"/>
    </w:rPr>
  </w:style>
  <w:style w:type="paragraph" w:customStyle="1" w:styleId="104">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Char Char Char1"/>
    <w:basedOn w:val="1"/>
    <w:qFormat/>
    <w:uiPriority w:val="0"/>
    <w:pPr>
      <w:widowControl/>
      <w:spacing w:after="160" w:line="240" w:lineRule="exact"/>
      <w:jc w:val="left"/>
    </w:pPr>
  </w:style>
  <w:style w:type="paragraph" w:customStyle="1" w:styleId="106">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07">
    <w:name w:val="_Style 97"/>
    <w:qFormat/>
    <w:uiPriority w:val="0"/>
    <w:rPr>
      <w:rFonts w:ascii="Times New Roman" w:hAnsi="Times New Roman" w:eastAsia="宋体" w:cs="Times New Roman"/>
      <w:kern w:val="2"/>
      <w:sz w:val="21"/>
      <w:szCs w:val="24"/>
      <w:lang w:val="en-US" w:eastAsia="zh-CN" w:bidi="ar-SA"/>
    </w:rPr>
  </w:style>
  <w:style w:type="paragraph" w:customStyle="1" w:styleId="108">
    <w:name w:val="Char Char1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 Char Char Char Char"/>
    <w:basedOn w:val="1"/>
    <w:qFormat/>
    <w:uiPriority w:val="0"/>
    <w:rPr>
      <w:rFonts w:ascii="Tahoma" w:hAnsi="Tahoma"/>
      <w:sz w:val="24"/>
      <w:szCs w:val="20"/>
    </w:rPr>
  </w:style>
  <w:style w:type="paragraph" w:customStyle="1" w:styleId="110">
    <w:name w:val="Char Char Char Char Char Char"/>
    <w:basedOn w:val="1"/>
    <w:qFormat/>
    <w:uiPriority w:val="0"/>
    <w:pPr>
      <w:widowControl/>
      <w:spacing w:after="160" w:line="240" w:lineRule="exact"/>
      <w:jc w:val="left"/>
    </w:pPr>
    <w:rPr>
      <w:szCs w:val="20"/>
    </w:rPr>
  </w:style>
  <w:style w:type="paragraph" w:customStyle="1" w:styleId="111">
    <w:name w:val="标题5"/>
    <w:basedOn w:val="4"/>
    <w:link w:val="163"/>
    <w:qFormat/>
    <w:uiPriority w:val="0"/>
    <w:pPr>
      <w:spacing w:line="413" w:lineRule="auto"/>
    </w:pPr>
    <w:rPr>
      <w:rFonts w:ascii="Arial" w:hAnsi="Arial"/>
      <w:bCs/>
      <w:kern w:val="0"/>
      <w:sz w:val="24"/>
      <w:szCs w:val="32"/>
    </w:rPr>
  </w:style>
  <w:style w:type="paragraph" w:customStyle="1" w:styleId="112">
    <w:name w:val="样式 首行缩进:  2 字符"/>
    <w:basedOn w:val="1"/>
    <w:qFormat/>
    <w:uiPriority w:val="0"/>
    <w:pPr>
      <w:spacing w:line="400" w:lineRule="exact"/>
      <w:ind w:firstLine="200" w:firstLineChars="200"/>
    </w:pPr>
    <w:rPr>
      <w:rFonts w:cs="宋体"/>
      <w:sz w:val="24"/>
    </w:rPr>
  </w:style>
  <w:style w:type="paragraph" w:customStyle="1" w:styleId="11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4">
    <w:name w:val="图标题"/>
    <w:basedOn w:val="1"/>
    <w:qFormat/>
    <w:uiPriority w:val="0"/>
    <w:pPr>
      <w:adjustRightInd w:val="0"/>
      <w:spacing w:line="360" w:lineRule="atLeast"/>
      <w:jc w:val="left"/>
      <w:textAlignment w:val="baseline"/>
    </w:pPr>
    <w:rPr>
      <w:kern w:val="0"/>
      <w:sz w:val="24"/>
      <w:szCs w:val="20"/>
    </w:rPr>
  </w:style>
  <w:style w:type="paragraph" w:customStyle="1" w:styleId="11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1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18">
    <w:name w:val="WPSOffice手动目录 2"/>
    <w:qFormat/>
    <w:uiPriority w:val="0"/>
    <w:pPr>
      <w:ind w:leftChars="200"/>
    </w:pPr>
    <w:rPr>
      <w:rFonts w:ascii="Times New Roman" w:hAnsi="Times New Roman" w:eastAsia="宋体" w:cs="Times New Roman"/>
      <w:lang w:val="en-US" w:eastAsia="zh-CN" w:bidi="ar-SA"/>
    </w:rPr>
  </w:style>
  <w:style w:type="paragraph" w:customStyle="1" w:styleId="119">
    <w:name w:val=" Char Char Char"/>
    <w:basedOn w:val="1"/>
    <w:qFormat/>
    <w:uiPriority w:val="0"/>
    <w:pPr>
      <w:widowControl/>
      <w:spacing w:after="160" w:line="240" w:lineRule="exact"/>
      <w:jc w:val="left"/>
    </w:pPr>
  </w:style>
  <w:style w:type="character" w:customStyle="1" w:styleId="120">
    <w:name w:val="正文文本缩进 字符1"/>
    <w:link w:val="20"/>
    <w:qFormat/>
    <w:uiPriority w:val="0"/>
    <w:rPr>
      <w:kern w:val="2"/>
      <w:sz w:val="21"/>
      <w:szCs w:val="24"/>
    </w:rPr>
  </w:style>
  <w:style w:type="character" w:customStyle="1" w:styleId="121">
    <w:name w:val="文档结构图 字符"/>
    <w:link w:val="15"/>
    <w:qFormat/>
    <w:uiPriority w:val="0"/>
    <w:rPr>
      <w:kern w:val="2"/>
      <w:sz w:val="21"/>
      <w:szCs w:val="24"/>
      <w:shd w:val="clear" w:color="auto" w:fill="000080"/>
    </w:rPr>
  </w:style>
  <w:style w:type="character" w:customStyle="1" w:styleId="122">
    <w:name w:val="普通文字1 Char"/>
    <w:qFormat/>
    <w:uiPriority w:val="0"/>
    <w:rPr>
      <w:rFonts w:ascii="宋体" w:hAnsi="Courier New" w:eastAsia="宋体"/>
      <w:kern w:val="2"/>
      <w:sz w:val="21"/>
      <w:lang w:val="en-US" w:eastAsia="zh-CN" w:bidi="ar-SA"/>
    </w:rPr>
  </w:style>
  <w:style w:type="character" w:customStyle="1" w:styleId="123">
    <w:name w:val="明显引用 Char1"/>
    <w:qFormat/>
    <w:uiPriority w:val="99"/>
    <w:rPr>
      <w:b/>
      <w:bCs/>
      <w:i/>
      <w:iCs/>
      <w:color w:val="4F81BD"/>
      <w:kern w:val="2"/>
      <w:sz w:val="21"/>
      <w:szCs w:val="24"/>
    </w:rPr>
  </w:style>
  <w:style w:type="character" w:customStyle="1" w:styleId="124">
    <w:name w:val="批注文字 Char Char"/>
    <w:qFormat/>
    <w:uiPriority w:val="0"/>
    <w:rPr>
      <w:rFonts w:ascii="宋体" w:hAnsi="Times New Roman" w:eastAsia="宋体" w:cs="Times New Roman"/>
      <w:sz w:val="28"/>
      <w:szCs w:val="20"/>
    </w:rPr>
  </w:style>
  <w:style w:type="character" w:customStyle="1" w:styleId="125">
    <w:name w:val="标题 2 字符"/>
    <w:link w:val="3"/>
    <w:qFormat/>
    <w:uiPriority w:val="0"/>
    <w:rPr>
      <w:rFonts w:ascii="Arial" w:hAnsi="Arial" w:eastAsia="黑体"/>
      <w:b/>
      <w:kern w:val="2"/>
      <w:sz w:val="28"/>
    </w:rPr>
  </w:style>
  <w:style w:type="character" w:customStyle="1" w:styleId="126">
    <w:name w:val="页脚 字符"/>
    <w:link w:val="31"/>
    <w:qFormat/>
    <w:uiPriority w:val="0"/>
    <w:rPr>
      <w:rFonts w:eastAsia="宋体"/>
      <w:kern w:val="2"/>
      <w:sz w:val="18"/>
      <w:lang w:val="en-US" w:eastAsia="zh-CN" w:bidi="ar-SA"/>
    </w:rPr>
  </w:style>
  <w:style w:type="character" w:customStyle="1" w:styleId="127">
    <w:name w:val="标题 字符"/>
    <w:link w:val="42"/>
    <w:qFormat/>
    <w:uiPriority w:val="0"/>
    <w:rPr>
      <w:rFonts w:ascii="Arial" w:hAnsi="Arial" w:eastAsia="楷体_GB2312" w:cs="Arial"/>
      <w:b/>
      <w:sz w:val="32"/>
      <w:szCs w:val="32"/>
    </w:rPr>
  </w:style>
  <w:style w:type="character" w:customStyle="1" w:styleId="128">
    <w:name w:val="批注文字 字符"/>
    <w:link w:val="16"/>
    <w:qFormat/>
    <w:uiPriority w:val="0"/>
    <w:rPr>
      <w:rFonts w:eastAsia="宋体"/>
      <w:sz w:val="24"/>
      <w:lang w:val="en-US" w:eastAsia="zh-CN" w:bidi="ar-SA"/>
    </w:rPr>
  </w:style>
  <w:style w:type="character" w:customStyle="1" w:styleId="129">
    <w:name w:val="Char Char"/>
    <w:qFormat/>
    <w:uiPriority w:val="0"/>
    <w:rPr>
      <w:sz w:val="18"/>
      <w:szCs w:val="18"/>
    </w:rPr>
  </w:style>
  <w:style w:type="character" w:customStyle="1" w:styleId="130">
    <w:name w:val="标题 5 字符"/>
    <w:link w:val="6"/>
    <w:qFormat/>
    <w:uiPriority w:val="0"/>
    <w:rPr>
      <w:b/>
      <w:kern w:val="2"/>
      <w:sz w:val="28"/>
      <w:szCs w:val="24"/>
    </w:rPr>
  </w:style>
  <w:style w:type="character" w:customStyle="1" w:styleId="131">
    <w:name w:val="纯文本 字符"/>
    <w:link w:val="26"/>
    <w:qFormat/>
    <w:locked/>
    <w:uiPriority w:val="0"/>
    <w:rPr>
      <w:rFonts w:ascii="宋体" w:hAnsi="Courier New" w:eastAsia="宋体" w:cs="Courier New"/>
      <w:kern w:val="2"/>
      <w:sz w:val="21"/>
      <w:szCs w:val="21"/>
      <w:lang w:val="en-US" w:eastAsia="zh-CN" w:bidi="ar-SA"/>
    </w:rPr>
  </w:style>
  <w:style w:type="character" w:customStyle="1" w:styleId="132">
    <w:name w:val="textcontents"/>
    <w:qFormat/>
    <w:uiPriority w:val="0"/>
    <w:rPr>
      <w:rFonts w:cs="Times New Roman"/>
    </w:rPr>
  </w:style>
  <w:style w:type="character" w:customStyle="1" w:styleId="133">
    <w:name w:val="正文文本缩进 2 字符"/>
    <w:link w:val="29"/>
    <w:qFormat/>
    <w:uiPriority w:val="0"/>
    <w:rPr>
      <w:kern w:val="2"/>
      <w:sz w:val="32"/>
    </w:rPr>
  </w:style>
  <w:style w:type="character" w:customStyle="1" w:styleId="134">
    <w:name w:val="标题 6 字符"/>
    <w:link w:val="8"/>
    <w:qFormat/>
    <w:uiPriority w:val="0"/>
    <w:rPr>
      <w:rFonts w:ascii="Arial" w:hAnsi="Arial" w:eastAsia="黑体"/>
      <w:b/>
      <w:kern w:val="2"/>
      <w:sz w:val="24"/>
      <w:szCs w:val="24"/>
    </w:rPr>
  </w:style>
  <w:style w:type="character" w:customStyle="1" w:styleId="135">
    <w:name w:val="正文文本缩进 字符"/>
    <w:qFormat/>
    <w:uiPriority w:val="0"/>
    <w:rPr>
      <w:kern w:val="2"/>
      <w:sz w:val="32"/>
    </w:rPr>
  </w:style>
  <w:style w:type="character" w:customStyle="1" w:styleId="136">
    <w:name w:val="正文文本 字符"/>
    <w:link w:val="19"/>
    <w:qFormat/>
    <w:uiPriority w:val="0"/>
    <w:rPr>
      <w:sz w:val="24"/>
    </w:rPr>
  </w:style>
  <w:style w:type="character" w:customStyle="1" w:styleId="137">
    <w:name w:val="批注主题 字符"/>
    <w:link w:val="43"/>
    <w:qFormat/>
    <w:uiPriority w:val="0"/>
    <w:rPr>
      <w:rFonts w:eastAsia="宋体"/>
      <w:b/>
      <w:bCs/>
      <w:kern w:val="2"/>
      <w:sz w:val="21"/>
      <w:szCs w:val="24"/>
      <w:lang w:val="en-US" w:eastAsia="zh-CN" w:bidi="ar-SA"/>
    </w:rPr>
  </w:style>
  <w:style w:type="character" w:customStyle="1" w:styleId="138">
    <w:name w:val="页眉 字符"/>
    <w:link w:val="32"/>
    <w:qFormat/>
    <w:uiPriority w:val="0"/>
    <w:rPr>
      <w:rFonts w:eastAsia="宋体"/>
      <w:kern w:val="2"/>
      <w:sz w:val="18"/>
      <w:lang w:val="en-US" w:eastAsia="zh-CN" w:bidi="ar-SA"/>
    </w:rPr>
  </w:style>
  <w:style w:type="character" w:customStyle="1" w:styleId="139">
    <w:name w:val="引用 字符"/>
    <w:link w:val="67"/>
    <w:qFormat/>
    <w:uiPriority w:val="0"/>
    <w:rPr>
      <w:i/>
      <w:iCs/>
      <w:color w:val="000000"/>
      <w:kern w:val="2"/>
      <w:sz w:val="21"/>
      <w:szCs w:val="22"/>
    </w:rPr>
  </w:style>
  <w:style w:type="character" w:customStyle="1" w:styleId="140">
    <w:name w:val="批注框文本 字符"/>
    <w:link w:val="30"/>
    <w:qFormat/>
    <w:uiPriority w:val="0"/>
    <w:rPr>
      <w:kern w:val="2"/>
      <w:sz w:val="18"/>
      <w:szCs w:val="18"/>
    </w:rPr>
  </w:style>
  <w:style w:type="character" w:customStyle="1" w:styleId="141">
    <w:name w:val="标题 7 字符"/>
    <w:link w:val="9"/>
    <w:qFormat/>
    <w:uiPriority w:val="0"/>
    <w:rPr>
      <w:b/>
      <w:kern w:val="2"/>
      <w:sz w:val="24"/>
      <w:szCs w:val="24"/>
    </w:rPr>
  </w:style>
  <w:style w:type="character" w:customStyle="1" w:styleId="142">
    <w:name w:val="p0 Char"/>
    <w:link w:val="100"/>
    <w:qFormat/>
    <w:uiPriority w:val="0"/>
    <w:rPr>
      <w:rFonts w:eastAsia="宋体"/>
      <w:sz w:val="21"/>
      <w:szCs w:val="21"/>
      <w:lang w:val="en-US" w:eastAsia="zh-CN" w:bidi="ar-SA"/>
    </w:rPr>
  </w:style>
  <w:style w:type="character" w:customStyle="1" w:styleId="143">
    <w:name w:val="副标题 字符"/>
    <w:link w:val="35"/>
    <w:qFormat/>
    <w:uiPriority w:val="0"/>
    <w:rPr>
      <w:rFonts w:ascii="Cambria" w:hAnsi="Cambria"/>
      <w:b/>
      <w:bCs/>
      <w:kern w:val="28"/>
      <w:sz w:val="32"/>
      <w:szCs w:val="32"/>
    </w:rPr>
  </w:style>
  <w:style w:type="character" w:customStyle="1" w:styleId="144">
    <w:name w:val="标题 3 字符"/>
    <w:link w:val="4"/>
    <w:qFormat/>
    <w:uiPriority w:val="0"/>
    <w:rPr>
      <w:b/>
      <w:kern w:val="2"/>
      <w:sz w:val="32"/>
    </w:rPr>
  </w:style>
  <w:style w:type="character" w:customStyle="1" w:styleId="145">
    <w:name w:val="_Style 135"/>
    <w:qFormat/>
    <w:uiPriority w:val="0"/>
    <w:rPr>
      <w:smallCaps/>
      <w:color w:val="C0504D"/>
      <w:u w:val="single"/>
    </w:rPr>
  </w:style>
  <w:style w:type="character" w:customStyle="1" w:styleId="146">
    <w:name w:val="rili11"/>
    <w:qFormat/>
    <w:uiPriority w:val="0"/>
    <w:rPr>
      <w:sz w:val="21"/>
      <w:szCs w:val="21"/>
    </w:rPr>
  </w:style>
  <w:style w:type="character" w:customStyle="1" w:styleId="147">
    <w:name w:val="批注文字 Char1"/>
    <w:qFormat/>
    <w:uiPriority w:val="0"/>
    <w:rPr>
      <w:kern w:val="2"/>
      <w:sz w:val="21"/>
      <w:szCs w:val="24"/>
    </w:rPr>
  </w:style>
  <w:style w:type="character" w:customStyle="1" w:styleId="148">
    <w:name w:val="正文文本缩进 3 字符"/>
    <w:link w:val="37"/>
    <w:qFormat/>
    <w:uiPriority w:val="0"/>
    <w:rPr>
      <w:rFonts w:ascii="黑体" w:eastAsia="黑体"/>
      <w:kern w:val="2"/>
      <w:sz w:val="30"/>
      <w:szCs w:val="28"/>
    </w:rPr>
  </w:style>
  <w:style w:type="character" w:customStyle="1" w:styleId="149">
    <w:name w:val="标题 9 字符"/>
    <w:link w:val="11"/>
    <w:qFormat/>
    <w:uiPriority w:val="0"/>
    <w:rPr>
      <w:rFonts w:ascii="Arial" w:hAnsi="Arial" w:eastAsia="黑体"/>
      <w:kern w:val="2"/>
      <w:sz w:val="21"/>
      <w:szCs w:val="24"/>
    </w:rPr>
  </w:style>
  <w:style w:type="character" w:customStyle="1" w:styleId="150">
    <w:name w:val="明显引用 字符"/>
    <w:link w:val="87"/>
    <w:qFormat/>
    <w:uiPriority w:val="0"/>
    <w:rPr>
      <w:b/>
      <w:bCs/>
      <w:i/>
      <w:iCs/>
      <w:color w:val="4F81BD"/>
      <w:kern w:val="2"/>
      <w:sz w:val="21"/>
      <w:szCs w:val="22"/>
    </w:rPr>
  </w:style>
  <w:style w:type="character" w:customStyle="1" w:styleId="151">
    <w:name w:val="bds_nopic2"/>
    <w:qFormat/>
    <w:uiPriority w:val="0"/>
    <w:rPr>
      <w:rFonts w:ascii="Times New Roman" w:hAnsi="Times New Roman" w:eastAsia="宋体"/>
    </w:rPr>
  </w:style>
  <w:style w:type="character" w:customStyle="1" w:styleId="152">
    <w:name w:val="正文文本 2 字符"/>
    <w:basedOn w:val="49"/>
    <w:link w:val="40"/>
    <w:qFormat/>
    <w:uiPriority w:val="0"/>
  </w:style>
  <w:style w:type="character" w:customStyle="1" w:styleId="153">
    <w:name w:val="副标题 Char1"/>
    <w:qFormat/>
    <w:uiPriority w:val="0"/>
    <w:rPr>
      <w:rFonts w:ascii="Cambria" w:hAnsi="Cambria" w:cs="Times New Roman"/>
      <w:b/>
      <w:bCs/>
      <w:kern w:val="28"/>
      <w:sz w:val="32"/>
      <w:szCs w:val="32"/>
    </w:rPr>
  </w:style>
  <w:style w:type="character" w:customStyle="1" w:styleId="154">
    <w:name w:val="日期 字符"/>
    <w:link w:val="28"/>
    <w:qFormat/>
    <w:uiPriority w:val="0"/>
    <w:rPr>
      <w:rFonts w:eastAsia="宋体"/>
      <w:kern w:val="2"/>
      <w:sz w:val="21"/>
      <w:szCs w:val="24"/>
      <w:lang w:val="en-US" w:eastAsia="zh-CN" w:bidi="ar-SA"/>
    </w:rPr>
  </w:style>
  <w:style w:type="character" w:customStyle="1" w:styleId="155">
    <w:name w:val="纯文本 Char1"/>
    <w:semiHidden/>
    <w:qFormat/>
    <w:locked/>
    <w:uiPriority w:val="0"/>
    <w:rPr>
      <w:rFonts w:ascii="宋体" w:hAnsi="Courier New" w:eastAsia="宋体" w:cs="Courier New"/>
      <w:szCs w:val="21"/>
    </w:rPr>
  </w:style>
  <w:style w:type="character" w:customStyle="1" w:styleId="156">
    <w:name w:val="标题 8 字符"/>
    <w:link w:val="10"/>
    <w:qFormat/>
    <w:uiPriority w:val="0"/>
    <w:rPr>
      <w:rFonts w:ascii="Arial" w:hAnsi="Arial" w:eastAsia="黑体"/>
      <w:kern w:val="2"/>
      <w:sz w:val="24"/>
      <w:szCs w:val="24"/>
    </w:rPr>
  </w:style>
  <w:style w:type="character" w:customStyle="1" w:styleId="157">
    <w:name w:val="_Style 147"/>
    <w:qFormat/>
    <w:uiPriority w:val="0"/>
    <w:rPr>
      <w:i/>
      <w:iCs/>
      <w:color w:val="808080"/>
    </w:rPr>
  </w:style>
  <w:style w:type="character" w:customStyle="1" w:styleId="158">
    <w:name w:val="_Style 148"/>
    <w:qFormat/>
    <w:uiPriority w:val="0"/>
    <w:rPr>
      <w:b/>
      <w:bCs/>
      <w:smallCaps/>
      <w:spacing w:val="5"/>
    </w:rPr>
  </w:style>
  <w:style w:type="character" w:customStyle="1" w:styleId="159">
    <w:name w:val="正文缩进 字符"/>
    <w:link w:val="7"/>
    <w:qFormat/>
    <w:uiPriority w:val="0"/>
    <w:rPr>
      <w:rFonts w:eastAsia="宋体"/>
      <w:kern w:val="2"/>
      <w:sz w:val="21"/>
      <w:lang w:val="en-US" w:eastAsia="zh-CN" w:bidi="ar-SA"/>
    </w:rPr>
  </w:style>
  <w:style w:type="character" w:customStyle="1" w:styleId="160">
    <w:name w:val="日期 Char1"/>
    <w:qFormat/>
    <w:uiPriority w:val="0"/>
    <w:rPr>
      <w:kern w:val="2"/>
      <w:sz w:val="21"/>
      <w:szCs w:val="22"/>
    </w:rPr>
  </w:style>
  <w:style w:type="character" w:customStyle="1" w:styleId="161">
    <w:name w:val="标题4 Char Char"/>
    <w:qFormat/>
    <w:uiPriority w:val="0"/>
    <w:rPr>
      <w:rFonts w:ascii="Arial" w:hAnsi="Arial"/>
      <w:b/>
      <w:bCs/>
      <w:sz w:val="24"/>
      <w:szCs w:val="32"/>
    </w:rPr>
  </w:style>
  <w:style w:type="character" w:customStyle="1" w:styleId="162">
    <w:name w:val="文档结构图 Char1"/>
    <w:qFormat/>
    <w:uiPriority w:val="0"/>
    <w:rPr>
      <w:rFonts w:ascii="宋体"/>
      <w:kern w:val="2"/>
      <w:sz w:val="18"/>
      <w:szCs w:val="18"/>
    </w:rPr>
  </w:style>
  <w:style w:type="character" w:customStyle="1" w:styleId="163">
    <w:name w:val="标题5 Char Char"/>
    <w:link w:val="111"/>
    <w:qFormat/>
    <w:uiPriority w:val="0"/>
    <w:rPr>
      <w:rFonts w:ascii="Arial" w:hAnsi="Arial"/>
      <w:b/>
      <w:bCs/>
      <w:sz w:val="24"/>
      <w:szCs w:val="32"/>
    </w:rPr>
  </w:style>
  <w:style w:type="character" w:customStyle="1" w:styleId="164">
    <w:name w:val="_Style 154"/>
    <w:qFormat/>
    <w:uiPriority w:val="0"/>
    <w:rPr>
      <w:b/>
      <w:bCs/>
      <w:smallCaps/>
      <w:color w:val="C0504D"/>
      <w:spacing w:val="5"/>
      <w:u w:val="single"/>
    </w:rPr>
  </w:style>
  <w:style w:type="character" w:customStyle="1" w:styleId="165">
    <w:name w:val="Char Char Char Char Char Char Char Char Char"/>
    <w:qFormat/>
    <w:uiPriority w:val="0"/>
    <w:rPr>
      <w:sz w:val="18"/>
      <w:szCs w:val="18"/>
    </w:rPr>
  </w:style>
  <w:style w:type="character" w:customStyle="1" w:styleId="166">
    <w:name w:val="正文文本 Char1"/>
    <w:qFormat/>
    <w:uiPriority w:val="0"/>
    <w:rPr>
      <w:kern w:val="2"/>
      <w:sz w:val="21"/>
      <w:szCs w:val="22"/>
    </w:rPr>
  </w:style>
  <w:style w:type="character" w:customStyle="1" w:styleId="167">
    <w:name w:val="批注框文本 Char1"/>
    <w:qFormat/>
    <w:uiPriority w:val="0"/>
    <w:rPr>
      <w:kern w:val="2"/>
      <w:sz w:val="18"/>
      <w:szCs w:val="18"/>
    </w:rPr>
  </w:style>
  <w:style w:type="character" w:customStyle="1" w:styleId="168">
    <w:name w:val="_Style 158"/>
    <w:qFormat/>
    <w:uiPriority w:val="0"/>
    <w:rPr>
      <w:b/>
      <w:bCs/>
      <w:i/>
      <w:iCs/>
      <w:color w:val="4F81BD"/>
    </w:rPr>
  </w:style>
  <w:style w:type="character" w:customStyle="1" w:styleId="169">
    <w:name w:val="Blockquote Char"/>
    <w:link w:val="90"/>
    <w:qFormat/>
    <w:uiPriority w:val="0"/>
    <w:rPr>
      <w:sz w:val="24"/>
    </w:rPr>
  </w:style>
  <w:style w:type="character" w:customStyle="1" w:styleId="170">
    <w:name w:val="批注主题 Char1"/>
    <w:qFormat/>
    <w:uiPriority w:val="0"/>
    <w:rPr>
      <w:b/>
      <w:bCs/>
      <w:kern w:val="2"/>
      <w:sz w:val="21"/>
      <w:szCs w:val="22"/>
    </w:rPr>
  </w:style>
  <w:style w:type="character" w:customStyle="1" w:styleId="171">
    <w:name w:val="Blockquote Char Char"/>
    <w:qFormat/>
    <w:locked/>
    <w:uiPriority w:val="0"/>
    <w:rPr>
      <w:sz w:val="24"/>
    </w:rPr>
  </w:style>
  <w:style w:type="character" w:customStyle="1" w:styleId="172">
    <w:name w:val="正文文本 3 字符"/>
    <w:link w:val="18"/>
    <w:qFormat/>
    <w:uiPriority w:val="0"/>
    <w:rPr>
      <w:sz w:val="16"/>
      <w:szCs w:val="16"/>
    </w:rPr>
  </w:style>
  <w:style w:type="character" w:customStyle="1" w:styleId="173">
    <w:name w:val="引用 Char1"/>
    <w:qFormat/>
    <w:uiPriority w:val="99"/>
    <w:rPr>
      <w:i/>
      <w:iCs/>
      <w:color w:val="000000"/>
      <w:kern w:val="2"/>
      <w:sz w:val="21"/>
      <w:szCs w:val="24"/>
    </w:rPr>
  </w:style>
  <w:style w:type="character" w:customStyle="1" w:styleId="174">
    <w:name w:val="标题 4 字符"/>
    <w:link w:val="5"/>
    <w:qFormat/>
    <w:uiPriority w:val="0"/>
    <w:rPr>
      <w:rFonts w:ascii="Arial" w:hAnsi="Arial" w:eastAsia="黑体"/>
      <w:b/>
      <w:bCs/>
      <w:kern w:val="2"/>
      <w:sz w:val="28"/>
      <w:szCs w:val="28"/>
      <w:lang w:val="en-US" w:eastAsia="zh-CN" w:bidi="ar-SA"/>
    </w:rPr>
  </w:style>
  <w:style w:type="character" w:customStyle="1" w:styleId="175">
    <w:name w:val="标题 1 字符"/>
    <w:link w:val="2"/>
    <w:qFormat/>
    <w:uiPriority w:val="0"/>
    <w:rPr>
      <w:b/>
      <w:kern w:val="44"/>
      <w:sz w:val="32"/>
    </w:rPr>
  </w:style>
  <w:style w:type="character" w:customStyle="1" w:styleId="176">
    <w:name w:val="正文文本缩进 Char"/>
    <w:qFormat/>
    <w:uiPriority w:val="0"/>
    <w:rPr>
      <w:kern w:val="2"/>
      <w:sz w:val="32"/>
    </w:rPr>
  </w:style>
  <w:style w:type="character" w:customStyle="1" w:styleId="177">
    <w:name w:val="font51"/>
    <w:basedOn w:val="49"/>
    <w:qFormat/>
    <w:uiPriority w:val="0"/>
    <w:rPr>
      <w:rFonts w:hint="eastAsia" w:ascii="仿宋" w:hAnsi="仿宋" w:eastAsia="仿宋" w:cs="仿宋"/>
      <w:color w:val="000000"/>
      <w:sz w:val="24"/>
      <w:szCs w:val="24"/>
      <w:u w:val="none"/>
    </w:rPr>
  </w:style>
  <w:style w:type="character" w:customStyle="1" w:styleId="178">
    <w:name w:val="font01"/>
    <w:basedOn w:val="49"/>
    <w:qFormat/>
    <w:uiPriority w:val="0"/>
    <w:rPr>
      <w:rFonts w:hint="eastAsia" w:ascii="仿宋" w:hAnsi="仿宋" w:eastAsia="仿宋" w:cs="仿宋"/>
      <w:color w:val="000000"/>
      <w:sz w:val="24"/>
      <w:szCs w:val="24"/>
      <w:u w:val="none"/>
      <w:vertAlign w:val="superscript"/>
    </w:rPr>
  </w:style>
  <w:style w:type="character" w:customStyle="1" w:styleId="179">
    <w:name w:val="old"/>
    <w:basedOn w:val="49"/>
    <w:qFormat/>
    <w:uiPriority w:val="0"/>
    <w:rPr>
      <w:color w:val="999999"/>
    </w:rPr>
  </w:style>
  <w:style w:type="character" w:customStyle="1" w:styleId="180">
    <w:name w:val="indent"/>
    <w:basedOn w:val="49"/>
    <w:qFormat/>
    <w:uiPriority w:val="0"/>
  </w:style>
  <w:style w:type="character" w:customStyle="1" w:styleId="181">
    <w:name w:val="hover3"/>
    <w:basedOn w:val="49"/>
    <w:qFormat/>
    <w:uiPriority w:val="0"/>
    <w:rPr>
      <w:shd w:val="clear" w:fill="EEEEEE"/>
    </w:rPr>
  </w:style>
  <w:style w:type="character" w:customStyle="1" w:styleId="182">
    <w:name w:val="hour_am"/>
    <w:basedOn w:val="49"/>
    <w:qFormat/>
    <w:uiPriority w:val="0"/>
  </w:style>
  <w:style w:type="character" w:customStyle="1" w:styleId="183">
    <w:name w:val="hour_pm"/>
    <w:basedOn w:val="49"/>
    <w:qFormat/>
    <w:uiPriority w:val="0"/>
  </w:style>
  <w:style w:type="character" w:customStyle="1" w:styleId="184">
    <w:name w:val="glyphicon4"/>
    <w:basedOn w:val="49"/>
    <w:qFormat/>
    <w:uiPriority w:val="0"/>
  </w:style>
  <w:style w:type="character" w:customStyle="1" w:styleId="185">
    <w:name w:val="button"/>
    <w:basedOn w:val="49"/>
    <w:qFormat/>
    <w:uiPriority w:val="0"/>
  </w:style>
  <w:style w:type="character" w:customStyle="1" w:styleId="186">
    <w:name w:val="tmpztreemove_arrow"/>
    <w:basedOn w:val="49"/>
    <w:qFormat/>
    <w:uiPriority w:val="0"/>
    <w:rPr>
      <w:shd w:val="clear" w:fill="FFFFFF"/>
    </w:rPr>
  </w:style>
  <w:style w:type="paragraph" w:customStyle="1" w:styleId="18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Table Paragraph"/>
    <w:basedOn w:val="1"/>
    <w:qFormat/>
    <w:uiPriority w:val="1"/>
  </w:style>
  <w:style w:type="paragraph" w:customStyle="1" w:styleId="190">
    <w:name w:val="※正文"/>
    <w:basedOn w:val="1"/>
    <w:next w:val="1"/>
    <w:qFormat/>
    <w:uiPriority w:val="0"/>
    <w:pPr>
      <w:wordWrap w:val="0"/>
    </w:pPr>
    <w:rPr>
      <w:rFonts w:cstheme="minorBidi"/>
    </w:rPr>
  </w:style>
  <w:style w:type="character" w:customStyle="1" w:styleId="191">
    <w:name w:val="font161"/>
    <w:basedOn w:val="49"/>
    <w:qFormat/>
    <w:uiPriority w:val="0"/>
    <w:rPr>
      <w:rFonts w:hint="eastAsia" w:ascii="宋体" w:hAnsi="宋体" w:eastAsia="宋体" w:cs="宋体"/>
      <w:b/>
      <w:bCs/>
      <w:color w:val="000000"/>
      <w:sz w:val="18"/>
      <w:szCs w:val="18"/>
      <w:u w:val="none"/>
    </w:rPr>
  </w:style>
  <w:style w:type="character" w:customStyle="1" w:styleId="192">
    <w:name w:val="font121"/>
    <w:basedOn w:val="49"/>
    <w:qFormat/>
    <w:uiPriority w:val="0"/>
    <w:rPr>
      <w:rFonts w:hint="eastAsia" w:ascii="宋体" w:hAnsi="宋体" w:eastAsia="宋体" w:cs="宋体"/>
      <w:color w:val="000000"/>
      <w:sz w:val="18"/>
      <w:szCs w:val="18"/>
      <w:u w:val="none"/>
    </w:rPr>
  </w:style>
  <w:style w:type="character" w:customStyle="1" w:styleId="193">
    <w:name w:val="font11"/>
    <w:basedOn w:val="49"/>
    <w:qFormat/>
    <w:uiPriority w:val="0"/>
    <w:rPr>
      <w:rFonts w:hint="default" w:ascii="Times New Roman" w:hAnsi="Times New Roman" w:cs="Times New Roman"/>
      <w:color w:val="000000"/>
      <w:sz w:val="18"/>
      <w:szCs w:val="18"/>
      <w:u w:val="none"/>
    </w:rPr>
  </w:style>
  <w:style w:type="character" w:customStyle="1" w:styleId="194">
    <w:name w:val="font181"/>
    <w:basedOn w:val="49"/>
    <w:qFormat/>
    <w:uiPriority w:val="0"/>
    <w:rPr>
      <w:rFonts w:hint="eastAsia" w:ascii="宋体" w:hAnsi="宋体" w:eastAsia="宋体" w:cs="宋体"/>
      <w:b/>
      <w:bCs/>
      <w:color w:val="000000"/>
      <w:sz w:val="18"/>
      <w:szCs w:val="18"/>
      <w:u w:val="none"/>
    </w:rPr>
  </w:style>
  <w:style w:type="character" w:customStyle="1" w:styleId="195">
    <w:name w:val="font31"/>
    <w:basedOn w:val="4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22138</Words>
  <Characters>23679</Characters>
  <Lines>430</Lines>
  <Paragraphs>121</Paragraphs>
  <TotalTime>3</TotalTime>
  <ScaleCrop>false</ScaleCrop>
  <LinksUpToDate>false</LinksUpToDate>
  <CharactersWithSpaces>24045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2016-09-14T08:14:00Z</dcterms:created>
  <dc:creator>GZB</dc:creator>
  <cp:lastModifiedBy>ztt</cp:lastModifiedBy>
  <cp:lastPrinted>2025-07-04T05:34:00Z</cp:lastPrinted>
  <dcterms:modified xsi:type="dcterms:W3CDTF">2025-08-05T06:43:14Z</dcterms:modified>
  <dc:title>招标编号：xxx政采招[20xxx] xxx号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4137DC9FB764438D80B7BA6801743919_13</vt:lpwstr>
  </property>
  <property fmtid="{D5CDD505-2E9C-101B-9397-08002B2CF9AE}" pid="4" name="KSOTemplateDocerSaveRecord">
    <vt:lpwstr>eyJoZGlkIjoiYTI1ZDdhNGJiYmQ2MTY3MGY2ODdiMzlkYTAyZTY2OTUiLCJ1c2VySWQiOiIxMDgyOTIwMzE0In0=</vt:lpwstr>
  </property>
</Properties>
</file>