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FB3F" w14:textId="77777777" w:rsidR="009C1E3B" w:rsidRPr="000D7E11" w:rsidRDefault="009C1E3B" w:rsidP="009C1E3B">
      <w:pPr>
        <w:spacing w:line="480" w:lineRule="exact"/>
        <w:ind w:firstLineChars="200" w:firstLine="420"/>
        <w:rPr>
          <w:rFonts w:hint="eastAsia"/>
          <w:sz w:val="21"/>
          <w:szCs w:val="21"/>
        </w:rPr>
      </w:pPr>
      <w:bookmarkStart w:id="0" w:name="_Hlk160700562"/>
      <w:r w:rsidRPr="000D7E11">
        <w:rPr>
          <w:rFonts w:cs="Times New Roman" w:hint="eastAsia"/>
          <w:sz w:val="21"/>
          <w:szCs w:val="21"/>
        </w:rPr>
        <w:t>服务需求</w:t>
      </w:r>
      <w:r w:rsidRPr="000D7E11">
        <w:rPr>
          <w:sz w:val="21"/>
          <w:szCs w:val="21"/>
        </w:rPr>
        <w:t>：</w:t>
      </w:r>
    </w:p>
    <w:bookmarkEnd w:id="0"/>
    <w:p w14:paraId="1F2B5311"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1.项目概况</w:t>
      </w:r>
    </w:p>
    <w:p w14:paraId="5C1E68F9"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为贯彻《土壤污染防治法》《土地管理法》，有效管控建设用地土壤污染风险，根据陕西省自然资源厅，陕西省生态厅《关于规范报批建设用地审查土壤环境质量要求的通知》（陕自然发[2022]3号）、《关于落实“十四五”重点建设用地安全利用指标考核要求的通知》（陕环发[2023]14号）等文件要求，在土地报批、供应前涉及用途变更为“一住两公”的用地，应当按照技术规范要求，组织开展土壤污染状况调查。</w:t>
      </w:r>
    </w:p>
    <w:p w14:paraId="51E192DB" w14:textId="77777777" w:rsidR="009C1E3B" w:rsidRPr="009C1E3B" w:rsidRDefault="009C1E3B" w:rsidP="009C1E3B">
      <w:pPr>
        <w:adjustRightInd w:val="0"/>
        <w:snapToGrid w:val="0"/>
        <w:spacing w:line="440" w:lineRule="exact"/>
        <w:ind w:firstLineChars="250" w:firstLine="525"/>
        <w:rPr>
          <w:rFonts w:cs="Times New Roman" w:hint="eastAsia"/>
          <w:sz w:val="21"/>
          <w:szCs w:val="21"/>
          <w14:ligatures w14:val="none"/>
        </w:rPr>
      </w:pPr>
      <w:r w:rsidRPr="000D7E11">
        <w:rPr>
          <w:rFonts w:cs="Times New Roman" w:hint="eastAsia"/>
          <w:sz w:val="21"/>
          <w:szCs w:val="21"/>
        </w:rPr>
        <w:t>根据业务需求，本次土壤污染状况调查技术服务采购项目分为2个标段，一标段为土地报批工作中涉及用途变更为“一住两公”的地块，委托第三方调查服务机构，根据相关技术规范开展土壤污染状况调查工作；</w:t>
      </w:r>
      <w:r w:rsidRPr="009C1E3B">
        <w:rPr>
          <w:rFonts w:cs="Times New Roman" w:hint="eastAsia"/>
          <w:sz w:val="21"/>
          <w:szCs w:val="21"/>
          <w14:ligatures w14:val="none"/>
        </w:rPr>
        <w:t>二标段为土地供应工作中涉及用途变更为“一住两公”的地块，委托第三方调查服务机构，根据相关技术规范开展土壤污染状况调查工作。</w:t>
      </w:r>
    </w:p>
    <w:p w14:paraId="51557FCA"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注：若中标人因自身原因未能在采购人书面通知要求的合理期限内完成工作任务，且经采购人书面催告后仍未能采取有效补救措施，导致采购人工作进度受到实质影响的，采购人可将本标段工作任务调整至其他标段中标人</w:t>
      </w:r>
      <w:r w:rsidRPr="000D7E11">
        <w:rPr>
          <w:rFonts w:cs="Times New Roman"/>
          <w:sz w:val="21"/>
          <w:szCs w:val="21"/>
        </w:rPr>
        <w:t>。</w:t>
      </w:r>
    </w:p>
    <w:p w14:paraId="5814594C"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2.项目内容：</w:t>
      </w:r>
    </w:p>
    <w:p w14:paraId="1FB2AE8C"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土壤污染状况调查分两个阶段，第一阶段以资料收集、现场踏勘和人员访谈为主，若确认地块内及周围区域当前和历史上均无可能的污染源，则调查活动结束；第二阶段以采样与分析为主，若第一阶段调查表明地块内或周围区域存在可能的污染源，以及由于资料缺失等原因造成无法排除地块内外存在污染源时，则需进行第二阶段土壤污染状况调查。</w:t>
      </w:r>
    </w:p>
    <w:p w14:paraId="24DF06F4"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3.技术要求</w:t>
      </w:r>
    </w:p>
    <w:p w14:paraId="1B1A8D2B"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按照招标方要求，开展土壤污染状况调查，编制调查报告，并确定是否应当进一步开展土壤污染风险评估，给出合理的建议与意见。所提交的调查报告必须符合国家现行的设计规范、技术规程及地方有关规定，取得报告审核意见并及时上传至全国土壤环境信息平台，并应满足采购人要求，最终获得采购人确认。成果汇集成册，最终应提交合格的纸质文件，另附电子文件。</w:t>
      </w:r>
    </w:p>
    <w:p w14:paraId="64A66BE2"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4.提交成果及结算</w:t>
      </w:r>
    </w:p>
    <w:p w14:paraId="5F859EF5"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提交土壤污染初步调查工作报告，提交的成果文件必须符合国家、行业及陕西省相关标准、规范的规定。</w:t>
      </w:r>
    </w:p>
    <w:p w14:paraId="242FFF63"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5.商务要求：</w:t>
      </w:r>
    </w:p>
    <w:p w14:paraId="60653F65"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（1）合同款的支付：每季度按照实际完成工作量据实结算。</w:t>
      </w:r>
    </w:p>
    <w:p w14:paraId="273DFC01"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（2）支付方式：银行转账。</w:t>
      </w:r>
    </w:p>
    <w:p w14:paraId="0FF984F0"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lastRenderedPageBreak/>
        <w:t>（3）结算方式：乙方在接受付款前开具全额发票给甲方。</w:t>
      </w:r>
    </w:p>
    <w:p w14:paraId="726DA51B" w14:textId="77777777" w:rsidR="009C1E3B" w:rsidRPr="000D7E11" w:rsidRDefault="009C1E3B" w:rsidP="009C1E3B">
      <w:pPr>
        <w:adjustRightInd w:val="0"/>
        <w:snapToGrid w:val="0"/>
        <w:spacing w:line="440" w:lineRule="exact"/>
        <w:ind w:firstLineChars="250" w:firstLine="525"/>
        <w:rPr>
          <w:rFonts w:cs="Times New Roman" w:hint="eastAsia"/>
          <w:sz w:val="21"/>
          <w:szCs w:val="21"/>
        </w:rPr>
      </w:pPr>
      <w:r w:rsidRPr="000D7E11">
        <w:rPr>
          <w:rFonts w:cs="Times New Roman" w:hint="eastAsia"/>
          <w:sz w:val="21"/>
          <w:szCs w:val="21"/>
        </w:rPr>
        <w:t>（4）服务期限：1年。</w:t>
      </w:r>
    </w:p>
    <w:p w14:paraId="7363E64E" w14:textId="77777777" w:rsidR="009C1E3B" w:rsidRPr="000D7E11" w:rsidRDefault="009C1E3B" w:rsidP="009C1E3B">
      <w:pPr>
        <w:adjustRightInd w:val="0"/>
        <w:snapToGrid w:val="0"/>
        <w:spacing w:line="440" w:lineRule="exact"/>
        <w:ind w:firstLineChars="250" w:firstLine="527"/>
        <w:rPr>
          <w:rFonts w:cs="Times New Roman" w:hint="eastAsia"/>
          <w:b/>
          <w:bCs/>
          <w:iCs/>
          <w:sz w:val="21"/>
          <w:szCs w:val="21"/>
        </w:rPr>
      </w:pPr>
      <w:r w:rsidRPr="000D7E11">
        <w:rPr>
          <w:rFonts w:cs="Times New Roman" w:hint="eastAsia"/>
          <w:b/>
          <w:bCs/>
          <w:sz w:val="21"/>
          <w:szCs w:val="21"/>
        </w:rPr>
        <w:t>（5）</w:t>
      </w:r>
      <w:r w:rsidRPr="000D7E11">
        <w:rPr>
          <w:rFonts w:cs="Times New Roman" w:hint="eastAsia"/>
          <w:b/>
          <w:bCs/>
          <w:iCs/>
          <w:sz w:val="21"/>
          <w:szCs w:val="21"/>
        </w:rPr>
        <w:t>一阶段调查最高限价78000元/地块；二阶段调查最高限价158000元/地块。投标人报价不分土地报批和土地供应。综合考虑后进行报价。</w:t>
      </w:r>
    </w:p>
    <w:p w14:paraId="5A8734F2" w14:textId="77777777" w:rsidR="009C1E3B" w:rsidRPr="000D7E11" w:rsidRDefault="009C1E3B" w:rsidP="009C1E3B">
      <w:pPr>
        <w:adjustRightInd w:val="0"/>
        <w:snapToGrid w:val="0"/>
        <w:spacing w:line="440" w:lineRule="exact"/>
        <w:ind w:firstLineChars="250" w:firstLine="527"/>
        <w:rPr>
          <w:rFonts w:cs="Times New Roman" w:hint="eastAsia"/>
          <w:b/>
          <w:bCs/>
          <w:iCs/>
          <w:sz w:val="21"/>
          <w:szCs w:val="21"/>
        </w:rPr>
      </w:pPr>
      <w:r w:rsidRPr="000D7E11">
        <w:rPr>
          <w:rFonts w:cs="Times New Roman" w:hint="eastAsia"/>
          <w:b/>
          <w:bCs/>
          <w:iCs/>
          <w:sz w:val="21"/>
          <w:szCs w:val="21"/>
        </w:rPr>
        <w:t>（6）本项目评审顺序按标段顺序进行评审，本项目各标段投标人可以同时投多个标段，但只能按照评审顺序中标一个标段；即第一标段的第一中标候选人不参与第二标段的评审。</w:t>
      </w:r>
    </w:p>
    <w:p w14:paraId="735A4F8B" w14:textId="77777777" w:rsidR="00385C34" w:rsidRDefault="00385C34">
      <w:pPr>
        <w:rPr>
          <w:rFonts w:hint="eastAsia"/>
        </w:rPr>
      </w:pPr>
    </w:p>
    <w:sectPr w:rsidR="00385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A124E" w14:textId="77777777" w:rsidR="009B5622" w:rsidRDefault="009B5622" w:rsidP="009C1E3B">
      <w:pPr>
        <w:rPr>
          <w:rFonts w:hint="eastAsia"/>
        </w:rPr>
      </w:pPr>
      <w:r>
        <w:separator/>
      </w:r>
    </w:p>
  </w:endnote>
  <w:endnote w:type="continuationSeparator" w:id="0">
    <w:p w14:paraId="316DD617" w14:textId="77777777" w:rsidR="009B5622" w:rsidRDefault="009B5622" w:rsidP="009C1E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513F8" w14:textId="77777777" w:rsidR="009B5622" w:rsidRDefault="009B5622" w:rsidP="009C1E3B">
      <w:pPr>
        <w:rPr>
          <w:rFonts w:hint="eastAsia"/>
        </w:rPr>
      </w:pPr>
      <w:r>
        <w:separator/>
      </w:r>
    </w:p>
  </w:footnote>
  <w:footnote w:type="continuationSeparator" w:id="0">
    <w:p w14:paraId="29774831" w14:textId="77777777" w:rsidR="009B5622" w:rsidRDefault="009B5622" w:rsidP="009C1E3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2A89"/>
    <w:rsid w:val="00385C34"/>
    <w:rsid w:val="004F648D"/>
    <w:rsid w:val="00860841"/>
    <w:rsid w:val="009B5622"/>
    <w:rsid w:val="009C1E3B"/>
    <w:rsid w:val="00A9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89ECC00-A42F-4592-A88E-4B99FA46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E3B"/>
    <w:rPr>
      <w:rFonts w:ascii="宋体" w:eastAsia="宋体" w:hAnsi="宋体" w:cs="宋体"/>
      <w:kern w:val="0"/>
      <w:sz w:val="24"/>
      <w:szCs w:val="24"/>
    </w:rPr>
  </w:style>
  <w:style w:type="paragraph" w:styleId="1">
    <w:name w:val="heading 1"/>
    <w:basedOn w:val="a"/>
    <w:next w:val="a"/>
    <w:link w:val="10"/>
    <w:uiPriority w:val="9"/>
    <w:qFormat/>
    <w:rsid w:val="00A92A8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92A8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92A8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92A8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92A89"/>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A92A8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92A8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A8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92A8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A8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92A8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92A8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92A89"/>
    <w:rPr>
      <w:rFonts w:cstheme="majorBidi"/>
      <w:color w:val="0F4761" w:themeColor="accent1" w:themeShade="BF"/>
      <w:sz w:val="28"/>
      <w:szCs w:val="28"/>
    </w:rPr>
  </w:style>
  <w:style w:type="character" w:customStyle="1" w:styleId="50">
    <w:name w:val="标题 5 字符"/>
    <w:basedOn w:val="a0"/>
    <w:link w:val="5"/>
    <w:uiPriority w:val="9"/>
    <w:semiHidden/>
    <w:rsid w:val="00A92A89"/>
    <w:rPr>
      <w:rFonts w:cstheme="majorBidi"/>
      <w:color w:val="0F4761" w:themeColor="accent1" w:themeShade="BF"/>
      <w:sz w:val="24"/>
      <w:szCs w:val="24"/>
    </w:rPr>
  </w:style>
  <w:style w:type="character" w:customStyle="1" w:styleId="60">
    <w:name w:val="标题 6 字符"/>
    <w:basedOn w:val="a0"/>
    <w:link w:val="6"/>
    <w:uiPriority w:val="9"/>
    <w:semiHidden/>
    <w:rsid w:val="00A92A89"/>
    <w:rPr>
      <w:rFonts w:cstheme="majorBidi"/>
      <w:b/>
      <w:bCs/>
      <w:color w:val="0F4761" w:themeColor="accent1" w:themeShade="BF"/>
    </w:rPr>
  </w:style>
  <w:style w:type="character" w:customStyle="1" w:styleId="70">
    <w:name w:val="标题 7 字符"/>
    <w:basedOn w:val="a0"/>
    <w:link w:val="7"/>
    <w:uiPriority w:val="9"/>
    <w:semiHidden/>
    <w:rsid w:val="00A92A89"/>
    <w:rPr>
      <w:rFonts w:cstheme="majorBidi"/>
      <w:b/>
      <w:bCs/>
      <w:color w:val="595959" w:themeColor="text1" w:themeTint="A6"/>
    </w:rPr>
  </w:style>
  <w:style w:type="character" w:customStyle="1" w:styleId="80">
    <w:name w:val="标题 8 字符"/>
    <w:basedOn w:val="a0"/>
    <w:link w:val="8"/>
    <w:uiPriority w:val="9"/>
    <w:semiHidden/>
    <w:rsid w:val="00A92A89"/>
    <w:rPr>
      <w:rFonts w:cstheme="majorBidi"/>
      <w:color w:val="595959" w:themeColor="text1" w:themeTint="A6"/>
    </w:rPr>
  </w:style>
  <w:style w:type="character" w:customStyle="1" w:styleId="90">
    <w:name w:val="标题 9 字符"/>
    <w:basedOn w:val="a0"/>
    <w:link w:val="9"/>
    <w:uiPriority w:val="9"/>
    <w:semiHidden/>
    <w:rsid w:val="00A92A89"/>
    <w:rPr>
      <w:rFonts w:eastAsiaTheme="majorEastAsia" w:cstheme="majorBidi"/>
      <w:color w:val="595959" w:themeColor="text1" w:themeTint="A6"/>
    </w:rPr>
  </w:style>
  <w:style w:type="paragraph" w:styleId="a3">
    <w:name w:val="Title"/>
    <w:basedOn w:val="a"/>
    <w:next w:val="a"/>
    <w:link w:val="a4"/>
    <w:uiPriority w:val="10"/>
    <w:qFormat/>
    <w:rsid w:val="00A92A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A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A89"/>
    <w:pPr>
      <w:spacing w:before="160" w:after="160"/>
      <w:jc w:val="center"/>
    </w:pPr>
    <w:rPr>
      <w:i/>
      <w:iCs/>
      <w:color w:val="404040" w:themeColor="text1" w:themeTint="BF"/>
    </w:rPr>
  </w:style>
  <w:style w:type="character" w:customStyle="1" w:styleId="a8">
    <w:name w:val="引用 字符"/>
    <w:basedOn w:val="a0"/>
    <w:link w:val="a7"/>
    <w:uiPriority w:val="29"/>
    <w:rsid w:val="00A92A89"/>
    <w:rPr>
      <w:i/>
      <w:iCs/>
      <w:color w:val="404040" w:themeColor="text1" w:themeTint="BF"/>
    </w:rPr>
  </w:style>
  <w:style w:type="paragraph" w:styleId="a9">
    <w:name w:val="List Paragraph"/>
    <w:basedOn w:val="a"/>
    <w:uiPriority w:val="34"/>
    <w:qFormat/>
    <w:rsid w:val="00A92A89"/>
    <w:pPr>
      <w:ind w:left="720"/>
      <w:contextualSpacing/>
    </w:pPr>
  </w:style>
  <w:style w:type="character" w:styleId="aa">
    <w:name w:val="Intense Emphasis"/>
    <w:basedOn w:val="a0"/>
    <w:uiPriority w:val="21"/>
    <w:qFormat/>
    <w:rsid w:val="00A92A89"/>
    <w:rPr>
      <w:i/>
      <w:iCs/>
      <w:color w:val="0F4761" w:themeColor="accent1" w:themeShade="BF"/>
    </w:rPr>
  </w:style>
  <w:style w:type="paragraph" w:styleId="ab">
    <w:name w:val="Intense Quote"/>
    <w:basedOn w:val="a"/>
    <w:next w:val="a"/>
    <w:link w:val="ac"/>
    <w:uiPriority w:val="30"/>
    <w:qFormat/>
    <w:rsid w:val="00A92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92A89"/>
    <w:rPr>
      <w:i/>
      <w:iCs/>
      <w:color w:val="0F4761" w:themeColor="accent1" w:themeShade="BF"/>
    </w:rPr>
  </w:style>
  <w:style w:type="character" w:styleId="ad">
    <w:name w:val="Intense Reference"/>
    <w:basedOn w:val="a0"/>
    <w:uiPriority w:val="32"/>
    <w:qFormat/>
    <w:rsid w:val="00A92A89"/>
    <w:rPr>
      <w:b/>
      <w:bCs/>
      <w:smallCaps/>
      <w:color w:val="0F4761" w:themeColor="accent1" w:themeShade="BF"/>
      <w:spacing w:val="5"/>
    </w:rPr>
  </w:style>
  <w:style w:type="paragraph" w:styleId="ae">
    <w:name w:val="header"/>
    <w:basedOn w:val="a"/>
    <w:link w:val="af"/>
    <w:uiPriority w:val="99"/>
    <w:unhideWhenUsed/>
    <w:rsid w:val="009C1E3B"/>
    <w:pPr>
      <w:tabs>
        <w:tab w:val="center" w:pos="4153"/>
        <w:tab w:val="right" w:pos="8306"/>
      </w:tabs>
      <w:snapToGrid w:val="0"/>
      <w:jc w:val="center"/>
    </w:pPr>
    <w:rPr>
      <w:sz w:val="18"/>
      <w:szCs w:val="18"/>
    </w:rPr>
  </w:style>
  <w:style w:type="character" w:customStyle="1" w:styleId="af">
    <w:name w:val="页眉 字符"/>
    <w:basedOn w:val="a0"/>
    <w:link w:val="ae"/>
    <w:uiPriority w:val="99"/>
    <w:rsid w:val="009C1E3B"/>
    <w:rPr>
      <w:sz w:val="18"/>
      <w:szCs w:val="18"/>
    </w:rPr>
  </w:style>
  <w:style w:type="paragraph" w:styleId="af0">
    <w:name w:val="footer"/>
    <w:basedOn w:val="a"/>
    <w:link w:val="af1"/>
    <w:uiPriority w:val="99"/>
    <w:unhideWhenUsed/>
    <w:rsid w:val="009C1E3B"/>
    <w:pPr>
      <w:tabs>
        <w:tab w:val="center" w:pos="4153"/>
        <w:tab w:val="right" w:pos="8306"/>
      </w:tabs>
      <w:snapToGrid w:val="0"/>
    </w:pPr>
    <w:rPr>
      <w:sz w:val="18"/>
      <w:szCs w:val="18"/>
    </w:rPr>
  </w:style>
  <w:style w:type="character" w:customStyle="1" w:styleId="af1">
    <w:name w:val="页脚 字符"/>
    <w:basedOn w:val="a0"/>
    <w:link w:val="af0"/>
    <w:uiPriority w:val="99"/>
    <w:rsid w:val="009C1E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562</Characters>
  <Application>Microsoft Office Word</Application>
  <DocSecurity>0</DocSecurity>
  <Lines>33</Lines>
  <Paragraphs>34</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星星 何</dc:creator>
  <cp:keywords/>
  <dc:description/>
  <cp:lastModifiedBy>星星 何</cp:lastModifiedBy>
  <cp:revision>2</cp:revision>
  <dcterms:created xsi:type="dcterms:W3CDTF">2025-08-05T08:24:00Z</dcterms:created>
  <dcterms:modified xsi:type="dcterms:W3CDTF">2025-08-05T08:25:00Z</dcterms:modified>
</cp:coreProperties>
</file>