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C4174">
      <w:pPr>
        <w:spacing w:line="360" w:lineRule="auto"/>
        <w:jc w:val="right"/>
        <w:rPr>
          <w:rFonts w:hint="eastAsia" w:ascii="宋体" w:hAnsi="宋体" w:eastAsia="宋体" w:cs="宋体"/>
          <w:b/>
          <w:sz w:val="36"/>
          <w:szCs w:val="36"/>
        </w:rPr>
      </w:pPr>
      <w:r>
        <w:drawing>
          <wp:anchor distT="0" distB="0" distL="114300" distR="114300" simplePos="0" relativeHeight="251665408" behindDoc="0" locked="0" layoutInCell="1" allowOverlap="1">
            <wp:simplePos x="0" y="0"/>
            <wp:positionH relativeFrom="column">
              <wp:posOffset>-267970</wp:posOffset>
            </wp:positionH>
            <wp:positionV relativeFrom="paragraph">
              <wp:posOffset>-174625</wp:posOffset>
            </wp:positionV>
            <wp:extent cx="6207760" cy="8978265"/>
            <wp:effectExtent l="0" t="0" r="2540" b="13335"/>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8"/>
                    <a:stretch>
                      <a:fillRect/>
                    </a:stretch>
                  </pic:blipFill>
                  <pic:spPr>
                    <a:xfrm>
                      <a:off x="0" y="0"/>
                      <a:ext cx="6207760" cy="8978265"/>
                    </a:xfrm>
                    <a:prstGeom prst="rect">
                      <a:avLst/>
                    </a:prstGeom>
                    <a:noFill/>
                    <a:ln>
                      <a:noFill/>
                    </a:ln>
                  </pic:spPr>
                </pic:pic>
              </a:graphicData>
            </a:graphic>
          </wp:anchor>
        </w:drawing>
      </w:r>
      <w:r>
        <w:rPr>
          <w:rFonts w:hint="eastAsia" w:ascii="宋体" w:hAnsi="宋体" w:eastAsia="宋体" w:cs="宋体"/>
          <w:b/>
          <w:sz w:val="36"/>
          <w:szCs w:val="36"/>
          <w:bdr w:val="single" w:color="auto" w:sz="4" w:space="0"/>
          <w:shd w:val="pct10" w:color="auto" w:fill="FFFFFF"/>
        </w:rPr>
        <w:t>政府采购项目</w:t>
      </w:r>
    </w:p>
    <w:p w14:paraId="1F37D112">
      <w:pPr>
        <w:autoSpaceDE w:val="0"/>
        <w:autoSpaceDN w:val="0"/>
        <w:adjustRightInd w:val="0"/>
        <w:snapToGrid w:val="0"/>
        <w:spacing w:line="360" w:lineRule="auto"/>
        <w:jc w:val="left"/>
        <w:rPr>
          <w:rFonts w:hint="eastAsia" w:ascii="宋体" w:hAnsi="宋体" w:eastAsia="宋体" w:cs="宋体"/>
          <w:b/>
          <w:bCs/>
          <w:color w:val="FF0000"/>
          <w:sz w:val="30"/>
          <w:szCs w:val="30"/>
          <w:lang w:eastAsia="zh-CN"/>
        </w:rPr>
      </w:pPr>
      <w:r>
        <w:rPr>
          <w:rFonts w:hint="eastAsia" w:ascii="宋体" w:hAnsi="宋体" w:eastAsia="宋体" w:cs="宋体"/>
          <w:b/>
          <w:sz w:val="36"/>
          <w:szCs w:val="36"/>
        </w:rPr>
        <w:t>文件编号:</w:t>
      </w:r>
      <w:r>
        <w:rPr>
          <w:rFonts w:hint="eastAsia" w:ascii="宋体" w:hAnsi="宋体" w:eastAsia="宋体" w:cs="宋体"/>
          <w:b/>
          <w:sz w:val="36"/>
          <w:szCs w:val="36"/>
          <w:lang w:eastAsia="zh-CN"/>
        </w:rPr>
        <w:t>SXJX-2025-008号</w:t>
      </w:r>
    </w:p>
    <w:p w14:paraId="4B2A1EBB">
      <w:pPr>
        <w:spacing w:before="120" w:beforeLines="50" w:line="360" w:lineRule="auto"/>
        <w:jc w:val="center"/>
        <w:rPr>
          <w:rFonts w:hint="eastAsia" w:ascii="宋体" w:hAnsi="宋体" w:eastAsia="宋体" w:cs="宋体"/>
          <w:b/>
          <w:bCs/>
          <w:spacing w:val="20"/>
          <w:kern w:val="0"/>
          <w:sz w:val="36"/>
          <w:szCs w:val="36"/>
          <w:lang w:eastAsia="zh-CN"/>
        </w:rPr>
      </w:pPr>
    </w:p>
    <w:p w14:paraId="7FA09566">
      <w:pPr>
        <w:pStyle w:val="15"/>
        <w:spacing w:line="360" w:lineRule="auto"/>
        <w:ind w:left="0" w:leftChars="0" w:firstLine="0" w:firstLineChars="0"/>
        <w:jc w:val="center"/>
        <w:rPr>
          <w:rFonts w:hint="eastAsia" w:ascii="宋体" w:hAnsi="宋体" w:eastAsia="宋体" w:cs="宋体"/>
          <w:sz w:val="28"/>
          <w:szCs w:val="24"/>
          <w:lang w:eastAsia="zh-CN"/>
        </w:rPr>
      </w:pPr>
      <w:r>
        <w:rPr>
          <w:rFonts w:hint="eastAsia" w:ascii="宋体" w:hAnsi="宋体" w:eastAsia="宋体" w:cs="宋体"/>
          <w:b/>
          <w:bCs/>
          <w:i w:val="0"/>
          <w:iCs w:val="0"/>
          <w:caps w:val="0"/>
          <w:color w:val="333333"/>
          <w:spacing w:val="0"/>
          <w:sz w:val="52"/>
          <w:szCs w:val="52"/>
          <w:shd w:val="clear" w:fill="FFFFFF"/>
          <w:lang w:val="en-US" w:eastAsia="zh-CN"/>
        </w:rPr>
        <w:t>千阳县</w:t>
      </w:r>
      <w:r>
        <w:rPr>
          <w:rFonts w:hint="eastAsia" w:ascii="宋体" w:hAnsi="宋体" w:eastAsia="宋体" w:cs="宋体"/>
          <w:b/>
          <w:bCs/>
          <w:i w:val="0"/>
          <w:iCs w:val="0"/>
          <w:caps w:val="0"/>
          <w:color w:val="333333"/>
          <w:spacing w:val="0"/>
          <w:sz w:val="52"/>
          <w:szCs w:val="52"/>
          <w:shd w:val="clear" w:fill="FFFFFF"/>
          <w:lang w:eastAsia="zh-CN"/>
        </w:rPr>
        <w:t>2025-2026学年学生营养改善计划食材及供餐采购项目</w:t>
      </w:r>
      <w:r>
        <w:rPr>
          <w:rFonts w:hint="eastAsia" w:ascii="宋体" w:hAnsi="宋体" w:eastAsia="宋体" w:cs="宋体"/>
          <w:b/>
          <w:bCs/>
          <w:i w:val="0"/>
          <w:iCs w:val="0"/>
          <w:caps w:val="0"/>
          <w:color w:val="333333"/>
          <w:spacing w:val="0"/>
          <w:sz w:val="52"/>
          <w:szCs w:val="52"/>
          <w:shd w:val="clear" w:fill="FFFFFF"/>
          <w:lang w:val="en-US" w:eastAsia="zh-CN"/>
        </w:rPr>
        <w:t>第4包</w:t>
      </w:r>
    </w:p>
    <w:p w14:paraId="55949B2D">
      <w:pPr>
        <w:rPr>
          <w:rFonts w:hint="eastAsia" w:ascii="宋体" w:hAnsi="宋体" w:eastAsia="宋体" w:cs="宋体"/>
        </w:rPr>
      </w:pPr>
    </w:p>
    <w:p w14:paraId="3FE0E1AE">
      <w:pPr>
        <w:pStyle w:val="15"/>
        <w:ind w:left="0" w:leftChars="0" w:firstLine="0" w:firstLineChars="0"/>
        <w:rPr>
          <w:rFonts w:hint="eastAsia" w:ascii="宋体" w:hAnsi="宋体" w:eastAsia="宋体" w:cs="宋体"/>
        </w:rPr>
      </w:pPr>
    </w:p>
    <w:p w14:paraId="72112AC0">
      <w:pPr>
        <w:pStyle w:val="15"/>
        <w:ind w:left="960" w:hanging="480"/>
        <w:rPr>
          <w:rFonts w:hint="eastAsia" w:ascii="宋体" w:hAnsi="宋体" w:eastAsia="宋体" w:cs="宋体"/>
        </w:rPr>
      </w:pPr>
    </w:p>
    <w:p w14:paraId="777B4695">
      <w:pPr>
        <w:spacing w:before="120" w:beforeLines="50" w:line="360" w:lineRule="auto"/>
        <w:jc w:val="center"/>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公开招标文件</w:t>
      </w:r>
    </w:p>
    <w:p w14:paraId="43A27190">
      <w:pPr>
        <w:pStyle w:val="2"/>
        <w:ind w:firstLine="1526"/>
        <w:rPr>
          <w:rFonts w:hint="eastAsia" w:ascii="宋体" w:hAnsi="宋体" w:eastAsia="宋体" w:cs="宋体"/>
          <w:b/>
          <w:bCs/>
          <w:spacing w:val="20"/>
          <w:sz w:val="72"/>
          <w:szCs w:val="72"/>
        </w:rPr>
      </w:pPr>
    </w:p>
    <w:p w14:paraId="17F2CE19">
      <w:pPr>
        <w:rPr>
          <w:rFonts w:hint="eastAsia" w:ascii="宋体" w:hAnsi="宋体" w:eastAsia="宋体" w:cs="宋体"/>
        </w:rPr>
      </w:pPr>
    </w:p>
    <w:p w14:paraId="2C3B789D">
      <w:pPr>
        <w:rPr>
          <w:rFonts w:hint="eastAsia" w:ascii="宋体" w:hAnsi="宋体" w:eastAsia="宋体" w:cs="宋体"/>
        </w:rPr>
      </w:pPr>
    </w:p>
    <w:p w14:paraId="6A26F02C">
      <w:pPr>
        <w:rPr>
          <w:rFonts w:hint="eastAsia" w:ascii="宋体" w:hAnsi="宋体" w:eastAsia="宋体" w:cs="宋体"/>
        </w:rPr>
      </w:pPr>
    </w:p>
    <w:p w14:paraId="150A2A40">
      <w:pPr>
        <w:rPr>
          <w:rFonts w:hint="eastAsia" w:ascii="宋体" w:hAnsi="宋体" w:eastAsia="宋体" w:cs="宋体"/>
        </w:rPr>
      </w:pPr>
    </w:p>
    <w:p w14:paraId="6EC2B988">
      <w:pPr>
        <w:pStyle w:val="15"/>
        <w:ind w:left="0" w:leftChars="0" w:firstLine="0" w:firstLineChars="0"/>
        <w:rPr>
          <w:rFonts w:hint="eastAsia" w:ascii="宋体" w:hAnsi="宋体" w:eastAsia="宋体" w:cs="宋体"/>
          <w:b/>
          <w:bCs/>
          <w:sz w:val="32"/>
          <w:szCs w:val="32"/>
        </w:rPr>
      </w:pPr>
    </w:p>
    <w:p w14:paraId="0D231E83">
      <w:pPr>
        <w:pStyle w:val="15"/>
        <w:ind w:left="0" w:leftChars="0" w:firstLine="1928" w:firstLineChars="600"/>
        <w:jc w:val="both"/>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val="en-US" w:eastAsia="zh-CN"/>
        </w:rPr>
        <w:t>千阳县教育体育局</w:t>
      </w:r>
    </w:p>
    <w:p w14:paraId="6C84FB07">
      <w:pPr>
        <w:jc w:val="center"/>
        <w:rPr>
          <w:rFonts w:hint="eastAsia" w:ascii="宋体" w:hAnsi="宋体" w:eastAsia="宋体" w:cs="宋体"/>
          <w:b/>
          <w:bCs/>
          <w:sz w:val="32"/>
          <w:szCs w:val="32"/>
        </w:rPr>
      </w:pPr>
    </w:p>
    <w:p w14:paraId="37F63278">
      <w:pPr>
        <w:ind w:firstLine="964" w:firstLineChars="300"/>
        <w:jc w:val="center"/>
        <w:rPr>
          <w:rFonts w:hint="eastAsia" w:ascii="宋体" w:hAnsi="宋体" w:eastAsia="宋体" w:cs="宋体"/>
          <w:b/>
          <w:bCs/>
          <w:sz w:val="32"/>
          <w:szCs w:val="32"/>
        </w:rPr>
      </w:pPr>
    </w:p>
    <w:p w14:paraId="75B5BA67">
      <w:pPr>
        <w:jc w:val="center"/>
        <w:rPr>
          <w:rFonts w:hint="eastAsia"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陕西佳信项目管理有限公司</w:t>
      </w:r>
    </w:p>
    <w:p w14:paraId="25D990BD">
      <w:pPr>
        <w:pStyle w:val="51"/>
        <w:ind w:firstLine="480"/>
        <w:jc w:val="center"/>
        <w:rPr>
          <w:rFonts w:hint="eastAsia" w:ascii="宋体" w:hAnsi="宋体" w:eastAsia="宋体" w:cs="宋体"/>
        </w:rPr>
      </w:pPr>
    </w:p>
    <w:p w14:paraId="28D44E1B">
      <w:pPr>
        <w:spacing w:before="168" w:beforeLines="70" w:line="360" w:lineRule="auto"/>
        <w:jc w:val="center"/>
        <w:rPr>
          <w:rFonts w:hint="eastAsia" w:ascii="宋体" w:hAnsi="宋体" w:eastAsia="宋体" w:cs="宋体"/>
          <w:b/>
          <w:bCs/>
          <w:sz w:val="32"/>
          <w:szCs w:val="32"/>
        </w:rPr>
      </w:pPr>
    </w:p>
    <w:p w14:paraId="10BC0C6D">
      <w:pPr>
        <w:spacing w:before="168" w:beforeLines="70" w:line="360" w:lineRule="auto"/>
        <w:jc w:val="center"/>
        <w:rPr>
          <w:rFonts w:hint="eastAsia" w:ascii="宋体" w:hAnsi="宋体" w:eastAsia="宋体" w:cs="宋体"/>
          <w:sz w:val="48"/>
          <w:szCs w:val="48"/>
          <w:lang w:val="zh-CN"/>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月</w:t>
      </w:r>
    </w:p>
    <w:p w14:paraId="6F88FA06">
      <w:pPr>
        <w:pStyle w:val="54"/>
        <w:spacing w:line="360" w:lineRule="auto"/>
        <w:jc w:val="center"/>
        <w:rPr>
          <w:rFonts w:hint="eastAsia" w:ascii="宋体" w:hAnsi="宋体" w:eastAsia="宋体" w:cs="宋体"/>
          <w:sz w:val="48"/>
          <w:szCs w:val="48"/>
          <w:lang w:val="zh-CN"/>
        </w:rPr>
        <w:sectPr>
          <w:headerReference r:id="rId3" w:type="default"/>
          <w:pgSz w:w="11907" w:h="16840"/>
          <w:pgMar w:top="1440" w:right="1080" w:bottom="1440" w:left="1080" w:header="935" w:footer="680" w:gutter="567"/>
          <w:pgBorders>
            <w:top w:val="none" w:sz="0" w:space="0"/>
            <w:left w:val="none" w:sz="0" w:space="0"/>
            <w:bottom w:val="none" w:sz="0" w:space="0"/>
            <w:right w:val="none" w:sz="0" w:space="0"/>
          </w:pgBorders>
          <w:pgNumType w:start="1"/>
          <w:cols w:space="0" w:num="1"/>
          <w:docGrid w:linePitch="312" w:charSpace="0"/>
        </w:sectPr>
      </w:pPr>
    </w:p>
    <w:p w14:paraId="1311E050">
      <w:pPr>
        <w:pStyle w:val="54"/>
        <w:spacing w:line="360" w:lineRule="auto"/>
        <w:jc w:val="center"/>
        <w:rPr>
          <w:rFonts w:hint="eastAsia" w:ascii="宋体" w:hAnsi="宋体" w:eastAsia="宋体" w:cs="宋体"/>
          <w:lang w:val="zh-CN"/>
        </w:rPr>
      </w:pPr>
      <w:r>
        <w:rPr>
          <w:rFonts w:hint="eastAsia" w:ascii="宋体" w:hAnsi="宋体" w:eastAsia="宋体" w:cs="宋体"/>
          <w:sz w:val="48"/>
          <w:szCs w:val="48"/>
          <w:lang w:val="zh-CN"/>
        </w:rPr>
        <w:t>目</w:t>
      </w:r>
      <w:r>
        <w:rPr>
          <w:rFonts w:hint="eastAsia" w:ascii="宋体" w:hAnsi="宋体" w:eastAsia="宋体" w:cs="宋体"/>
          <w:sz w:val="48"/>
          <w:szCs w:val="48"/>
          <w:lang w:val="en-US" w:eastAsia="zh-CN"/>
        </w:rPr>
        <w:t xml:space="preserve"> </w:t>
      </w:r>
      <w:r>
        <w:rPr>
          <w:rFonts w:hint="eastAsia" w:ascii="宋体" w:hAnsi="宋体" w:eastAsia="宋体" w:cs="宋体"/>
          <w:sz w:val="48"/>
          <w:szCs w:val="48"/>
          <w:lang w:val="zh-CN"/>
        </w:rPr>
        <w:t>录</w:t>
      </w:r>
    </w:p>
    <w:p w14:paraId="7470BCAC">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_Toc16480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bidi="ar-SA"/>
        </w:rPr>
        <w:t xml:space="preserve">第一章 </w:t>
      </w:r>
      <w:r>
        <w:rPr>
          <w:rFonts w:hint="eastAsia" w:ascii="宋体" w:hAnsi="宋体" w:eastAsia="宋体" w:cs="宋体"/>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_Toc16480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DFE019">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_Toc8477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bidi="ar-SA"/>
        </w:rPr>
        <w:t xml:space="preserve">第二章 </w:t>
      </w:r>
      <w:r>
        <w:rPr>
          <w:rFonts w:hint="eastAsia" w:ascii="宋体" w:hAnsi="宋体" w:eastAsia="宋体" w:cs="宋体"/>
          <w:bCs/>
          <w:kern w:val="0"/>
          <w:sz w:val="24"/>
          <w:szCs w:val="24"/>
          <w:shd w:val="clear" w:color="auto" w:fill="FFFFFF"/>
          <w:lang w:bidi="ar"/>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F063F6A">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_Toc24615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_Toc24615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862076">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_Toc31926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二、项目说明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_Toc31926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64429A">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_Toc25007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三、招标文件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_Toc25007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21F9C2">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_Toc27589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四、投标文件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_Toc27589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9D081F">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_Toc10163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五、投标担保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_Toc10163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E16298">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_Toc5575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六、投标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_Toc5575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6306E9">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_Toc5285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七、开标、资格审查、评标和定标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_Toc5285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2A6910">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_Toc28839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八、合同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_Toc28839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BACB2D">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_Toc30465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九、合同的履约验收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_Toc30465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4E94E9">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_Toc26697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十、招标服务费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_Toc26697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70D957">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_Toc19743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十一、履约保证金：无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_Toc19743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4E0F20">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_Toc25470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十二、重新组织采购活动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_Toc25470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E5C7A2">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_Toc17642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十三、询问、质疑与投诉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_Toc17642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4F9028">
      <w:pPr>
        <w:pStyle w:val="24"/>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_Toc6530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十四、拒绝商业贿赂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_Toc6530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EE3168">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_Toc15831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en-US" w:eastAsia="zh-CN"/>
        </w:rPr>
        <w:t xml:space="preserve">第三章 </w:t>
      </w:r>
      <w:r>
        <w:rPr>
          <w:rFonts w:hint="eastAsia" w:ascii="宋体" w:hAnsi="宋体" w:eastAsia="宋体" w:cs="宋体"/>
          <w:kern w:val="0"/>
          <w:sz w:val="24"/>
          <w:szCs w:val="24"/>
        </w:rPr>
        <w:t>采购内容及</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_Toc15831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93CFEB">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第四章</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_Toc1133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47E321">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_Toc12760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AU"/>
        </w:rPr>
        <w:t>第五章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合同主要条款（参考）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8C46D6">
      <w:pPr>
        <w:pStyle w:val="21"/>
        <w:tabs>
          <w:tab w:val="right" w:leader="dot" w:pos="918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_Toc25505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第六章</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投标文件组成部分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_Toc25505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A10E8A">
      <w:pPr>
        <w:spacing w:line="360" w:lineRule="auto"/>
        <w:outlineLvl w:val="2"/>
        <w:rPr>
          <w:rFonts w:hint="eastAsia" w:ascii="宋体" w:hAnsi="宋体" w:eastAsia="宋体" w:cs="宋体"/>
          <w:sz w:val="32"/>
          <w:szCs w:val="32"/>
        </w:rPr>
        <w:sectPr>
          <w:footerReference r:id="rId4" w:type="default"/>
          <w:pgSz w:w="11907" w:h="16840"/>
          <w:pgMar w:top="1440" w:right="1080" w:bottom="1440" w:left="1080" w:header="935" w:footer="680" w:gutter="567"/>
          <w:pgBorders>
            <w:top w:val="none" w:sz="0" w:space="0"/>
            <w:left w:val="none" w:sz="0" w:space="0"/>
            <w:bottom w:val="none" w:sz="0" w:space="0"/>
            <w:right w:val="none" w:sz="0" w:space="0"/>
          </w:pgBorders>
          <w:pgNumType w:start="1"/>
          <w:cols w:space="0" w:num="1"/>
          <w:docGrid w:linePitch="312" w:charSpace="0"/>
        </w:sectPr>
      </w:pPr>
      <w:r>
        <w:rPr>
          <w:rFonts w:hint="eastAsia" w:ascii="宋体" w:hAnsi="宋体" w:eastAsia="宋体" w:cs="宋体"/>
          <w:sz w:val="24"/>
          <w:szCs w:val="24"/>
        </w:rPr>
        <w:fldChar w:fldCharType="end"/>
      </w:r>
      <w:bookmarkStart w:id="0" w:name="_Toc19866"/>
      <w:bookmarkStart w:id="1" w:name="_Toc458617452"/>
      <w:bookmarkStart w:id="2" w:name="_Toc458617729"/>
      <w:bookmarkStart w:id="3" w:name="_Toc16480"/>
      <w:bookmarkStart w:id="4" w:name="_Toc30185"/>
      <w:bookmarkStart w:id="5" w:name="_Toc28552"/>
    </w:p>
    <w:p w14:paraId="22A94328">
      <w:pPr>
        <w:spacing w:line="360" w:lineRule="auto"/>
        <w:jc w:val="center"/>
        <w:outlineLvl w:val="2"/>
        <w:rPr>
          <w:rFonts w:hint="eastAsia" w:ascii="宋体" w:hAnsi="宋体" w:eastAsia="宋体" w:cs="宋体"/>
        </w:rPr>
      </w:pPr>
      <w:r>
        <w:rPr>
          <w:rFonts w:hint="eastAsia" w:ascii="宋体" w:hAnsi="宋体" w:eastAsia="宋体" w:cs="宋体"/>
          <w:b/>
          <w:bCs/>
          <w:kern w:val="44"/>
          <w:sz w:val="44"/>
          <w:szCs w:val="44"/>
          <w:lang w:val="en-US" w:eastAsia="zh-CN" w:bidi="ar-SA"/>
        </w:rPr>
        <w:t>第一章 招标公告</w:t>
      </w:r>
      <w:bookmarkEnd w:id="0"/>
      <w:bookmarkEnd w:id="1"/>
      <w:bookmarkEnd w:id="2"/>
      <w:bookmarkEnd w:id="3"/>
      <w:bookmarkEnd w:id="4"/>
      <w:bookmarkEnd w:id="5"/>
    </w:p>
    <w:p w14:paraId="2C91AF7B">
      <w:pPr>
        <w:widowControl/>
        <w:spacing w:line="360" w:lineRule="auto"/>
        <w:ind w:firstLine="281" w:firstLineChars="100"/>
        <w:textAlignment w:val="baseline"/>
        <w:rPr>
          <w:rFonts w:hint="eastAsia" w:ascii="宋体" w:hAnsi="宋体" w:eastAsia="宋体" w:cs="宋体"/>
          <w:color w:val="auto"/>
          <w:sz w:val="24"/>
          <w:szCs w:val="24"/>
          <w:highlight w:val="none"/>
          <w:lang w:val="en-US" w:eastAsia="zh-CN"/>
        </w:rPr>
      </w:pPr>
      <w:bookmarkStart w:id="6" w:name="_Toc458617730"/>
      <w:bookmarkStart w:id="7" w:name="_Toc458617453"/>
      <w:r>
        <w:rPr>
          <w:rFonts w:hint="eastAsia" w:ascii="宋体" w:hAnsi="宋体" w:eastAsia="宋体" w:cs="宋体"/>
          <w:b/>
          <w:bCs/>
          <w:color w:val="auto"/>
          <w:sz w:val="28"/>
          <w:szCs w:val="28"/>
          <w:highlight w:val="none"/>
          <w:lang w:val="en-US" w:eastAsia="zh-CN"/>
        </w:rPr>
        <w:t>千阳县2025-2026学年学生营养改善计划食材及供餐采购项目招标公告</w:t>
      </w:r>
    </w:p>
    <w:p w14:paraId="21861F1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68C805C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千阳县2025-2026学年学生营养改善计划食材及供餐采购项目招标项目的潜在投标人应在全国公共资源交易平台（陕西省·宝鸡市）宝鸡市公共资源交易中心（http://ggzy.baoji.gov.cn/）下载获取招标文件，并于2025年08月12日 09时00分 （北京时间）前递交投标文件。</w:t>
      </w:r>
    </w:p>
    <w:p w14:paraId="6A79CFE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962B31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项目编号：SXJX-2025-008号</w:t>
      </w:r>
    </w:p>
    <w:p w14:paraId="5F62C5E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项目名称：千阳县2025-2026学年学生营养改善计划食材及供餐采购项目</w:t>
      </w:r>
    </w:p>
    <w:p w14:paraId="2D7FE79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采购方式：公开招标</w:t>
      </w:r>
    </w:p>
    <w:p w14:paraId="4844CAB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预算金额：2,100,000.00元</w:t>
      </w:r>
    </w:p>
    <w:p w14:paraId="4183AC5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p w14:paraId="3697EEB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w:t>
      </w:r>
    </w:p>
    <w:p w14:paraId="10E9F76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合同包预算金额：317,400.00元</w:t>
      </w:r>
    </w:p>
    <w:p w14:paraId="2CD7560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合同包最高限价：317,400.00元</w:t>
      </w:r>
    </w:p>
    <w:tbl>
      <w:tblPr>
        <w:tblStyle w:val="29"/>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8"/>
        <w:gridCol w:w="1744"/>
        <w:gridCol w:w="2046"/>
        <w:gridCol w:w="1500"/>
        <w:gridCol w:w="1373"/>
        <w:gridCol w:w="1920"/>
      </w:tblGrid>
      <w:tr w14:paraId="5065B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DD06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9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BCC1C">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0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C7F5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68057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7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7DE4F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5F11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4A046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C64C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8AA8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0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08F8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B2FBB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7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213F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BF706">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317,400.00</w:t>
            </w:r>
          </w:p>
        </w:tc>
      </w:tr>
    </w:tbl>
    <w:p w14:paraId="263E6C0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565DE83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21CC338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w:t>
      </w:r>
    </w:p>
    <w:p w14:paraId="0F63AEEC">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合同包预算金额：681,200.00元</w:t>
      </w:r>
    </w:p>
    <w:p w14:paraId="77446CC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合同包最高限价：681,200.00元</w:t>
      </w:r>
    </w:p>
    <w:tbl>
      <w:tblPr>
        <w:tblStyle w:val="2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2049"/>
        <w:gridCol w:w="2344"/>
        <w:gridCol w:w="1319"/>
        <w:gridCol w:w="1494"/>
        <w:gridCol w:w="1440"/>
      </w:tblGrid>
      <w:tr w14:paraId="0CB9A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CB48B3">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0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323E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2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034D0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FC2B9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362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38DC9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02A97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B747D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0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8B2FE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2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55CF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1813D">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F38F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FC279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681,200.00</w:t>
            </w:r>
          </w:p>
        </w:tc>
      </w:tr>
    </w:tbl>
    <w:p w14:paraId="75031D2F">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6284B99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3D3BC0C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w:t>
      </w:r>
    </w:p>
    <w:p w14:paraId="2C9D63C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合同包预算金额：421,400.00元</w:t>
      </w:r>
    </w:p>
    <w:p w14:paraId="3530E557">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合同包最高限价：421,400.00元</w:t>
      </w:r>
    </w:p>
    <w:tbl>
      <w:tblPr>
        <w:tblStyle w:val="29"/>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2"/>
        <w:gridCol w:w="1732"/>
        <w:gridCol w:w="2226"/>
        <w:gridCol w:w="1320"/>
        <w:gridCol w:w="1559"/>
        <w:gridCol w:w="1732"/>
      </w:tblGrid>
      <w:tr w14:paraId="54905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2" w:hRule="atLeast"/>
          <w:tblHeader/>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D7CD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0425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F3B1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19A9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39C65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19EC3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3194A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4642D1">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B49E9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8E9E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7050A">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DA50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5232A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421,400.00</w:t>
            </w:r>
          </w:p>
        </w:tc>
      </w:tr>
    </w:tbl>
    <w:p w14:paraId="515E565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5F43345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6D7222E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合同包4(千阳县2025-2026学年学生营养改善计划食材及供餐采购项目第4包):</w:t>
      </w:r>
    </w:p>
    <w:p w14:paraId="312B425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合同包预算金额：680,000.00元</w:t>
      </w:r>
    </w:p>
    <w:p w14:paraId="619ACD02">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合同包最高限价：680,000.00元</w:t>
      </w:r>
    </w:p>
    <w:tbl>
      <w:tblPr>
        <w:tblStyle w:val="29"/>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977"/>
        <w:gridCol w:w="1682"/>
        <w:gridCol w:w="1599"/>
        <w:gridCol w:w="1635"/>
        <w:gridCol w:w="1919"/>
      </w:tblGrid>
      <w:tr w14:paraId="54547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A16A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0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08DA7">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5B33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8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1FDD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37B2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4A2B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46CCB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3D89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0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A853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1938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供餐企业</w:t>
            </w:r>
          </w:p>
        </w:tc>
        <w:tc>
          <w:tcPr>
            <w:tcW w:w="8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A853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C783F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4BFDD">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680,000.00</w:t>
            </w:r>
          </w:p>
        </w:tc>
      </w:tr>
    </w:tbl>
    <w:p w14:paraId="7ECC423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4CEBEA6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1AC42841">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二、申请人的资格要求：</w:t>
      </w:r>
    </w:p>
    <w:p w14:paraId="15D470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10B672DF">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14:paraId="4448A65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716B83B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合同包1(千阳县2025-2026学年学生营养改善计划食材及供餐采购项目第1包)特定资格要求如下:</w:t>
      </w:r>
    </w:p>
    <w:p w14:paraId="27519A7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（3）投标人须提供2024年06月至今已缴存的至少一个月的社会保险参保缴费情况证明。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（4）投标人须提供2024年06月至今缴纳的至少一个月的纳税证明或完税证明，依法免税的单位应提供相关证明材料；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（10）投标人为生产厂商的须提供有效的《食品生产许可证》及《动物防疫条件合格证》；投标人为代理商的须提供有效的《食品经营许可证》及生产厂家的《食品生产许可证》及《动物防疫条件合格证》。</w:t>
      </w:r>
    </w:p>
    <w:p w14:paraId="193F5B4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合同包2(千阳县2025-2026学年学生营养改善计划食材及供餐采购项目第2包)特定资格要求如下:</w:t>
      </w:r>
    </w:p>
    <w:p w14:paraId="1587174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同合同包1特定资格条件</w:t>
      </w:r>
    </w:p>
    <w:p w14:paraId="3EAE4C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合同包3(千阳县2025-2026学年学生营养改善计划食材及供餐采购项目第3包)特定资格要求如下:</w:t>
      </w:r>
    </w:p>
    <w:p w14:paraId="67132FC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同合同包1特定资格条件</w:t>
      </w:r>
    </w:p>
    <w:p w14:paraId="0D2330E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合同包4(千阳县2025-2026学年学生营养改善计划食材及供餐采购项目第4包)特定资格要求如下:</w:t>
      </w:r>
    </w:p>
    <w:p w14:paraId="455EF20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（3）投标人须提供2024年06月至今已缴存的至少一个月的社会保险参保缴费情况证明。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（4）投标人须提供2024年06月至今缴纳的至少一个月的纳税证明或完税证明，依法免税的单位应提供相关证明材料；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（10）投标人须提供《食品经营许可证》（必须是集体用餐配送类）。</w:t>
      </w:r>
    </w:p>
    <w:p w14:paraId="26848E3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三、获取招标文件</w:t>
      </w:r>
    </w:p>
    <w:p w14:paraId="35055F62">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时间：2025年07月22日至2025年07月28日，每天上午09:00:00至12:00:00，下午12:00:00至17:00:00（北京时间）</w:t>
      </w:r>
    </w:p>
    <w:p w14:paraId="644C57F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途径：全国公共资源交易平台（陕西省·宝鸡市）宝鸡市公共资源交易中心（http://ggzy.baoji.gov.cn/）下载</w:t>
      </w:r>
    </w:p>
    <w:p w14:paraId="18F79D2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方式：在线获取</w:t>
      </w:r>
    </w:p>
    <w:p w14:paraId="72DF73D5">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售价：0元</w:t>
      </w:r>
    </w:p>
    <w:p w14:paraId="2FEC07D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四、提交投标文件截止时间、开标时间和地点</w:t>
      </w:r>
    </w:p>
    <w:p w14:paraId="06738A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时间：2025年08月12日 09时00分00秒（北京时间）</w:t>
      </w:r>
    </w:p>
    <w:p w14:paraId="3E054CA5">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提交投标文件地点：在线获取</w:t>
      </w:r>
    </w:p>
    <w:p w14:paraId="6EA9D2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开标地点：全国公共资源交易平台(陕西省·宝鸡市)宝鸡市公共资源交易中心-不见面开标</w:t>
      </w:r>
    </w:p>
    <w:p w14:paraId="17DE8517">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五、公告期限</w:t>
      </w:r>
    </w:p>
    <w:p w14:paraId="0D1F8F1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13CB2719">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六、其他补充事宜</w:t>
      </w:r>
    </w:p>
    <w:p w14:paraId="0362E26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0856EE6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注：如有最新颁布的政府采购政策，按最新的文件执行。</w:t>
      </w:r>
    </w:p>
    <w:p w14:paraId="0EB1CCA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有意向投标人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51E71FB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3、投标人在网上填写单位信息（单位名称、营业执照相关信息）时应与招标文件要求及后期上传的电子投标文件中相关信息一致，否则造成资格审查不通过的后果自负；</w:t>
      </w:r>
    </w:p>
    <w:p w14:paraId="5B387AD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0CFF485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5、未完成网上投标或未在规定时间内在平台上下载电子招标文件的，导致无法完成后续流程的责任自负；</w:t>
      </w:r>
    </w:p>
    <w:p w14:paraId="7D8E4BD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意向投标人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18EE410C">
      <w:pPr>
        <w:widowControl/>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7、供应商须提前在陕西省政府采购网（http://www.ccgp-shaanxi.gov.cn/），按照“供应商注册注意事项”要求，完成注册审核，以保证后续流程的进行。</w:t>
      </w:r>
    </w:p>
    <w:p w14:paraId="1EA50C3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注意事项：投标人应随时留意可能发布的变更公告，当澄清或修改的内容影响投标文件编制时，将在交易平台上同步发布答疑文件，此时投标人应从“项目流程”答疑文件下载、下载最新发布的答疑文件。</w:t>
      </w:r>
    </w:p>
    <w:p w14:paraId="4C7401A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3577F8CA">
      <w:pPr>
        <w:widowControl/>
        <w:spacing w:line="360" w:lineRule="auto"/>
        <w:textAlignment w:val="baseline"/>
        <w:rPr>
          <w:rFonts w:hint="eastAsia" w:ascii="宋体" w:hAnsi="宋体" w:eastAsia="宋体" w:cs="宋体"/>
          <w:b/>
          <w:bCs/>
          <w:color w:val="auto"/>
          <w:sz w:val="24"/>
          <w:szCs w:val="24"/>
          <w:highlight w:val="none"/>
          <w:lang w:val="en-US" w:eastAsia="zh-CN"/>
        </w:rPr>
      </w:pPr>
      <w:bookmarkStart w:id="256" w:name="_GoBack"/>
      <w:bookmarkEnd w:id="256"/>
      <w:r>
        <w:rPr>
          <w:rFonts w:hint="eastAsia" w:ascii="宋体" w:hAnsi="宋体" w:eastAsia="宋体" w:cs="宋体"/>
          <w:b/>
          <w:bCs/>
          <w:color w:val="auto"/>
          <w:sz w:val="24"/>
          <w:szCs w:val="24"/>
          <w:highlight w:val="none"/>
          <w:lang w:val="en-US" w:eastAsia="zh-CN"/>
        </w:rPr>
        <w:t>七、对本次招标提出询问，请按以下方式联系。</w:t>
      </w:r>
    </w:p>
    <w:p w14:paraId="3A8FC96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1B373DA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名称：千阳县教育体育局（本级）</w:t>
      </w:r>
    </w:p>
    <w:p w14:paraId="248FD44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地址：宝鸡市千阳县事业大楼A座304室</w:t>
      </w:r>
    </w:p>
    <w:p w14:paraId="71BE207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联系方式：0917-4242233</w:t>
      </w:r>
    </w:p>
    <w:p w14:paraId="600D3A7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07E7C6E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名称：陕西佳信项目管理有限公司</w:t>
      </w:r>
    </w:p>
    <w:p w14:paraId="7246CF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地址：陕西省宝鸡市金台区行政东路三迪金融中心8层806室</w:t>
      </w:r>
    </w:p>
    <w:p w14:paraId="6B865BF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联系方式：0917-3213637</w:t>
      </w:r>
    </w:p>
    <w:p w14:paraId="4F575CA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EFF881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项目联系人：严萍</w:t>
      </w:r>
    </w:p>
    <w:p w14:paraId="1BDCD03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电话：0917-3213637</w:t>
      </w:r>
    </w:p>
    <w:p w14:paraId="03E56840">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caps w:val="0"/>
          <w:color w:val="333333"/>
          <w:spacing w:val="0"/>
          <w:sz w:val="24"/>
          <w:szCs w:val="24"/>
          <w:shd w:val="clear" w:fill="FFFFFF"/>
          <w:vertAlign w:val="baseline"/>
        </w:rPr>
      </w:pPr>
    </w:p>
    <w:p w14:paraId="560E314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caps w:val="0"/>
          <w:color w:val="333333"/>
          <w:spacing w:val="0"/>
          <w:sz w:val="24"/>
          <w:szCs w:val="24"/>
          <w:shd w:val="clear" w:fill="FFFFFF"/>
          <w:vertAlign w:val="baseline"/>
        </w:rPr>
      </w:pPr>
    </w:p>
    <w:p w14:paraId="07007AC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caps w:val="0"/>
          <w:color w:val="333333"/>
          <w:spacing w:val="0"/>
          <w:sz w:val="24"/>
          <w:szCs w:val="24"/>
          <w:shd w:val="clear" w:fill="FFFFFF"/>
          <w:vertAlign w:val="baseline"/>
        </w:rPr>
      </w:pPr>
    </w:p>
    <w:p w14:paraId="52F1CA10">
      <w:pPr>
        <w:rPr>
          <w:rFonts w:hint="eastAsia" w:ascii="宋体" w:hAnsi="宋体" w:eastAsia="宋体" w:cs="宋体"/>
          <w:sz w:val="28"/>
          <w:szCs w:val="28"/>
        </w:rPr>
      </w:pPr>
      <w:r>
        <w:rPr>
          <w:rFonts w:hint="eastAsia" w:ascii="宋体" w:hAnsi="宋体" w:eastAsia="宋体" w:cs="宋体"/>
          <w:color w:val="333333"/>
          <w:kern w:val="0"/>
          <w:sz w:val="28"/>
          <w:szCs w:val="28"/>
          <w:shd w:val="clear" w:color="auto" w:fill="FFFFFF"/>
          <w:lang w:bidi="ar"/>
        </w:rPr>
        <w:br w:type="page"/>
      </w:r>
    </w:p>
    <w:p w14:paraId="24188150">
      <w:pPr>
        <w:pStyle w:val="4"/>
        <w:numPr>
          <w:ilvl w:val="0"/>
          <w:numId w:val="0"/>
        </w:numPr>
        <w:spacing w:before="0" w:after="0" w:line="360" w:lineRule="auto"/>
        <w:ind w:left="2400" w:leftChars="0" w:firstLine="643" w:firstLineChars="200"/>
        <w:jc w:val="left"/>
        <w:rPr>
          <w:rFonts w:hint="eastAsia" w:ascii="宋体" w:hAnsi="宋体" w:eastAsia="宋体" w:cs="宋体"/>
          <w:b/>
          <w:bCs/>
          <w:sz w:val="32"/>
          <w:szCs w:val="32"/>
        </w:rPr>
      </w:pPr>
      <w:bookmarkStart w:id="8" w:name="_Toc22507"/>
      <w:bookmarkStart w:id="9" w:name="_Toc8477"/>
      <w:r>
        <w:rPr>
          <w:rFonts w:hint="eastAsia" w:ascii="宋体" w:hAnsi="宋体" w:eastAsia="宋体" w:cs="宋体"/>
          <w:b/>
          <w:bCs/>
          <w:kern w:val="44"/>
          <w:sz w:val="32"/>
          <w:szCs w:val="32"/>
          <w:lang w:val="en-US" w:eastAsia="zh-CN" w:bidi="ar-SA"/>
        </w:rPr>
        <w:t xml:space="preserve">第二章 </w:t>
      </w:r>
      <w:r>
        <w:rPr>
          <w:rFonts w:hint="eastAsia" w:ascii="宋体" w:hAnsi="宋体" w:eastAsia="宋体" w:cs="宋体"/>
          <w:b/>
          <w:bCs/>
          <w:color w:val="333333"/>
          <w:kern w:val="0"/>
          <w:sz w:val="32"/>
          <w:szCs w:val="32"/>
          <w:shd w:val="clear" w:color="auto" w:fill="FFFFFF"/>
          <w:lang w:bidi="ar"/>
        </w:rPr>
        <w:t>投标人须知</w:t>
      </w:r>
      <w:bookmarkEnd w:id="6"/>
      <w:bookmarkEnd w:id="7"/>
      <w:bookmarkEnd w:id="8"/>
      <w:bookmarkEnd w:id="9"/>
      <w:bookmarkStart w:id="10" w:name="_Toc6814"/>
      <w:bookmarkStart w:id="11" w:name="_Toc16475"/>
      <w:bookmarkStart w:id="12" w:name="_Toc458617454"/>
      <w:bookmarkStart w:id="13" w:name="_Toc458617731"/>
    </w:p>
    <w:p w14:paraId="4D80F300">
      <w:pPr>
        <w:pStyle w:val="5"/>
        <w:spacing w:before="0" w:after="0" w:line="360" w:lineRule="auto"/>
        <w:outlineLvl w:val="1"/>
        <w:rPr>
          <w:rFonts w:hint="eastAsia" w:ascii="宋体" w:hAnsi="宋体" w:eastAsia="宋体" w:cs="宋体"/>
          <w:b w:val="0"/>
          <w:bCs w:val="0"/>
          <w:sz w:val="28"/>
          <w:szCs w:val="28"/>
        </w:rPr>
      </w:pPr>
      <w:bookmarkStart w:id="14" w:name="_Toc24615"/>
      <w:r>
        <w:rPr>
          <w:rFonts w:hint="eastAsia" w:ascii="宋体" w:hAnsi="宋体" w:eastAsia="宋体" w:cs="宋体"/>
          <w:b w:val="0"/>
          <w:bCs w:val="0"/>
          <w:sz w:val="24"/>
          <w:szCs w:val="24"/>
        </w:rPr>
        <w:t>一、投标人须知前附表</w:t>
      </w:r>
      <w:bookmarkEnd w:id="10"/>
      <w:bookmarkEnd w:id="11"/>
      <w:bookmarkEnd w:id="12"/>
      <w:bookmarkEnd w:id="13"/>
      <w:bookmarkEnd w:id="14"/>
    </w:p>
    <w:tbl>
      <w:tblPr>
        <w:tblStyle w:val="29"/>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158"/>
        <w:gridCol w:w="6678"/>
      </w:tblGrid>
      <w:tr w14:paraId="1EE8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8" w:type="dxa"/>
            <w:vAlign w:val="center"/>
          </w:tcPr>
          <w:p w14:paraId="5B4F21CB">
            <w:pPr>
              <w:spacing w:line="365" w:lineRule="auto"/>
              <w:rPr>
                <w:rFonts w:hint="eastAsia" w:ascii="宋体" w:hAnsi="宋体" w:eastAsia="宋体" w:cs="宋体"/>
                <w:szCs w:val="24"/>
              </w:rPr>
            </w:pPr>
            <w:r>
              <w:rPr>
                <w:rFonts w:hint="eastAsia" w:ascii="宋体" w:hAnsi="宋体" w:eastAsia="宋体" w:cs="宋体"/>
                <w:szCs w:val="24"/>
              </w:rPr>
              <w:t>序号</w:t>
            </w:r>
          </w:p>
        </w:tc>
        <w:tc>
          <w:tcPr>
            <w:tcW w:w="2158" w:type="dxa"/>
            <w:vAlign w:val="center"/>
          </w:tcPr>
          <w:p w14:paraId="077B6598">
            <w:pPr>
              <w:spacing w:line="365" w:lineRule="auto"/>
              <w:rPr>
                <w:rFonts w:hint="eastAsia" w:ascii="宋体" w:hAnsi="宋体" w:eastAsia="宋体" w:cs="宋体"/>
                <w:szCs w:val="24"/>
              </w:rPr>
            </w:pPr>
            <w:r>
              <w:rPr>
                <w:rFonts w:hint="eastAsia" w:ascii="宋体" w:hAnsi="宋体" w:eastAsia="宋体" w:cs="宋体"/>
                <w:szCs w:val="24"/>
              </w:rPr>
              <w:t>条款名称</w:t>
            </w:r>
          </w:p>
        </w:tc>
        <w:tc>
          <w:tcPr>
            <w:tcW w:w="6678" w:type="dxa"/>
            <w:vAlign w:val="center"/>
          </w:tcPr>
          <w:p w14:paraId="203729E9">
            <w:pPr>
              <w:spacing w:line="365" w:lineRule="auto"/>
              <w:jc w:val="center"/>
              <w:rPr>
                <w:rFonts w:hint="eastAsia" w:ascii="宋体" w:hAnsi="宋体" w:eastAsia="宋体" w:cs="宋体"/>
                <w:szCs w:val="24"/>
              </w:rPr>
            </w:pPr>
            <w:r>
              <w:rPr>
                <w:rFonts w:hint="eastAsia" w:ascii="宋体" w:hAnsi="宋体" w:eastAsia="宋体" w:cs="宋体"/>
                <w:szCs w:val="24"/>
              </w:rPr>
              <w:t>说明和要求</w:t>
            </w:r>
          </w:p>
        </w:tc>
      </w:tr>
      <w:tr w14:paraId="3370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6BC55E4">
            <w:pPr>
              <w:spacing w:line="365" w:lineRule="auto"/>
              <w:jc w:val="center"/>
              <w:rPr>
                <w:rFonts w:hint="eastAsia" w:ascii="宋体" w:hAnsi="宋体" w:eastAsia="宋体" w:cs="宋体"/>
                <w:szCs w:val="24"/>
              </w:rPr>
            </w:pPr>
            <w:r>
              <w:rPr>
                <w:rFonts w:hint="eastAsia" w:ascii="宋体" w:hAnsi="宋体" w:eastAsia="宋体" w:cs="宋体"/>
                <w:szCs w:val="24"/>
              </w:rPr>
              <w:t>1</w:t>
            </w:r>
          </w:p>
        </w:tc>
        <w:tc>
          <w:tcPr>
            <w:tcW w:w="2158" w:type="dxa"/>
            <w:shd w:val="clear" w:color="auto" w:fill="auto"/>
            <w:vAlign w:val="center"/>
          </w:tcPr>
          <w:p w14:paraId="71FAD038">
            <w:pPr>
              <w:spacing w:line="365" w:lineRule="auto"/>
              <w:rPr>
                <w:rFonts w:hint="eastAsia" w:ascii="宋体" w:hAnsi="宋体" w:eastAsia="宋体" w:cs="宋体"/>
                <w:szCs w:val="24"/>
              </w:rPr>
            </w:pPr>
            <w:r>
              <w:rPr>
                <w:rFonts w:hint="eastAsia" w:ascii="宋体" w:hAnsi="宋体" w:eastAsia="宋体" w:cs="宋体"/>
                <w:szCs w:val="24"/>
              </w:rPr>
              <w:t>采购人</w:t>
            </w:r>
          </w:p>
        </w:tc>
        <w:tc>
          <w:tcPr>
            <w:tcW w:w="6678" w:type="dxa"/>
            <w:shd w:val="clear" w:color="auto" w:fill="auto"/>
          </w:tcPr>
          <w:p w14:paraId="2833308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名称：千阳县教育体育局</w:t>
            </w:r>
          </w:p>
          <w:p w14:paraId="550E9A99">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地址：宝鸡市千阳县</w:t>
            </w:r>
          </w:p>
          <w:p w14:paraId="6252BAD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联系人：齐老师</w:t>
            </w:r>
          </w:p>
          <w:p w14:paraId="368B6056">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联系方式：0917-4242233</w:t>
            </w:r>
          </w:p>
        </w:tc>
      </w:tr>
      <w:tr w14:paraId="76BF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FDF8EA8">
            <w:pPr>
              <w:spacing w:line="365" w:lineRule="auto"/>
              <w:jc w:val="center"/>
              <w:rPr>
                <w:rFonts w:hint="eastAsia" w:ascii="宋体" w:hAnsi="宋体" w:eastAsia="宋体" w:cs="宋体"/>
                <w:szCs w:val="24"/>
              </w:rPr>
            </w:pPr>
            <w:r>
              <w:rPr>
                <w:rFonts w:hint="eastAsia" w:ascii="宋体" w:hAnsi="宋体" w:eastAsia="宋体" w:cs="宋体"/>
                <w:szCs w:val="24"/>
              </w:rPr>
              <w:t>2</w:t>
            </w:r>
          </w:p>
        </w:tc>
        <w:tc>
          <w:tcPr>
            <w:tcW w:w="2158" w:type="dxa"/>
            <w:shd w:val="clear" w:color="auto" w:fill="auto"/>
            <w:vAlign w:val="center"/>
          </w:tcPr>
          <w:p w14:paraId="4AE42A3E">
            <w:pPr>
              <w:spacing w:line="365" w:lineRule="auto"/>
              <w:rPr>
                <w:rFonts w:hint="eastAsia" w:ascii="宋体" w:hAnsi="宋体" w:eastAsia="宋体" w:cs="宋体"/>
                <w:szCs w:val="24"/>
              </w:rPr>
            </w:pPr>
            <w:r>
              <w:rPr>
                <w:rFonts w:hint="eastAsia" w:ascii="宋体" w:hAnsi="宋体" w:eastAsia="宋体" w:cs="宋体"/>
                <w:szCs w:val="24"/>
              </w:rPr>
              <w:t>采购代理机构</w:t>
            </w:r>
          </w:p>
        </w:tc>
        <w:tc>
          <w:tcPr>
            <w:tcW w:w="6678" w:type="dxa"/>
            <w:shd w:val="clear" w:color="auto" w:fill="auto"/>
          </w:tcPr>
          <w:p w14:paraId="592A400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名称：陕西佳信项目管理有限公司</w:t>
            </w:r>
          </w:p>
          <w:p w14:paraId="6AAAA3E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地址：宝鸡市金台区行政东路三迪金融中心8楼806室</w:t>
            </w:r>
          </w:p>
          <w:p w14:paraId="1C9A248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联系人：严女士</w:t>
            </w:r>
          </w:p>
          <w:p w14:paraId="6BF26E7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联系方式：0917-3213637</w:t>
            </w:r>
          </w:p>
        </w:tc>
      </w:tr>
      <w:tr w14:paraId="31F4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E30ACE0">
            <w:pPr>
              <w:spacing w:line="365" w:lineRule="auto"/>
              <w:jc w:val="center"/>
              <w:rPr>
                <w:rFonts w:hint="eastAsia" w:ascii="宋体" w:hAnsi="宋体" w:eastAsia="宋体" w:cs="宋体"/>
                <w:szCs w:val="24"/>
              </w:rPr>
            </w:pPr>
            <w:r>
              <w:rPr>
                <w:rFonts w:hint="eastAsia" w:ascii="宋体" w:hAnsi="宋体" w:eastAsia="宋体" w:cs="宋体"/>
                <w:szCs w:val="24"/>
              </w:rPr>
              <w:t>3</w:t>
            </w:r>
          </w:p>
        </w:tc>
        <w:tc>
          <w:tcPr>
            <w:tcW w:w="2158" w:type="dxa"/>
            <w:shd w:val="clear" w:color="auto" w:fill="auto"/>
            <w:vAlign w:val="center"/>
          </w:tcPr>
          <w:p w14:paraId="70DD82ED">
            <w:pPr>
              <w:spacing w:line="365" w:lineRule="auto"/>
              <w:rPr>
                <w:rFonts w:hint="eastAsia" w:ascii="宋体" w:hAnsi="宋体" w:eastAsia="宋体" w:cs="宋体"/>
                <w:szCs w:val="24"/>
              </w:rPr>
            </w:pPr>
            <w:r>
              <w:rPr>
                <w:rFonts w:hint="eastAsia" w:ascii="宋体" w:hAnsi="宋体" w:eastAsia="宋体" w:cs="宋体"/>
                <w:szCs w:val="24"/>
              </w:rPr>
              <w:t>监督管理机构</w:t>
            </w:r>
          </w:p>
        </w:tc>
        <w:tc>
          <w:tcPr>
            <w:tcW w:w="6678" w:type="dxa"/>
            <w:shd w:val="clear" w:color="auto" w:fill="auto"/>
          </w:tcPr>
          <w:p w14:paraId="0B3E0FD1">
            <w:pPr>
              <w:spacing w:line="365" w:lineRule="auto"/>
              <w:rPr>
                <w:rFonts w:hint="eastAsia" w:ascii="宋体" w:hAnsi="宋体" w:eastAsia="宋体" w:cs="宋体"/>
                <w:szCs w:val="24"/>
              </w:rPr>
            </w:pPr>
            <w:r>
              <w:rPr>
                <w:rFonts w:hint="eastAsia" w:ascii="宋体" w:hAnsi="宋体" w:eastAsia="宋体" w:cs="宋体"/>
                <w:szCs w:val="24"/>
                <w:lang w:eastAsia="zh-CN"/>
              </w:rPr>
              <w:t>千阳县</w:t>
            </w:r>
            <w:r>
              <w:rPr>
                <w:rFonts w:hint="eastAsia" w:ascii="宋体" w:hAnsi="宋体" w:eastAsia="宋体" w:cs="宋体"/>
                <w:szCs w:val="24"/>
              </w:rPr>
              <w:t>财政局</w:t>
            </w:r>
          </w:p>
        </w:tc>
      </w:tr>
      <w:tr w14:paraId="55F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8" w:type="dxa"/>
            <w:vAlign w:val="center"/>
          </w:tcPr>
          <w:p w14:paraId="41973425">
            <w:pPr>
              <w:spacing w:line="365" w:lineRule="auto"/>
              <w:jc w:val="center"/>
              <w:rPr>
                <w:rFonts w:hint="eastAsia" w:ascii="宋体" w:hAnsi="宋体" w:eastAsia="宋体" w:cs="宋体"/>
                <w:szCs w:val="24"/>
              </w:rPr>
            </w:pPr>
            <w:r>
              <w:rPr>
                <w:rFonts w:hint="eastAsia" w:ascii="宋体" w:hAnsi="宋体" w:eastAsia="宋体" w:cs="宋体"/>
                <w:szCs w:val="24"/>
              </w:rPr>
              <w:t>4</w:t>
            </w:r>
          </w:p>
        </w:tc>
        <w:tc>
          <w:tcPr>
            <w:tcW w:w="2158" w:type="dxa"/>
            <w:shd w:val="clear" w:color="auto" w:fill="auto"/>
            <w:vAlign w:val="center"/>
          </w:tcPr>
          <w:p w14:paraId="70F1746A">
            <w:pPr>
              <w:spacing w:line="365" w:lineRule="auto"/>
              <w:rPr>
                <w:rFonts w:hint="eastAsia" w:ascii="宋体" w:hAnsi="宋体" w:eastAsia="宋体" w:cs="宋体"/>
                <w:szCs w:val="24"/>
              </w:rPr>
            </w:pPr>
            <w:r>
              <w:rPr>
                <w:rFonts w:hint="eastAsia" w:ascii="宋体" w:hAnsi="宋体" w:eastAsia="宋体" w:cs="宋体"/>
                <w:szCs w:val="24"/>
                <w:lang w:val="en-US" w:eastAsia="zh-CN"/>
              </w:rPr>
              <w:t>标段</w:t>
            </w:r>
            <w:r>
              <w:rPr>
                <w:rFonts w:hint="eastAsia" w:ascii="宋体" w:hAnsi="宋体" w:eastAsia="宋体" w:cs="宋体"/>
                <w:szCs w:val="24"/>
              </w:rPr>
              <w:t>名称</w:t>
            </w:r>
          </w:p>
        </w:tc>
        <w:tc>
          <w:tcPr>
            <w:tcW w:w="6678" w:type="dxa"/>
            <w:shd w:val="clear" w:color="auto" w:fill="auto"/>
          </w:tcPr>
          <w:p w14:paraId="55287CFD">
            <w:pPr>
              <w:spacing w:line="365" w:lineRule="auto"/>
              <w:rPr>
                <w:rFonts w:hint="eastAsia" w:ascii="宋体" w:hAnsi="宋体" w:eastAsia="宋体" w:cs="宋体"/>
                <w:szCs w:val="24"/>
                <w:lang w:val="en-US" w:eastAsia="zh-CN"/>
              </w:rPr>
            </w:pPr>
            <w:r>
              <w:rPr>
                <w:rFonts w:hint="eastAsia" w:ascii="宋体" w:hAnsi="宋体" w:eastAsia="宋体" w:cs="宋体"/>
                <w:szCs w:val="24"/>
                <w:lang w:eastAsia="zh-CN"/>
              </w:rPr>
              <w:t>千阳县2025-2026学年学生营养改善计划食材及供餐采购项目</w:t>
            </w:r>
            <w:r>
              <w:rPr>
                <w:rFonts w:hint="eastAsia" w:ascii="宋体" w:hAnsi="宋体" w:eastAsia="宋体" w:cs="宋体"/>
                <w:szCs w:val="24"/>
                <w:lang w:val="en-US" w:eastAsia="zh-CN"/>
              </w:rPr>
              <w:t>第4包</w:t>
            </w:r>
          </w:p>
        </w:tc>
      </w:tr>
      <w:tr w14:paraId="05B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8" w:type="dxa"/>
            <w:vAlign w:val="center"/>
          </w:tcPr>
          <w:p w14:paraId="43FAA809">
            <w:pPr>
              <w:spacing w:line="365" w:lineRule="auto"/>
              <w:jc w:val="center"/>
              <w:rPr>
                <w:rFonts w:hint="eastAsia" w:ascii="宋体" w:hAnsi="宋体" w:eastAsia="宋体" w:cs="宋体"/>
                <w:szCs w:val="24"/>
              </w:rPr>
            </w:pPr>
            <w:r>
              <w:rPr>
                <w:rFonts w:hint="eastAsia" w:ascii="宋体" w:hAnsi="宋体" w:eastAsia="宋体" w:cs="宋体"/>
                <w:szCs w:val="24"/>
              </w:rPr>
              <w:t>5</w:t>
            </w:r>
          </w:p>
        </w:tc>
        <w:tc>
          <w:tcPr>
            <w:tcW w:w="2158" w:type="dxa"/>
            <w:vAlign w:val="center"/>
          </w:tcPr>
          <w:p w14:paraId="6E710DB9">
            <w:pPr>
              <w:spacing w:line="365" w:lineRule="auto"/>
              <w:rPr>
                <w:rFonts w:hint="eastAsia" w:ascii="宋体" w:hAnsi="宋体" w:eastAsia="宋体" w:cs="宋体"/>
                <w:szCs w:val="24"/>
              </w:rPr>
            </w:pPr>
            <w:r>
              <w:rPr>
                <w:rFonts w:hint="eastAsia" w:ascii="宋体" w:hAnsi="宋体" w:eastAsia="宋体" w:cs="宋体"/>
                <w:szCs w:val="24"/>
              </w:rPr>
              <w:t>项目编号</w:t>
            </w:r>
          </w:p>
        </w:tc>
        <w:tc>
          <w:tcPr>
            <w:tcW w:w="6678" w:type="dxa"/>
          </w:tcPr>
          <w:p w14:paraId="2FD79A77">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SXJX-2025-008号</w:t>
            </w:r>
          </w:p>
        </w:tc>
      </w:tr>
      <w:tr w14:paraId="0C5B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4DA217FF">
            <w:pPr>
              <w:spacing w:line="365" w:lineRule="auto"/>
              <w:jc w:val="center"/>
              <w:rPr>
                <w:rFonts w:hint="eastAsia" w:ascii="宋体" w:hAnsi="宋体" w:eastAsia="宋体" w:cs="宋体"/>
                <w:szCs w:val="24"/>
              </w:rPr>
            </w:pPr>
            <w:r>
              <w:rPr>
                <w:rFonts w:hint="eastAsia" w:ascii="宋体" w:hAnsi="宋体" w:eastAsia="宋体" w:cs="宋体"/>
                <w:szCs w:val="24"/>
              </w:rPr>
              <w:t>6</w:t>
            </w:r>
          </w:p>
        </w:tc>
        <w:tc>
          <w:tcPr>
            <w:tcW w:w="2158" w:type="dxa"/>
            <w:vAlign w:val="center"/>
          </w:tcPr>
          <w:p w14:paraId="59A4E398">
            <w:pPr>
              <w:spacing w:line="365" w:lineRule="auto"/>
              <w:rPr>
                <w:rFonts w:hint="eastAsia" w:ascii="宋体" w:hAnsi="宋体" w:eastAsia="宋体" w:cs="宋体"/>
                <w:szCs w:val="24"/>
              </w:rPr>
            </w:pPr>
            <w:r>
              <w:rPr>
                <w:rFonts w:hint="eastAsia" w:ascii="宋体" w:hAnsi="宋体" w:eastAsia="宋体" w:cs="宋体"/>
                <w:szCs w:val="24"/>
              </w:rPr>
              <w:t>资金性质</w:t>
            </w:r>
          </w:p>
        </w:tc>
        <w:tc>
          <w:tcPr>
            <w:tcW w:w="6678" w:type="dxa"/>
            <w:shd w:val="clear" w:color="auto" w:fill="auto"/>
          </w:tcPr>
          <w:p w14:paraId="3526009D">
            <w:pPr>
              <w:spacing w:line="365" w:lineRule="auto"/>
              <w:rPr>
                <w:rFonts w:hint="eastAsia" w:ascii="宋体" w:hAnsi="宋体" w:eastAsia="宋体" w:cs="宋体"/>
                <w:szCs w:val="24"/>
              </w:rPr>
            </w:pPr>
            <w:r>
              <w:rPr>
                <w:rFonts w:hint="eastAsia" w:ascii="宋体" w:hAnsi="宋体" w:eastAsia="宋体" w:cs="宋体"/>
                <w:szCs w:val="24"/>
              </w:rPr>
              <w:t>财政资金</w:t>
            </w:r>
          </w:p>
        </w:tc>
      </w:tr>
      <w:tr w14:paraId="4FFE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68" w:type="dxa"/>
            <w:vAlign w:val="center"/>
          </w:tcPr>
          <w:p w14:paraId="730B6472">
            <w:pPr>
              <w:spacing w:line="365" w:lineRule="auto"/>
              <w:jc w:val="center"/>
              <w:rPr>
                <w:rFonts w:hint="eastAsia" w:ascii="宋体" w:hAnsi="宋体" w:eastAsia="宋体" w:cs="宋体"/>
                <w:szCs w:val="24"/>
              </w:rPr>
            </w:pPr>
            <w:r>
              <w:rPr>
                <w:rFonts w:hint="eastAsia" w:ascii="宋体" w:hAnsi="宋体" w:eastAsia="宋体" w:cs="宋体"/>
                <w:szCs w:val="24"/>
              </w:rPr>
              <w:t>7</w:t>
            </w:r>
          </w:p>
        </w:tc>
        <w:tc>
          <w:tcPr>
            <w:tcW w:w="2158" w:type="dxa"/>
            <w:vAlign w:val="center"/>
          </w:tcPr>
          <w:p w14:paraId="4E4DAC9F">
            <w:pPr>
              <w:spacing w:line="365" w:lineRule="auto"/>
              <w:rPr>
                <w:rFonts w:hint="eastAsia" w:ascii="宋体" w:hAnsi="宋体" w:eastAsia="宋体" w:cs="宋体"/>
                <w:szCs w:val="24"/>
                <w:lang w:val="en-US" w:eastAsia="zh-CN"/>
              </w:rPr>
            </w:pPr>
            <w:r>
              <w:rPr>
                <w:rFonts w:hint="eastAsia" w:ascii="宋体" w:hAnsi="宋体" w:eastAsia="宋体" w:cs="宋体"/>
                <w:szCs w:val="24"/>
                <w:lang w:val="en-US" w:eastAsia="zh-CN"/>
              </w:rPr>
              <w:t>项目最高限价</w:t>
            </w:r>
          </w:p>
        </w:tc>
        <w:tc>
          <w:tcPr>
            <w:tcW w:w="6678" w:type="dxa"/>
            <w:shd w:val="clear" w:color="auto" w:fill="auto"/>
            <w:vAlign w:val="center"/>
          </w:tcPr>
          <w:p w14:paraId="65B2D0CA">
            <w:pPr>
              <w:shd w:val="clear"/>
              <w:spacing w:line="365" w:lineRule="auto"/>
              <w:rPr>
                <w:rFonts w:hint="eastAsia" w:ascii="宋体" w:hAnsi="宋体" w:eastAsia="宋体" w:cs="宋体"/>
                <w:szCs w:val="24"/>
                <w:lang w:val="en-US" w:eastAsia="zh-CN"/>
              </w:rPr>
            </w:pPr>
            <w:r>
              <w:rPr>
                <w:rFonts w:hint="eastAsia" w:ascii="宋体" w:hAnsi="宋体" w:eastAsia="宋体" w:cs="宋体"/>
                <w:szCs w:val="24"/>
                <w:lang w:val="en-US" w:eastAsia="zh-CN"/>
              </w:rPr>
              <w:t>单价最高限价：6.00元/份（其中5.00元为营养餐成本价格不参与竞争，1.00元为配送费为可竞争费用）；</w:t>
            </w:r>
          </w:p>
          <w:p w14:paraId="3DBFBDB2">
            <w:pPr>
              <w:spacing w:line="365" w:lineRule="auto"/>
              <w:rPr>
                <w:rFonts w:hint="eastAsia" w:ascii="宋体" w:hAnsi="宋体" w:eastAsia="宋体" w:cs="宋体"/>
                <w:szCs w:val="24"/>
                <w:lang w:val="en-US" w:eastAsia="zh-CN"/>
              </w:rPr>
            </w:pPr>
            <w:r>
              <w:rPr>
                <w:rFonts w:hint="eastAsia" w:ascii="宋体" w:hAnsi="宋体" w:eastAsia="宋体" w:cs="宋体"/>
                <w:szCs w:val="24"/>
                <w:lang w:val="en-US" w:eastAsia="zh-CN"/>
              </w:rPr>
              <w:t>（若投标报价超出单价最高限价的按无效文件处理）</w:t>
            </w:r>
          </w:p>
        </w:tc>
      </w:tr>
      <w:tr w14:paraId="25F0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615905E3">
            <w:pPr>
              <w:spacing w:line="365" w:lineRule="auto"/>
              <w:jc w:val="center"/>
              <w:rPr>
                <w:rFonts w:hint="eastAsia" w:ascii="宋体" w:hAnsi="宋体" w:eastAsia="宋体" w:cs="宋体"/>
                <w:szCs w:val="24"/>
              </w:rPr>
            </w:pPr>
            <w:r>
              <w:rPr>
                <w:rFonts w:hint="eastAsia" w:ascii="宋体" w:hAnsi="宋体" w:eastAsia="宋体" w:cs="宋体"/>
                <w:szCs w:val="24"/>
              </w:rPr>
              <w:t>8</w:t>
            </w:r>
          </w:p>
        </w:tc>
        <w:tc>
          <w:tcPr>
            <w:tcW w:w="2158" w:type="dxa"/>
            <w:vAlign w:val="center"/>
          </w:tcPr>
          <w:p w14:paraId="049C92B3">
            <w:pPr>
              <w:spacing w:line="365" w:lineRule="auto"/>
              <w:rPr>
                <w:rFonts w:hint="eastAsia" w:ascii="宋体" w:hAnsi="宋体" w:eastAsia="宋体" w:cs="宋体"/>
                <w:szCs w:val="24"/>
              </w:rPr>
            </w:pPr>
            <w:r>
              <w:rPr>
                <w:rFonts w:hint="eastAsia" w:ascii="宋体" w:hAnsi="宋体" w:eastAsia="宋体" w:cs="宋体"/>
                <w:szCs w:val="24"/>
              </w:rPr>
              <w:t>项目用途</w:t>
            </w:r>
          </w:p>
        </w:tc>
        <w:tc>
          <w:tcPr>
            <w:tcW w:w="6678" w:type="dxa"/>
            <w:vAlign w:val="center"/>
          </w:tcPr>
          <w:p w14:paraId="1C7E579C">
            <w:pPr>
              <w:spacing w:line="365" w:lineRule="auto"/>
              <w:rPr>
                <w:rFonts w:hint="eastAsia" w:ascii="宋体" w:hAnsi="宋体" w:eastAsia="宋体" w:cs="宋体"/>
                <w:szCs w:val="24"/>
                <w:lang w:val="en-US" w:eastAsia="zh-CN"/>
              </w:rPr>
            </w:pPr>
            <w:r>
              <w:rPr>
                <w:rFonts w:hint="eastAsia" w:ascii="宋体" w:hAnsi="宋体" w:eastAsia="宋体" w:cs="宋体"/>
                <w:szCs w:val="24"/>
                <w:lang w:val="en-US" w:eastAsia="zh-CN"/>
              </w:rPr>
              <w:t>改善学生用餐</w:t>
            </w:r>
          </w:p>
        </w:tc>
      </w:tr>
      <w:tr w14:paraId="7E3F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8" w:type="dxa"/>
            <w:vAlign w:val="center"/>
          </w:tcPr>
          <w:p w14:paraId="63577D91">
            <w:pPr>
              <w:spacing w:line="365" w:lineRule="auto"/>
              <w:jc w:val="center"/>
              <w:rPr>
                <w:rFonts w:hint="eastAsia" w:ascii="宋体" w:hAnsi="宋体" w:eastAsia="宋体" w:cs="宋体"/>
                <w:szCs w:val="24"/>
              </w:rPr>
            </w:pPr>
            <w:r>
              <w:rPr>
                <w:rFonts w:hint="eastAsia" w:ascii="宋体" w:hAnsi="宋体" w:eastAsia="宋体" w:cs="宋体"/>
                <w:szCs w:val="24"/>
              </w:rPr>
              <w:t>9</w:t>
            </w:r>
          </w:p>
        </w:tc>
        <w:tc>
          <w:tcPr>
            <w:tcW w:w="2158" w:type="dxa"/>
            <w:vAlign w:val="center"/>
          </w:tcPr>
          <w:p w14:paraId="67BC97B6">
            <w:pPr>
              <w:spacing w:line="365" w:lineRule="auto"/>
              <w:rPr>
                <w:rFonts w:hint="eastAsia" w:ascii="宋体" w:hAnsi="宋体" w:eastAsia="宋体" w:cs="宋体"/>
                <w:szCs w:val="24"/>
              </w:rPr>
            </w:pPr>
            <w:r>
              <w:rPr>
                <w:rFonts w:hint="eastAsia" w:ascii="宋体" w:hAnsi="宋体" w:eastAsia="宋体" w:cs="宋体"/>
                <w:szCs w:val="24"/>
              </w:rPr>
              <w:t>采购内容和要求</w:t>
            </w:r>
          </w:p>
        </w:tc>
        <w:tc>
          <w:tcPr>
            <w:tcW w:w="6678" w:type="dxa"/>
            <w:vAlign w:val="center"/>
          </w:tcPr>
          <w:p w14:paraId="4FB8E03D">
            <w:pPr>
              <w:spacing w:line="365" w:lineRule="auto"/>
              <w:rPr>
                <w:rFonts w:hint="eastAsia" w:ascii="宋体" w:hAnsi="宋体" w:eastAsia="宋体" w:cs="宋体"/>
                <w:szCs w:val="24"/>
              </w:rPr>
            </w:pPr>
            <w:r>
              <w:rPr>
                <w:rFonts w:hint="eastAsia" w:ascii="宋体" w:hAnsi="宋体" w:eastAsia="宋体" w:cs="宋体"/>
                <w:szCs w:val="24"/>
              </w:rPr>
              <w:t>详见采购清单</w:t>
            </w:r>
          </w:p>
        </w:tc>
      </w:tr>
      <w:tr w14:paraId="7821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8" w:type="dxa"/>
            <w:vAlign w:val="center"/>
          </w:tcPr>
          <w:p w14:paraId="22D2E894">
            <w:pPr>
              <w:spacing w:line="365" w:lineRule="auto"/>
              <w:jc w:val="center"/>
              <w:rPr>
                <w:rFonts w:hint="eastAsia" w:ascii="宋体" w:hAnsi="宋体" w:eastAsia="宋体" w:cs="宋体"/>
                <w:szCs w:val="24"/>
              </w:rPr>
            </w:pPr>
            <w:r>
              <w:rPr>
                <w:rFonts w:hint="eastAsia" w:ascii="宋体" w:hAnsi="宋体" w:eastAsia="宋体" w:cs="宋体"/>
                <w:szCs w:val="24"/>
              </w:rPr>
              <w:t>10</w:t>
            </w:r>
          </w:p>
        </w:tc>
        <w:tc>
          <w:tcPr>
            <w:tcW w:w="2158" w:type="dxa"/>
            <w:vAlign w:val="center"/>
          </w:tcPr>
          <w:p w14:paraId="168D118C">
            <w:pPr>
              <w:spacing w:line="365" w:lineRule="auto"/>
              <w:rPr>
                <w:rFonts w:hint="eastAsia" w:ascii="宋体" w:hAnsi="宋体" w:eastAsia="宋体" w:cs="宋体"/>
                <w:szCs w:val="24"/>
              </w:rPr>
            </w:pPr>
            <w:r>
              <w:rPr>
                <w:rFonts w:hint="eastAsia" w:ascii="宋体" w:hAnsi="宋体" w:eastAsia="宋体" w:cs="宋体"/>
                <w:szCs w:val="24"/>
              </w:rPr>
              <w:t>投标人</w:t>
            </w:r>
          </w:p>
        </w:tc>
        <w:tc>
          <w:tcPr>
            <w:tcW w:w="6678" w:type="dxa"/>
          </w:tcPr>
          <w:p w14:paraId="315C9B22">
            <w:pPr>
              <w:spacing w:line="365" w:lineRule="auto"/>
              <w:rPr>
                <w:rFonts w:hint="eastAsia" w:ascii="宋体" w:hAnsi="宋体" w:eastAsia="宋体" w:cs="宋体"/>
                <w:szCs w:val="24"/>
              </w:rPr>
            </w:pPr>
            <w:r>
              <w:rPr>
                <w:rFonts w:hint="eastAsia" w:ascii="宋体" w:hAnsi="宋体" w:eastAsia="宋体" w:cs="宋体"/>
                <w:szCs w:val="24"/>
              </w:rPr>
              <w:t>响应</w:t>
            </w:r>
            <w:r>
              <w:rPr>
                <w:rFonts w:hint="eastAsia" w:ascii="宋体" w:hAnsi="宋体" w:eastAsia="宋体" w:cs="宋体"/>
              </w:rPr>
              <w:fldChar w:fldCharType="begin"/>
            </w:r>
            <w:r>
              <w:rPr>
                <w:rFonts w:hint="eastAsia" w:ascii="宋体" w:hAnsi="宋体" w:eastAsia="宋体" w:cs="宋体"/>
              </w:rPr>
              <w:instrText xml:space="preserve"> HYPERLINK "http://baike.baidu.com/view/8707.htm" \t "_blank" </w:instrText>
            </w:r>
            <w:r>
              <w:rPr>
                <w:rFonts w:hint="eastAsia" w:ascii="宋体" w:hAnsi="宋体" w:eastAsia="宋体" w:cs="宋体"/>
              </w:rPr>
              <w:fldChar w:fldCharType="separate"/>
            </w:r>
            <w:r>
              <w:rPr>
                <w:rFonts w:hint="eastAsia" w:ascii="宋体" w:hAnsi="宋体" w:eastAsia="宋体" w:cs="宋体"/>
                <w:szCs w:val="24"/>
              </w:rPr>
              <w:t>招标</w:t>
            </w:r>
            <w:r>
              <w:rPr>
                <w:rFonts w:hint="eastAsia" w:ascii="宋体" w:hAnsi="宋体" w:eastAsia="宋体" w:cs="宋体"/>
                <w:szCs w:val="24"/>
              </w:rPr>
              <w:fldChar w:fldCharType="end"/>
            </w:r>
            <w:r>
              <w:rPr>
                <w:rFonts w:hint="eastAsia" w:ascii="宋体" w:hAnsi="宋体" w:eastAsia="宋体" w:cs="宋体"/>
                <w:szCs w:val="24"/>
              </w:rPr>
              <w:t>并且符合招标文件规定资格条件和参加投标竞争的法人或其他组织。</w:t>
            </w:r>
          </w:p>
        </w:tc>
      </w:tr>
      <w:tr w14:paraId="2B97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587FEB8C">
            <w:pPr>
              <w:spacing w:line="365" w:lineRule="auto"/>
              <w:jc w:val="center"/>
              <w:rPr>
                <w:rFonts w:hint="eastAsia" w:ascii="宋体" w:hAnsi="宋体" w:eastAsia="宋体" w:cs="宋体"/>
                <w:szCs w:val="24"/>
              </w:rPr>
            </w:pPr>
            <w:r>
              <w:rPr>
                <w:rFonts w:hint="eastAsia" w:ascii="宋体" w:hAnsi="宋体" w:eastAsia="宋体" w:cs="宋体"/>
                <w:szCs w:val="24"/>
              </w:rPr>
              <w:t>11</w:t>
            </w:r>
          </w:p>
        </w:tc>
        <w:tc>
          <w:tcPr>
            <w:tcW w:w="2158" w:type="dxa"/>
            <w:vAlign w:val="center"/>
          </w:tcPr>
          <w:p w14:paraId="5833226D">
            <w:pPr>
              <w:spacing w:line="365" w:lineRule="auto"/>
              <w:rPr>
                <w:rFonts w:hint="eastAsia" w:ascii="宋体" w:hAnsi="宋体" w:eastAsia="宋体" w:cs="宋体"/>
                <w:szCs w:val="24"/>
              </w:rPr>
            </w:pPr>
            <w:r>
              <w:rPr>
                <w:rFonts w:hint="eastAsia" w:ascii="宋体" w:hAnsi="宋体" w:eastAsia="宋体" w:cs="宋体"/>
                <w:szCs w:val="24"/>
              </w:rPr>
              <w:t>投标人资格要求</w:t>
            </w:r>
          </w:p>
        </w:tc>
        <w:tc>
          <w:tcPr>
            <w:tcW w:w="6678" w:type="dxa"/>
            <w:shd w:val="clear" w:color="auto" w:fill="auto"/>
          </w:tcPr>
          <w:p w14:paraId="64C4093C">
            <w:pPr>
              <w:widowControl/>
              <w:wordWrap w:val="0"/>
              <w:spacing w:line="36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投标人资格条件：</w:t>
            </w:r>
          </w:p>
          <w:p w14:paraId="3FC14095">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93C2D80">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2.落实政府采购政策需满足的资格要求：</w:t>
            </w:r>
          </w:p>
          <w:p w14:paraId="0D7143D1">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合同包4(千阳县2025-2026学年学生营养改善计划食材及供餐采购项目第4包)落实政府采购政策需满足的资格要求如下:</w:t>
            </w:r>
          </w:p>
          <w:p w14:paraId="6C5C10D7">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p w14:paraId="0DCA67E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3.本项目的特定资格要求：</w:t>
            </w:r>
          </w:p>
          <w:p w14:paraId="5049E64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合同包4(千阳县2025-2026学年学生营养改善计划食材及供餐采购项目第4包)特定资格要求如下:</w:t>
            </w:r>
          </w:p>
          <w:p w14:paraId="3A439450">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295BC51B">
            <w:pPr>
              <w:widowControl/>
              <w:numPr>
                <w:ilvl w:val="0"/>
                <w:numId w:val="0"/>
              </w:numPr>
              <w:spacing w:line="360" w:lineRule="auto"/>
              <w:textAlignment w:val="baseline"/>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b w:val="0"/>
                <w:bCs w:val="0"/>
                <w:kern w:val="2"/>
                <w:sz w:val="24"/>
                <w:szCs w:val="24"/>
                <w:shd w:val="clear" w:color="auto" w:fill="FFFFFF"/>
                <w:lang w:val="en-US" w:eastAsia="zh-CN" w:bidi="ar-SA"/>
              </w:rPr>
              <w:t>（10）投标人须提供《食品经营许可证》（必须是集体用餐配送类）。</w:t>
            </w:r>
          </w:p>
        </w:tc>
      </w:tr>
      <w:tr w14:paraId="3869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68" w:type="dxa"/>
            <w:vAlign w:val="center"/>
          </w:tcPr>
          <w:p w14:paraId="3B92B25C">
            <w:pPr>
              <w:spacing w:line="365" w:lineRule="auto"/>
              <w:jc w:val="center"/>
              <w:rPr>
                <w:rFonts w:hint="eastAsia" w:ascii="宋体" w:hAnsi="宋体" w:eastAsia="宋体" w:cs="宋体"/>
                <w:szCs w:val="24"/>
              </w:rPr>
            </w:pPr>
            <w:r>
              <w:rPr>
                <w:rFonts w:hint="eastAsia" w:ascii="宋体" w:hAnsi="宋体" w:eastAsia="宋体" w:cs="宋体"/>
                <w:szCs w:val="24"/>
              </w:rPr>
              <w:t>12</w:t>
            </w:r>
          </w:p>
        </w:tc>
        <w:tc>
          <w:tcPr>
            <w:tcW w:w="2158" w:type="dxa"/>
            <w:vAlign w:val="center"/>
          </w:tcPr>
          <w:p w14:paraId="6FF30F5E">
            <w:pPr>
              <w:spacing w:line="365" w:lineRule="auto"/>
              <w:jc w:val="center"/>
              <w:rPr>
                <w:rFonts w:hint="eastAsia" w:ascii="宋体" w:hAnsi="宋体" w:eastAsia="宋体" w:cs="宋体"/>
                <w:szCs w:val="24"/>
              </w:rPr>
            </w:pPr>
            <w:r>
              <w:rPr>
                <w:rFonts w:hint="eastAsia" w:ascii="宋体" w:hAnsi="宋体" w:eastAsia="宋体" w:cs="宋体"/>
                <w:szCs w:val="24"/>
                <w:lang w:val="en-US" w:eastAsia="zh-CN"/>
              </w:rPr>
              <w:t>配送周期</w:t>
            </w:r>
            <w:r>
              <w:rPr>
                <w:rFonts w:hint="eastAsia" w:ascii="宋体" w:hAnsi="宋体" w:eastAsia="宋体" w:cs="宋体"/>
                <w:kern w:val="0"/>
                <w:szCs w:val="24"/>
              </w:rPr>
              <w:t>、</w:t>
            </w:r>
            <w:r>
              <w:rPr>
                <w:rFonts w:hint="eastAsia" w:ascii="宋体" w:hAnsi="宋体" w:eastAsia="宋体" w:cs="宋体"/>
                <w:szCs w:val="24"/>
              </w:rPr>
              <w:t>项目地点</w:t>
            </w:r>
          </w:p>
        </w:tc>
        <w:tc>
          <w:tcPr>
            <w:tcW w:w="6678" w:type="dxa"/>
            <w:shd w:val="clear" w:color="auto" w:fill="auto"/>
          </w:tcPr>
          <w:p w14:paraId="3A33D74C">
            <w:pPr>
              <w:numPr>
                <w:ilvl w:val="0"/>
                <w:numId w:val="0"/>
              </w:numPr>
              <w:shd w:val="clear"/>
              <w:spacing w:line="360" w:lineRule="auto"/>
              <w:ind w:firstLine="480" w:firstLineChars="200"/>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配送周</w:t>
            </w:r>
            <w:r>
              <w:rPr>
                <w:rFonts w:hint="eastAsia" w:ascii="宋体" w:hAnsi="宋体" w:eastAsia="宋体" w:cs="宋体"/>
                <w:kern w:val="2"/>
                <w:sz w:val="24"/>
                <w:szCs w:val="24"/>
                <w:shd w:val="clear" w:color="auto"/>
                <w:lang w:val="zh-CN" w:eastAsia="zh-CN" w:bidi="ar-SA"/>
              </w:rPr>
              <w:t>期：</w:t>
            </w:r>
            <w:r>
              <w:rPr>
                <w:rFonts w:hint="eastAsia" w:ascii="宋体" w:hAnsi="宋体" w:eastAsia="宋体" w:cs="宋体"/>
                <w:kern w:val="2"/>
                <w:sz w:val="24"/>
                <w:szCs w:val="24"/>
                <w:shd w:val="clear" w:color="auto"/>
                <w:lang w:val="en-US" w:eastAsia="zh-CN" w:bidi="ar-SA"/>
              </w:rPr>
              <w:t>学生在校期间每日配送；</w:t>
            </w:r>
            <w:r>
              <w:rPr>
                <w:rFonts w:hint="eastAsia" w:ascii="宋体" w:hAnsi="宋体" w:eastAsia="宋体" w:cs="宋体"/>
                <w:color w:val="auto"/>
                <w:szCs w:val="24"/>
                <w:highlight w:val="none"/>
                <w:shd w:val="clear"/>
                <w:lang w:val="en-US" w:eastAsia="zh-CN"/>
              </w:rPr>
              <w:t>（根据使用学校需求随时调整）</w:t>
            </w:r>
          </w:p>
          <w:p w14:paraId="6CB4DDE6">
            <w:pPr>
              <w:spacing w:line="365" w:lineRule="auto"/>
              <w:rPr>
                <w:rFonts w:hint="eastAsia" w:ascii="宋体" w:hAnsi="宋体" w:eastAsia="宋体" w:cs="宋体"/>
                <w:szCs w:val="24"/>
                <w:highlight w:val="none"/>
              </w:rPr>
            </w:pPr>
            <w:r>
              <w:rPr>
                <w:rFonts w:hint="eastAsia" w:ascii="宋体" w:hAnsi="宋体" w:eastAsia="宋体" w:cs="宋体"/>
                <w:szCs w:val="24"/>
                <w:highlight w:val="none"/>
                <w:lang w:val="zh-CN"/>
              </w:rPr>
              <w:t>项目地点：</w:t>
            </w:r>
            <w:r>
              <w:rPr>
                <w:rFonts w:hint="eastAsia" w:ascii="宋体" w:hAnsi="宋体" w:eastAsia="宋体" w:cs="宋体"/>
                <w:szCs w:val="24"/>
                <w:highlight w:val="none"/>
                <w:lang w:val="zh-CN" w:eastAsia="zh-CN"/>
              </w:rPr>
              <w:t>采购</w:t>
            </w:r>
            <w:r>
              <w:rPr>
                <w:rFonts w:hint="eastAsia" w:ascii="宋体" w:hAnsi="宋体" w:eastAsia="宋体" w:cs="宋体"/>
                <w:kern w:val="2"/>
                <w:sz w:val="24"/>
                <w:szCs w:val="24"/>
                <w:shd w:val="clear" w:color="auto" w:fill="FFFFFF"/>
                <w:lang w:val="zh-CN" w:eastAsia="zh-CN" w:bidi="ar-SA"/>
              </w:rPr>
              <w:t>人指定的学校。</w:t>
            </w:r>
          </w:p>
        </w:tc>
      </w:tr>
      <w:tr w14:paraId="2382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365E4BFB">
            <w:pPr>
              <w:spacing w:line="365" w:lineRule="auto"/>
              <w:jc w:val="center"/>
              <w:rPr>
                <w:rFonts w:hint="eastAsia" w:ascii="宋体" w:hAnsi="宋体" w:eastAsia="宋体" w:cs="宋体"/>
                <w:szCs w:val="24"/>
              </w:rPr>
            </w:pPr>
            <w:r>
              <w:rPr>
                <w:rFonts w:hint="eastAsia" w:ascii="宋体" w:hAnsi="宋体" w:eastAsia="宋体" w:cs="宋体"/>
                <w:szCs w:val="24"/>
              </w:rPr>
              <w:t>13</w:t>
            </w:r>
          </w:p>
        </w:tc>
        <w:tc>
          <w:tcPr>
            <w:tcW w:w="2158" w:type="dxa"/>
            <w:shd w:val="clear" w:color="auto" w:fill="auto"/>
            <w:vAlign w:val="center"/>
          </w:tcPr>
          <w:p w14:paraId="7F8D4436">
            <w:pPr>
              <w:spacing w:line="365" w:lineRule="auto"/>
              <w:jc w:val="center"/>
              <w:rPr>
                <w:rFonts w:hint="eastAsia" w:ascii="宋体" w:hAnsi="宋体" w:eastAsia="宋体" w:cs="宋体"/>
                <w:szCs w:val="24"/>
                <w:u w:val="wavyHeavy" w:color="5B9BD5" w:themeColor="accent1"/>
                <w:lang w:eastAsia="zh-CN"/>
              </w:rPr>
            </w:pPr>
            <w:r>
              <w:rPr>
                <w:rFonts w:hint="eastAsia" w:ascii="宋体" w:hAnsi="宋体" w:eastAsia="宋体" w:cs="宋体"/>
                <w:szCs w:val="24"/>
              </w:rPr>
              <w:t>招标文件</w:t>
            </w:r>
            <w:r>
              <w:rPr>
                <w:rFonts w:hint="eastAsia" w:ascii="宋体" w:hAnsi="宋体" w:eastAsia="宋体" w:cs="宋体"/>
                <w:szCs w:val="24"/>
                <w:lang w:val="en-US" w:eastAsia="zh-CN"/>
              </w:rPr>
              <w:t>获取</w:t>
            </w:r>
          </w:p>
        </w:tc>
        <w:tc>
          <w:tcPr>
            <w:tcW w:w="6678" w:type="dxa"/>
            <w:shd w:val="clear" w:color="auto" w:fill="auto"/>
          </w:tcPr>
          <w:p w14:paraId="1F7D654A">
            <w:pPr>
              <w:spacing w:line="365" w:lineRule="auto"/>
              <w:rPr>
                <w:rFonts w:hint="eastAsia" w:ascii="宋体" w:hAnsi="宋体" w:eastAsia="宋体" w:cs="宋体"/>
                <w:color w:val="auto"/>
                <w:szCs w:val="24"/>
              </w:rPr>
            </w:pPr>
            <w:r>
              <w:rPr>
                <w:rFonts w:hint="eastAsia" w:ascii="宋体" w:hAnsi="宋体" w:eastAsia="宋体" w:cs="宋体"/>
                <w:color w:val="auto"/>
                <w:szCs w:val="24"/>
                <w:lang w:val="en-US" w:eastAsia="zh-CN"/>
              </w:rPr>
              <w:t>获取</w:t>
            </w:r>
            <w:r>
              <w:rPr>
                <w:rFonts w:hint="eastAsia" w:ascii="宋体" w:hAnsi="宋体" w:eastAsia="宋体" w:cs="宋体"/>
                <w:color w:val="auto"/>
                <w:szCs w:val="24"/>
              </w:rPr>
              <w:t>时间：</w:t>
            </w:r>
            <w:r>
              <w:rPr>
                <w:rFonts w:hint="eastAsia" w:ascii="宋体" w:hAnsi="宋体" w:eastAsia="宋体" w:cs="宋体"/>
                <w:color w:val="auto"/>
                <w:szCs w:val="24"/>
                <w:lang w:eastAsia="zh-CN"/>
              </w:rPr>
              <w:t>202</w:t>
            </w:r>
            <w:r>
              <w:rPr>
                <w:rFonts w:hint="eastAsia" w:ascii="宋体" w:hAnsi="宋体" w:eastAsia="宋体" w:cs="宋体"/>
                <w:color w:val="auto"/>
                <w:szCs w:val="24"/>
                <w:lang w:val="en-US" w:eastAsia="zh-CN"/>
              </w:rPr>
              <w:t>5</w:t>
            </w:r>
            <w:r>
              <w:rPr>
                <w:rFonts w:hint="eastAsia" w:ascii="宋体" w:hAnsi="宋体" w:eastAsia="宋体" w:cs="宋体"/>
                <w:color w:val="auto"/>
                <w:szCs w:val="24"/>
                <w:lang w:eastAsia="zh-CN"/>
              </w:rPr>
              <w:t>年0</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月</w:t>
            </w:r>
            <w:r>
              <w:rPr>
                <w:rFonts w:hint="eastAsia" w:ascii="宋体" w:hAnsi="宋体" w:eastAsia="宋体" w:cs="宋体"/>
                <w:color w:val="auto"/>
                <w:szCs w:val="24"/>
                <w:lang w:val="en-US" w:eastAsia="zh-CN"/>
              </w:rPr>
              <w:t>22</w:t>
            </w:r>
            <w:r>
              <w:rPr>
                <w:rFonts w:hint="eastAsia" w:ascii="宋体" w:hAnsi="宋体" w:eastAsia="宋体" w:cs="宋体"/>
                <w:color w:val="auto"/>
                <w:szCs w:val="24"/>
                <w:lang w:eastAsia="zh-CN"/>
              </w:rPr>
              <w:t>日</w:t>
            </w:r>
            <w:r>
              <w:rPr>
                <w:rFonts w:hint="eastAsia" w:ascii="宋体" w:hAnsi="宋体" w:eastAsia="宋体" w:cs="宋体"/>
                <w:color w:val="auto"/>
                <w:szCs w:val="24"/>
              </w:rPr>
              <w:t>至</w:t>
            </w:r>
            <w:r>
              <w:rPr>
                <w:rFonts w:hint="eastAsia" w:ascii="宋体" w:hAnsi="宋体" w:eastAsia="宋体" w:cs="宋体"/>
                <w:color w:val="auto"/>
                <w:szCs w:val="24"/>
                <w:lang w:eastAsia="zh-CN"/>
              </w:rPr>
              <w:t>202</w:t>
            </w:r>
            <w:r>
              <w:rPr>
                <w:rFonts w:hint="eastAsia" w:ascii="宋体" w:hAnsi="宋体" w:eastAsia="宋体" w:cs="宋体"/>
                <w:color w:val="auto"/>
                <w:szCs w:val="24"/>
                <w:lang w:val="en-US" w:eastAsia="zh-CN"/>
              </w:rPr>
              <w:t>5</w:t>
            </w:r>
            <w:r>
              <w:rPr>
                <w:rFonts w:hint="eastAsia" w:ascii="宋体" w:hAnsi="宋体" w:eastAsia="宋体" w:cs="宋体"/>
                <w:color w:val="auto"/>
                <w:szCs w:val="24"/>
                <w:lang w:eastAsia="zh-CN"/>
              </w:rPr>
              <w:t>年0</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月</w:t>
            </w:r>
            <w:r>
              <w:rPr>
                <w:rFonts w:hint="eastAsia" w:ascii="宋体" w:hAnsi="宋体" w:eastAsia="宋体" w:cs="宋体"/>
                <w:color w:val="auto"/>
                <w:szCs w:val="24"/>
                <w:lang w:val="en-US" w:eastAsia="zh-CN"/>
              </w:rPr>
              <w:t>28</w:t>
            </w:r>
            <w:r>
              <w:rPr>
                <w:rFonts w:hint="eastAsia" w:ascii="宋体" w:hAnsi="宋体" w:eastAsia="宋体" w:cs="宋体"/>
                <w:color w:val="auto"/>
                <w:szCs w:val="24"/>
                <w:lang w:eastAsia="zh-CN"/>
              </w:rPr>
              <w:t>日</w:t>
            </w:r>
            <w:r>
              <w:rPr>
                <w:rFonts w:hint="eastAsia" w:ascii="宋体" w:hAnsi="宋体" w:eastAsia="宋体" w:cs="宋体"/>
                <w:color w:val="auto"/>
                <w:szCs w:val="24"/>
              </w:rPr>
              <w:t>9:00-17:00时止。</w:t>
            </w:r>
          </w:p>
          <w:p w14:paraId="69CE272B">
            <w:pPr>
              <w:spacing w:line="365" w:lineRule="auto"/>
              <w:rPr>
                <w:rFonts w:hint="eastAsia" w:ascii="宋体" w:hAnsi="宋体" w:eastAsia="宋体" w:cs="宋体"/>
                <w:color w:val="auto"/>
                <w:szCs w:val="24"/>
              </w:rPr>
            </w:pPr>
            <w:r>
              <w:rPr>
                <w:rFonts w:hint="eastAsia" w:ascii="宋体" w:hAnsi="宋体" w:eastAsia="宋体" w:cs="宋体"/>
                <w:color w:val="auto"/>
                <w:szCs w:val="24"/>
                <w:lang w:val="en-US" w:eastAsia="zh-CN"/>
              </w:rPr>
              <w:t>获取</w:t>
            </w:r>
            <w:r>
              <w:rPr>
                <w:rFonts w:hint="eastAsia" w:ascii="宋体" w:hAnsi="宋体" w:eastAsia="宋体" w:cs="宋体"/>
                <w:color w:val="auto"/>
                <w:szCs w:val="24"/>
              </w:rPr>
              <w:t>地点：全国公共资源交易平台（陕西省·宝鸡市）宝鸡市公共资源交易中心（http://ggzy.baoji.gov.cn/）下载。</w:t>
            </w:r>
          </w:p>
        </w:tc>
      </w:tr>
      <w:tr w14:paraId="584C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5FBAE1E">
            <w:pPr>
              <w:spacing w:line="365" w:lineRule="auto"/>
              <w:jc w:val="center"/>
              <w:rPr>
                <w:rFonts w:hint="eastAsia" w:ascii="宋体" w:hAnsi="宋体" w:eastAsia="宋体" w:cs="宋体"/>
                <w:szCs w:val="24"/>
              </w:rPr>
            </w:pPr>
            <w:r>
              <w:rPr>
                <w:rFonts w:hint="eastAsia" w:ascii="宋体" w:hAnsi="宋体" w:eastAsia="宋体" w:cs="宋体"/>
                <w:szCs w:val="24"/>
              </w:rPr>
              <w:t>14</w:t>
            </w:r>
          </w:p>
        </w:tc>
        <w:tc>
          <w:tcPr>
            <w:tcW w:w="2158" w:type="dxa"/>
            <w:vAlign w:val="center"/>
          </w:tcPr>
          <w:p w14:paraId="233C9378">
            <w:pPr>
              <w:spacing w:line="365" w:lineRule="auto"/>
              <w:jc w:val="center"/>
              <w:rPr>
                <w:rFonts w:hint="eastAsia" w:ascii="宋体" w:hAnsi="宋体" w:eastAsia="宋体" w:cs="宋体"/>
                <w:szCs w:val="24"/>
              </w:rPr>
            </w:pPr>
            <w:r>
              <w:rPr>
                <w:rFonts w:hint="eastAsia" w:ascii="宋体" w:hAnsi="宋体" w:eastAsia="宋体" w:cs="宋体"/>
                <w:szCs w:val="24"/>
              </w:rPr>
              <w:t>联合体投标</w:t>
            </w:r>
          </w:p>
        </w:tc>
        <w:tc>
          <w:tcPr>
            <w:tcW w:w="6678" w:type="dxa"/>
          </w:tcPr>
          <w:p w14:paraId="1124FCB1">
            <w:pPr>
              <w:spacing w:line="365" w:lineRule="auto"/>
              <w:rPr>
                <w:rFonts w:hint="eastAsia" w:ascii="宋体" w:hAnsi="宋体" w:eastAsia="宋体" w:cs="宋体"/>
                <w:color w:val="auto"/>
                <w:szCs w:val="24"/>
              </w:rPr>
            </w:pPr>
            <w:r>
              <w:rPr>
                <w:rFonts w:hint="eastAsia" w:ascii="宋体" w:hAnsi="宋体" w:eastAsia="宋体" w:cs="宋体"/>
                <w:color w:val="auto"/>
                <w:szCs w:val="24"/>
              </w:rPr>
              <w:t>不接受</w:t>
            </w:r>
          </w:p>
        </w:tc>
      </w:tr>
      <w:tr w14:paraId="2E41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2B88236">
            <w:pPr>
              <w:spacing w:line="365" w:lineRule="auto"/>
              <w:jc w:val="center"/>
              <w:rPr>
                <w:rFonts w:hint="eastAsia" w:ascii="宋体" w:hAnsi="宋体" w:eastAsia="宋体" w:cs="宋体"/>
                <w:szCs w:val="24"/>
              </w:rPr>
            </w:pPr>
            <w:r>
              <w:rPr>
                <w:rFonts w:hint="eastAsia" w:ascii="宋体" w:hAnsi="宋体" w:eastAsia="宋体" w:cs="宋体"/>
                <w:szCs w:val="24"/>
              </w:rPr>
              <w:t>15</w:t>
            </w:r>
          </w:p>
        </w:tc>
        <w:tc>
          <w:tcPr>
            <w:tcW w:w="2158" w:type="dxa"/>
            <w:vAlign w:val="center"/>
          </w:tcPr>
          <w:p w14:paraId="4E9AE11D">
            <w:pPr>
              <w:spacing w:line="365" w:lineRule="auto"/>
              <w:jc w:val="center"/>
              <w:rPr>
                <w:rFonts w:hint="eastAsia" w:ascii="宋体" w:hAnsi="宋体" w:eastAsia="宋体" w:cs="宋体"/>
                <w:szCs w:val="24"/>
              </w:rPr>
            </w:pPr>
            <w:r>
              <w:rPr>
                <w:rFonts w:hint="eastAsia" w:ascii="宋体" w:hAnsi="宋体" w:eastAsia="宋体" w:cs="宋体"/>
                <w:szCs w:val="24"/>
              </w:rPr>
              <w:t>现场勘查、标前答疑会</w:t>
            </w:r>
          </w:p>
        </w:tc>
        <w:tc>
          <w:tcPr>
            <w:tcW w:w="6678" w:type="dxa"/>
            <w:vAlign w:val="center"/>
          </w:tcPr>
          <w:p w14:paraId="700E9DB3">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投标人认为有必要可自行勘查，并承担所有费用及风险。</w:t>
            </w:r>
          </w:p>
        </w:tc>
      </w:tr>
      <w:tr w14:paraId="7E0A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BC0C65A">
            <w:pPr>
              <w:spacing w:line="365" w:lineRule="auto"/>
              <w:jc w:val="center"/>
              <w:rPr>
                <w:rFonts w:hint="eastAsia" w:ascii="宋体" w:hAnsi="宋体" w:eastAsia="宋体" w:cs="宋体"/>
                <w:szCs w:val="24"/>
              </w:rPr>
            </w:pPr>
            <w:r>
              <w:rPr>
                <w:rFonts w:hint="eastAsia" w:ascii="宋体" w:hAnsi="宋体" w:eastAsia="宋体" w:cs="宋体"/>
                <w:szCs w:val="24"/>
              </w:rPr>
              <w:t>16</w:t>
            </w:r>
          </w:p>
        </w:tc>
        <w:tc>
          <w:tcPr>
            <w:tcW w:w="2158" w:type="dxa"/>
            <w:vAlign w:val="center"/>
          </w:tcPr>
          <w:p w14:paraId="57F6A405">
            <w:pPr>
              <w:spacing w:line="365" w:lineRule="auto"/>
              <w:jc w:val="center"/>
              <w:rPr>
                <w:rFonts w:hint="eastAsia" w:ascii="宋体" w:hAnsi="宋体" w:eastAsia="宋体" w:cs="宋体"/>
                <w:szCs w:val="24"/>
              </w:rPr>
            </w:pPr>
            <w:r>
              <w:rPr>
                <w:rFonts w:hint="eastAsia" w:ascii="宋体" w:hAnsi="宋体" w:eastAsia="宋体" w:cs="宋体"/>
                <w:szCs w:val="24"/>
              </w:rPr>
              <w:t>投标人对招标文件提出质疑的时间</w:t>
            </w:r>
          </w:p>
        </w:tc>
        <w:tc>
          <w:tcPr>
            <w:tcW w:w="6678" w:type="dxa"/>
          </w:tcPr>
          <w:p w14:paraId="78DA573C">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投标人认为招标文件使自己的权益受到损害的，在收到采购文件之日起七个工作日内以书面形式向采购代理机构提出质疑，逾期提出的无效，因此带来的一切不利后果由投标人自负。</w:t>
            </w:r>
          </w:p>
        </w:tc>
      </w:tr>
      <w:tr w14:paraId="09BE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14C04225">
            <w:pPr>
              <w:spacing w:line="365" w:lineRule="auto"/>
              <w:jc w:val="center"/>
              <w:rPr>
                <w:rFonts w:hint="eastAsia" w:ascii="宋体" w:hAnsi="宋体" w:eastAsia="宋体" w:cs="宋体"/>
                <w:szCs w:val="24"/>
              </w:rPr>
            </w:pPr>
            <w:r>
              <w:rPr>
                <w:rFonts w:hint="eastAsia" w:ascii="宋体" w:hAnsi="宋体" w:eastAsia="宋体" w:cs="宋体"/>
                <w:szCs w:val="24"/>
              </w:rPr>
              <w:t>17</w:t>
            </w:r>
          </w:p>
        </w:tc>
        <w:tc>
          <w:tcPr>
            <w:tcW w:w="2158" w:type="dxa"/>
            <w:vAlign w:val="center"/>
          </w:tcPr>
          <w:p w14:paraId="38D68A4E">
            <w:pPr>
              <w:spacing w:line="365" w:lineRule="auto"/>
              <w:jc w:val="center"/>
              <w:rPr>
                <w:rFonts w:hint="eastAsia" w:ascii="宋体" w:hAnsi="宋体" w:eastAsia="宋体" w:cs="宋体"/>
                <w:szCs w:val="24"/>
              </w:rPr>
            </w:pPr>
            <w:r>
              <w:rPr>
                <w:rFonts w:hint="eastAsia" w:ascii="宋体" w:hAnsi="宋体" w:eastAsia="宋体" w:cs="宋体"/>
                <w:szCs w:val="24"/>
              </w:rPr>
              <w:t>构成招标文件的其他文件</w:t>
            </w:r>
          </w:p>
        </w:tc>
        <w:tc>
          <w:tcPr>
            <w:tcW w:w="6678" w:type="dxa"/>
          </w:tcPr>
          <w:p w14:paraId="1E8BC94C">
            <w:pPr>
              <w:spacing w:line="365" w:lineRule="auto"/>
              <w:rPr>
                <w:rFonts w:hint="eastAsia" w:ascii="宋体" w:hAnsi="宋体" w:eastAsia="宋体" w:cs="宋体"/>
                <w:color w:val="auto"/>
                <w:szCs w:val="24"/>
              </w:rPr>
            </w:pPr>
            <w:r>
              <w:rPr>
                <w:rFonts w:hint="eastAsia" w:ascii="宋体" w:hAnsi="宋体" w:eastAsia="宋体" w:cs="宋体"/>
                <w:color w:val="auto"/>
                <w:szCs w:val="24"/>
              </w:rPr>
              <w:t>招标文件的澄清、修改书及有关补充通知为招标文件的有效组成部分。</w:t>
            </w:r>
          </w:p>
        </w:tc>
      </w:tr>
      <w:tr w14:paraId="0C6C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8" w:type="dxa"/>
            <w:vAlign w:val="center"/>
          </w:tcPr>
          <w:p w14:paraId="7A266D1A">
            <w:pPr>
              <w:spacing w:line="365" w:lineRule="auto"/>
              <w:jc w:val="center"/>
              <w:rPr>
                <w:rFonts w:hint="eastAsia" w:ascii="宋体" w:hAnsi="宋体" w:eastAsia="宋体" w:cs="宋体"/>
                <w:szCs w:val="24"/>
              </w:rPr>
            </w:pPr>
            <w:r>
              <w:rPr>
                <w:rFonts w:hint="eastAsia" w:ascii="宋体" w:hAnsi="宋体" w:eastAsia="宋体" w:cs="宋体"/>
                <w:szCs w:val="24"/>
              </w:rPr>
              <w:t>18</w:t>
            </w:r>
          </w:p>
        </w:tc>
        <w:tc>
          <w:tcPr>
            <w:tcW w:w="2158" w:type="dxa"/>
            <w:shd w:val="clear" w:color="auto" w:fill="auto"/>
            <w:vAlign w:val="center"/>
          </w:tcPr>
          <w:p w14:paraId="28BF5211">
            <w:pPr>
              <w:spacing w:line="365" w:lineRule="auto"/>
              <w:rPr>
                <w:rFonts w:hint="eastAsia" w:ascii="宋体" w:hAnsi="宋体" w:eastAsia="宋体" w:cs="宋体"/>
                <w:szCs w:val="24"/>
              </w:rPr>
            </w:pPr>
            <w:r>
              <w:rPr>
                <w:rFonts w:hint="eastAsia" w:ascii="宋体" w:hAnsi="宋体" w:eastAsia="宋体" w:cs="宋体"/>
                <w:szCs w:val="24"/>
              </w:rPr>
              <w:t>投标文件提交截止时间、开标时间和地点</w:t>
            </w:r>
          </w:p>
        </w:tc>
        <w:tc>
          <w:tcPr>
            <w:tcW w:w="6678" w:type="dxa"/>
            <w:shd w:val="clear" w:color="auto" w:fill="auto"/>
          </w:tcPr>
          <w:p w14:paraId="250B9185">
            <w:pPr>
              <w:spacing w:line="365"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1、投标文件提交截止时间：</w:t>
            </w:r>
            <w:r>
              <w:rPr>
                <w:rFonts w:hint="eastAsia" w:ascii="宋体" w:hAnsi="宋体" w:eastAsia="宋体" w:cs="宋体"/>
                <w:color w:val="auto"/>
                <w:szCs w:val="24"/>
                <w:highlight w:val="none"/>
                <w:lang w:eastAsia="zh-CN"/>
              </w:rPr>
              <w:t>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年0</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eastAsia="zh-CN"/>
              </w:rPr>
              <w:t>日09时00分</w:t>
            </w:r>
          </w:p>
          <w:p w14:paraId="0D73E114">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2、开标时间：202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年0</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eastAsia="zh-CN"/>
              </w:rPr>
              <w:t>日09时00分</w:t>
            </w:r>
          </w:p>
          <w:p w14:paraId="2C19143F">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3、投标、开标地点：不见面开标，电子化投标。</w:t>
            </w:r>
          </w:p>
          <w:p w14:paraId="550B53EA">
            <w:pPr>
              <w:spacing w:line="365"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注：</w:t>
            </w:r>
            <w:r>
              <w:rPr>
                <w:rFonts w:hint="eastAsia" w:ascii="宋体" w:hAnsi="宋体" w:eastAsia="宋体" w:cs="宋体"/>
                <w:b/>
                <w:bCs/>
                <w:color w:val="auto"/>
                <w:szCs w:val="24"/>
                <w:highlight w:val="none"/>
                <w:lang w:val="en-US" w:eastAsia="zh-CN"/>
              </w:rPr>
              <w:t>中标单位</w:t>
            </w:r>
            <w:r>
              <w:rPr>
                <w:rFonts w:hint="eastAsia" w:ascii="宋体" w:hAnsi="宋体" w:eastAsia="宋体" w:cs="宋体"/>
                <w:b/>
                <w:bCs/>
                <w:color w:val="auto"/>
                <w:szCs w:val="24"/>
                <w:highlight w:val="none"/>
              </w:rPr>
              <w:t>应在</w:t>
            </w:r>
            <w:r>
              <w:rPr>
                <w:rFonts w:hint="eastAsia" w:ascii="宋体" w:hAnsi="宋体" w:eastAsia="宋体" w:cs="宋体"/>
                <w:b/>
                <w:bCs/>
                <w:color w:val="auto"/>
                <w:szCs w:val="24"/>
                <w:highlight w:val="none"/>
                <w:lang w:val="en-US" w:eastAsia="zh-CN"/>
              </w:rPr>
              <w:t>领取通知书时</w:t>
            </w:r>
            <w:r>
              <w:rPr>
                <w:rFonts w:hint="eastAsia" w:ascii="宋体" w:hAnsi="宋体" w:eastAsia="宋体" w:cs="宋体"/>
                <w:b/>
                <w:bCs/>
                <w:color w:val="auto"/>
                <w:szCs w:val="24"/>
                <w:highlight w:val="none"/>
              </w:rPr>
              <w:t>向招标代理公司提交纸质版投标文件正本一份、副本二份，纸质版应与电子版</w:t>
            </w:r>
            <w:r>
              <w:rPr>
                <w:rFonts w:hint="eastAsia" w:ascii="宋体" w:hAnsi="宋体" w:eastAsia="宋体" w:cs="宋体"/>
                <w:b/>
                <w:bCs/>
                <w:color w:val="auto"/>
                <w:szCs w:val="24"/>
                <w:highlight w:val="none"/>
                <w:lang w:val="en-US" w:eastAsia="zh-CN"/>
              </w:rPr>
              <w:t>内容</w:t>
            </w:r>
            <w:r>
              <w:rPr>
                <w:rFonts w:hint="eastAsia" w:ascii="宋体" w:hAnsi="宋体" w:eastAsia="宋体" w:cs="宋体"/>
                <w:b/>
                <w:bCs/>
                <w:color w:val="auto"/>
                <w:szCs w:val="24"/>
                <w:highlight w:val="none"/>
              </w:rPr>
              <w:t>一致（按要求签字盖章）。</w:t>
            </w:r>
          </w:p>
        </w:tc>
      </w:tr>
      <w:tr w14:paraId="0A77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FB7DA3F">
            <w:pPr>
              <w:spacing w:line="365" w:lineRule="auto"/>
              <w:jc w:val="center"/>
              <w:rPr>
                <w:rFonts w:hint="eastAsia" w:ascii="宋体" w:hAnsi="宋体" w:eastAsia="宋体" w:cs="宋体"/>
                <w:szCs w:val="24"/>
              </w:rPr>
            </w:pPr>
            <w:r>
              <w:rPr>
                <w:rFonts w:hint="eastAsia" w:ascii="宋体" w:hAnsi="宋体" w:eastAsia="宋体" w:cs="宋体"/>
                <w:szCs w:val="24"/>
              </w:rPr>
              <w:t>19</w:t>
            </w:r>
          </w:p>
        </w:tc>
        <w:tc>
          <w:tcPr>
            <w:tcW w:w="2158" w:type="dxa"/>
            <w:vAlign w:val="center"/>
          </w:tcPr>
          <w:p w14:paraId="28DAEECE">
            <w:pPr>
              <w:spacing w:line="365" w:lineRule="auto"/>
              <w:jc w:val="center"/>
              <w:rPr>
                <w:rFonts w:hint="eastAsia" w:ascii="宋体" w:hAnsi="宋体" w:eastAsia="宋体" w:cs="宋体"/>
                <w:szCs w:val="24"/>
              </w:rPr>
            </w:pPr>
            <w:r>
              <w:rPr>
                <w:rFonts w:hint="eastAsia" w:ascii="宋体" w:hAnsi="宋体" w:eastAsia="宋体" w:cs="宋体"/>
                <w:szCs w:val="24"/>
              </w:rPr>
              <w:t>投标有效期</w:t>
            </w:r>
          </w:p>
        </w:tc>
        <w:tc>
          <w:tcPr>
            <w:tcW w:w="6678" w:type="dxa"/>
          </w:tcPr>
          <w:p w14:paraId="394CB27A">
            <w:pPr>
              <w:spacing w:line="365" w:lineRule="auto"/>
              <w:rPr>
                <w:rFonts w:hint="eastAsia" w:ascii="宋体" w:hAnsi="宋体" w:eastAsia="宋体" w:cs="宋体"/>
                <w:szCs w:val="24"/>
              </w:rPr>
            </w:pPr>
            <w:r>
              <w:rPr>
                <w:rFonts w:hint="eastAsia" w:ascii="宋体" w:hAnsi="宋体" w:eastAsia="宋体" w:cs="宋体"/>
                <w:szCs w:val="24"/>
              </w:rPr>
              <w:t>自提交投标文件的截止之日起90个日历日</w:t>
            </w:r>
          </w:p>
        </w:tc>
      </w:tr>
      <w:tr w14:paraId="0E4D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262A43E5">
            <w:pPr>
              <w:spacing w:line="365" w:lineRule="auto"/>
              <w:jc w:val="center"/>
              <w:rPr>
                <w:rFonts w:hint="eastAsia" w:ascii="宋体" w:hAnsi="宋体" w:eastAsia="宋体" w:cs="宋体"/>
                <w:szCs w:val="24"/>
              </w:rPr>
            </w:pPr>
            <w:r>
              <w:rPr>
                <w:rFonts w:hint="eastAsia" w:ascii="宋体" w:hAnsi="宋体" w:eastAsia="宋体" w:cs="宋体"/>
                <w:szCs w:val="24"/>
              </w:rPr>
              <w:t>20</w:t>
            </w:r>
          </w:p>
        </w:tc>
        <w:tc>
          <w:tcPr>
            <w:tcW w:w="2158" w:type="dxa"/>
            <w:vAlign w:val="center"/>
          </w:tcPr>
          <w:p w14:paraId="181DF060">
            <w:pPr>
              <w:spacing w:line="365" w:lineRule="auto"/>
              <w:jc w:val="center"/>
              <w:rPr>
                <w:rFonts w:hint="eastAsia" w:ascii="宋体" w:hAnsi="宋体" w:eastAsia="宋体" w:cs="宋体"/>
                <w:szCs w:val="24"/>
              </w:rPr>
            </w:pPr>
            <w:r>
              <w:rPr>
                <w:rFonts w:hint="eastAsia" w:ascii="宋体" w:hAnsi="宋体" w:eastAsia="宋体" w:cs="宋体"/>
                <w:szCs w:val="24"/>
              </w:rPr>
              <w:t>投标担保</w:t>
            </w:r>
          </w:p>
        </w:tc>
        <w:tc>
          <w:tcPr>
            <w:tcW w:w="6678" w:type="dxa"/>
          </w:tcPr>
          <w:p w14:paraId="064A3C47">
            <w:pPr>
              <w:pStyle w:val="27"/>
              <w:widowControl/>
              <w:spacing w:line="365" w:lineRule="auto"/>
              <w:rPr>
                <w:rFonts w:hint="eastAsia" w:ascii="宋体" w:hAnsi="宋体" w:eastAsia="宋体" w:cs="宋体"/>
                <w:b w:val="0"/>
                <w:bCs/>
                <w:i w:val="0"/>
                <w:iCs w:val="0"/>
                <w:szCs w:val="24"/>
                <w:highlight w:val="none"/>
                <w:u w:color="FF0000"/>
                <w:lang w:eastAsia="zh-CN"/>
              </w:rPr>
            </w:pPr>
            <w:r>
              <w:rPr>
                <w:rFonts w:hint="eastAsia" w:ascii="宋体" w:hAnsi="宋体" w:eastAsia="宋体" w:cs="宋体"/>
                <w:b w:val="0"/>
                <w:bCs/>
                <w:i w:val="0"/>
                <w:iCs w:val="0"/>
                <w:szCs w:val="24"/>
                <w:highlight w:val="none"/>
                <w:u w:color="FF0000"/>
                <w:lang w:eastAsia="zh-CN"/>
              </w:rPr>
              <w:t>第</w:t>
            </w:r>
            <w:r>
              <w:rPr>
                <w:rFonts w:hint="eastAsia" w:ascii="宋体" w:hAnsi="宋体" w:eastAsia="宋体" w:cs="宋体"/>
                <w:b w:val="0"/>
                <w:bCs/>
                <w:i w:val="0"/>
                <w:iCs w:val="0"/>
                <w:szCs w:val="24"/>
                <w:highlight w:val="none"/>
                <w:u w:color="FF0000"/>
                <w:lang w:val="en-US" w:eastAsia="zh-CN"/>
              </w:rPr>
              <w:t>4</w:t>
            </w:r>
            <w:r>
              <w:rPr>
                <w:rFonts w:hint="eastAsia" w:ascii="宋体" w:hAnsi="宋体" w:eastAsia="宋体" w:cs="宋体"/>
                <w:b w:val="0"/>
                <w:bCs/>
                <w:i w:val="0"/>
                <w:iCs w:val="0"/>
                <w:szCs w:val="24"/>
                <w:highlight w:val="none"/>
                <w:u w:color="FF0000"/>
                <w:lang w:eastAsia="zh-CN"/>
              </w:rPr>
              <w:t>包：</w:t>
            </w:r>
          </w:p>
          <w:p w14:paraId="106BE3F1">
            <w:pPr>
              <w:widowControl/>
              <w:spacing w:line="365" w:lineRule="auto"/>
              <w:rPr>
                <w:rFonts w:hint="eastAsia" w:ascii="宋体" w:hAnsi="宋体" w:eastAsia="宋体" w:cs="宋体"/>
                <w:bCs/>
                <w:color w:val="auto"/>
                <w:szCs w:val="24"/>
                <w:u w:color="FF0000"/>
                <w:shd w:val="clear"/>
              </w:rPr>
            </w:pPr>
            <w:r>
              <w:rPr>
                <w:rFonts w:hint="eastAsia" w:ascii="宋体" w:hAnsi="宋体" w:eastAsia="宋体" w:cs="宋体"/>
                <w:bCs/>
                <w:szCs w:val="24"/>
                <w:u w:color="FF0000"/>
              </w:rPr>
              <w:t>投标保证金金额：</w:t>
            </w:r>
            <w:r>
              <w:rPr>
                <w:rFonts w:hint="eastAsia" w:ascii="宋体" w:hAnsi="宋体" w:eastAsia="宋体" w:cs="宋体"/>
                <w:bCs/>
                <w:color w:val="auto"/>
                <w:szCs w:val="24"/>
                <w:u w:color="FF0000"/>
                <w:shd w:val="clear"/>
              </w:rPr>
              <w:t>人民币</w:t>
            </w:r>
            <w:r>
              <w:rPr>
                <w:rFonts w:hint="eastAsia" w:ascii="宋体" w:hAnsi="宋体" w:eastAsia="宋体" w:cs="宋体"/>
                <w:bCs/>
                <w:color w:val="auto"/>
                <w:szCs w:val="24"/>
                <w:u w:color="FF0000"/>
                <w:shd w:val="clear"/>
                <w:lang w:val="en-US" w:eastAsia="zh-CN"/>
              </w:rPr>
              <w:t>壹万元</w:t>
            </w:r>
            <w:r>
              <w:rPr>
                <w:rFonts w:hint="eastAsia" w:ascii="宋体" w:hAnsi="宋体" w:eastAsia="宋体" w:cs="宋体"/>
                <w:bCs/>
                <w:color w:val="auto"/>
                <w:szCs w:val="24"/>
                <w:u w:color="FF0000"/>
                <w:shd w:val="clear"/>
              </w:rPr>
              <w:t>整（</w:t>
            </w:r>
            <w:r>
              <w:rPr>
                <w:rFonts w:hint="eastAsia" w:ascii="宋体" w:hAnsi="宋体" w:eastAsia="宋体" w:cs="宋体"/>
                <w:bCs/>
                <w:color w:val="auto"/>
                <w:szCs w:val="24"/>
                <w:u w:color="FF0000"/>
                <w:shd w:val="clear"/>
                <w:lang w:val="en-US" w:eastAsia="zh-CN"/>
              </w:rPr>
              <w:t>10</w:t>
            </w:r>
            <w:r>
              <w:rPr>
                <w:rFonts w:hint="eastAsia" w:ascii="宋体" w:hAnsi="宋体" w:eastAsia="宋体" w:cs="宋体"/>
                <w:bCs/>
                <w:color w:val="auto"/>
                <w:szCs w:val="24"/>
                <w:u w:color="FF0000"/>
                <w:shd w:val="clear"/>
              </w:rPr>
              <w:t>000.00元）</w:t>
            </w:r>
          </w:p>
          <w:p w14:paraId="099E5DCC">
            <w:pPr>
              <w:widowControl/>
              <w:spacing w:line="365" w:lineRule="auto"/>
              <w:rPr>
                <w:rFonts w:hint="eastAsia" w:ascii="宋体" w:hAnsi="宋体" w:eastAsia="宋体" w:cs="宋体"/>
                <w:bCs/>
                <w:szCs w:val="24"/>
                <w:u w:color="FF0000"/>
              </w:rPr>
            </w:pPr>
            <w:r>
              <w:rPr>
                <w:rFonts w:hint="eastAsia" w:ascii="宋体" w:hAnsi="宋体" w:eastAsia="宋体" w:cs="宋体"/>
                <w:bCs/>
                <w:szCs w:val="24"/>
                <w:u w:color="FF0000"/>
              </w:rPr>
              <w:t>投标保证金的形式：银行保函或基本户转账</w:t>
            </w:r>
          </w:p>
          <w:p w14:paraId="28ADF4B1">
            <w:pPr>
              <w:widowControl/>
              <w:spacing w:line="365" w:lineRule="auto"/>
              <w:rPr>
                <w:rFonts w:hint="eastAsia" w:ascii="宋体" w:hAnsi="宋体" w:eastAsia="宋体" w:cs="宋体"/>
                <w:bCs/>
                <w:szCs w:val="24"/>
                <w:u w:color="FF0000"/>
              </w:rPr>
            </w:pPr>
            <w:r>
              <w:rPr>
                <w:rFonts w:hint="eastAsia" w:ascii="宋体" w:hAnsi="宋体" w:eastAsia="宋体" w:cs="宋体"/>
                <w:bCs/>
                <w:szCs w:val="24"/>
                <w:u w:color="FF0000"/>
              </w:rPr>
              <w:t>投标保证金账户名：宝鸡市公共资源交易中心保证金专户</w:t>
            </w:r>
          </w:p>
          <w:p w14:paraId="1C9795B4">
            <w:pPr>
              <w:widowControl/>
              <w:spacing w:line="365" w:lineRule="auto"/>
              <w:rPr>
                <w:rFonts w:hint="eastAsia" w:ascii="宋体" w:hAnsi="宋体" w:eastAsia="宋体" w:cs="宋体"/>
                <w:bCs/>
                <w:szCs w:val="24"/>
                <w:u w:color="FF0000"/>
              </w:rPr>
            </w:pPr>
            <w:r>
              <w:rPr>
                <w:rFonts w:hint="eastAsia" w:ascii="宋体" w:hAnsi="宋体" w:eastAsia="宋体" w:cs="宋体"/>
                <w:bCs/>
                <w:szCs w:val="24"/>
                <w:u w:color="FF0000"/>
              </w:rPr>
              <w:t>开户行：长安银行股份有限公司宝鸡分行营业部</w:t>
            </w:r>
          </w:p>
          <w:p w14:paraId="74D1C24F">
            <w:pPr>
              <w:widowControl/>
              <w:spacing w:line="365" w:lineRule="auto"/>
              <w:rPr>
                <w:rFonts w:hint="eastAsia" w:ascii="宋体" w:hAnsi="宋体" w:eastAsia="宋体" w:cs="宋体"/>
                <w:bCs/>
                <w:szCs w:val="24"/>
                <w:u w:color="FF0000"/>
                <w:shd w:val="clear" w:fill="C5E0B3" w:themeFill="accent6" w:themeFillTint="66"/>
              </w:rPr>
            </w:pPr>
            <w:r>
              <w:rPr>
                <w:rFonts w:hint="eastAsia" w:ascii="宋体" w:hAnsi="宋体" w:eastAsia="宋体" w:cs="宋体"/>
                <w:bCs/>
                <w:szCs w:val="24"/>
                <w:u w:color="FF0000"/>
              </w:rPr>
              <w:t>账号：80602000142101980614261</w:t>
            </w:r>
          </w:p>
          <w:p w14:paraId="522EB08E">
            <w:pPr>
              <w:widowControl/>
              <w:spacing w:line="365" w:lineRule="auto"/>
              <w:rPr>
                <w:rFonts w:hint="eastAsia" w:ascii="宋体" w:hAnsi="宋体" w:eastAsia="宋体" w:cs="宋体"/>
                <w:b w:val="0"/>
                <w:bCs/>
                <w:i w:val="0"/>
                <w:iCs w:val="0"/>
                <w:szCs w:val="24"/>
                <w:highlight w:val="none"/>
                <w:u w:color="FF0000"/>
                <w:lang w:eastAsia="zh-CN"/>
              </w:rPr>
            </w:pPr>
            <w:r>
              <w:rPr>
                <w:rFonts w:hint="eastAsia" w:ascii="宋体" w:hAnsi="宋体" w:eastAsia="宋体" w:cs="宋体"/>
                <w:b/>
                <w:bCs/>
                <w:color w:val="auto"/>
                <w:spacing w:val="-4"/>
                <w:sz w:val="24"/>
                <w:szCs w:val="24"/>
                <w:lang w:val="en-US" w:eastAsia="zh-CN"/>
              </w:rPr>
              <w:t>转账时必须备注该项目子账号后五位数字，无需填写其他内容</w:t>
            </w:r>
            <w:r>
              <w:rPr>
                <w:rFonts w:hint="eastAsia" w:ascii="宋体" w:hAnsi="宋体" w:eastAsia="宋体" w:cs="宋体"/>
                <w:bCs/>
                <w:szCs w:val="24"/>
                <w:u w:color="FF0000"/>
              </w:rPr>
              <w:t>注：未按规定账户缴纳保证金的投标单位，其投标文件视为无效。</w:t>
            </w:r>
          </w:p>
          <w:p w14:paraId="685E01F8">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1、银行保函</w:t>
            </w:r>
          </w:p>
          <w:p w14:paraId="2ABBD8C4">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必须为供应商基本账户开户银行出具的银行保函，将银行保函及“基本账户开户许可证或基本存款账户信息”附在投标文件中，作为保证金缴纳凭证。</w:t>
            </w:r>
          </w:p>
          <w:p w14:paraId="5FFFF78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注：供应商如提供以银行作为担保的投标保函，应与项目开标前2~3个工作日递交至采购代理机构，递交保函时需提交以下资料：</w:t>
            </w:r>
          </w:p>
          <w:p w14:paraId="4E14094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1.保函正本(纸质版);</w:t>
            </w:r>
          </w:p>
          <w:p w14:paraId="74B7C77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2.公司介绍信(或委托书);</w:t>
            </w:r>
          </w:p>
          <w:p w14:paraId="20FD0FFC">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3.开户许可证复印件(加盖公司公章);</w:t>
            </w:r>
          </w:p>
          <w:p w14:paraId="4BB54981">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4.法人和经办人身份证复印件(加盖公司公章);</w:t>
            </w:r>
          </w:p>
          <w:p w14:paraId="1B79C9F9">
            <w:pPr>
              <w:shd w:val="clear"/>
              <w:tabs>
                <w:tab w:val="left" w:pos="7013"/>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2、基本户转账</w:t>
            </w:r>
          </w:p>
          <w:p w14:paraId="3E5FC590">
            <w:pPr>
              <w:widowControl/>
              <w:spacing w:line="365" w:lineRule="auto"/>
              <w:rPr>
                <w:rFonts w:hint="eastAsia" w:ascii="宋体" w:hAnsi="宋体" w:eastAsia="宋体" w:cs="宋体"/>
                <w:bCs/>
                <w:szCs w:val="24"/>
              </w:rPr>
            </w:pPr>
            <w:r>
              <w:rPr>
                <w:rFonts w:hint="eastAsia" w:ascii="宋体" w:hAnsi="宋体" w:eastAsia="宋体" w:cs="宋体"/>
                <w:color w:val="auto"/>
                <w:sz w:val="24"/>
                <w:highlight w:val="none"/>
              </w:rPr>
              <w:t>必须为</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基本账户以转账形式在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截止时间前到达上述账号（以资金到账时间为确认保证金缴纳完毕时间），未按规定时间前或按额汇到指定账户的将否决其投标。</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保证金转账完成后，将“转账凭证”附在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文件中，作为保证金缴纳的凭证。</w:t>
            </w:r>
          </w:p>
        </w:tc>
      </w:tr>
      <w:tr w14:paraId="1DF2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3415EA76">
            <w:pPr>
              <w:spacing w:line="365" w:lineRule="auto"/>
              <w:jc w:val="center"/>
              <w:rPr>
                <w:rFonts w:hint="eastAsia" w:ascii="宋体" w:hAnsi="宋体" w:eastAsia="宋体" w:cs="宋体"/>
                <w:szCs w:val="24"/>
              </w:rPr>
            </w:pPr>
            <w:r>
              <w:rPr>
                <w:rFonts w:hint="eastAsia" w:ascii="宋体" w:hAnsi="宋体" w:eastAsia="宋体" w:cs="宋体"/>
                <w:szCs w:val="24"/>
              </w:rPr>
              <w:t>21</w:t>
            </w:r>
          </w:p>
        </w:tc>
        <w:tc>
          <w:tcPr>
            <w:tcW w:w="2158" w:type="dxa"/>
            <w:vAlign w:val="center"/>
          </w:tcPr>
          <w:p w14:paraId="73BB30B4">
            <w:pPr>
              <w:spacing w:line="365" w:lineRule="auto"/>
              <w:jc w:val="center"/>
              <w:rPr>
                <w:rFonts w:hint="eastAsia" w:ascii="宋体" w:hAnsi="宋体" w:eastAsia="宋体" w:cs="宋体"/>
                <w:szCs w:val="24"/>
              </w:rPr>
            </w:pPr>
            <w:r>
              <w:rPr>
                <w:rFonts w:hint="eastAsia" w:ascii="宋体" w:hAnsi="宋体" w:eastAsia="宋体" w:cs="宋体"/>
                <w:szCs w:val="24"/>
              </w:rPr>
              <w:t>备选投标方案</w:t>
            </w:r>
          </w:p>
          <w:p w14:paraId="0FC7952F">
            <w:pPr>
              <w:spacing w:line="365" w:lineRule="auto"/>
              <w:jc w:val="center"/>
              <w:rPr>
                <w:rFonts w:hint="eastAsia" w:ascii="宋体" w:hAnsi="宋体" w:eastAsia="宋体" w:cs="宋体"/>
                <w:szCs w:val="24"/>
              </w:rPr>
            </w:pPr>
            <w:r>
              <w:rPr>
                <w:rFonts w:hint="eastAsia" w:ascii="宋体" w:hAnsi="宋体" w:eastAsia="宋体" w:cs="宋体"/>
                <w:szCs w:val="24"/>
              </w:rPr>
              <w:t>和报价</w:t>
            </w:r>
          </w:p>
        </w:tc>
        <w:tc>
          <w:tcPr>
            <w:tcW w:w="6678" w:type="dxa"/>
            <w:vAlign w:val="center"/>
          </w:tcPr>
          <w:p w14:paraId="4368F337">
            <w:pPr>
              <w:tabs>
                <w:tab w:val="left" w:pos="7013"/>
              </w:tabs>
              <w:spacing w:line="365" w:lineRule="auto"/>
              <w:rPr>
                <w:rFonts w:hint="eastAsia" w:ascii="宋体" w:hAnsi="宋体" w:eastAsia="宋体" w:cs="宋体"/>
                <w:szCs w:val="24"/>
              </w:rPr>
            </w:pPr>
            <w:r>
              <w:rPr>
                <w:rFonts w:hint="eastAsia" w:ascii="宋体" w:hAnsi="宋体" w:eastAsia="宋体" w:cs="宋体"/>
                <w:szCs w:val="24"/>
              </w:rPr>
              <w:t>不接受备选投标方案和多个报价。</w:t>
            </w:r>
          </w:p>
        </w:tc>
      </w:tr>
      <w:tr w14:paraId="04AC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C4ADBC3">
            <w:pPr>
              <w:spacing w:line="365" w:lineRule="auto"/>
              <w:jc w:val="center"/>
              <w:rPr>
                <w:rFonts w:hint="eastAsia" w:ascii="宋体" w:hAnsi="宋体" w:eastAsia="宋体" w:cs="宋体"/>
                <w:szCs w:val="24"/>
              </w:rPr>
            </w:pPr>
            <w:r>
              <w:rPr>
                <w:rFonts w:hint="eastAsia" w:ascii="宋体" w:hAnsi="宋体" w:eastAsia="宋体" w:cs="宋体"/>
                <w:szCs w:val="24"/>
              </w:rPr>
              <w:t>22</w:t>
            </w:r>
          </w:p>
        </w:tc>
        <w:tc>
          <w:tcPr>
            <w:tcW w:w="2158" w:type="dxa"/>
            <w:vAlign w:val="center"/>
          </w:tcPr>
          <w:p w14:paraId="08DB13B8">
            <w:pPr>
              <w:spacing w:line="365" w:lineRule="auto"/>
              <w:jc w:val="center"/>
              <w:rPr>
                <w:rFonts w:hint="eastAsia" w:ascii="宋体" w:hAnsi="宋体" w:eastAsia="宋体" w:cs="宋体"/>
                <w:szCs w:val="24"/>
              </w:rPr>
            </w:pPr>
            <w:r>
              <w:rPr>
                <w:rFonts w:hint="eastAsia" w:ascii="宋体" w:hAnsi="宋体" w:eastAsia="宋体" w:cs="宋体"/>
                <w:bCs/>
                <w:szCs w:val="24"/>
              </w:rPr>
              <w:t>投标文件的递交</w:t>
            </w:r>
          </w:p>
        </w:tc>
        <w:tc>
          <w:tcPr>
            <w:tcW w:w="6678" w:type="dxa"/>
            <w:vAlign w:val="center"/>
          </w:tcPr>
          <w:p w14:paraId="7C646AA0">
            <w:pPr>
              <w:spacing w:line="360" w:lineRule="auto"/>
              <w:rPr>
                <w:rFonts w:hint="eastAsia" w:ascii="宋体" w:hAnsi="宋体" w:eastAsia="宋体" w:cs="宋体"/>
                <w:szCs w:val="24"/>
              </w:rPr>
            </w:pPr>
            <w:r>
              <w:rPr>
                <w:rFonts w:hint="eastAsia" w:ascii="宋体" w:hAnsi="宋体" w:eastAsia="宋体" w:cs="宋体"/>
                <w:szCs w:val="24"/>
              </w:rPr>
              <w:t>为确保采购项目顺利开展，本项目采用电子投标文件方式投标。电子投标文件可于提交投标文件截止时间前任意时段登录全国公共资源交易平台（陕西省·宝鸡市）网站[电子交易平台-企业端]进行提交，逾期系统将拒绝接收。提交时，投标人应登录全国公共资源交易中心平台（陕西省·宝鸡市），选择[“首页&gt;电子交易平台&gt;企业端&gt;我的项目”，点击[项目流程]，在打开的[项目管理]对话框中选择[上传投标文件]，上传加密的电子投标文件（*.SXSTF），上传成功后，电子化平台将予以记录。</w:t>
            </w:r>
          </w:p>
        </w:tc>
      </w:tr>
      <w:tr w14:paraId="4E0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5CEC3DE5">
            <w:pPr>
              <w:spacing w:line="365" w:lineRule="auto"/>
              <w:jc w:val="center"/>
              <w:rPr>
                <w:rFonts w:hint="eastAsia" w:ascii="宋体" w:hAnsi="宋体" w:eastAsia="宋体" w:cs="宋体"/>
                <w:szCs w:val="24"/>
              </w:rPr>
            </w:pPr>
            <w:r>
              <w:rPr>
                <w:rFonts w:hint="eastAsia" w:ascii="宋体" w:hAnsi="宋体" w:eastAsia="宋体" w:cs="宋体"/>
                <w:szCs w:val="24"/>
              </w:rPr>
              <w:t>23</w:t>
            </w:r>
          </w:p>
        </w:tc>
        <w:tc>
          <w:tcPr>
            <w:tcW w:w="2158" w:type="dxa"/>
            <w:vAlign w:val="center"/>
          </w:tcPr>
          <w:p w14:paraId="76F59D98">
            <w:pPr>
              <w:spacing w:line="365" w:lineRule="auto"/>
              <w:jc w:val="center"/>
              <w:rPr>
                <w:rFonts w:hint="eastAsia" w:ascii="宋体" w:hAnsi="宋体" w:eastAsia="宋体" w:cs="宋体"/>
                <w:szCs w:val="24"/>
              </w:rPr>
            </w:pPr>
            <w:r>
              <w:rPr>
                <w:rFonts w:hint="eastAsia" w:ascii="宋体" w:hAnsi="宋体" w:eastAsia="宋体" w:cs="宋体"/>
                <w:szCs w:val="21"/>
              </w:rPr>
              <w:t>投标文件的制作和签署</w:t>
            </w:r>
          </w:p>
        </w:tc>
        <w:tc>
          <w:tcPr>
            <w:tcW w:w="6678" w:type="dxa"/>
            <w:vAlign w:val="center"/>
          </w:tcPr>
          <w:p w14:paraId="6EF90080">
            <w:pPr>
              <w:spacing w:line="360" w:lineRule="auto"/>
              <w:ind w:firstLine="480" w:firstLineChars="200"/>
              <w:rPr>
                <w:rFonts w:hint="eastAsia" w:ascii="宋体" w:hAnsi="宋体" w:eastAsia="宋体" w:cs="宋体"/>
              </w:rPr>
            </w:pPr>
            <w:r>
              <w:rPr>
                <w:rFonts w:hint="eastAsia" w:ascii="宋体" w:hAnsi="宋体" w:eastAsia="宋体" w:cs="宋体"/>
              </w:rPr>
              <w:t>编制电子投标文件时，应使用最新发布的电子招标文件及专用制作工具进行编制。并使用数字认证证书（CA）对电子投标文件进行签署、加密、递交及开标时解密等相关操作。</w:t>
            </w:r>
          </w:p>
          <w:p w14:paraId="54F72AE0">
            <w:pPr>
              <w:spacing w:line="360" w:lineRule="auto"/>
              <w:ind w:firstLine="480" w:firstLineChars="200"/>
              <w:rPr>
                <w:rFonts w:hint="eastAsia" w:ascii="宋体" w:hAnsi="宋体" w:eastAsia="宋体" w:cs="宋体"/>
              </w:rPr>
            </w:pPr>
            <w:r>
              <w:rPr>
                <w:rFonts w:hint="eastAsia" w:ascii="宋体" w:hAnsi="宋体" w:eastAsia="宋体" w:cs="宋体"/>
              </w:rPr>
              <w:t>投标人必须按照招标文件的规定和要求由法定代表人或被授权人签字（或盖章），并逐页加盖投标人公章，如有遗漏，将作为无效投标处理。</w:t>
            </w:r>
          </w:p>
          <w:p w14:paraId="2DD1EB36">
            <w:pPr>
              <w:spacing w:line="360" w:lineRule="auto"/>
              <w:ind w:firstLine="480" w:firstLineChars="200"/>
              <w:rPr>
                <w:rFonts w:hint="eastAsia" w:ascii="宋体" w:hAnsi="宋体" w:eastAsia="宋体" w:cs="宋体"/>
              </w:rPr>
            </w:pPr>
            <w:r>
              <w:rPr>
                <w:rFonts w:hint="eastAsia" w:ascii="宋体" w:hAnsi="宋体" w:eastAsia="宋体" w:cs="宋体"/>
              </w:rPr>
              <w:t>1、电子招标文件下载</w:t>
            </w:r>
          </w:p>
          <w:p w14:paraId="4F5A8DAA">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电子交易平台-企业端]后，在[我的项目]中点击“项目流程-交易文件下载”下载电子招标文件（*.SXSZF）；注意：该项目如有变更文件，则应点击“项目流程&gt;答疑文件下载”下载更新后的电子招标文件（*.SXSCF），使用旧版电子招标文件制作的电子投标文件，系统将拒绝接收。</w:t>
            </w:r>
          </w:p>
          <w:p w14:paraId="236AA70A">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kern w:val="2"/>
                <w:sz w:val="24"/>
                <w:szCs w:val="22"/>
                <w:lang w:val="en-US" w:eastAsia="zh-CN" w:bidi="ar-SA"/>
              </w:rPr>
              <w:t>2、</w:t>
            </w:r>
            <w:r>
              <w:rPr>
                <w:rFonts w:hint="eastAsia" w:ascii="宋体" w:hAnsi="宋体" w:eastAsia="宋体" w:cs="宋体"/>
              </w:rPr>
              <w:t>电子招标文件需要使用专用软件打开、浏览</w:t>
            </w:r>
          </w:p>
          <w:p w14:paraId="7B927F33">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）网站[服务指南-下载专区]免费下载《陕西省公共资源交易平台政府采购电子标书制作工具(V8.0.0.2)》，并升级至最新版本，使用该客户端可以打开电子招标文件。软件操作手册详见全国公共资源交易平台（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）网站[服务指南-下载专区]中的《陕西省公共资源交易（政府采购类）投标文件制作软件操作手册》；</w:t>
            </w:r>
          </w:p>
          <w:p w14:paraId="5916F2D6">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3、制作电子投标文件</w:t>
            </w:r>
          </w:p>
          <w:p w14:paraId="510B263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电子投标文件同样需要使用上述软件进行编制。在编制过程中，如有技术性问题，请先翻阅操作手册或致电软件开发商，技术支持热线：4009280095、4009980000；</w:t>
            </w:r>
          </w:p>
          <w:p w14:paraId="2A6AD414">
            <w:pPr>
              <w:spacing w:line="360" w:lineRule="auto"/>
              <w:ind w:firstLine="241"/>
              <w:rPr>
                <w:rFonts w:hint="eastAsia" w:ascii="宋体" w:hAnsi="宋体" w:eastAsia="宋体" w:cs="宋体"/>
              </w:rPr>
            </w:pPr>
            <w:r>
              <w:rPr>
                <w:rFonts w:hint="eastAsia" w:ascii="宋体" w:hAnsi="宋体" w:eastAsia="宋体" w:cs="宋体"/>
                <w:b/>
                <w:bCs/>
                <w:szCs w:val="21"/>
              </w:rPr>
              <w:t>注：如未按照上述要求进行投标文件制作和签署的均视其为无效投标文件。</w:t>
            </w:r>
          </w:p>
        </w:tc>
      </w:tr>
      <w:tr w14:paraId="76AD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228FFE72">
            <w:pPr>
              <w:spacing w:line="365" w:lineRule="auto"/>
              <w:jc w:val="center"/>
              <w:rPr>
                <w:rFonts w:hint="eastAsia" w:ascii="宋体" w:hAnsi="宋体" w:eastAsia="宋体" w:cs="宋体"/>
                <w:szCs w:val="24"/>
              </w:rPr>
            </w:pPr>
            <w:r>
              <w:rPr>
                <w:rFonts w:hint="eastAsia" w:ascii="宋体" w:hAnsi="宋体" w:eastAsia="宋体" w:cs="宋体"/>
                <w:szCs w:val="24"/>
              </w:rPr>
              <w:t>24</w:t>
            </w:r>
          </w:p>
        </w:tc>
        <w:tc>
          <w:tcPr>
            <w:tcW w:w="2158" w:type="dxa"/>
            <w:vAlign w:val="center"/>
          </w:tcPr>
          <w:p w14:paraId="2ABBF8B1">
            <w:pPr>
              <w:spacing w:line="365" w:lineRule="auto"/>
              <w:jc w:val="center"/>
              <w:rPr>
                <w:rFonts w:hint="eastAsia" w:ascii="宋体" w:hAnsi="宋体" w:eastAsia="宋体" w:cs="宋体"/>
                <w:szCs w:val="24"/>
              </w:rPr>
            </w:pPr>
            <w:r>
              <w:rPr>
                <w:rFonts w:hint="eastAsia" w:ascii="宋体" w:hAnsi="宋体" w:eastAsia="宋体" w:cs="宋体"/>
                <w:b/>
                <w:szCs w:val="24"/>
              </w:rPr>
              <w:t>无效文件说明</w:t>
            </w:r>
          </w:p>
        </w:tc>
        <w:tc>
          <w:tcPr>
            <w:tcW w:w="6678" w:type="dxa"/>
            <w:vAlign w:val="center"/>
          </w:tcPr>
          <w:p w14:paraId="0F1AE370">
            <w:pPr>
              <w:spacing w:line="360" w:lineRule="auto"/>
              <w:rPr>
                <w:rFonts w:hint="eastAsia" w:ascii="宋体" w:hAnsi="宋体" w:eastAsia="宋体" w:cs="宋体"/>
                <w:b/>
                <w:szCs w:val="24"/>
              </w:rPr>
            </w:pPr>
            <w:r>
              <w:rPr>
                <w:rFonts w:hint="eastAsia" w:ascii="宋体" w:hAnsi="宋体" w:eastAsia="宋体" w:cs="宋体"/>
                <w:b/>
                <w:szCs w:val="24"/>
              </w:rPr>
              <w:t>在开标环节出现下列情况之一的，其投标文件视为无效文件：</w:t>
            </w:r>
          </w:p>
          <w:p w14:paraId="56739679">
            <w:pPr>
              <w:spacing w:line="360" w:lineRule="auto"/>
              <w:rPr>
                <w:rFonts w:hint="eastAsia" w:ascii="宋体" w:hAnsi="宋体" w:eastAsia="宋体" w:cs="宋体"/>
                <w:b/>
                <w:szCs w:val="24"/>
              </w:rPr>
            </w:pPr>
            <w:r>
              <w:rPr>
                <w:rFonts w:hint="eastAsia" w:ascii="宋体" w:hAnsi="宋体" w:eastAsia="宋体" w:cs="宋体"/>
                <w:b/>
                <w:szCs w:val="24"/>
              </w:rPr>
              <w:t>1、投标人在规定时间内未对电子投标文件进行解密的；</w:t>
            </w:r>
          </w:p>
          <w:p w14:paraId="0D56A563">
            <w:pPr>
              <w:spacing w:line="360" w:lineRule="auto"/>
              <w:rPr>
                <w:rFonts w:hint="eastAsia" w:ascii="宋体" w:hAnsi="宋体" w:eastAsia="宋体" w:cs="宋体"/>
                <w:b/>
                <w:szCs w:val="24"/>
              </w:rPr>
            </w:pPr>
            <w:r>
              <w:rPr>
                <w:rFonts w:hint="eastAsia" w:ascii="宋体" w:hAnsi="宋体" w:eastAsia="宋体" w:cs="宋体"/>
                <w:b/>
                <w:szCs w:val="24"/>
              </w:rPr>
              <w:t>2、上传的电子投标文件无法打开的；</w:t>
            </w:r>
          </w:p>
          <w:p w14:paraId="525BDB23">
            <w:pPr>
              <w:spacing w:line="360" w:lineRule="auto"/>
              <w:rPr>
                <w:rFonts w:hint="eastAsia" w:ascii="宋体" w:hAnsi="宋体" w:eastAsia="宋体" w:cs="宋体"/>
                <w:b/>
                <w:szCs w:val="24"/>
              </w:rPr>
            </w:pPr>
            <w:r>
              <w:rPr>
                <w:rFonts w:hint="eastAsia" w:ascii="宋体" w:hAnsi="宋体" w:eastAsia="宋体" w:cs="宋体"/>
                <w:b/>
                <w:szCs w:val="24"/>
              </w:rPr>
              <w:t>3、政府采购法律法规规定的其他无效情形。</w:t>
            </w:r>
          </w:p>
          <w:p w14:paraId="2DD77491">
            <w:pPr>
              <w:spacing w:line="360" w:lineRule="auto"/>
              <w:rPr>
                <w:rFonts w:hint="eastAsia" w:ascii="宋体" w:hAnsi="宋体" w:eastAsia="宋体" w:cs="宋体"/>
                <w:b/>
                <w:szCs w:val="24"/>
              </w:rPr>
            </w:pPr>
            <w:r>
              <w:rPr>
                <w:rFonts w:hint="eastAsia" w:ascii="宋体" w:hAnsi="宋体" w:eastAsia="宋体" w:cs="宋体"/>
                <w:b/>
                <w:szCs w:val="24"/>
              </w:rPr>
              <w:t>4、投标人拒绝对电子投标文件进行解密的；</w:t>
            </w:r>
          </w:p>
          <w:p w14:paraId="12A4F63B">
            <w:pPr>
              <w:spacing w:line="360" w:lineRule="auto"/>
              <w:rPr>
                <w:rFonts w:hint="eastAsia" w:ascii="宋体" w:hAnsi="宋体" w:eastAsia="宋体" w:cs="宋体"/>
                <w:b/>
                <w:szCs w:val="24"/>
              </w:rPr>
            </w:pPr>
            <w:r>
              <w:rPr>
                <w:rFonts w:hint="eastAsia" w:ascii="宋体" w:hAnsi="宋体" w:eastAsia="宋体" w:cs="宋体"/>
                <w:b/>
                <w:szCs w:val="24"/>
              </w:rPr>
              <w:t>5、因投标人自身原因（</w:t>
            </w:r>
            <w:r>
              <w:rPr>
                <w:rFonts w:hint="eastAsia" w:ascii="宋体" w:hAnsi="宋体" w:eastAsia="宋体" w:cs="宋体"/>
                <w:b/>
                <w:szCs w:val="24"/>
                <w:lang w:val="en-US" w:eastAsia="zh-CN"/>
              </w:rPr>
              <w:t>解密</w:t>
            </w:r>
            <w:r>
              <w:rPr>
                <w:rFonts w:hint="eastAsia" w:ascii="宋体" w:hAnsi="宋体" w:eastAsia="宋体" w:cs="宋体"/>
                <w:b/>
                <w:szCs w:val="24"/>
              </w:rPr>
              <w:t>CA锁与制作电子投标文件使用的</w:t>
            </w:r>
            <w:r>
              <w:rPr>
                <w:rFonts w:hint="eastAsia" w:ascii="宋体" w:hAnsi="宋体" w:eastAsia="宋体" w:cs="宋体"/>
                <w:b/>
                <w:szCs w:val="24"/>
                <w:lang w:val="en-US" w:eastAsia="zh-CN"/>
              </w:rPr>
              <w:t>加密</w:t>
            </w:r>
            <w:r>
              <w:rPr>
                <w:rFonts w:hint="eastAsia" w:ascii="宋体" w:hAnsi="宋体" w:eastAsia="宋体" w:cs="宋体"/>
                <w:b/>
                <w:szCs w:val="24"/>
              </w:rPr>
              <w:t>CA锁不一致、或沿用旧版招标文件编制投标文件等</w:t>
            </w:r>
            <w:r>
              <w:rPr>
                <w:rFonts w:hint="eastAsia" w:ascii="宋体" w:hAnsi="宋体" w:eastAsia="宋体" w:cs="宋体"/>
                <w:b/>
                <w:szCs w:val="24"/>
                <w:lang w:eastAsia="zh-CN"/>
              </w:rPr>
              <w:t>其它</w:t>
            </w:r>
            <w:r>
              <w:rPr>
                <w:rFonts w:hint="eastAsia" w:ascii="宋体" w:hAnsi="宋体" w:eastAsia="宋体" w:cs="宋体"/>
                <w:b/>
                <w:szCs w:val="24"/>
              </w:rPr>
              <w:t>情形），导致在规定时间内无法解密投标文件的；</w:t>
            </w:r>
          </w:p>
          <w:p w14:paraId="49A7F98B">
            <w:pPr>
              <w:spacing w:line="360" w:lineRule="auto"/>
              <w:rPr>
                <w:rFonts w:hint="eastAsia" w:ascii="宋体" w:hAnsi="宋体" w:eastAsia="宋体" w:cs="宋体"/>
                <w:b/>
                <w:szCs w:val="24"/>
              </w:rPr>
            </w:pPr>
            <w:r>
              <w:rPr>
                <w:rFonts w:hint="eastAsia" w:ascii="宋体" w:hAnsi="宋体" w:eastAsia="宋体" w:cs="宋体"/>
                <w:b/>
                <w:szCs w:val="24"/>
              </w:rPr>
              <w:t>特殊情形下的应急处置：</w:t>
            </w:r>
          </w:p>
          <w:p w14:paraId="31188DF7">
            <w:pPr>
              <w:autoSpaceDE w:val="0"/>
              <w:autoSpaceDN w:val="0"/>
              <w:adjustRightInd w:val="0"/>
              <w:snapToGri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在开标、评审过程中，如因停电、断网、电子化系统故障等特殊原因导致电子化开、评标无法正常进行时，将延后开展后续采购活动。</w:t>
            </w:r>
          </w:p>
        </w:tc>
      </w:tr>
      <w:tr w14:paraId="4036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9EF184F">
            <w:pPr>
              <w:spacing w:line="365" w:lineRule="auto"/>
              <w:jc w:val="center"/>
              <w:rPr>
                <w:rFonts w:hint="eastAsia" w:ascii="宋体" w:hAnsi="宋体" w:eastAsia="宋体" w:cs="宋体"/>
                <w:szCs w:val="24"/>
              </w:rPr>
            </w:pPr>
            <w:r>
              <w:rPr>
                <w:rFonts w:hint="eastAsia" w:ascii="宋体" w:hAnsi="宋体" w:eastAsia="宋体" w:cs="宋体"/>
                <w:szCs w:val="24"/>
              </w:rPr>
              <w:t>25</w:t>
            </w:r>
          </w:p>
        </w:tc>
        <w:tc>
          <w:tcPr>
            <w:tcW w:w="2158" w:type="dxa"/>
            <w:vAlign w:val="center"/>
          </w:tcPr>
          <w:p w14:paraId="5F6F5B83">
            <w:pPr>
              <w:spacing w:line="365" w:lineRule="auto"/>
              <w:jc w:val="center"/>
              <w:rPr>
                <w:rFonts w:hint="eastAsia" w:ascii="宋体" w:hAnsi="宋体" w:eastAsia="宋体" w:cs="宋体"/>
                <w:szCs w:val="24"/>
              </w:rPr>
            </w:pPr>
            <w:r>
              <w:rPr>
                <w:rFonts w:hint="eastAsia" w:ascii="宋体" w:hAnsi="宋体" w:eastAsia="宋体" w:cs="宋体"/>
                <w:szCs w:val="24"/>
              </w:rPr>
              <w:t>投标报价</w:t>
            </w:r>
          </w:p>
        </w:tc>
        <w:tc>
          <w:tcPr>
            <w:tcW w:w="6678" w:type="dxa"/>
            <w:vAlign w:val="center"/>
          </w:tcPr>
          <w:p w14:paraId="00A28BD5">
            <w:pPr>
              <w:spacing w:line="365" w:lineRule="auto"/>
              <w:jc w:val="left"/>
              <w:rPr>
                <w:rFonts w:hint="eastAsia" w:ascii="宋体" w:hAnsi="宋体" w:eastAsia="宋体" w:cs="宋体"/>
                <w:szCs w:val="24"/>
                <w:lang w:val="en-US" w:eastAsia="zh-CN"/>
              </w:rPr>
            </w:pPr>
            <w:r>
              <w:rPr>
                <w:rFonts w:hint="eastAsia" w:ascii="宋体" w:hAnsi="宋体" w:eastAsia="宋体" w:cs="宋体"/>
                <w:szCs w:val="24"/>
                <w:lang w:val="en-US" w:eastAsia="zh-CN"/>
              </w:rPr>
              <w:t>投标报价应</w:t>
            </w:r>
            <w:r>
              <w:rPr>
                <w:rFonts w:hint="eastAsia" w:ascii="宋体" w:hAnsi="宋体" w:eastAsia="宋体" w:cs="宋体"/>
                <w:szCs w:val="24"/>
              </w:rPr>
              <w:t>包括</w:t>
            </w:r>
            <w:r>
              <w:rPr>
                <w:rFonts w:hint="eastAsia" w:ascii="宋体" w:hAnsi="宋体" w:eastAsia="宋体" w:cs="宋体"/>
                <w:szCs w:val="24"/>
                <w:lang w:val="en-US" w:eastAsia="zh-CN"/>
              </w:rPr>
              <w:t>营养餐成本费</w:t>
            </w:r>
            <w:r>
              <w:rPr>
                <w:rFonts w:hint="eastAsia" w:ascii="宋体" w:hAnsi="宋体" w:eastAsia="宋体" w:cs="宋体"/>
                <w:szCs w:val="24"/>
              </w:rPr>
              <w:t>、</w:t>
            </w:r>
            <w:r>
              <w:rPr>
                <w:rFonts w:hint="eastAsia" w:ascii="宋体" w:hAnsi="宋体" w:eastAsia="宋体" w:cs="宋体"/>
                <w:szCs w:val="24"/>
                <w:lang w:val="en-US" w:eastAsia="zh-CN"/>
              </w:rPr>
              <w:t>配送费（包含食品加工费、包装费、运输费、</w:t>
            </w:r>
            <w:r>
              <w:rPr>
                <w:rFonts w:hint="eastAsia" w:ascii="宋体" w:hAnsi="宋体" w:eastAsia="宋体" w:cs="宋体"/>
                <w:szCs w:val="24"/>
              </w:rPr>
              <w:t>装卸</w:t>
            </w:r>
            <w:r>
              <w:rPr>
                <w:rFonts w:hint="eastAsia" w:ascii="宋体" w:hAnsi="宋体" w:eastAsia="宋体" w:cs="宋体"/>
                <w:szCs w:val="24"/>
                <w:lang w:val="en-US" w:eastAsia="zh-CN"/>
              </w:rPr>
              <w:t>费</w:t>
            </w:r>
            <w:r>
              <w:rPr>
                <w:rFonts w:hint="eastAsia" w:ascii="宋体" w:hAnsi="宋体" w:eastAsia="宋体" w:cs="宋体"/>
                <w:szCs w:val="24"/>
              </w:rPr>
              <w:t>、保险费、</w:t>
            </w:r>
            <w:r>
              <w:rPr>
                <w:rFonts w:hint="eastAsia" w:ascii="宋体" w:hAnsi="宋体" w:eastAsia="宋体" w:cs="宋体"/>
                <w:szCs w:val="24"/>
                <w:lang w:val="en-US" w:eastAsia="zh-CN"/>
              </w:rPr>
              <w:t>水电费、</w:t>
            </w:r>
            <w:r>
              <w:rPr>
                <w:rFonts w:hint="eastAsia" w:ascii="宋体" w:hAnsi="宋体" w:eastAsia="宋体" w:cs="宋体"/>
                <w:szCs w:val="24"/>
              </w:rPr>
              <w:t>税费等</w:t>
            </w:r>
            <w:r>
              <w:rPr>
                <w:rFonts w:hint="eastAsia" w:ascii="宋体" w:hAnsi="宋体" w:eastAsia="宋体" w:cs="宋体"/>
                <w:szCs w:val="24"/>
                <w:lang w:val="en-US" w:eastAsia="zh-CN"/>
              </w:rPr>
              <w:t>）</w:t>
            </w:r>
            <w:r>
              <w:rPr>
                <w:rFonts w:hint="eastAsia" w:ascii="宋体" w:hAnsi="宋体" w:eastAsia="宋体" w:cs="宋体"/>
                <w:szCs w:val="24"/>
              </w:rPr>
              <w:t>其他一切相关费用</w:t>
            </w:r>
            <w:r>
              <w:rPr>
                <w:rFonts w:hint="eastAsia" w:ascii="宋体" w:hAnsi="宋体" w:eastAsia="宋体" w:cs="宋体"/>
                <w:szCs w:val="24"/>
                <w:lang w:val="en-US" w:eastAsia="zh-CN"/>
              </w:rPr>
              <w:t>。</w:t>
            </w:r>
          </w:p>
          <w:p w14:paraId="52CD9996">
            <w:pPr>
              <w:spacing w:line="365" w:lineRule="auto"/>
              <w:jc w:val="left"/>
              <w:rPr>
                <w:rFonts w:hint="eastAsia" w:ascii="宋体" w:hAnsi="宋体" w:eastAsia="宋体" w:cs="宋体"/>
                <w:szCs w:val="24"/>
                <w:lang w:val="en-US" w:eastAsia="zh-CN"/>
              </w:rPr>
            </w:pPr>
            <w:r>
              <w:rPr>
                <w:rFonts w:hint="eastAsia" w:ascii="宋体" w:hAnsi="宋体" w:eastAsia="宋体" w:cs="宋体"/>
                <w:szCs w:val="24"/>
                <w:lang w:val="en-US" w:eastAsia="zh-CN"/>
              </w:rPr>
              <w:t>投标报价表中标明的价格应为履行合同的固定综合单价，不得以任何理由予以变更。任何可调整价格的投标文件将按无效投标处理。</w:t>
            </w:r>
          </w:p>
          <w:p w14:paraId="60C111A8">
            <w:pPr>
              <w:numPr>
                <w:ilvl w:val="0"/>
                <w:numId w:val="0"/>
              </w:numPr>
              <w:spacing w:line="360" w:lineRule="auto"/>
              <w:rPr>
                <w:rFonts w:hint="eastAsia" w:ascii="宋体" w:hAnsi="宋体" w:eastAsia="宋体" w:cs="宋体"/>
                <w:lang w:eastAsia="zh-CN"/>
              </w:rPr>
            </w:pPr>
            <w:r>
              <w:rPr>
                <w:rFonts w:hint="eastAsia" w:ascii="宋体" w:hAnsi="宋体" w:eastAsia="宋体" w:cs="宋体"/>
                <w:b/>
                <w:bCs/>
                <w:color w:val="auto"/>
                <w:kern w:val="2"/>
                <w:sz w:val="24"/>
                <w:szCs w:val="24"/>
                <w:lang w:val="en-US" w:eastAsia="zh-CN" w:bidi="ar-SA"/>
              </w:rPr>
              <w:t>最终结算合同价款=（营养餐的成本固定单价+配送费报价）×学生实际人数×实际供应天数</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不包含留样数量</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tc>
      </w:tr>
      <w:tr w14:paraId="6D81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shd w:val="clear" w:color="auto" w:fill="auto"/>
            <w:vAlign w:val="center"/>
          </w:tcPr>
          <w:p w14:paraId="1E55B6B4">
            <w:pPr>
              <w:spacing w:line="365" w:lineRule="auto"/>
              <w:jc w:val="center"/>
              <w:rPr>
                <w:rFonts w:hint="eastAsia" w:ascii="宋体" w:hAnsi="宋体" w:eastAsia="宋体" w:cs="宋体"/>
                <w:szCs w:val="24"/>
              </w:rPr>
            </w:pPr>
            <w:r>
              <w:rPr>
                <w:rFonts w:hint="eastAsia" w:ascii="宋体" w:hAnsi="宋体" w:eastAsia="宋体" w:cs="宋体"/>
                <w:szCs w:val="24"/>
              </w:rPr>
              <w:t>26</w:t>
            </w:r>
          </w:p>
        </w:tc>
        <w:tc>
          <w:tcPr>
            <w:tcW w:w="2158" w:type="dxa"/>
            <w:shd w:val="clear" w:color="auto" w:fill="auto"/>
            <w:vAlign w:val="center"/>
          </w:tcPr>
          <w:p w14:paraId="642A446C">
            <w:pPr>
              <w:spacing w:line="365" w:lineRule="auto"/>
              <w:jc w:val="center"/>
              <w:rPr>
                <w:rFonts w:hint="eastAsia" w:ascii="宋体" w:hAnsi="宋体" w:eastAsia="宋体" w:cs="宋体"/>
                <w:szCs w:val="24"/>
              </w:rPr>
            </w:pPr>
            <w:r>
              <w:rPr>
                <w:rFonts w:hint="eastAsia" w:ascii="宋体" w:hAnsi="宋体" w:eastAsia="宋体" w:cs="宋体"/>
                <w:szCs w:val="24"/>
              </w:rPr>
              <w:t>付款方式</w:t>
            </w:r>
          </w:p>
        </w:tc>
        <w:tc>
          <w:tcPr>
            <w:tcW w:w="6678" w:type="dxa"/>
            <w:shd w:val="clear" w:color="auto" w:fill="auto"/>
            <w:vAlign w:val="center"/>
          </w:tcPr>
          <w:p w14:paraId="4C1723B9">
            <w:pPr>
              <w:spacing w:line="365" w:lineRule="auto"/>
              <w:jc w:val="left"/>
              <w:rPr>
                <w:rFonts w:hint="eastAsia" w:ascii="宋体" w:hAnsi="宋体" w:eastAsia="宋体" w:cs="宋体"/>
                <w:szCs w:val="24"/>
              </w:rPr>
            </w:pPr>
            <w:r>
              <w:rPr>
                <w:rFonts w:hint="eastAsia" w:ascii="宋体" w:hAnsi="宋体" w:eastAsia="宋体" w:cs="宋体"/>
                <w:szCs w:val="24"/>
                <w:lang w:val="en-US" w:eastAsia="zh-CN"/>
              </w:rPr>
              <w:t>付款方式为月结，即每月结算一次。乙方于当月供货期满后开出正式发票，由实施学校与结算。（供货方、合同方、收款方名称应一致）</w:t>
            </w:r>
          </w:p>
        </w:tc>
      </w:tr>
      <w:tr w14:paraId="0C2A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8" w:type="dxa"/>
            <w:vAlign w:val="center"/>
          </w:tcPr>
          <w:p w14:paraId="462AC57D">
            <w:pPr>
              <w:spacing w:line="365" w:lineRule="auto"/>
              <w:jc w:val="center"/>
              <w:rPr>
                <w:rFonts w:hint="eastAsia" w:ascii="宋体" w:hAnsi="宋体" w:eastAsia="宋体" w:cs="宋体"/>
                <w:szCs w:val="24"/>
              </w:rPr>
            </w:pPr>
            <w:r>
              <w:rPr>
                <w:rFonts w:hint="eastAsia" w:ascii="宋体" w:hAnsi="宋体" w:eastAsia="宋体" w:cs="宋体"/>
                <w:szCs w:val="24"/>
              </w:rPr>
              <w:t>27</w:t>
            </w:r>
          </w:p>
        </w:tc>
        <w:tc>
          <w:tcPr>
            <w:tcW w:w="2158" w:type="dxa"/>
            <w:vAlign w:val="center"/>
          </w:tcPr>
          <w:p w14:paraId="552535B6">
            <w:pPr>
              <w:spacing w:line="365" w:lineRule="auto"/>
              <w:jc w:val="center"/>
              <w:rPr>
                <w:rFonts w:hint="eastAsia" w:ascii="宋体" w:hAnsi="宋体" w:eastAsia="宋体" w:cs="宋体"/>
                <w:szCs w:val="24"/>
              </w:rPr>
            </w:pPr>
            <w:r>
              <w:rPr>
                <w:rFonts w:hint="eastAsia" w:ascii="宋体" w:hAnsi="宋体" w:eastAsia="宋体" w:cs="宋体"/>
                <w:szCs w:val="24"/>
              </w:rPr>
              <w:t>评标办法及标准</w:t>
            </w:r>
          </w:p>
        </w:tc>
        <w:tc>
          <w:tcPr>
            <w:tcW w:w="6678" w:type="dxa"/>
            <w:vAlign w:val="center"/>
          </w:tcPr>
          <w:p w14:paraId="130BE6AA">
            <w:pPr>
              <w:spacing w:line="365" w:lineRule="auto"/>
              <w:rPr>
                <w:rFonts w:hint="eastAsia" w:ascii="宋体" w:hAnsi="宋体" w:eastAsia="宋体" w:cs="宋体"/>
              </w:rPr>
            </w:pPr>
            <w:r>
              <w:rPr>
                <w:rFonts w:hint="eastAsia" w:ascii="宋体" w:hAnsi="宋体" w:eastAsia="宋体" w:cs="宋体"/>
              </w:rPr>
              <w:t>本项目采用综合评分法进行评审，详见招标文件第二章。</w:t>
            </w:r>
          </w:p>
        </w:tc>
      </w:tr>
      <w:tr w14:paraId="79A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8ACD99B">
            <w:pPr>
              <w:spacing w:line="365" w:lineRule="auto"/>
              <w:jc w:val="center"/>
              <w:rPr>
                <w:rFonts w:hint="eastAsia" w:ascii="宋体" w:hAnsi="宋体" w:eastAsia="宋体" w:cs="宋体"/>
                <w:szCs w:val="24"/>
              </w:rPr>
            </w:pPr>
            <w:r>
              <w:rPr>
                <w:rFonts w:hint="eastAsia" w:ascii="宋体" w:hAnsi="宋体" w:eastAsia="宋体" w:cs="宋体"/>
                <w:szCs w:val="24"/>
              </w:rPr>
              <w:t>28</w:t>
            </w:r>
          </w:p>
        </w:tc>
        <w:tc>
          <w:tcPr>
            <w:tcW w:w="2158" w:type="dxa"/>
            <w:vAlign w:val="center"/>
          </w:tcPr>
          <w:p w14:paraId="0CDB3A20">
            <w:pPr>
              <w:spacing w:line="365" w:lineRule="auto"/>
              <w:jc w:val="center"/>
              <w:rPr>
                <w:rFonts w:hint="eastAsia" w:ascii="宋体" w:hAnsi="宋体" w:eastAsia="宋体" w:cs="宋体"/>
                <w:szCs w:val="24"/>
              </w:rPr>
            </w:pPr>
            <w:r>
              <w:rPr>
                <w:rFonts w:hint="eastAsia" w:ascii="宋体" w:hAnsi="宋体" w:eastAsia="宋体" w:cs="宋体"/>
                <w:szCs w:val="24"/>
              </w:rPr>
              <w:t>其它事项</w:t>
            </w:r>
          </w:p>
        </w:tc>
        <w:tc>
          <w:tcPr>
            <w:tcW w:w="6678" w:type="dxa"/>
            <w:vAlign w:val="center"/>
          </w:tcPr>
          <w:p w14:paraId="1D3592BC">
            <w:pPr>
              <w:adjustRightInd w:val="0"/>
              <w:snapToGrid w:val="0"/>
              <w:spacing w:line="348" w:lineRule="auto"/>
              <w:ind w:firstLine="480" w:firstLineChars="200"/>
              <w:rPr>
                <w:rFonts w:hint="eastAsia" w:ascii="宋体" w:hAnsi="宋体" w:eastAsia="宋体" w:cs="宋体"/>
              </w:rPr>
            </w:pPr>
            <w:r>
              <w:rPr>
                <w:rFonts w:hint="eastAsia" w:ascii="宋体" w:hAnsi="宋体" w:eastAsia="宋体" w:cs="宋体"/>
              </w:rPr>
              <w:t>本次采购、投标报价、评审和合同授予均以项目为单位，投标人必须就一个完整项目进行响应。</w:t>
            </w:r>
            <w:r>
              <w:rPr>
                <w:rFonts w:hint="eastAsia" w:ascii="宋体" w:hAnsi="宋体" w:eastAsia="宋体" w:cs="宋体"/>
                <w:shd w:val="clear"/>
              </w:rPr>
              <w:t>中标单位与</w:t>
            </w:r>
            <w:r>
              <w:rPr>
                <w:rFonts w:hint="eastAsia" w:ascii="宋体" w:hAnsi="宋体" w:eastAsia="宋体" w:cs="宋体"/>
                <w:shd w:val="clear"/>
                <w:lang w:val="en-US" w:eastAsia="zh-CN"/>
              </w:rPr>
              <w:t>采购人及采购人指定的各学校</w:t>
            </w:r>
            <w:r>
              <w:rPr>
                <w:rFonts w:hint="eastAsia" w:ascii="宋体" w:hAnsi="宋体" w:eastAsia="宋体" w:cs="宋体"/>
                <w:shd w:val="clear"/>
              </w:rPr>
              <w:t>在中标通知书发出25日历日内签订合同，</w:t>
            </w:r>
            <w:r>
              <w:rPr>
                <w:rFonts w:hint="eastAsia" w:ascii="宋体" w:hAnsi="宋体" w:eastAsia="宋体" w:cs="宋体"/>
              </w:rPr>
              <w:t>不及时签订视为自动放弃。非经采购人同意，本项目不允许中标后另行转包或者分包。无正当理由不得放弃中标。因自身原因拒绝签订政府采购合同的或者未按合同约定进行履约的,不得参加对该项目重新开展的招标活动。</w:t>
            </w:r>
          </w:p>
        </w:tc>
      </w:tr>
      <w:tr w14:paraId="7618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68" w:type="dxa"/>
            <w:vAlign w:val="center"/>
          </w:tcPr>
          <w:p w14:paraId="4390ADDC">
            <w:pPr>
              <w:spacing w:line="365" w:lineRule="auto"/>
              <w:jc w:val="center"/>
              <w:rPr>
                <w:rFonts w:hint="eastAsia" w:ascii="宋体" w:hAnsi="宋体" w:eastAsia="宋体" w:cs="宋体"/>
                <w:szCs w:val="24"/>
              </w:rPr>
            </w:pPr>
            <w:r>
              <w:rPr>
                <w:rFonts w:hint="eastAsia" w:ascii="宋体" w:hAnsi="宋体" w:eastAsia="宋体" w:cs="宋体"/>
                <w:szCs w:val="24"/>
              </w:rPr>
              <w:t>29</w:t>
            </w:r>
          </w:p>
        </w:tc>
        <w:tc>
          <w:tcPr>
            <w:tcW w:w="2158" w:type="dxa"/>
            <w:vAlign w:val="center"/>
          </w:tcPr>
          <w:p w14:paraId="0D565E69">
            <w:pPr>
              <w:adjustRightInd w:val="0"/>
              <w:snapToGrid w:val="0"/>
              <w:spacing w:line="348" w:lineRule="auto"/>
              <w:jc w:val="center"/>
              <w:rPr>
                <w:rFonts w:hint="eastAsia" w:ascii="宋体" w:hAnsi="宋体" w:eastAsia="宋体" w:cs="宋体"/>
                <w:b/>
                <w:bCs/>
                <w:highlight w:val="none"/>
              </w:rPr>
            </w:pPr>
            <w:r>
              <w:rPr>
                <w:rFonts w:hint="eastAsia" w:ascii="宋体" w:hAnsi="宋体" w:eastAsia="宋体" w:cs="宋体"/>
                <w:b/>
                <w:bCs/>
                <w:highlight w:val="none"/>
              </w:rPr>
              <w:t>本</w:t>
            </w:r>
            <w:r>
              <w:rPr>
                <w:rFonts w:hint="eastAsia" w:ascii="宋体" w:hAnsi="宋体" w:eastAsia="宋体" w:cs="宋体"/>
                <w:b/>
                <w:bCs/>
                <w:highlight w:val="none"/>
                <w:lang w:val="en-US" w:eastAsia="zh-CN"/>
              </w:rPr>
              <w:t>包段</w:t>
            </w:r>
            <w:r>
              <w:rPr>
                <w:rFonts w:hint="eastAsia" w:ascii="宋体" w:hAnsi="宋体" w:eastAsia="宋体" w:cs="宋体"/>
                <w:b/>
                <w:bCs/>
                <w:highlight w:val="none"/>
              </w:rPr>
              <w:t>采购标的对应的中小企业划分标准所属行业</w:t>
            </w:r>
          </w:p>
        </w:tc>
        <w:tc>
          <w:tcPr>
            <w:tcW w:w="6678" w:type="dxa"/>
            <w:vAlign w:val="center"/>
          </w:tcPr>
          <w:p w14:paraId="1149D1D3">
            <w:pPr>
              <w:adjustRightInd w:val="0"/>
              <w:snapToGrid w:val="0"/>
              <w:spacing w:line="348" w:lineRule="auto"/>
              <w:rPr>
                <w:rFonts w:hint="eastAsia" w:ascii="宋体" w:hAnsi="宋体" w:eastAsia="宋体" w:cs="宋体"/>
                <w:b/>
                <w:bCs/>
                <w:highlight w:val="none"/>
                <w:lang w:eastAsia="zh-CN"/>
              </w:rPr>
            </w:pPr>
            <w:r>
              <w:rPr>
                <w:rFonts w:hint="eastAsia" w:ascii="宋体" w:hAnsi="宋体" w:eastAsia="宋体" w:cs="宋体"/>
                <w:b/>
                <w:bCs/>
                <w:highlight w:val="none"/>
              </w:rPr>
              <w:t>餐饮业</w:t>
            </w:r>
            <w:r>
              <w:rPr>
                <w:rFonts w:hint="eastAsia" w:ascii="宋体" w:hAnsi="宋体" w:eastAsia="宋体" w:cs="宋体"/>
                <w:b/>
                <w:bCs/>
                <w:highlight w:val="none"/>
                <w:lang w:eastAsia="zh-CN"/>
              </w:rPr>
              <w:t>。</w:t>
            </w:r>
          </w:p>
        </w:tc>
      </w:tr>
    </w:tbl>
    <w:p w14:paraId="20BAE9C0">
      <w:pPr>
        <w:pStyle w:val="5"/>
        <w:spacing w:before="0" w:after="0" w:line="365" w:lineRule="auto"/>
        <w:rPr>
          <w:rFonts w:hint="eastAsia" w:ascii="宋体" w:hAnsi="宋体" w:eastAsia="宋体" w:cs="宋体"/>
          <w:kern w:val="0"/>
          <w:sz w:val="28"/>
          <w:szCs w:val="28"/>
        </w:rPr>
      </w:pPr>
      <w:bookmarkStart w:id="15" w:name="_Toc11652"/>
      <w:bookmarkStart w:id="16" w:name="_Toc31926"/>
      <w:r>
        <w:rPr>
          <w:rFonts w:hint="eastAsia" w:ascii="宋体" w:hAnsi="宋体" w:eastAsia="宋体" w:cs="宋体"/>
          <w:kern w:val="0"/>
          <w:sz w:val="28"/>
          <w:szCs w:val="28"/>
        </w:rPr>
        <w:t>二、项目说明</w:t>
      </w:r>
      <w:bookmarkEnd w:id="15"/>
      <w:bookmarkEnd w:id="16"/>
    </w:p>
    <w:p w14:paraId="635465CC">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1、本项目说明详见投标人须知前附表。</w:t>
      </w:r>
      <w:bookmarkStart w:id="17" w:name="_Toc458617455"/>
      <w:bookmarkStart w:id="18" w:name="_Toc458617732"/>
    </w:p>
    <w:p w14:paraId="734B055F">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2、本项目按照《中华人民共和国政府采购法》等有关法律、行政法规和部门规章，通过公开招标方式择优选定中标人。</w:t>
      </w:r>
    </w:p>
    <w:bookmarkEnd w:id="17"/>
    <w:bookmarkEnd w:id="18"/>
    <w:p w14:paraId="1B755593">
      <w:pPr>
        <w:pStyle w:val="5"/>
        <w:spacing w:before="0" w:after="0" w:line="365" w:lineRule="auto"/>
        <w:rPr>
          <w:rFonts w:hint="eastAsia" w:ascii="宋体" w:hAnsi="宋体" w:eastAsia="宋体" w:cs="宋体"/>
          <w:kern w:val="0"/>
          <w:sz w:val="28"/>
          <w:szCs w:val="28"/>
        </w:rPr>
      </w:pPr>
      <w:bookmarkStart w:id="19" w:name="_Toc25007"/>
      <w:bookmarkStart w:id="20" w:name="_Toc458617733"/>
      <w:bookmarkStart w:id="21" w:name="_Toc18189"/>
      <w:bookmarkStart w:id="22" w:name="_Toc458617456"/>
      <w:r>
        <w:rPr>
          <w:rFonts w:hint="eastAsia" w:ascii="宋体" w:hAnsi="宋体" w:eastAsia="宋体" w:cs="宋体"/>
          <w:kern w:val="0"/>
          <w:sz w:val="28"/>
          <w:szCs w:val="28"/>
        </w:rPr>
        <w:t>三、招标文件</w:t>
      </w:r>
      <w:bookmarkEnd w:id="19"/>
      <w:bookmarkEnd w:id="20"/>
      <w:bookmarkEnd w:id="21"/>
      <w:bookmarkEnd w:id="22"/>
    </w:p>
    <w:p w14:paraId="15D08C5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1、招标文件获取：投标人须经过正常渠道获取招标文件，且投标人名称与获取招标文件的单位名称一致，否则将作为无效投标处理。</w:t>
      </w:r>
    </w:p>
    <w:p w14:paraId="11C22786">
      <w:pPr>
        <w:spacing w:line="365" w:lineRule="auto"/>
        <w:ind w:firstLine="480" w:firstLineChars="200"/>
        <w:rPr>
          <w:rFonts w:hint="eastAsia" w:ascii="宋体" w:hAnsi="宋体" w:eastAsia="宋体" w:cs="宋体"/>
          <w:szCs w:val="24"/>
          <w:lang w:eastAsia="zh-CN"/>
        </w:rPr>
      </w:pPr>
      <w:r>
        <w:rPr>
          <w:rFonts w:hint="eastAsia" w:ascii="宋体" w:hAnsi="宋体" w:eastAsia="宋体" w:cs="宋体"/>
          <w:szCs w:val="24"/>
        </w:rPr>
        <w:t>2、招标文件的组成：包括目录中所列的前六章。</w:t>
      </w:r>
    </w:p>
    <w:p w14:paraId="3E98081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3、投标人应认真审阅和充分理解招标文件所有的事项、格式、条款和规范要求等，在投标文件中对招标文件的各方面都做出实质性的响应，按照招标文件的要求提交全部资料。</w:t>
      </w:r>
    </w:p>
    <w:p w14:paraId="191D323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4、招标文件的澄清或修改：</w:t>
      </w:r>
    </w:p>
    <w:p w14:paraId="4DECD2F3">
      <w:pPr>
        <w:spacing w:line="365" w:lineRule="auto"/>
        <w:ind w:firstLine="480" w:firstLineChars="200"/>
        <w:rPr>
          <w:rFonts w:hint="eastAsia" w:ascii="宋体" w:hAnsi="宋体" w:eastAsia="宋体" w:cs="宋体"/>
          <w:b/>
          <w:kern w:val="0"/>
          <w:sz w:val="18"/>
          <w:szCs w:val="18"/>
          <w:u w:color="FF0000"/>
        </w:rPr>
      </w:pPr>
      <w:bookmarkStart w:id="23" w:name="_Toc458617457"/>
      <w:bookmarkStart w:id="24" w:name="_Toc458617734"/>
      <w:r>
        <w:rPr>
          <w:rFonts w:hint="eastAsia" w:ascii="宋体" w:hAnsi="宋体" w:eastAsia="宋体" w:cs="宋体"/>
          <w:szCs w:val="24"/>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3E734027">
      <w:pPr>
        <w:spacing w:line="365"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12FB728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5、投标人若对招标文件有任何疑问，可以以书面形式向采购代理机构提出询问。</w:t>
      </w:r>
    </w:p>
    <w:p w14:paraId="7FA6B95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6、投标人认为招标文件使自己的权益受到损害的，在收到采购文件之日</w:t>
      </w:r>
      <w:r>
        <w:rPr>
          <w:rFonts w:hint="eastAsia" w:ascii="宋体" w:hAnsi="宋体" w:eastAsia="宋体" w:cs="宋体"/>
          <w:kern w:val="0"/>
          <w:szCs w:val="24"/>
        </w:rPr>
        <w:t>起七个工作日内</w:t>
      </w:r>
      <w:r>
        <w:rPr>
          <w:rFonts w:hint="eastAsia" w:ascii="宋体" w:hAnsi="宋体" w:eastAsia="宋体" w:cs="宋体"/>
          <w:szCs w:val="24"/>
        </w:rPr>
        <w:t>以书面形式向采购代理机构提出质疑，逾期提出的无效，</w:t>
      </w:r>
      <w:bookmarkStart w:id="25" w:name="OLE_LINK6"/>
      <w:r>
        <w:rPr>
          <w:rFonts w:hint="eastAsia" w:ascii="宋体" w:hAnsi="宋体" w:eastAsia="宋体" w:cs="宋体"/>
          <w:szCs w:val="24"/>
        </w:rPr>
        <w:t>因此带来的一切不利后果由投标人自负。</w:t>
      </w:r>
      <w:bookmarkEnd w:id="25"/>
    </w:p>
    <w:p w14:paraId="73E65F6D">
      <w:pPr>
        <w:kinsoku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7、在投标截止时间前，根据招标工作进展实际情况，采购人可酌情延长提交投标文件的截止时间，若延长将另行以书面形式通知各投标人并在原信息发布媒体上发布变更公告。</w:t>
      </w:r>
      <w:bookmarkStart w:id="26" w:name="OLE_LINK7"/>
      <w:r>
        <w:rPr>
          <w:rFonts w:hint="eastAsia" w:ascii="宋体" w:hAnsi="宋体" w:eastAsia="宋体" w:cs="宋体"/>
          <w:szCs w:val="24"/>
        </w:rPr>
        <w:t>采购代理机构和投标人的权利和义务将受到新的截止期的约束。</w:t>
      </w:r>
    </w:p>
    <w:bookmarkEnd w:id="26"/>
    <w:p w14:paraId="4CAAD25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8、投标人必须自行从陕西省公共资源交易中心平台全国公共资源交易平台（陕西省·宝鸡市）宝鸡市公共资源交易中心（http://ggzy.baoji.gov.cn/）获取招标文件，投标人自行转让或复制招标文件视为无效。</w:t>
      </w:r>
    </w:p>
    <w:p w14:paraId="635775A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9、招标文件的解释权归采购代理机构，如发现招标文件内容与现行法律法规不相符的情况，以现行法律法规为准。</w:t>
      </w:r>
    </w:p>
    <w:p w14:paraId="430A7DB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10、现场勘查、标前答疑会：见须知前附表。</w:t>
      </w:r>
    </w:p>
    <w:bookmarkEnd w:id="23"/>
    <w:bookmarkEnd w:id="24"/>
    <w:p w14:paraId="31365BCB">
      <w:pPr>
        <w:pStyle w:val="5"/>
        <w:spacing w:before="0" w:after="0" w:line="365" w:lineRule="auto"/>
        <w:rPr>
          <w:rFonts w:hint="eastAsia" w:ascii="宋体" w:hAnsi="宋体" w:eastAsia="宋体" w:cs="宋体"/>
          <w:kern w:val="0"/>
          <w:sz w:val="28"/>
          <w:szCs w:val="28"/>
        </w:rPr>
      </w:pPr>
      <w:bookmarkStart w:id="27" w:name="_Toc7672"/>
      <w:bookmarkStart w:id="28" w:name="_Toc27589"/>
      <w:bookmarkStart w:id="29" w:name="_Toc15168"/>
      <w:bookmarkStart w:id="30" w:name="_Toc782"/>
      <w:bookmarkStart w:id="31" w:name="_Toc35442384"/>
      <w:r>
        <w:rPr>
          <w:rFonts w:hint="eastAsia" w:ascii="宋体" w:hAnsi="宋体" w:eastAsia="宋体" w:cs="宋体"/>
          <w:kern w:val="0"/>
          <w:sz w:val="28"/>
          <w:szCs w:val="28"/>
        </w:rPr>
        <w:t>四、投标文件</w:t>
      </w:r>
      <w:bookmarkEnd w:id="27"/>
      <w:bookmarkEnd w:id="28"/>
      <w:bookmarkEnd w:id="29"/>
    </w:p>
    <w:p w14:paraId="75A57A2F">
      <w:pPr>
        <w:kinsoku w:val="0"/>
        <w:spacing w:line="360" w:lineRule="auto"/>
        <w:ind w:firstLine="0" w:firstLineChars="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、投标人资格条件：</w:t>
      </w:r>
    </w:p>
    <w:p w14:paraId="3BF7843B">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1.1.满足《中华人民共和国政府采购法》第二十二条规定;</w:t>
      </w:r>
    </w:p>
    <w:p w14:paraId="6423F9CC">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1.2.落实政府采购政策需满足的资格要求：</w:t>
      </w:r>
    </w:p>
    <w:p w14:paraId="57EF3A0F">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合同包4(千阳县2025-2026学年学生营养改善计划食材及供餐采购项目第4包)落实政府采购政策需满足的资格要求如下:无</w:t>
      </w:r>
    </w:p>
    <w:p w14:paraId="383EEF42">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1.3.本项目的特定资格要求：</w:t>
      </w:r>
    </w:p>
    <w:p w14:paraId="643A2100">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合同包4(千阳县2025-2026学年学生营养改善计划食材及供餐采购项目第4包)特定资格要求如下:</w:t>
      </w:r>
    </w:p>
    <w:p w14:paraId="485AAB8E">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40BC13D7">
      <w:pPr>
        <w:numPr>
          <w:ilvl w:val="0"/>
          <w:numId w:val="0"/>
        </w:numPr>
        <w:spacing w:line="365" w:lineRule="auto"/>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color="auto" w:fill="FFFFFF"/>
          <w:lang w:val="en-US" w:eastAsia="zh-CN" w:bidi="ar-SA"/>
        </w:rPr>
        <w:t>（10）投标人须提供《食品经营许可证》（必须是集体用餐配送类）。</w:t>
      </w:r>
    </w:p>
    <w:p w14:paraId="1D95376D">
      <w:pPr>
        <w:numPr>
          <w:ilvl w:val="0"/>
          <w:numId w:val="0"/>
        </w:numPr>
        <w:spacing w:line="365" w:lineRule="auto"/>
        <w:rPr>
          <w:rFonts w:hint="eastAsia" w:ascii="宋体" w:hAnsi="宋体" w:eastAsia="宋体" w:cs="宋体"/>
          <w:szCs w:val="24"/>
        </w:rPr>
      </w:pPr>
      <w:r>
        <w:rPr>
          <w:rFonts w:hint="eastAsia" w:ascii="宋体" w:hAnsi="宋体" w:eastAsia="宋体" w:cs="宋体"/>
          <w:szCs w:val="24"/>
        </w:rPr>
        <w:t>2、合格投标人</w:t>
      </w:r>
    </w:p>
    <w:p w14:paraId="66B222DE">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依照《中华人民共和国公司法》合法注册的法人或其他组织、符合《中华人民共和国政府采购法》</w:t>
      </w:r>
      <w:bookmarkStart w:id="32" w:name="OLE_LINK8"/>
      <w:r>
        <w:rPr>
          <w:rFonts w:hint="eastAsia" w:ascii="宋体" w:hAnsi="宋体" w:eastAsia="宋体" w:cs="宋体"/>
          <w:szCs w:val="24"/>
        </w:rPr>
        <w:t>及其实施条例等有关法律法规的规定</w:t>
      </w:r>
      <w:bookmarkEnd w:id="32"/>
      <w:r>
        <w:rPr>
          <w:rFonts w:hint="eastAsia" w:ascii="宋体" w:hAnsi="宋体" w:eastAsia="宋体" w:cs="宋体"/>
          <w:szCs w:val="24"/>
        </w:rPr>
        <w:t>并满足本项目资格条件。不符合上述规定的投标人，投标无效。</w:t>
      </w:r>
    </w:p>
    <w:p w14:paraId="414578F3">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3、投标人信用信息：</w:t>
      </w:r>
    </w:p>
    <w:p w14:paraId="22A16F2A">
      <w:pPr>
        <w:spacing w:line="365" w:lineRule="auto"/>
        <w:ind w:firstLine="470" w:firstLineChars="196"/>
        <w:rPr>
          <w:rFonts w:hint="eastAsia" w:ascii="宋体" w:hAnsi="宋体" w:eastAsia="宋体" w:cs="宋体"/>
          <w:szCs w:val="24"/>
        </w:rPr>
      </w:pPr>
      <w:r>
        <w:rPr>
          <w:rFonts w:hint="eastAsia" w:ascii="宋体" w:hAnsi="宋体" w:eastAsia="宋体" w:cs="宋体"/>
          <w:szCs w:val="24"/>
          <w:lang w:val="en-US" w:eastAsia="zh-CN"/>
        </w:rPr>
        <w:t>3.1、</w:t>
      </w:r>
      <w:r>
        <w:rPr>
          <w:rFonts w:hint="eastAsia" w:ascii="宋体" w:hAnsi="宋体" w:eastAsia="宋体" w:cs="宋体"/>
          <w:szCs w:val="24"/>
        </w:rPr>
        <w:t>“信用中国”网站（www.creditchina.gov.cn）、中国政府采购网（www.ccgp.gov.cn）相关主体信用记录</w:t>
      </w:r>
      <w:r>
        <w:rPr>
          <w:rFonts w:hint="eastAsia" w:ascii="宋体" w:hAnsi="宋体" w:eastAsia="宋体" w:cs="宋体"/>
          <w:szCs w:val="24"/>
          <w:lang w:eastAsia="zh-CN"/>
        </w:rPr>
        <w:t>，</w:t>
      </w:r>
      <w:r>
        <w:rPr>
          <w:rFonts w:hint="eastAsia" w:ascii="宋体" w:hAnsi="宋体" w:eastAsia="宋体" w:cs="宋体"/>
          <w:szCs w:val="24"/>
          <w:lang w:val="en-US" w:eastAsia="zh-CN"/>
        </w:rPr>
        <w:t>投标人应提供信用承诺函，并对其承诺函的真实性负责</w:t>
      </w:r>
      <w:r>
        <w:rPr>
          <w:rFonts w:hint="eastAsia" w:ascii="宋体" w:hAnsi="宋体" w:eastAsia="宋体" w:cs="宋体"/>
          <w:szCs w:val="24"/>
        </w:rPr>
        <w:t>。</w:t>
      </w:r>
    </w:p>
    <w:p w14:paraId="14659B3A">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、特别说明：投标人如在中标通知书发出前出现违法失信行为，采购人仍有权利提请评标委员会取消其中标资格；</w:t>
      </w:r>
    </w:p>
    <w:p w14:paraId="6363AF4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4.投标文件的</w:t>
      </w:r>
      <w:bookmarkEnd w:id="30"/>
      <w:bookmarkEnd w:id="31"/>
      <w:r>
        <w:rPr>
          <w:rFonts w:hint="eastAsia" w:ascii="宋体" w:hAnsi="宋体" w:eastAsia="宋体" w:cs="宋体"/>
          <w:szCs w:val="24"/>
        </w:rPr>
        <w:t>组成</w:t>
      </w:r>
    </w:p>
    <w:p w14:paraId="151D6BBD">
      <w:pPr>
        <w:spacing w:line="365" w:lineRule="auto"/>
        <w:ind w:firstLine="470" w:firstLineChars="196"/>
        <w:rPr>
          <w:rFonts w:hint="eastAsia" w:ascii="宋体" w:hAnsi="宋体" w:eastAsia="宋体" w:cs="宋体"/>
          <w:szCs w:val="24"/>
        </w:rPr>
      </w:pPr>
      <w:bookmarkStart w:id="33" w:name="_Toc35442385"/>
      <w:r>
        <w:rPr>
          <w:rFonts w:hint="eastAsia" w:ascii="宋体" w:hAnsi="宋体" w:eastAsia="宋体" w:cs="宋体"/>
          <w:szCs w:val="24"/>
        </w:rPr>
        <w:t>4-1．投标文件格式</w:t>
      </w:r>
    </w:p>
    <w:p w14:paraId="51381209">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4-2．资质证明文件</w:t>
      </w:r>
    </w:p>
    <w:p w14:paraId="1DC837BA">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4-3.</w:t>
      </w:r>
      <w:r>
        <w:rPr>
          <w:rFonts w:hint="eastAsia" w:ascii="宋体" w:hAnsi="宋体" w:eastAsia="宋体" w:cs="宋体"/>
          <w:szCs w:val="24"/>
          <w:lang w:val="en-US" w:eastAsia="zh-CN"/>
        </w:rPr>
        <w:t xml:space="preserve"> </w:t>
      </w:r>
      <w:r>
        <w:rPr>
          <w:rFonts w:hint="eastAsia" w:ascii="宋体" w:hAnsi="宋体" w:eastAsia="宋体" w:cs="宋体"/>
          <w:szCs w:val="24"/>
        </w:rPr>
        <w:t>符合性证明文件</w:t>
      </w:r>
    </w:p>
    <w:p w14:paraId="414D450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4-4．投标方案</w:t>
      </w:r>
    </w:p>
    <w:bookmarkEnd w:id="33"/>
    <w:p w14:paraId="3BDF0540">
      <w:pPr>
        <w:spacing w:line="365" w:lineRule="auto"/>
        <w:ind w:firstLine="480" w:firstLineChars="200"/>
        <w:rPr>
          <w:rFonts w:hint="eastAsia" w:ascii="宋体" w:hAnsi="宋体" w:eastAsia="宋体" w:cs="宋体"/>
          <w:b/>
          <w:bCs/>
          <w:szCs w:val="24"/>
        </w:rPr>
      </w:pPr>
      <w:bookmarkStart w:id="34" w:name="_Toc35442386"/>
      <w:bookmarkStart w:id="35" w:name="_Toc12555"/>
      <w:r>
        <w:rPr>
          <w:rFonts w:hint="eastAsia" w:ascii="宋体" w:hAnsi="宋体" w:eastAsia="宋体" w:cs="宋体"/>
          <w:bCs/>
          <w:szCs w:val="24"/>
        </w:rPr>
        <w:t>5、</w:t>
      </w:r>
      <w:r>
        <w:rPr>
          <w:rFonts w:hint="eastAsia" w:ascii="宋体" w:hAnsi="宋体" w:eastAsia="宋体" w:cs="宋体"/>
          <w:szCs w:val="24"/>
        </w:rPr>
        <w:t>投标文件编写说明</w:t>
      </w:r>
    </w:p>
    <w:p w14:paraId="563DD1B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-1、投标文件格式：投标文件应当使用招标文件规定的全部格式（表格可以按同样格式扩展）编写，除明确允许投标人可以自行编写的外，投标人不得以“投标文件格式”规定之外的方式填写相关内容。否则，将作为无效投标处理。</w:t>
      </w:r>
    </w:p>
    <w:p w14:paraId="1A4886D1">
      <w:pPr>
        <w:spacing w:line="365" w:lineRule="auto"/>
        <w:ind w:firstLine="480" w:firstLineChars="200"/>
        <w:rPr>
          <w:rFonts w:hint="eastAsia" w:ascii="宋体" w:hAnsi="宋体" w:eastAsia="宋体" w:cs="宋体"/>
        </w:rPr>
      </w:pPr>
      <w:r>
        <w:rPr>
          <w:rFonts w:hint="eastAsia" w:ascii="宋体" w:hAnsi="宋体" w:eastAsia="宋体" w:cs="宋体"/>
          <w:szCs w:val="24"/>
        </w:rPr>
        <w:t>5-2、投标人必须按照招标文件的规定和要求由法定代表人或被授权人签字（或盖章），并逐页加盖投标人公章，如有遗漏，将作为无效投标处理。</w:t>
      </w:r>
    </w:p>
    <w:p w14:paraId="75DFE0E1">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6、投标文件的计量单位</w:t>
      </w:r>
    </w:p>
    <w:p w14:paraId="26C48D66">
      <w:pPr>
        <w:spacing w:line="365" w:lineRule="auto"/>
        <w:ind w:left="-180" w:leftChars="-75" w:firstLine="624" w:firstLineChars="260"/>
        <w:rPr>
          <w:rFonts w:hint="eastAsia" w:ascii="宋体" w:hAnsi="宋体" w:eastAsia="宋体" w:cs="宋体"/>
          <w:b/>
          <w:bCs/>
          <w:szCs w:val="24"/>
        </w:rPr>
      </w:pPr>
      <w:r>
        <w:rPr>
          <w:rFonts w:hint="eastAsia" w:ascii="宋体" w:hAnsi="宋体" w:eastAsia="宋体" w:cs="宋体"/>
          <w:szCs w:val="24"/>
        </w:rPr>
        <w:t>投标文件中所使用的计量单位，除有特殊要求外，均采用国家法定计量单位。</w:t>
      </w:r>
    </w:p>
    <w:bookmarkEnd w:id="34"/>
    <w:bookmarkEnd w:id="35"/>
    <w:p w14:paraId="746B74CF">
      <w:pPr>
        <w:spacing w:line="365" w:lineRule="auto"/>
        <w:ind w:firstLine="470" w:firstLineChars="196"/>
        <w:rPr>
          <w:rFonts w:hint="eastAsia" w:ascii="宋体" w:hAnsi="宋体" w:eastAsia="宋体" w:cs="宋体"/>
          <w:b/>
          <w:bCs/>
          <w:szCs w:val="24"/>
        </w:rPr>
      </w:pPr>
      <w:bookmarkStart w:id="36" w:name="_Toc35442390"/>
      <w:bookmarkStart w:id="37" w:name="_Toc6674"/>
      <w:r>
        <w:rPr>
          <w:rFonts w:hint="eastAsia" w:ascii="宋体" w:hAnsi="宋体" w:eastAsia="宋体" w:cs="宋体"/>
          <w:bCs/>
          <w:szCs w:val="24"/>
        </w:rPr>
        <w:t>7、投标报价</w:t>
      </w:r>
    </w:p>
    <w:p w14:paraId="5B53F65E">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7-1、投标货币：人民币</w:t>
      </w:r>
      <w:r>
        <w:rPr>
          <w:rFonts w:hint="eastAsia" w:ascii="宋体" w:hAnsi="宋体" w:eastAsia="宋体" w:cs="宋体"/>
          <w:szCs w:val="24"/>
          <w:lang w:val="en-US" w:eastAsia="zh-CN"/>
        </w:rPr>
        <w:t xml:space="preserve">    </w:t>
      </w:r>
      <w:r>
        <w:rPr>
          <w:rFonts w:hint="eastAsia" w:ascii="宋体" w:hAnsi="宋体" w:eastAsia="宋体" w:cs="宋体"/>
          <w:szCs w:val="24"/>
        </w:rPr>
        <w:t>单位:元。</w:t>
      </w:r>
    </w:p>
    <w:p w14:paraId="0D6839E4">
      <w:pPr>
        <w:numPr>
          <w:ilvl w:val="0"/>
          <w:numId w:val="0"/>
        </w:numPr>
        <w:spacing w:line="360" w:lineRule="auto"/>
        <w:ind w:firstLine="480" w:firstLineChars="200"/>
        <w:rPr>
          <w:rFonts w:hint="eastAsia" w:ascii="宋体" w:hAnsi="宋体" w:eastAsia="宋体" w:cs="宋体"/>
          <w:b/>
          <w:bCs/>
          <w:szCs w:val="24"/>
          <w:lang w:val="en-US" w:eastAsia="zh-CN"/>
        </w:rPr>
      </w:pPr>
      <w:r>
        <w:rPr>
          <w:rFonts w:hint="eastAsia" w:ascii="宋体" w:hAnsi="宋体" w:eastAsia="宋体" w:cs="宋体"/>
          <w:szCs w:val="24"/>
        </w:rPr>
        <w:t>7-2、</w:t>
      </w:r>
      <w:bookmarkStart w:id="38" w:name="OLE_LINK11"/>
      <w:r>
        <w:rPr>
          <w:rFonts w:hint="eastAsia" w:ascii="宋体" w:hAnsi="宋体" w:eastAsia="宋体" w:cs="宋体"/>
          <w:szCs w:val="24"/>
        </w:rPr>
        <w:t>投标报价</w:t>
      </w:r>
      <w:r>
        <w:rPr>
          <w:rFonts w:hint="eastAsia" w:ascii="宋体" w:hAnsi="宋体" w:eastAsia="宋体" w:cs="宋体"/>
          <w:szCs w:val="24"/>
          <w:lang w:eastAsia="zh-CN"/>
        </w:rPr>
        <w:t>：</w:t>
      </w:r>
      <w:r>
        <w:rPr>
          <w:rFonts w:hint="eastAsia" w:ascii="宋体" w:hAnsi="宋体" w:eastAsia="宋体" w:cs="宋体"/>
          <w:szCs w:val="24"/>
          <w:lang w:val="en-US" w:eastAsia="zh-CN"/>
        </w:rPr>
        <w:t>本项目投标报价为投标单价，</w:t>
      </w:r>
      <w:r>
        <w:rPr>
          <w:rFonts w:hint="eastAsia" w:ascii="宋体" w:hAnsi="宋体" w:eastAsia="宋体" w:cs="宋体"/>
          <w:b/>
          <w:bCs/>
          <w:szCs w:val="24"/>
        </w:rPr>
        <w:t>包括</w:t>
      </w:r>
      <w:r>
        <w:rPr>
          <w:rFonts w:hint="eastAsia" w:ascii="宋体" w:hAnsi="宋体" w:eastAsia="宋体" w:cs="宋体"/>
          <w:b/>
          <w:bCs/>
          <w:szCs w:val="24"/>
          <w:lang w:val="en-US" w:eastAsia="zh-CN"/>
        </w:rPr>
        <w:t>营养餐成本费</w:t>
      </w:r>
      <w:r>
        <w:rPr>
          <w:rFonts w:hint="eastAsia" w:ascii="宋体" w:hAnsi="宋体" w:eastAsia="宋体" w:cs="宋体"/>
          <w:b/>
          <w:bCs/>
          <w:szCs w:val="24"/>
        </w:rPr>
        <w:t>、</w:t>
      </w:r>
      <w:r>
        <w:rPr>
          <w:rFonts w:hint="eastAsia" w:ascii="宋体" w:hAnsi="宋体" w:eastAsia="宋体" w:cs="宋体"/>
          <w:b/>
          <w:bCs/>
          <w:szCs w:val="24"/>
          <w:lang w:val="en-US" w:eastAsia="zh-CN"/>
        </w:rPr>
        <w:t>配送费（包含食品加工费、包装费、运输费、</w:t>
      </w:r>
      <w:r>
        <w:rPr>
          <w:rFonts w:hint="eastAsia" w:ascii="宋体" w:hAnsi="宋体" w:eastAsia="宋体" w:cs="宋体"/>
          <w:b/>
          <w:bCs/>
          <w:szCs w:val="24"/>
        </w:rPr>
        <w:t>装卸</w:t>
      </w:r>
      <w:r>
        <w:rPr>
          <w:rFonts w:hint="eastAsia" w:ascii="宋体" w:hAnsi="宋体" w:eastAsia="宋体" w:cs="宋体"/>
          <w:b/>
          <w:bCs/>
          <w:szCs w:val="24"/>
          <w:lang w:val="en-US" w:eastAsia="zh-CN"/>
        </w:rPr>
        <w:t>费</w:t>
      </w:r>
      <w:r>
        <w:rPr>
          <w:rFonts w:hint="eastAsia" w:ascii="宋体" w:hAnsi="宋体" w:eastAsia="宋体" w:cs="宋体"/>
          <w:b/>
          <w:bCs/>
          <w:szCs w:val="24"/>
        </w:rPr>
        <w:t>、保险费、</w:t>
      </w:r>
      <w:r>
        <w:rPr>
          <w:rFonts w:hint="eastAsia" w:ascii="宋体" w:hAnsi="宋体" w:eastAsia="宋体" w:cs="宋体"/>
          <w:b/>
          <w:bCs/>
          <w:szCs w:val="24"/>
          <w:lang w:val="en-US" w:eastAsia="zh-CN"/>
        </w:rPr>
        <w:t>水电费、</w:t>
      </w:r>
      <w:r>
        <w:rPr>
          <w:rFonts w:hint="eastAsia" w:ascii="宋体" w:hAnsi="宋体" w:eastAsia="宋体" w:cs="宋体"/>
          <w:b/>
          <w:bCs/>
          <w:szCs w:val="24"/>
        </w:rPr>
        <w:t>税费等其他一切相关费用</w:t>
      </w:r>
      <w:r>
        <w:rPr>
          <w:rFonts w:hint="eastAsia" w:ascii="宋体" w:hAnsi="宋体" w:eastAsia="宋体" w:cs="宋体"/>
          <w:b/>
          <w:bCs/>
          <w:szCs w:val="24"/>
          <w:lang w:val="en-US" w:eastAsia="zh-CN"/>
        </w:rPr>
        <w:t>）。</w:t>
      </w:r>
      <w:r>
        <w:rPr>
          <w:rFonts w:hint="eastAsia" w:ascii="宋体" w:hAnsi="宋体" w:eastAsia="宋体" w:cs="宋体"/>
          <w:b w:val="0"/>
          <w:bCs w:val="0"/>
          <w:kern w:val="2"/>
          <w:sz w:val="24"/>
          <w:szCs w:val="24"/>
          <w:lang w:val="en-US" w:eastAsia="zh-CN" w:bidi="ar-SA"/>
        </w:rPr>
        <w:t>在整个合同期内不做调整。投标报价表中标明的价格应为履行合同的固定综合单价，不得以任何理由予以变更。任何可调整价格的投标文件将按无效投标处理。</w:t>
      </w:r>
    </w:p>
    <w:bookmarkEnd w:id="36"/>
    <w:bookmarkEnd w:id="37"/>
    <w:bookmarkEnd w:id="38"/>
    <w:p w14:paraId="41D8BF3E">
      <w:pPr>
        <w:numPr>
          <w:ilvl w:val="0"/>
          <w:numId w:val="0"/>
        </w:numPr>
        <w:spacing w:line="360" w:lineRule="auto"/>
        <w:ind w:firstLine="482" w:firstLineChars="200"/>
        <w:rPr>
          <w:rFonts w:hint="eastAsia" w:ascii="宋体" w:hAnsi="宋体" w:eastAsia="宋体" w:cs="宋体"/>
          <w:b/>
          <w:bCs/>
          <w:color w:val="000000"/>
          <w:sz w:val="24"/>
          <w:szCs w:val="24"/>
        </w:rPr>
      </w:pPr>
      <w:bookmarkStart w:id="39" w:name="_Toc458617458"/>
      <w:bookmarkStart w:id="40" w:name="_Toc458617735"/>
      <w:bookmarkStart w:id="41" w:name="_Toc3407"/>
      <w:bookmarkStart w:id="42" w:name="_Toc5736"/>
      <w:r>
        <w:rPr>
          <w:rFonts w:hint="eastAsia" w:ascii="宋体" w:hAnsi="宋体" w:eastAsia="宋体" w:cs="宋体"/>
          <w:b/>
          <w:bCs/>
          <w:color w:val="auto"/>
          <w:kern w:val="2"/>
          <w:sz w:val="24"/>
          <w:szCs w:val="24"/>
          <w:lang w:val="en-US" w:eastAsia="zh-CN" w:bidi="ar-SA"/>
        </w:rPr>
        <w:t>最终结算合同价款=（营养餐的成本固定单价+配送费报价）×学生实际人数×实际供应天数</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不包含留样数量</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p w14:paraId="27A75521">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营养餐成本价固定为每生每天5.00元/份，营养餐成本价低于或高于5.00元/份，均视为无效报价，按无效投标文件处理。每生每天</w:t>
      </w:r>
      <w:r>
        <w:rPr>
          <w:rFonts w:hint="eastAsia" w:ascii="宋体" w:hAnsi="宋体" w:eastAsia="宋体" w:cs="宋体"/>
          <w:b w:val="0"/>
          <w:bCs w:val="0"/>
          <w:kern w:val="2"/>
          <w:sz w:val="24"/>
          <w:szCs w:val="24"/>
          <w:highlight w:val="none"/>
          <w:lang w:val="en-US" w:eastAsia="zh-CN" w:bidi="ar-SA"/>
        </w:rPr>
        <w:t>1.00元配送费预算价由投标单位自行报价，最终投标单价等于营养餐成本价5.00元/份加上各自配</w:t>
      </w:r>
      <w:r>
        <w:rPr>
          <w:rFonts w:hint="eastAsia" w:ascii="宋体" w:hAnsi="宋体" w:eastAsia="宋体" w:cs="宋体"/>
          <w:b w:val="0"/>
          <w:bCs w:val="0"/>
          <w:kern w:val="2"/>
          <w:sz w:val="24"/>
          <w:szCs w:val="24"/>
          <w:lang w:val="en-US" w:eastAsia="zh-CN" w:bidi="ar-SA"/>
        </w:rPr>
        <w:t>送费报价。</w:t>
      </w:r>
    </w:p>
    <w:p w14:paraId="404AD924">
      <w:pPr>
        <w:pStyle w:val="5"/>
        <w:spacing w:before="0" w:after="0" w:line="365" w:lineRule="auto"/>
        <w:rPr>
          <w:rFonts w:hint="eastAsia" w:ascii="宋体" w:hAnsi="宋体" w:eastAsia="宋体" w:cs="宋体"/>
          <w:kern w:val="0"/>
          <w:sz w:val="28"/>
          <w:szCs w:val="28"/>
        </w:rPr>
      </w:pPr>
      <w:bookmarkStart w:id="43" w:name="_Toc10163"/>
      <w:r>
        <w:rPr>
          <w:rFonts w:hint="eastAsia" w:ascii="宋体" w:hAnsi="宋体" w:eastAsia="宋体" w:cs="宋体"/>
          <w:kern w:val="0"/>
          <w:sz w:val="28"/>
          <w:szCs w:val="28"/>
        </w:rPr>
        <w:t>五、投标担保</w:t>
      </w:r>
      <w:bookmarkEnd w:id="39"/>
      <w:bookmarkEnd w:id="40"/>
      <w:bookmarkEnd w:id="41"/>
      <w:bookmarkEnd w:id="42"/>
      <w:bookmarkEnd w:id="43"/>
    </w:p>
    <w:p w14:paraId="50FA0698">
      <w:pPr>
        <w:tabs>
          <w:tab w:val="left" w:pos="7013"/>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1、担保方式：见投标人须知前附表。</w:t>
      </w:r>
      <w:r>
        <w:rPr>
          <w:rFonts w:hint="eastAsia" w:ascii="宋体" w:hAnsi="宋体" w:eastAsia="宋体" w:cs="宋体"/>
          <w:szCs w:val="24"/>
        </w:rPr>
        <w:tab/>
      </w:r>
    </w:p>
    <w:p w14:paraId="6F949F3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2、投标担保递交截止时间：见投标人须知前附表。</w:t>
      </w:r>
    </w:p>
    <w:p w14:paraId="7C005BF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投标时，必须以招标文件规定的方式提交投标担保，并作为其投标的一部分。若未在投标担保递交截止时间收到足额投标保证金，或投标人未在投标文件中附银行汇（存）款回执单或担保机构出具的担保函，其投标无效。</w:t>
      </w:r>
    </w:p>
    <w:p w14:paraId="78D0C63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4、退还投标保证金：</w:t>
      </w:r>
    </w:p>
    <w:p w14:paraId="530B62E1">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（1）</w:t>
      </w:r>
      <w:r>
        <w:rPr>
          <w:rFonts w:hint="eastAsia" w:ascii="宋体" w:hAnsi="宋体" w:eastAsia="宋体" w:cs="宋体"/>
          <w:b/>
          <w:bCs/>
          <w:szCs w:val="24"/>
          <w:u w:val="single"/>
        </w:rPr>
        <w:t>在投标截止时间前撤回已提交投标文件的投标人的投标保证金，将在采购代理机构收到投标人书面撤回通知之日起5个工作日内退还（无息）。</w:t>
      </w:r>
    </w:p>
    <w:p w14:paraId="5FD63438">
      <w:pPr>
        <w:spacing w:line="365" w:lineRule="auto"/>
        <w:ind w:firstLine="482" w:firstLineChars="200"/>
        <w:rPr>
          <w:rFonts w:hint="eastAsia" w:ascii="宋体" w:hAnsi="宋体" w:eastAsia="宋体" w:cs="宋体"/>
          <w:b/>
          <w:szCs w:val="24"/>
          <w:u w:val="single"/>
        </w:rPr>
      </w:pPr>
      <w:r>
        <w:rPr>
          <w:rFonts w:hint="eastAsia" w:ascii="宋体" w:hAnsi="宋体" w:eastAsia="宋体" w:cs="宋体"/>
          <w:b/>
          <w:szCs w:val="24"/>
        </w:rPr>
        <w:t>（2）</w:t>
      </w:r>
      <w:r>
        <w:rPr>
          <w:rFonts w:hint="eastAsia" w:ascii="宋体" w:hAnsi="宋体" w:eastAsia="宋体" w:cs="宋体"/>
          <w:b/>
          <w:spacing w:val="-14"/>
          <w:szCs w:val="24"/>
          <w:u w:val="single"/>
        </w:rPr>
        <w:t>所</w:t>
      </w:r>
      <w:r>
        <w:rPr>
          <w:rFonts w:hint="eastAsia" w:ascii="宋体" w:hAnsi="宋体" w:eastAsia="宋体" w:cs="宋体"/>
          <w:b/>
          <w:szCs w:val="24"/>
          <w:u w:val="single"/>
        </w:rPr>
        <w:t>有未中标人的投标保证金，将在中标通知书发出后5个工作日内退还（无息）。</w:t>
      </w:r>
    </w:p>
    <w:p w14:paraId="40F19D2B">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（3）</w:t>
      </w:r>
      <w:r>
        <w:rPr>
          <w:rFonts w:hint="eastAsia" w:ascii="宋体" w:hAnsi="宋体" w:eastAsia="宋体" w:cs="宋体"/>
          <w:b/>
          <w:bCs/>
          <w:szCs w:val="24"/>
          <w:u w:val="single"/>
        </w:rPr>
        <w:t>中标人的投标保证金，将在签订合同后</w:t>
      </w:r>
      <w:r>
        <w:rPr>
          <w:rFonts w:hint="eastAsia" w:ascii="宋体" w:hAnsi="宋体" w:eastAsia="宋体" w:cs="宋体"/>
          <w:b/>
          <w:szCs w:val="24"/>
          <w:u w:val="single"/>
        </w:rPr>
        <w:t>5个工作日内</w:t>
      </w:r>
      <w:r>
        <w:rPr>
          <w:rFonts w:hint="eastAsia" w:ascii="宋体" w:hAnsi="宋体" w:eastAsia="宋体" w:cs="宋体"/>
          <w:b/>
          <w:bCs/>
          <w:szCs w:val="24"/>
          <w:u w:val="single"/>
        </w:rPr>
        <w:t>执合同予以退还（无息）。</w:t>
      </w:r>
    </w:p>
    <w:p w14:paraId="41F44C92">
      <w:pPr>
        <w:tabs>
          <w:tab w:val="left" w:pos="2700"/>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5、发生下列情况之一时，投标保证金将不予退还：</w:t>
      </w:r>
    </w:p>
    <w:p w14:paraId="6BE06AF5">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5-1、</w:t>
      </w:r>
      <w:r>
        <w:rPr>
          <w:rFonts w:hint="eastAsia" w:ascii="宋体" w:hAnsi="宋体" w:eastAsia="宋体" w:cs="宋体"/>
          <w:szCs w:val="24"/>
          <w:u w:val="single"/>
        </w:rPr>
        <w:t>投标人提供虚假资质谋取中标的；</w:t>
      </w:r>
    </w:p>
    <w:p w14:paraId="0E748788">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5-2、</w:t>
      </w:r>
      <w:r>
        <w:rPr>
          <w:rFonts w:hint="eastAsia" w:ascii="宋体" w:hAnsi="宋体" w:eastAsia="宋体" w:cs="宋体"/>
          <w:szCs w:val="24"/>
          <w:u w:val="single"/>
        </w:rPr>
        <w:t>有围标、串标现象，经查证属实的；</w:t>
      </w:r>
    </w:p>
    <w:p w14:paraId="6F1960EE">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5-3、</w:t>
      </w:r>
      <w:r>
        <w:rPr>
          <w:rFonts w:hint="eastAsia" w:ascii="宋体" w:hAnsi="宋体" w:eastAsia="宋体" w:cs="宋体"/>
          <w:szCs w:val="24"/>
          <w:u w:val="single"/>
        </w:rPr>
        <w:t>投标人在招标文件规定的投标有效期内撤回投标的；</w:t>
      </w:r>
    </w:p>
    <w:p w14:paraId="753516B8">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5-4、</w:t>
      </w:r>
      <w:r>
        <w:rPr>
          <w:rFonts w:hint="eastAsia" w:ascii="宋体" w:hAnsi="宋体" w:eastAsia="宋体" w:cs="宋体"/>
          <w:szCs w:val="24"/>
          <w:u w:val="single"/>
        </w:rPr>
        <w:t>投标人自行放弃中标资格的；</w:t>
      </w:r>
    </w:p>
    <w:p w14:paraId="25541F9E">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5-5、</w:t>
      </w:r>
      <w:r>
        <w:rPr>
          <w:rFonts w:hint="eastAsia" w:ascii="宋体" w:hAnsi="宋体" w:eastAsia="宋体" w:cs="宋体"/>
          <w:szCs w:val="24"/>
          <w:u w:val="single"/>
        </w:rPr>
        <w:t>不在规定的时效内领取《中标通知书》的；</w:t>
      </w:r>
    </w:p>
    <w:p w14:paraId="623D2384">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5-6、</w:t>
      </w:r>
      <w:r>
        <w:rPr>
          <w:rFonts w:hint="eastAsia" w:ascii="宋体" w:hAnsi="宋体" w:eastAsia="宋体" w:cs="宋体"/>
          <w:szCs w:val="24"/>
          <w:u w:val="single"/>
        </w:rPr>
        <w:t>中标人不按规定支付招标服务费的；</w:t>
      </w:r>
    </w:p>
    <w:p w14:paraId="063D0749">
      <w:pPr>
        <w:spacing w:line="365" w:lineRule="auto"/>
        <w:ind w:left="1294" w:leftChars="239" w:hanging="720" w:hangingChars="300"/>
        <w:rPr>
          <w:rFonts w:hint="eastAsia" w:ascii="宋体" w:hAnsi="宋体" w:eastAsia="宋体" w:cs="宋体"/>
          <w:szCs w:val="24"/>
          <w:u w:val="single"/>
          <w:lang w:eastAsia="zh-CN"/>
        </w:rPr>
      </w:pPr>
      <w:r>
        <w:rPr>
          <w:rFonts w:hint="eastAsia" w:ascii="宋体" w:hAnsi="宋体" w:eastAsia="宋体" w:cs="宋体"/>
          <w:szCs w:val="24"/>
        </w:rPr>
        <w:t>5-7、</w:t>
      </w:r>
      <w:r>
        <w:rPr>
          <w:rFonts w:hint="eastAsia" w:ascii="宋体" w:hAnsi="宋体" w:eastAsia="宋体" w:cs="宋体"/>
          <w:szCs w:val="24"/>
          <w:u w:val="single"/>
        </w:rPr>
        <w:t>中标人因自身原因未能在规定期限内与采购人</w:t>
      </w:r>
      <w:r>
        <w:rPr>
          <w:rFonts w:hint="eastAsia" w:ascii="宋体" w:hAnsi="宋体" w:eastAsia="宋体" w:cs="宋体"/>
          <w:szCs w:val="24"/>
          <w:u w:val="single"/>
          <w:lang w:val="en-US" w:eastAsia="zh-CN"/>
        </w:rPr>
        <w:t>及采购人指定的各学校</w:t>
      </w:r>
      <w:r>
        <w:rPr>
          <w:rFonts w:hint="eastAsia" w:ascii="宋体" w:hAnsi="宋体" w:eastAsia="宋体" w:cs="宋体"/>
          <w:szCs w:val="24"/>
          <w:u w:val="single"/>
        </w:rPr>
        <w:t>签订合同的</w:t>
      </w:r>
      <w:r>
        <w:rPr>
          <w:rFonts w:hint="eastAsia" w:ascii="宋体" w:hAnsi="宋体" w:eastAsia="宋体" w:cs="宋体"/>
          <w:szCs w:val="24"/>
          <w:u w:val="single"/>
          <w:lang w:eastAsia="zh-CN"/>
        </w:rPr>
        <w:t>；</w:t>
      </w:r>
    </w:p>
    <w:p w14:paraId="1169AA36">
      <w:pPr>
        <w:spacing w:line="365" w:lineRule="auto"/>
        <w:ind w:left="1294" w:leftChars="239" w:hanging="720" w:hangingChars="300"/>
        <w:rPr>
          <w:rFonts w:hint="eastAsia" w:ascii="宋体" w:hAnsi="宋体" w:eastAsia="宋体" w:cs="宋体"/>
          <w:szCs w:val="24"/>
        </w:rPr>
      </w:pPr>
      <w:r>
        <w:rPr>
          <w:rFonts w:hint="eastAsia" w:ascii="宋体" w:hAnsi="宋体" w:eastAsia="宋体" w:cs="宋体"/>
          <w:szCs w:val="24"/>
        </w:rPr>
        <w:t>5-8、</w:t>
      </w:r>
      <w:r>
        <w:rPr>
          <w:rFonts w:hint="eastAsia" w:ascii="宋体" w:hAnsi="宋体" w:eastAsia="宋体" w:cs="宋体"/>
          <w:szCs w:val="24"/>
          <w:u w:val="single"/>
        </w:rPr>
        <w:t>投标人交纳投标保证金后，无故不参加投标活动的</w:t>
      </w:r>
    </w:p>
    <w:p w14:paraId="5C6DAE09">
      <w:pPr>
        <w:pStyle w:val="5"/>
        <w:spacing w:before="0" w:after="0" w:line="365" w:lineRule="auto"/>
        <w:rPr>
          <w:rFonts w:hint="eastAsia" w:ascii="宋体" w:hAnsi="宋体" w:eastAsia="宋体" w:cs="宋体"/>
          <w:kern w:val="0"/>
          <w:sz w:val="28"/>
          <w:szCs w:val="28"/>
        </w:rPr>
      </w:pPr>
      <w:bookmarkStart w:id="44" w:name="_Toc1779"/>
      <w:bookmarkStart w:id="45" w:name="_Toc458617459"/>
      <w:bookmarkStart w:id="46" w:name="_Toc458617736"/>
      <w:bookmarkStart w:id="47" w:name="_Toc5575"/>
      <w:bookmarkStart w:id="48" w:name="_Toc14272"/>
      <w:r>
        <w:rPr>
          <w:rFonts w:hint="eastAsia" w:ascii="宋体" w:hAnsi="宋体" w:eastAsia="宋体" w:cs="宋体"/>
          <w:kern w:val="0"/>
          <w:sz w:val="28"/>
          <w:szCs w:val="28"/>
        </w:rPr>
        <w:t>六、投标</w:t>
      </w:r>
      <w:bookmarkEnd w:id="44"/>
      <w:bookmarkEnd w:id="45"/>
      <w:bookmarkEnd w:id="46"/>
      <w:bookmarkEnd w:id="47"/>
      <w:bookmarkEnd w:id="48"/>
    </w:p>
    <w:p w14:paraId="5B046F1E">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1、投标文件的提交：</w:t>
      </w:r>
    </w:p>
    <w:p w14:paraId="178B0806">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1-1、电子投标文件可于提交投标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上传成功后，电子化平台将予以记录。逾期上传的将被拒绝接收。</w:t>
      </w:r>
    </w:p>
    <w:p w14:paraId="3ABA79D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1-2、投标文件递交截止时间系统将自动关闭上传通道；</w:t>
      </w:r>
    </w:p>
    <w:p w14:paraId="548567FA">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2、文件开启与解密：</w:t>
      </w:r>
    </w:p>
    <w:p w14:paraId="2BDB35A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开标时，投标单位须使用电子投标文件加密时所用的数字认证证书（CA锁）在不见面开标大厅中，在规定的时间内自行解密电子投标文件（超过系统默认解密时间未解密成功的视为解密失败，其投标文件按无效文件处理），投标单位需在解密时间规定内完成标书解密。所有投标单位解密完成后由开标人员将投标文件导入开评标系统。</w:t>
      </w:r>
    </w:p>
    <w:p w14:paraId="25E82465">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3、提交投标文件截止时间：</w:t>
      </w:r>
    </w:p>
    <w:p w14:paraId="7119247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3-1、电子投标文件须按照招标文件规定的时间、提交地点上传。在递交投标文件截止时间以后上传的投标文件，系统将拒绝接收。</w:t>
      </w:r>
    </w:p>
    <w:p w14:paraId="3D055B2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3-2、采购代理机构可以按本须知规定，通知因修改招标文件而适当延长投标截止期。在此情况下，采购单位和投标人受投标截止期制约的所有权利和义务均应延长至新的截止期。</w:t>
      </w:r>
    </w:p>
    <w:p w14:paraId="07962E30">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4、投标有效期：</w:t>
      </w:r>
    </w:p>
    <w:p w14:paraId="6DF0EFEB">
      <w:pPr>
        <w:pStyle w:val="55"/>
        <w:spacing w:line="365" w:lineRule="auto"/>
        <w:ind w:firstLine="464"/>
        <w:rPr>
          <w:rFonts w:hint="eastAsia" w:ascii="宋体" w:hAnsi="宋体" w:eastAsia="宋体" w:cs="宋体"/>
          <w:kern w:val="2"/>
          <w:sz w:val="24"/>
          <w:szCs w:val="24"/>
        </w:rPr>
      </w:pPr>
      <w:r>
        <w:rPr>
          <w:rFonts w:hint="eastAsia" w:ascii="宋体" w:hAnsi="宋体" w:eastAsia="宋体" w:cs="宋体"/>
          <w:spacing w:val="-4"/>
          <w:sz w:val="24"/>
          <w:szCs w:val="24"/>
        </w:rPr>
        <w:t>4-1、自提交投标文件的截止之日起90个日历日。</w:t>
      </w:r>
      <w:bookmarkStart w:id="49" w:name="OLE_LINK15"/>
      <w:r>
        <w:rPr>
          <w:rFonts w:hint="eastAsia" w:ascii="宋体" w:hAnsi="宋体" w:eastAsia="宋体" w:cs="宋体"/>
          <w:spacing w:val="-4"/>
          <w:sz w:val="24"/>
          <w:szCs w:val="24"/>
        </w:rPr>
        <w:t>投标人投标有效期短于招标文件规定</w:t>
      </w:r>
      <w:r>
        <w:rPr>
          <w:rFonts w:hint="eastAsia" w:ascii="宋体" w:hAnsi="宋体" w:eastAsia="宋体" w:cs="宋体"/>
          <w:kern w:val="2"/>
          <w:sz w:val="24"/>
          <w:szCs w:val="24"/>
        </w:rPr>
        <w:t>的投标有效期，按无效投标处理。的投标有效期延长至合同执行完毕。</w:t>
      </w:r>
    </w:p>
    <w:p w14:paraId="5FC2D51A">
      <w:pPr>
        <w:pStyle w:val="55"/>
        <w:spacing w:line="365" w:lineRule="auto"/>
        <w:ind w:firstLine="480"/>
        <w:rPr>
          <w:rFonts w:hint="eastAsia" w:ascii="宋体" w:hAnsi="宋体" w:eastAsia="宋体" w:cs="宋体"/>
          <w:sz w:val="24"/>
          <w:szCs w:val="24"/>
        </w:rPr>
      </w:pPr>
      <w:r>
        <w:rPr>
          <w:rFonts w:hint="eastAsia" w:ascii="宋体" w:hAnsi="宋体" w:eastAsia="宋体" w:cs="宋体"/>
          <w:sz w:val="24"/>
          <w:szCs w:val="24"/>
        </w:rPr>
        <w:t>4-2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End w:id="49"/>
      <w:bookmarkStart w:id="50" w:name="_Toc458617737"/>
      <w:bookmarkStart w:id="51" w:name="_Toc458617460"/>
    </w:p>
    <w:p w14:paraId="033FDD74">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sz w:val="24"/>
          <w:szCs w:val="24"/>
        </w:rPr>
        <w:t>5、投标人</w:t>
      </w:r>
      <w:r>
        <w:rPr>
          <w:rFonts w:hint="eastAsia" w:ascii="宋体" w:hAnsi="宋体" w:eastAsia="宋体" w:cs="宋体"/>
          <w:kern w:val="2"/>
          <w:sz w:val="24"/>
          <w:szCs w:val="24"/>
        </w:rPr>
        <w:t>有下列情形之一的，属于恶意串通，对其依照《中华人民共和国政府采购法》第七十七条第一款的规定追究法律责任，投标无效：</w:t>
      </w:r>
    </w:p>
    <w:p w14:paraId="644FD42F">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5-1、投标人直接或者间接从采购人或采购代理机构处获得其他投标人的相关情况并修改其投标文件；</w:t>
      </w:r>
    </w:p>
    <w:p w14:paraId="302AAF19">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5-2、投标人按照采购人或采购代理机构的授意撤换、修改投标文件；</w:t>
      </w:r>
    </w:p>
    <w:p w14:paraId="0D6AEF5F">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5-3、投标人之间协商报价、技术方案等投标文件的实质性内容；</w:t>
      </w:r>
    </w:p>
    <w:p w14:paraId="4FA144EC">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5-4、属于同一集团、协会、商会等组织成员的投标人按照该组织要求协同参加政府采购活动；</w:t>
      </w:r>
    </w:p>
    <w:p w14:paraId="0FED966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5-5、投标人之间事先约定由某一特定投标人中标；</w:t>
      </w:r>
    </w:p>
    <w:p w14:paraId="1D4A315C">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5-6、投标人之间商定部分投标人放弃参加政府采购活动或放弃中标；</w:t>
      </w:r>
    </w:p>
    <w:p w14:paraId="6E25AF0B">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5-7、投标人相互之间，为谋求特定投标人中标或排斥其他投标人的其他串通行为。</w:t>
      </w:r>
    </w:p>
    <w:p w14:paraId="5351B363">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6、有下列情形之一的，视为投标人串通投标，其投标无效：</w:t>
      </w:r>
    </w:p>
    <w:p w14:paraId="1E06E0C7">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6-1、不同投标人的投标文件由同一单位或者个人编制；</w:t>
      </w:r>
    </w:p>
    <w:p w14:paraId="7E67F919">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6-2、不同投标人委托同一单位或者个人办理投标事宜；</w:t>
      </w:r>
    </w:p>
    <w:p w14:paraId="71F47E0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6-3、不同投标人的投标文件载明的项目管理成员或者联系人为同一人；</w:t>
      </w:r>
    </w:p>
    <w:p w14:paraId="2E660103">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6-4、不同投标人的投标文件异常一致或者投标报价呈现规律性差异；</w:t>
      </w:r>
    </w:p>
    <w:p w14:paraId="4C4651A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、不同投标人的投标保证金从同一单位或者个人的账户转出。</w:t>
      </w:r>
    </w:p>
    <w:p w14:paraId="192D70AF">
      <w:pPr>
        <w:pStyle w:val="5"/>
        <w:spacing w:before="0" w:after="0" w:line="365" w:lineRule="auto"/>
        <w:rPr>
          <w:rFonts w:hint="eastAsia" w:ascii="宋体" w:hAnsi="宋体" w:eastAsia="宋体" w:cs="宋体"/>
          <w:kern w:val="0"/>
          <w:sz w:val="28"/>
          <w:szCs w:val="28"/>
        </w:rPr>
      </w:pPr>
      <w:bookmarkStart w:id="52" w:name="_Toc5285"/>
      <w:bookmarkStart w:id="53" w:name="_Toc2818"/>
      <w:bookmarkStart w:id="54" w:name="_Toc5952"/>
      <w:r>
        <w:rPr>
          <w:rFonts w:hint="eastAsia" w:ascii="宋体" w:hAnsi="宋体" w:eastAsia="宋体" w:cs="宋体"/>
          <w:kern w:val="0"/>
          <w:sz w:val="28"/>
          <w:szCs w:val="28"/>
        </w:rPr>
        <w:t>七、开标、资格审查、评标和定标</w:t>
      </w:r>
      <w:bookmarkEnd w:id="50"/>
      <w:bookmarkEnd w:id="51"/>
      <w:bookmarkEnd w:id="52"/>
      <w:bookmarkEnd w:id="53"/>
      <w:bookmarkEnd w:id="54"/>
    </w:p>
    <w:p w14:paraId="42D3F912">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1、开标</w:t>
      </w:r>
    </w:p>
    <w:p w14:paraId="0152AC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1-1、开标程序</w:t>
      </w:r>
    </w:p>
    <w:p w14:paraId="3282F5D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（1）开标会议由采购代理机构主持。</w:t>
      </w:r>
    </w:p>
    <w:p w14:paraId="2DFB300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（2）投标人应提前1小时登录远程不见面开标大厅，调试设备至正常状态，并在远程不见面开标大厅中进行远程签到。</w:t>
      </w:r>
    </w:p>
    <w:p w14:paraId="1FC3FB9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（3）开标时，由投标人在规定时间内进行远程解密。开标系统将自动记录投标人的名称、项目名称、投标价格等。</w:t>
      </w:r>
    </w:p>
    <w:p w14:paraId="533C1DA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（4）由采购人查验投标人必备资格文件，未通过审查的按废标处理。</w:t>
      </w:r>
    </w:p>
    <w:p w14:paraId="7F9A1E6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w:t>
      </w:r>
      <w:r>
        <w:rPr>
          <w:rFonts w:hint="eastAsia" w:ascii="宋体" w:hAnsi="宋体" w:eastAsia="宋体" w:cs="宋体"/>
          <w:szCs w:val="24"/>
          <w:lang w:val="en-US" w:eastAsia="zh-CN"/>
        </w:rPr>
        <w:t>本项目</w:t>
      </w:r>
      <w:r>
        <w:rPr>
          <w:rFonts w:hint="eastAsia" w:ascii="宋体" w:hAnsi="宋体" w:eastAsia="宋体" w:cs="宋体"/>
          <w:szCs w:val="24"/>
        </w:rPr>
        <w:t>开标过程进行</w:t>
      </w:r>
      <w:r>
        <w:rPr>
          <w:rFonts w:hint="eastAsia" w:ascii="宋体" w:hAnsi="宋体" w:eastAsia="宋体" w:cs="宋体"/>
          <w:szCs w:val="24"/>
          <w:lang w:val="en-US" w:eastAsia="zh-CN"/>
        </w:rPr>
        <w:t>全程</w:t>
      </w:r>
      <w:r>
        <w:rPr>
          <w:rFonts w:hint="eastAsia" w:ascii="宋体" w:hAnsi="宋体" w:eastAsia="宋体" w:cs="宋体"/>
          <w:szCs w:val="24"/>
        </w:rPr>
        <w:t>摄像、并存档备查。</w:t>
      </w:r>
    </w:p>
    <w:p w14:paraId="1805892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1-2、在开标环节出现下列情况之一的，其电子投标文件视为无效文件：</w:t>
      </w:r>
    </w:p>
    <w:p w14:paraId="02B78A8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（1）投标人在规定时间内未对电子投标文件进行解密的；</w:t>
      </w:r>
    </w:p>
    <w:p w14:paraId="5AAFA5E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（2）上传的电子投标文件无法打开的；</w:t>
      </w:r>
    </w:p>
    <w:p w14:paraId="6FC1A53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（3）政府采购法律法规规定的其他无效情形；</w:t>
      </w:r>
    </w:p>
    <w:p w14:paraId="6F983E0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（4）投标人拒绝对电子投标文件进行解密的；</w:t>
      </w:r>
    </w:p>
    <w:p w14:paraId="3F3A82A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（5）因投标人自身原因（</w:t>
      </w:r>
      <w:r>
        <w:rPr>
          <w:rFonts w:hint="eastAsia" w:ascii="宋体" w:hAnsi="宋体" w:eastAsia="宋体" w:cs="宋体"/>
          <w:szCs w:val="24"/>
          <w:lang w:val="en-US" w:eastAsia="zh-CN"/>
        </w:rPr>
        <w:t>解密</w:t>
      </w:r>
      <w:r>
        <w:rPr>
          <w:rFonts w:hint="eastAsia" w:ascii="宋体" w:hAnsi="宋体" w:eastAsia="宋体" w:cs="宋体"/>
          <w:szCs w:val="24"/>
        </w:rPr>
        <w:t>CA锁与制作电子投标文件使用的</w:t>
      </w:r>
      <w:r>
        <w:rPr>
          <w:rFonts w:hint="eastAsia" w:ascii="宋体" w:hAnsi="宋体" w:eastAsia="宋体" w:cs="宋体"/>
          <w:szCs w:val="24"/>
          <w:lang w:val="en-US" w:eastAsia="zh-CN"/>
        </w:rPr>
        <w:t>加密</w:t>
      </w:r>
      <w:r>
        <w:rPr>
          <w:rFonts w:hint="eastAsia" w:ascii="宋体" w:hAnsi="宋体" w:eastAsia="宋体" w:cs="宋体"/>
          <w:szCs w:val="24"/>
        </w:rPr>
        <w:t>CA锁不一致、或沿用旧版招标文件编制投标文件等</w:t>
      </w:r>
      <w:r>
        <w:rPr>
          <w:rFonts w:hint="eastAsia" w:ascii="宋体" w:hAnsi="宋体" w:eastAsia="宋体" w:cs="宋体"/>
          <w:szCs w:val="24"/>
          <w:lang w:val="en-US" w:eastAsia="zh-CN"/>
        </w:rPr>
        <w:t>其它</w:t>
      </w:r>
      <w:r>
        <w:rPr>
          <w:rFonts w:hint="eastAsia" w:ascii="宋体" w:hAnsi="宋体" w:eastAsia="宋体" w:cs="宋体"/>
          <w:szCs w:val="24"/>
        </w:rPr>
        <w:t>情形），导致在规定时间内无法解密投标文件的；</w:t>
      </w:r>
    </w:p>
    <w:p w14:paraId="4AEF0BBC">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2、资格审查</w:t>
      </w:r>
    </w:p>
    <w:p w14:paraId="6FD94A5D">
      <w:pPr>
        <w:spacing w:line="365" w:lineRule="auto"/>
        <w:ind w:firstLine="482" w:firstLineChars="200"/>
        <w:rPr>
          <w:rFonts w:hint="eastAsia" w:ascii="宋体" w:hAnsi="宋体" w:eastAsia="宋体" w:cs="宋体"/>
          <w:b/>
          <w:bCs/>
          <w:szCs w:val="24"/>
        </w:rPr>
      </w:pPr>
      <w:r>
        <w:rPr>
          <w:rFonts w:hint="eastAsia" w:ascii="宋体" w:hAnsi="宋体" w:eastAsia="宋体" w:cs="宋体"/>
          <w:b/>
          <w:kern w:val="0"/>
          <w:szCs w:val="24"/>
        </w:rPr>
        <w:t>由</w:t>
      </w:r>
      <w:r>
        <w:rPr>
          <w:rFonts w:hint="eastAsia" w:ascii="宋体" w:hAnsi="宋体" w:eastAsia="宋体" w:cs="宋体"/>
          <w:b/>
          <w:bCs/>
          <w:szCs w:val="24"/>
        </w:rPr>
        <w:t>采购人</w:t>
      </w:r>
      <w:r>
        <w:rPr>
          <w:rFonts w:hint="eastAsia" w:ascii="宋体" w:hAnsi="宋体" w:eastAsia="宋体" w:cs="宋体"/>
          <w:b/>
          <w:kern w:val="0"/>
          <w:szCs w:val="24"/>
        </w:rPr>
        <w:t>依法对</w:t>
      </w:r>
      <w:r>
        <w:rPr>
          <w:rFonts w:hint="eastAsia" w:ascii="宋体" w:hAnsi="宋体" w:eastAsia="宋体" w:cs="宋体"/>
          <w:b/>
          <w:bCs/>
          <w:szCs w:val="24"/>
        </w:rPr>
        <w:t>投标人</w:t>
      </w:r>
      <w:r>
        <w:rPr>
          <w:rFonts w:hint="eastAsia" w:ascii="宋体" w:hAnsi="宋体" w:eastAsia="宋体" w:cs="宋体"/>
          <w:b/>
          <w:kern w:val="0"/>
          <w:szCs w:val="24"/>
        </w:rPr>
        <w:t>的资格进行审查,审查合格的</w:t>
      </w:r>
      <w:r>
        <w:rPr>
          <w:rFonts w:hint="eastAsia" w:ascii="宋体" w:hAnsi="宋体" w:eastAsia="宋体" w:cs="宋体"/>
          <w:b/>
          <w:bCs/>
          <w:szCs w:val="24"/>
        </w:rPr>
        <w:t>投标人</w:t>
      </w:r>
      <w:r>
        <w:rPr>
          <w:rFonts w:hint="eastAsia" w:ascii="宋体" w:hAnsi="宋体" w:eastAsia="宋体" w:cs="宋体"/>
          <w:b/>
          <w:kern w:val="0"/>
          <w:szCs w:val="24"/>
        </w:rPr>
        <w:t>方可进入下一评审阶段。缺项或一项不符合要求即不合格，</w:t>
      </w:r>
      <w:r>
        <w:rPr>
          <w:rFonts w:hint="eastAsia" w:ascii="宋体" w:hAnsi="宋体" w:eastAsia="宋体" w:cs="宋体"/>
          <w:b/>
          <w:bCs/>
          <w:szCs w:val="24"/>
        </w:rPr>
        <w:t>不合格的投标人其投标无效。投标人资质证明资料：</w:t>
      </w:r>
    </w:p>
    <w:p w14:paraId="24C3BC1F">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5AE0A56B">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2.落实政府采购政策需满足的资格要求：</w:t>
      </w:r>
    </w:p>
    <w:p w14:paraId="6479EF5E">
      <w:pPr>
        <w:pStyle w:val="2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合同包4(千阳县2025-2026学年学生营养改善计划食材及供餐采购项目第4包)落实政府采购政策需满足的资格要求如下:无</w:t>
      </w:r>
    </w:p>
    <w:p w14:paraId="3E3CD9B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3.本项目的特定资格要求：</w:t>
      </w:r>
    </w:p>
    <w:p w14:paraId="43176F9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合同包4(千阳县2025-2026学年学生营养改善计划食材及供餐采购项目第4包)特定资格要求如下:</w:t>
      </w:r>
    </w:p>
    <w:p w14:paraId="4262EBCB">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7CC3694D">
      <w:pPr>
        <w:numPr>
          <w:ilvl w:val="0"/>
          <w:numId w:val="0"/>
        </w:numPr>
        <w:spacing w:line="365" w:lineRule="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kern w:val="2"/>
          <w:sz w:val="24"/>
          <w:szCs w:val="24"/>
          <w:shd w:val="clear" w:color="auto" w:fill="FFFFFF"/>
          <w:lang w:val="en-US" w:eastAsia="zh-CN" w:bidi="ar-SA"/>
        </w:rPr>
        <w:t>（10）投标人须提供《食品经营许可证》（必须是集体用餐配送类）。</w:t>
      </w:r>
    </w:p>
    <w:p w14:paraId="54E7DCC2">
      <w:pPr>
        <w:widowControl/>
        <w:numPr>
          <w:ilvl w:val="0"/>
          <w:numId w:val="0"/>
        </w:numPr>
        <w:wordWrap w:val="0"/>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3、评标</w:t>
      </w:r>
    </w:p>
    <w:p w14:paraId="0FE9203E">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3-1、评标委员会</w:t>
      </w:r>
    </w:p>
    <w:p w14:paraId="3C05A4EE">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（1）采购代理机构根据《中华人民共和国政府采购法》及其实施条例、《政府采购货物和服务招标投标管理办法》（财政部令第87号）等规定，依法组建评标委员会。</w:t>
      </w:r>
      <w:r>
        <w:rPr>
          <w:rFonts w:hint="eastAsia" w:ascii="宋体" w:hAnsi="宋体" w:eastAsia="宋体" w:cs="宋体"/>
          <w:color w:val="auto"/>
          <w:szCs w:val="24"/>
          <w:shd w:val="clear"/>
        </w:rPr>
        <w:t>本项目</w:t>
      </w:r>
      <w:r>
        <w:rPr>
          <w:rFonts w:hint="eastAsia" w:ascii="宋体" w:hAnsi="宋体" w:eastAsia="宋体" w:cs="宋体"/>
          <w:kern w:val="2"/>
          <w:sz w:val="24"/>
          <w:szCs w:val="24"/>
          <w:shd w:val="clear" w:color="auto" w:fill="FFFFFF"/>
          <w:lang w:val="en-US" w:eastAsia="zh-CN" w:bidi="ar-SA"/>
        </w:rPr>
        <w:t>评标委员会</w:t>
      </w:r>
      <w:r>
        <w:rPr>
          <w:rFonts w:hint="eastAsia" w:ascii="宋体" w:hAnsi="宋体" w:eastAsia="宋体" w:cs="宋体"/>
          <w:color w:val="auto"/>
          <w:szCs w:val="24"/>
          <w:shd w:val="clear"/>
        </w:rPr>
        <w:t>由采购代理机构工作人员在陕西省政府采购网随机抽取评审专家</w:t>
      </w:r>
      <w:r>
        <w:rPr>
          <w:rFonts w:hint="eastAsia" w:ascii="宋体" w:hAnsi="宋体" w:eastAsia="宋体" w:cs="宋体"/>
          <w:color w:val="auto"/>
          <w:szCs w:val="24"/>
          <w:shd w:val="clear"/>
          <w:lang w:val="en-US" w:eastAsia="zh-CN"/>
        </w:rPr>
        <w:t>4</w:t>
      </w:r>
      <w:r>
        <w:rPr>
          <w:rFonts w:hint="eastAsia" w:ascii="宋体" w:hAnsi="宋体" w:eastAsia="宋体" w:cs="宋体"/>
          <w:color w:val="auto"/>
          <w:szCs w:val="24"/>
          <w:shd w:val="clear"/>
        </w:rPr>
        <w:t>名及采购人代表1名共同组成。</w:t>
      </w:r>
    </w:p>
    <w:p w14:paraId="068F081A">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（2）采购人派代表进入评标委员会时，须向采购代理机构出具授权函。</w:t>
      </w:r>
    </w:p>
    <w:p w14:paraId="128039D9">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（3）评标委员会应推荐一名评审专家担任评审组长，并由评审组长牵头组织该项目评审工作，采购人代表不得担任评审组长。</w:t>
      </w:r>
    </w:p>
    <w:p w14:paraId="7AE0295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（4）评标委员会成员不得参加开标活动。</w:t>
      </w:r>
    </w:p>
    <w:p w14:paraId="4C25FED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（5）评标委员会成员应当遵守并履行下列职责义务：</w:t>
      </w:r>
    </w:p>
    <w:p w14:paraId="5FA7A34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a、遵纪守法，客观、公正、认真负责地履行职责，根据招标文件规定的评标程序、评标方法和评标标准审查投标文件；</w:t>
      </w:r>
    </w:p>
    <w:p w14:paraId="7CE4B91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b、符合性审查、评价投标文件是否符合招标文件的商务、技术等实质性要求；</w:t>
      </w:r>
    </w:p>
    <w:p w14:paraId="68AAED7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c、要求投标人对投标文件有关事项作出澄清或者说明；</w:t>
      </w:r>
    </w:p>
    <w:p w14:paraId="62134EE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d、对投标文件进行比较和评价；</w:t>
      </w:r>
    </w:p>
    <w:p w14:paraId="7788A50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e、确定中标候选人名单，以及根据采购人委托直接确定中标人；</w:t>
      </w:r>
    </w:p>
    <w:p w14:paraId="1AC7B114">
      <w:pPr>
        <w:spacing w:line="365" w:lineRule="auto"/>
        <w:ind w:firstLine="480" w:firstLineChars="200"/>
        <w:rPr>
          <w:rFonts w:hint="eastAsia" w:ascii="宋体" w:hAnsi="宋体" w:eastAsia="宋体" w:cs="宋体"/>
          <w:szCs w:val="24"/>
          <w:lang w:eastAsia="zh-CN"/>
        </w:rPr>
      </w:pPr>
      <w:r>
        <w:rPr>
          <w:rFonts w:hint="eastAsia" w:ascii="宋体" w:hAnsi="宋体" w:eastAsia="宋体" w:cs="宋体"/>
          <w:szCs w:val="24"/>
        </w:rPr>
        <w:t>f、向采购人、采购代理机构或者有关部门报告评标中发现的违法行为；</w:t>
      </w:r>
    </w:p>
    <w:p w14:paraId="2AF180C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g、对评标过程及各投标人的商业机密予以保密；</w:t>
      </w:r>
    </w:p>
    <w:p w14:paraId="3AA495D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h、配合采购人、采购代理机构答复各投标人提出的质疑；</w:t>
      </w:r>
    </w:p>
    <w:p w14:paraId="24C7BFA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i、配合各部门的投诉处理和监督检查工作。</w:t>
      </w:r>
    </w:p>
    <w:p w14:paraId="2AB53E2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3-2、在政府采购活动中，采购人员及相关人员（包括评标委员会）与投标人有下列利害关系之一的，应当回避：</w:t>
      </w:r>
    </w:p>
    <w:p w14:paraId="50601ED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（1）参加采购活动前3年内与投标人存在劳动关系；</w:t>
      </w:r>
    </w:p>
    <w:p w14:paraId="03BE27F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（2）参加采购活动前3年内担任投标人的董事、监事；</w:t>
      </w:r>
    </w:p>
    <w:p w14:paraId="050FAD4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（3）参加采购活动前3年内是投标人的控股股东或者实际控制人；</w:t>
      </w:r>
    </w:p>
    <w:p w14:paraId="1077B69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（4）与投标人的法表人或者负责人有夫妻、直系血亲、三代以内旁定代系血亲或者近姻亲关系；</w:t>
      </w:r>
    </w:p>
    <w:p w14:paraId="0434F62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（5）与投标人有其他可能影响政府采购活动公平、公正进行的关系。</w:t>
      </w:r>
    </w:p>
    <w:p w14:paraId="259714CD">
      <w:pPr>
        <w:spacing w:line="365" w:lineRule="auto"/>
        <w:ind w:firstLine="480" w:firstLineChars="200"/>
        <w:rPr>
          <w:rFonts w:hint="eastAsia" w:ascii="宋体" w:hAnsi="宋体" w:eastAsia="宋体" w:cs="宋体"/>
          <w:bCs/>
          <w:szCs w:val="24"/>
        </w:rPr>
      </w:pPr>
      <w:r>
        <w:rPr>
          <w:rFonts w:hint="eastAsia" w:ascii="宋体" w:hAnsi="宋体" w:eastAsia="宋体" w:cs="宋体"/>
          <w:bCs/>
          <w:szCs w:val="24"/>
        </w:rPr>
        <w:t>3-3、评标原则：</w:t>
      </w:r>
      <w:r>
        <w:rPr>
          <w:rFonts w:hint="eastAsia" w:ascii="宋体" w:hAnsi="宋体" w:eastAsia="宋体" w:cs="宋体"/>
          <w:szCs w:val="24"/>
        </w:rPr>
        <w:t>坚持公平、公正、科学、择优原则，禁止不正当竞争。</w:t>
      </w:r>
    </w:p>
    <w:p w14:paraId="30078C16">
      <w:pPr>
        <w:spacing w:line="365" w:lineRule="auto"/>
        <w:ind w:firstLine="480" w:firstLineChars="200"/>
        <w:rPr>
          <w:rFonts w:hint="eastAsia" w:ascii="宋体" w:hAnsi="宋体" w:eastAsia="宋体" w:cs="宋体"/>
          <w:szCs w:val="24"/>
        </w:rPr>
      </w:pPr>
      <w:r>
        <w:rPr>
          <w:rFonts w:hint="eastAsia" w:ascii="宋体" w:hAnsi="宋体" w:eastAsia="宋体" w:cs="宋体"/>
          <w:bCs/>
          <w:szCs w:val="24"/>
        </w:rPr>
        <w:t>3-4、评标办法</w:t>
      </w:r>
      <w:r>
        <w:rPr>
          <w:rFonts w:hint="eastAsia" w:ascii="宋体" w:hAnsi="宋体" w:eastAsia="宋体" w:cs="宋体"/>
          <w:szCs w:val="24"/>
        </w:rPr>
        <w:t>：本次招标采用综合评分法（详见本节评分标准）。</w:t>
      </w:r>
    </w:p>
    <w:p w14:paraId="45C80EC4">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3-5、评标工作程序：</w:t>
      </w:r>
      <w:r>
        <w:rPr>
          <w:rFonts w:hint="eastAsia" w:ascii="宋体" w:hAnsi="宋体" w:eastAsia="宋体" w:cs="宋体"/>
          <w:szCs w:val="24"/>
        </w:rPr>
        <w:t>符合性审查、澄清、评价、推荐中标候选人的工作程序进行评标。</w:t>
      </w:r>
    </w:p>
    <w:p w14:paraId="4D61FD1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3-5-1、投标文件符合性审查</w:t>
      </w:r>
    </w:p>
    <w:p w14:paraId="18A57D63">
      <w:pPr>
        <w:spacing w:line="365" w:lineRule="auto"/>
        <w:ind w:firstLine="480" w:firstLineChars="200"/>
        <w:rPr>
          <w:rFonts w:hint="eastAsia" w:ascii="宋体" w:hAnsi="宋体" w:eastAsia="宋体" w:cs="宋体"/>
          <w:szCs w:val="24"/>
        </w:rPr>
      </w:pPr>
      <w:r>
        <w:rPr>
          <w:rFonts w:hint="eastAsia" w:ascii="宋体" w:hAnsi="宋体" w:eastAsia="宋体" w:cs="宋体"/>
        </w:rPr>
        <w:t>依据招标文件的规定，</w:t>
      </w:r>
      <w:r>
        <w:rPr>
          <w:rFonts w:hint="eastAsia" w:ascii="宋体" w:hAnsi="宋体" w:eastAsia="宋体" w:cs="宋体"/>
          <w:szCs w:val="24"/>
        </w:rPr>
        <w:t>对资格合格者投标文件的完整性、有效性和对招标文件的响应程度进行审查，以确定是否对招标文件的实质性内容做出响应，包含但不限于以下内容：</w:t>
      </w:r>
    </w:p>
    <w:p w14:paraId="3549A008">
      <w:pPr>
        <w:spacing w:line="365" w:lineRule="auto"/>
        <w:ind w:firstLine="480" w:firstLineChars="200"/>
        <w:rPr>
          <w:rFonts w:hint="eastAsia" w:ascii="宋体" w:hAnsi="宋体" w:eastAsia="宋体" w:cs="宋体"/>
        </w:rPr>
      </w:pPr>
      <w:r>
        <w:rPr>
          <w:rFonts w:hint="eastAsia" w:ascii="宋体" w:hAnsi="宋体" w:eastAsia="宋体" w:cs="宋体"/>
        </w:rPr>
        <w:t>（1）投标人名称是否与获取招标文件的单位名称一致；</w:t>
      </w:r>
    </w:p>
    <w:p w14:paraId="0367D3A4">
      <w:pPr>
        <w:spacing w:line="365" w:lineRule="auto"/>
        <w:ind w:firstLine="480" w:firstLineChars="200"/>
        <w:rPr>
          <w:rFonts w:hint="eastAsia" w:ascii="宋体" w:hAnsi="宋体" w:eastAsia="宋体" w:cs="宋体"/>
        </w:rPr>
      </w:pPr>
      <w:r>
        <w:rPr>
          <w:rFonts w:hint="eastAsia" w:ascii="宋体" w:hAnsi="宋体" w:eastAsia="宋体" w:cs="宋体"/>
        </w:rPr>
        <w:t>（2）投标文件是否按照招标文件的要求盖章签字；</w:t>
      </w:r>
    </w:p>
    <w:p w14:paraId="43328FB3">
      <w:pPr>
        <w:spacing w:line="365" w:lineRule="auto"/>
        <w:ind w:firstLine="480" w:firstLineChars="200"/>
        <w:rPr>
          <w:rFonts w:hint="eastAsia" w:ascii="宋体" w:hAnsi="宋体" w:eastAsia="宋体" w:cs="宋体"/>
        </w:rPr>
      </w:pPr>
      <w:r>
        <w:rPr>
          <w:rFonts w:hint="eastAsia" w:ascii="宋体" w:hAnsi="宋体" w:eastAsia="宋体" w:cs="宋体"/>
        </w:rPr>
        <w:t>（3）投标内容是否有重大缺漏项；</w:t>
      </w:r>
    </w:p>
    <w:p w14:paraId="4F22A037">
      <w:pPr>
        <w:spacing w:line="365" w:lineRule="auto"/>
        <w:ind w:firstLine="480" w:firstLineChars="200"/>
        <w:rPr>
          <w:rFonts w:hint="eastAsia" w:ascii="宋体" w:hAnsi="宋体" w:eastAsia="宋体" w:cs="宋体"/>
        </w:rPr>
      </w:pPr>
      <w:r>
        <w:rPr>
          <w:rFonts w:hint="eastAsia" w:ascii="宋体" w:hAnsi="宋体" w:eastAsia="宋体" w:cs="宋体"/>
        </w:rPr>
        <w:t>（4）投标保证金是否按要求提供；</w:t>
      </w:r>
    </w:p>
    <w:p w14:paraId="7602166B">
      <w:pPr>
        <w:spacing w:line="365" w:lineRule="auto"/>
        <w:ind w:firstLine="480" w:firstLineChars="200"/>
        <w:rPr>
          <w:rFonts w:hint="eastAsia" w:ascii="宋体" w:hAnsi="宋体" w:eastAsia="宋体" w:cs="宋体"/>
          <w:lang w:eastAsia="zh-CN"/>
        </w:rPr>
      </w:pPr>
      <w:r>
        <w:rPr>
          <w:rFonts w:hint="eastAsia" w:ascii="宋体" w:hAnsi="宋体" w:eastAsia="宋体" w:cs="宋体"/>
        </w:rPr>
        <w:t>（5）投标报价是否超过</w:t>
      </w:r>
      <w:r>
        <w:rPr>
          <w:rFonts w:hint="eastAsia" w:ascii="宋体" w:hAnsi="宋体" w:eastAsia="宋体" w:cs="宋体"/>
          <w:lang w:val="en-US" w:eastAsia="zh-CN"/>
        </w:rPr>
        <w:t>单价</w:t>
      </w:r>
      <w:r>
        <w:rPr>
          <w:rFonts w:hint="eastAsia" w:ascii="宋体" w:hAnsi="宋体" w:eastAsia="宋体" w:cs="宋体"/>
        </w:rPr>
        <w:t>最高限价；</w:t>
      </w:r>
    </w:p>
    <w:p w14:paraId="48ACCD0C">
      <w:pPr>
        <w:spacing w:line="365" w:lineRule="auto"/>
        <w:ind w:firstLine="480" w:firstLineChars="200"/>
        <w:rPr>
          <w:rFonts w:hint="eastAsia" w:ascii="宋体" w:hAnsi="宋体" w:eastAsia="宋体" w:cs="宋体"/>
        </w:rPr>
      </w:pPr>
      <w:r>
        <w:rPr>
          <w:rFonts w:hint="eastAsia" w:ascii="宋体" w:hAnsi="宋体" w:eastAsia="宋体" w:cs="宋体"/>
        </w:rPr>
        <w:t>（6）投标有效期是否符合招标文件的要求；</w:t>
      </w:r>
    </w:p>
    <w:p w14:paraId="4347FB2E">
      <w:pPr>
        <w:spacing w:line="365" w:lineRule="auto"/>
        <w:ind w:firstLine="480" w:firstLineChars="200"/>
        <w:rPr>
          <w:rFonts w:hint="eastAsia" w:ascii="宋体" w:hAnsi="宋体" w:eastAsia="宋体" w:cs="宋体"/>
        </w:rPr>
      </w:pPr>
      <w:r>
        <w:rPr>
          <w:rFonts w:hint="eastAsia" w:ascii="宋体" w:hAnsi="宋体" w:eastAsia="宋体" w:cs="宋体"/>
        </w:rPr>
        <w:t>（7）对招标文件商务要求是否作了明确且实质性响应；</w:t>
      </w:r>
    </w:p>
    <w:p w14:paraId="33E13127">
      <w:pPr>
        <w:spacing w:line="365"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）投标文件是否含有采购人不能接受的附加条件；</w:t>
      </w:r>
    </w:p>
    <w:p w14:paraId="6D31C06C">
      <w:pPr>
        <w:spacing w:line="365" w:lineRule="auto"/>
        <w:ind w:firstLine="480" w:firstLineChars="200"/>
        <w:rPr>
          <w:rFonts w:hint="eastAsia" w:ascii="宋体" w:hAnsi="宋体" w:eastAsia="宋体" w:cs="宋体"/>
          <w:szCs w:val="24"/>
        </w:rPr>
      </w:pP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）是否有法律、法规和招标文件规定的其他无效投标情形。</w:t>
      </w:r>
    </w:p>
    <w:p w14:paraId="5F8A4BD1">
      <w:pPr>
        <w:spacing w:line="365" w:lineRule="auto"/>
        <w:ind w:firstLine="480" w:firstLineChars="200"/>
        <w:rPr>
          <w:rFonts w:hint="eastAsia" w:ascii="宋体" w:hAnsi="宋体" w:eastAsia="宋体" w:cs="宋体"/>
        </w:rPr>
      </w:pPr>
      <w:r>
        <w:rPr>
          <w:rFonts w:hint="eastAsia" w:ascii="宋体" w:hAnsi="宋体" w:eastAsia="宋体" w:cs="宋体"/>
        </w:rPr>
        <w:t>3-5-2、投标文件的澄清：</w:t>
      </w:r>
    </w:p>
    <w:p w14:paraId="38038B18">
      <w:pPr>
        <w:spacing w:line="365" w:lineRule="auto"/>
        <w:ind w:firstLine="480" w:firstLineChars="200"/>
        <w:rPr>
          <w:rFonts w:hint="eastAsia" w:ascii="宋体" w:hAnsi="宋体" w:eastAsia="宋体" w:cs="宋体"/>
        </w:rPr>
      </w:pPr>
      <w:r>
        <w:rPr>
          <w:rFonts w:hint="eastAsia" w:ascii="宋体" w:hAnsi="宋体" w:eastAsia="宋体" w:cs="宋体"/>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3F5D6E3F">
      <w:pPr>
        <w:spacing w:line="365" w:lineRule="auto"/>
        <w:ind w:firstLine="480" w:firstLineChars="200"/>
        <w:rPr>
          <w:rFonts w:hint="eastAsia" w:ascii="宋体" w:hAnsi="宋体" w:eastAsia="宋体" w:cs="宋体"/>
        </w:rPr>
      </w:pPr>
      <w:r>
        <w:rPr>
          <w:rFonts w:hint="eastAsia" w:ascii="宋体" w:hAnsi="宋体" w:eastAsia="宋体" w:cs="宋体"/>
        </w:rPr>
        <w:t>（2）书写错误的评审标准：</w:t>
      </w:r>
    </w:p>
    <w:p w14:paraId="61619BB8">
      <w:pPr>
        <w:spacing w:line="365" w:lineRule="auto"/>
        <w:ind w:firstLine="480" w:firstLineChars="200"/>
        <w:rPr>
          <w:rFonts w:hint="eastAsia" w:ascii="宋体" w:hAnsi="宋体" w:eastAsia="宋体" w:cs="宋体"/>
        </w:rPr>
      </w:pPr>
      <w:r>
        <w:rPr>
          <w:rFonts w:hint="eastAsia" w:ascii="宋体" w:hAnsi="宋体" w:eastAsia="宋体" w:cs="宋体"/>
        </w:rPr>
        <w:t>评标委员会在评标过程中，发现投标文件出现下列情况之一者，按以下原则修正：</w:t>
      </w:r>
    </w:p>
    <w:p w14:paraId="1A66BD53">
      <w:pPr>
        <w:spacing w:line="365" w:lineRule="auto"/>
        <w:ind w:firstLine="480" w:firstLineChars="200"/>
        <w:rPr>
          <w:rFonts w:hint="eastAsia" w:ascii="宋体" w:hAnsi="宋体" w:eastAsia="宋体" w:cs="宋体"/>
        </w:rPr>
      </w:pPr>
      <w:r>
        <w:rPr>
          <w:rFonts w:hint="eastAsia" w:ascii="宋体" w:hAnsi="宋体" w:eastAsia="宋体" w:cs="宋体"/>
        </w:rPr>
        <w:t>a、投标文件有关内容与“开标一览表”不一致的，以“开标一览表”为准；</w:t>
      </w:r>
    </w:p>
    <w:p w14:paraId="1DFBDFA4">
      <w:pPr>
        <w:spacing w:line="365" w:lineRule="auto"/>
        <w:ind w:firstLine="480" w:firstLineChars="200"/>
        <w:rPr>
          <w:rFonts w:hint="eastAsia" w:ascii="宋体" w:hAnsi="宋体" w:eastAsia="宋体" w:cs="宋体"/>
        </w:rPr>
      </w:pPr>
      <w:r>
        <w:rPr>
          <w:rFonts w:hint="eastAsia" w:ascii="宋体" w:hAnsi="宋体" w:eastAsia="宋体" w:cs="宋体"/>
        </w:rPr>
        <w:t>b、大写金额与小写金额不一致的，以大写金额为准；</w:t>
      </w:r>
    </w:p>
    <w:p w14:paraId="681B19FE">
      <w:pPr>
        <w:spacing w:line="365" w:lineRule="auto"/>
        <w:ind w:firstLine="480" w:firstLineChars="200"/>
        <w:rPr>
          <w:rFonts w:hint="eastAsia" w:ascii="宋体" w:hAnsi="宋体" w:eastAsia="宋体" w:cs="宋体"/>
        </w:rPr>
      </w:pPr>
      <w:r>
        <w:rPr>
          <w:rFonts w:hint="eastAsia" w:ascii="宋体" w:hAnsi="宋体" w:eastAsia="宋体" w:cs="宋体"/>
        </w:rPr>
        <w:t>c、单价金额小数点或者百分比有明显错位的，以“开标一览表”的总价为准，并修改单价；</w:t>
      </w:r>
    </w:p>
    <w:p w14:paraId="598B3087">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、投标文件图表与文字不符时，以文字为准；</w:t>
      </w:r>
    </w:p>
    <w:p w14:paraId="7E38A7C2">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e</w:t>
      </w:r>
      <w:r>
        <w:rPr>
          <w:rFonts w:hint="eastAsia" w:ascii="宋体" w:hAnsi="宋体" w:eastAsia="宋体" w:cs="宋体"/>
        </w:rPr>
        <w:t>、对不同文字文本投标文件的解释发生异议的，以中文文本为准；</w:t>
      </w:r>
    </w:p>
    <w:p w14:paraId="2D6AB48D">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r</w:t>
      </w:r>
      <w:r>
        <w:rPr>
          <w:rFonts w:hint="eastAsia" w:ascii="宋体" w:hAnsi="宋体" w:eastAsia="宋体" w:cs="宋体"/>
        </w:rPr>
        <w:t>、多处内容交叉不符时，以评标委员会评审结果为准。</w:t>
      </w:r>
    </w:p>
    <w:p w14:paraId="59F43D89">
      <w:pPr>
        <w:spacing w:line="365" w:lineRule="auto"/>
        <w:ind w:firstLine="480" w:firstLineChars="200"/>
        <w:rPr>
          <w:rFonts w:hint="eastAsia" w:ascii="宋体" w:hAnsi="宋体" w:eastAsia="宋体" w:cs="宋体"/>
        </w:rPr>
      </w:pPr>
      <w:r>
        <w:rPr>
          <w:rFonts w:hint="eastAsia" w:ascii="宋体" w:hAnsi="宋体" w:eastAsia="宋体" w:cs="宋体"/>
        </w:rPr>
        <w:t>注：按上述方法修正的内容（其中，同时出现上述a至d两种以上不一致的，按上述规定的顺序修正），经投标人确认后产生约束力，投标人不确认的，其投标无效。</w:t>
      </w:r>
    </w:p>
    <w:p w14:paraId="06F55AE9">
      <w:pPr>
        <w:spacing w:line="365" w:lineRule="auto"/>
        <w:ind w:firstLine="480" w:firstLineChars="200"/>
        <w:rPr>
          <w:rFonts w:hint="eastAsia" w:ascii="宋体" w:hAnsi="宋体" w:eastAsia="宋体" w:cs="宋体"/>
        </w:rPr>
      </w:pPr>
      <w:r>
        <w:rPr>
          <w:rFonts w:hint="eastAsia" w:ascii="宋体" w:hAnsi="宋体" w:eastAsia="宋体" w:cs="宋体"/>
        </w:rPr>
        <w:t>（3）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09359332">
      <w:pPr>
        <w:spacing w:line="365" w:lineRule="auto"/>
        <w:ind w:firstLine="480" w:firstLineChars="200"/>
        <w:rPr>
          <w:rFonts w:hint="eastAsia" w:ascii="宋体" w:hAnsi="宋体" w:eastAsia="宋体" w:cs="宋体"/>
        </w:rPr>
      </w:pPr>
      <w:r>
        <w:rPr>
          <w:rFonts w:hint="eastAsia" w:ascii="宋体" w:hAnsi="宋体" w:eastAsia="宋体" w:cs="宋体"/>
        </w:rPr>
        <w:t>3-5-3、评价：</w:t>
      </w:r>
    </w:p>
    <w:p w14:paraId="6AE9070D">
      <w:pPr>
        <w:spacing w:line="365" w:lineRule="auto"/>
        <w:ind w:firstLine="480" w:firstLineChars="200"/>
        <w:rPr>
          <w:rFonts w:hint="eastAsia" w:ascii="宋体" w:hAnsi="宋体" w:eastAsia="宋体" w:cs="宋体"/>
        </w:rPr>
      </w:pPr>
      <w:r>
        <w:rPr>
          <w:rFonts w:hint="eastAsia" w:ascii="宋体" w:hAnsi="宋体" w:eastAsia="宋体" w:cs="宋体"/>
        </w:rPr>
        <w:t>（1）评标委员会评审投标文件符合性只根据投标文件本身的内容，而不寻求其他外部证据。</w:t>
      </w:r>
    </w:p>
    <w:p w14:paraId="06F34633">
      <w:pPr>
        <w:spacing w:line="365" w:lineRule="auto"/>
        <w:ind w:firstLine="480" w:firstLineChars="200"/>
        <w:rPr>
          <w:rFonts w:hint="eastAsia" w:ascii="宋体" w:hAnsi="宋体" w:eastAsia="宋体" w:cs="宋体"/>
        </w:rPr>
      </w:pPr>
      <w:r>
        <w:rPr>
          <w:rFonts w:hint="eastAsia" w:ascii="宋体" w:hAnsi="宋体" w:eastAsia="宋体" w:cs="宋体"/>
        </w:rPr>
        <w:t>（2）评标采取逐项分步评审方式，每一步评审不符合者，不进入下一步评审，全部评审合格的投标人进行最后的综合评审和打分，按最后得分由高向低排序，推荐中标候选人。</w:t>
      </w:r>
    </w:p>
    <w:p w14:paraId="445DCD6D">
      <w:pPr>
        <w:spacing w:line="365" w:lineRule="auto"/>
        <w:ind w:firstLine="480" w:firstLineChars="200"/>
        <w:rPr>
          <w:rFonts w:hint="eastAsia" w:ascii="宋体" w:hAnsi="宋体" w:eastAsia="宋体" w:cs="宋体"/>
        </w:rPr>
      </w:pPr>
      <w:r>
        <w:rPr>
          <w:rFonts w:hint="eastAsia" w:ascii="宋体" w:hAnsi="宋体" w:eastAsia="宋体" w:cs="宋体"/>
        </w:rPr>
        <w:t>（3）其他需说明的情况：</w:t>
      </w:r>
    </w:p>
    <w:p w14:paraId="02C14C0B">
      <w:pPr>
        <w:spacing w:line="365" w:lineRule="auto"/>
        <w:ind w:firstLine="480" w:firstLineChars="200"/>
        <w:rPr>
          <w:rFonts w:hint="eastAsia" w:ascii="宋体" w:hAnsi="宋体" w:eastAsia="宋体" w:cs="宋体"/>
        </w:rPr>
      </w:pPr>
      <w:r>
        <w:rPr>
          <w:rFonts w:hint="eastAsia" w:ascii="宋体" w:hAnsi="宋体" w:eastAsia="宋体" w:cs="宋体"/>
        </w:rPr>
        <w:t>a、对于投标文件中不构成实质性偏差的小的不正规、不一致或不规则，采购人可以接受，但这种接受不能损害或影响任何投标人的相对排序；</w:t>
      </w:r>
    </w:p>
    <w:p w14:paraId="220CB900">
      <w:pPr>
        <w:spacing w:line="365" w:lineRule="auto"/>
        <w:ind w:firstLine="480" w:firstLineChars="200"/>
        <w:rPr>
          <w:rFonts w:hint="eastAsia" w:ascii="宋体" w:hAnsi="宋体" w:eastAsia="宋体" w:cs="宋体"/>
        </w:rPr>
      </w:pPr>
      <w:r>
        <w:rPr>
          <w:rFonts w:hint="eastAsia" w:ascii="宋体" w:hAnsi="宋体" w:eastAsia="宋体" w:cs="宋体"/>
        </w:rPr>
        <w:t>b、最低报价不是中标的唯一条件；</w:t>
      </w:r>
    </w:p>
    <w:p w14:paraId="62DBFA7B">
      <w:pPr>
        <w:spacing w:line="365" w:lineRule="auto"/>
        <w:ind w:firstLine="480" w:firstLineChars="200"/>
        <w:rPr>
          <w:rFonts w:hint="eastAsia" w:ascii="宋体" w:hAnsi="宋体" w:eastAsia="宋体" w:cs="宋体"/>
        </w:rPr>
      </w:pPr>
      <w:r>
        <w:rPr>
          <w:rFonts w:hint="eastAsia" w:ascii="宋体" w:hAnsi="宋体" w:eastAsia="宋体" w:cs="宋体"/>
        </w:rPr>
        <w:t>c、如果投标实质上没有响应招标文件的要求，其投标将被拒绝，投标人不得通过修正或撤销不合要求的偏离或保留从而使其投标成为实质上响应的投标。</w:t>
      </w:r>
    </w:p>
    <w:p w14:paraId="0A5C0243">
      <w:pPr>
        <w:spacing w:line="365" w:lineRule="auto"/>
        <w:ind w:firstLine="480" w:firstLineChars="200"/>
        <w:rPr>
          <w:rFonts w:hint="eastAsia" w:ascii="宋体" w:hAnsi="宋体" w:eastAsia="宋体" w:cs="宋体"/>
        </w:rPr>
      </w:pPr>
      <w:r>
        <w:rPr>
          <w:rFonts w:hint="eastAsia" w:ascii="宋体" w:hAnsi="宋体" w:eastAsia="宋体" w:cs="宋体"/>
        </w:rPr>
        <w:t>d、无论投标的结果如何，投标期间一切费用自理。</w:t>
      </w:r>
    </w:p>
    <w:p w14:paraId="32D4E140">
      <w:pPr>
        <w:spacing w:line="365" w:lineRule="auto"/>
        <w:ind w:firstLine="600" w:firstLineChars="249"/>
        <w:rPr>
          <w:rFonts w:hint="eastAsia" w:ascii="宋体" w:hAnsi="宋体" w:eastAsia="宋体" w:cs="宋体"/>
          <w:b/>
          <w:bCs/>
          <w:szCs w:val="24"/>
        </w:rPr>
      </w:pPr>
      <w:r>
        <w:rPr>
          <w:rFonts w:hint="eastAsia" w:ascii="宋体" w:hAnsi="宋体" w:eastAsia="宋体" w:cs="宋体"/>
          <w:b/>
          <w:szCs w:val="24"/>
        </w:rPr>
        <w:t>3-6、评分标准：</w:t>
      </w:r>
    </w:p>
    <w:tbl>
      <w:tblPr>
        <w:tblStyle w:val="2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71"/>
        <w:gridCol w:w="7211"/>
      </w:tblGrid>
      <w:tr w14:paraId="4980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4411F16B">
            <w:pPr>
              <w:widowControl w:val="0"/>
              <w:snapToGrid w:val="0"/>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评标</w:t>
            </w:r>
          </w:p>
          <w:p w14:paraId="2BFBB42D">
            <w:pPr>
              <w:widowControl w:val="0"/>
              <w:snapToGrid w:val="0"/>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因素</w:t>
            </w:r>
          </w:p>
        </w:tc>
        <w:tc>
          <w:tcPr>
            <w:tcW w:w="1571" w:type="dxa"/>
            <w:tcBorders>
              <w:top w:val="single" w:color="auto" w:sz="4" w:space="0"/>
              <w:left w:val="single" w:color="auto" w:sz="4" w:space="0"/>
              <w:right w:val="single" w:color="auto" w:sz="4" w:space="0"/>
            </w:tcBorders>
            <w:vAlign w:val="center"/>
          </w:tcPr>
          <w:p w14:paraId="00552DE8">
            <w:pPr>
              <w:widowControl w:val="0"/>
              <w:snapToGrid w:val="0"/>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权值%</w:t>
            </w:r>
          </w:p>
        </w:tc>
        <w:tc>
          <w:tcPr>
            <w:tcW w:w="7211" w:type="dxa"/>
            <w:tcBorders>
              <w:top w:val="single" w:color="auto" w:sz="4" w:space="0"/>
              <w:left w:val="single" w:color="auto" w:sz="4" w:space="0"/>
              <w:bottom w:val="single" w:color="auto" w:sz="4" w:space="0"/>
              <w:right w:val="single" w:color="auto" w:sz="4" w:space="0"/>
            </w:tcBorders>
            <w:vAlign w:val="center"/>
          </w:tcPr>
          <w:p w14:paraId="666195F0">
            <w:pPr>
              <w:widowControl w:val="0"/>
              <w:snapToGrid w:val="0"/>
              <w:spacing w:line="360" w:lineRule="auto"/>
              <w:ind w:firstLine="360" w:firstLineChars="150"/>
              <w:jc w:val="center"/>
              <w:rPr>
                <w:rFonts w:hint="eastAsia" w:ascii="宋体" w:hAnsi="宋体" w:eastAsia="宋体" w:cs="宋体"/>
                <w:kern w:val="2"/>
                <w:lang w:val="zh-CN"/>
              </w:rPr>
            </w:pPr>
            <w:r>
              <w:rPr>
                <w:rFonts w:hint="eastAsia" w:ascii="宋体" w:hAnsi="宋体" w:eastAsia="宋体" w:cs="宋体"/>
                <w:kern w:val="2"/>
                <w:lang w:val="zh-CN"/>
              </w:rPr>
              <w:t>评价要素</w:t>
            </w:r>
          </w:p>
        </w:tc>
      </w:tr>
      <w:tr w14:paraId="58EE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494B2DD">
            <w:pPr>
              <w:widowControl w:val="0"/>
              <w:snapToGrid w:val="0"/>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价格</w:t>
            </w:r>
          </w:p>
        </w:tc>
        <w:tc>
          <w:tcPr>
            <w:tcW w:w="1571" w:type="dxa"/>
            <w:tcBorders>
              <w:top w:val="single" w:color="auto" w:sz="4" w:space="0"/>
              <w:left w:val="single" w:color="auto" w:sz="4" w:space="0"/>
              <w:bottom w:val="single" w:color="auto" w:sz="4" w:space="0"/>
              <w:right w:val="single" w:color="auto" w:sz="4" w:space="0"/>
            </w:tcBorders>
            <w:vAlign w:val="center"/>
          </w:tcPr>
          <w:p w14:paraId="6A17BB26">
            <w:pPr>
              <w:widowControl w:val="0"/>
              <w:snapToGrid w:val="0"/>
              <w:spacing w:line="360" w:lineRule="auto"/>
              <w:jc w:val="center"/>
              <w:rPr>
                <w:rFonts w:hint="default" w:ascii="宋体" w:hAnsi="宋体" w:eastAsia="宋体" w:cs="宋体"/>
                <w:kern w:val="2"/>
                <w:lang w:val="en-US" w:eastAsia="zh-CN"/>
              </w:rPr>
            </w:pPr>
            <w:r>
              <w:rPr>
                <w:rFonts w:hint="eastAsia" w:ascii="宋体" w:hAnsi="宋体" w:eastAsia="宋体" w:cs="宋体"/>
                <w:kern w:val="2"/>
                <w:lang w:val="en-US" w:eastAsia="zh-CN"/>
              </w:rPr>
              <w:t>10分</w:t>
            </w:r>
          </w:p>
        </w:tc>
        <w:tc>
          <w:tcPr>
            <w:tcW w:w="7211" w:type="dxa"/>
            <w:tcBorders>
              <w:top w:val="single" w:color="auto" w:sz="4" w:space="0"/>
              <w:left w:val="single" w:color="auto" w:sz="4" w:space="0"/>
              <w:bottom w:val="single" w:color="auto" w:sz="4" w:space="0"/>
              <w:right w:val="single" w:color="auto" w:sz="4" w:space="0"/>
            </w:tcBorders>
            <w:vAlign w:val="center"/>
          </w:tcPr>
          <w:p w14:paraId="289643EE">
            <w:pPr>
              <w:widowControl w:val="0"/>
              <w:adjustRightInd w:val="0"/>
              <w:snapToGrid w:val="0"/>
              <w:spacing w:line="360" w:lineRule="auto"/>
              <w:ind w:firstLine="480" w:firstLineChars="200"/>
              <w:jc w:val="both"/>
              <w:rPr>
                <w:rFonts w:hint="eastAsia" w:ascii="宋体" w:hAnsi="宋体" w:eastAsia="宋体" w:cs="宋体"/>
                <w:kern w:val="2"/>
              </w:rPr>
            </w:pPr>
            <w:r>
              <w:rPr>
                <w:rFonts w:hint="eastAsia" w:ascii="宋体" w:hAnsi="宋体" w:eastAsia="宋体" w:cs="宋体"/>
                <w:kern w:val="2"/>
              </w:rPr>
              <w:t>价格分采用低价优先法计算，即满足招标文件要求且投标</w:t>
            </w:r>
            <w:r>
              <w:rPr>
                <w:rFonts w:hint="eastAsia" w:ascii="宋体" w:hAnsi="宋体" w:eastAsia="宋体" w:cs="宋体"/>
                <w:kern w:val="2"/>
                <w:lang w:val="en-US" w:eastAsia="zh-CN"/>
              </w:rPr>
              <w:t>报价</w:t>
            </w:r>
            <w:r>
              <w:rPr>
                <w:rFonts w:hint="eastAsia" w:ascii="宋体" w:hAnsi="宋体" w:eastAsia="宋体" w:cs="宋体"/>
                <w:kern w:val="2"/>
              </w:rPr>
              <w:t>最低的投标报价为评审基准价，其价格分为</w:t>
            </w:r>
            <w:r>
              <w:rPr>
                <w:rFonts w:hint="eastAsia" w:ascii="宋体" w:hAnsi="宋体" w:eastAsia="宋体" w:cs="宋体"/>
                <w:kern w:val="2"/>
                <w:lang w:val="en-US" w:eastAsia="zh-CN"/>
              </w:rPr>
              <w:t>1</w:t>
            </w:r>
            <w:r>
              <w:rPr>
                <w:rFonts w:hint="eastAsia" w:ascii="宋体" w:hAnsi="宋体" w:eastAsia="宋体" w:cs="宋体"/>
                <w:kern w:val="2"/>
              </w:rPr>
              <w:t>0分满分。其他投标人的价格分统一按照下列公式计算：投标报价得分=（评审基准价/投标报价）×价格权值×100</w:t>
            </w:r>
          </w:p>
          <w:p w14:paraId="7503C611">
            <w:pPr>
              <w:spacing w:line="365" w:lineRule="auto"/>
              <w:ind w:firstLine="480" w:firstLineChars="200"/>
              <w:jc w:val="left"/>
              <w:rPr>
                <w:rFonts w:hint="eastAsia" w:ascii="宋体" w:hAnsi="宋体" w:eastAsia="宋体" w:cs="宋体"/>
                <w:szCs w:val="24"/>
              </w:rPr>
            </w:pPr>
            <w:r>
              <w:rPr>
                <w:rFonts w:hint="eastAsia" w:ascii="宋体" w:hAnsi="宋体" w:eastAsia="宋体" w:cs="宋体"/>
                <w:szCs w:val="24"/>
              </w:rPr>
              <w:t>注：（1）根据《政府采购促进中小企业发展管理办法》、财库〔2022〕19号的相关规定，投标人是小微企业的，其报价给予10％的扣除，用扣除后的价格参与评审。</w:t>
            </w:r>
          </w:p>
          <w:p w14:paraId="1054916A">
            <w:pPr>
              <w:spacing w:line="365" w:lineRule="auto"/>
              <w:ind w:firstLine="480" w:firstLineChars="200"/>
              <w:jc w:val="left"/>
              <w:rPr>
                <w:rFonts w:hint="eastAsia" w:ascii="宋体" w:hAnsi="宋体" w:eastAsia="宋体" w:cs="宋体"/>
                <w:szCs w:val="24"/>
              </w:rPr>
            </w:pPr>
            <w:r>
              <w:rPr>
                <w:rFonts w:hint="eastAsia" w:ascii="宋体" w:hAnsi="宋体" w:eastAsia="宋体" w:cs="宋体"/>
                <w:szCs w:val="24"/>
              </w:rPr>
              <w:t>（2）根据财库[2014]68 号《财政部司法部关于政府采购支持监狱企业发展有关问题的通知》规定，符合条件的监狱企业，享受政府采购扶持政策。监狱企业视同小型、微型企业，享受评审中价格扣除等政府采购促进中小企业发展的政府采购政策。</w:t>
            </w:r>
          </w:p>
          <w:p w14:paraId="3346DB34">
            <w:pPr>
              <w:widowControl w:val="0"/>
              <w:adjustRightInd w:val="0"/>
              <w:snapToGrid w:val="0"/>
              <w:spacing w:line="360" w:lineRule="auto"/>
              <w:jc w:val="both"/>
              <w:rPr>
                <w:rFonts w:hint="eastAsia" w:ascii="宋体" w:hAnsi="宋体" w:eastAsia="宋体" w:cs="宋体"/>
                <w:kern w:val="2"/>
                <w:lang w:val="en-US" w:eastAsia="zh-CN"/>
              </w:rPr>
            </w:pPr>
            <w:r>
              <w:rPr>
                <w:rFonts w:hint="eastAsia" w:ascii="宋体" w:hAnsi="宋体" w:eastAsia="宋体" w:cs="宋体"/>
                <w:szCs w:val="24"/>
              </w:rPr>
              <w:t>（3）根据《财政部民政部中国残疾人联合会关于促进残疾人就业政府采购政策的通知》（财库〔2017〕141号）的规定，投标人投标是残疾人福利性单位的，其报价给予 10％的扣除，用扣除后的价格参与投标报价计算。</w:t>
            </w:r>
            <w:r>
              <w:rPr>
                <w:rFonts w:hint="eastAsia" w:ascii="宋体" w:hAnsi="宋体" w:eastAsia="宋体" w:cs="宋体"/>
                <w:b/>
                <w:bCs/>
                <w:szCs w:val="24"/>
              </w:rPr>
              <w:t>小型、微型企业、监狱企业、残疾人福利性单位以上政策同时具备的仅对其进行一次10%的价格扣除，不重复扣除</w:t>
            </w:r>
            <w:r>
              <w:rPr>
                <w:rFonts w:hint="eastAsia" w:ascii="宋体" w:hAnsi="宋体" w:eastAsia="宋体" w:cs="宋体"/>
                <w:szCs w:val="24"/>
              </w:rPr>
              <w:t>。</w:t>
            </w:r>
          </w:p>
        </w:tc>
      </w:tr>
      <w:tr w14:paraId="00CC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950" w:type="dxa"/>
            <w:vMerge w:val="restart"/>
            <w:tcBorders>
              <w:top w:val="single" w:color="auto" w:sz="4" w:space="0"/>
              <w:left w:val="single" w:color="auto" w:sz="4" w:space="0"/>
              <w:right w:val="single" w:color="auto" w:sz="4" w:space="0"/>
            </w:tcBorders>
            <w:vAlign w:val="center"/>
          </w:tcPr>
          <w:p w14:paraId="59EB5D47">
            <w:pPr>
              <w:widowControl w:val="0"/>
              <w:adjustRightInd w:val="0"/>
              <w:snapToGrid w:val="0"/>
              <w:spacing w:line="360" w:lineRule="auto"/>
              <w:jc w:val="center"/>
              <w:rPr>
                <w:rFonts w:hint="eastAsia" w:ascii="宋体" w:hAnsi="宋体" w:eastAsia="宋体" w:cs="宋体"/>
                <w:kern w:val="2"/>
              </w:rPr>
            </w:pPr>
            <w:r>
              <w:rPr>
                <w:rFonts w:hint="eastAsia" w:ascii="宋体" w:hAnsi="宋体" w:eastAsia="宋体" w:cs="宋体"/>
                <w:kern w:val="2"/>
                <w:lang w:val="zh-CN"/>
              </w:rPr>
              <w:t>项目方案</w:t>
            </w:r>
          </w:p>
        </w:tc>
        <w:tc>
          <w:tcPr>
            <w:tcW w:w="1571" w:type="dxa"/>
            <w:tcBorders>
              <w:top w:val="single" w:color="auto" w:sz="4" w:space="0"/>
              <w:left w:val="single" w:color="auto" w:sz="4" w:space="0"/>
              <w:right w:val="single" w:color="auto" w:sz="4" w:space="0"/>
            </w:tcBorders>
            <w:vAlign w:val="center"/>
          </w:tcPr>
          <w:p w14:paraId="7E0B9BDE">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整体方案（12分）</w:t>
            </w:r>
          </w:p>
        </w:tc>
        <w:tc>
          <w:tcPr>
            <w:tcW w:w="7211" w:type="dxa"/>
            <w:tcBorders>
              <w:top w:val="single" w:color="auto" w:sz="4" w:space="0"/>
              <w:left w:val="single" w:color="auto" w:sz="4" w:space="0"/>
              <w:bottom w:val="single" w:color="auto" w:sz="4" w:space="0"/>
              <w:right w:val="single" w:color="auto" w:sz="4" w:space="0"/>
            </w:tcBorders>
            <w:vAlign w:val="center"/>
          </w:tcPr>
          <w:p w14:paraId="64C5AECB">
            <w:pPr>
              <w:pStyle w:val="120"/>
              <w:numPr>
                <w:ilvl w:val="0"/>
                <w:numId w:val="0"/>
              </w:numPr>
              <w:spacing w:before="25" w:line="294" w:lineRule="auto"/>
              <w:ind w:right="49" w:rightChars="0"/>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en-US" w:eastAsia="zh-CN" w:bidi="ar-SA"/>
              </w:rPr>
              <w:t>供应商针对项目服务主要内容、服务工作要求、质量标准制订切实可行的整体服务方案。方案思路清晰、科学合理、切实可行，完全满足采购人需求计8-12 分；方案基本完善，可实施性一般计3-8分；方案简单，内容空泛，不利于项目实施的计1-3分；未提供不计分。</w:t>
            </w:r>
          </w:p>
        </w:tc>
      </w:tr>
      <w:tr w14:paraId="2BA9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0" w:type="dxa"/>
            <w:vMerge w:val="continue"/>
            <w:tcBorders>
              <w:left w:val="single" w:color="auto" w:sz="4" w:space="0"/>
              <w:right w:val="single" w:color="auto" w:sz="4" w:space="0"/>
            </w:tcBorders>
            <w:vAlign w:val="center"/>
          </w:tcPr>
          <w:p w14:paraId="48440A92">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right w:val="single" w:color="auto" w:sz="4" w:space="0"/>
            </w:tcBorders>
            <w:vAlign w:val="center"/>
          </w:tcPr>
          <w:p w14:paraId="644CC085">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硬件配备（5分）</w:t>
            </w:r>
          </w:p>
        </w:tc>
        <w:tc>
          <w:tcPr>
            <w:tcW w:w="7211" w:type="dxa"/>
            <w:tcBorders>
              <w:top w:val="single" w:color="auto" w:sz="4" w:space="0"/>
              <w:left w:val="single" w:color="auto" w:sz="4" w:space="0"/>
              <w:bottom w:val="single" w:color="auto" w:sz="4" w:space="0"/>
              <w:right w:val="single" w:color="auto" w:sz="4" w:space="0"/>
            </w:tcBorders>
            <w:vAlign w:val="center"/>
          </w:tcPr>
          <w:p w14:paraId="2BB9E816">
            <w:pPr>
              <w:pStyle w:val="120"/>
              <w:numPr>
                <w:ilvl w:val="0"/>
                <w:numId w:val="0"/>
              </w:numPr>
              <w:spacing w:before="25" w:line="294" w:lineRule="auto"/>
              <w:ind w:right="49" w:rightChars="0"/>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zh-CN" w:eastAsia="zh-CN" w:bidi="ar-SA"/>
              </w:rPr>
              <w:t>硬件设备配置评审：需提供相关证明材料：设备采购发票、场地设施图片等复印件，应包含</w:t>
            </w:r>
            <w:r>
              <w:rPr>
                <w:rFonts w:hint="eastAsia" w:ascii="宋体" w:hAnsi="宋体" w:eastAsia="宋体" w:cs="宋体"/>
                <w:kern w:val="2"/>
                <w:sz w:val="24"/>
                <w:szCs w:val="22"/>
                <w:lang w:val="en-US" w:eastAsia="zh-CN" w:bidi="ar-SA"/>
              </w:rPr>
              <w:t>但不限于</w:t>
            </w:r>
            <w:r>
              <w:rPr>
                <w:rFonts w:hint="eastAsia" w:ascii="宋体" w:hAnsi="宋体" w:eastAsia="宋体" w:cs="宋体"/>
                <w:kern w:val="2"/>
                <w:sz w:val="24"/>
                <w:szCs w:val="22"/>
                <w:lang w:val="zh-CN" w:eastAsia="zh-CN" w:bidi="ar-SA"/>
              </w:rPr>
              <w:t>：固定办公场所、操作间、仓库、餐厅、设施、设备、运输车辆、员工团队。按其响应程度计分。</w:t>
            </w:r>
          </w:p>
          <w:p w14:paraId="21F1E5C2">
            <w:pPr>
              <w:pStyle w:val="120"/>
              <w:numPr>
                <w:ilvl w:val="0"/>
                <w:numId w:val="0"/>
              </w:numPr>
              <w:spacing w:before="25" w:line="294" w:lineRule="auto"/>
              <w:ind w:right="49" w:rightChars="0"/>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en-US" w:eastAsia="zh-CN" w:bidi="ar-SA"/>
              </w:rPr>
              <w:t>证明资料齐全计分3-5分；证明资料不全，缺项多计1-3分。未提供不得分。</w:t>
            </w:r>
          </w:p>
        </w:tc>
      </w:tr>
      <w:tr w14:paraId="1F7C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0" w:type="dxa"/>
            <w:vMerge w:val="continue"/>
            <w:tcBorders>
              <w:left w:val="single" w:color="auto" w:sz="4" w:space="0"/>
              <w:right w:val="single" w:color="auto" w:sz="4" w:space="0"/>
            </w:tcBorders>
            <w:vAlign w:val="center"/>
          </w:tcPr>
          <w:p w14:paraId="76F3705A">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right w:val="single" w:color="auto" w:sz="4" w:space="0"/>
            </w:tcBorders>
            <w:vAlign w:val="center"/>
          </w:tcPr>
          <w:p w14:paraId="6206C02A">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配送车辆（3分）</w:t>
            </w:r>
          </w:p>
        </w:tc>
        <w:tc>
          <w:tcPr>
            <w:tcW w:w="7211" w:type="dxa"/>
            <w:tcBorders>
              <w:top w:val="single" w:color="auto" w:sz="4" w:space="0"/>
              <w:left w:val="single" w:color="auto" w:sz="4" w:space="0"/>
              <w:bottom w:val="single" w:color="auto" w:sz="4" w:space="0"/>
              <w:right w:val="single" w:color="auto" w:sz="4" w:space="0"/>
            </w:tcBorders>
            <w:vAlign w:val="center"/>
          </w:tcPr>
          <w:p w14:paraId="70D06279">
            <w:pPr>
              <w:pStyle w:val="120"/>
              <w:numPr>
                <w:ilvl w:val="0"/>
                <w:numId w:val="0"/>
              </w:numPr>
              <w:spacing w:before="25" w:line="294" w:lineRule="auto"/>
              <w:ind w:right="49" w:rightChars="0"/>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zh-CN" w:eastAsia="zh-CN" w:bidi="ar-SA"/>
              </w:rPr>
              <w:t>有符合安全运输标准的运输专用车辆等相关配送设备，能满足</w:t>
            </w:r>
            <w:r>
              <w:rPr>
                <w:rFonts w:hint="eastAsia" w:ascii="宋体" w:hAnsi="宋体" w:eastAsia="宋体" w:cs="宋体"/>
                <w:kern w:val="2"/>
                <w:sz w:val="24"/>
                <w:szCs w:val="22"/>
                <w:lang w:val="en-US" w:eastAsia="zh-CN" w:bidi="ar-SA"/>
              </w:rPr>
              <w:t>食品</w:t>
            </w:r>
            <w:r>
              <w:rPr>
                <w:rFonts w:hint="eastAsia" w:ascii="宋体" w:hAnsi="宋体" w:eastAsia="宋体" w:cs="宋体"/>
                <w:kern w:val="2"/>
                <w:sz w:val="24"/>
                <w:szCs w:val="22"/>
                <w:lang w:val="zh-CN" w:eastAsia="zh-CN" w:bidi="ar-SA"/>
              </w:rPr>
              <w:t>保温保鲜等配送要求，提供车辆行驶证等相关证明文件，具有自有专用厢式运输货车</w:t>
            </w:r>
            <w:r>
              <w:rPr>
                <w:rFonts w:hint="eastAsia" w:ascii="宋体" w:hAnsi="宋体" w:eastAsia="宋体" w:cs="宋体"/>
                <w:kern w:val="2"/>
                <w:sz w:val="24"/>
                <w:szCs w:val="22"/>
                <w:lang w:val="en-US" w:eastAsia="zh-CN" w:bidi="ar-SA"/>
              </w:rPr>
              <w:t>3</w:t>
            </w:r>
            <w:r>
              <w:rPr>
                <w:rFonts w:hint="eastAsia" w:ascii="宋体" w:hAnsi="宋体" w:eastAsia="宋体" w:cs="宋体"/>
                <w:kern w:val="2"/>
                <w:sz w:val="24"/>
                <w:szCs w:val="22"/>
                <w:lang w:val="zh-CN" w:eastAsia="zh-CN" w:bidi="ar-SA"/>
              </w:rPr>
              <w:t>辆及</w:t>
            </w:r>
            <w:r>
              <w:rPr>
                <w:rFonts w:hint="eastAsia" w:ascii="宋体" w:hAnsi="宋体" w:eastAsia="宋体" w:cs="宋体"/>
                <w:kern w:val="2"/>
                <w:sz w:val="24"/>
                <w:szCs w:val="22"/>
                <w:lang w:val="en-US" w:eastAsia="zh-CN" w:bidi="ar-SA"/>
              </w:rPr>
              <w:t>3</w:t>
            </w:r>
            <w:r>
              <w:rPr>
                <w:rFonts w:hint="eastAsia" w:ascii="宋体" w:hAnsi="宋体" w:eastAsia="宋体" w:cs="宋体"/>
                <w:kern w:val="2"/>
                <w:sz w:val="24"/>
                <w:szCs w:val="22"/>
                <w:lang w:val="zh-CN" w:eastAsia="zh-CN" w:bidi="ar-SA"/>
              </w:rPr>
              <w:t>辆以上，证照齐全计</w:t>
            </w:r>
            <w:r>
              <w:rPr>
                <w:rFonts w:hint="eastAsia" w:ascii="宋体" w:hAnsi="宋体" w:eastAsia="宋体" w:cs="宋体"/>
                <w:kern w:val="2"/>
                <w:sz w:val="24"/>
                <w:szCs w:val="22"/>
                <w:lang w:val="en-US" w:eastAsia="zh-CN" w:bidi="ar-SA"/>
              </w:rPr>
              <w:t>3</w:t>
            </w:r>
            <w:r>
              <w:rPr>
                <w:rFonts w:hint="eastAsia" w:ascii="宋体" w:hAnsi="宋体" w:eastAsia="宋体" w:cs="宋体"/>
                <w:kern w:val="2"/>
                <w:sz w:val="24"/>
                <w:szCs w:val="22"/>
                <w:lang w:val="zh-CN" w:eastAsia="zh-CN" w:bidi="ar-SA"/>
              </w:rPr>
              <w:t>分；具有自有专用厢式运输货车</w:t>
            </w:r>
            <w:r>
              <w:rPr>
                <w:rFonts w:hint="eastAsia" w:ascii="宋体" w:hAnsi="宋体" w:eastAsia="宋体" w:cs="宋体"/>
                <w:kern w:val="2"/>
                <w:sz w:val="24"/>
                <w:szCs w:val="22"/>
                <w:lang w:val="en-US" w:eastAsia="zh-CN" w:bidi="ar-SA"/>
              </w:rPr>
              <w:t>1</w:t>
            </w:r>
            <w:r>
              <w:rPr>
                <w:rFonts w:hint="eastAsia" w:ascii="宋体" w:hAnsi="宋体" w:eastAsia="宋体" w:cs="宋体"/>
                <w:kern w:val="2"/>
                <w:sz w:val="24"/>
                <w:szCs w:val="22"/>
                <w:lang w:val="zh-CN" w:eastAsia="zh-CN" w:bidi="ar-SA"/>
              </w:rPr>
              <w:t>辆</w:t>
            </w:r>
            <w:r>
              <w:rPr>
                <w:rFonts w:hint="eastAsia" w:ascii="宋体" w:hAnsi="宋体" w:eastAsia="宋体" w:cs="宋体"/>
                <w:kern w:val="2"/>
                <w:sz w:val="24"/>
                <w:szCs w:val="22"/>
                <w:lang w:val="en-US" w:eastAsia="zh-CN" w:bidi="ar-SA"/>
              </w:rPr>
              <w:t>及以</w:t>
            </w:r>
            <w:r>
              <w:rPr>
                <w:rFonts w:hint="eastAsia" w:ascii="宋体" w:hAnsi="宋体" w:eastAsia="宋体" w:cs="宋体"/>
                <w:kern w:val="2"/>
                <w:sz w:val="24"/>
                <w:szCs w:val="22"/>
                <w:lang w:val="zh-CN" w:eastAsia="zh-CN" w:bidi="ar-SA"/>
              </w:rPr>
              <w:t>上</w:t>
            </w:r>
            <w:r>
              <w:rPr>
                <w:rFonts w:hint="eastAsia" w:ascii="宋体" w:hAnsi="宋体" w:eastAsia="宋体" w:cs="宋体"/>
                <w:kern w:val="2"/>
                <w:sz w:val="24"/>
                <w:szCs w:val="22"/>
                <w:lang w:val="en-US" w:eastAsia="zh-CN" w:bidi="ar-SA"/>
              </w:rPr>
              <w:t>不足3辆</w:t>
            </w:r>
            <w:r>
              <w:rPr>
                <w:rFonts w:hint="eastAsia" w:ascii="宋体" w:hAnsi="宋体" w:eastAsia="宋体" w:cs="宋体"/>
                <w:kern w:val="2"/>
                <w:sz w:val="24"/>
                <w:szCs w:val="22"/>
                <w:lang w:val="zh-CN" w:eastAsia="zh-CN" w:bidi="ar-SA"/>
              </w:rPr>
              <w:t>，证照齐全计</w:t>
            </w:r>
            <w:r>
              <w:rPr>
                <w:rFonts w:hint="eastAsia" w:ascii="宋体" w:hAnsi="宋体" w:eastAsia="宋体" w:cs="宋体"/>
                <w:kern w:val="2"/>
                <w:sz w:val="24"/>
                <w:szCs w:val="22"/>
                <w:lang w:val="en-US" w:eastAsia="zh-CN" w:bidi="ar-SA"/>
              </w:rPr>
              <w:t>2</w:t>
            </w:r>
            <w:r>
              <w:rPr>
                <w:rFonts w:hint="eastAsia" w:ascii="宋体" w:hAnsi="宋体" w:eastAsia="宋体" w:cs="宋体"/>
                <w:kern w:val="2"/>
                <w:sz w:val="24"/>
                <w:szCs w:val="22"/>
                <w:lang w:val="zh-CN" w:eastAsia="zh-CN" w:bidi="ar-SA"/>
              </w:rPr>
              <w:t>分；无自有车辆，计0分。</w:t>
            </w:r>
          </w:p>
        </w:tc>
      </w:tr>
      <w:tr w14:paraId="396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0" w:type="dxa"/>
            <w:vMerge w:val="continue"/>
            <w:tcBorders>
              <w:left w:val="single" w:color="auto" w:sz="4" w:space="0"/>
              <w:right w:val="single" w:color="auto" w:sz="4" w:space="0"/>
            </w:tcBorders>
            <w:vAlign w:val="center"/>
          </w:tcPr>
          <w:p w14:paraId="5DDC83C0">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right w:val="single" w:color="auto" w:sz="4" w:space="0"/>
            </w:tcBorders>
            <w:vAlign w:val="center"/>
          </w:tcPr>
          <w:p w14:paraId="3EB4E1CA">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项目团队（3分）</w:t>
            </w:r>
          </w:p>
        </w:tc>
        <w:tc>
          <w:tcPr>
            <w:tcW w:w="7211" w:type="dxa"/>
            <w:tcBorders>
              <w:top w:val="single" w:color="auto" w:sz="4" w:space="0"/>
              <w:left w:val="single" w:color="auto" w:sz="4" w:space="0"/>
              <w:bottom w:val="single" w:color="auto" w:sz="4" w:space="0"/>
              <w:right w:val="single" w:color="auto" w:sz="4" w:space="0"/>
            </w:tcBorders>
            <w:vAlign w:val="center"/>
          </w:tcPr>
          <w:p w14:paraId="5E965A04">
            <w:pPr>
              <w:pStyle w:val="120"/>
              <w:spacing w:before="26" w:line="294" w:lineRule="auto"/>
              <w:ind w:right="106"/>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zh-CN" w:eastAsia="zh-CN" w:bidi="ar-SA"/>
              </w:rPr>
              <w:t>提供</w:t>
            </w:r>
            <w:r>
              <w:rPr>
                <w:rFonts w:hint="eastAsia" w:ascii="宋体" w:hAnsi="宋体" w:eastAsia="宋体" w:cs="宋体"/>
                <w:kern w:val="2"/>
                <w:sz w:val="24"/>
                <w:szCs w:val="22"/>
                <w:lang w:val="en-US" w:eastAsia="zh-CN" w:bidi="ar-SA"/>
              </w:rPr>
              <w:t>食品安全固定工作</w:t>
            </w:r>
            <w:r>
              <w:rPr>
                <w:rFonts w:hint="eastAsia" w:ascii="宋体" w:hAnsi="宋体" w:eastAsia="宋体" w:cs="宋体"/>
                <w:kern w:val="2"/>
                <w:sz w:val="24"/>
                <w:szCs w:val="22"/>
                <w:lang w:val="zh-CN" w:eastAsia="zh-CN" w:bidi="ar-SA"/>
              </w:rPr>
              <w:t>人员、配送队伍花名册（并提供人员身份证、健康证及主要管理人员劳</w:t>
            </w:r>
            <w:r>
              <w:rPr>
                <w:rFonts w:hint="eastAsia" w:ascii="宋体" w:hAnsi="宋体" w:eastAsia="宋体" w:cs="宋体"/>
                <w:kern w:val="2"/>
                <w:sz w:val="24"/>
                <w:szCs w:val="22"/>
                <w:lang w:val="en-US" w:eastAsia="zh-CN" w:bidi="ar-SA"/>
              </w:rPr>
              <w:t>动</w:t>
            </w:r>
            <w:r>
              <w:rPr>
                <w:rFonts w:hint="eastAsia" w:ascii="宋体" w:hAnsi="宋体" w:eastAsia="宋体" w:cs="宋体"/>
                <w:kern w:val="2"/>
                <w:sz w:val="24"/>
                <w:szCs w:val="22"/>
                <w:lang w:val="zh-CN" w:eastAsia="zh-CN" w:bidi="ar-SA"/>
              </w:rPr>
              <w:t>合同等，司机须提供驾驶证），人员证件齐全，人员数量</w:t>
            </w:r>
            <w:r>
              <w:rPr>
                <w:rFonts w:hint="eastAsia" w:ascii="宋体" w:hAnsi="宋体" w:eastAsia="宋体" w:cs="宋体"/>
                <w:kern w:val="2"/>
                <w:sz w:val="24"/>
                <w:szCs w:val="22"/>
                <w:lang w:val="en-US" w:eastAsia="zh-CN" w:bidi="ar-SA"/>
              </w:rPr>
              <w:t>10</w:t>
            </w:r>
            <w:r>
              <w:rPr>
                <w:rFonts w:hint="eastAsia" w:ascii="宋体" w:hAnsi="宋体" w:eastAsia="宋体" w:cs="宋体"/>
                <w:kern w:val="2"/>
                <w:sz w:val="24"/>
                <w:szCs w:val="22"/>
                <w:lang w:val="zh-CN" w:eastAsia="zh-CN" w:bidi="ar-SA"/>
              </w:rPr>
              <w:t>人</w:t>
            </w:r>
            <w:r>
              <w:rPr>
                <w:rFonts w:hint="eastAsia" w:ascii="宋体" w:hAnsi="宋体" w:eastAsia="宋体" w:cs="宋体"/>
                <w:kern w:val="2"/>
                <w:sz w:val="24"/>
                <w:szCs w:val="22"/>
                <w:lang w:val="en-US" w:eastAsia="zh-CN" w:bidi="ar-SA"/>
              </w:rPr>
              <w:t>及</w:t>
            </w:r>
            <w:r>
              <w:rPr>
                <w:rFonts w:hint="eastAsia" w:ascii="宋体" w:hAnsi="宋体" w:eastAsia="宋体" w:cs="宋体"/>
                <w:kern w:val="2"/>
                <w:sz w:val="24"/>
                <w:szCs w:val="22"/>
                <w:lang w:val="zh-CN" w:eastAsia="zh-CN" w:bidi="ar-SA"/>
              </w:rPr>
              <w:t>以上，计</w:t>
            </w:r>
            <w:r>
              <w:rPr>
                <w:rFonts w:hint="eastAsia" w:ascii="宋体" w:hAnsi="宋体" w:eastAsia="宋体" w:cs="宋体"/>
                <w:kern w:val="2"/>
                <w:sz w:val="24"/>
                <w:szCs w:val="22"/>
                <w:lang w:val="en-US" w:eastAsia="zh-CN" w:bidi="ar-SA"/>
              </w:rPr>
              <w:t>3</w:t>
            </w:r>
            <w:r>
              <w:rPr>
                <w:rFonts w:hint="eastAsia" w:ascii="宋体" w:hAnsi="宋体" w:eastAsia="宋体" w:cs="宋体"/>
                <w:kern w:val="2"/>
                <w:sz w:val="24"/>
                <w:szCs w:val="22"/>
                <w:lang w:val="zh-CN" w:eastAsia="zh-CN" w:bidi="ar-SA"/>
              </w:rPr>
              <w:t>分；人员数量</w:t>
            </w:r>
            <w:r>
              <w:rPr>
                <w:rFonts w:hint="eastAsia" w:ascii="宋体" w:hAnsi="宋体" w:eastAsia="宋体" w:cs="宋体"/>
                <w:kern w:val="2"/>
                <w:sz w:val="24"/>
                <w:szCs w:val="22"/>
                <w:lang w:val="en-US" w:eastAsia="zh-CN" w:bidi="ar-SA"/>
              </w:rPr>
              <w:t>5（含）-10（不含）</w:t>
            </w:r>
            <w:r>
              <w:rPr>
                <w:rFonts w:hint="eastAsia" w:ascii="宋体" w:hAnsi="宋体" w:eastAsia="宋体" w:cs="宋体"/>
                <w:kern w:val="2"/>
                <w:sz w:val="24"/>
                <w:szCs w:val="22"/>
                <w:lang w:val="zh-CN" w:eastAsia="zh-CN" w:bidi="ar-SA"/>
              </w:rPr>
              <w:t>人，计</w:t>
            </w:r>
            <w:r>
              <w:rPr>
                <w:rFonts w:hint="eastAsia" w:ascii="宋体" w:hAnsi="宋体" w:eastAsia="宋体" w:cs="宋体"/>
                <w:kern w:val="2"/>
                <w:sz w:val="24"/>
                <w:szCs w:val="22"/>
                <w:lang w:val="en-US" w:eastAsia="zh-CN" w:bidi="ar-SA"/>
              </w:rPr>
              <w:t>2</w:t>
            </w:r>
            <w:r>
              <w:rPr>
                <w:rFonts w:hint="eastAsia" w:ascii="宋体" w:hAnsi="宋体" w:eastAsia="宋体" w:cs="宋体"/>
                <w:kern w:val="2"/>
                <w:sz w:val="24"/>
                <w:szCs w:val="22"/>
                <w:lang w:val="zh-CN" w:eastAsia="zh-CN" w:bidi="ar-SA"/>
              </w:rPr>
              <w:t>分；</w:t>
            </w:r>
            <w:r>
              <w:rPr>
                <w:rFonts w:hint="eastAsia" w:ascii="宋体" w:hAnsi="宋体" w:eastAsia="宋体" w:cs="宋体"/>
                <w:kern w:val="2"/>
                <w:sz w:val="24"/>
                <w:szCs w:val="22"/>
                <w:lang w:val="en-US" w:eastAsia="zh-CN" w:bidi="ar-SA"/>
              </w:rPr>
              <w:t>5人以下不得分。</w:t>
            </w:r>
          </w:p>
        </w:tc>
      </w:tr>
      <w:tr w14:paraId="38DD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0" w:type="dxa"/>
            <w:vMerge w:val="continue"/>
            <w:tcBorders>
              <w:left w:val="single" w:color="auto" w:sz="4" w:space="0"/>
              <w:right w:val="single" w:color="auto" w:sz="4" w:space="0"/>
            </w:tcBorders>
            <w:vAlign w:val="center"/>
          </w:tcPr>
          <w:p w14:paraId="64747336">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right w:val="single" w:color="auto" w:sz="4" w:space="0"/>
            </w:tcBorders>
            <w:vAlign w:val="center"/>
          </w:tcPr>
          <w:p w14:paraId="7580F640">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营养师（3分）</w:t>
            </w:r>
          </w:p>
        </w:tc>
        <w:tc>
          <w:tcPr>
            <w:tcW w:w="7211" w:type="dxa"/>
            <w:tcBorders>
              <w:top w:val="single" w:color="auto" w:sz="4" w:space="0"/>
              <w:left w:val="single" w:color="auto" w:sz="4" w:space="0"/>
              <w:bottom w:val="single" w:color="auto" w:sz="4" w:space="0"/>
              <w:right w:val="single" w:color="auto" w:sz="4" w:space="0"/>
            </w:tcBorders>
            <w:vAlign w:val="center"/>
          </w:tcPr>
          <w:p w14:paraId="0D4B8158">
            <w:pPr>
              <w:pStyle w:val="120"/>
              <w:spacing w:before="26" w:line="294" w:lineRule="auto"/>
              <w:ind w:right="106"/>
              <w:rPr>
                <w:rFonts w:hint="eastAsia" w:ascii="宋体" w:hAnsi="宋体" w:eastAsia="宋体" w:cs="宋体"/>
                <w:kern w:val="2"/>
                <w:sz w:val="24"/>
                <w:szCs w:val="22"/>
                <w:lang w:val="zh-CN" w:eastAsia="zh-CN" w:bidi="ar-SA"/>
              </w:rPr>
            </w:pPr>
            <w:r>
              <w:rPr>
                <w:rFonts w:hint="eastAsia" w:ascii="宋体" w:hAnsi="宋体" w:eastAsia="宋体" w:cs="宋体"/>
                <w:kern w:val="2"/>
                <w:sz w:val="24"/>
                <w:szCs w:val="22"/>
                <w:lang w:val="zh-CN" w:eastAsia="zh-CN" w:bidi="ar-SA"/>
              </w:rPr>
              <w:t>餐饮企业配备有</w:t>
            </w:r>
            <w:r>
              <w:rPr>
                <w:rFonts w:hint="eastAsia" w:ascii="宋体" w:hAnsi="宋体" w:eastAsia="宋体" w:cs="宋体"/>
                <w:kern w:val="2"/>
                <w:sz w:val="24"/>
                <w:szCs w:val="22"/>
                <w:lang w:val="en-US" w:eastAsia="zh-CN" w:bidi="ar-SA"/>
              </w:rPr>
              <w:t>2</w:t>
            </w:r>
            <w:r>
              <w:rPr>
                <w:rFonts w:hint="eastAsia" w:ascii="宋体" w:hAnsi="宋体" w:eastAsia="宋体" w:cs="宋体"/>
                <w:kern w:val="2"/>
                <w:sz w:val="24"/>
                <w:szCs w:val="22"/>
                <w:lang w:val="zh-CN" w:eastAsia="zh-CN" w:bidi="ar-SA"/>
              </w:rPr>
              <w:t>名</w:t>
            </w:r>
            <w:r>
              <w:rPr>
                <w:rFonts w:hint="eastAsia" w:ascii="宋体" w:hAnsi="宋体" w:eastAsia="宋体" w:cs="宋体"/>
                <w:kern w:val="2"/>
                <w:sz w:val="24"/>
                <w:szCs w:val="22"/>
                <w:lang w:val="en-US" w:eastAsia="zh-CN" w:bidi="ar-SA"/>
              </w:rPr>
              <w:t>及</w:t>
            </w:r>
            <w:r>
              <w:rPr>
                <w:rFonts w:hint="eastAsia" w:ascii="宋体" w:hAnsi="宋体" w:eastAsia="宋体" w:cs="宋体"/>
                <w:kern w:val="2"/>
                <w:sz w:val="24"/>
                <w:szCs w:val="22"/>
                <w:lang w:val="zh-CN" w:eastAsia="zh-CN" w:bidi="ar-SA"/>
              </w:rPr>
              <w:t>以上餐饮营养师（需提供餐饮营养师资质证明和</w:t>
            </w:r>
            <w:r>
              <w:rPr>
                <w:rFonts w:hint="eastAsia" w:ascii="宋体" w:hAnsi="宋体" w:eastAsia="宋体" w:cs="宋体"/>
                <w:kern w:val="2"/>
                <w:sz w:val="24"/>
                <w:szCs w:val="22"/>
                <w:lang w:val="en-US" w:eastAsia="zh-CN" w:bidi="ar-SA"/>
              </w:rPr>
              <w:t>劳动合同</w:t>
            </w:r>
            <w:r>
              <w:rPr>
                <w:rFonts w:hint="eastAsia" w:ascii="宋体" w:hAnsi="宋体" w:eastAsia="宋体" w:cs="宋体"/>
                <w:kern w:val="2"/>
                <w:sz w:val="24"/>
                <w:szCs w:val="22"/>
                <w:lang w:val="zh-CN" w:eastAsia="zh-CN" w:bidi="ar-SA"/>
              </w:rPr>
              <w:t>），计3分；</w:t>
            </w:r>
            <w:r>
              <w:rPr>
                <w:rFonts w:hint="eastAsia" w:ascii="宋体" w:hAnsi="宋体" w:eastAsia="宋体" w:cs="宋体"/>
                <w:kern w:val="2"/>
                <w:sz w:val="24"/>
                <w:szCs w:val="22"/>
                <w:lang w:val="en-US" w:eastAsia="zh-CN" w:bidi="ar-SA"/>
              </w:rPr>
              <w:t>少于2名</w:t>
            </w:r>
            <w:r>
              <w:rPr>
                <w:rFonts w:hint="eastAsia" w:ascii="宋体" w:hAnsi="宋体" w:eastAsia="宋体" w:cs="宋体"/>
                <w:kern w:val="2"/>
                <w:sz w:val="24"/>
                <w:szCs w:val="22"/>
                <w:lang w:val="zh-CN" w:eastAsia="zh-CN" w:bidi="ar-SA"/>
              </w:rPr>
              <w:t>餐饮营养师的，计0分。</w:t>
            </w:r>
          </w:p>
        </w:tc>
      </w:tr>
      <w:tr w14:paraId="4C8A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0" w:type="dxa"/>
            <w:vMerge w:val="continue"/>
            <w:tcBorders>
              <w:left w:val="single" w:color="auto" w:sz="4" w:space="0"/>
              <w:right w:val="single" w:color="auto" w:sz="4" w:space="0"/>
            </w:tcBorders>
            <w:vAlign w:val="center"/>
          </w:tcPr>
          <w:p w14:paraId="7CEB43E7">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right w:val="single" w:color="auto" w:sz="4" w:space="0"/>
            </w:tcBorders>
            <w:vAlign w:val="center"/>
          </w:tcPr>
          <w:p w14:paraId="59E6F970">
            <w:pPr>
              <w:widowControl w:val="0"/>
              <w:adjustRightInd w:val="0"/>
              <w:snapToGrid w:val="0"/>
              <w:spacing w:line="360" w:lineRule="auto"/>
              <w:jc w:val="both"/>
              <w:rPr>
                <w:rFonts w:hint="eastAsia" w:ascii="宋体" w:hAnsi="宋体" w:eastAsia="宋体" w:cs="宋体"/>
                <w:kern w:val="2"/>
                <w:lang w:val="en-US" w:eastAsia="zh-CN"/>
              </w:rPr>
            </w:pPr>
            <w:r>
              <w:rPr>
                <w:rFonts w:hint="eastAsia" w:ascii="宋体" w:hAnsi="宋体" w:eastAsia="宋体" w:cs="宋体"/>
                <w:kern w:val="2"/>
                <w:lang w:val="en-US" w:eastAsia="zh-CN"/>
              </w:rPr>
              <w:t>企业管理制度（6分）</w:t>
            </w:r>
          </w:p>
        </w:tc>
        <w:tc>
          <w:tcPr>
            <w:tcW w:w="7211" w:type="dxa"/>
            <w:tcBorders>
              <w:top w:val="single" w:color="auto" w:sz="4" w:space="0"/>
              <w:left w:val="single" w:color="auto" w:sz="4" w:space="0"/>
              <w:bottom w:val="single" w:color="auto" w:sz="4" w:space="0"/>
              <w:right w:val="single" w:color="auto" w:sz="4" w:space="0"/>
            </w:tcBorders>
            <w:vAlign w:val="center"/>
          </w:tcPr>
          <w:p w14:paraId="67FD28FF">
            <w:pPr>
              <w:pStyle w:val="120"/>
              <w:numPr>
                <w:ilvl w:val="0"/>
                <w:numId w:val="0"/>
              </w:numPr>
              <w:spacing w:before="25" w:line="294" w:lineRule="auto"/>
              <w:ind w:right="49" w:rightChars="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zh-CN" w:eastAsia="zh-CN" w:bidi="ar-SA"/>
              </w:rPr>
              <w:t>生产企业有良好的经营管理制度和质量保证体系。按其响应程度计分。</w:t>
            </w:r>
            <w:r>
              <w:rPr>
                <w:rFonts w:hint="eastAsia" w:ascii="宋体" w:hAnsi="宋体" w:eastAsia="宋体" w:cs="宋体"/>
                <w:kern w:val="2"/>
                <w:sz w:val="24"/>
                <w:szCs w:val="22"/>
                <w:lang w:val="en-US" w:eastAsia="zh-CN" w:bidi="ar-SA"/>
              </w:rPr>
              <w:t>描述清晰计分3-6分；描述简单计分1-3分；未提供不得分。</w:t>
            </w:r>
          </w:p>
        </w:tc>
      </w:tr>
      <w:tr w14:paraId="314A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0" w:type="dxa"/>
            <w:vMerge w:val="continue"/>
            <w:tcBorders>
              <w:left w:val="single" w:color="auto" w:sz="4" w:space="0"/>
              <w:right w:val="single" w:color="auto" w:sz="4" w:space="0"/>
            </w:tcBorders>
            <w:vAlign w:val="center"/>
          </w:tcPr>
          <w:p w14:paraId="20C5EA82">
            <w:pPr>
              <w:widowControl w:val="0"/>
              <w:adjustRightInd w:val="0"/>
              <w:snapToGrid w:val="0"/>
              <w:spacing w:line="360" w:lineRule="auto"/>
              <w:jc w:val="center"/>
              <w:rPr>
                <w:rFonts w:hint="eastAsia" w:ascii="宋体" w:hAnsi="宋体" w:eastAsia="宋体" w:cs="宋体"/>
                <w:kern w:val="2"/>
                <w:lang w:val="zh-CN"/>
              </w:rPr>
            </w:pPr>
          </w:p>
        </w:tc>
        <w:tc>
          <w:tcPr>
            <w:tcW w:w="1571" w:type="dxa"/>
            <w:tcBorders>
              <w:left w:val="single" w:color="auto" w:sz="4" w:space="0"/>
              <w:bottom w:val="single" w:color="auto" w:sz="4" w:space="0"/>
              <w:right w:val="single" w:color="auto" w:sz="4" w:space="0"/>
            </w:tcBorders>
            <w:vAlign w:val="center"/>
          </w:tcPr>
          <w:p w14:paraId="6EEA02DE">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原材料质量保障（6分）</w:t>
            </w:r>
          </w:p>
        </w:tc>
        <w:tc>
          <w:tcPr>
            <w:tcW w:w="7211" w:type="dxa"/>
            <w:tcBorders>
              <w:top w:val="single" w:color="auto" w:sz="4" w:space="0"/>
              <w:left w:val="single" w:color="auto" w:sz="4" w:space="0"/>
              <w:bottom w:val="single" w:color="auto" w:sz="4" w:space="0"/>
              <w:right w:val="single" w:color="auto" w:sz="4" w:space="0"/>
            </w:tcBorders>
            <w:vAlign w:val="center"/>
          </w:tcPr>
          <w:p w14:paraId="1EA6DFB7">
            <w:pPr>
              <w:widowControl w:val="0"/>
              <w:adjustRightInd w:val="0"/>
              <w:snapToGrid w:val="0"/>
              <w:spacing w:line="360" w:lineRule="auto"/>
              <w:jc w:val="both"/>
              <w:rPr>
                <w:rFonts w:hint="eastAsia" w:ascii="宋体" w:hAnsi="宋体" w:eastAsia="宋体" w:cs="宋体"/>
                <w:kern w:val="2"/>
                <w:lang w:val="en-US" w:eastAsia="zh-CN"/>
              </w:rPr>
            </w:pPr>
            <w:r>
              <w:rPr>
                <w:rFonts w:hint="eastAsia" w:ascii="宋体" w:hAnsi="宋体" w:eastAsia="宋体" w:cs="宋体"/>
                <w:kern w:val="2"/>
                <w:lang w:val="en-US" w:eastAsia="zh-CN"/>
              </w:rPr>
              <w:t>食品原材料</w:t>
            </w:r>
            <w:r>
              <w:rPr>
                <w:rFonts w:hint="eastAsia" w:ascii="宋体" w:hAnsi="宋体" w:eastAsia="宋体" w:cs="宋体"/>
                <w:kern w:val="2"/>
                <w:lang w:val="zh-CN"/>
              </w:rPr>
              <w:t>渠道正常有质量保证，</w:t>
            </w:r>
            <w:r>
              <w:rPr>
                <w:rFonts w:hint="eastAsia" w:ascii="宋体" w:hAnsi="宋体" w:eastAsia="宋体" w:cs="宋体"/>
                <w:kern w:val="2"/>
                <w:lang w:val="en-US" w:eastAsia="zh-CN"/>
              </w:rPr>
              <w:t>能提供相关证明资料</w:t>
            </w:r>
            <w:r>
              <w:rPr>
                <w:rFonts w:hint="eastAsia" w:ascii="宋体" w:hAnsi="宋体" w:eastAsia="宋体" w:cs="宋体"/>
                <w:kern w:val="2"/>
                <w:lang w:val="zh-CN"/>
              </w:rPr>
              <w:t>。按其响应程度计分。</w:t>
            </w:r>
            <w:r>
              <w:rPr>
                <w:rFonts w:hint="eastAsia" w:ascii="宋体" w:hAnsi="宋体" w:eastAsia="宋体" w:cs="宋体"/>
                <w:kern w:val="2"/>
                <w:lang w:val="en-US" w:eastAsia="zh-CN"/>
              </w:rPr>
              <w:t>资料齐全计分3-6分，资料不齐计分1-3分，未提供不得分。</w:t>
            </w:r>
          </w:p>
        </w:tc>
      </w:tr>
      <w:tr w14:paraId="647E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0" w:type="dxa"/>
            <w:vMerge w:val="continue"/>
            <w:tcBorders>
              <w:left w:val="single" w:color="auto" w:sz="4" w:space="0"/>
              <w:right w:val="single" w:color="auto" w:sz="4" w:space="0"/>
            </w:tcBorders>
            <w:vAlign w:val="center"/>
          </w:tcPr>
          <w:p w14:paraId="74D122C1">
            <w:pPr>
              <w:widowControl w:val="0"/>
              <w:adjustRightInd w:val="0"/>
              <w:snapToGrid w:val="0"/>
              <w:spacing w:line="360" w:lineRule="auto"/>
              <w:jc w:val="center"/>
              <w:rPr>
                <w:rFonts w:hint="eastAsia" w:ascii="宋体" w:hAnsi="宋体" w:eastAsia="宋体" w:cs="宋体"/>
                <w:kern w:val="2"/>
              </w:rPr>
            </w:pPr>
          </w:p>
        </w:tc>
        <w:tc>
          <w:tcPr>
            <w:tcW w:w="1571" w:type="dxa"/>
            <w:tcBorders>
              <w:top w:val="single" w:color="auto" w:sz="4" w:space="0"/>
              <w:left w:val="single" w:color="auto" w:sz="4" w:space="0"/>
              <w:bottom w:val="single" w:color="auto" w:sz="4" w:space="0"/>
              <w:right w:val="single" w:color="auto" w:sz="4" w:space="0"/>
            </w:tcBorders>
            <w:vAlign w:val="center"/>
          </w:tcPr>
          <w:p w14:paraId="7AD52B3E">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en-US" w:eastAsia="zh-CN"/>
              </w:rPr>
              <w:t>营养餐质量控制制度（8分）</w:t>
            </w:r>
          </w:p>
        </w:tc>
        <w:tc>
          <w:tcPr>
            <w:tcW w:w="7211" w:type="dxa"/>
            <w:tcBorders>
              <w:top w:val="single" w:color="auto" w:sz="4" w:space="0"/>
              <w:left w:val="single" w:color="auto" w:sz="4" w:space="0"/>
              <w:bottom w:val="single" w:color="auto" w:sz="4" w:space="0"/>
              <w:right w:val="single" w:color="auto" w:sz="4" w:space="0"/>
            </w:tcBorders>
            <w:vAlign w:val="center"/>
          </w:tcPr>
          <w:p w14:paraId="50DBD109">
            <w:pPr>
              <w:widowControl w:val="0"/>
              <w:adjustRightInd w:val="0"/>
              <w:snapToGrid w:val="0"/>
              <w:spacing w:line="360" w:lineRule="auto"/>
              <w:jc w:val="both"/>
              <w:rPr>
                <w:rFonts w:hint="eastAsia" w:ascii="宋体" w:hAnsi="宋体" w:eastAsia="宋体" w:cs="宋体"/>
                <w:kern w:val="2"/>
                <w:lang w:val="zh-CN"/>
              </w:rPr>
            </w:pPr>
            <w:r>
              <w:rPr>
                <w:rFonts w:hint="eastAsia" w:ascii="宋体" w:hAnsi="宋体" w:eastAsia="宋体" w:cs="宋体"/>
                <w:kern w:val="2"/>
                <w:lang w:val="zh-CN"/>
              </w:rPr>
              <w:t>提供完善的营养餐质量控制方案及制度，有完整的食品安全保护措施，确保食物质量、营养搭配及安全性。方案制度、措施完善计</w:t>
            </w:r>
            <w:r>
              <w:rPr>
                <w:rFonts w:hint="eastAsia" w:ascii="宋体" w:hAnsi="宋体" w:eastAsia="宋体" w:cs="宋体"/>
                <w:kern w:val="2"/>
                <w:lang w:val="en-US" w:eastAsia="zh-CN"/>
              </w:rPr>
              <w:t>4-8</w:t>
            </w:r>
            <w:r>
              <w:rPr>
                <w:rFonts w:hint="eastAsia" w:ascii="宋体" w:hAnsi="宋体" w:eastAsia="宋体" w:cs="宋体"/>
                <w:kern w:val="2"/>
                <w:lang w:val="zh-CN"/>
              </w:rPr>
              <w:t>分；方案制度</w:t>
            </w:r>
            <w:r>
              <w:rPr>
                <w:rFonts w:hint="eastAsia" w:ascii="宋体" w:hAnsi="宋体" w:eastAsia="宋体" w:cs="宋体"/>
                <w:kern w:val="2"/>
                <w:lang w:val="en-US" w:eastAsia="zh-CN"/>
              </w:rPr>
              <w:t>及措施简单内容宽泛</w:t>
            </w:r>
            <w:r>
              <w:rPr>
                <w:rFonts w:hint="eastAsia" w:ascii="宋体" w:hAnsi="宋体" w:eastAsia="宋体" w:cs="宋体"/>
                <w:kern w:val="2"/>
                <w:lang w:val="zh-CN"/>
              </w:rPr>
              <w:t>计</w:t>
            </w:r>
            <w:r>
              <w:rPr>
                <w:rFonts w:hint="eastAsia" w:ascii="宋体" w:hAnsi="宋体" w:eastAsia="宋体" w:cs="宋体"/>
                <w:kern w:val="2"/>
                <w:lang w:val="en-US" w:eastAsia="zh-CN"/>
              </w:rPr>
              <w:t>1-4分；未提供不得分。</w:t>
            </w:r>
          </w:p>
        </w:tc>
      </w:tr>
      <w:tr w14:paraId="0D75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0" w:type="dxa"/>
            <w:vMerge w:val="continue"/>
            <w:tcBorders>
              <w:left w:val="single" w:color="auto" w:sz="4" w:space="0"/>
              <w:right w:val="single" w:color="auto" w:sz="4" w:space="0"/>
            </w:tcBorders>
            <w:vAlign w:val="center"/>
          </w:tcPr>
          <w:p w14:paraId="64A9D925">
            <w:pPr>
              <w:widowControl w:val="0"/>
              <w:adjustRightInd w:val="0"/>
              <w:snapToGrid w:val="0"/>
              <w:spacing w:line="360" w:lineRule="auto"/>
              <w:jc w:val="center"/>
              <w:rPr>
                <w:rFonts w:hint="eastAsia" w:ascii="宋体" w:hAnsi="宋体" w:eastAsia="宋体" w:cs="宋体"/>
                <w:kern w:val="2"/>
                <w:lang w:val="zh-CN"/>
              </w:rPr>
            </w:pPr>
          </w:p>
        </w:tc>
        <w:tc>
          <w:tcPr>
            <w:tcW w:w="1571" w:type="dxa"/>
            <w:tcBorders>
              <w:top w:val="single" w:color="auto" w:sz="4" w:space="0"/>
              <w:left w:val="single" w:color="auto" w:sz="4" w:space="0"/>
              <w:bottom w:val="single" w:color="auto" w:sz="4" w:space="0"/>
              <w:right w:val="single" w:color="auto" w:sz="4" w:space="0"/>
            </w:tcBorders>
            <w:vAlign w:val="center"/>
          </w:tcPr>
          <w:p w14:paraId="3E855FB0">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zh-CN"/>
              </w:rPr>
              <w:t>食品配送服务应急方案（</w:t>
            </w:r>
            <w:r>
              <w:rPr>
                <w:rFonts w:hint="eastAsia" w:ascii="宋体" w:hAnsi="宋体" w:eastAsia="宋体" w:cs="宋体"/>
                <w:kern w:val="2"/>
                <w:lang w:val="en-US" w:eastAsia="zh-CN"/>
              </w:rPr>
              <w:t>10分</w:t>
            </w:r>
            <w:r>
              <w:rPr>
                <w:rFonts w:hint="eastAsia" w:ascii="宋体" w:hAnsi="宋体" w:eastAsia="宋体" w:cs="宋体"/>
                <w:kern w:val="2"/>
                <w:lang w:val="zh-CN"/>
              </w:rPr>
              <w:t>）</w:t>
            </w:r>
          </w:p>
        </w:tc>
        <w:tc>
          <w:tcPr>
            <w:tcW w:w="7211" w:type="dxa"/>
            <w:tcBorders>
              <w:top w:val="single" w:color="auto" w:sz="4" w:space="0"/>
              <w:left w:val="single" w:color="auto" w:sz="4" w:space="0"/>
              <w:bottom w:val="single" w:color="auto" w:sz="4" w:space="0"/>
              <w:right w:val="single" w:color="auto" w:sz="4" w:space="0"/>
            </w:tcBorders>
            <w:vAlign w:val="center"/>
          </w:tcPr>
          <w:p w14:paraId="75943F0C">
            <w:pPr>
              <w:widowControl w:val="0"/>
              <w:numPr>
                <w:ilvl w:val="0"/>
                <w:numId w:val="0"/>
              </w:numPr>
              <w:adjustRightInd w:val="0"/>
              <w:snapToGrid w:val="0"/>
              <w:spacing w:line="360" w:lineRule="auto"/>
              <w:jc w:val="both"/>
              <w:rPr>
                <w:rFonts w:hint="eastAsia" w:ascii="宋体" w:hAnsi="宋体" w:eastAsia="宋体" w:cs="宋体"/>
                <w:kern w:val="2"/>
                <w:lang w:val="en-US" w:eastAsia="zh-CN"/>
              </w:rPr>
            </w:pPr>
            <w:r>
              <w:rPr>
                <w:rFonts w:hint="eastAsia" w:ascii="宋体" w:hAnsi="宋体" w:eastAsia="宋体" w:cs="宋体"/>
                <w:kern w:val="2"/>
                <w:lang w:val="zh-CN"/>
              </w:rPr>
              <w:t>有食品配送服务</w:t>
            </w:r>
            <w:r>
              <w:rPr>
                <w:rFonts w:hint="eastAsia" w:ascii="宋体" w:hAnsi="宋体" w:eastAsia="宋体" w:cs="宋体"/>
                <w:kern w:val="2"/>
                <w:lang w:val="en-US" w:eastAsia="zh-CN"/>
              </w:rPr>
              <w:t>方案及</w:t>
            </w:r>
            <w:r>
              <w:rPr>
                <w:rFonts w:hint="eastAsia" w:ascii="宋体" w:hAnsi="宋体" w:eastAsia="宋体" w:cs="宋体"/>
                <w:kern w:val="2"/>
                <w:lang w:val="zh-CN"/>
              </w:rPr>
              <w:t>应急方案（</w:t>
            </w:r>
            <w:r>
              <w:rPr>
                <w:rFonts w:hint="eastAsia" w:ascii="宋体" w:hAnsi="宋体" w:eastAsia="宋体" w:cs="宋体"/>
                <w:kern w:val="2"/>
                <w:lang w:val="en-US" w:eastAsia="zh-CN"/>
              </w:rPr>
              <w:t>不限于应急响应时间、处理方案</w:t>
            </w:r>
            <w:r>
              <w:rPr>
                <w:rFonts w:hint="eastAsia" w:ascii="宋体" w:hAnsi="宋体" w:eastAsia="宋体" w:cs="宋体"/>
                <w:kern w:val="2"/>
                <w:lang w:val="zh-CN"/>
              </w:rPr>
              <w:t>）、</w:t>
            </w:r>
            <w:r>
              <w:rPr>
                <w:rFonts w:hint="eastAsia" w:ascii="宋体" w:hAnsi="宋体" w:eastAsia="宋体" w:cs="宋体"/>
                <w:kern w:val="2"/>
                <w:lang w:val="en-US" w:eastAsia="zh-CN"/>
              </w:rPr>
              <w:t>配送路线</w:t>
            </w:r>
            <w:r>
              <w:rPr>
                <w:rFonts w:hint="eastAsia" w:ascii="宋体" w:hAnsi="宋体" w:eastAsia="宋体" w:cs="宋体"/>
                <w:kern w:val="2"/>
                <w:lang w:val="zh-CN"/>
              </w:rPr>
              <w:t>，保证食品的正常食用。</w:t>
            </w:r>
          </w:p>
          <w:p w14:paraId="6F6E4EF7">
            <w:pPr>
              <w:widowControl w:val="0"/>
              <w:numPr>
                <w:ilvl w:val="0"/>
                <w:numId w:val="0"/>
              </w:numPr>
              <w:adjustRightInd w:val="0"/>
              <w:snapToGrid w:val="0"/>
              <w:spacing w:line="360" w:lineRule="auto"/>
              <w:jc w:val="both"/>
              <w:rPr>
                <w:rFonts w:hint="eastAsia" w:ascii="宋体" w:hAnsi="宋体" w:eastAsia="宋体" w:cs="宋体"/>
                <w:kern w:val="2"/>
                <w:lang w:val="en-US" w:eastAsia="zh-CN"/>
              </w:rPr>
            </w:pPr>
            <w:r>
              <w:rPr>
                <w:rFonts w:hint="eastAsia" w:ascii="宋体" w:hAnsi="宋体" w:eastAsia="宋体" w:cs="宋体"/>
                <w:kern w:val="2"/>
                <w:lang w:val="en-US" w:eastAsia="zh-CN"/>
              </w:rPr>
              <w:t>方案周到、合理、针对性强计分7-10分，方案基本全面、有一定操作性计分3-7分；方案描述简单，针对性不强计分1-3分；未提供不得分。</w:t>
            </w:r>
          </w:p>
        </w:tc>
      </w:tr>
      <w:tr w14:paraId="1870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0" w:type="dxa"/>
            <w:vMerge w:val="continue"/>
            <w:tcBorders>
              <w:left w:val="single" w:color="auto" w:sz="4" w:space="0"/>
              <w:right w:val="single" w:color="auto" w:sz="4" w:space="0"/>
            </w:tcBorders>
            <w:vAlign w:val="center"/>
          </w:tcPr>
          <w:p w14:paraId="0148DDF7">
            <w:pPr>
              <w:widowControl w:val="0"/>
              <w:adjustRightInd w:val="0"/>
              <w:snapToGrid w:val="0"/>
              <w:spacing w:line="360" w:lineRule="auto"/>
              <w:jc w:val="center"/>
              <w:rPr>
                <w:rFonts w:hint="eastAsia" w:ascii="宋体" w:hAnsi="宋体" w:eastAsia="宋体" w:cs="宋体"/>
                <w:kern w:val="2"/>
              </w:rPr>
            </w:pPr>
          </w:p>
        </w:tc>
        <w:tc>
          <w:tcPr>
            <w:tcW w:w="1571" w:type="dxa"/>
            <w:tcBorders>
              <w:top w:val="single" w:color="auto" w:sz="4" w:space="0"/>
              <w:left w:val="single" w:color="auto" w:sz="4" w:space="0"/>
              <w:bottom w:val="single" w:color="auto" w:sz="4" w:space="0"/>
              <w:right w:val="single" w:color="auto" w:sz="4" w:space="0"/>
            </w:tcBorders>
            <w:vAlign w:val="center"/>
          </w:tcPr>
          <w:p w14:paraId="1BCF7CB4">
            <w:pPr>
              <w:widowControl w:val="0"/>
              <w:adjustRightInd w:val="0"/>
              <w:snapToGrid w:val="0"/>
              <w:spacing w:line="360" w:lineRule="auto"/>
              <w:jc w:val="center"/>
              <w:rPr>
                <w:rFonts w:hint="eastAsia" w:ascii="宋体" w:hAnsi="宋体" w:eastAsia="宋体" w:cs="宋体"/>
                <w:kern w:val="2"/>
                <w:lang w:val="zh-CN"/>
              </w:rPr>
            </w:pPr>
            <w:r>
              <w:rPr>
                <w:rFonts w:hint="eastAsia" w:ascii="宋体" w:hAnsi="宋体" w:eastAsia="宋体" w:cs="宋体"/>
                <w:kern w:val="2"/>
                <w:lang w:val="zh-CN"/>
              </w:rPr>
              <w:t>食品</w:t>
            </w:r>
          </w:p>
          <w:p w14:paraId="2BA8D64F">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zh-CN"/>
              </w:rPr>
              <w:t>安全（</w:t>
            </w:r>
            <w:r>
              <w:rPr>
                <w:rFonts w:hint="eastAsia" w:ascii="宋体" w:hAnsi="宋体" w:eastAsia="宋体" w:cs="宋体"/>
                <w:kern w:val="2"/>
                <w:lang w:val="en-US" w:eastAsia="zh-CN"/>
              </w:rPr>
              <w:t>9分</w:t>
            </w:r>
            <w:r>
              <w:rPr>
                <w:rFonts w:hint="eastAsia" w:ascii="宋体" w:hAnsi="宋体" w:eastAsia="宋体" w:cs="宋体"/>
                <w:kern w:val="2"/>
                <w:lang w:val="zh-CN"/>
              </w:rPr>
              <w:t>）</w:t>
            </w:r>
          </w:p>
        </w:tc>
        <w:tc>
          <w:tcPr>
            <w:tcW w:w="7211" w:type="dxa"/>
            <w:tcBorders>
              <w:top w:val="single" w:color="auto" w:sz="4" w:space="0"/>
              <w:left w:val="single" w:color="auto" w:sz="4" w:space="0"/>
              <w:bottom w:val="single" w:color="auto" w:sz="4" w:space="0"/>
              <w:right w:val="single" w:color="auto" w:sz="4" w:space="0"/>
            </w:tcBorders>
            <w:vAlign w:val="center"/>
          </w:tcPr>
          <w:p w14:paraId="49903C60">
            <w:pPr>
              <w:widowControl w:val="0"/>
              <w:spacing w:line="324" w:lineRule="auto"/>
              <w:jc w:val="both"/>
              <w:rPr>
                <w:rFonts w:hint="eastAsia" w:ascii="宋体" w:hAnsi="宋体" w:eastAsia="宋体" w:cs="宋体"/>
                <w:kern w:val="2"/>
                <w:lang w:val="zh-CN"/>
              </w:rPr>
            </w:pPr>
            <w:r>
              <w:rPr>
                <w:rFonts w:hint="eastAsia" w:ascii="宋体" w:hAnsi="宋体" w:eastAsia="宋体" w:cs="宋体"/>
                <w:kern w:val="2"/>
                <w:lang w:val="zh-CN"/>
              </w:rPr>
              <w:t>1、</w:t>
            </w:r>
            <w:r>
              <w:rPr>
                <w:rFonts w:hint="eastAsia" w:ascii="宋体" w:hAnsi="宋体" w:eastAsia="宋体" w:cs="宋体"/>
                <w:bCs/>
                <w:kern w:val="2"/>
              </w:rPr>
              <w:t>食品留样制度健全、清洗与消毒措施规范</w:t>
            </w:r>
            <w:r>
              <w:rPr>
                <w:rFonts w:hint="eastAsia" w:ascii="宋体" w:hAnsi="宋体" w:eastAsia="宋体" w:cs="宋体"/>
                <w:kern w:val="2"/>
                <w:lang w:val="zh-CN"/>
              </w:rPr>
              <w:t>。按其响应程度计0</w:t>
            </w:r>
            <w:r>
              <w:rPr>
                <w:rFonts w:hint="eastAsia" w:ascii="宋体" w:hAnsi="宋体" w:eastAsia="宋体" w:cs="宋体"/>
                <w:kern w:val="2"/>
                <w:lang w:val="en-US" w:eastAsia="zh-CN"/>
              </w:rPr>
              <w:t>-3</w:t>
            </w:r>
            <w:r>
              <w:rPr>
                <w:rFonts w:hint="eastAsia" w:ascii="宋体" w:hAnsi="宋体" w:eastAsia="宋体" w:cs="宋体"/>
                <w:kern w:val="2"/>
                <w:lang w:val="zh-CN"/>
              </w:rPr>
              <w:t>分。</w:t>
            </w:r>
          </w:p>
          <w:p w14:paraId="4858A524">
            <w:pPr>
              <w:widowControl w:val="0"/>
              <w:spacing w:line="324" w:lineRule="auto"/>
              <w:jc w:val="both"/>
              <w:rPr>
                <w:rFonts w:hint="eastAsia" w:ascii="宋体" w:hAnsi="宋体" w:eastAsia="宋体" w:cs="宋体"/>
                <w:kern w:val="2"/>
                <w:lang w:val="zh-CN"/>
              </w:rPr>
            </w:pPr>
            <w:r>
              <w:rPr>
                <w:rFonts w:hint="eastAsia" w:ascii="宋体" w:hAnsi="宋体" w:eastAsia="宋体" w:cs="宋体"/>
                <w:kern w:val="2"/>
                <w:lang w:val="zh-CN"/>
              </w:rPr>
              <w:t>2、食品管理应急方案和</w:t>
            </w:r>
            <w:r>
              <w:rPr>
                <w:rFonts w:hint="eastAsia" w:ascii="宋体" w:hAnsi="宋体" w:eastAsia="宋体" w:cs="宋体"/>
                <w:bCs/>
                <w:kern w:val="2"/>
              </w:rPr>
              <w:t>饮食保障预案合理可行（停电、停水、停气等</w:t>
            </w:r>
            <w:r>
              <w:rPr>
                <w:rFonts w:hint="eastAsia" w:ascii="宋体" w:hAnsi="宋体" w:eastAsia="宋体" w:cs="宋体"/>
                <w:kern w:val="2"/>
                <w:lang w:val="zh-CN"/>
              </w:rPr>
              <w:t>）。按其响应程度计0</w:t>
            </w:r>
            <w:r>
              <w:rPr>
                <w:rFonts w:hint="eastAsia" w:ascii="宋体" w:hAnsi="宋体" w:eastAsia="宋体" w:cs="宋体"/>
                <w:kern w:val="2"/>
                <w:lang w:val="en-US" w:eastAsia="zh-CN"/>
              </w:rPr>
              <w:t>-3</w:t>
            </w:r>
            <w:r>
              <w:rPr>
                <w:rFonts w:hint="eastAsia" w:ascii="宋体" w:hAnsi="宋体" w:eastAsia="宋体" w:cs="宋体"/>
                <w:kern w:val="2"/>
                <w:lang w:val="zh-CN"/>
              </w:rPr>
              <w:t>分。</w:t>
            </w:r>
          </w:p>
          <w:p w14:paraId="199DA8D7">
            <w:pPr>
              <w:widowControl w:val="0"/>
              <w:spacing w:line="324" w:lineRule="auto"/>
              <w:jc w:val="both"/>
              <w:rPr>
                <w:rFonts w:hint="eastAsia" w:ascii="宋体" w:hAnsi="宋体" w:eastAsia="宋体" w:cs="宋体"/>
                <w:kern w:val="2"/>
                <w:lang w:val="zh-CN"/>
              </w:rPr>
            </w:pPr>
            <w:r>
              <w:rPr>
                <w:rFonts w:hint="eastAsia" w:ascii="宋体" w:hAnsi="宋体" w:eastAsia="宋体" w:cs="宋体"/>
                <w:kern w:val="2"/>
                <w:lang w:val="en-US" w:eastAsia="zh-CN"/>
              </w:rPr>
              <w:t>3、供应商应有完善的食品快速检验制度，根据响应情况计0-3分；</w:t>
            </w:r>
          </w:p>
        </w:tc>
      </w:tr>
      <w:tr w14:paraId="6F86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0" w:type="dxa"/>
            <w:vMerge w:val="continue"/>
            <w:tcBorders>
              <w:left w:val="single" w:color="auto" w:sz="4" w:space="0"/>
              <w:right w:val="single" w:color="auto" w:sz="4" w:space="0"/>
            </w:tcBorders>
            <w:vAlign w:val="center"/>
          </w:tcPr>
          <w:p w14:paraId="054DDD10">
            <w:pPr>
              <w:widowControl w:val="0"/>
              <w:adjustRightInd w:val="0"/>
              <w:snapToGrid w:val="0"/>
              <w:spacing w:line="360" w:lineRule="auto"/>
              <w:jc w:val="center"/>
              <w:rPr>
                <w:rFonts w:hint="eastAsia" w:ascii="宋体" w:hAnsi="宋体" w:eastAsia="宋体" w:cs="宋体"/>
                <w:kern w:val="2"/>
                <w:lang w:val="zh-CN"/>
              </w:rPr>
            </w:pPr>
          </w:p>
        </w:tc>
        <w:tc>
          <w:tcPr>
            <w:tcW w:w="1571" w:type="dxa"/>
            <w:tcBorders>
              <w:top w:val="single" w:color="auto" w:sz="4" w:space="0"/>
              <w:left w:val="single" w:color="auto" w:sz="4" w:space="0"/>
              <w:bottom w:val="single" w:color="auto" w:sz="4" w:space="0"/>
              <w:right w:val="single" w:color="auto" w:sz="4" w:space="0"/>
            </w:tcBorders>
            <w:vAlign w:val="center"/>
          </w:tcPr>
          <w:p w14:paraId="2870BBE2">
            <w:pPr>
              <w:widowControl w:val="0"/>
              <w:spacing w:line="324" w:lineRule="auto"/>
              <w:jc w:val="both"/>
              <w:rPr>
                <w:rFonts w:hint="eastAsia" w:ascii="宋体" w:hAnsi="宋体" w:eastAsia="宋体" w:cs="宋体"/>
                <w:kern w:val="2"/>
                <w:lang w:val="zh-CN"/>
              </w:rPr>
            </w:pPr>
            <w:r>
              <w:rPr>
                <w:rFonts w:hint="eastAsia" w:ascii="宋体" w:hAnsi="宋体" w:eastAsia="宋体" w:cs="宋体"/>
                <w:kern w:val="2"/>
                <w:lang w:val="en-US" w:eastAsia="zh-CN"/>
              </w:rPr>
              <w:t>重点、难点问题分析及合理化建议（4分）</w:t>
            </w:r>
          </w:p>
          <w:p w14:paraId="0E915F0C">
            <w:pPr>
              <w:widowControl w:val="0"/>
              <w:spacing w:line="324" w:lineRule="auto"/>
              <w:ind w:firstLine="360" w:firstLineChars="150"/>
              <w:jc w:val="both"/>
              <w:rPr>
                <w:rFonts w:hint="eastAsia" w:ascii="宋体" w:hAnsi="宋体" w:eastAsia="宋体" w:cs="宋体"/>
                <w:kern w:val="2"/>
                <w:lang w:val="en-US" w:eastAsia="zh-CN"/>
              </w:rPr>
            </w:pPr>
          </w:p>
        </w:tc>
        <w:tc>
          <w:tcPr>
            <w:tcW w:w="7211" w:type="dxa"/>
            <w:tcBorders>
              <w:top w:val="single" w:color="auto" w:sz="4" w:space="0"/>
              <w:left w:val="single" w:color="auto" w:sz="4" w:space="0"/>
              <w:bottom w:val="single" w:color="auto" w:sz="4" w:space="0"/>
              <w:right w:val="single" w:color="auto" w:sz="4" w:space="0"/>
            </w:tcBorders>
            <w:vAlign w:val="center"/>
          </w:tcPr>
          <w:p w14:paraId="1486AD3F">
            <w:pPr>
              <w:widowControl w:val="0"/>
              <w:spacing w:line="324" w:lineRule="auto"/>
              <w:jc w:val="both"/>
              <w:rPr>
                <w:rFonts w:hint="eastAsia" w:ascii="宋体" w:hAnsi="宋体" w:eastAsia="宋体" w:cs="宋体"/>
                <w:kern w:val="2"/>
                <w:lang w:val="en-US" w:eastAsia="zh-CN"/>
              </w:rPr>
            </w:pPr>
            <w:r>
              <w:rPr>
                <w:rFonts w:hint="eastAsia" w:ascii="宋体" w:hAnsi="宋体" w:eastAsia="宋体" w:cs="宋体"/>
                <w:kern w:val="2"/>
                <w:lang w:val="en-US" w:eastAsia="zh-CN"/>
              </w:rPr>
              <w:t>供应商针对本项目服务过程中出现的重点、难点问题分析、应对措施方案及其他针对本项目的合理化建议。</w:t>
            </w:r>
          </w:p>
          <w:p w14:paraId="21B11C11">
            <w:pPr>
              <w:widowControl w:val="0"/>
              <w:spacing w:line="324" w:lineRule="auto"/>
              <w:jc w:val="both"/>
              <w:rPr>
                <w:rFonts w:hint="eastAsia" w:ascii="宋体" w:hAnsi="宋体" w:eastAsia="宋体" w:cs="宋体"/>
                <w:kern w:val="2"/>
                <w:lang w:val="en-US" w:eastAsia="zh-CN"/>
              </w:rPr>
            </w:pPr>
            <w:r>
              <w:rPr>
                <w:rFonts w:hint="eastAsia" w:ascii="宋体" w:hAnsi="宋体" w:eastAsia="宋体" w:cs="宋体"/>
                <w:kern w:val="2"/>
                <w:lang w:val="en-US" w:eastAsia="zh-CN"/>
              </w:rPr>
              <w:t>建议内容完善，条理清晰（主旨突出），针对性强能够体现供应商专业能力的计2-4分；提供内容不完善没有针对性、有缺漏项、不具有可行性计 0-2 分；</w:t>
            </w:r>
          </w:p>
        </w:tc>
      </w:tr>
      <w:tr w14:paraId="672D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0" w:type="dxa"/>
            <w:vMerge w:val="continue"/>
            <w:tcBorders>
              <w:left w:val="single" w:color="auto" w:sz="4" w:space="0"/>
              <w:right w:val="single" w:color="auto" w:sz="4" w:space="0"/>
            </w:tcBorders>
            <w:vAlign w:val="center"/>
          </w:tcPr>
          <w:p w14:paraId="50442C87">
            <w:pPr>
              <w:widowControl w:val="0"/>
              <w:adjustRightInd w:val="0"/>
              <w:snapToGrid w:val="0"/>
              <w:spacing w:line="360" w:lineRule="auto"/>
              <w:jc w:val="center"/>
              <w:rPr>
                <w:rFonts w:hint="eastAsia" w:ascii="宋体" w:hAnsi="宋体" w:eastAsia="宋体" w:cs="宋体"/>
                <w:kern w:val="2"/>
                <w:lang w:val="zh-CN"/>
              </w:rPr>
            </w:pPr>
          </w:p>
        </w:tc>
        <w:tc>
          <w:tcPr>
            <w:tcW w:w="1571" w:type="dxa"/>
            <w:tcBorders>
              <w:top w:val="single" w:color="auto" w:sz="4" w:space="0"/>
              <w:left w:val="single" w:color="auto" w:sz="4" w:space="0"/>
              <w:bottom w:val="single" w:color="auto" w:sz="4" w:space="0"/>
              <w:right w:val="single" w:color="auto" w:sz="4" w:space="0"/>
            </w:tcBorders>
            <w:vAlign w:val="center"/>
          </w:tcPr>
          <w:p w14:paraId="0B230307">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zh-CN"/>
              </w:rPr>
              <w:t>服务承诺</w:t>
            </w:r>
            <w:r>
              <w:rPr>
                <w:rFonts w:hint="eastAsia" w:ascii="宋体" w:hAnsi="宋体" w:eastAsia="宋体" w:cs="宋体"/>
                <w:kern w:val="2"/>
                <w:lang w:val="en-US" w:eastAsia="zh-CN"/>
              </w:rPr>
              <w:t>（6）</w:t>
            </w:r>
          </w:p>
        </w:tc>
        <w:tc>
          <w:tcPr>
            <w:tcW w:w="7211" w:type="dxa"/>
            <w:tcBorders>
              <w:top w:val="single" w:color="auto" w:sz="4" w:space="0"/>
              <w:left w:val="single" w:color="auto" w:sz="4" w:space="0"/>
              <w:bottom w:val="single" w:color="auto" w:sz="4" w:space="0"/>
              <w:right w:val="single" w:color="auto" w:sz="4" w:space="0"/>
            </w:tcBorders>
            <w:vAlign w:val="center"/>
          </w:tcPr>
          <w:p w14:paraId="7CE9B1B0">
            <w:pPr>
              <w:widowControl w:val="0"/>
              <w:numPr>
                <w:ilvl w:val="0"/>
                <w:numId w:val="0"/>
              </w:numPr>
              <w:spacing w:line="324" w:lineRule="auto"/>
              <w:jc w:val="both"/>
              <w:rPr>
                <w:rFonts w:hint="eastAsia" w:ascii="宋体" w:hAnsi="宋体" w:eastAsia="宋体" w:cs="宋体"/>
                <w:kern w:val="2"/>
                <w:lang w:val="en-US" w:eastAsia="zh-CN"/>
              </w:rPr>
            </w:pPr>
            <w:r>
              <w:rPr>
                <w:rFonts w:hint="eastAsia" w:ascii="宋体" w:hAnsi="宋体" w:eastAsia="宋体" w:cs="宋体"/>
                <w:kern w:val="2"/>
                <w:lang w:val="zh-CN"/>
              </w:rPr>
              <w:t>提供食品安全承诺、消防安全承诺、食品加工环境卫生承诺、依法用工承诺，按其响应程度计分。</w:t>
            </w:r>
            <w:r>
              <w:rPr>
                <w:rFonts w:hint="eastAsia" w:ascii="宋体" w:hAnsi="宋体" w:eastAsia="宋体" w:cs="宋体"/>
                <w:kern w:val="2"/>
                <w:lang w:val="en-US" w:eastAsia="zh-CN"/>
              </w:rPr>
              <w:t>承诺完善横向比较计分3-6分；承诺不全面横向比较计分1-3分，未提供不得分。</w:t>
            </w:r>
          </w:p>
        </w:tc>
      </w:tr>
      <w:tr w14:paraId="4C1E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0" w:type="dxa"/>
            <w:vMerge w:val="continue"/>
            <w:tcBorders>
              <w:left w:val="single" w:color="auto" w:sz="4" w:space="0"/>
              <w:bottom w:val="single" w:color="auto" w:sz="4" w:space="0"/>
              <w:right w:val="single" w:color="auto" w:sz="4" w:space="0"/>
            </w:tcBorders>
            <w:vAlign w:val="center"/>
          </w:tcPr>
          <w:p w14:paraId="7925D2DF">
            <w:pPr>
              <w:widowControl w:val="0"/>
              <w:adjustRightInd w:val="0"/>
              <w:snapToGrid w:val="0"/>
              <w:spacing w:line="360" w:lineRule="auto"/>
              <w:jc w:val="center"/>
              <w:rPr>
                <w:rFonts w:hint="eastAsia" w:ascii="宋体" w:hAnsi="宋体" w:eastAsia="宋体" w:cs="宋体"/>
                <w:kern w:val="2"/>
                <w:lang w:val="zh-CN"/>
              </w:rPr>
            </w:pPr>
          </w:p>
        </w:tc>
        <w:tc>
          <w:tcPr>
            <w:tcW w:w="1571" w:type="dxa"/>
            <w:tcBorders>
              <w:top w:val="single" w:color="auto" w:sz="4" w:space="0"/>
              <w:left w:val="single" w:color="auto" w:sz="4" w:space="0"/>
              <w:bottom w:val="single" w:color="auto" w:sz="4" w:space="0"/>
              <w:right w:val="single" w:color="auto" w:sz="4" w:space="0"/>
            </w:tcBorders>
            <w:vAlign w:val="center"/>
          </w:tcPr>
          <w:p w14:paraId="26E59C7A">
            <w:pPr>
              <w:widowControl w:val="0"/>
              <w:adjustRightInd w:val="0"/>
              <w:snapToGrid w:val="0"/>
              <w:spacing w:line="360" w:lineRule="auto"/>
              <w:jc w:val="center"/>
              <w:rPr>
                <w:rFonts w:hint="eastAsia" w:ascii="宋体" w:hAnsi="宋体" w:eastAsia="宋体" w:cs="宋体"/>
                <w:kern w:val="2"/>
                <w:lang w:val="en-US" w:eastAsia="zh-CN"/>
              </w:rPr>
            </w:pPr>
            <w:r>
              <w:rPr>
                <w:rFonts w:hint="eastAsia" w:ascii="宋体" w:hAnsi="宋体" w:eastAsia="宋体" w:cs="宋体"/>
                <w:kern w:val="2"/>
                <w:lang w:val="zh-CN"/>
              </w:rPr>
              <w:t>售后服务措施承诺（</w:t>
            </w:r>
            <w:r>
              <w:rPr>
                <w:rFonts w:hint="eastAsia" w:ascii="宋体" w:hAnsi="宋体" w:eastAsia="宋体" w:cs="宋体"/>
                <w:kern w:val="2"/>
                <w:lang w:val="en-US" w:eastAsia="zh-CN"/>
              </w:rPr>
              <w:t>6分</w:t>
            </w:r>
            <w:r>
              <w:rPr>
                <w:rFonts w:hint="eastAsia" w:ascii="宋体" w:hAnsi="宋体" w:eastAsia="宋体" w:cs="宋体"/>
                <w:kern w:val="2"/>
                <w:lang w:val="zh-CN"/>
              </w:rPr>
              <w:t>）</w:t>
            </w:r>
          </w:p>
        </w:tc>
        <w:tc>
          <w:tcPr>
            <w:tcW w:w="7211" w:type="dxa"/>
            <w:tcBorders>
              <w:top w:val="single" w:color="auto" w:sz="4" w:space="0"/>
              <w:left w:val="single" w:color="auto" w:sz="4" w:space="0"/>
              <w:bottom w:val="single" w:color="auto" w:sz="4" w:space="0"/>
              <w:right w:val="single" w:color="auto" w:sz="4" w:space="0"/>
            </w:tcBorders>
            <w:vAlign w:val="center"/>
          </w:tcPr>
          <w:p w14:paraId="37E31470">
            <w:pPr>
              <w:widowControl w:val="0"/>
              <w:numPr>
                <w:ilvl w:val="0"/>
                <w:numId w:val="0"/>
              </w:numPr>
              <w:spacing w:line="324" w:lineRule="auto"/>
              <w:jc w:val="both"/>
              <w:rPr>
                <w:rFonts w:hint="eastAsia" w:ascii="宋体" w:hAnsi="宋体" w:eastAsia="宋体" w:cs="宋体"/>
                <w:kern w:val="2"/>
                <w:sz w:val="24"/>
                <w:szCs w:val="22"/>
                <w:lang w:val="zh-CN" w:eastAsia="zh-CN" w:bidi="ar-SA"/>
              </w:rPr>
            </w:pPr>
            <w:r>
              <w:rPr>
                <w:rFonts w:hint="eastAsia" w:ascii="宋体" w:hAnsi="宋体" w:eastAsia="宋体" w:cs="宋体"/>
                <w:kern w:val="2"/>
                <w:lang w:val="zh-CN"/>
              </w:rPr>
              <w:t>针对本项目实际需求提供详细具体可行的售后服务措施承诺。有相应的服务小组，人员配备齐整，联络方式明确，对本项目做到优先保障。按其响应程度计分。</w:t>
            </w:r>
            <w:r>
              <w:rPr>
                <w:rFonts w:hint="eastAsia" w:ascii="宋体" w:hAnsi="宋体" w:eastAsia="宋体" w:cs="宋体"/>
                <w:kern w:val="2"/>
                <w:lang w:val="en-US" w:eastAsia="zh-CN"/>
              </w:rPr>
              <w:t>承诺完善横向比较计分3-6分；承诺不全面横向比较计分1-3分，未提供不得分。</w:t>
            </w:r>
          </w:p>
        </w:tc>
      </w:tr>
      <w:tr w14:paraId="418C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1B12082">
            <w:pPr>
              <w:widowControl w:val="0"/>
              <w:adjustRightInd w:val="0"/>
              <w:snapToGrid w:val="0"/>
              <w:spacing w:line="360" w:lineRule="auto"/>
              <w:jc w:val="center"/>
              <w:rPr>
                <w:rFonts w:hint="eastAsia" w:ascii="宋体" w:hAnsi="宋体" w:eastAsia="宋体" w:cs="宋体"/>
                <w:kern w:val="2"/>
              </w:rPr>
            </w:pPr>
            <w:r>
              <w:rPr>
                <w:rFonts w:hint="eastAsia" w:ascii="宋体" w:hAnsi="宋体" w:eastAsia="宋体" w:cs="宋体"/>
                <w:kern w:val="2"/>
              </w:rPr>
              <w:t>业绩</w:t>
            </w:r>
          </w:p>
        </w:tc>
        <w:tc>
          <w:tcPr>
            <w:tcW w:w="1571" w:type="dxa"/>
            <w:tcBorders>
              <w:top w:val="single" w:color="auto" w:sz="4" w:space="0"/>
              <w:left w:val="single" w:color="auto" w:sz="4" w:space="0"/>
              <w:bottom w:val="single" w:color="auto" w:sz="4" w:space="0"/>
              <w:right w:val="single" w:color="auto" w:sz="4" w:space="0"/>
            </w:tcBorders>
            <w:vAlign w:val="center"/>
          </w:tcPr>
          <w:p w14:paraId="4E892C62">
            <w:pPr>
              <w:widowControl w:val="0"/>
              <w:adjustRightInd w:val="0"/>
              <w:snapToGrid w:val="0"/>
              <w:spacing w:line="360" w:lineRule="auto"/>
              <w:jc w:val="center"/>
              <w:rPr>
                <w:rFonts w:hint="eastAsia" w:ascii="宋体" w:hAnsi="宋体" w:eastAsia="宋体" w:cs="宋体"/>
                <w:kern w:val="2"/>
                <w:lang w:eastAsia="zh-CN"/>
              </w:rPr>
            </w:pPr>
            <w:r>
              <w:rPr>
                <w:rFonts w:hint="eastAsia" w:ascii="宋体" w:hAnsi="宋体" w:eastAsia="宋体" w:cs="宋体"/>
                <w:kern w:val="2"/>
              </w:rPr>
              <w:t>业绩</w:t>
            </w:r>
            <w:r>
              <w:rPr>
                <w:rFonts w:hint="eastAsia" w:ascii="宋体" w:hAnsi="宋体" w:eastAsia="宋体" w:cs="宋体"/>
                <w:kern w:val="2"/>
                <w:lang w:eastAsia="zh-CN"/>
              </w:rPr>
              <w:t>（</w:t>
            </w:r>
            <w:r>
              <w:rPr>
                <w:rFonts w:hint="eastAsia" w:ascii="宋体" w:hAnsi="宋体" w:eastAsia="宋体" w:cs="宋体"/>
                <w:kern w:val="2"/>
                <w:lang w:val="en-US" w:eastAsia="zh-CN"/>
              </w:rPr>
              <w:t>9分</w:t>
            </w:r>
            <w:r>
              <w:rPr>
                <w:rFonts w:hint="eastAsia" w:ascii="宋体" w:hAnsi="宋体" w:eastAsia="宋体" w:cs="宋体"/>
                <w:kern w:val="2"/>
                <w:lang w:eastAsia="zh-CN"/>
              </w:rPr>
              <w:t>）</w:t>
            </w:r>
          </w:p>
        </w:tc>
        <w:tc>
          <w:tcPr>
            <w:tcW w:w="7211" w:type="dxa"/>
            <w:tcBorders>
              <w:top w:val="single" w:color="auto" w:sz="4" w:space="0"/>
              <w:left w:val="single" w:color="auto" w:sz="4" w:space="0"/>
              <w:bottom w:val="single" w:color="auto" w:sz="4" w:space="0"/>
              <w:right w:val="single" w:color="auto" w:sz="4" w:space="0"/>
            </w:tcBorders>
            <w:vAlign w:val="center"/>
          </w:tcPr>
          <w:p w14:paraId="1BCB635C">
            <w:pPr>
              <w:widowControl w:val="0"/>
              <w:adjustRightInd w:val="0"/>
              <w:snapToGrid w:val="0"/>
              <w:spacing w:line="360" w:lineRule="auto"/>
              <w:jc w:val="both"/>
              <w:rPr>
                <w:rFonts w:hint="eastAsia" w:ascii="宋体" w:hAnsi="宋体" w:eastAsia="宋体" w:cs="宋体"/>
                <w:kern w:val="2"/>
              </w:rPr>
            </w:pPr>
            <w:r>
              <w:rPr>
                <w:rFonts w:hint="eastAsia" w:ascii="宋体" w:hAnsi="宋体" w:eastAsia="宋体" w:cs="宋体"/>
                <w:spacing w:val="-5"/>
                <w:kern w:val="2"/>
                <w:sz w:val="24"/>
                <w:szCs w:val="22"/>
                <w:lang w:val="en-US" w:eastAsia="zh-CN" w:bidi="ar-SA"/>
              </w:rPr>
              <w:t>提供投标人的2022年01月至今（以合同签订日期为准）类似项目业绩，提供合同协议书复印件，每提供1个得3分，共计9分。</w:t>
            </w:r>
          </w:p>
        </w:tc>
      </w:tr>
    </w:tbl>
    <w:p w14:paraId="6C85B897">
      <w:pPr>
        <w:spacing w:line="365" w:lineRule="auto"/>
        <w:rPr>
          <w:rFonts w:hint="eastAsia" w:ascii="宋体" w:hAnsi="宋体" w:eastAsia="宋体" w:cs="宋体"/>
          <w:szCs w:val="24"/>
        </w:rPr>
      </w:pPr>
      <w:r>
        <w:rPr>
          <w:rFonts w:hint="eastAsia" w:ascii="宋体" w:hAnsi="宋体" w:eastAsia="宋体" w:cs="宋体"/>
          <w:b/>
          <w:bCs/>
          <w:szCs w:val="24"/>
        </w:rPr>
        <w:t>备注：</w:t>
      </w:r>
    </w:p>
    <w:p w14:paraId="6D6A1FFA">
      <w:pPr>
        <w:spacing w:line="365" w:lineRule="auto"/>
        <w:rPr>
          <w:rFonts w:hint="eastAsia" w:ascii="宋体" w:hAnsi="宋体" w:eastAsia="宋体" w:cs="宋体"/>
          <w:szCs w:val="24"/>
        </w:rPr>
      </w:pPr>
      <w:r>
        <w:rPr>
          <w:rFonts w:hint="eastAsia" w:ascii="宋体" w:hAnsi="宋体" w:eastAsia="宋体" w:cs="宋体"/>
          <w:szCs w:val="24"/>
        </w:rPr>
        <w:t>1）评委打分超过得分界限或未按本方法赋分时，该评委的打分按废标处理。</w:t>
      </w:r>
    </w:p>
    <w:p w14:paraId="25369720">
      <w:pPr>
        <w:spacing w:line="365" w:lineRule="auto"/>
        <w:rPr>
          <w:rFonts w:hint="eastAsia" w:ascii="宋体" w:hAnsi="宋体" w:eastAsia="宋体" w:cs="宋体"/>
          <w:szCs w:val="24"/>
          <w:lang w:eastAsia="zh-CN"/>
        </w:rPr>
      </w:pPr>
      <w:r>
        <w:rPr>
          <w:rFonts w:hint="eastAsia" w:ascii="宋体" w:hAnsi="宋体" w:eastAsia="宋体" w:cs="宋体"/>
          <w:szCs w:val="24"/>
        </w:rPr>
        <w:t>2）各种计算数字均保留两位小数，第三位“四舍五入”。</w:t>
      </w:r>
    </w:p>
    <w:p w14:paraId="2F54E225">
      <w:pPr>
        <w:spacing w:line="365" w:lineRule="auto"/>
        <w:rPr>
          <w:rFonts w:hint="eastAsia" w:ascii="宋体" w:hAnsi="宋体" w:eastAsia="宋体" w:cs="宋体"/>
          <w:szCs w:val="24"/>
        </w:rPr>
      </w:pPr>
      <w:r>
        <w:rPr>
          <w:rFonts w:hint="eastAsia" w:ascii="宋体" w:hAnsi="宋体" w:eastAsia="宋体" w:cs="宋体"/>
          <w:b/>
          <w:bCs/>
          <w:szCs w:val="24"/>
        </w:rPr>
        <w:t>3）特殊情况处理</w:t>
      </w:r>
      <w:r>
        <w:rPr>
          <w:rFonts w:hint="eastAsia" w:ascii="宋体" w:hAnsi="宋体" w:eastAsia="宋体" w:cs="宋体"/>
          <w:szCs w:val="24"/>
        </w:rPr>
        <w:t>：</w:t>
      </w:r>
    </w:p>
    <w:p w14:paraId="17719C4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a、当投标人某评分项出现未报、漏报或零报价时，该分项得零分，并不参与投标报价分的计算。</w:t>
      </w:r>
    </w:p>
    <w:p w14:paraId="1E47B2EB">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b</w:t>
      </w:r>
      <w:r>
        <w:rPr>
          <w:rFonts w:hint="eastAsia" w:ascii="宋体" w:hAnsi="宋体" w:eastAsia="宋体" w:cs="宋体"/>
          <w:szCs w:val="24"/>
        </w:rPr>
        <w:t>、若出现综合得分相同时，投标报价得分高者为第一中标候选人，若投标报价得分相同，技术得分高者为第一中标候选人，若上述两项得分相同，则由全体评标委员会成员无记名投票，得票高者为第一中标候选人。</w:t>
      </w:r>
    </w:p>
    <w:p w14:paraId="49596454">
      <w:pPr>
        <w:spacing w:line="365" w:lineRule="auto"/>
        <w:ind w:firstLine="480" w:firstLineChars="200"/>
        <w:rPr>
          <w:rFonts w:hint="eastAsia" w:ascii="宋体" w:hAnsi="宋体" w:eastAsia="宋体" w:cs="宋体"/>
        </w:rPr>
      </w:pPr>
      <w:r>
        <w:rPr>
          <w:rFonts w:hint="eastAsia" w:ascii="宋体" w:hAnsi="宋体" w:eastAsia="宋体" w:cs="宋体"/>
          <w:szCs w:val="24"/>
          <w:lang w:val="en-US" w:eastAsia="zh-CN"/>
        </w:rPr>
        <w:t>c</w:t>
      </w:r>
      <w:r>
        <w:rPr>
          <w:rFonts w:hint="eastAsia" w:ascii="宋体" w:hAnsi="宋体" w:eastAsia="宋体" w:cs="宋体"/>
          <w:szCs w:val="24"/>
        </w:rPr>
        <w:t>、评标过程中，若出现本评标方法以外的特殊情况时，将暂停评标，待评委商榷后再进行复会。</w:t>
      </w:r>
    </w:p>
    <w:p w14:paraId="79FD47E9">
      <w:pPr>
        <w:spacing w:line="365" w:lineRule="auto"/>
        <w:ind w:firstLine="600" w:firstLineChars="249"/>
        <w:rPr>
          <w:rFonts w:hint="eastAsia" w:ascii="宋体" w:hAnsi="宋体" w:eastAsia="宋体" w:cs="宋体"/>
          <w:b/>
          <w:bCs/>
          <w:szCs w:val="24"/>
        </w:rPr>
      </w:pPr>
      <w:r>
        <w:rPr>
          <w:rFonts w:hint="eastAsia" w:ascii="宋体" w:hAnsi="宋体" w:eastAsia="宋体" w:cs="宋体"/>
          <w:b/>
          <w:bCs/>
          <w:szCs w:val="24"/>
        </w:rPr>
        <w:t>3-7、政府采购政策评分标准</w:t>
      </w:r>
    </w:p>
    <w:p w14:paraId="6182D62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3-7-1、小微企业的价格评分标准</w:t>
      </w:r>
    </w:p>
    <w:p w14:paraId="5A45883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（1）根据《政府采购促进中小企业发展管理办法》（财库〔2020〕46号）、关于进一步加大政府采购支持中小企业力度的通知财库〔2022〕19号；符合条件的中小企业，享受政府采购扶持政策。</w:t>
      </w:r>
    </w:p>
    <w:p w14:paraId="4B8DAB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 享受政府采购扶持政策的中小企业，应当符合以下条件：</w:t>
      </w:r>
    </w:p>
    <w:p w14:paraId="70B38ED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①符合中小企业划分标准（中小企业划分标准是指国务院有关部门根据企业从业人员、营业收入、资产总额等指标制定的中小企业划型标准（工信部联企业〔2011〕300号））。</w:t>
      </w:r>
    </w:p>
    <w:p w14:paraId="05ACBD8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②需提供《中小企业声明函》的投标人，未提供或提供有瑕疵的，在评审时不享受政府采购优惠政策。</w:t>
      </w:r>
    </w:p>
    <w:p w14:paraId="2BE2808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w:t>
      </w:r>
      <w:r>
        <w:rPr>
          <w:rFonts w:hint="eastAsia" w:ascii="宋体" w:hAnsi="宋体" w:eastAsia="宋体" w:cs="宋体"/>
          <w:szCs w:val="24"/>
          <w:lang w:val="en-US" w:eastAsia="zh-CN"/>
        </w:rPr>
        <w:t>为</w:t>
      </w:r>
      <w:r>
        <w:rPr>
          <w:rFonts w:hint="eastAsia" w:ascii="宋体" w:hAnsi="宋体" w:eastAsia="宋体" w:cs="宋体"/>
          <w:szCs w:val="24"/>
        </w:rPr>
        <w:t>小微企业的，其</w:t>
      </w:r>
      <w:r>
        <w:rPr>
          <w:rFonts w:hint="eastAsia" w:ascii="宋体" w:hAnsi="宋体" w:eastAsia="宋体" w:cs="宋体"/>
          <w:szCs w:val="24"/>
          <w:lang w:val="en-US" w:eastAsia="zh-CN"/>
        </w:rPr>
        <w:t>评审</w:t>
      </w:r>
      <w:r>
        <w:rPr>
          <w:rFonts w:hint="eastAsia" w:ascii="宋体" w:hAnsi="宋体" w:eastAsia="宋体" w:cs="宋体"/>
          <w:szCs w:val="24"/>
        </w:rPr>
        <w:t>报价给予10％的扣除，用扣除后的价格参与评审。</w:t>
      </w:r>
    </w:p>
    <w:p w14:paraId="01EEFF3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3-7-2、监狱企业的价格评分标准</w:t>
      </w:r>
    </w:p>
    <w:p w14:paraId="5D288F3F">
      <w:pPr>
        <w:spacing w:line="365" w:lineRule="auto"/>
        <w:ind w:firstLine="480" w:firstLineChars="200"/>
        <w:jc w:val="left"/>
        <w:rPr>
          <w:rFonts w:hint="eastAsia" w:ascii="宋体" w:hAnsi="宋体" w:eastAsia="宋体" w:cs="宋体"/>
          <w:szCs w:val="24"/>
        </w:rPr>
      </w:pPr>
      <w:r>
        <w:rPr>
          <w:rFonts w:hint="eastAsia" w:ascii="宋体" w:hAnsi="宋体" w:eastAsia="宋体" w:cs="宋体"/>
          <w:szCs w:val="24"/>
        </w:rPr>
        <w:t>根据财库[2014]68 号《财政部司法部关于政府采购支持监狱企业发展有关问题的通知》规定，符合条件的监狱企业，享受政府采购扶持政策。监狱企业视同小型、微型企业，享受评审中价格扣除等政府采购促进中小企业发展的政府采购政策。</w:t>
      </w:r>
    </w:p>
    <w:p w14:paraId="6C845FD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3-7-3、残疾人福利性单位的价格评分标准</w:t>
      </w:r>
    </w:p>
    <w:p w14:paraId="561402B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在政府采购活动中，残疾人福利性单位视同小型、微型企业，享受预留份额、评审中价格扣除等促进中小企业发展的政府采购政策。残疾人福利性单位同时属于小型、微型企业的，其享受的价格优惠不重复计算。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69C290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3-7-4、节能产品、环境标志产品政策</w:t>
      </w:r>
    </w:p>
    <w:p w14:paraId="01B8553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w:t>
      </w:r>
    </w:p>
    <w:p w14:paraId="54199C4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23797890">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bCs/>
          <w:szCs w:val="24"/>
        </w:rPr>
        <w:t>定标</w:t>
      </w:r>
    </w:p>
    <w:p w14:paraId="60F64126">
      <w:pPr>
        <w:spacing w:line="365" w:lineRule="auto"/>
        <w:ind w:firstLine="480" w:firstLineChars="200"/>
        <w:rPr>
          <w:rFonts w:hint="eastAsia" w:ascii="宋体" w:hAnsi="宋体" w:eastAsia="宋体" w:cs="宋体"/>
          <w:szCs w:val="24"/>
        </w:rPr>
      </w:pPr>
      <w:bookmarkStart w:id="55" w:name="_Toc458617461"/>
      <w:bookmarkStart w:id="56" w:name="_Toc458617738"/>
      <w:r>
        <w:rPr>
          <w:rFonts w:hint="eastAsia" w:ascii="宋体" w:hAnsi="宋体" w:eastAsia="宋体" w:cs="宋体"/>
          <w:szCs w:val="24"/>
        </w:rPr>
        <w:t>4-1、定标程序</w:t>
      </w:r>
    </w:p>
    <w:p w14:paraId="5CF5B84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评标委员会依据评标办法，经过符合性审查、澄清、比较与评价等程序后，在最大限度满足招标文件实质性要求前提下进行综合评审，以评标总得分由高到低的顺序推荐3名以上中标候选人，并编写</w:t>
      </w:r>
      <w:bookmarkStart w:id="57" w:name="OLE_LINK4"/>
      <w:r>
        <w:rPr>
          <w:rFonts w:hint="eastAsia" w:ascii="宋体" w:hAnsi="宋体" w:eastAsia="宋体" w:cs="宋体"/>
          <w:szCs w:val="24"/>
        </w:rPr>
        <w:t>评标</w:t>
      </w:r>
      <w:bookmarkEnd w:id="57"/>
      <w:r>
        <w:rPr>
          <w:rFonts w:hint="eastAsia" w:ascii="宋体" w:hAnsi="宋体" w:eastAsia="宋体" w:cs="宋体"/>
          <w:szCs w:val="24"/>
        </w:rPr>
        <w:t>报告。　</w:t>
      </w:r>
    </w:p>
    <w:p w14:paraId="67850166">
      <w:pPr>
        <w:spacing w:line="365" w:lineRule="auto"/>
        <w:ind w:firstLine="480" w:firstLineChars="200"/>
        <w:rPr>
          <w:rFonts w:hint="eastAsia" w:ascii="宋体" w:hAnsi="宋体" w:eastAsia="宋体" w:cs="宋体"/>
          <w:szCs w:val="24"/>
        </w:rPr>
      </w:pPr>
      <w:bookmarkStart w:id="58" w:name="OLE_LINK18"/>
      <w:r>
        <w:rPr>
          <w:rFonts w:hint="eastAsia" w:ascii="宋体" w:hAnsi="宋体" w:eastAsia="宋体" w:cs="宋体"/>
          <w:szCs w:val="24"/>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58"/>
    <w:p w14:paraId="085BD34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采购代理机构应当自评审结束之日起2个工作日内将评标报告送交采购人。采购人在收到评审报告5个工作日内，从评审报告推荐的中标候选人中，按由高到低的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239B942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采购代理机构接到采购人的《定标复函》后，在2个工作日内，将中标结果在陕西省政府采购网、陕西省公共资源交易中心网进行公告。公告发布1个工作日，其他投标人若有异议，按《</w:t>
      </w:r>
      <w:r>
        <w:rPr>
          <w:rFonts w:hint="eastAsia" w:ascii="宋体" w:hAnsi="宋体" w:eastAsia="宋体" w:cs="宋体"/>
          <w:szCs w:val="24"/>
          <w:lang w:val="en-US" w:eastAsia="zh-CN"/>
        </w:rPr>
        <w:t>中国画人民共和国</w:t>
      </w:r>
      <w:r>
        <w:rPr>
          <w:rFonts w:hint="eastAsia" w:ascii="宋体" w:hAnsi="宋体" w:eastAsia="宋体" w:cs="宋体"/>
          <w:szCs w:val="24"/>
        </w:rPr>
        <w:t>政府采购法》第52条执行。</w:t>
      </w:r>
    </w:p>
    <w:p w14:paraId="1B60E12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4-2、中标人确定后，采购人和采购代理机构对未中标原因不作任何解释，投标文件不予退还。</w:t>
      </w:r>
    </w:p>
    <w:p w14:paraId="69515EAD">
      <w:pPr>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5、投标无效的情形：</w:t>
      </w:r>
    </w:p>
    <w:p w14:paraId="5A64A42B">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5-1、未按照招标文件的规定提交投标保证金的；</w:t>
      </w:r>
    </w:p>
    <w:p w14:paraId="0BDDBEAF">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5-2、投标文件未按招标文件要求签署、盖章的；</w:t>
      </w:r>
    </w:p>
    <w:p w14:paraId="456176C3">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5-3、不具备招标文件中规定的资格要求的；</w:t>
      </w:r>
    </w:p>
    <w:p w14:paraId="18239E05">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5-4、报价超过招标文件中规定的预算金额或者最高限价的；</w:t>
      </w:r>
    </w:p>
    <w:p w14:paraId="178D3A47">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5-5、投标文件含有采购人不能接受的附加条件的；</w:t>
      </w:r>
    </w:p>
    <w:p w14:paraId="5EAC3A1A">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5-6、</w:t>
      </w:r>
      <w:r>
        <w:rPr>
          <w:rFonts w:hint="eastAsia" w:ascii="宋体" w:hAnsi="宋体" w:eastAsia="宋体" w:cs="宋体"/>
          <w:kern w:val="0"/>
          <w:szCs w:val="24"/>
        </w:rPr>
        <w:t>提供虚假材料谋取中标的；</w:t>
      </w:r>
    </w:p>
    <w:p w14:paraId="1C44FB3C">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5-7、采取不正当手段诋毁、排挤其他投标人的；</w:t>
      </w:r>
    </w:p>
    <w:p w14:paraId="598F9C17">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kern w:val="0"/>
          <w:szCs w:val="24"/>
        </w:rPr>
        <w:t>5-8、</w:t>
      </w:r>
      <w:r>
        <w:rPr>
          <w:rFonts w:hint="eastAsia" w:ascii="宋体" w:hAnsi="宋体" w:eastAsia="宋体" w:cs="宋体"/>
          <w:szCs w:val="24"/>
        </w:rPr>
        <w:t>法律、法规和招标文件规定的其他无效情形。</w:t>
      </w:r>
    </w:p>
    <w:p w14:paraId="7A89EFA4">
      <w:pPr>
        <w:spacing w:line="365" w:lineRule="auto"/>
        <w:ind w:firstLine="472" w:firstLineChars="196"/>
        <w:rPr>
          <w:rFonts w:hint="eastAsia" w:ascii="宋体" w:hAnsi="宋体" w:eastAsia="宋体" w:cs="宋体"/>
          <w:b/>
          <w:szCs w:val="24"/>
        </w:rPr>
      </w:pPr>
      <w:r>
        <w:rPr>
          <w:rFonts w:hint="eastAsia" w:ascii="宋体" w:hAnsi="宋体" w:eastAsia="宋体" w:cs="宋体"/>
          <w:b/>
          <w:szCs w:val="24"/>
        </w:rPr>
        <w:t>6、中标通知</w:t>
      </w:r>
      <w:bookmarkEnd w:id="55"/>
      <w:bookmarkEnd w:id="56"/>
      <w:r>
        <w:rPr>
          <w:rFonts w:hint="eastAsia" w:ascii="宋体" w:hAnsi="宋体" w:eastAsia="宋体" w:cs="宋体"/>
          <w:b/>
          <w:szCs w:val="24"/>
        </w:rPr>
        <w:t>书</w:t>
      </w:r>
    </w:p>
    <w:p w14:paraId="108E9AC4">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6-1、中标通知书将在中标公告发布的同时由采购代理机构发出。</w:t>
      </w:r>
    </w:p>
    <w:p w14:paraId="3D86D5C2">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6-2、中标人应在接到采购代理机构通知之日起七日内领取中标通知书。</w:t>
      </w:r>
      <w:r>
        <w:rPr>
          <w:rFonts w:hint="eastAsia" w:ascii="宋体" w:hAnsi="宋体" w:eastAsia="宋体" w:cs="宋体"/>
          <w:b/>
          <w:bCs/>
          <w:szCs w:val="24"/>
        </w:rPr>
        <w:t>未在规定时间内领取中标通知书的，投标保证金不予退还。</w:t>
      </w:r>
      <w:r>
        <w:rPr>
          <w:rFonts w:hint="eastAsia" w:ascii="宋体" w:hAnsi="宋体" w:eastAsia="宋体" w:cs="宋体"/>
          <w:szCs w:val="24"/>
        </w:rPr>
        <w:t>提供投标担保的投标人将由专业担保机构先行偿付采购人损失。</w:t>
      </w:r>
      <w:bookmarkStart w:id="59" w:name="_Toc458617790"/>
      <w:bookmarkStart w:id="60" w:name="_Toc458617739"/>
      <w:bookmarkStart w:id="61" w:name="_Toc458617462"/>
    </w:p>
    <w:p w14:paraId="33FBE2FD">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6-3、</w:t>
      </w:r>
      <w:r>
        <w:rPr>
          <w:rFonts w:hint="eastAsia" w:ascii="宋体" w:hAnsi="宋体" w:eastAsia="宋体" w:cs="宋体"/>
          <w:kern w:val="0"/>
          <w:szCs w:val="24"/>
        </w:rPr>
        <w:t>中标通知书发出后，采购人不得违法改变中标结果，中标人无正当理由不得弃中标。</w:t>
      </w:r>
    </w:p>
    <w:p w14:paraId="06BB2727">
      <w:pPr>
        <w:pStyle w:val="5"/>
        <w:spacing w:before="0" w:after="0" w:line="365" w:lineRule="auto"/>
        <w:rPr>
          <w:rFonts w:hint="eastAsia" w:ascii="宋体" w:hAnsi="宋体" w:eastAsia="宋体" w:cs="宋体"/>
          <w:kern w:val="0"/>
          <w:sz w:val="28"/>
          <w:szCs w:val="28"/>
        </w:rPr>
      </w:pPr>
      <w:bookmarkStart w:id="62" w:name="_Toc7823"/>
      <w:bookmarkStart w:id="63" w:name="_Toc28839"/>
      <w:bookmarkStart w:id="64" w:name="_Toc12827"/>
      <w:r>
        <w:rPr>
          <w:rFonts w:hint="eastAsia" w:ascii="宋体" w:hAnsi="宋体" w:eastAsia="宋体" w:cs="宋体"/>
          <w:kern w:val="0"/>
          <w:sz w:val="28"/>
          <w:szCs w:val="28"/>
        </w:rPr>
        <w:t>八、</w:t>
      </w:r>
      <w:bookmarkEnd w:id="62"/>
      <w:bookmarkStart w:id="65" w:name="_Toc17675"/>
      <w:r>
        <w:rPr>
          <w:rFonts w:hint="eastAsia" w:ascii="宋体" w:hAnsi="宋体" w:eastAsia="宋体" w:cs="宋体"/>
          <w:kern w:val="0"/>
          <w:sz w:val="28"/>
          <w:szCs w:val="28"/>
        </w:rPr>
        <w:t>合同</w:t>
      </w:r>
      <w:bookmarkEnd w:id="59"/>
      <w:bookmarkEnd w:id="60"/>
      <w:bookmarkEnd w:id="61"/>
      <w:bookmarkEnd w:id="63"/>
      <w:bookmarkEnd w:id="64"/>
      <w:bookmarkEnd w:id="65"/>
    </w:p>
    <w:p w14:paraId="15381085">
      <w:pPr>
        <w:spacing w:line="360" w:lineRule="auto"/>
        <w:ind w:firstLine="480" w:firstLineChars="200"/>
        <w:rPr>
          <w:rFonts w:hint="eastAsia" w:ascii="宋体" w:hAnsi="宋体" w:eastAsia="宋体" w:cs="宋体"/>
          <w:szCs w:val="24"/>
        </w:rPr>
      </w:pPr>
      <w:bookmarkStart w:id="66" w:name="_Toc11888"/>
      <w:bookmarkStart w:id="67" w:name="_Toc458617740"/>
      <w:bookmarkStart w:id="68" w:name="_Toc458617463"/>
      <w:r>
        <w:rPr>
          <w:rFonts w:hint="eastAsia" w:ascii="宋体" w:hAnsi="宋体" w:eastAsia="宋体" w:cs="宋体"/>
          <w:szCs w:val="24"/>
        </w:rPr>
        <w:t>1、中标人在收到中标通知书后二十五（25）个日历日内，应按招标文件的要求与采购人</w:t>
      </w:r>
      <w:r>
        <w:rPr>
          <w:rFonts w:hint="eastAsia" w:ascii="宋体" w:hAnsi="宋体" w:eastAsia="宋体" w:cs="宋体"/>
          <w:szCs w:val="24"/>
          <w:lang w:val="en-US" w:eastAsia="zh-CN"/>
        </w:rPr>
        <w:t>及采购人指定的各学校</w:t>
      </w:r>
      <w:r>
        <w:rPr>
          <w:rFonts w:hint="eastAsia" w:ascii="宋体" w:hAnsi="宋体" w:eastAsia="宋体" w:cs="宋体"/>
          <w:szCs w:val="24"/>
        </w:rPr>
        <w:t>签订合同。</w:t>
      </w:r>
    </w:p>
    <w:p w14:paraId="50656BB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2、中标人因自身原因不按规定与采购人</w:t>
      </w:r>
      <w:r>
        <w:rPr>
          <w:rFonts w:hint="eastAsia" w:ascii="宋体" w:hAnsi="宋体" w:eastAsia="宋体" w:cs="宋体"/>
          <w:szCs w:val="24"/>
          <w:lang w:val="en-US" w:eastAsia="zh-CN"/>
        </w:rPr>
        <w:t>及采购人指定的学校</w:t>
      </w:r>
      <w:r>
        <w:rPr>
          <w:rFonts w:hint="eastAsia" w:ascii="宋体" w:hAnsi="宋体" w:eastAsia="宋体" w:cs="宋体"/>
          <w:szCs w:val="24"/>
        </w:rPr>
        <w:t>签订合同或者拒绝与采购人</w:t>
      </w:r>
      <w:r>
        <w:rPr>
          <w:rFonts w:hint="eastAsia" w:ascii="宋体" w:hAnsi="宋体" w:eastAsia="宋体" w:cs="宋体"/>
          <w:szCs w:val="24"/>
          <w:lang w:val="en-US" w:eastAsia="zh-CN"/>
        </w:rPr>
        <w:t>及采购人指定的学校</w:t>
      </w:r>
      <w:r>
        <w:rPr>
          <w:rFonts w:hint="eastAsia" w:ascii="宋体" w:hAnsi="宋体" w:eastAsia="宋体" w:cs="宋体"/>
          <w:szCs w:val="24"/>
        </w:rPr>
        <w:t>签订合同的，则采购人将废除授标，投标保证金不予退还。给采购人造成损失超过投标保证金额的，还应当对超过部分予以赔偿，并依法承担相应法律责任。</w:t>
      </w:r>
      <w:r>
        <w:rPr>
          <w:rFonts w:hint="eastAsia" w:ascii="宋体" w:hAnsi="宋体" w:eastAsia="宋体" w:cs="宋体"/>
        </w:rPr>
        <w:t>同时，采购人可以按照评审报告推荐的中标候选人名单排序，确定下一候选人为中标人，</w:t>
      </w:r>
      <w:r>
        <w:rPr>
          <w:rFonts w:hint="eastAsia" w:ascii="宋体" w:hAnsi="宋体" w:eastAsia="宋体" w:cs="宋体"/>
          <w:szCs w:val="24"/>
        </w:rPr>
        <w:t>以此类推，</w:t>
      </w:r>
      <w:r>
        <w:rPr>
          <w:rFonts w:hint="eastAsia" w:ascii="宋体" w:hAnsi="宋体" w:eastAsia="宋体" w:cs="宋体"/>
        </w:rPr>
        <w:t>也可以重新开展政府采购活动。</w:t>
      </w:r>
      <w:r>
        <w:rPr>
          <w:rFonts w:hint="eastAsia" w:ascii="宋体" w:hAnsi="宋体" w:eastAsia="宋体" w:cs="宋体"/>
          <w:szCs w:val="24"/>
        </w:rPr>
        <w:t>因自身原因拒绝签订政府采购合同的或者未按合同约定进行履约的，中标人不得参加对该项目重新开展的招标活动。</w:t>
      </w:r>
    </w:p>
    <w:p w14:paraId="0F99A83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3、中标通知书将是合同的重要组成部分。招标文件、中标人的投标文件及评议过程中有关的澄清文件均作为合同附件。</w:t>
      </w:r>
    </w:p>
    <w:p w14:paraId="6D29096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中标后，中标人应按照合同约定履行义务，完成对招标项目的供货及相关服务，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宋体" w:hAnsi="宋体" w:eastAsia="宋体" w:cs="宋体"/>
          <w:bCs/>
          <w:szCs w:val="21"/>
        </w:rPr>
        <w:t>《</w:t>
      </w:r>
      <w:r>
        <w:rPr>
          <w:rFonts w:hint="eastAsia" w:ascii="宋体" w:hAnsi="宋体" w:eastAsia="宋体" w:cs="宋体"/>
          <w:spacing w:val="4"/>
          <w:szCs w:val="21"/>
        </w:rPr>
        <w:t>政府采购促进中小企业发展管理办法</w:t>
      </w:r>
      <w:r>
        <w:rPr>
          <w:rFonts w:hint="eastAsia" w:ascii="宋体" w:hAnsi="宋体" w:eastAsia="宋体" w:cs="宋体"/>
          <w:bCs/>
          <w:szCs w:val="21"/>
        </w:rPr>
        <w:t>》(财库〔2020〕46号)</w:t>
      </w:r>
      <w:r>
        <w:rPr>
          <w:rFonts w:hint="eastAsia" w:ascii="宋体" w:hAnsi="宋体" w:eastAsia="宋体" w:cs="宋体"/>
          <w:szCs w:val="24"/>
        </w:rPr>
        <w:t>规定的政策获取政府采购合同后，小型、微型企业不得分包或转包给大型、中型企业，中型企业不得分包或转包给大型企业。</w:t>
      </w:r>
    </w:p>
    <w:p w14:paraId="191C977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5、所签订的合同不得对招标文件确定的事项和中标人投标文件作实质性修改。</w:t>
      </w:r>
    </w:p>
    <w:p w14:paraId="65648130">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6、采购人需追加与合同标的相同的货物、工程或服务的，在不改变合同其他条款的前提下，可以与中标人协商签订补充合同，但所有补充合同的采购金额不得超过原合同采购金额的百分之十。</w:t>
      </w:r>
    </w:p>
    <w:p w14:paraId="3D8AA7F4">
      <w:pPr>
        <w:pStyle w:val="5"/>
        <w:spacing w:before="0" w:after="0" w:line="365" w:lineRule="auto"/>
        <w:rPr>
          <w:rFonts w:hint="eastAsia" w:ascii="宋体" w:hAnsi="宋体" w:eastAsia="宋体" w:cs="宋体"/>
          <w:kern w:val="0"/>
          <w:sz w:val="28"/>
          <w:szCs w:val="28"/>
        </w:rPr>
      </w:pPr>
      <w:bookmarkStart w:id="69" w:name="_Toc29684"/>
      <w:bookmarkStart w:id="70" w:name="_Toc30465"/>
      <w:r>
        <w:rPr>
          <w:rFonts w:hint="eastAsia" w:ascii="宋体" w:hAnsi="宋体" w:eastAsia="宋体" w:cs="宋体"/>
          <w:kern w:val="0"/>
          <w:sz w:val="28"/>
          <w:szCs w:val="28"/>
        </w:rPr>
        <w:t>九、合同的履约验收</w:t>
      </w:r>
      <w:bookmarkEnd w:id="66"/>
      <w:bookmarkEnd w:id="69"/>
      <w:bookmarkEnd w:id="70"/>
    </w:p>
    <w:p w14:paraId="4A7425B4">
      <w:pPr>
        <w:spacing w:line="365" w:lineRule="auto"/>
        <w:ind w:firstLine="480" w:firstLineChars="200"/>
        <w:rPr>
          <w:rFonts w:hint="eastAsia" w:ascii="宋体" w:hAnsi="宋体" w:eastAsia="宋体" w:cs="宋体"/>
        </w:rPr>
      </w:pPr>
      <w:r>
        <w:rPr>
          <w:rFonts w:hint="eastAsia" w:ascii="宋体" w:hAnsi="宋体" w:eastAsia="宋体" w:cs="宋体"/>
        </w:rPr>
        <w:t>采购人应按照政府采购合同约定的技术、服务、安全标准组织对投标人每一项技术、服务、安全标准的履约情况进行验收，并出具验收书。</w:t>
      </w:r>
    </w:p>
    <w:p w14:paraId="5C0042CF">
      <w:pPr>
        <w:pStyle w:val="5"/>
        <w:spacing w:before="0" w:after="0" w:line="365" w:lineRule="auto"/>
        <w:rPr>
          <w:rFonts w:hint="eastAsia" w:ascii="宋体" w:hAnsi="宋体" w:eastAsia="宋体" w:cs="宋体"/>
          <w:kern w:val="0"/>
          <w:sz w:val="28"/>
          <w:szCs w:val="28"/>
        </w:rPr>
      </w:pPr>
      <w:bookmarkStart w:id="71" w:name="_Toc26697"/>
      <w:bookmarkStart w:id="72" w:name="_Toc21232"/>
      <w:bookmarkStart w:id="73" w:name="_Toc22040"/>
      <w:r>
        <w:rPr>
          <w:rFonts w:hint="eastAsia" w:ascii="宋体" w:hAnsi="宋体" w:eastAsia="宋体" w:cs="宋体"/>
          <w:kern w:val="0"/>
          <w:sz w:val="28"/>
          <w:szCs w:val="28"/>
        </w:rPr>
        <w:t>十、招标服务费</w:t>
      </w:r>
      <w:bookmarkEnd w:id="67"/>
      <w:bookmarkEnd w:id="68"/>
      <w:bookmarkEnd w:id="71"/>
      <w:bookmarkEnd w:id="72"/>
      <w:bookmarkEnd w:id="73"/>
    </w:p>
    <w:p w14:paraId="42E085FC">
      <w:pPr>
        <w:spacing w:line="365" w:lineRule="auto"/>
        <w:ind w:firstLine="480" w:firstLineChars="200"/>
        <w:rPr>
          <w:rFonts w:hint="eastAsia" w:ascii="宋体" w:hAnsi="宋体" w:eastAsia="宋体" w:cs="宋体"/>
          <w:kern w:val="0"/>
          <w:szCs w:val="24"/>
        </w:rPr>
      </w:pPr>
      <w:bookmarkStart w:id="74" w:name="_Toc23504"/>
      <w:bookmarkStart w:id="75" w:name="_Toc3537"/>
      <w:bookmarkStart w:id="76" w:name="_Toc20000"/>
      <w:bookmarkStart w:id="77" w:name="_Toc458617742"/>
      <w:bookmarkStart w:id="78" w:name="_Toc458617465"/>
      <w:r>
        <w:rPr>
          <w:rFonts w:hint="eastAsia" w:ascii="宋体" w:hAnsi="宋体" w:eastAsia="宋体" w:cs="宋体"/>
          <w:kern w:val="0"/>
          <w:szCs w:val="24"/>
        </w:rPr>
        <w:t>本项目代理服务费依据</w:t>
      </w:r>
      <w:r>
        <w:rPr>
          <w:rFonts w:hint="eastAsia" w:ascii="宋体" w:hAnsi="宋体" w:eastAsia="宋体" w:cs="宋体"/>
          <w:kern w:val="0"/>
          <w:szCs w:val="24"/>
          <w:lang w:val="en-US" w:eastAsia="zh-CN"/>
        </w:rPr>
        <w:t>依据中标价的1.5%计取，不足3000元按3000元计取。</w:t>
      </w:r>
      <w:r>
        <w:rPr>
          <w:rFonts w:hint="eastAsia" w:ascii="宋体" w:hAnsi="宋体" w:eastAsia="宋体" w:cs="宋体"/>
          <w:kern w:val="0"/>
          <w:szCs w:val="24"/>
        </w:rPr>
        <w:t>在本采购项目开标结果公示期满后七日内,由一次性向采购代理机构缴纳服务费。该项费用应充分考虑并包含在投标报价内，采购人不再单独列项支付。</w:t>
      </w:r>
    </w:p>
    <w:p w14:paraId="07959694">
      <w:pPr>
        <w:spacing w:line="365" w:lineRule="auto"/>
        <w:outlineLvl w:val="1"/>
        <w:rPr>
          <w:rFonts w:hint="eastAsia" w:ascii="宋体" w:hAnsi="宋体" w:eastAsia="宋体" w:cs="宋体"/>
          <w:b/>
          <w:bCs/>
          <w:kern w:val="0"/>
          <w:sz w:val="28"/>
          <w:szCs w:val="28"/>
        </w:rPr>
      </w:pPr>
      <w:bookmarkStart w:id="79" w:name="_Toc19743"/>
      <w:r>
        <w:rPr>
          <w:rFonts w:hint="eastAsia" w:ascii="宋体" w:hAnsi="宋体" w:eastAsia="宋体" w:cs="宋体"/>
          <w:b/>
          <w:bCs/>
          <w:kern w:val="0"/>
          <w:sz w:val="28"/>
          <w:szCs w:val="28"/>
        </w:rPr>
        <w:t>十一、履约保证金：无</w:t>
      </w:r>
      <w:bookmarkEnd w:id="74"/>
      <w:bookmarkEnd w:id="79"/>
    </w:p>
    <w:p w14:paraId="10E3293F">
      <w:pPr>
        <w:pStyle w:val="5"/>
        <w:spacing w:before="0" w:after="0" w:line="365" w:lineRule="auto"/>
        <w:rPr>
          <w:rFonts w:hint="eastAsia" w:ascii="宋体" w:hAnsi="宋体" w:eastAsia="宋体" w:cs="宋体"/>
          <w:kern w:val="0"/>
          <w:sz w:val="28"/>
          <w:szCs w:val="28"/>
        </w:rPr>
      </w:pPr>
      <w:bookmarkStart w:id="80" w:name="_Toc7343"/>
      <w:bookmarkStart w:id="81" w:name="_Toc25470"/>
      <w:r>
        <w:rPr>
          <w:rFonts w:hint="eastAsia" w:ascii="宋体" w:hAnsi="宋体" w:eastAsia="宋体" w:cs="宋体"/>
          <w:kern w:val="0"/>
          <w:sz w:val="28"/>
          <w:szCs w:val="28"/>
        </w:rPr>
        <w:t>十二、重新组织采购活动</w:t>
      </w:r>
      <w:bookmarkEnd w:id="75"/>
      <w:bookmarkEnd w:id="76"/>
      <w:bookmarkEnd w:id="80"/>
      <w:bookmarkEnd w:id="81"/>
    </w:p>
    <w:p w14:paraId="4A07CF6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如果发生下列情况之一，采购人和采购代理机构将按《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政府采购法》、《政府采购货物和服务招标投标管理办法》（财政部第87号）等有关规定重新组织采购活动：</w:t>
      </w:r>
    </w:p>
    <w:p w14:paraId="3B0799C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（1）因重大变故，采购任务取消的；</w:t>
      </w:r>
    </w:p>
    <w:p w14:paraId="446797E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（2）招标文件存在不合理条款或者招标程序不符合规定的；</w:t>
      </w:r>
    </w:p>
    <w:p w14:paraId="6B8F950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（3）出现影响采购公正的违法、违规行为的；</w:t>
      </w:r>
    </w:p>
    <w:p w14:paraId="2CB4942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（4）投标截止后投标人不足3家或者通过资格审查或符合性审查的投标人不足3家的；</w:t>
      </w:r>
    </w:p>
    <w:p w14:paraId="0FA87A1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（5）所有投标人的报价均超出采购预算或最高限价，采购人不能支付的。</w:t>
      </w:r>
    </w:p>
    <w:p w14:paraId="63B22BB2">
      <w:pPr>
        <w:pStyle w:val="5"/>
        <w:spacing w:before="0" w:after="0" w:line="365" w:lineRule="auto"/>
        <w:rPr>
          <w:rFonts w:hint="eastAsia" w:ascii="宋体" w:hAnsi="宋体" w:eastAsia="宋体" w:cs="宋体"/>
          <w:kern w:val="0"/>
          <w:sz w:val="28"/>
          <w:szCs w:val="28"/>
        </w:rPr>
      </w:pPr>
      <w:bookmarkStart w:id="82" w:name="_Toc17642"/>
      <w:bookmarkStart w:id="83" w:name="_Toc17598"/>
      <w:bookmarkStart w:id="84" w:name="_Toc8364"/>
      <w:r>
        <w:rPr>
          <w:rFonts w:hint="eastAsia" w:ascii="宋体" w:hAnsi="宋体" w:eastAsia="宋体" w:cs="宋体"/>
          <w:kern w:val="0"/>
          <w:sz w:val="28"/>
          <w:szCs w:val="28"/>
        </w:rPr>
        <w:t>十三、</w:t>
      </w:r>
      <w:bookmarkEnd w:id="77"/>
      <w:bookmarkEnd w:id="78"/>
      <w:bookmarkStart w:id="85" w:name="_Toc458617743"/>
      <w:bookmarkStart w:id="86" w:name="_Toc458617466"/>
      <w:r>
        <w:rPr>
          <w:rFonts w:hint="eastAsia" w:ascii="宋体" w:hAnsi="宋体" w:eastAsia="宋体" w:cs="宋体"/>
          <w:kern w:val="0"/>
          <w:sz w:val="28"/>
          <w:szCs w:val="28"/>
        </w:rPr>
        <w:t>询问、质疑与投诉</w:t>
      </w:r>
      <w:bookmarkEnd w:id="82"/>
      <w:bookmarkEnd w:id="83"/>
      <w:bookmarkEnd w:id="84"/>
    </w:p>
    <w:p w14:paraId="56F7288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1.询问</w:t>
      </w:r>
    </w:p>
    <w:p w14:paraId="16A2FBB1">
      <w:pPr>
        <w:spacing w:line="365" w:lineRule="auto"/>
        <w:ind w:firstLine="480" w:firstLineChars="200"/>
        <w:rPr>
          <w:rFonts w:hint="eastAsia" w:ascii="宋体" w:hAnsi="宋体" w:eastAsia="宋体" w:cs="宋体"/>
        </w:rPr>
      </w:pPr>
      <w:r>
        <w:rPr>
          <w:rFonts w:hint="eastAsia" w:ascii="宋体" w:hAnsi="宋体" w:eastAsia="宋体" w:cs="宋体"/>
        </w:rPr>
        <w:t>投标单位对政府采购活动事项有疑问的，可以向采购代理机构或采购人提出询问。采购代理机构或采购人将在3个工作日内对投标单位依法提出的询问作出答复。</w:t>
      </w:r>
    </w:p>
    <w:p w14:paraId="7E9993B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投标单位提出的询问超出采购人对采购代理机构委托授权范围的，采购代理机构将告知投标单位向采购人提出。</w:t>
      </w:r>
    </w:p>
    <w:p w14:paraId="04BA073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2.质疑和投诉</w:t>
      </w:r>
    </w:p>
    <w:p w14:paraId="27FDFB1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投标单位认为招标文件、招标过程、中标结果使自身的合法权益受到损害，可以在知道或者应当知道其自身权益收到损害之日起七个工作日，以书面形式（纸质版加盖公章）向采购代理机构或采购人提出质疑。</w:t>
      </w:r>
    </w:p>
    <w:p w14:paraId="0228A8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2.1、质疑书应当包括以下主要内容：被质疑项目名称、项目编号、包段、招标公告/中标公告发布时间、质疑事项、证据材料、法律依据（具体条款）、质疑人有效联系方式等。</w:t>
      </w:r>
    </w:p>
    <w:p w14:paraId="7881AF9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3A5DD60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2.3.有下列情形之一的，属于无效质疑，采购代理机构和采购人不予受理：</w:t>
      </w:r>
    </w:p>
    <w:p w14:paraId="0B4578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（1）质疑人不是参与本次政府采购项目的投标单位或潜在投标单位；</w:t>
      </w:r>
    </w:p>
    <w:p w14:paraId="62A4AC0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（2）质疑人与质疑事项不存在利害关系的；</w:t>
      </w:r>
    </w:p>
    <w:p w14:paraId="145D74C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（3）未在法定期限内提出质疑的；</w:t>
      </w:r>
    </w:p>
    <w:p w14:paraId="55B6321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（4）质疑未以书面形式提出，或质疑书主要内容构成不完整的；</w:t>
      </w:r>
    </w:p>
    <w:p w14:paraId="49446FD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（5）质疑书没有合法有效的签字、盖章或授权的；</w:t>
      </w:r>
    </w:p>
    <w:p w14:paraId="1332059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（6）以非法手段取得证据、材料的；</w:t>
      </w:r>
    </w:p>
    <w:p w14:paraId="056D19D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（7）质疑答复后，同一质疑人就同一事项再次提出质疑的；</w:t>
      </w:r>
    </w:p>
    <w:p w14:paraId="39C65DC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（8）不符合法律、法规、规章和监管机构规定的其他条件的。</w:t>
      </w:r>
    </w:p>
    <w:bookmarkEnd w:id="85"/>
    <w:bookmarkEnd w:id="86"/>
    <w:p w14:paraId="2FD46D3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2.4、采购代理机构或采购人将在收到书面质疑后7个工作日内做出答复，并以书面形式通知质疑人和其他有关投标单位。</w:t>
      </w:r>
    </w:p>
    <w:p w14:paraId="294E45A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人投诉的事项不得超出已质疑事项的范围。</w:t>
      </w:r>
    </w:p>
    <w:p w14:paraId="1115808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2.6、对捏造事实、提供虚假材料进行质疑、投诉的行为予以严肃处理：</w:t>
      </w:r>
    </w:p>
    <w:p w14:paraId="23E815C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44B2BE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2.7、对捏造事实诬告陷害他人、诽谤他人的法律适用：</w:t>
      </w:r>
    </w:p>
    <w:p w14:paraId="4F422C1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14:paraId="13DA3ED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《中华人民共和国刑法》第246条【侮辱罪、诽谤罪】以暴力或者其他方法公然侮辱他人或者捏造事实诽谤他人，情节严重的，处三年以下有期徒刑、拘役、管制或者剥夺政治权利。</w:t>
      </w:r>
    </w:p>
    <w:p w14:paraId="15FB1030">
      <w:pPr>
        <w:pStyle w:val="5"/>
        <w:spacing w:before="0" w:after="0" w:line="365" w:lineRule="auto"/>
        <w:rPr>
          <w:rFonts w:hint="eastAsia" w:ascii="宋体" w:hAnsi="宋体" w:eastAsia="宋体" w:cs="宋体"/>
          <w:kern w:val="0"/>
          <w:sz w:val="28"/>
          <w:szCs w:val="28"/>
        </w:rPr>
      </w:pPr>
      <w:bookmarkStart w:id="87" w:name="_Toc6530"/>
      <w:bookmarkStart w:id="88" w:name="_Toc1852"/>
      <w:bookmarkStart w:id="89" w:name="_Toc19161"/>
      <w:r>
        <w:rPr>
          <w:rFonts w:hint="eastAsia" w:ascii="宋体" w:hAnsi="宋体" w:eastAsia="宋体" w:cs="宋体"/>
          <w:kern w:val="0"/>
          <w:sz w:val="28"/>
          <w:szCs w:val="28"/>
        </w:rPr>
        <w:t>十四、拒绝商业贿赂</w:t>
      </w:r>
      <w:bookmarkEnd w:id="87"/>
      <w:bookmarkEnd w:id="88"/>
      <w:bookmarkEnd w:id="89"/>
    </w:p>
    <w:p w14:paraId="0D5983B8">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、投标人必须填写《拒绝政府采购领域商业贿赂承诺书》并附在投标文件中。</w:t>
      </w:r>
    </w:p>
    <w:p w14:paraId="01D33D83">
      <w:pPr>
        <w:ind w:firstLine="280"/>
        <w:rPr>
          <w:rFonts w:hint="eastAsia" w:ascii="宋体" w:hAnsi="宋体" w:eastAsia="宋体" w:cs="宋体"/>
          <w:szCs w:val="24"/>
        </w:rPr>
      </w:pPr>
    </w:p>
    <w:p w14:paraId="36341573">
      <w:pPr>
        <w:pStyle w:val="2"/>
        <w:ind w:firstLine="480"/>
        <w:rPr>
          <w:rFonts w:hint="eastAsia" w:ascii="宋体" w:hAnsi="宋体" w:eastAsia="宋体" w:cs="宋体"/>
          <w:szCs w:val="24"/>
        </w:rPr>
        <w:sectPr>
          <w:headerReference r:id="rId6" w:type="first"/>
          <w:footerReference r:id="rId8" w:type="first"/>
          <w:headerReference r:id="rId5" w:type="default"/>
          <w:footerReference r:id="rId7" w:type="default"/>
          <w:pgSz w:w="11907" w:h="16840"/>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p>
    <w:p w14:paraId="262D7614">
      <w:pPr>
        <w:pStyle w:val="2"/>
        <w:ind w:firstLine="480"/>
        <w:rPr>
          <w:rFonts w:hint="eastAsia" w:ascii="宋体" w:hAnsi="宋体" w:eastAsia="宋体" w:cs="宋体"/>
          <w:szCs w:val="24"/>
        </w:rPr>
        <w:sectPr>
          <w:type w:val="continuous"/>
          <w:pgSz w:w="11907" w:h="16840"/>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p>
    <w:p w14:paraId="0CBE648F">
      <w:pPr>
        <w:pStyle w:val="4"/>
        <w:numPr>
          <w:ilvl w:val="0"/>
          <w:numId w:val="0"/>
        </w:numPr>
        <w:spacing w:before="0" w:after="0" w:line="240" w:lineRule="auto"/>
        <w:jc w:val="center"/>
        <w:rPr>
          <w:rFonts w:hint="eastAsia" w:ascii="宋体" w:hAnsi="宋体" w:eastAsia="宋体" w:cs="宋体"/>
          <w:kern w:val="0"/>
        </w:rPr>
      </w:pPr>
      <w:bookmarkStart w:id="90" w:name="_Toc19482"/>
      <w:bookmarkStart w:id="91" w:name="_Toc15831"/>
      <w:r>
        <w:rPr>
          <w:rFonts w:hint="eastAsia" w:ascii="宋体" w:hAnsi="宋体" w:eastAsia="宋体" w:cs="宋体"/>
          <w:kern w:val="0"/>
          <w:lang w:val="en-US" w:eastAsia="zh-CN"/>
        </w:rPr>
        <w:t xml:space="preserve">第三章 </w:t>
      </w:r>
      <w:r>
        <w:rPr>
          <w:rFonts w:hint="eastAsia" w:ascii="宋体" w:hAnsi="宋体" w:eastAsia="宋体" w:cs="宋体"/>
          <w:kern w:val="0"/>
        </w:rPr>
        <w:t>采购内容及</w:t>
      </w:r>
      <w:r>
        <w:rPr>
          <w:rFonts w:hint="eastAsia" w:ascii="宋体" w:hAnsi="宋体" w:eastAsia="宋体" w:cs="宋体"/>
          <w:kern w:val="0"/>
          <w:lang w:val="en-US" w:eastAsia="zh-CN"/>
        </w:rPr>
        <w:t>服务</w:t>
      </w:r>
      <w:r>
        <w:rPr>
          <w:rFonts w:hint="eastAsia" w:ascii="宋体" w:hAnsi="宋体" w:eastAsia="宋体" w:cs="宋体"/>
          <w:kern w:val="0"/>
        </w:rPr>
        <w:t>要求</w:t>
      </w:r>
      <w:bookmarkEnd w:id="90"/>
      <w:bookmarkEnd w:id="91"/>
      <w:bookmarkStart w:id="92" w:name="_Toc8815"/>
      <w:bookmarkStart w:id="93" w:name="_Toc458617747"/>
      <w:bookmarkStart w:id="94" w:name="_Toc458617470"/>
    </w:p>
    <w:p w14:paraId="4A287B67">
      <w:pPr>
        <w:widowControl w:val="0"/>
        <w:shd w:val="clear"/>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一</w:t>
      </w:r>
      <w:r>
        <w:rPr>
          <w:rFonts w:hint="eastAsia" w:ascii="宋体" w:hAnsi="宋体" w:eastAsia="宋体" w:cs="宋体"/>
          <w:b/>
          <w:bCs/>
          <w:kern w:val="2"/>
          <w:sz w:val="24"/>
          <w:szCs w:val="24"/>
        </w:rPr>
        <w:t>、采购内容</w:t>
      </w:r>
    </w:p>
    <w:p w14:paraId="35BA21C9">
      <w:pPr>
        <w:widowControl w:val="0"/>
        <w:shd w:val="clear"/>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1、采购内容：千阳县2025-2026学年学生营养改善计划实施营养早餐供餐企业采购，营养早餐的食品为完整早餐。</w:t>
      </w:r>
    </w:p>
    <w:p w14:paraId="1230A0FD">
      <w:pPr>
        <w:widowControl w:val="0"/>
        <w:shd w:val="clear"/>
        <w:spacing w:line="360" w:lineRule="auto"/>
        <w:ind w:firstLine="480" w:firstLineChars="200"/>
        <w:jc w:val="both"/>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rPr>
        <w:t>2、采购数量：预计每天约680份，涉及2所学校（供餐数量为预计数量，结算以实际供餐人员数量及天数为准）（不含留样数量，各学校每个品种每天的留样量不少于150克）。</w:t>
      </w:r>
    </w:p>
    <w:p w14:paraId="7F937023">
      <w:pPr>
        <w:widowControl w:val="0"/>
        <w:shd w:val="clear"/>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二、技术要求</w:t>
      </w:r>
    </w:p>
    <w:p w14:paraId="4982E3B2">
      <w:pPr>
        <w:widowControl w:val="0"/>
        <w:shd w:val="clear"/>
        <w:spacing w:line="360" w:lineRule="auto"/>
        <w:jc w:val="both"/>
        <w:rPr>
          <w:rFonts w:hint="eastAsia" w:ascii="宋体" w:hAnsi="宋体" w:eastAsia="宋体" w:cs="宋体"/>
          <w:lang w:val="en-US" w:eastAsia="zh-CN"/>
        </w:rPr>
      </w:pPr>
      <w:r>
        <w:rPr>
          <w:rFonts w:hint="eastAsia" w:ascii="宋体" w:hAnsi="宋体" w:eastAsia="宋体" w:cs="宋体"/>
          <w:b/>
          <w:bCs/>
          <w:kern w:val="2"/>
          <w:sz w:val="24"/>
          <w:szCs w:val="24"/>
          <w:lang w:val="en-US" w:eastAsia="zh-CN"/>
        </w:rPr>
        <w:t>（一）供餐食谱</w:t>
      </w:r>
    </w:p>
    <w:tbl>
      <w:tblPr>
        <w:tblStyle w:val="29"/>
        <w:tblW w:w="46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418"/>
        <w:gridCol w:w="2506"/>
        <w:gridCol w:w="1747"/>
        <w:gridCol w:w="1463"/>
        <w:gridCol w:w="756"/>
      </w:tblGrid>
      <w:tr w14:paraId="0E82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6"/>
            <w:tcBorders>
              <w:top w:val="nil"/>
              <w:left w:val="nil"/>
              <w:bottom w:val="nil"/>
              <w:right w:val="nil"/>
            </w:tcBorders>
            <w:shd w:val="clear" w:color="auto" w:fill="auto"/>
            <w:noWrap/>
            <w:vAlign w:val="center"/>
          </w:tcPr>
          <w:p w14:paraId="71B63A8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营养早餐品种、规格、成本费用</w:t>
            </w:r>
          </w:p>
        </w:tc>
      </w:tr>
      <w:tr w14:paraId="3DA1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6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7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菜品</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D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5B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成本费（元）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1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A09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restart"/>
            <w:tcBorders>
              <w:top w:val="single" w:color="000000" w:sz="4" w:space="0"/>
              <w:left w:val="single" w:color="000000" w:sz="4" w:space="0"/>
              <w:bottom w:val="nil"/>
              <w:right w:val="single" w:color="000000" w:sz="4" w:space="0"/>
            </w:tcBorders>
            <w:shd w:val="clear" w:color="auto" w:fill="auto"/>
            <w:noWrap/>
            <w:vAlign w:val="center"/>
          </w:tcPr>
          <w:p w14:paraId="1739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主食类</w:t>
            </w: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01305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7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3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A5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6ED8">
            <w:pPr>
              <w:jc w:val="center"/>
              <w:rPr>
                <w:rFonts w:hint="eastAsia" w:ascii="宋体" w:hAnsi="宋体" w:eastAsia="宋体" w:cs="宋体"/>
                <w:i w:val="0"/>
                <w:iCs w:val="0"/>
                <w:color w:val="000000"/>
                <w:sz w:val="22"/>
                <w:szCs w:val="22"/>
                <w:u w:val="none"/>
                <w:lang w:val="en-US" w:eastAsia="zh-CN"/>
              </w:rPr>
            </w:pPr>
          </w:p>
        </w:tc>
      </w:tr>
      <w:tr w14:paraId="356B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05CE9E5">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0188756">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香辣茄子包子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E7D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A495">
            <w:pPr>
              <w:jc w:val="center"/>
              <w:rPr>
                <w:rFonts w:hint="eastAsia" w:ascii="宋体" w:hAnsi="宋体" w:eastAsia="宋体" w:cs="宋体"/>
                <w:i w:val="0"/>
                <w:iCs w:val="0"/>
                <w:color w:val="000000"/>
                <w:sz w:val="22"/>
                <w:szCs w:val="22"/>
                <w:u w:val="none"/>
                <w:lang w:val="en-US" w:eastAsia="zh-CN"/>
              </w:rPr>
            </w:pPr>
          </w:p>
        </w:tc>
      </w:tr>
      <w:tr w14:paraId="3123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D7B11C2">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1ACBE46">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7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B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19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2235">
            <w:pPr>
              <w:jc w:val="center"/>
              <w:rPr>
                <w:rFonts w:hint="eastAsia" w:ascii="宋体" w:hAnsi="宋体" w:eastAsia="宋体" w:cs="宋体"/>
                <w:i w:val="0"/>
                <w:iCs w:val="0"/>
                <w:color w:val="000000"/>
                <w:sz w:val="22"/>
                <w:szCs w:val="22"/>
                <w:u w:val="none"/>
              </w:rPr>
            </w:pPr>
          </w:p>
        </w:tc>
      </w:tr>
      <w:tr w14:paraId="6076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FDB0C95">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AA2530D">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F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A3B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7D14">
            <w:pPr>
              <w:jc w:val="center"/>
              <w:rPr>
                <w:rFonts w:hint="eastAsia" w:ascii="宋体" w:hAnsi="宋体" w:eastAsia="宋体" w:cs="宋体"/>
                <w:i w:val="0"/>
                <w:iCs w:val="0"/>
                <w:color w:val="000000"/>
                <w:sz w:val="22"/>
                <w:szCs w:val="22"/>
                <w:u w:val="none"/>
              </w:rPr>
            </w:pPr>
          </w:p>
        </w:tc>
      </w:tr>
      <w:tr w14:paraId="2FF1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987AC6B">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9E66F6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16CF3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地软包子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0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B83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88D">
            <w:pPr>
              <w:jc w:val="center"/>
              <w:rPr>
                <w:rFonts w:hint="eastAsia" w:ascii="宋体" w:hAnsi="宋体" w:eastAsia="宋体" w:cs="宋体"/>
                <w:i w:val="0"/>
                <w:iCs w:val="0"/>
                <w:color w:val="000000"/>
                <w:sz w:val="22"/>
                <w:szCs w:val="22"/>
                <w:u w:val="none"/>
              </w:rPr>
            </w:pPr>
          </w:p>
        </w:tc>
      </w:tr>
      <w:tr w14:paraId="5D07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45BBD70">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351EB94">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E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064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69C">
            <w:pPr>
              <w:jc w:val="center"/>
              <w:rPr>
                <w:rFonts w:hint="eastAsia" w:ascii="宋体" w:hAnsi="宋体" w:eastAsia="宋体" w:cs="宋体"/>
                <w:i w:val="0"/>
                <w:iCs w:val="0"/>
                <w:color w:val="000000"/>
                <w:sz w:val="22"/>
                <w:szCs w:val="22"/>
                <w:u w:val="none"/>
              </w:rPr>
            </w:pPr>
          </w:p>
        </w:tc>
      </w:tr>
      <w:tr w14:paraId="57E5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3A274B6">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6CE15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面包</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E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肉松面包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E5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4115">
            <w:pPr>
              <w:jc w:val="center"/>
              <w:rPr>
                <w:rFonts w:hint="eastAsia" w:ascii="宋体" w:hAnsi="宋体" w:eastAsia="宋体" w:cs="宋体"/>
                <w:i w:val="0"/>
                <w:iCs w:val="0"/>
                <w:color w:val="000000"/>
                <w:sz w:val="22"/>
                <w:szCs w:val="22"/>
                <w:u w:val="none"/>
              </w:rPr>
            </w:pPr>
          </w:p>
        </w:tc>
      </w:tr>
      <w:tr w14:paraId="6A6E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64B27C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7793D2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9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鸡腿堡</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6A5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225F">
            <w:pPr>
              <w:jc w:val="center"/>
              <w:rPr>
                <w:rFonts w:hint="eastAsia" w:ascii="宋体" w:hAnsi="宋体" w:eastAsia="宋体" w:cs="宋体"/>
                <w:i w:val="0"/>
                <w:iCs w:val="0"/>
                <w:color w:val="000000"/>
                <w:sz w:val="22"/>
                <w:szCs w:val="22"/>
                <w:u w:val="none"/>
              </w:rPr>
            </w:pPr>
          </w:p>
        </w:tc>
      </w:tr>
      <w:tr w14:paraId="787C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302DACC">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E8832FB">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手撕面包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0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D1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BBF4">
            <w:pPr>
              <w:jc w:val="center"/>
              <w:rPr>
                <w:rFonts w:hint="eastAsia" w:ascii="宋体" w:hAnsi="宋体" w:eastAsia="宋体" w:cs="宋体"/>
                <w:i w:val="0"/>
                <w:iCs w:val="0"/>
                <w:color w:val="000000"/>
                <w:sz w:val="22"/>
                <w:szCs w:val="22"/>
                <w:u w:val="none"/>
              </w:rPr>
            </w:pPr>
          </w:p>
        </w:tc>
      </w:tr>
      <w:tr w14:paraId="0489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B6A530C">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84E9A8A">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8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起酥豆沙面包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3A6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EDE7">
            <w:pPr>
              <w:jc w:val="center"/>
              <w:rPr>
                <w:rFonts w:hint="eastAsia" w:ascii="宋体" w:hAnsi="宋体" w:eastAsia="宋体" w:cs="宋体"/>
                <w:i w:val="0"/>
                <w:iCs w:val="0"/>
                <w:color w:val="000000"/>
                <w:sz w:val="22"/>
                <w:szCs w:val="22"/>
                <w:u w:val="none"/>
              </w:rPr>
            </w:pPr>
          </w:p>
        </w:tc>
      </w:tr>
      <w:tr w14:paraId="2BF2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36005B">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59ED3C1">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红豆小方块</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9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F7D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3718">
            <w:pPr>
              <w:jc w:val="center"/>
              <w:rPr>
                <w:rFonts w:hint="eastAsia" w:ascii="宋体" w:hAnsi="宋体" w:eastAsia="宋体" w:cs="宋体"/>
                <w:i w:val="0"/>
                <w:iCs w:val="0"/>
                <w:color w:val="000000"/>
                <w:sz w:val="22"/>
                <w:szCs w:val="22"/>
                <w:u w:val="none"/>
              </w:rPr>
            </w:pPr>
          </w:p>
        </w:tc>
      </w:tr>
      <w:tr w14:paraId="5FF7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DBFCB8F">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5E0B4AA">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F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杂粮面包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7C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7A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A7D5">
            <w:pPr>
              <w:jc w:val="center"/>
              <w:rPr>
                <w:rFonts w:hint="eastAsia" w:ascii="宋体" w:hAnsi="宋体" w:eastAsia="宋体" w:cs="宋体"/>
                <w:i w:val="0"/>
                <w:iCs w:val="0"/>
                <w:color w:val="000000"/>
                <w:sz w:val="22"/>
                <w:szCs w:val="22"/>
                <w:u w:val="none"/>
              </w:rPr>
            </w:pPr>
          </w:p>
        </w:tc>
      </w:tr>
      <w:tr w14:paraId="247D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AA01F6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C57E590">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酸奶毛毛虫</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9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2F5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565C">
            <w:pPr>
              <w:jc w:val="center"/>
              <w:rPr>
                <w:rFonts w:hint="eastAsia" w:ascii="宋体" w:hAnsi="宋体" w:eastAsia="宋体" w:cs="宋体"/>
                <w:i w:val="0"/>
                <w:iCs w:val="0"/>
                <w:color w:val="000000"/>
                <w:sz w:val="22"/>
                <w:szCs w:val="22"/>
                <w:u w:val="none"/>
              </w:rPr>
            </w:pPr>
          </w:p>
        </w:tc>
      </w:tr>
      <w:tr w14:paraId="49B2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50F4125">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962D098">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1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原味面包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66A1">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AF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042B">
            <w:pPr>
              <w:jc w:val="center"/>
              <w:rPr>
                <w:rFonts w:hint="eastAsia" w:ascii="宋体" w:hAnsi="宋体" w:eastAsia="宋体" w:cs="宋体"/>
                <w:i w:val="0"/>
                <w:iCs w:val="0"/>
                <w:color w:val="000000"/>
                <w:sz w:val="22"/>
                <w:szCs w:val="22"/>
                <w:u w:val="none"/>
              </w:rPr>
            </w:pPr>
          </w:p>
        </w:tc>
      </w:tr>
      <w:tr w14:paraId="59E3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9DE0348">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5D558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馍或饼</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B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荷叶饼</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D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85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F0E8">
            <w:pPr>
              <w:jc w:val="center"/>
              <w:rPr>
                <w:rFonts w:hint="eastAsia" w:ascii="宋体" w:hAnsi="宋体" w:eastAsia="宋体" w:cs="宋体"/>
                <w:i w:val="0"/>
                <w:iCs w:val="0"/>
                <w:color w:val="000000"/>
                <w:sz w:val="22"/>
                <w:szCs w:val="22"/>
                <w:u w:val="none"/>
              </w:rPr>
            </w:pPr>
          </w:p>
        </w:tc>
      </w:tr>
      <w:tr w14:paraId="002C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A1C68BD">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DF00480">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8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葱油花卷</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3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1BF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CC78">
            <w:pPr>
              <w:jc w:val="center"/>
              <w:rPr>
                <w:rFonts w:hint="eastAsia" w:ascii="宋体" w:hAnsi="宋体" w:eastAsia="宋体" w:cs="宋体"/>
                <w:i w:val="0"/>
                <w:iCs w:val="0"/>
                <w:color w:val="000000"/>
                <w:sz w:val="22"/>
                <w:szCs w:val="22"/>
                <w:u w:val="none"/>
              </w:rPr>
            </w:pPr>
          </w:p>
        </w:tc>
      </w:tr>
      <w:tr w14:paraId="28A7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26A48D">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13587FC">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馒头</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38C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452B">
            <w:pPr>
              <w:jc w:val="center"/>
              <w:rPr>
                <w:rFonts w:hint="eastAsia" w:ascii="宋体" w:hAnsi="宋体" w:eastAsia="宋体" w:cs="宋体"/>
                <w:i w:val="0"/>
                <w:iCs w:val="0"/>
                <w:color w:val="000000"/>
                <w:sz w:val="22"/>
                <w:szCs w:val="22"/>
                <w:u w:val="none"/>
              </w:rPr>
            </w:pPr>
          </w:p>
        </w:tc>
      </w:tr>
      <w:tr w14:paraId="1BAD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2ECFA31">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455F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点心</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1A4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B525">
            <w:pPr>
              <w:jc w:val="center"/>
              <w:rPr>
                <w:rFonts w:hint="eastAsia" w:ascii="宋体" w:hAnsi="宋体" w:eastAsia="宋体" w:cs="宋体"/>
                <w:i w:val="0"/>
                <w:iCs w:val="0"/>
                <w:color w:val="000000"/>
                <w:sz w:val="22"/>
                <w:szCs w:val="22"/>
                <w:u w:val="none"/>
              </w:rPr>
            </w:pPr>
          </w:p>
        </w:tc>
      </w:tr>
      <w:tr w14:paraId="0885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91BD27E">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20AEF42">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C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D5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BE56">
            <w:pPr>
              <w:jc w:val="center"/>
              <w:rPr>
                <w:rFonts w:hint="eastAsia" w:ascii="宋体" w:hAnsi="宋体" w:eastAsia="宋体" w:cs="宋体"/>
                <w:i w:val="0"/>
                <w:iCs w:val="0"/>
                <w:color w:val="000000"/>
                <w:sz w:val="22"/>
                <w:szCs w:val="22"/>
                <w:u w:val="none"/>
              </w:rPr>
            </w:pPr>
          </w:p>
        </w:tc>
      </w:tr>
      <w:tr w14:paraId="65B4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4045D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D3B1A4B">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A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FB1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7070">
            <w:pPr>
              <w:jc w:val="center"/>
              <w:rPr>
                <w:rFonts w:hint="eastAsia" w:ascii="宋体" w:hAnsi="宋体" w:eastAsia="宋体" w:cs="宋体"/>
                <w:i w:val="0"/>
                <w:iCs w:val="0"/>
                <w:color w:val="000000"/>
                <w:sz w:val="22"/>
                <w:szCs w:val="22"/>
                <w:u w:val="none"/>
              </w:rPr>
            </w:pPr>
          </w:p>
        </w:tc>
      </w:tr>
      <w:tr w14:paraId="426F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8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副食类</w:t>
            </w:r>
          </w:p>
        </w:tc>
        <w:tc>
          <w:tcPr>
            <w:tcW w:w="809" w:type="pct"/>
            <w:vMerge w:val="restart"/>
            <w:tcBorders>
              <w:top w:val="single" w:color="000000" w:sz="4" w:space="0"/>
              <w:left w:val="nil"/>
              <w:bottom w:val="nil"/>
              <w:right w:val="single" w:color="000000" w:sz="4" w:space="0"/>
            </w:tcBorders>
            <w:shd w:val="clear" w:color="auto" w:fill="auto"/>
            <w:noWrap/>
            <w:vAlign w:val="center"/>
          </w:tcPr>
          <w:p w14:paraId="0399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F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CB5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3879">
            <w:pPr>
              <w:jc w:val="center"/>
              <w:rPr>
                <w:rFonts w:hint="eastAsia" w:ascii="宋体" w:hAnsi="宋体" w:eastAsia="宋体" w:cs="宋体"/>
                <w:i w:val="0"/>
                <w:iCs w:val="0"/>
                <w:color w:val="000000"/>
                <w:sz w:val="22"/>
                <w:szCs w:val="22"/>
                <w:u w:val="none"/>
              </w:rPr>
            </w:pPr>
          </w:p>
        </w:tc>
      </w:tr>
      <w:tr w14:paraId="72A6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F10C">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36FB26B8">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C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7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BB9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E40">
            <w:pPr>
              <w:jc w:val="center"/>
              <w:rPr>
                <w:rFonts w:hint="eastAsia" w:ascii="宋体" w:hAnsi="宋体" w:eastAsia="宋体" w:cs="宋体"/>
                <w:i w:val="0"/>
                <w:iCs w:val="0"/>
                <w:color w:val="000000"/>
                <w:sz w:val="22"/>
                <w:szCs w:val="22"/>
                <w:u w:val="none"/>
              </w:rPr>
            </w:pPr>
          </w:p>
        </w:tc>
      </w:tr>
      <w:tr w14:paraId="42BD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B263">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4C742742">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82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FD15">
            <w:pPr>
              <w:jc w:val="center"/>
              <w:rPr>
                <w:rFonts w:hint="eastAsia" w:ascii="宋体" w:hAnsi="宋体" w:eastAsia="宋体" w:cs="宋体"/>
                <w:i w:val="0"/>
                <w:iCs w:val="0"/>
                <w:color w:val="000000"/>
                <w:sz w:val="22"/>
                <w:szCs w:val="22"/>
                <w:u w:val="none"/>
              </w:rPr>
            </w:pPr>
          </w:p>
        </w:tc>
      </w:tr>
      <w:tr w14:paraId="6BE8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C77E">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nil"/>
              <w:right w:val="single" w:color="000000" w:sz="4" w:space="0"/>
            </w:tcBorders>
            <w:shd w:val="clear" w:color="auto" w:fill="auto"/>
            <w:noWrap/>
            <w:vAlign w:val="center"/>
          </w:tcPr>
          <w:p w14:paraId="68323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卤小鸡腿</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C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26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B4E5">
            <w:pPr>
              <w:jc w:val="center"/>
              <w:rPr>
                <w:rFonts w:hint="eastAsia" w:ascii="宋体" w:hAnsi="宋体" w:eastAsia="宋体" w:cs="宋体"/>
                <w:i w:val="0"/>
                <w:iCs w:val="0"/>
                <w:color w:val="000000"/>
                <w:sz w:val="22"/>
                <w:szCs w:val="22"/>
                <w:u w:val="none"/>
              </w:rPr>
            </w:pPr>
          </w:p>
        </w:tc>
      </w:tr>
      <w:tr w14:paraId="1F21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3E3C">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3092910C">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1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红烧小鸡腿</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B16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5FD">
            <w:pPr>
              <w:jc w:val="center"/>
              <w:rPr>
                <w:rFonts w:hint="eastAsia" w:ascii="宋体" w:hAnsi="宋体" w:eastAsia="宋体" w:cs="宋体"/>
                <w:i w:val="0"/>
                <w:iCs w:val="0"/>
                <w:color w:val="000000"/>
                <w:sz w:val="22"/>
                <w:szCs w:val="22"/>
                <w:u w:val="none"/>
              </w:rPr>
            </w:pPr>
          </w:p>
        </w:tc>
      </w:tr>
      <w:tr w14:paraId="02FF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921A">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178E92D2">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鸡排</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4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F9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7B00">
            <w:pPr>
              <w:jc w:val="center"/>
              <w:rPr>
                <w:rFonts w:hint="eastAsia" w:ascii="宋体" w:hAnsi="宋体" w:eastAsia="宋体" w:cs="宋体"/>
                <w:i w:val="0"/>
                <w:iCs w:val="0"/>
                <w:color w:val="000000"/>
                <w:sz w:val="22"/>
                <w:szCs w:val="22"/>
                <w:u w:val="none"/>
              </w:rPr>
            </w:pPr>
          </w:p>
        </w:tc>
      </w:tr>
      <w:tr w14:paraId="67E7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B79C">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nil"/>
              <w:right w:val="single" w:color="000000" w:sz="4" w:space="0"/>
            </w:tcBorders>
            <w:shd w:val="clear" w:color="auto" w:fill="auto"/>
            <w:noWrap/>
            <w:vAlign w:val="center"/>
          </w:tcPr>
          <w:p w14:paraId="16A2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夹馍酱类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香菇丝</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53B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F1EF">
            <w:pPr>
              <w:jc w:val="center"/>
              <w:rPr>
                <w:rFonts w:hint="eastAsia" w:ascii="宋体" w:hAnsi="宋体" w:eastAsia="宋体" w:cs="宋体"/>
                <w:i w:val="0"/>
                <w:iCs w:val="0"/>
                <w:color w:val="000000"/>
                <w:sz w:val="22"/>
                <w:szCs w:val="22"/>
                <w:u w:val="none"/>
              </w:rPr>
            </w:pPr>
          </w:p>
        </w:tc>
      </w:tr>
      <w:tr w14:paraId="25B3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BC1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330D4D62">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9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芽菜</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E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77E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7D3C">
            <w:pPr>
              <w:jc w:val="center"/>
              <w:rPr>
                <w:rFonts w:hint="eastAsia" w:ascii="宋体" w:hAnsi="宋体" w:eastAsia="宋体" w:cs="宋体"/>
                <w:i w:val="0"/>
                <w:iCs w:val="0"/>
                <w:color w:val="000000"/>
                <w:sz w:val="22"/>
                <w:szCs w:val="22"/>
                <w:u w:val="none"/>
              </w:rPr>
            </w:pPr>
          </w:p>
        </w:tc>
      </w:tr>
      <w:tr w14:paraId="7CAA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E59B">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1F3C1FD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4C056F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梅菜干香辣子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6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62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F64D">
            <w:pPr>
              <w:jc w:val="center"/>
              <w:rPr>
                <w:rFonts w:hint="eastAsia" w:ascii="宋体" w:hAnsi="宋体" w:eastAsia="宋体" w:cs="宋体"/>
                <w:i w:val="0"/>
                <w:iCs w:val="0"/>
                <w:color w:val="000000"/>
                <w:sz w:val="22"/>
                <w:szCs w:val="22"/>
                <w:u w:val="none"/>
              </w:rPr>
            </w:pPr>
          </w:p>
        </w:tc>
      </w:tr>
      <w:tr w14:paraId="3D18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35FD">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8B9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粥类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C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6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AD7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35B">
            <w:pPr>
              <w:jc w:val="center"/>
              <w:rPr>
                <w:rFonts w:hint="eastAsia" w:ascii="宋体" w:hAnsi="宋体" w:eastAsia="宋体" w:cs="宋体"/>
                <w:i w:val="0"/>
                <w:iCs w:val="0"/>
                <w:color w:val="000000"/>
                <w:sz w:val="22"/>
                <w:szCs w:val="22"/>
                <w:u w:val="none"/>
              </w:rPr>
            </w:pPr>
          </w:p>
        </w:tc>
      </w:tr>
      <w:tr w14:paraId="0F13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6D5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98B7536">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6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红薯玉米羹</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9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65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0D67">
            <w:pPr>
              <w:jc w:val="center"/>
              <w:rPr>
                <w:rFonts w:hint="eastAsia" w:ascii="宋体" w:hAnsi="宋体" w:eastAsia="宋体" w:cs="宋体"/>
                <w:i w:val="0"/>
                <w:iCs w:val="0"/>
                <w:color w:val="000000"/>
                <w:sz w:val="22"/>
                <w:szCs w:val="22"/>
                <w:u w:val="none"/>
              </w:rPr>
            </w:pPr>
          </w:p>
        </w:tc>
      </w:tr>
      <w:tr w14:paraId="498F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F3EF">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B9C50">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6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红豆薏米粥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3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86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0801">
            <w:pPr>
              <w:jc w:val="center"/>
              <w:rPr>
                <w:rFonts w:hint="eastAsia" w:ascii="宋体" w:hAnsi="宋体" w:eastAsia="宋体" w:cs="宋体"/>
                <w:i w:val="0"/>
                <w:iCs w:val="0"/>
                <w:color w:val="000000"/>
                <w:sz w:val="22"/>
                <w:szCs w:val="22"/>
                <w:u w:val="none"/>
              </w:rPr>
            </w:pPr>
          </w:p>
        </w:tc>
      </w:tr>
      <w:tr w14:paraId="7C59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9E20">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E288221">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山药红枣粥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0A5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EDDC">
            <w:pPr>
              <w:jc w:val="center"/>
              <w:rPr>
                <w:rFonts w:hint="eastAsia" w:ascii="宋体" w:hAnsi="宋体" w:eastAsia="宋体" w:cs="宋体"/>
                <w:i w:val="0"/>
                <w:iCs w:val="0"/>
                <w:color w:val="000000"/>
                <w:sz w:val="22"/>
                <w:szCs w:val="22"/>
                <w:u w:val="none"/>
              </w:rPr>
            </w:pPr>
          </w:p>
        </w:tc>
      </w:tr>
      <w:tr w14:paraId="3341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370">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2A1B5C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红枣百合莲子粥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C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2CE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99A3">
            <w:pPr>
              <w:jc w:val="center"/>
              <w:rPr>
                <w:rFonts w:hint="eastAsia" w:ascii="宋体" w:hAnsi="宋体" w:eastAsia="宋体" w:cs="宋体"/>
                <w:i w:val="0"/>
                <w:iCs w:val="0"/>
                <w:color w:val="000000"/>
                <w:sz w:val="22"/>
                <w:szCs w:val="22"/>
                <w:u w:val="none"/>
              </w:rPr>
            </w:pPr>
          </w:p>
        </w:tc>
      </w:tr>
      <w:tr w14:paraId="53A7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73F3">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CF1E4D8">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2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57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39A9">
            <w:pPr>
              <w:jc w:val="center"/>
              <w:rPr>
                <w:rFonts w:hint="eastAsia" w:ascii="宋体" w:hAnsi="宋体" w:eastAsia="宋体" w:cs="宋体"/>
                <w:i w:val="0"/>
                <w:iCs w:val="0"/>
                <w:color w:val="000000"/>
                <w:sz w:val="22"/>
                <w:szCs w:val="22"/>
                <w:u w:val="none"/>
              </w:rPr>
            </w:pPr>
          </w:p>
        </w:tc>
      </w:tr>
      <w:tr w14:paraId="363C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7C4">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AD3735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1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3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83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A18F">
            <w:pPr>
              <w:jc w:val="center"/>
              <w:rPr>
                <w:rFonts w:hint="eastAsia" w:ascii="宋体" w:hAnsi="宋体" w:eastAsia="宋体" w:cs="宋体"/>
                <w:i w:val="0"/>
                <w:iCs w:val="0"/>
                <w:color w:val="000000"/>
                <w:sz w:val="22"/>
                <w:szCs w:val="22"/>
                <w:u w:val="none"/>
              </w:rPr>
            </w:pPr>
          </w:p>
        </w:tc>
      </w:tr>
      <w:tr w14:paraId="25E0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7A0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5F42694">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C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97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03C1">
            <w:pPr>
              <w:jc w:val="center"/>
              <w:rPr>
                <w:rFonts w:hint="eastAsia" w:ascii="宋体" w:hAnsi="宋体" w:eastAsia="宋体" w:cs="宋体"/>
                <w:i w:val="0"/>
                <w:iCs w:val="0"/>
                <w:color w:val="000000"/>
                <w:sz w:val="22"/>
                <w:szCs w:val="22"/>
                <w:u w:val="none"/>
              </w:rPr>
            </w:pPr>
          </w:p>
        </w:tc>
      </w:tr>
      <w:tr w14:paraId="2CB6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C14">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ECC2D94">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C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E8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FF04">
            <w:pPr>
              <w:jc w:val="center"/>
              <w:rPr>
                <w:rFonts w:hint="eastAsia" w:ascii="宋体" w:hAnsi="宋体" w:eastAsia="宋体" w:cs="宋体"/>
                <w:i w:val="0"/>
                <w:iCs w:val="0"/>
                <w:color w:val="000000"/>
                <w:sz w:val="22"/>
                <w:szCs w:val="22"/>
                <w:u w:val="none"/>
              </w:rPr>
            </w:pPr>
          </w:p>
        </w:tc>
      </w:tr>
      <w:tr w14:paraId="6AD2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06CE">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9F274D4">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3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五红粥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2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DF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C13">
            <w:pPr>
              <w:jc w:val="center"/>
              <w:rPr>
                <w:rFonts w:hint="eastAsia" w:ascii="宋体" w:hAnsi="宋体" w:eastAsia="宋体" w:cs="宋体"/>
                <w:i w:val="0"/>
                <w:iCs w:val="0"/>
                <w:color w:val="000000"/>
                <w:sz w:val="22"/>
                <w:szCs w:val="22"/>
                <w:u w:val="none"/>
              </w:rPr>
            </w:pPr>
          </w:p>
        </w:tc>
      </w:tr>
      <w:tr w14:paraId="0552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50A2">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E98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豆浆类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8BADAE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5C7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A9D4">
            <w:pPr>
              <w:jc w:val="center"/>
              <w:rPr>
                <w:rFonts w:hint="eastAsia" w:ascii="宋体" w:hAnsi="宋体" w:eastAsia="宋体" w:cs="宋体"/>
                <w:i w:val="0"/>
                <w:iCs w:val="0"/>
                <w:color w:val="000000"/>
                <w:sz w:val="22"/>
                <w:szCs w:val="22"/>
                <w:u w:val="none"/>
              </w:rPr>
            </w:pPr>
          </w:p>
        </w:tc>
      </w:tr>
      <w:tr w14:paraId="266C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B2E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E931238">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C97A0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2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6E0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6D4B">
            <w:pPr>
              <w:jc w:val="center"/>
              <w:rPr>
                <w:rFonts w:hint="eastAsia" w:ascii="宋体" w:hAnsi="宋体" w:eastAsia="宋体" w:cs="宋体"/>
                <w:i w:val="0"/>
                <w:iCs w:val="0"/>
                <w:color w:val="000000"/>
                <w:sz w:val="22"/>
                <w:szCs w:val="22"/>
                <w:u w:val="none"/>
              </w:rPr>
            </w:pPr>
          </w:p>
        </w:tc>
      </w:tr>
      <w:tr w14:paraId="10A0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EB94">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DF78AB">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EBF04E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无蔗糖豆浆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E7E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2980">
            <w:pPr>
              <w:jc w:val="center"/>
              <w:rPr>
                <w:rFonts w:hint="eastAsia" w:ascii="宋体" w:hAnsi="宋体" w:eastAsia="宋体" w:cs="宋体"/>
                <w:i w:val="0"/>
                <w:iCs w:val="0"/>
                <w:color w:val="000000"/>
                <w:sz w:val="22"/>
                <w:szCs w:val="22"/>
                <w:u w:val="none"/>
              </w:rPr>
            </w:pPr>
          </w:p>
        </w:tc>
      </w:tr>
      <w:tr w14:paraId="6057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AB3F">
            <w:pPr>
              <w:spacing w:line="360" w:lineRule="auto"/>
              <w:jc w:val="center"/>
              <w:rPr>
                <w:rFonts w:hint="eastAsia" w:ascii="宋体" w:hAnsi="宋体" w:eastAsia="宋体" w:cs="宋体"/>
                <w:i w:val="0"/>
                <w:iCs w:val="0"/>
                <w:color w:val="000000"/>
                <w:sz w:val="22"/>
                <w:szCs w:val="22"/>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9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乳品类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83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B1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13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BF76">
            <w:pPr>
              <w:spacing w:line="360" w:lineRule="auto"/>
              <w:jc w:val="center"/>
              <w:rPr>
                <w:rFonts w:hint="eastAsia" w:ascii="宋体" w:hAnsi="宋体" w:eastAsia="宋体" w:cs="宋体"/>
                <w:i w:val="0"/>
                <w:iCs w:val="0"/>
                <w:color w:val="000000"/>
                <w:sz w:val="22"/>
                <w:szCs w:val="22"/>
                <w:u w:val="none"/>
              </w:rPr>
            </w:pPr>
          </w:p>
        </w:tc>
      </w:tr>
    </w:tbl>
    <w:p w14:paraId="1C690AED">
      <w:pPr>
        <w:pStyle w:val="2"/>
        <w:shd w:val="clear"/>
        <w:spacing w:line="360" w:lineRule="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备注：食谱由使用学校根据以上营养早餐品种清单及价格自行搭配不少于2套方案（不少于5元标准要求）。以上食谱成本费价格仅供使用学校对5元成本营养餐食谱搭配。</w:t>
      </w:r>
    </w:p>
    <w:p w14:paraId="34E55327">
      <w:pPr>
        <w:pStyle w:val="2"/>
        <w:shd w:val="clear"/>
        <w:tabs>
          <w:tab w:val="left" w:pos="772"/>
        </w:tabs>
        <w:spacing w:line="360" w:lineRule="auto"/>
        <w:ind w:left="0" w:leftChars="0" w:firstLine="0" w:firstLineChars="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（二）供餐服务要求</w:t>
      </w:r>
    </w:p>
    <w:p w14:paraId="1F5D5187">
      <w:pPr>
        <w:widowControl w:val="0"/>
        <w:shd w:val="clear"/>
        <w:spacing w:line="360" w:lineRule="auto"/>
        <w:ind w:firstLine="616" w:firstLineChars="257"/>
        <w:jc w:val="both"/>
        <w:rPr>
          <w:rFonts w:hint="eastAsia" w:ascii="宋体" w:hAnsi="宋体" w:eastAsia="宋体" w:cs="宋体"/>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供餐</w:t>
      </w:r>
      <w:r>
        <w:rPr>
          <w:rFonts w:hint="eastAsia" w:ascii="宋体" w:hAnsi="宋体" w:eastAsia="宋体" w:cs="宋体"/>
          <w:kern w:val="2"/>
          <w:sz w:val="24"/>
          <w:szCs w:val="24"/>
          <w:lang w:val="en-US" w:eastAsia="zh-CN"/>
        </w:rPr>
        <w:t>要求</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每天每人配送1份完整早餐。</w:t>
      </w:r>
    </w:p>
    <w:p w14:paraId="61197E25">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配送要求：学生营养餐要坚持“安全、营养、热乎、可口”的原则，自合同签订之日起，每次配送产品必须在出厂后2小时内须送到指定实施营养计划营养早餐的每所学校(具体时间以采购人或使用单位通知为准)，且食品中心温度须保持在60℃以上，每天一次，禁止超量配送。配送过程须符合集体用餐配送的有关食品安全规定。运输车辆必须用专用箱式货车运输，符合卫生要求,具有防雨防尘设施。送餐车辆及工用具必须保持清洁卫生。每次运输食品前应进行清洗消毒并做好记录，在运输装卸过程中也应注意保持清洁，运输后进行清洗，防止食品在运输过程中受到污染。</w:t>
      </w:r>
    </w:p>
    <w:p w14:paraId="16CA1E5E">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3、包装要求：供应商所提供的熟食产品为符合国家规定食品质量安全标准的新鲜食品，产品包装须是符合国家规定标准的无毒、无菌、环保材料，食品级塑封包装。</w:t>
      </w:r>
    </w:p>
    <w:p w14:paraId="59569009">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牛奶须为独立包装，且产品包装上必须有完好的生产厂家、规格、出厂日期、质保期等有效信息，生产日期不超过保质期的 1/3。</w:t>
      </w:r>
    </w:p>
    <w:p w14:paraId="2FF0D8A7">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学生早餐使用的包装材料及包装箱/盒必须为食品级材料及食品箱/盒。</w:t>
      </w:r>
    </w:p>
    <w:p w14:paraId="205FB880">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4、食品配送：运送集体用餐的容器和车辆应安装食品保温和冷藏设备，确保食品不得在8C--60℃的温度条件下贮存和运输，从烧熟至食用的间隔时间(食用时限)应符合以下要求:</w:t>
      </w:r>
    </w:p>
    <w:p w14:paraId="0B7ADA70">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4.1.烧熟后2小时，食品的中心温度保持在60℃以上(热藏)的，其食用时限为烧熟后4小时;</w:t>
      </w:r>
    </w:p>
    <w:p w14:paraId="6F70049A">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4.2.需要冷藏的熟制半成品或成品，应按有关食品安全操作规范在熟制后立即冷却，将食品的中心温度降至8C并冷藏保存，其食用时限为烧熟后24小时。供餐前应对食品进行再加热，且加热时食品中心温度应达到70℃以上。</w:t>
      </w:r>
    </w:p>
    <w:p w14:paraId="5A71DC6B">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5、盛装、分送集体用餐的容器应有封装标识，并在表面注明加工单位、加工制作时间和食用时限，必要时标注保存条件、食用方法和营养标识等信息。</w:t>
      </w:r>
    </w:p>
    <w:p w14:paraId="7337B66E">
      <w:pPr>
        <w:widowControl w:val="0"/>
        <w:shd w:val="clear"/>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（三）对供餐企业的要求</w:t>
      </w:r>
    </w:p>
    <w:p w14:paraId="362E2188">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建立食品留样制度。每次供餐的食品成品必须留样，并按品种分别盛放于清洗消毒后的专用密闭容器内，在专用冷藏设备中冷藏存放48小时以上，并落实双人双锁管理。每个品种留样量应满足检验需要，不得少于150g,并记录留样食品名称、留样时间(月、日、时)、留样人员等信息。</w:t>
      </w:r>
    </w:p>
    <w:p w14:paraId="670D8842">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2、供餐</w:t>
      </w:r>
      <w:r>
        <w:rPr>
          <w:rFonts w:hint="eastAsia" w:ascii="宋体" w:hAnsi="宋体" w:eastAsia="宋体" w:cs="宋体"/>
          <w:kern w:val="2"/>
          <w:sz w:val="24"/>
          <w:szCs w:val="24"/>
        </w:rPr>
        <w:t>企业</w:t>
      </w:r>
      <w:r>
        <w:rPr>
          <w:rFonts w:hint="eastAsia" w:ascii="宋体" w:hAnsi="宋体" w:eastAsia="宋体" w:cs="宋体"/>
          <w:kern w:val="2"/>
          <w:sz w:val="24"/>
          <w:szCs w:val="24"/>
          <w:lang w:val="en-US" w:eastAsia="zh-CN"/>
        </w:rPr>
        <w:t>具有独立的餐食加工场地、符合条件的食品处理区域及设施设备，配备封闭式的食品专用运输车辆。车辆内应安装行驶轨迹监控、装卸视频监控等数据至少保存30天 。</w:t>
      </w:r>
    </w:p>
    <w:p w14:paraId="054A6F9B">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3、建立食品加工全过程实时视频监控系统，并将相关视频信号接入属地教育部门和服务学校，配备的监控视频要保存30天以上。</w:t>
      </w:r>
    </w:p>
    <w:p w14:paraId="3374A6A1">
      <w:pPr>
        <w:widowControl w:val="0"/>
        <w:shd w:val="clear"/>
        <w:spacing w:line="360" w:lineRule="auto"/>
        <w:ind w:firstLine="616" w:firstLineChars="257"/>
        <w:jc w:val="both"/>
        <w:rPr>
          <w:rFonts w:hint="eastAsia" w:ascii="宋体" w:hAnsi="宋体" w:eastAsia="宋体" w:cs="宋体"/>
          <w:lang w:val="en-US" w:eastAsia="zh-CN"/>
        </w:rPr>
      </w:pPr>
      <w:r>
        <w:rPr>
          <w:rFonts w:hint="eastAsia" w:ascii="宋体" w:hAnsi="宋体" w:eastAsia="宋体" w:cs="宋体"/>
          <w:kern w:val="2"/>
          <w:sz w:val="24"/>
          <w:szCs w:val="24"/>
          <w:lang w:val="en-US" w:eastAsia="zh-CN"/>
        </w:rPr>
        <w:t>4、投标供应商需配备食品安全员和至少1名具备资质的营养师。</w:t>
      </w:r>
    </w:p>
    <w:p w14:paraId="52774FB8">
      <w:pPr>
        <w:pStyle w:val="14"/>
        <w:spacing w:before="44" w:line="221" w:lineRule="auto"/>
        <w:ind w:left="30" w:firstLine="456" w:firstLineChars="200"/>
        <w:outlineLvl w:val="9"/>
        <w:rPr>
          <w:rFonts w:hint="eastAsia" w:ascii="宋体" w:hAnsi="宋体" w:eastAsia="宋体" w:cs="宋体"/>
          <w:b w:val="0"/>
          <w:bCs w:val="0"/>
        </w:rPr>
      </w:pPr>
      <w:r>
        <w:rPr>
          <w:rFonts w:hint="eastAsia" w:ascii="宋体" w:hAnsi="宋体" w:eastAsia="宋体" w:cs="宋体"/>
          <w:b w:val="0"/>
          <w:bCs w:val="0"/>
          <w:spacing w:val="-6"/>
          <w:lang w:val="en-US" w:eastAsia="zh-CN"/>
        </w:rPr>
        <w:t>5、</w:t>
      </w:r>
      <w:r>
        <w:rPr>
          <w:rFonts w:hint="eastAsia" w:ascii="宋体" w:hAnsi="宋体" w:eastAsia="宋体" w:cs="宋体"/>
          <w:b w:val="0"/>
          <w:bCs w:val="0"/>
          <w:spacing w:val="-6"/>
        </w:rPr>
        <w:t>配送要求：</w:t>
      </w:r>
    </w:p>
    <w:p w14:paraId="5F4B5005">
      <w:pPr>
        <w:pStyle w:val="14"/>
        <w:spacing w:before="199" w:line="219" w:lineRule="auto"/>
        <w:ind w:left="48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5.1、运输</w:t>
      </w:r>
    </w:p>
    <w:p w14:paraId="7DF25FAF">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（1）必须用专用箱式货车运输，符合卫生要求,具有防雨防尘设施。</w:t>
      </w:r>
    </w:p>
    <w:p w14:paraId="0A78D6D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（2）运输作业应防止污染,操作要轻拿轻放,不使食品受损伤,不得与有毒、有害物品同时装运。</w:t>
      </w:r>
    </w:p>
    <w:p w14:paraId="631AB4D8">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（3）建立卫生制度,定期清洗、消毒、保持洁净卫生。做到专车专用，要有专用的、固定的车辆配送营养改善计划相关食材入校，要求车辆定期清洗和消毒。</w:t>
      </w:r>
    </w:p>
    <w:p w14:paraId="0F6EFA11">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5.2、贮存</w:t>
      </w:r>
    </w:p>
    <w:p w14:paraId="6A2A6585">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（1）设置与配送食材相适应的专用库房。</w:t>
      </w:r>
    </w:p>
    <w:p w14:paraId="44E73DE5">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（2）库房位于交通便利、无闲杂人员流动的场所；</w:t>
      </w:r>
    </w:p>
    <w:p w14:paraId="5EB1A89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（3）仓库必须是独立的（营养计划食品材料存储专用库），库房面积、货柜架要满足存储需求；符合相关食材所要求的温、湿度条件。</w:t>
      </w:r>
    </w:p>
    <w:p w14:paraId="083B0960">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（4）库房“七防”设施（防火、防盗、防潮、防投毒、防鼠、防蝇、防尘）齐全。</w:t>
      </w:r>
    </w:p>
    <w:p w14:paraId="7BE11813">
      <w:pPr>
        <w:widowControl w:val="0"/>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地面平整,通风换气。</w:t>
      </w:r>
    </w:p>
    <w:p w14:paraId="5C9959E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（5）库房要有专人管理，制度完备，职责明确；要建立相关工作台账，有准确的入库、出库明细；</w:t>
      </w:r>
    </w:p>
    <w:p w14:paraId="5CA2540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（6）各种原材料应按品种分类分批贮存,每批原材料均有明显标志,同一库内不得贮存相互影响风味的原材料。</w:t>
      </w:r>
    </w:p>
    <w:p w14:paraId="1A2B5B1D">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（7）原材料应离地、离墙并与屋顶保持一定距离,垛与垛之间也应有适当间隔。</w:t>
      </w:r>
    </w:p>
    <w:p w14:paraId="46435318">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（8）先进先出,及时剔出不符合质量和卫生标准的原料,防止污染。</w:t>
      </w:r>
    </w:p>
    <w:p w14:paraId="4D1D8A42">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（9）库房内外要按相关规定安装电子监控并实时监管。</w:t>
      </w:r>
    </w:p>
    <w:p w14:paraId="7E62F0B7">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5.3、卫生管理</w:t>
      </w:r>
    </w:p>
    <w:p w14:paraId="516C0DEF">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企业要制定和完善本单位的各项卫生管理制度和规划，须配备经专业培训的专职或兼职的食品卫生管理人员。</w:t>
      </w:r>
    </w:p>
    <w:p w14:paraId="2E8F0BB2">
      <w:pPr>
        <w:pStyle w:val="14"/>
        <w:spacing w:after="0" w:line="240" w:lineRule="auto"/>
        <w:ind w:left="0"/>
        <w:outlineLvl w:val="9"/>
        <w:rPr>
          <w:rFonts w:hint="eastAsia" w:ascii="宋体" w:hAnsi="宋体" w:eastAsia="宋体" w:cs="宋体"/>
        </w:rPr>
      </w:pPr>
      <w:r>
        <w:rPr>
          <w:rFonts w:hint="eastAsia" w:ascii="宋体" w:hAnsi="宋体" w:eastAsia="宋体" w:cs="宋体"/>
          <w:b/>
          <w:bCs/>
          <w:spacing w:val="-10"/>
          <w:lang w:val="en-US" w:eastAsia="zh-CN"/>
        </w:rPr>
        <w:t>（四）</w:t>
      </w:r>
      <w:r>
        <w:rPr>
          <w:rFonts w:hint="eastAsia" w:ascii="宋体" w:hAnsi="宋体" w:eastAsia="宋体" w:cs="宋体"/>
          <w:b/>
          <w:bCs/>
          <w:spacing w:val="-10"/>
        </w:rPr>
        <w:t>、</w:t>
      </w:r>
      <w:r>
        <w:rPr>
          <w:rFonts w:hint="eastAsia" w:ascii="宋体" w:hAnsi="宋体" w:eastAsia="宋体" w:cs="宋体"/>
          <w:b/>
          <w:bCs/>
          <w:spacing w:val="-10"/>
          <w:lang w:val="en-US" w:eastAsia="zh-CN"/>
        </w:rPr>
        <w:t>其他</w:t>
      </w:r>
      <w:r>
        <w:rPr>
          <w:rFonts w:hint="eastAsia" w:ascii="宋体" w:hAnsi="宋体" w:eastAsia="宋体" w:cs="宋体"/>
          <w:b/>
          <w:bCs/>
          <w:spacing w:val="-10"/>
        </w:rPr>
        <w:t>服务要求：</w:t>
      </w:r>
    </w:p>
    <w:p w14:paraId="0326EE8B">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1、中标人必须将供应的早餐定时、定量送至所有指定学校。“定时”指早餐必须根据配送要求按时送达。“定量”指中标人必须根据各配送学校人数将相应数量的早餐配送到各学校。</w:t>
      </w:r>
    </w:p>
    <w:p w14:paraId="516CAE4C">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2、人员管理。</w:t>
      </w:r>
    </w:p>
    <w:p w14:paraId="331D7A6A">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所有从事与食品材料接触的所有从业人员（含司机）必须持有健康证、劳动合同；掌握相应相关食品安全知识；心理健康，无不良行为记录，遵纪守法。</w:t>
      </w:r>
    </w:p>
    <w:p w14:paraId="407B7400">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聘用的司机有一定驾驶经验，配送车上必须有一位责任心强的工作人员负责押运，运送过程规范；配送人员要热情服务，细致工作，与学校交接时手续完备，数量准确；</w:t>
      </w:r>
    </w:p>
    <w:p w14:paraId="1FAC8CF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3、监督管理。</w:t>
      </w:r>
    </w:p>
    <w:p w14:paraId="2DCEF1A2">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（1）对中标配送企业库房和重点操作（重点项目、重点环节及其工作区域）实行电子监管。企业须将工作期间的视频同期上传，供采购人实时监管。</w:t>
      </w:r>
    </w:p>
    <w:p w14:paraId="4CB3F461">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（2）企业须自觉主动接受县政府各职能部门对配送食材的生产、采购、加工、存储、配送等环节的监督检查及企业管理的监督检查。</w:t>
      </w:r>
    </w:p>
    <w:p w14:paraId="4AC8BFF1">
      <w:pPr>
        <w:widowControl w:val="0"/>
        <w:spacing w:line="360" w:lineRule="auto"/>
        <w:ind w:firstLine="376" w:firstLineChars="157"/>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（3）企业必须接受政府相关部门的驻场管理（定期或</w:t>
      </w:r>
      <w:r>
        <w:rPr>
          <w:rFonts w:hint="eastAsia" w:ascii="宋体" w:hAnsi="宋体" w:eastAsia="宋体" w:cs="宋体"/>
          <w:kern w:val="2"/>
          <w:sz w:val="24"/>
          <w:szCs w:val="24"/>
          <w:lang w:val="en-US" w:eastAsia="zh-CN" w:bidi="ar-SA"/>
        </w:rPr>
        <w:t>不定期），并为驻场人员提供必要的办公条件。</w:t>
      </w:r>
    </w:p>
    <w:p w14:paraId="4E650E0D">
      <w:pPr>
        <w:widowControl w:val="0"/>
        <w:shd w:val="clear"/>
        <w:spacing w:line="360"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供餐配送学校名单</w:t>
      </w:r>
    </w:p>
    <w:tbl>
      <w:tblPr>
        <w:tblStyle w:val="29"/>
        <w:tblW w:w="4998" w:type="pct"/>
        <w:jc w:val="center"/>
        <w:tblLayout w:type="autofit"/>
        <w:tblCellMar>
          <w:top w:w="0" w:type="dxa"/>
          <w:left w:w="108" w:type="dxa"/>
          <w:bottom w:w="0" w:type="dxa"/>
          <w:right w:w="108" w:type="dxa"/>
        </w:tblCellMar>
      </w:tblPr>
      <w:tblGrid>
        <w:gridCol w:w="936"/>
        <w:gridCol w:w="2974"/>
        <w:gridCol w:w="2662"/>
        <w:gridCol w:w="2818"/>
      </w:tblGrid>
      <w:tr w14:paraId="77979D94">
        <w:tblPrEx>
          <w:tblCellMar>
            <w:top w:w="0" w:type="dxa"/>
            <w:left w:w="108" w:type="dxa"/>
            <w:bottom w:w="0" w:type="dxa"/>
            <w:right w:w="108" w:type="dxa"/>
          </w:tblCellMar>
        </w:tblPrEx>
        <w:trPr>
          <w:trHeight w:val="482" w:hRule="atLeast"/>
          <w:jc w:val="center"/>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11C7">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序号</w:t>
            </w:r>
          </w:p>
        </w:tc>
        <w:tc>
          <w:tcPr>
            <w:tcW w:w="1583" w:type="pct"/>
            <w:tcBorders>
              <w:top w:val="single" w:color="000000" w:sz="4" w:space="0"/>
              <w:left w:val="nil"/>
              <w:bottom w:val="single" w:color="000000" w:sz="4" w:space="0"/>
              <w:right w:val="single" w:color="000000" w:sz="4" w:space="0"/>
            </w:tcBorders>
            <w:shd w:val="clear" w:color="auto" w:fill="auto"/>
            <w:vAlign w:val="center"/>
          </w:tcPr>
          <w:p w14:paraId="00DCB14E">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学校名称</w:t>
            </w:r>
          </w:p>
        </w:tc>
        <w:tc>
          <w:tcPr>
            <w:tcW w:w="1417" w:type="pct"/>
            <w:tcBorders>
              <w:top w:val="single" w:color="000000" w:sz="4" w:space="0"/>
              <w:left w:val="nil"/>
              <w:bottom w:val="single" w:color="000000" w:sz="4" w:space="0"/>
              <w:right w:val="single" w:color="000000" w:sz="4" w:space="0"/>
            </w:tcBorders>
            <w:shd w:val="clear" w:color="auto" w:fill="auto"/>
            <w:vAlign w:val="center"/>
          </w:tcPr>
          <w:p w14:paraId="71221952">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享受学生人数（人）</w:t>
            </w:r>
          </w:p>
        </w:tc>
        <w:tc>
          <w:tcPr>
            <w:tcW w:w="1500" w:type="pct"/>
            <w:tcBorders>
              <w:top w:val="single" w:color="000000" w:sz="4" w:space="0"/>
              <w:left w:val="nil"/>
              <w:bottom w:val="single" w:color="000000" w:sz="4" w:space="0"/>
              <w:right w:val="single" w:color="000000" w:sz="4" w:space="0"/>
            </w:tcBorders>
            <w:shd w:val="clear" w:color="auto" w:fill="auto"/>
            <w:vAlign w:val="center"/>
          </w:tcPr>
          <w:p w14:paraId="20864758">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学校区域</w:t>
            </w:r>
          </w:p>
        </w:tc>
      </w:tr>
      <w:tr w14:paraId="02DAB75E">
        <w:tblPrEx>
          <w:tblCellMar>
            <w:top w:w="0" w:type="dxa"/>
            <w:left w:w="108" w:type="dxa"/>
            <w:bottom w:w="0" w:type="dxa"/>
            <w:right w:w="108" w:type="dxa"/>
          </w:tblCellMar>
        </w:tblPrEx>
        <w:trPr>
          <w:trHeight w:val="429" w:hRule="atLeast"/>
          <w:jc w:val="center"/>
        </w:trPr>
        <w:tc>
          <w:tcPr>
            <w:tcW w:w="498" w:type="pct"/>
            <w:tcBorders>
              <w:top w:val="nil"/>
              <w:left w:val="single" w:color="000000" w:sz="4" w:space="0"/>
              <w:bottom w:val="single" w:color="000000" w:sz="4" w:space="0"/>
              <w:right w:val="single" w:color="000000" w:sz="4" w:space="0"/>
            </w:tcBorders>
            <w:shd w:val="clear" w:color="000000" w:fill="auto"/>
            <w:vAlign w:val="center"/>
          </w:tcPr>
          <w:p w14:paraId="1AF2E583">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583" w:type="pct"/>
            <w:tcBorders>
              <w:top w:val="nil"/>
              <w:left w:val="nil"/>
              <w:bottom w:val="single" w:color="000000" w:sz="4" w:space="0"/>
              <w:right w:val="single" w:color="000000" w:sz="4" w:space="0"/>
            </w:tcBorders>
            <w:shd w:val="clear" w:color="000000" w:fill="auto"/>
            <w:vAlign w:val="center"/>
          </w:tcPr>
          <w:p w14:paraId="0A5FD2E6">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启文小学</w:t>
            </w:r>
          </w:p>
        </w:tc>
        <w:tc>
          <w:tcPr>
            <w:tcW w:w="1417" w:type="pct"/>
            <w:tcBorders>
              <w:top w:val="nil"/>
              <w:left w:val="nil"/>
              <w:bottom w:val="single" w:color="000000" w:sz="4" w:space="0"/>
              <w:right w:val="single" w:color="000000" w:sz="4" w:space="0"/>
            </w:tcBorders>
            <w:shd w:val="clear" w:color="000000" w:fill="auto"/>
            <w:vAlign w:val="center"/>
          </w:tcPr>
          <w:p w14:paraId="78BD0BE5">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280</w:t>
            </w:r>
          </w:p>
        </w:tc>
        <w:tc>
          <w:tcPr>
            <w:tcW w:w="1500" w:type="pct"/>
            <w:tcBorders>
              <w:top w:val="nil"/>
              <w:left w:val="nil"/>
              <w:bottom w:val="single" w:color="000000" w:sz="4" w:space="0"/>
              <w:right w:val="single" w:color="000000" w:sz="4" w:space="0"/>
            </w:tcBorders>
            <w:shd w:val="clear" w:color="000000" w:fill="auto"/>
            <w:vAlign w:val="center"/>
          </w:tcPr>
          <w:p w14:paraId="73896815">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千阳县</w:t>
            </w:r>
          </w:p>
        </w:tc>
      </w:tr>
      <w:tr w14:paraId="1C488CA9">
        <w:tblPrEx>
          <w:tblCellMar>
            <w:top w:w="0" w:type="dxa"/>
            <w:left w:w="108" w:type="dxa"/>
            <w:bottom w:w="0" w:type="dxa"/>
            <w:right w:w="108" w:type="dxa"/>
          </w:tblCellMar>
        </w:tblPrEx>
        <w:trPr>
          <w:trHeight w:val="374" w:hRule="atLeast"/>
          <w:jc w:val="center"/>
        </w:trPr>
        <w:tc>
          <w:tcPr>
            <w:tcW w:w="498" w:type="pct"/>
            <w:tcBorders>
              <w:top w:val="nil"/>
              <w:left w:val="single" w:color="000000" w:sz="4" w:space="0"/>
              <w:bottom w:val="single" w:color="000000" w:sz="4" w:space="0"/>
              <w:right w:val="single" w:color="000000" w:sz="4" w:space="0"/>
            </w:tcBorders>
            <w:shd w:val="clear" w:color="000000" w:fill="auto"/>
            <w:vAlign w:val="center"/>
          </w:tcPr>
          <w:p w14:paraId="6B572F94">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583" w:type="pct"/>
            <w:tcBorders>
              <w:top w:val="nil"/>
              <w:left w:val="nil"/>
              <w:bottom w:val="single" w:color="000000" w:sz="4" w:space="0"/>
              <w:right w:val="single" w:color="000000" w:sz="4" w:space="0"/>
            </w:tcBorders>
            <w:shd w:val="clear" w:color="000000" w:fill="auto"/>
            <w:vAlign w:val="center"/>
          </w:tcPr>
          <w:p w14:paraId="69C6F8C7">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燕伋小学</w:t>
            </w:r>
          </w:p>
        </w:tc>
        <w:tc>
          <w:tcPr>
            <w:tcW w:w="1417" w:type="pct"/>
            <w:tcBorders>
              <w:top w:val="nil"/>
              <w:left w:val="nil"/>
              <w:bottom w:val="single" w:color="000000" w:sz="4" w:space="0"/>
              <w:right w:val="single" w:color="000000" w:sz="4" w:space="0"/>
            </w:tcBorders>
            <w:shd w:val="clear" w:color="000000" w:fill="auto"/>
            <w:vAlign w:val="center"/>
          </w:tcPr>
          <w:p w14:paraId="58BB3CB8">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400</w:t>
            </w:r>
          </w:p>
        </w:tc>
        <w:tc>
          <w:tcPr>
            <w:tcW w:w="1500" w:type="pct"/>
            <w:tcBorders>
              <w:top w:val="nil"/>
              <w:left w:val="nil"/>
              <w:bottom w:val="single" w:color="000000" w:sz="4" w:space="0"/>
              <w:right w:val="single" w:color="000000" w:sz="4" w:space="0"/>
            </w:tcBorders>
            <w:shd w:val="clear" w:color="000000" w:fill="auto"/>
            <w:vAlign w:val="center"/>
          </w:tcPr>
          <w:p w14:paraId="01CF9CD9">
            <w:pPr>
              <w:keepNext w:val="0"/>
              <w:keepLines w:val="0"/>
              <w:widowControl/>
              <w:suppressLineNumbers w:val="0"/>
              <w:shd w:val="clea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千阳县</w:t>
            </w:r>
          </w:p>
        </w:tc>
      </w:tr>
    </w:tbl>
    <w:p w14:paraId="6F1AF9C0">
      <w:pPr>
        <w:keepNext w:val="0"/>
        <w:keepLines w:val="0"/>
        <w:widowControl/>
        <w:suppressLineNumbers w:val="0"/>
        <w:shd w:val="clear"/>
        <w:ind w:firstLine="240" w:firstLineChars="100"/>
        <w:jc w:val="left"/>
        <w:rPr>
          <w:rFonts w:hint="eastAsia" w:ascii="宋体" w:hAnsi="宋体" w:eastAsia="宋体" w:cs="宋体"/>
          <w:color w:val="000000"/>
          <w:kern w:val="0"/>
          <w:sz w:val="24"/>
          <w:szCs w:val="24"/>
          <w:lang w:val="en-US" w:eastAsia="zh-CN" w:bidi="ar"/>
        </w:rPr>
      </w:pPr>
    </w:p>
    <w:p w14:paraId="62C09A75">
      <w:pPr>
        <w:keepNext w:val="0"/>
        <w:keepLines w:val="0"/>
        <w:widowControl/>
        <w:numPr>
          <w:ilvl w:val="0"/>
          <w:numId w:val="0"/>
        </w:numPr>
        <w:suppressLineNumbers w:val="0"/>
        <w:shd w:val="clear"/>
        <w:spacing w:line="360" w:lineRule="auto"/>
        <w:ind w:firstLine="663" w:firstLineChars="30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注：1.表中学生人数为春季学期数据，仅供投标人投标时参考。</w:t>
      </w:r>
    </w:p>
    <w:p w14:paraId="2CCBDF26">
      <w:pPr>
        <w:keepNext w:val="0"/>
        <w:keepLines w:val="0"/>
        <w:widowControl/>
        <w:numPr>
          <w:ilvl w:val="0"/>
          <w:numId w:val="0"/>
        </w:numPr>
        <w:suppressLineNumbers w:val="0"/>
        <w:shd w:val="clear"/>
        <w:spacing w:line="360" w:lineRule="auto"/>
        <w:ind w:firstLine="1104" w:firstLineChars="50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2.秋季学期，学生数相应可能有变化。</w:t>
      </w:r>
    </w:p>
    <w:p w14:paraId="45F06356">
      <w:pPr>
        <w:keepNext w:val="0"/>
        <w:keepLines w:val="0"/>
        <w:widowControl/>
        <w:numPr>
          <w:ilvl w:val="0"/>
          <w:numId w:val="0"/>
        </w:numPr>
        <w:suppressLineNumbers w:val="0"/>
        <w:shd w:val="clear"/>
        <w:spacing w:line="360" w:lineRule="auto"/>
        <w:ind w:firstLine="1104" w:firstLineChars="50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3.供应商自行对各配送学校位置及路程进行实地考察，并考虑到投标报价中。</w:t>
      </w:r>
    </w:p>
    <w:p w14:paraId="799178BD">
      <w:pP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p>
    <w:p w14:paraId="70A97120">
      <w:pPr>
        <w:jc w:val="center"/>
        <w:outlineLvl w:val="0"/>
        <w:rPr>
          <w:rFonts w:hint="eastAsia" w:ascii="宋体" w:hAnsi="宋体" w:eastAsia="宋体" w:cs="宋体"/>
          <w:b/>
          <w:bCs/>
          <w:sz w:val="24"/>
          <w:szCs w:val="24"/>
        </w:rPr>
      </w:pPr>
      <w:bookmarkStart w:id="95" w:name="_Toc1133"/>
      <w:r>
        <w:rPr>
          <w:rFonts w:hint="eastAsia" w:ascii="宋体" w:hAnsi="宋体" w:eastAsia="宋体" w:cs="宋体"/>
          <w:b/>
          <w:bCs/>
          <w:kern w:val="0"/>
          <w:sz w:val="44"/>
          <w:szCs w:val="44"/>
        </w:rPr>
        <w:t>第四章</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商务要求</w:t>
      </w:r>
      <w:bookmarkEnd w:id="92"/>
      <w:bookmarkEnd w:id="95"/>
      <w:bookmarkStart w:id="96" w:name="_Toc11972"/>
      <w:bookmarkStart w:id="97" w:name="_Toc459125993"/>
      <w:bookmarkStart w:id="98" w:name="_Toc459142238"/>
      <w:bookmarkStart w:id="99" w:name="_Toc7453887"/>
      <w:bookmarkStart w:id="100" w:name="_Toc459049734"/>
      <w:bookmarkStart w:id="101" w:name="_Toc459049903"/>
      <w:bookmarkStart w:id="102" w:name="_Toc29516"/>
      <w:bookmarkStart w:id="103" w:name="_Toc18518"/>
      <w:bookmarkStart w:id="104" w:name="_Toc17621"/>
      <w:bookmarkStart w:id="105" w:name="_Toc3238"/>
    </w:p>
    <w:p w14:paraId="221D532A">
      <w:pPr>
        <w:shd w:val="clear"/>
        <w:spacing w:line="360" w:lineRule="auto"/>
        <w:outlineLvl w:val="1"/>
        <w:rPr>
          <w:rFonts w:hint="eastAsia" w:ascii="宋体" w:hAnsi="宋体" w:eastAsia="宋体" w:cs="宋体"/>
          <w:b/>
          <w:bCs/>
          <w:sz w:val="24"/>
          <w:szCs w:val="24"/>
          <w:highlight w:val="none"/>
        </w:rPr>
      </w:pPr>
      <w:bookmarkStart w:id="106" w:name="_Toc2070"/>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合同履行期限</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地点</w:t>
      </w:r>
      <w:r>
        <w:rPr>
          <w:rFonts w:hint="eastAsia" w:ascii="宋体" w:hAnsi="宋体" w:eastAsia="宋体" w:cs="宋体"/>
          <w:b/>
          <w:bCs/>
          <w:sz w:val="24"/>
          <w:szCs w:val="24"/>
          <w:highlight w:val="none"/>
          <w:lang w:eastAsia="zh-CN"/>
        </w:rPr>
        <w:t>、合同签订</w:t>
      </w:r>
      <w:r>
        <w:rPr>
          <w:rFonts w:hint="eastAsia" w:ascii="宋体" w:hAnsi="宋体" w:eastAsia="宋体" w:cs="宋体"/>
          <w:b/>
          <w:bCs/>
          <w:sz w:val="24"/>
          <w:szCs w:val="24"/>
          <w:highlight w:val="none"/>
        </w:rPr>
        <w:t>：</w:t>
      </w:r>
      <w:bookmarkEnd w:id="106"/>
    </w:p>
    <w:p w14:paraId="79C37345">
      <w:pPr>
        <w:numPr>
          <w:ilvl w:val="0"/>
          <w:numId w:val="0"/>
        </w:numPr>
        <w:shd w:val="clear"/>
        <w:spacing w:line="360" w:lineRule="auto"/>
        <w:ind w:firstLine="480" w:firstLineChars="200"/>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1、合同履行期限：</w:t>
      </w:r>
      <w:r>
        <w:rPr>
          <w:rFonts w:hint="eastAsia" w:ascii="宋体" w:hAnsi="宋体" w:eastAsia="宋体" w:cs="宋体"/>
          <w:color w:val="auto"/>
          <w:sz w:val="24"/>
          <w:szCs w:val="24"/>
          <w:highlight w:val="none"/>
          <w:lang w:val="en-US" w:eastAsia="zh-CN"/>
        </w:rPr>
        <w:t>自合同签订之日起至2026年8月30日前</w:t>
      </w:r>
      <w:r>
        <w:rPr>
          <w:rFonts w:hint="eastAsia" w:ascii="宋体" w:hAnsi="宋体" w:eastAsia="宋体" w:cs="宋体"/>
          <w:color w:val="auto"/>
          <w:kern w:val="2"/>
          <w:sz w:val="24"/>
          <w:szCs w:val="22"/>
          <w:highlight w:val="none"/>
          <w:lang w:val="en-US" w:eastAsia="zh-CN" w:bidi="ar-SA"/>
        </w:rPr>
        <w:t>。</w:t>
      </w:r>
    </w:p>
    <w:p w14:paraId="73045A21">
      <w:pPr>
        <w:numPr>
          <w:ilvl w:val="0"/>
          <w:numId w:val="0"/>
        </w:numPr>
        <w:shd w:val="clear"/>
        <w:spacing w:line="360" w:lineRule="auto"/>
        <w:ind w:firstLine="480" w:firstLineChars="200"/>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2、配送周期：学生在校期间每日配送。</w:t>
      </w:r>
    </w:p>
    <w:p w14:paraId="63DDEA10">
      <w:pPr>
        <w:numPr>
          <w:ilvl w:val="0"/>
          <w:numId w:val="0"/>
        </w:numPr>
        <w:shd w:val="clear"/>
        <w:spacing w:line="360" w:lineRule="auto"/>
        <w:ind w:firstLine="480" w:firstLineChars="200"/>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3、配送地点：采购单位指定的各使用学校。</w:t>
      </w:r>
    </w:p>
    <w:p w14:paraId="660AC749">
      <w:pPr>
        <w:numPr>
          <w:ilvl w:val="0"/>
          <w:numId w:val="0"/>
        </w:numPr>
        <w:shd w:val="clea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2"/>
          <w:highlight w:val="none"/>
          <w:lang w:val="en-US" w:eastAsia="zh-CN" w:bidi="ar-SA"/>
        </w:rPr>
        <w:t>4、合同签订：中标通知书发出后，中标人应在规</w:t>
      </w:r>
      <w:r>
        <w:rPr>
          <w:rFonts w:hint="eastAsia" w:ascii="宋体" w:hAnsi="宋体" w:eastAsia="宋体" w:cs="宋体"/>
          <w:kern w:val="2"/>
          <w:sz w:val="24"/>
          <w:szCs w:val="24"/>
          <w:highlight w:val="none"/>
          <w:lang w:val="en-US" w:eastAsia="zh-CN" w:bidi="ar-SA"/>
        </w:rPr>
        <w:t>定时间内与采购人及采购人指定的各学校签订合同协议书。</w:t>
      </w:r>
    </w:p>
    <w:p w14:paraId="7D54087F">
      <w:pPr>
        <w:shd w:val="clear"/>
        <w:spacing w:line="360" w:lineRule="auto"/>
        <w:outlineLvl w:val="1"/>
        <w:rPr>
          <w:rFonts w:hint="eastAsia" w:ascii="宋体" w:hAnsi="宋体" w:eastAsia="宋体" w:cs="宋体"/>
          <w:b/>
          <w:bCs/>
          <w:sz w:val="24"/>
          <w:szCs w:val="24"/>
          <w:lang w:eastAsia="zh-CN"/>
        </w:rPr>
      </w:pPr>
      <w:bookmarkStart w:id="107" w:name="_Toc24649"/>
      <w:r>
        <w:rPr>
          <w:rFonts w:hint="eastAsia" w:ascii="宋体" w:hAnsi="宋体" w:eastAsia="宋体" w:cs="宋体"/>
          <w:b/>
          <w:bCs/>
          <w:sz w:val="24"/>
          <w:szCs w:val="24"/>
          <w:lang w:eastAsia="zh-CN"/>
        </w:rPr>
        <w:t>二、合同款的支付方式：</w:t>
      </w:r>
      <w:bookmarkEnd w:id="107"/>
    </w:p>
    <w:p w14:paraId="6A5F2941">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付款方式为月结，即根据实际数量据实结算，每月结算一次。乙方于当月供货期满后开出正式发票，由实施学校负责结算。（供货方、合同方、收款方名称应一致）</w:t>
      </w:r>
    </w:p>
    <w:p w14:paraId="539CF19B">
      <w:pPr>
        <w:pStyle w:val="2"/>
        <w:spacing w:line="360" w:lineRule="auto"/>
        <w:ind w:left="0" w:leftChars="0" w:firstLine="482" w:firstLineChars="200"/>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最终结算合同价款=（营养餐的成本固定单价+配送费报价）×学生实际人数×实际供应天数</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不包含留样数量</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w:t>
      </w:r>
    </w:p>
    <w:p w14:paraId="28F37273">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三、运输、供货： </w:t>
      </w:r>
    </w:p>
    <w:p w14:paraId="7B637D2A">
      <w:pPr>
        <w:shd w:val="clear"/>
        <w:adjustRightInd w:val="0"/>
        <w:spacing w:line="360"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 xml:space="preserve">1、包装：货物（食材）采购、运输及供货由供应商负责。包装必须适应货物特性和交通运输要求，以及国家有关标准或企业标准或合同要求。中标单位应承担由于包装、防护措施不妥引起的所有损失的责任和费用。 </w:t>
      </w:r>
    </w:p>
    <w:p w14:paraId="6118CC79">
      <w:pPr>
        <w:shd w:val="clear"/>
        <w:adjustRightInd w:val="0"/>
        <w:spacing w:line="360"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 xml:space="preserve">2、运输：中标单位可根据服务期限、运输条件选择运输风险小、运费低、距离短的运输路线。运杂费一次包死在总价内，在合同有效期内采购人不再承担任何其他费用，在项目实施配送过程及售后服务期间出现的一切人员伤亡、财产损失等安全事故及责任事项均由中标单位负责，采购人不承担任何责任。 </w:t>
      </w:r>
    </w:p>
    <w:p w14:paraId="0607DA06">
      <w:pPr>
        <w:shd w:val="clear"/>
        <w:adjustRightInd w:val="0"/>
        <w:spacing w:line="360" w:lineRule="auto"/>
        <w:ind w:firstLine="480" w:firstLineChars="200"/>
        <w:rPr>
          <w:rFonts w:hint="eastAsia" w:ascii="宋体" w:hAnsi="宋体" w:eastAsia="宋体" w:cs="宋体"/>
          <w:b/>
          <w:kern w:val="2"/>
          <w:sz w:val="24"/>
          <w:szCs w:val="24"/>
          <w:lang w:val="en-US" w:eastAsia="zh-CN" w:bidi="ar-SA"/>
        </w:rPr>
      </w:pPr>
      <w:r>
        <w:rPr>
          <w:rFonts w:hint="eastAsia" w:ascii="宋体" w:hAnsi="宋体" w:eastAsia="宋体" w:cs="宋体"/>
          <w:color w:val="auto"/>
          <w:kern w:val="2"/>
          <w:sz w:val="24"/>
          <w:szCs w:val="22"/>
          <w:highlight w:val="none"/>
          <w:lang w:val="en-US" w:eastAsia="zh-CN" w:bidi="ar-SA"/>
        </w:rPr>
        <w:t>3、供货：中标单位应向使用学校提供当天配送清单，根据学校实际情况，按需配送。</w:t>
      </w:r>
    </w:p>
    <w:p w14:paraId="5940FE8E">
      <w:pPr>
        <w:pStyle w:val="14"/>
        <w:spacing w:before="37" w:line="220" w:lineRule="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四、合同实施：</w:t>
      </w:r>
    </w:p>
    <w:p w14:paraId="581A77B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1.应在合同签订后3个日历日内安排人员（项目组成人员简历表所列）与使用单位对接供货方案及供货及服务人员。</w:t>
      </w:r>
    </w:p>
    <w:p w14:paraId="0D57E434">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2.中标后采购人有权对的经营场所做实地考察，中标人应积极配合。</w:t>
      </w:r>
    </w:p>
    <w:p w14:paraId="329EA1FD">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3.若因原因未能在工期内完成合同规定的义务，由此对采购人造成的延误和一切损失，由人承担和赔偿。</w:t>
      </w:r>
    </w:p>
    <w:p w14:paraId="54CEF1E4">
      <w:pPr>
        <w:pStyle w:val="14"/>
        <w:spacing w:after="0" w:line="240" w:lineRule="auto"/>
        <w:ind w:left="0" w:right="0" w:firstLine="0"/>
        <w:rPr>
          <w:rFonts w:hint="eastAsia" w:ascii="宋体" w:hAnsi="宋体" w:eastAsia="宋体" w:cs="宋体"/>
          <w:b/>
          <w:bCs/>
          <w:sz w:val="24"/>
          <w:szCs w:val="24"/>
          <w:lang w:eastAsia="zh-CN"/>
        </w:rPr>
      </w:pPr>
      <w:r>
        <w:rPr>
          <w:rFonts w:hint="eastAsia" w:ascii="宋体" w:hAnsi="宋体" w:eastAsia="宋体" w:cs="宋体"/>
          <w:b/>
          <w:bCs/>
          <w:spacing w:val="-3"/>
          <w:sz w:val="24"/>
          <w:szCs w:val="24"/>
          <w:lang w:val="en-US" w:eastAsia="zh-CN"/>
        </w:rPr>
        <w:t>五</w:t>
      </w:r>
      <w:r>
        <w:rPr>
          <w:rFonts w:hint="eastAsia" w:ascii="宋体" w:hAnsi="宋体" w:eastAsia="宋体" w:cs="宋体"/>
          <w:b/>
          <w:bCs/>
          <w:spacing w:val="-3"/>
          <w:sz w:val="24"/>
          <w:szCs w:val="24"/>
        </w:rPr>
        <w:t>、验收</w:t>
      </w:r>
      <w:r>
        <w:rPr>
          <w:rFonts w:hint="eastAsia" w:ascii="宋体" w:hAnsi="宋体" w:eastAsia="宋体" w:cs="宋体"/>
          <w:b/>
          <w:bCs/>
          <w:spacing w:val="-3"/>
          <w:sz w:val="24"/>
          <w:szCs w:val="24"/>
          <w:lang w:eastAsia="zh-CN"/>
        </w:rPr>
        <w:t>：</w:t>
      </w:r>
    </w:p>
    <w:p w14:paraId="3485240E">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1、每次配送由使用单位和中标人共同对产品的外包装是否洁净、有无破损、规格、数量等进行验收。</w:t>
      </w:r>
    </w:p>
    <w:p w14:paraId="19A0CE2C">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2、中标人每次供货须向使用单位提供“供货清单”（供</w:t>
      </w:r>
      <w:r>
        <w:rPr>
          <w:rFonts w:hint="eastAsia" w:ascii="宋体" w:hAnsi="宋体" w:eastAsia="宋体" w:cs="宋体"/>
          <w:color w:val="auto"/>
          <w:sz w:val="24"/>
          <w:szCs w:val="24"/>
          <w:highlight w:val="none"/>
          <w:lang w:val="en-US" w:eastAsia="zh-CN"/>
        </w:rPr>
        <w:t>货清单</w:t>
      </w:r>
      <w:r>
        <w:rPr>
          <w:rFonts w:hint="eastAsia" w:ascii="宋体" w:hAnsi="宋体" w:eastAsia="宋体" w:cs="宋体"/>
          <w:color w:val="auto"/>
          <w:kern w:val="2"/>
          <w:sz w:val="24"/>
          <w:szCs w:val="22"/>
          <w:shd w:val="clear"/>
          <w:lang w:val="en-US" w:eastAsia="zh-CN" w:bidi="ar-SA"/>
        </w:rPr>
        <w:t>一式二联，供货商一份、使用学校一份</w:t>
      </w:r>
      <w:r>
        <w:rPr>
          <w:rFonts w:hint="eastAsia" w:ascii="宋体" w:hAnsi="宋体" w:eastAsia="宋体" w:cs="宋体"/>
          <w:sz w:val="24"/>
          <w:szCs w:val="24"/>
          <w:highlight w:val="none"/>
          <w:lang w:val="en-US" w:eastAsia="zh-CN"/>
        </w:rPr>
        <w:t xml:space="preserve">）；经验收合格后，由使用学校单位在“供货清单”上签字。 </w:t>
      </w:r>
    </w:p>
    <w:p w14:paraId="6AA33B27">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 若验收不合格，中标单位必须及时换货，保证使用单位的的正常使用，否则由采购人及配送学校终止其服务合同，并赔偿采购人及使用学校的损失。 </w:t>
      </w:r>
    </w:p>
    <w:p w14:paraId="253B21DA">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4、验收依据： </w:t>
      </w:r>
    </w:p>
    <w:p w14:paraId="561F769F">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（1）合同文本及合同补充文件（条款）。 </w:t>
      </w:r>
    </w:p>
    <w:p w14:paraId="7FB0780B">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（2）国家有关的验收标准及规范。 </w:t>
      </w:r>
    </w:p>
    <w:p w14:paraId="1EC27F00">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（3）招标文件。 </w:t>
      </w:r>
    </w:p>
    <w:p w14:paraId="1873AED3">
      <w:pPr>
        <w:shd w:val="clear"/>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sz w:val="24"/>
          <w:szCs w:val="24"/>
          <w:highlight w:val="none"/>
          <w:lang w:val="en-US" w:eastAsia="zh-CN"/>
        </w:rPr>
        <w:t>（4）中标人的投标文件</w:t>
      </w:r>
    </w:p>
    <w:p w14:paraId="485388A1">
      <w:pPr>
        <w:shd w:val="clear"/>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1C26E528">
      <w:pPr>
        <w:shd w:val="clea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》中的相关条款执行。</w:t>
      </w:r>
    </w:p>
    <w:p w14:paraId="13828840">
      <w:pPr>
        <w:shd w:val="clear"/>
        <w:adjustRightInd w:val="0"/>
        <w:spacing w:line="360" w:lineRule="auto"/>
        <w:ind w:firstLine="480" w:firstLineChars="200"/>
        <w:rPr>
          <w:rFonts w:hint="eastAsia" w:ascii="宋体" w:hAnsi="宋体" w:eastAsia="宋体" w:cs="宋体"/>
          <w:sz w:val="44"/>
          <w:szCs w:val="44"/>
          <w:lang w:val="en-AU"/>
        </w:rPr>
      </w:pPr>
      <w:r>
        <w:rPr>
          <w:rFonts w:hint="eastAsia" w:ascii="宋体" w:hAnsi="宋体" w:eastAsia="宋体" w:cs="宋体"/>
          <w:sz w:val="24"/>
          <w:szCs w:val="24"/>
        </w:rPr>
        <w:t>2、未按合同要求提供产品或</w:t>
      </w:r>
      <w:r>
        <w:rPr>
          <w:rFonts w:hint="eastAsia" w:ascii="宋体" w:hAnsi="宋体" w:eastAsia="宋体" w:cs="宋体"/>
          <w:sz w:val="24"/>
          <w:szCs w:val="24"/>
          <w:lang w:eastAsia="zh-CN"/>
        </w:rPr>
        <w:t>产品</w:t>
      </w:r>
      <w:r>
        <w:rPr>
          <w:rFonts w:hint="eastAsia" w:ascii="宋体" w:hAnsi="宋体" w:eastAsia="宋体" w:cs="宋体"/>
          <w:sz w:val="24"/>
          <w:szCs w:val="24"/>
        </w:rPr>
        <w:t>质量不能满足要求</w:t>
      </w:r>
      <w:r>
        <w:rPr>
          <w:rFonts w:hint="eastAsia" w:ascii="宋体" w:hAnsi="宋体" w:eastAsia="宋体" w:cs="宋体"/>
          <w:sz w:val="24"/>
          <w:szCs w:val="24"/>
          <w:lang w:eastAsia="zh-CN"/>
        </w:rPr>
        <w:t>的</w:t>
      </w:r>
      <w:r>
        <w:rPr>
          <w:rFonts w:hint="eastAsia" w:ascii="宋体" w:hAnsi="宋体" w:eastAsia="宋体" w:cs="宋体"/>
          <w:sz w:val="24"/>
          <w:szCs w:val="24"/>
        </w:rPr>
        <w:t>，采购人有权终止合同，并对供方违约行为进行追究，同时按《</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政府采购法》的有关规定进行处罚。</w:t>
      </w:r>
      <w:r>
        <w:rPr>
          <w:rFonts w:hint="eastAsia" w:ascii="宋体" w:hAnsi="宋体" w:eastAsia="宋体" w:cs="宋体"/>
          <w:sz w:val="44"/>
          <w:szCs w:val="44"/>
          <w:lang w:val="en-AU"/>
        </w:rPr>
        <w:br w:type="page"/>
      </w:r>
      <w:r>
        <w:rPr>
          <w:rFonts w:hint="eastAsia" w:ascii="宋体" w:hAnsi="宋体" w:eastAsia="宋体" w:cs="宋体"/>
          <w:b/>
          <w:bCs/>
        </w:rPr>
        <mc:AlternateContent>
          <mc:Choice Requires="wps">
            <w:drawing>
              <wp:anchor distT="0" distB="0" distL="114300" distR="114300" simplePos="0" relativeHeight="251664384" behindDoc="0" locked="0" layoutInCell="1" allowOverlap="1">
                <wp:simplePos x="0" y="0"/>
                <wp:positionH relativeFrom="column">
                  <wp:posOffset>103505</wp:posOffset>
                </wp:positionH>
                <wp:positionV relativeFrom="paragraph">
                  <wp:posOffset>685165</wp:posOffset>
                </wp:positionV>
                <wp:extent cx="5487670" cy="437515"/>
                <wp:effectExtent l="4445" t="4445" r="13335" b="15240"/>
                <wp:wrapSquare wrapText="bothSides"/>
                <wp:docPr id="1" name="Text Box 2"/>
                <wp:cNvGraphicFramePr/>
                <a:graphic xmlns:a="http://schemas.openxmlformats.org/drawingml/2006/main">
                  <a:graphicData uri="http://schemas.microsoft.com/office/word/2010/wordprocessingShape">
                    <wps:wsp>
                      <wps:cNvSpPr txBox="1"/>
                      <wps:spPr>
                        <a:xfrm>
                          <a:off x="0" y="0"/>
                          <a:ext cx="5487670" cy="4375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45A22A">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wps:txbx>
                      <wps:bodyPr wrap="square" upright="1">
                        <a:noAutofit/>
                      </wps:bodyPr>
                    </wps:wsp>
                  </a:graphicData>
                </a:graphic>
              </wp:anchor>
            </w:drawing>
          </mc:Choice>
          <mc:Fallback>
            <w:pict>
              <v:shape id="Text Box 2" o:spid="_x0000_s1026" o:spt="202" type="#_x0000_t202" style="position:absolute;left:0pt;margin-left:8.15pt;margin-top:53.95pt;height:34.45pt;width:432.1pt;mso-wrap-distance-bottom:0pt;mso-wrap-distance-left:9pt;mso-wrap-distance-right:9pt;mso-wrap-distance-top:0pt;z-index:251664384;mso-width-relative:page;mso-height-relative:page;" fillcolor="#FFFFFF" filled="t" stroked="t" coordsize="21600,21600" o:gfxdata="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EvcbZAAAACgEAAA8AAAAAAAAA&#10;AQAgAAAAIgAAAGRycy9kb3ducmV2LnhtbFBLAQIUABQAAAAIAIdO4kAYakxuEAIAAF0EAAAOAAAA&#10;AAAAAAEAIAAAACgBAABkcnMvZTJvRG9jLnhtbFBLBQYAAAAABgAGAFkBAACqBQAAAAA=&#10;">
                <v:fill on="t" focussize="0,0"/>
                <v:stroke color="#000000" joinstyle="miter"/>
                <v:imagedata o:title=""/>
                <o:lock v:ext="edit" aspectratio="f"/>
                <v:textbox>
                  <w:txbxContent>
                    <w:p w14:paraId="6345A22A">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v:textbox>
                <w10:wrap type="square"/>
              </v:shape>
            </w:pict>
          </mc:Fallback>
        </mc:AlternateContent>
      </w:r>
    </w:p>
    <w:p w14:paraId="4C422C76">
      <w:pPr>
        <w:spacing w:line="336" w:lineRule="auto"/>
        <w:jc w:val="center"/>
        <w:outlineLvl w:val="0"/>
        <w:rPr>
          <w:rFonts w:hint="eastAsia" w:ascii="宋体" w:hAnsi="宋体" w:eastAsia="宋体" w:cs="宋体"/>
          <w:b/>
          <w:bCs/>
          <w:sz w:val="28"/>
          <w:szCs w:val="28"/>
        </w:rPr>
      </w:pPr>
      <w:bookmarkStart w:id="108" w:name="_Toc12760"/>
      <w:r>
        <w:rPr>
          <w:rFonts w:hint="eastAsia" w:ascii="宋体" w:hAnsi="宋体" w:eastAsia="宋体" w:cs="宋体"/>
          <w:b/>
          <w:bCs/>
          <w:sz w:val="44"/>
          <w:szCs w:val="44"/>
          <w:lang w:val="en-AU"/>
        </w:rPr>
        <w:t>第五章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合同主要条款</w:t>
      </w:r>
      <w:bookmarkEnd w:id="96"/>
      <w:bookmarkEnd w:id="97"/>
      <w:bookmarkEnd w:id="98"/>
      <w:bookmarkEnd w:id="99"/>
      <w:bookmarkEnd w:id="100"/>
      <w:bookmarkEnd w:id="101"/>
      <w:r>
        <w:rPr>
          <w:rFonts w:hint="eastAsia" w:ascii="宋体" w:hAnsi="宋体" w:eastAsia="宋体" w:cs="宋体"/>
          <w:b/>
          <w:bCs/>
          <w:sz w:val="44"/>
          <w:szCs w:val="44"/>
        </w:rPr>
        <w:t>（参考）</w:t>
      </w:r>
      <w:bookmarkEnd w:id="102"/>
      <w:bookmarkEnd w:id="103"/>
      <w:bookmarkEnd w:id="104"/>
      <w:bookmarkEnd w:id="105"/>
      <w:bookmarkEnd w:id="108"/>
    </w:p>
    <w:p w14:paraId="45B529A8">
      <w:pPr>
        <w:spacing w:line="360" w:lineRule="auto"/>
        <w:jc w:val="center"/>
        <w:rPr>
          <w:rFonts w:hint="eastAsia" w:ascii="宋体" w:hAnsi="宋体" w:eastAsia="宋体" w:cs="宋体"/>
          <w:b/>
          <w:bCs/>
          <w:sz w:val="28"/>
          <w:szCs w:val="28"/>
        </w:rPr>
      </w:pPr>
      <w:bookmarkStart w:id="109" w:name="_Toc191876958"/>
      <w:bookmarkStart w:id="110" w:name="_Toc19188"/>
      <w:bookmarkStart w:id="111" w:name="_Toc11035"/>
      <w:r>
        <w:rPr>
          <w:rFonts w:hint="eastAsia" w:ascii="宋体" w:hAnsi="宋体" w:eastAsia="宋体" w:cs="宋体"/>
          <w:b/>
          <w:bCs/>
          <w:sz w:val="28"/>
          <w:szCs w:val="28"/>
        </w:rPr>
        <w:t>（本合同为样稿，部分内容可由双方协商后确定）</w:t>
      </w:r>
    </w:p>
    <w:bookmarkEnd w:id="109"/>
    <w:bookmarkEnd w:id="110"/>
    <w:bookmarkEnd w:id="111"/>
    <w:p w14:paraId="5291C3BF">
      <w:pPr>
        <w:widowControl w:val="0"/>
        <w:spacing w:line="360" w:lineRule="auto"/>
        <w:ind w:firstLine="540" w:firstLineChars="225"/>
        <w:jc w:val="both"/>
        <w:rPr>
          <w:rFonts w:hint="eastAsia" w:ascii="宋体" w:hAnsi="宋体" w:eastAsia="宋体" w:cs="宋体"/>
          <w:kern w:val="2"/>
        </w:rPr>
      </w:pPr>
      <w:bookmarkStart w:id="112" w:name="_Toc23710"/>
    </w:p>
    <w:p w14:paraId="4BB7BE8E">
      <w:pPr>
        <w:widowControl w:val="0"/>
        <w:spacing w:line="360" w:lineRule="auto"/>
        <w:ind w:firstLine="540" w:firstLineChars="225"/>
        <w:jc w:val="both"/>
        <w:rPr>
          <w:rFonts w:hint="eastAsia" w:ascii="宋体" w:hAnsi="宋体" w:eastAsia="宋体" w:cs="宋体"/>
          <w:kern w:val="2"/>
          <w:shd w:val="clear" w:fill="FFC000"/>
          <w:lang w:val="en-US" w:eastAsia="zh-CN"/>
        </w:rPr>
      </w:pPr>
      <w:r>
        <w:rPr>
          <w:rFonts w:hint="eastAsia" w:ascii="宋体" w:hAnsi="宋体" w:eastAsia="宋体" w:cs="宋体"/>
          <w:kern w:val="2"/>
        </w:rPr>
        <w:t>甲方：</w:t>
      </w:r>
      <w:r>
        <w:rPr>
          <w:rFonts w:hint="eastAsia" w:ascii="宋体" w:hAnsi="宋体" w:eastAsia="宋体" w:cs="宋体"/>
          <w:kern w:val="2"/>
          <w:u w:val="single"/>
          <w:shd w:val="clear"/>
          <w:lang w:val="en-US" w:eastAsia="zh-CN"/>
        </w:rPr>
        <w:t xml:space="preserve">               </w:t>
      </w:r>
    </w:p>
    <w:p w14:paraId="741B5F9C">
      <w:pPr>
        <w:widowControl w:val="0"/>
        <w:spacing w:line="360" w:lineRule="auto"/>
        <w:ind w:firstLine="540" w:firstLineChars="225"/>
        <w:jc w:val="both"/>
        <w:rPr>
          <w:rFonts w:hint="eastAsia" w:ascii="宋体" w:hAnsi="宋体" w:eastAsia="宋体" w:cs="宋体"/>
          <w:kern w:val="2"/>
          <w:lang w:eastAsia="zh-CN"/>
        </w:rPr>
      </w:pPr>
      <w:r>
        <w:rPr>
          <w:rFonts w:hint="eastAsia" w:ascii="宋体" w:hAnsi="宋体" w:eastAsia="宋体" w:cs="宋体"/>
          <w:kern w:val="2"/>
        </w:rPr>
        <w:t>乙方：（前款所称中标人）</w:t>
      </w:r>
    </w:p>
    <w:p w14:paraId="22CDBB9E">
      <w:pPr>
        <w:widowControl w:val="0"/>
        <w:spacing w:line="360" w:lineRule="auto"/>
        <w:ind w:left="-206" w:leftChars="-86" w:firstLine="663" w:firstLineChars="275"/>
        <w:jc w:val="both"/>
        <w:rPr>
          <w:rFonts w:hint="eastAsia" w:ascii="宋体" w:hAnsi="宋体" w:eastAsia="宋体" w:cs="宋体"/>
          <w:b/>
          <w:kern w:val="2"/>
        </w:rPr>
      </w:pPr>
      <w:r>
        <w:rPr>
          <w:rFonts w:hint="eastAsia" w:ascii="宋体" w:hAnsi="宋体" w:eastAsia="宋体" w:cs="宋体"/>
          <w:b/>
          <w:kern w:val="2"/>
        </w:rPr>
        <w:t>一、合同内容</w:t>
      </w:r>
      <w:r>
        <w:rPr>
          <w:rFonts w:hint="eastAsia" w:ascii="宋体" w:hAnsi="宋体" w:eastAsia="宋体" w:cs="宋体"/>
          <w:b/>
          <w:kern w:val="2"/>
          <w:u w:val="single"/>
          <w:lang w:val="en-US" w:eastAsia="zh-CN"/>
        </w:rPr>
        <w:t xml:space="preserve">                </w:t>
      </w:r>
      <w:r>
        <w:rPr>
          <w:rFonts w:hint="eastAsia" w:ascii="宋体" w:hAnsi="宋体" w:eastAsia="宋体" w:cs="宋体"/>
          <w:b/>
          <w:kern w:val="2"/>
        </w:rPr>
        <w:t>:</w:t>
      </w:r>
    </w:p>
    <w:p w14:paraId="63B71947">
      <w:pPr>
        <w:widowControl w:val="0"/>
        <w:spacing w:line="360" w:lineRule="auto"/>
        <w:ind w:left="-206" w:leftChars="-86" w:firstLine="663" w:firstLineChars="275"/>
        <w:jc w:val="both"/>
        <w:rPr>
          <w:rFonts w:hint="eastAsia" w:ascii="宋体" w:hAnsi="宋体" w:eastAsia="宋体" w:cs="宋体"/>
          <w:b/>
          <w:kern w:val="2"/>
        </w:rPr>
      </w:pPr>
      <w:r>
        <w:rPr>
          <w:rFonts w:hint="eastAsia" w:ascii="宋体" w:hAnsi="宋体" w:eastAsia="宋体" w:cs="宋体"/>
          <w:b/>
          <w:kern w:val="2"/>
        </w:rPr>
        <w:t>二、合同价款</w:t>
      </w:r>
    </w:p>
    <w:p w14:paraId="2019410F">
      <w:pPr>
        <w:widowControl w:val="0"/>
        <w:spacing w:line="360" w:lineRule="auto"/>
        <w:ind w:left="-206" w:leftChars="-86" w:firstLine="660" w:firstLineChars="275"/>
        <w:jc w:val="both"/>
        <w:rPr>
          <w:rFonts w:hint="eastAsia" w:ascii="宋体" w:hAnsi="宋体" w:eastAsia="宋体" w:cs="宋体"/>
          <w:kern w:val="2"/>
          <w:lang w:eastAsia="zh-CN"/>
        </w:rPr>
      </w:pPr>
      <w:r>
        <w:rPr>
          <w:rFonts w:hint="eastAsia" w:ascii="宋体" w:hAnsi="宋体" w:eastAsia="宋体" w:cs="宋体"/>
          <w:kern w:val="2"/>
        </w:rPr>
        <w:t>1、合同</w:t>
      </w:r>
      <w:r>
        <w:rPr>
          <w:rFonts w:hint="eastAsia" w:ascii="宋体" w:hAnsi="宋体" w:eastAsia="宋体" w:cs="宋体"/>
          <w:kern w:val="2"/>
          <w:lang w:val="en-US" w:eastAsia="zh-CN"/>
        </w:rPr>
        <w:t>单价</w:t>
      </w:r>
      <w:r>
        <w:rPr>
          <w:rFonts w:hint="eastAsia" w:ascii="宋体" w:hAnsi="宋体" w:eastAsia="宋体" w:cs="宋体"/>
          <w:kern w:val="2"/>
        </w:rPr>
        <w:t>暂定人民币元，合同综合单价人民币</w:t>
      </w:r>
      <w:r>
        <w:rPr>
          <w:rFonts w:hint="eastAsia" w:ascii="宋体" w:hAnsi="宋体" w:eastAsia="宋体" w:cs="宋体"/>
          <w:kern w:val="2"/>
          <w:u w:val="single"/>
        </w:rPr>
        <w:t>（元/（生*天））</w:t>
      </w:r>
      <w:r>
        <w:rPr>
          <w:rFonts w:hint="eastAsia" w:ascii="宋体" w:hAnsi="宋体" w:eastAsia="宋体" w:cs="宋体"/>
          <w:kern w:val="2"/>
        </w:rPr>
        <w:t>。其中营养早餐单价人民币</w:t>
      </w:r>
      <w:r>
        <w:rPr>
          <w:rFonts w:hint="eastAsia" w:ascii="宋体" w:hAnsi="宋体" w:eastAsia="宋体" w:cs="宋体"/>
          <w:kern w:val="2"/>
          <w:u w:val="single"/>
        </w:rPr>
        <w:t>（</w:t>
      </w:r>
      <w:r>
        <w:rPr>
          <w:rFonts w:hint="eastAsia" w:ascii="宋体" w:hAnsi="宋体" w:eastAsia="宋体" w:cs="宋体"/>
          <w:kern w:val="2"/>
          <w:u w:val="single"/>
          <w:lang w:val="en-US" w:eastAsia="zh-CN"/>
        </w:rPr>
        <w:t>5.00</w:t>
      </w:r>
      <w:r>
        <w:rPr>
          <w:rFonts w:hint="eastAsia" w:ascii="宋体" w:hAnsi="宋体" w:eastAsia="宋体" w:cs="宋体"/>
          <w:kern w:val="2"/>
          <w:u w:val="single"/>
        </w:rPr>
        <w:t>元/（生*天））</w:t>
      </w:r>
      <w:r>
        <w:rPr>
          <w:rFonts w:hint="eastAsia" w:ascii="宋体" w:hAnsi="宋体" w:eastAsia="宋体" w:cs="宋体"/>
          <w:kern w:val="2"/>
        </w:rPr>
        <w:t>，配送费单价人民币</w:t>
      </w:r>
      <w:r>
        <w:rPr>
          <w:rFonts w:hint="eastAsia" w:ascii="宋体" w:hAnsi="宋体" w:eastAsia="宋体" w:cs="宋体"/>
          <w:kern w:val="2"/>
          <w:u w:val="single"/>
        </w:rPr>
        <w:t>（元/（生*天））</w:t>
      </w:r>
      <w:r>
        <w:rPr>
          <w:rFonts w:hint="eastAsia" w:ascii="宋体" w:hAnsi="宋体" w:eastAsia="宋体" w:cs="宋体"/>
          <w:kern w:val="2"/>
        </w:rPr>
        <w:t>。</w:t>
      </w:r>
    </w:p>
    <w:p w14:paraId="09B90442">
      <w:pPr>
        <w:spacing w:line="365" w:lineRule="auto"/>
        <w:ind w:firstLine="480" w:firstLineChars="200"/>
        <w:jc w:val="left"/>
        <w:rPr>
          <w:rFonts w:hint="eastAsia" w:ascii="宋体" w:hAnsi="宋体" w:eastAsia="宋体" w:cs="宋体"/>
          <w:szCs w:val="24"/>
          <w:lang w:val="en-US" w:eastAsia="zh-CN"/>
        </w:rPr>
      </w:pPr>
      <w:r>
        <w:rPr>
          <w:rFonts w:hint="eastAsia" w:ascii="宋体" w:hAnsi="宋体" w:eastAsia="宋体" w:cs="宋体"/>
          <w:kern w:val="2"/>
        </w:rPr>
        <w:t>2、合同</w:t>
      </w:r>
      <w:r>
        <w:rPr>
          <w:rFonts w:hint="eastAsia" w:ascii="宋体" w:hAnsi="宋体" w:eastAsia="宋体" w:cs="宋体"/>
          <w:kern w:val="2"/>
          <w:lang w:val="en-US" w:eastAsia="zh-CN"/>
        </w:rPr>
        <w:t>单价</w:t>
      </w:r>
      <w:r>
        <w:rPr>
          <w:rFonts w:hint="eastAsia" w:ascii="宋体" w:hAnsi="宋体" w:eastAsia="宋体" w:cs="宋体"/>
          <w:kern w:val="2"/>
        </w:rPr>
        <w:t>包括：</w:t>
      </w:r>
      <w:r>
        <w:rPr>
          <w:rFonts w:hint="eastAsia" w:ascii="宋体" w:hAnsi="宋体" w:eastAsia="宋体" w:cs="宋体"/>
          <w:szCs w:val="24"/>
        </w:rPr>
        <w:t>包括</w:t>
      </w:r>
      <w:r>
        <w:rPr>
          <w:rFonts w:hint="eastAsia" w:ascii="宋体" w:hAnsi="宋体" w:eastAsia="宋体" w:cs="宋体"/>
          <w:szCs w:val="24"/>
          <w:lang w:val="en-US" w:eastAsia="zh-CN"/>
        </w:rPr>
        <w:t>营养餐成本费</w:t>
      </w:r>
      <w:r>
        <w:rPr>
          <w:rFonts w:hint="eastAsia" w:ascii="宋体" w:hAnsi="宋体" w:eastAsia="宋体" w:cs="宋体"/>
          <w:szCs w:val="24"/>
        </w:rPr>
        <w:t>、</w:t>
      </w:r>
      <w:r>
        <w:rPr>
          <w:rFonts w:hint="eastAsia" w:ascii="宋体" w:hAnsi="宋体" w:eastAsia="宋体" w:cs="宋体"/>
          <w:szCs w:val="24"/>
          <w:lang w:val="en-US" w:eastAsia="zh-CN"/>
        </w:rPr>
        <w:t>配送费（包含食品加工费、包装费、运输费、</w:t>
      </w:r>
      <w:r>
        <w:rPr>
          <w:rFonts w:hint="eastAsia" w:ascii="宋体" w:hAnsi="宋体" w:eastAsia="宋体" w:cs="宋体"/>
          <w:szCs w:val="24"/>
        </w:rPr>
        <w:t>装卸</w:t>
      </w:r>
      <w:r>
        <w:rPr>
          <w:rFonts w:hint="eastAsia" w:ascii="宋体" w:hAnsi="宋体" w:eastAsia="宋体" w:cs="宋体"/>
          <w:szCs w:val="24"/>
          <w:lang w:val="en-US" w:eastAsia="zh-CN"/>
        </w:rPr>
        <w:t>费</w:t>
      </w:r>
      <w:r>
        <w:rPr>
          <w:rFonts w:hint="eastAsia" w:ascii="宋体" w:hAnsi="宋体" w:eastAsia="宋体" w:cs="宋体"/>
          <w:szCs w:val="24"/>
        </w:rPr>
        <w:t>、保险费、</w:t>
      </w:r>
      <w:r>
        <w:rPr>
          <w:rFonts w:hint="eastAsia" w:ascii="宋体" w:hAnsi="宋体" w:eastAsia="宋体" w:cs="宋体"/>
          <w:szCs w:val="24"/>
          <w:lang w:val="en-US" w:eastAsia="zh-CN"/>
        </w:rPr>
        <w:t>水电费、</w:t>
      </w:r>
      <w:r>
        <w:rPr>
          <w:rFonts w:hint="eastAsia" w:ascii="宋体" w:hAnsi="宋体" w:eastAsia="宋体" w:cs="宋体"/>
          <w:szCs w:val="24"/>
        </w:rPr>
        <w:t>税费等其他一切相关费用</w:t>
      </w:r>
      <w:r>
        <w:rPr>
          <w:rFonts w:hint="eastAsia" w:ascii="宋体" w:hAnsi="宋体" w:eastAsia="宋体" w:cs="宋体"/>
          <w:szCs w:val="24"/>
          <w:lang w:val="en-US" w:eastAsia="zh-CN"/>
        </w:rPr>
        <w:t>）。</w:t>
      </w:r>
    </w:p>
    <w:p w14:paraId="6601966E">
      <w:pPr>
        <w:widowControl w:val="0"/>
        <w:spacing w:line="360" w:lineRule="auto"/>
        <w:ind w:left="-206" w:leftChars="-86" w:firstLine="660" w:firstLineChars="275"/>
        <w:jc w:val="both"/>
        <w:rPr>
          <w:rFonts w:hint="eastAsia" w:ascii="宋体" w:hAnsi="宋体" w:eastAsia="宋体" w:cs="宋体"/>
          <w:kern w:val="2"/>
        </w:rPr>
      </w:pPr>
      <w:r>
        <w:rPr>
          <w:rFonts w:hint="eastAsia" w:ascii="宋体" w:hAnsi="宋体" w:eastAsia="宋体" w:cs="宋体"/>
          <w:kern w:val="2"/>
        </w:rPr>
        <w:t>3、综合单价固定不变，不受市场价变化的影响。结算按照</w:t>
      </w:r>
      <w:r>
        <w:rPr>
          <w:rFonts w:hint="eastAsia" w:ascii="宋体" w:hAnsi="宋体" w:eastAsia="宋体" w:cs="宋体"/>
          <w:kern w:val="2"/>
          <w:lang w:val="en-US" w:eastAsia="zh-CN"/>
        </w:rPr>
        <w:t>使用单位</w:t>
      </w:r>
      <w:r>
        <w:rPr>
          <w:rFonts w:hint="eastAsia" w:ascii="宋体" w:hAnsi="宋体" w:eastAsia="宋体" w:cs="宋体"/>
          <w:kern w:val="2"/>
        </w:rPr>
        <w:t>最终验收确认的实际供货数量</w:t>
      </w:r>
      <w:r>
        <w:rPr>
          <w:rFonts w:hint="eastAsia" w:ascii="宋体" w:hAnsi="宋体" w:eastAsia="宋体" w:cs="宋体"/>
          <w:kern w:val="2"/>
          <w:lang w:val="en-US" w:eastAsia="zh-CN"/>
        </w:rPr>
        <w:t>及天数</w:t>
      </w:r>
      <w:r>
        <w:rPr>
          <w:rFonts w:hint="eastAsia" w:ascii="宋体" w:hAnsi="宋体" w:eastAsia="宋体" w:cs="宋体"/>
          <w:kern w:val="2"/>
        </w:rPr>
        <w:t>进行结算。</w:t>
      </w:r>
    </w:p>
    <w:p w14:paraId="26DB3DBF">
      <w:pPr>
        <w:widowControl w:val="0"/>
        <w:spacing w:line="360" w:lineRule="auto"/>
        <w:ind w:firstLine="542" w:firstLineChars="225"/>
        <w:jc w:val="both"/>
        <w:rPr>
          <w:rFonts w:hint="eastAsia" w:ascii="宋体" w:hAnsi="宋体" w:eastAsia="宋体" w:cs="宋体"/>
          <w:b/>
          <w:kern w:val="2"/>
        </w:rPr>
      </w:pPr>
      <w:bookmarkStart w:id="113" w:name="_Toc20342"/>
      <w:bookmarkStart w:id="114" w:name="_Toc3174"/>
      <w:bookmarkStart w:id="115" w:name="_Toc521307608"/>
      <w:r>
        <w:rPr>
          <w:rFonts w:hint="eastAsia" w:ascii="宋体" w:hAnsi="宋体" w:eastAsia="宋体" w:cs="宋体"/>
          <w:b/>
          <w:kern w:val="2"/>
        </w:rPr>
        <w:t>三、</w:t>
      </w:r>
      <w:bookmarkEnd w:id="113"/>
      <w:bookmarkEnd w:id="114"/>
      <w:bookmarkEnd w:id="115"/>
      <w:r>
        <w:rPr>
          <w:rFonts w:hint="eastAsia" w:ascii="宋体" w:hAnsi="宋体" w:eastAsia="宋体" w:cs="宋体"/>
          <w:b/>
          <w:kern w:val="2"/>
        </w:rPr>
        <w:t>合同结算</w:t>
      </w:r>
    </w:p>
    <w:p w14:paraId="28B2AB35">
      <w:pPr>
        <w:shd w:val="clear"/>
        <w:adjustRightInd w:val="0"/>
        <w:spacing w:line="360"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kern w:val="2"/>
        </w:rPr>
        <w:t>1、资金支付条件及时间：</w:t>
      </w:r>
      <w:r>
        <w:rPr>
          <w:rFonts w:hint="eastAsia" w:ascii="宋体" w:hAnsi="宋体" w:eastAsia="宋体" w:cs="宋体"/>
          <w:color w:val="auto"/>
          <w:kern w:val="2"/>
          <w:sz w:val="24"/>
          <w:szCs w:val="22"/>
          <w:highlight w:val="none"/>
          <w:lang w:val="en-US" w:eastAsia="zh-CN" w:bidi="ar-SA"/>
        </w:rPr>
        <w:t>付款方式为月结，即根据实际数量据实结算，每月结算一次。乙方于当月供货期满后开出正式发票，由实施学校负责结算。（供货方、合同方、收款方名称应一致）</w:t>
      </w:r>
    </w:p>
    <w:p w14:paraId="0CC6F06A">
      <w:pPr>
        <w:pStyle w:val="2"/>
        <w:spacing w:line="360" w:lineRule="auto"/>
        <w:ind w:left="0" w:leftChars="0" w:firstLine="480" w:firstLineChars="200"/>
        <w:rPr>
          <w:rFonts w:hint="eastAsia" w:ascii="宋体" w:hAnsi="宋体" w:eastAsia="宋体" w:cs="宋体"/>
          <w:b w:val="0"/>
          <w:bCs w:val="0"/>
          <w:lang w:val="en-US" w:eastAsia="zh-CN"/>
        </w:rPr>
      </w:pPr>
      <w:r>
        <w:rPr>
          <w:rFonts w:hint="eastAsia" w:ascii="宋体" w:hAnsi="宋体" w:eastAsia="宋体" w:cs="宋体"/>
          <w:b w:val="0"/>
          <w:bCs w:val="0"/>
          <w:color w:val="auto"/>
          <w:kern w:val="2"/>
          <w:sz w:val="24"/>
          <w:szCs w:val="24"/>
          <w:lang w:val="en-US" w:eastAsia="zh-CN" w:bidi="ar-SA"/>
        </w:rPr>
        <w:t>最终结算合同价款=（营养餐的成本固定单价+配送费报价）×学生实际人数×实际供应天数</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不包含留样数量</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w:t>
      </w:r>
    </w:p>
    <w:p w14:paraId="7AD1746B">
      <w:pPr>
        <w:widowControl w:val="0"/>
        <w:spacing w:line="360" w:lineRule="auto"/>
        <w:ind w:left="-206" w:leftChars="-86" w:firstLine="660" w:firstLineChars="275"/>
        <w:jc w:val="both"/>
        <w:rPr>
          <w:rFonts w:hint="eastAsia" w:ascii="宋体" w:hAnsi="宋体" w:eastAsia="宋体" w:cs="宋体"/>
          <w:kern w:val="2"/>
        </w:rPr>
      </w:pPr>
      <w:r>
        <w:rPr>
          <w:rFonts w:hint="eastAsia" w:ascii="宋体" w:hAnsi="宋体" w:eastAsia="宋体" w:cs="宋体"/>
          <w:kern w:val="2"/>
        </w:rPr>
        <w:t>2、结算方式：银行转账。</w:t>
      </w:r>
    </w:p>
    <w:p w14:paraId="0D9C33B9">
      <w:pPr>
        <w:widowControl w:val="0"/>
        <w:spacing w:line="360" w:lineRule="auto"/>
        <w:ind w:left="-206" w:leftChars="-86" w:firstLine="660" w:firstLineChars="275"/>
        <w:jc w:val="both"/>
        <w:rPr>
          <w:rFonts w:hint="eastAsia" w:ascii="宋体" w:hAnsi="宋体" w:eastAsia="宋体" w:cs="宋体"/>
          <w:kern w:val="2"/>
        </w:rPr>
      </w:pPr>
      <w:r>
        <w:rPr>
          <w:rFonts w:hint="eastAsia" w:ascii="宋体" w:hAnsi="宋体" w:eastAsia="宋体" w:cs="宋体"/>
          <w:kern w:val="2"/>
        </w:rPr>
        <w:t>3、结算单位：由</w:t>
      </w:r>
      <w:r>
        <w:rPr>
          <w:rFonts w:hint="eastAsia" w:ascii="宋体" w:hAnsi="宋体" w:eastAsia="宋体" w:cs="宋体"/>
          <w:kern w:val="2"/>
          <w:u w:val="single"/>
          <w:lang w:val="en-US" w:eastAsia="zh-CN"/>
        </w:rPr>
        <w:t xml:space="preserve">    </w:t>
      </w:r>
      <w:r>
        <w:rPr>
          <w:rFonts w:hint="eastAsia" w:ascii="宋体" w:hAnsi="宋体" w:eastAsia="宋体" w:cs="宋体"/>
          <w:kern w:val="2"/>
        </w:rPr>
        <w:t>负责结算，乙方开具本</w:t>
      </w:r>
      <w:r>
        <w:rPr>
          <w:rFonts w:hint="eastAsia" w:ascii="宋体" w:hAnsi="宋体" w:eastAsia="宋体" w:cs="宋体"/>
          <w:kern w:val="2"/>
          <w:lang w:val="en-US" w:eastAsia="zh-CN"/>
        </w:rPr>
        <w:t>月</w:t>
      </w:r>
      <w:r>
        <w:rPr>
          <w:rFonts w:hint="eastAsia" w:ascii="宋体" w:hAnsi="宋体" w:eastAsia="宋体" w:cs="宋体"/>
          <w:kern w:val="2"/>
        </w:rPr>
        <w:t>付款的全额发票。</w:t>
      </w:r>
    </w:p>
    <w:p w14:paraId="5869107B">
      <w:pPr>
        <w:widowControl w:val="0"/>
        <w:spacing w:line="360" w:lineRule="auto"/>
        <w:ind w:firstLine="542" w:firstLineChars="225"/>
        <w:jc w:val="both"/>
        <w:rPr>
          <w:rFonts w:hint="eastAsia" w:ascii="宋体" w:hAnsi="宋体" w:eastAsia="宋体" w:cs="宋体"/>
          <w:b/>
          <w:kern w:val="2"/>
        </w:rPr>
      </w:pPr>
      <w:bookmarkStart w:id="116" w:name="_Toc521307609"/>
      <w:bookmarkStart w:id="117" w:name="_Toc663"/>
      <w:r>
        <w:rPr>
          <w:rFonts w:hint="eastAsia" w:ascii="宋体" w:hAnsi="宋体" w:eastAsia="宋体" w:cs="宋体"/>
          <w:b/>
          <w:kern w:val="2"/>
        </w:rPr>
        <w:t>四</w:t>
      </w:r>
      <w:bookmarkEnd w:id="116"/>
      <w:bookmarkEnd w:id="117"/>
      <w:r>
        <w:rPr>
          <w:rFonts w:hint="eastAsia" w:ascii="宋体" w:hAnsi="宋体" w:eastAsia="宋体" w:cs="宋体"/>
          <w:b/>
          <w:kern w:val="2"/>
        </w:rPr>
        <w:t>、合同履行期限、地点及方式:</w:t>
      </w:r>
    </w:p>
    <w:p w14:paraId="35A18420">
      <w:pPr>
        <w:widowControl w:val="0"/>
        <w:spacing w:line="360" w:lineRule="auto"/>
        <w:ind w:firstLine="540" w:firstLineChars="225"/>
        <w:jc w:val="both"/>
        <w:rPr>
          <w:rFonts w:hint="eastAsia" w:ascii="宋体" w:hAnsi="宋体" w:eastAsia="宋体" w:cs="宋体"/>
          <w:kern w:val="2"/>
          <w:lang w:val="en-US" w:eastAsia="zh-CN"/>
        </w:rPr>
      </w:pPr>
      <w:r>
        <w:rPr>
          <w:rFonts w:hint="eastAsia" w:ascii="宋体" w:hAnsi="宋体" w:eastAsia="宋体" w:cs="宋体"/>
          <w:kern w:val="2"/>
        </w:rPr>
        <w:t>1、合同履行期限：</w:t>
      </w:r>
      <w:r>
        <w:rPr>
          <w:rFonts w:hint="eastAsia" w:ascii="宋体" w:hAnsi="宋体" w:eastAsia="宋体" w:cs="宋体"/>
          <w:kern w:val="2"/>
          <w:lang w:val="en-US" w:eastAsia="zh-CN"/>
        </w:rPr>
        <w:t>供餐期为2025年9月1日至2026年8月31日。</w:t>
      </w:r>
    </w:p>
    <w:p w14:paraId="185FB9FC">
      <w:pPr>
        <w:widowControl w:val="0"/>
        <w:spacing w:line="360" w:lineRule="auto"/>
        <w:ind w:firstLine="540" w:firstLineChars="225"/>
        <w:jc w:val="both"/>
        <w:rPr>
          <w:rFonts w:hint="eastAsia" w:ascii="宋体" w:hAnsi="宋体" w:eastAsia="宋体" w:cs="宋体"/>
          <w:kern w:val="2"/>
          <w:lang w:val="en-US" w:eastAsia="zh-CN"/>
        </w:rPr>
      </w:pPr>
      <w:r>
        <w:rPr>
          <w:rFonts w:hint="eastAsia" w:ascii="宋体" w:hAnsi="宋体" w:eastAsia="宋体" w:cs="宋体"/>
          <w:kern w:val="2"/>
          <w:lang w:val="en-US" w:eastAsia="zh-CN"/>
        </w:rPr>
        <w:t>2、配送周期：学生在校期间每日配送。</w:t>
      </w:r>
    </w:p>
    <w:p w14:paraId="7995F25B">
      <w:pPr>
        <w:widowControl w:val="0"/>
        <w:spacing w:line="360" w:lineRule="auto"/>
        <w:ind w:firstLine="540" w:firstLineChars="225"/>
        <w:jc w:val="both"/>
        <w:rPr>
          <w:rFonts w:hint="eastAsia" w:ascii="宋体" w:hAnsi="宋体" w:eastAsia="宋体" w:cs="宋体"/>
          <w:kern w:val="2"/>
          <w:lang w:eastAsia="zh-CN"/>
        </w:rPr>
      </w:pPr>
      <w:r>
        <w:rPr>
          <w:rFonts w:hint="eastAsia" w:ascii="宋体" w:hAnsi="宋体" w:eastAsia="宋体" w:cs="宋体"/>
          <w:kern w:val="2"/>
          <w:lang w:val="en-US" w:eastAsia="zh-CN"/>
        </w:rPr>
        <w:t>3</w:t>
      </w:r>
      <w:r>
        <w:rPr>
          <w:rFonts w:hint="eastAsia" w:ascii="宋体" w:hAnsi="宋体" w:eastAsia="宋体" w:cs="宋体"/>
          <w:kern w:val="2"/>
        </w:rPr>
        <w:t>、</w:t>
      </w:r>
      <w:r>
        <w:rPr>
          <w:rFonts w:hint="eastAsia" w:ascii="宋体" w:hAnsi="宋体" w:eastAsia="宋体" w:cs="宋体"/>
          <w:kern w:val="2"/>
          <w:lang w:val="en-US" w:eastAsia="zh-CN"/>
        </w:rPr>
        <w:t>配送</w:t>
      </w:r>
      <w:r>
        <w:rPr>
          <w:rFonts w:hint="eastAsia" w:ascii="宋体" w:hAnsi="宋体" w:eastAsia="宋体" w:cs="宋体"/>
          <w:kern w:val="2"/>
        </w:rPr>
        <w:t>地点：采购人指定地点</w:t>
      </w:r>
      <w:r>
        <w:rPr>
          <w:rFonts w:hint="eastAsia" w:ascii="宋体" w:hAnsi="宋体" w:eastAsia="宋体" w:cs="宋体"/>
          <w:kern w:val="2"/>
          <w:lang w:eastAsia="zh-CN"/>
        </w:rPr>
        <w:t>；</w:t>
      </w:r>
    </w:p>
    <w:p w14:paraId="5CECFCC2">
      <w:pPr>
        <w:widowControl w:val="0"/>
        <w:spacing w:line="360" w:lineRule="auto"/>
        <w:ind w:firstLine="540" w:firstLineChars="225"/>
        <w:jc w:val="both"/>
        <w:rPr>
          <w:rFonts w:hint="eastAsia" w:ascii="宋体" w:hAnsi="宋体" w:eastAsia="宋体" w:cs="宋体"/>
          <w:kern w:val="2"/>
          <w:lang w:eastAsia="zh-CN"/>
        </w:rPr>
      </w:pPr>
      <w:r>
        <w:rPr>
          <w:rFonts w:hint="eastAsia" w:ascii="宋体" w:hAnsi="宋体" w:eastAsia="宋体" w:cs="宋体"/>
          <w:kern w:val="2"/>
          <w:lang w:val="en-US" w:eastAsia="zh-CN"/>
        </w:rPr>
        <w:t>4</w:t>
      </w:r>
      <w:r>
        <w:rPr>
          <w:rFonts w:hint="eastAsia" w:ascii="宋体" w:hAnsi="宋体" w:eastAsia="宋体" w:cs="宋体"/>
          <w:kern w:val="2"/>
        </w:rPr>
        <w:t>、服务方式：按照采购人要求</w:t>
      </w:r>
      <w:r>
        <w:rPr>
          <w:rFonts w:hint="eastAsia" w:ascii="宋体" w:hAnsi="宋体" w:eastAsia="宋体" w:cs="宋体"/>
          <w:kern w:val="2"/>
          <w:lang w:eastAsia="zh-CN"/>
        </w:rPr>
        <w:t>。</w:t>
      </w:r>
    </w:p>
    <w:p w14:paraId="7B7F95C3">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18" w:name="_Toc19515388"/>
      <w:r>
        <w:rPr>
          <w:rFonts w:hint="eastAsia" w:ascii="宋体" w:hAnsi="宋体" w:eastAsia="宋体" w:cs="宋体"/>
          <w:b/>
          <w:kern w:val="2"/>
          <w:lang w:val="zh-CN"/>
        </w:rPr>
        <w:t>五、运输</w:t>
      </w:r>
      <w:bookmarkEnd w:id="118"/>
    </w:p>
    <w:p w14:paraId="61894511">
      <w:pPr>
        <w:widowControl w:val="0"/>
        <w:adjustRightInd w:val="0"/>
        <w:snapToGrid w:val="0"/>
        <w:spacing w:line="360" w:lineRule="auto"/>
        <w:ind w:firstLine="480" w:firstLineChars="200"/>
        <w:jc w:val="both"/>
        <w:rPr>
          <w:rFonts w:hint="eastAsia" w:ascii="宋体" w:hAnsi="宋体" w:eastAsia="宋体" w:cs="宋体"/>
          <w:lang w:val="zh-CN"/>
        </w:rPr>
      </w:pPr>
      <w:r>
        <w:rPr>
          <w:rFonts w:hint="eastAsia" w:ascii="宋体" w:hAnsi="宋体" w:eastAsia="宋体" w:cs="宋体"/>
          <w:kern w:val="2"/>
          <w:lang w:val="zh-CN"/>
        </w:rPr>
        <w:t>1、乙方负责所有营养早餐的运输</w:t>
      </w:r>
      <w:r>
        <w:rPr>
          <w:rFonts w:hint="eastAsia" w:ascii="宋体" w:hAnsi="宋体" w:eastAsia="宋体" w:cs="宋体"/>
          <w:kern w:val="2"/>
          <w:lang w:val="en-US" w:eastAsia="zh-CN"/>
        </w:rPr>
        <w:t>以及熟食的加工</w:t>
      </w:r>
      <w:r>
        <w:rPr>
          <w:rFonts w:hint="eastAsia" w:ascii="宋体" w:hAnsi="宋体" w:eastAsia="宋体" w:cs="宋体"/>
          <w:kern w:val="2"/>
          <w:lang w:val="zh-CN"/>
        </w:rPr>
        <w:t>。确保营养早餐安全、完整到达使用地点，运杂费用包含在总价内，包括营养早餐从加工地点到使用地点的运输费、保险费、搬运费等。</w:t>
      </w:r>
      <w:r>
        <w:rPr>
          <w:rFonts w:hint="eastAsia" w:ascii="宋体" w:hAnsi="宋体" w:eastAsia="宋体" w:cs="宋体"/>
          <w:color w:val="auto"/>
          <w:kern w:val="2"/>
          <w:sz w:val="24"/>
          <w:szCs w:val="22"/>
          <w:highlight w:val="none"/>
          <w:lang w:val="en-US" w:eastAsia="zh-CN" w:bidi="ar-SA"/>
        </w:rPr>
        <w:t xml:space="preserve">在合同有效期内采购人不再承担任何其他费用，在项目实施配送过程及售后服务期间出现的一切人员伤亡、财产损失等安全事故及责任事项均由中标单位负责，采购人不承担任何责任。 </w:t>
      </w:r>
    </w:p>
    <w:p w14:paraId="26D8C470">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19" w:name="_Toc19515389"/>
      <w:r>
        <w:rPr>
          <w:rFonts w:hint="eastAsia" w:ascii="宋体" w:hAnsi="宋体" w:eastAsia="宋体" w:cs="宋体"/>
          <w:b/>
          <w:kern w:val="2"/>
          <w:lang w:val="zh-CN"/>
        </w:rPr>
        <w:t>六、质量保证</w:t>
      </w:r>
      <w:bookmarkEnd w:id="119"/>
    </w:p>
    <w:p w14:paraId="166B64C0">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乙方向甲方提供的产品应符合国家食品卫生标准，因乙方提供的食品质量问题造成甲方使用人中毒等安全问题，乙方应负全责。</w:t>
      </w:r>
    </w:p>
    <w:p w14:paraId="5A9D4555">
      <w:pPr>
        <w:widowControl w:val="0"/>
        <w:adjustRightInd w:val="0"/>
        <w:snapToGrid w:val="0"/>
        <w:spacing w:line="360" w:lineRule="auto"/>
        <w:ind w:firstLine="482" w:firstLineChars="200"/>
        <w:jc w:val="both"/>
        <w:rPr>
          <w:rFonts w:hint="eastAsia" w:ascii="宋体" w:hAnsi="宋体" w:eastAsia="宋体" w:cs="宋体"/>
          <w:b/>
          <w:kern w:val="2"/>
          <w:lang w:val="zh-CN"/>
        </w:rPr>
      </w:pPr>
      <w:r>
        <w:rPr>
          <w:rFonts w:hint="eastAsia" w:ascii="宋体" w:hAnsi="宋体" w:eastAsia="宋体" w:cs="宋体"/>
          <w:b/>
          <w:kern w:val="2"/>
          <w:lang w:val="zh-CN"/>
        </w:rPr>
        <w:t>七、甲方的权利和义务</w:t>
      </w:r>
    </w:p>
    <w:p w14:paraId="7DBE17FB">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1、甲方负责通知乙方各学校供餐人数、学校地址及联系人电话。</w:t>
      </w:r>
    </w:p>
    <w:p w14:paraId="13945B90">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2、甲方负责书面通知乙方执行本合同的要求（如学校食谱、配送时间等）。</w:t>
      </w:r>
    </w:p>
    <w:p w14:paraId="5A103AAE">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3</w:t>
      </w:r>
      <w:r>
        <w:rPr>
          <w:rFonts w:hint="eastAsia" w:ascii="宋体" w:hAnsi="宋体" w:eastAsia="宋体" w:cs="宋体"/>
          <w:kern w:val="2"/>
          <w:lang w:val="zh-CN"/>
        </w:rPr>
        <w:t>、甲方安排专人负责接收工作，根据乙方提供的清单核对无误后签收。</w:t>
      </w:r>
    </w:p>
    <w:p w14:paraId="5B64359C">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4、甲方有权对乙方供货及服务进行监督并考核，考核标准依据宝市教发【2024】15号文件、</w:t>
      </w:r>
      <w:r>
        <w:rPr>
          <w:rFonts w:hint="eastAsia" w:ascii="宋体" w:hAnsi="宋体" w:eastAsia="宋体" w:cs="宋体"/>
          <w:spacing w:val="1"/>
          <w:sz w:val="24"/>
          <w:szCs w:val="24"/>
          <w:u w:val="none" w:color="auto"/>
          <w:lang w:val="en-US" w:eastAsia="zh-CN"/>
        </w:rPr>
        <w:t>千教体发【2025】103号文件《千阳县</w:t>
      </w:r>
      <w:r>
        <w:rPr>
          <w:rFonts w:hint="eastAsia" w:ascii="宋体" w:hAnsi="宋体" w:eastAsia="宋体" w:cs="宋体"/>
          <w:spacing w:val="1"/>
          <w:sz w:val="24"/>
          <w:szCs w:val="24"/>
          <w:u w:val="none" w:color="auto"/>
        </w:rPr>
        <w:t>学校食堂采购供应商评价制度与管理办法</w:t>
      </w:r>
      <w:r>
        <w:rPr>
          <w:rFonts w:hint="eastAsia" w:ascii="宋体" w:hAnsi="宋体" w:eastAsia="宋体" w:cs="宋体"/>
          <w:spacing w:val="1"/>
          <w:sz w:val="24"/>
          <w:szCs w:val="24"/>
          <w:u w:val="none" w:color="auto"/>
          <w:lang w:eastAsia="zh-CN"/>
        </w:rPr>
        <w:t>》。</w:t>
      </w:r>
    </w:p>
    <w:p w14:paraId="0AE6CBD5">
      <w:pPr>
        <w:widowControl w:val="0"/>
        <w:adjustRightInd w:val="0"/>
        <w:snapToGrid w:val="0"/>
        <w:spacing w:line="360" w:lineRule="auto"/>
        <w:ind w:firstLine="482" w:firstLineChars="200"/>
        <w:jc w:val="both"/>
        <w:rPr>
          <w:rFonts w:hint="eastAsia" w:ascii="宋体" w:hAnsi="宋体" w:eastAsia="宋体" w:cs="宋体"/>
          <w:b/>
          <w:kern w:val="2"/>
          <w:lang w:val="zh-CN"/>
        </w:rPr>
      </w:pPr>
      <w:r>
        <w:rPr>
          <w:rFonts w:hint="eastAsia" w:ascii="宋体" w:hAnsi="宋体" w:eastAsia="宋体" w:cs="宋体"/>
          <w:b/>
          <w:kern w:val="2"/>
          <w:lang w:val="zh-CN"/>
        </w:rPr>
        <w:t>八、乙方的权利和义务</w:t>
      </w:r>
    </w:p>
    <w:p w14:paraId="5494AC0C">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1、乙方要按时给甲方</w:t>
      </w:r>
      <w:r>
        <w:rPr>
          <w:rFonts w:hint="eastAsia" w:ascii="宋体" w:hAnsi="宋体" w:eastAsia="宋体" w:cs="宋体"/>
          <w:kern w:val="2"/>
          <w:lang w:val="en-US" w:eastAsia="zh-CN"/>
        </w:rPr>
        <w:t>指定的</w:t>
      </w:r>
      <w:r>
        <w:rPr>
          <w:rFonts w:hint="eastAsia" w:ascii="宋体" w:hAnsi="宋体" w:eastAsia="宋体" w:cs="宋体"/>
          <w:kern w:val="2"/>
          <w:lang w:val="zh-CN"/>
        </w:rPr>
        <w:t>学校提供足量的产品供应。安排专用运输车辆配送,运输全过程中的安全由乙方负责。</w:t>
      </w:r>
    </w:p>
    <w:p w14:paraId="02E1695C">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2、乙方负责将产品运输到甲方要求的地点。</w:t>
      </w:r>
    </w:p>
    <w:p w14:paraId="67987FCF">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3、运输包装必须适应货物特性和交通运输要求，以及国家有关标准或企业标准或合同要求。乙方应承担因包装、防护措施不妥引起的所有损失的责任和费用。</w:t>
      </w:r>
    </w:p>
    <w:p w14:paraId="4B77E85E">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4、乙方每次配送时应提供产品配送单。产品配送单一式三份，内容一致，机器打印，不得涂改。送货人与学校接收人应共同签名。</w:t>
      </w:r>
    </w:p>
    <w:p w14:paraId="7BD28C3D">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5、如乙方提供的食品包装或产品规格不符合要求，甲方有权拒收。如甲方拒收，乙方必须按照本合同的约定及时补充（以学校在合理时间内能处理后提供餐食原则）符合要求的货物，且由此造成的各种损失均由中标人承担责任。</w:t>
      </w:r>
    </w:p>
    <w:p w14:paraId="43F65264">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6、因乙方食品质量问题引发食品安全或质量事故，造成甲方损失的，乙方应赔偿甲方为此支付的所有费用（包括但不限于赔偿的费用、必要的律师费、罚款等）。</w:t>
      </w:r>
    </w:p>
    <w:p w14:paraId="1DFE41B5">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7、乙方要依据雨雪、极热、极冷、雾霾等特殊天气,制定相应的应急预案,避免因食材无法按时供应到位,导致学生用餐受到影响。</w:t>
      </w:r>
    </w:p>
    <w:p w14:paraId="3FBAA279">
      <w:pPr>
        <w:widowControl w:val="0"/>
        <w:spacing w:line="360" w:lineRule="auto"/>
        <w:ind w:firstLine="378" w:firstLineChars="157"/>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九、其他服务要求</w:t>
      </w:r>
    </w:p>
    <w:p w14:paraId="10FB3116">
      <w:pPr>
        <w:widowControl w:val="0"/>
        <w:shd w:val="clear"/>
        <w:spacing w:line="360" w:lineRule="auto"/>
        <w:ind w:firstLine="619" w:firstLineChars="257"/>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（一）供餐服务要求</w:t>
      </w:r>
    </w:p>
    <w:p w14:paraId="2C132EEE">
      <w:pPr>
        <w:widowControl w:val="0"/>
        <w:shd w:val="clear"/>
        <w:spacing w:line="360" w:lineRule="auto"/>
        <w:ind w:firstLine="616" w:firstLineChars="257"/>
        <w:jc w:val="both"/>
        <w:rPr>
          <w:rFonts w:hint="eastAsia" w:ascii="宋体" w:hAnsi="宋体" w:eastAsia="宋体" w:cs="宋体"/>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供餐</w:t>
      </w:r>
      <w:r>
        <w:rPr>
          <w:rFonts w:hint="eastAsia" w:ascii="宋体" w:hAnsi="宋体" w:eastAsia="宋体" w:cs="宋体"/>
          <w:kern w:val="2"/>
          <w:sz w:val="24"/>
          <w:szCs w:val="24"/>
          <w:lang w:val="en-US" w:eastAsia="zh-CN"/>
        </w:rPr>
        <w:t>要求</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每天每人配送1份完整早餐。</w:t>
      </w:r>
    </w:p>
    <w:p w14:paraId="13155D31">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配送要求：学生营养餐要坚持“安全、营养、热乎、可口”的原则，自合同签订之日起，每次配送产品必须在出厂后2小时内须送到指定实施营养计划营养早餐的每所学校(具体时间以采购人或使用单位通知为准)，且食品中心温度须保持在60℃以上，每天一次，禁止超量配送。配送过程须符合集体用餐配送的有关食品安全规定。运输车辆必须用专用箱式货车运输，符合卫生要求,具有防雨防尘设施。送餐车辆及工用具必须保持清洁卫生。每次运输食品前应进行清洗消毒并做好记录，在运输装卸过程中也应注意保持清洁，运输后进行清洗，防止食品在运输过程中受到污染。</w:t>
      </w:r>
    </w:p>
    <w:p w14:paraId="6B6362D2">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3、包装要求：供应商所提供的熟食产品为符合国家规定食品质量安全标准的新鲜食品，产品包装须是符合国家规定标准的无毒、无菌、环保材料，食品级塑封包装。</w:t>
      </w:r>
    </w:p>
    <w:p w14:paraId="1A3EF3E8">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牛奶须为独立包装，且产品包装上必须有完好的生产厂家、规格、出厂日期、质保期等有效信息，生产日期不超过保质期的 1/3。</w:t>
      </w:r>
    </w:p>
    <w:p w14:paraId="40AD9536">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学生早餐使用的包装材料及包装箱/盒必须为食品级材料及食品箱/盒。</w:t>
      </w:r>
    </w:p>
    <w:p w14:paraId="6D201BDC">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4、食品配送：运送集体用餐的容器和车辆应安装食品保温和冷藏设备，确保食品不得在8C--60℃的温度条件下贮存和运输，从烧熟至食用的间隔时间(食用时限)应符合以下要求:</w:t>
      </w:r>
    </w:p>
    <w:p w14:paraId="2F48165D">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4.1.烧熟后2小时，食品的中心温度保持在60℃以上(热藏)的，其食用时限为烧熟后4小时;</w:t>
      </w:r>
    </w:p>
    <w:p w14:paraId="35CC244B">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4.2.需要冷藏的熟制半成品或成品，应按有关食品安全操作规范在熟制后立即冷却，将食品的中心温度降至8C并冷藏保存，其食用时限为烧熟后24小时。供餐前应对食品进行再加热，且加热时食品中心温度应达到70℃以上。</w:t>
      </w:r>
    </w:p>
    <w:p w14:paraId="6EC07BDA">
      <w:pPr>
        <w:widowControl w:val="0"/>
        <w:shd w:val="clear"/>
        <w:spacing w:line="360" w:lineRule="auto"/>
        <w:ind w:firstLine="616" w:firstLineChars="257"/>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5、盛装、分送集体用餐的容器应有封装标识，并在表面注明加工单位、加工制作时间和食用时限，必要时标注保存条件、食用方法和营养标识等信息。</w:t>
      </w:r>
    </w:p>
    <w:p w14:paraId="348CC596">
      <w:pPr>
        <w:widowControl w:val="0"/>
        <w:shd w:val="clear"/>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（二）乙方企业的要求</w:t>
      </w:r>
    </w:p>
    <w:p w14:paraId="74455AA3">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建立食品留样制度。每次供餐的食品成品必须留样，并按品种分别盛放于清洗消毒后的专用密闭容器内，在专用冷藏设备中冷藏存放48小时以上，并落实双人双锁管理。每个品种留样量应满足检验需要，不得少于150g,并记录留样食品名称、留样时间(月、日、时)、留样人员等信息。</w:t>
      </w:r>
    </w:p>
    <w:p w14:paraId="4167CC86">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2、供餐</w:t>
      </w:r>
      <w:r>
        <w:rPr>
          <w:rFonts w:hint="eastAsia" w:ascii="宋体" w:hAnsi="宋体" w:eastAsia="宋体" w:cs="宋体"/>
          <w:kern w:val="2"/>
          <w:sz w:val="24"/>
          <w:szCs w:val="24"/>
        </w:rPr>
        <w:t>企业</w:t>
      </w:r>
      <w:r>
        <w:rPr>
          <w:rFonts w:hint="eastAsia" w:ascii="宋体" w:hAnsi="宋体" w:eastAsia="宋体" w:cs="宋体"/>
          <w:kern w:val="2"/>
          <w:sz w:val="24"/>
          <w:szCs w:val="24"/>
          <w:lang w:val="en-US" w:eastAsia="zh-CN"/>
        </w:rPr>
        <w:t>具有独立的餐食加工场地、符合条件的食品处理区域及设施设备，配备封闭式的食品专用运输车辆。车辆内应安装行驶轨迹监控、装卸视频监控等数据至少保存30天 。</w:t>
      </w:r>
    </w:p>
    <w:p w14:paraId="7BD03C5D">
      <w:pPr>
        <w:widowControl w:val="0"/>
        <w:shd w:val="clear"/>
        <w:spacing w:line="360" w:lineRule="auto"/>
        <w:ind w:firstLine="616" w:firstLineChars="2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3、建立食品加工全过程实时视频监控系统，并将相关视频信号接入属地教育部门和服务学校，配备的监控视频要保存30天以上。</w:t>
      </w:r>
    </w:p>
    <w:p w14:paraId="618E19D3">
      <w:pPr>
        <w:widowControl w:val="0"/>
        <w:shd w:val="clear"/>
        <w:spacing w:line="360" w:lineRule="auto"/>
        <w:ind w:firstLine="616" w:firstLineChars="257"/>
        <w:jc w:val="both"/>
        <w:rPr>
          <w:rFonts w:hint="eastAsia" w:ascii="宋体" w:hAnsi="宋体" w:eastAsia="宋体" w:cs="宋体"/>
          <w:lang w:val="en-US" w:eastAsia="zh-CN"/>
        </w:rPr>
      </w:pPr>
      <w:r>
        <w:rPr>
          <w:rFonts w:hint="eastAsia" w:ascii="宋体" w:hAnsi="宋体" w:eastAsia="宋体" w:cs="宋体"/>
          <w:kern w:val="2"/>
          <w:sz w:val="24"/>
          <w:szCs w:val="24"/>
          <w:lang w:val="en-US" w:eastAsia="zh-CN"/>
        </w:rPr>
        <w:t>4、投标供应商需配备食品安全员和至少1名具备资质的营养师。</w:t>
      </w:r>
    </w:p>
    <w:p w14:paraId="6FC80F24">
      <w:pPr>
        <w:pStyle w:val="14"/>
        <w:spacing w:before="44" w:line="221" w:lineRule="auto"/>
        <w:ind w:left="30" w:firstLine="456" w:firstLineChars="200"/>
        <w:outlineLvl w:val="9"/>
        <w:rPr>
          <w:rFonts w:hint="eastAsia" w:ascii="宋体" w:hAnsi="宋体" w:eastAsia="宋体" w:cs="宋体"/>
          <w:b w:val="0"/>
          <w:bCs w:val="0"/>
        </w:rPr>
      </w:pPr>
      <w:r>
        <w:rPr>
          <w:rFonts w:hint="eastAsia" w:ascii="宋体" w:hAnsi="宋体" w:eastAsia="宋体" w:cs="宋体"/>
          <w:b w:val="0"/>
          <w:bCs w:val="0"/>
          <w:spacing w:val="-6"/>
          <w:lang w:val="en-US" w:eastAsia="zh-CN"/>
        </w:rPr>
        <w:t>5、</w:t>
      </w:r>
      <w:r>
        <w:rPr>
          <w:rFonts w:hint="eastAsia" w:ascii="宋体" w:hAnsi="宋体" w:eastAsia="宋体" w:cs="宋体"/>
          <w:b w:val="0"/>
          <w:bCs w:val="0"/>
          <w:spacing w:val="-6"/>
        </w:rPr>
        <w:t>配送要求：</w:t>
      </w:r>
    </w:p>
    <w:p w14:paraId="06A779D3">
      <w:pPr>
        <w:pStyle w:val="14"/>
        <w:spacing w:before="199" w:line="219" w:lineRule="auto"/>
        <w:ind w:left="48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5.1、运输</w:t>
      </w:r>
    </w:p>
    <w:p w14:paraId="7E85DCA0">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（1）必须用专用箱式货车运输，符合卫生要求,具有防雨防尘设施。</w:t>
      </w:r>
    </w:p>
    <w:p w14:paraId="0164A9B8">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（2）运输作业应防止污染,操作要轻拿轻放,不使食品受损伤,不得与有毒、有害物品同时装运。</w:t>
      </w:r>
    </w:p>
    <w:p w14:paraId="51E1756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（3）建立卫生制度,定期清洗、消毒、保持洁净卫生。做到专车专用，要有专用的、固定的车辆配送营养改善计划相关食材入校，要求车辆定期清洗和消毒。</w:t>
      </w:r>
    </w:p>
    <w:p w14:paraId="104DDD96">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5.2、贮存</w:t>
      </w:r>
    </w:p>
    <w:p w14:paraId="05AD0F04">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（1）设置与配送食材相适应的专用库房。</w:t>
      </w:r>
    </w:p>
    <w:p w14:paraId="49F83646">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（2）库房位于交通便利、无闲杂人员流动的场所；</w:t>
      </w:r>
    </w:p>
    <w:p w14:paraId="242BA1A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（3）仓库必须是独立的（营养计划食品材料存储专用库），库房面积、货柜架要满足存储需求；符合相关食材所要求的温、湿度条件。</w:t>
      </w:r>
    </w:p>
    <w:p w14:paraId="3FC4CACB">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（4）库房“七防”设施（防火、防盗、防潮、防投毒、防鼠、防蝇、防尘）齐全。</w:t>
      </w:r>
    </w:p>
    <w:p w14:paraId="26145417">
      <w:pPr>
        <w:widowControl w:val="0"/>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地面平整,通风换气。</w:t>
      </w:r>
    </w:p>
    <w:p w14:paraId="099F0DEC">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（5）库房要有专人管理，制度完备，职责明确；要建立相关工作台账，有准确的入库、出库明细；</w:t>
      </w:r>
    </w:p>
    <w:p w14:paraId="05A4DBD3">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（6）各种原材料应按品种分类分批贮存,每批原材料均有明显标志,同一库内不得贮存相互影响风味的原材料。</w:t>
      </w:r>
    </w:p>
    <w:p w14:paraId="379372E3">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（7）原材料应离地、离墙并与屋顶保持一定距离,垛与垛之间也应有适当间隔。</w:t>
      </w:r>
    </w:p>
    <w:p w14:paraId="7A1CE247">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（8）先进先出,及时剔出不符合质量和卫生标准的原料,防止污染。</w:t>
      </w:r>
    </w:p>
    <w:p w14:paraId="54F9B3B5">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（9）库房内外要按相关规定安装电子监控并实时监管。</w:t>
      </w:r>
    </w:p>
    <w:p w14:paraId="50E7E83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5.3、卫生管理</w:t>
      </w:r>
    </w:p>
    <w:p w14:paraId="41136F9F">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企业要制定和完善本单位的各项卫生管理制度和规划，须配备经专业培训的专职或兼职的食品卫生管理人员。</w:t>
      </w:r>
    </w:p>
    <w:p w14:paraId="1B38F4C6">
      <w:pPr>
        <w:pStyle w:val="14"/>
        <w:spacing w:after="0" w:line="360" w:lineRule="auto"/>
        <w:ind w:left="0"/>
        <w:outlineLvl w:val="9"/>
        <w:rPr>
          <w:rFonts w:hint="eastAsia" w:ascii="宋体" w:hAnsi="宋体" w:eastAsia="宋体" w:cs="宋体"/>
        </w:rPr>
      </w:pPr>
      <w:r>
        <w:rPr>
          <w:rFonts w:hint="eastAsia" w:ascii="宋体" w:hAnsi="宋体" w:eastAsia="宋体" w:cs="宋体"/>
          <w:b/>
          <w:bCs/>
          <w:spacing w:val="-10"/>
          <w:lang w:val="en-US" w:eastAsia="zh-CN"/>
        </w:rPr>
        <w:t>（三）</w:t>
      </w:r>
      <w:r>
        <w:rPr>
          <w:rFonts w:hint="eastAsia" w:ascii="宋体" w:hAnsi="宋体" w:eastAsia="宋体" w:cs="宋体"/>
          <w:b/>
          <w:bCs/>
          <w:spacing w:val="-10"/>
        </w:rPr>
        <w:t>、</w:t>
      </w:r>
      <w:r>
        <w:rPr>
          <w:rFonts w:hint="eastAsia" w:ascii="宋体" w:hAnsi="宋体" w:eastAsia="宋体" w:cs="宋体"/>
          <w:b/>
          <w:bCs/>
          <w:spacing w:val="-10"/>
          <w:lang w:val="en-US" w:eastAsia="zh-CN"/>
        </w:rPr>
        <w:t>人员管理</w:t>
      </w:r>
      <w:r>
        <w:rPr>
          <w:rFonts w:hint="eastAsia" w:ascii="宋体" w:hAnsi="宋体" w:eastAsia="宋体" w:cs="宋体"/>
          <w:b/>
          <w:bCs/>
          <w:spacing w:val="-10"/>
        </w:rPr>
        <w:t>要求：</w:t>
      </w:r>
    </w:p>
    <w:p w14:paraId="1EA799E3">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1、人员管理。</w:t>
      </w:r>
    </w:p>
    <w:p w14:paraId="13B0EF19">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所有从事与食品材料接触的所有从业人员（含司机）必须持有健康证、劳动合同；掌握相应相关食品安全知识；心理健康，无不良行为记录，遵纪守法。</w:t>
      </w:r>
    </w:p>
    <w:p w14:paraId="7909E532">
      <w:pPr>
        <w:widowControl w:val="0"/>
        <w:spacing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聘用的司机有一定驾驶经验，配送车上必须有一位责任心强的工作人员负责押运，运送过程规范；配送人员要热情服务，细致工作，与学校交接时手续完备，数量准确；</w:t>
      </w:r>
    </w:p>
    <w:p w14:paraId="1874F254">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2、监督管理。</w:t>
      </w:r>
    </w:p>
    <w:p w14:paraId="3A153BA6">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（1）对中标配送企业库房和重点操作（重点项目、重点环节及其工作区域）实行电子监管。企业须将工作期间的视频同期上传，供采购人实时监管。</w:t>
      </w:r>
    </w:p>
    <w:p w14:paraId="36A6E7F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（2）企业须自觉主动接受县政府各职能部门对配送食材的生产、采购、加工、存储、配送等环节的监督检查及企业管理的监督检查。</w:t>
      </w:r>
    </w:p>
    <w:p w14:paraId="46215E96">
      <w:pPr>
        <w:widowControl w:val="0"/>
        <w:spacing w:line="360" w:lineRule="auto"/>
        <w:ind w:firstLine="376" w:firstLineChars="157"/>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（3）企业必须接受政府相关部门的驻场管理（定期或</w:t>
      </w:r>
      <w:r>
        <w:rPr>
          <w:rFonts w:hint="eastAsia" w:ascii="宋体" w:hAnsi="宋体" w:eastAsia="宋体" w:cs="宋体"/>
          <w:kern w:val="2"/>
          <w:sz w:val="24"/>
          <w:szCs w:val="24"/>
          <w:lang w:val="en-US" w:eastAsia="zh-CN" w:bidi="ar-SA"/>
        </w:rPr>
        <w:t>不定期），并为驻场人员提供必要的办公条件。</w:t>
      </w:r>
    </w:p>
    <w:p w14:paraId="00A61729">
      <w:pPr>
        <w:widowControl w:val="0"/>
        <w:spacing w:line="360" w:lineRule="auto"/>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（四）其他要求</w:t>
      </w:r>
    </w:p>
    <w:p w14:paraId="14326996">
      <w:pPr>
        <w:widowControl w:val="0"/>
        <w:spacing w:line="360" w:lineRule="auto"/>
        <w:ind w:firstLine="376" w:firstLineChars="157"/>
        <w:jc w:val="both"/>
        <w:rPr>
          <w:rFonts w:hint="eastAsia" w:ascii="宋体" w:hAnsi="宋体" w:eastAsia="宋体" w:cs="宋体"/>
          <w:kern w:val="2"/>
          <w:sz w:val="24"/>
          <w:szCs w:val="24"/>
          <w:shd w:val="clear"/>
          <w:lang w:val="en-US" w:eastAsia="zh-CN"/>
        </w:rPr>
      </w:pPr>
      <w:r>
        <w:rPr>
          <w:rFonts w:hint="eastAsia" w:ascii="宋体" w:hAnsi="宋体" w:eastAsia="宋体" w:cs="宋体"/>
          <w:kern w:val="2"/>
          <w:sz w:val="24"/>
          <w:szCs w:val="24"/>
          <w:lang w:val="en-US" w:eastAsia="zh-CN"/>
        </w:rPr>
        <w:t>1、供餐企业在履行期内出现下列情况之一者，</w:t>
      </w:r>
      <w:r>
        <w:rPr>
          <w:rFonts w:hint="eastAsia" w:ascii="宋体" w:hAnsi="宋体" w:eastAsia="宋体" w:cs="宋体"/>
          <w:kern w:val="2"/>
          <w:sz w:val="24"/>
          <w:szCs w:val="24"/>
          <w:shd w:val="clear"/>
          <w:lang w:val="en-US" w:eastAsia="zh-CN"/>
        </w:rPr>
        <w:t>由中标单位承担相应责任。</w:t>
      </w:r>
    </w:p>
    <w:p w14:paraId="02C3333D">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（1）违反食品安全法律法规，被市场监管部门吊销或注销食品经营许可证的:违反相关法律法规，被登记机关吊销营业执照的:</w:t>
      </w:r>
    </w:p>
    <w:p w14:paraId="4E9BD9D2">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（2）未按食品安全相关法律法规和义务教育学生营养改善计划供餐服务合同约定建立相应管理制度或执行制度不力，经营管理混乱，被食品安全监管部门处罚且限期整改不力的；</w:t>
      </w:r>
    </w:p>
    <w:p w14:paraId="48B98140">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（3）发生供餐学生食物中毒，或消防、餐饮设备设施管理不善、损坏严重而造成食品安全责任事故的，或发生其他安全事故，后果严重的；</w:t>
      </w:r>
    </w:p>
    <w:p w14:paraId="7293BEC1">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（4）因或食品安全和服务质量、数量存在问题及其他原因而引起群发性事件，影响恶劣的；</w:t>
      </w:r>
    </w:p>
    <w:p w14:paraId="7421F08A">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（5）掺杂使假，加工无证、过期、有害食品，危害学生身心健康，造成严重后果的；</w:t>
      </w:r>
    </w:p>
    <w:p w14:paraId="3905DB61">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（6）未按合同要求供餐，经学校规劝，限期整改无效的；</w:t>
      </w:r>
    </w:p>
    <w:p w14:paraId="70E92FB0">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（7）未经学校同意，擅自停止供餐造成严重影响的；</w:t>
      </w:r>
    </w:p>
    <w:p w14:paraId="67A49803">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（8）出现降低供货质量标准，擅自更换履约人等其他违反法律法规或合同(协议)的行为的；</w:t>
      </w:r>
    </w:p>
    <w:p w14:paraId="63287819">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（9）供货期间存在克扣、减量、延时、拒绝供货或服务态度恶劣等行为，情节较为严重的;</w:t>
      </w:r>
    </w:p>
    <w:p w14:paraId="3905300F">
      <w:pPr>
        <w:widowControl w:val="0"/>
        <w:spacing w:line="360" w:lineRule="auto"/>
        <w:ind w:firstLine="376" w:firstLineChars="157"/>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（10）其他严重违规、违约行为；</w:t>
      </w:r>
    </w:p>
    <w:p w14:paraId="53E0016F">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20" w:name="_Toc19515391"/>
      <w:r>
        <w:rPr>
          <w:rFonts w:hint="eastAsia" w:ascii="宋体" w:hAnsi="宋体" w:eastAsia="宋体" w:cs="宋体"/>
          <w:b/>
          <w:kern w:val="2"/>
          <w:lang w:val="en-US" w:eastAsia="zh-CN"/>
        </w:rPr>
        <w:t>十</w:t>
      </w:r>
      <w:r>
        <w:rPr>
          <w:rFonts w:hint="eastAsia" w:ascii="宋体" w:hAnsi="宋体" w:eastAsia="宋体" w:cs="宋体"/>
          <w:b/>
          <w:kern w:val="2"/>
          <w:lang w:val="zh-CN"/>
        </w:rPr>
        <w:t>、验收</w:t>
      </w:r>
      <w:bookmarkEnd w:id="120"/>
    </w:p>
    <w:p w14:paraId="125C17D0">
      <w:pPr>
        <w:shd w:val="clear"/>
        <w:spacing w:line="360" w:lineRule="auto"/>
        <w:ind w:firstLine="480" w:firstLineChars="200"/>
        <w:rPr>
          <w:rFonts w:hint="eastAsia" w:ascii="宋体" w:hAnsi="宋体" w:eastAsia="宋体" w:cs="宋体"/>
          <w:sz w:val="24"/>
          <w:szCs w:val="24"/>
          <w:highlight w:val="none"/>
          <w:lang w:val="en-US" w:eastAsia="zh-CN"/>
        </w:rPr>
      </w:pPr>
      <w:bookmarkStart w:id="121" w:name="_Toc19515392"/>
      <w:r>
        <w:rPr>
          <w:rFonts w:hint="eastAsia" w:ascii="宋体" w:hAnsi="宋体" w:eastAsia="宋体" w:cs="宋体"/>
          <w:sz w:val="24"/>
          <w:szCs w:val="24"/>
          <w:highlight w:val="none"/>
          <w:lang w:val="en-US" w:eastAsia="zh-CN"/>
        </w:rPr>
        <w:t>1、每次配送由使用单位和中标人共同对产品的外包装是否洁净、有无破损、规格、数量等进行验收。</w:t>
      </w:r>
    </w:p>
    <w:p w14:paraId="206B1CA6">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2、中标人每次供货须向使用单位提供“供货清单”（供</w:t>
      </w:r>
      <w:r>
        <w:rPr>
          <w:rFonts w:hint="eastAsia" w:ascii="宋体" w:hAnsi="宋体" w:eastAsia="宋体" w:cs="宋体"/>
          <w:color w:val="auto"/>
          <w:sz w:val="24"/>
          <w:szCs w:val="24"/>
          <w:highlight w:val="none"/>
          <w:lang w:val="en-US" w:eastAsia="zh-CN"/>
        </w:rPr>
        <w:t>货清单</w:t>
      </w:r>
      <w:r>
        <w:rPr>
          <w:rFonts w:hint="eastAsia" w:ascii="宋体" w:hAnsi="宋体" w:eastAsia="宋体" w:cs="宋体"/>
          <w:color w:val="auto"/>
          <w:kern w:val="2"/>
          <w:sz w:val="24"/>
          <w:szCs w:val="22"/>
          <w:shd w:val="clear"/>
          <w:lang w:val="en-US" w:eastAsia="zh-CN" w:bidi="ar-SA"/>
        </w:rPr>
        <w:t>一式二联，供货商一份、使用学校一份</w:t>
      </w:r>
      <w:r>
        <w:rPr>
          <w:rFonts w:hint="eastAsia" w:ascii="宋体" w:hAnsi="宋体" w:eastAsia="宋体" w:cs="宋体"/>
          <w:sz w:val="24"/>
          <w:szCs w:val="24"/>
          <w:highlight w:val="none"/>
          <w:lang w:val="en-US" w:eastAsia="zh-CN"/>
        </w:rPr>
        <w:t xml:space="preserve">）；经验收合格后，由使用学校单位在“供货清单”上签字。 </w:t>
      </w:r>
    </w:p>
    <w:p w14:paraId="776E5266">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 若验收不合格，中标单位必须及时换货，保证使用单位的的正常使用，否则由采购人及配送学校终止其服务合同，并赔偿采购人及使用学校的损失。 </w:t>
      </w:r>
    </w:p>
    <w:p w14:paraId="5CBA2B17">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4、验收依据： </w:t>
      </w:r>
    </w:p>
    <w:p w14:paraId="34C5040C">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（1）合同文本及合同补充文件（条款）。 </w:t>
      </w:r>
    </w:p>
    <w:p w14:paraId="59625B00">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（2）国家有关的验收标准及规范。 </w:t>
      </w:r>
    </w:p>
    <w:p w14:paraId="5F34904B">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（3）招标文件。 </w:t>
      </w:r>
    </w:p>
    <w:p w14:paraId="716BD0D5">
      <w:pPr>
        <w:shd w:val="clear"/>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sz w:val="24"/>
          <w:szCs w:val="24"/>
          <w:highlight w:val="none"/>
          <w:lang w:val="en-US" w:eastAsia="zh-CN"/>
        </w:rPr>
        <w:t>（4）中标人的投标文件</w:t>
      </w:r>
    </w:p>
    <w:p w14:paraId="0DC9A671">
      <w:pPr>
        <w:widowControl w:val="0"/>
        <w:adjustRightInd w:val="0"/>
        <w:snapToGrid w:val="0"/>
        <w:spacing w:line="360" w:lineRule="auto"/>
        <w:ind w:firstLine="482" w:firstLineChars="200"/>
        <w:jc w:val="both"/>
        <w:rPr>
          <w:rFonts w:hint="eastAsia" w:ascii="宋体" w:hAnsi="宋体" w:eastAsia="宋体" w:cs="宋体"/>
          <w:b/>
          <w:kern w:val="2"/>
          <w:lang w:val="zh-CN"/>
        </w:rPr>
      </w:pPr>
      <w:r>
        <w:rPr>
          <w:rFonts w:hint="eastAsia" w:ascii="宋体" w:hAnsi="宋体" w:eastAsia="宋体" w:cs="宋体"/>
          <w:b/>
          <w:kern w:val="2"/>
          <w:lang w:val="zh-CN"/>
        </w:rPr>
        <w:t>十</w:t>
      </w:r>
      <w:r>
        <w:rPr>
          <w:rFonts w:hint="eastAsia" w:ascii="宋体" w:hAnsi="宋体" w:eastAsia="宋体" w:cs="宋体"/>
          <w:b/>
          <w:kern w:val="2"/>
          <w:lang w:val="en-US" w:eastAsia="zh-CN"/>
        </w:rPr>
        <w:t>一</w:t>
      </w:r>
      <w:r>
        <w:rPr>
          <w:rFonts w:hint="eastAsia" w:ascii="宋体" w:hAnsi="宋体" w:eastAsia="宋体" w:cs="宋体"/>
          <w:b/>
          <w:kern w:val="2"/>
          <w:lang w:val="zh-CN"/>
        </w:rPr>
        <w:t>、违约责任</w:t>
      </w:r>
      <w:bookmarkEnd w:id="121"/>
    </w:p>
    <w:p w14:paraId="4F80B3E6">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依据《中华人民共和国民法典》、《中华人民共和国政府采购法》的相关条款和本合同约定，乙方未全面履行合同义务或者发生违约，甲方有权终止合同，依法向乙方要求经济索赔，并报请政府采购监督管理机关进行相应的行政处罚。甲方违约的，应当赔偿给乙方造成的经济损失。</w:t>
      </w:r>
    </w:p>
    <w:p w14:paraId="5DF3D0F6">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2、乙方所交标的不符合合同约定，且未及时纠正的，按违约处理，应承担不符合合同约定部分货款20%的违约金，并承担由此给甲方</w:t>
      </w:r>
      <w:r>
        <w:rPr>
          <w:rFonts w:hint="eastAsia" w:ascii="宋体" w:hAnsi="宋体" w:eastAsia="宋体" w:cs="宋体"/>
          <w:kern w:val="2"/>
          <w:lang w:val="en-US" w:eastAsia="zh-CN"/>
        </w:rPr>
        <w:t>及使用学校</w:t>
      </w:r>
      <w:r>
        <w:rPr>
          <w:rFonts w:hint="eastAsia" w:ascii="宋体" w:hAnsi="宋体" w:eastAsia="宋体" w:cs="宋体"/>
          <w:kern w:val="2"/>
          <w:lang w:val="zh-CN"/>
        </w:rPr>
        <w:t>带来的损失。</w:t>
      </w:r>
    </w:p>
    <w:p w14:paraId="6E0581CF">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3、甲方未按合同要求验收并未按时签发验收单的，应承担应付货款的银行利息。</w:t>
      </w:r>
    </w:p>
    <w:p w14:paraId="7C91E491">
      <w:pPr>
        <w:widowControl w:val="0"/>
        <w:adjustRightInd w:val="0"/>
        <w:snapToGrid w:val="0"/>
        <w:spacing w:line="360" w:lineRule="auto"/>
        <w:ind w:firstLine="482" w:firstLineChars="200"/>
        <w:jc w:val="both"/>
        <w:rPr>
          <w:rFonts w:hint="eastAsia" w:ascii="宋体" w:hAnsi="宋体" w:eastAsia="宋体" w:cs="宋体"/>
          <w:b/>
          <w:kern w:val="2"/>
          <w:lang w:val="zh-CN"/>
        </w:rPr>
      </w:pPr>
      <w:r>
        <w:rPr>
          <w:rFonts w:hint="eastAsia" w:ascii="宋体" w:hAnsi="宋体" w:eastAsia="宋体" w:cs="宋体"/>
          <w:b/>
          <w:kern w:val="2"/>
          <w:lang w:val="zh-CN"/>
        </w:rPr>
        <w:t>十</w:t>
      </w:r>
      <w:r>
        <w:rPr>
          <w:rFonts w:hint="eastAsia" w:ascii="宋体" w:hAnsi="宋体" w:eastAsia="宋体" w:cs="宋体"/>
          <w:b/>
          <w:kern w:val="2"/>
          <w:lang w:val="en-US" w:eastAsia="zh-CN"/>
        </w:rPr>
        <w:t>二</w:t>
      </w:r>
      <w:r>
        <w:rPr>
          <w:rFonts w:hint="eastAsia" w:ascii="宋体" w:hAnsi="宋体" w:eastAsia="宋体" w:cs="宋体"/>
          <w:b/>
          <w:kern w:val="2"/>
          <w:lang w:val="zh-CN"/>
        </w:rPr>
        <w:t>、不可抗力事件处理</w:t>
      </w:r>
    </w:p>
    <w:p w14:paraId="78AAEFC5">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83D5D13">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2、本合同中的不可抗力指不能预见、不能避免并不能克服的客观情况。包括但不限于：自然灾害如地震、台风、洪水、火灾；政府行为、法律规定或其适用的变化或者其他任何无法预见、避免或者控制的事件。</w:t>
      </w:r>
    </w:p>
    <w:p w14:paraId="5EE7CC22">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22" w:name="_Toc19515393"/>
      <w:r>
        <w:rPr>
          <w:rFonts w:hint="eastAsia" w:ascii="宋体" w:hAnsi="宋体" w:eastAsia="宋体" w:cs="宋体"/>
          <w:b/>
          <w:kern w:val="2"/>
          <w:lang w:val="zh-CN"/>
        </w:rPr>
        <w:t>十</w:t>
      </w:r>
      <w:r>
        <w:rPr>
          <w:rFonts w:hint="eastAsia" w:ascii="宋体" w:hAnsi="宋体" w:eastAsia="宋体" w:cs="宋体"/>
          <w:b/>
          <w:kern w:val="2"/>
          <w:lang w:val="en-US" w:eastAsia="zh-CN"/>
        </w:rPr>
        <w:t>三</w:t>
      </w:r>
      <w:r>
        <w:rPr>
          <w:rFonts w:hint="eastAsia" w:ascii="宋体" w:hAnsi="宋体" w:eastAsia="宋体" w:cs="宋体"/>
          <w:b/>
          <w:kern w:val="2"/>
          <w:lang w:val="zh-CN"/>
        </w:rPr>
        <w:t>、合同组成</w:t>
      </w:r>
      <w:bookmarkEnd w:id="122"/>
    </w:p>
    <w:p w14:paraId="744C60FA">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1、中标通知书</w:t>
      </w:r>
    </w:p>
    <w:p w14:paraId="0A110D4F">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2、合同文件</w:t>
      </w:r>
    </w:p>
    <w:p w14:paraId="4F8B0043">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3、国家相关规范及标准</w:t>
      </w:r>
    </w:p>
    <w:p w14:paraId="2875C85A">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4</w:t>
      </w:r>
      <w:r>
        <w:rPr>
          <w:rFonts w:hint="eastAsia" w:ascii="宋体" w:hAnsi="宋体" w:eastAsia="宋体" w:cs="宋体"/>
          <w:kern w:val="2"/>
          <w:lang w:val="zh-CN"/>
        </w:rPr>
        <w:t>、招标文件</w:t>
      </w:r>
    </w:p>
    <w:p w14:paraId="3005101D">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5</w:t>
      </w:r>
      <w:r>
        <w:rPr>
          <w:rFonts w:hint="eastAsia" w:ascii="宋体" w:hAnsi="宋体" w:eastAsia="宋体" w:cs="宋体"/>
          <w:kern w:val="2"/>
          <w:lang w:val="zh-CN"/>
        </w:rPr>
        <w:t>、投标文件</w:t>
      </w:r>
    </w:p>
    <w:p w14:paraId="23CC673C">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23" w:name="_Toc19515394"/>
      <w:r>
        <w:rPr>
          <w:rFonts w:hint="eastAsia" w:ascii="宋体" w:hAnsi="宋体" w:eastAsia="宋体" w:cs="宋体"/>
          <w:b/>
          <w:kern w:val="2"/>
          <w:lang w:val="zh-CN"/>
        </w:rPr>
        <w:t>十</w:t>
      </w:r>
      <w:r>
        <w:rPr>
          <w:rFonts w:hint="eastAsia" w:ascii="宋体" w:hAnsi="宋体" w:eastAsia="宋体" w:cs="宋体"/>
          <w:b/>
          <w:kern w:val="2"/>
          <w:lang w:val="en-US" w:eastAsia="zh-CN"/>
        </w:rPr>
        <w:t>四</w:t>
      </w:r>
      <w:r>
        <w:rPr>
          <w:rFonts w:hint="eastAsia" w:ascii="宋体" w:hAnsi="宋体" w:eastAsia="宋体" w:cs="宋体"/>
          <w:b/>
          <w:kern w:val="2"/>
          <w:lang w:val="zh-CN"/>
        </w:rPr>
        <w:t>、解决争议的方法</w:t>
      </w:r>
      <w:bookmarkEnd w:id="123"/>
    </w:p>
    <w:p w14:paraId="41F5B432">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凡因本合同引起的或与本合同有关的争议，双方应友好协商解决。协商不成时，双方均同意采用以下第（）种争议解决方式：</w:t>
      </w:r>
    </w:p>
    <w:p w14:paraId="4CDBD015">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1</w:t>
      </w:r>
      <w:r>
        <w:rPr>
          <w:rFonts w:hint="eastAsia" w:ascii="宋体" w:hAnsi="宋体" w:eastAsia="宋体" w:cs="宋体"/>
          <w:kern w:val="2"/>
          <w:lang w:val="zh-CN"/>
        </w:rPr>
        <w:t>、甲、乙双方均同意向（甲方所在地人民法院）提起诉讼。</w:t>
      </w:r>
    </w:p>
    <w:p w14:paraId="2A30B438">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en-US" w:eastAsia="zh-CN"/>
        </w:rPr>
        <w:t>2</w:t>
      </w:r>
      <w:r>
        <w:rPr>
          <w:rFonts w:hint="eastAsia" w:ascii="宋体" w:hAnsi="宋体" w:eastAsia="宋体" w:cs="宋体"/>
          <w:kern w:val="2"/>
          <w:lang w:val="zh-CN"/>
        </w:rPr>
        <w:t>、甲、乙双方均同意向（</w:t>
      </w:r>
      <w:r>
        <w:rPr>
          <w:rFonts w:hint="eastAsia" w:ascii="宋体" w:hAnsi="宋体" w:eastAsia="宋体" w:cs="宋体"/>
        </w:rPr>
        <w:fldChar w:fldCharType="begin"/>
      </w:r>
      <w:r>
        <w:rPr>
          <w:rFonts w:hint="eastAsia" w:ascii="宋体" w:hAnsi="宋体" w:eastAsia="宋体" w:cs="宋体"/>
        </w:rPr>
        <w:instrText xml:space="preserve"> HYPERLINK "http://www.baidu.com/s?wd=%E4%BB%B2%E8%A3%81%E5%A7%94%E5%91%98%E4%BC%9A&amp;tn=SE_PcZhidaonwhc_ngpagmjz&amp;rsv_dl=gh_pc_zhidao" \t "_blank" </w:instrText>
      </w:r>
      <w:r>
        <w:rPr>
          <w:rFonts w:hint="eastAsia" w:ascii="宋体" w:hAnsi="宋体" w:eastAsia="宋体" w:cs="宋体"/>
        </w:rPr>
        <w:fldChar w:fldCharType="separate"/>
      </w:r>
      <w:r>
        <w:rPr>
          <w:rFonts w:hint="eastAsia" w:ascii="宋体" w:hAnsi="宋体" w:eastAsia="宋体" w:cs="宋体"/>
          <w:kern w:val="2"/>
          <w:lang w:val="zh-CN"/>
        </w:rPr>
        <w:t>仲裁委员会</w:t>
      </w:r>
      <w:r>
        <w:rPr>
          <w:rFonts w:hint="eastAsia" w:ascii="宋体" w:hAnsi="宋体" w:eastAsia="宋体" w:cs="宋体"/>
          <w:kern w:val="2"/>
          <w:lang w:val="zh-CN"/>
        </w:rPr>
        <w:fldChar w:fldCharType="end"/>
      </w:r>
      <w:r>
        <w:rPr>
          <w:rFonts w:hint="eastAsia" w:ascii="宋体" w:hAnsi="宋体" w:eastAsia="宋体" w:cs="宋体"/>
          <w:kern w:val="2"/>
          <w:lang w:val="zh-CN"/>
        </w:rPr>
        <w:t>）提起仲裁。</w:t>
      </w:r>
    </w:p>
    <w:p w14:paraId="31788A24">
      <w:pPr>
        <w:widowControl w:val="0"/>
        <w:adjustRightInd w:val="0"/>
        <w:snapToGrid w:val="0"/>
        <w:spacing w:line="360" w:lineRule="auto"/>
        <w:ind w:firstLine="482" w:firstLineChars="200"/>
        <w:jc w:val="both"/>
        <w:rPr>
          <w:rFonts w:hint="eastAsia" w:ascii="宋体" w:hAnsi="宋体" w:eastAsia="宋体" w:cs="宋体"/>
          <w:b/>
          <w:kern w:val="2"/>
          <w:lang w:val="zh-CN"/>
        </w:rPr>
      </w:pPr>
      <w:bookmarkStart w:id="124" w:name="_Toc19515395"/>
      <w:r>
        <w:rPr>
          <w:rFonts w:hint="eastAsia" w:ascii="宋体" w:hAnsi="宋体" w:eastAsia="宋体" w:cs="宋体"/>
          <w:b/>
          <w:kern w:val="2"/>
          <w:lang w:val="zh-CN"/>
        </w:rPr>
        <w:t>十</w:t>
      </w:r>
      <w:r>
        <w:rPr>
          <w:rFonts w:hint="eastAsia" w:ascii="宋体" w:hAnsi="宋体" w:eastAsia="宋体" w:cs="宋体"/>
          <w:b/>
          <w:kern w:val="2"/>
          <w:lang w:val="en-US" w:eastAsia="zh-CN"/>
        </w:rPr>
        <w:t>五</w:t>
      </w:r>
      <w:r>
        <w:rPr>
          <w:rFonts w:hint="eastAsia" w:ascii="宋体" w:hAnsi="宋体" w:eastAsia="宋体" w:cs="宋体"/>
          <w:b/>
          <w:kern w:val="2"/>
          <w:lang w:val="zh-CN"/>
        </w:rPr>
        <w:t>、合同生效及其它</w:t>
      </w:r>
      <w:bookmarkEnd w:id="124"/>
    </w:p>
    <w:p w14:paraId="305B6F52">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1、合同未尽事宜、由甲、乙双方协商，作为合同补充，与原合同具有同等法律效力。</w:t>
      </w:r>
    </w:p>
    <w:p w14:paraId="64574AC5">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2、本合同一式</w:t>
      </w:r>
      <w:r>
        <w:rPr>
          <w:rFonts w:hint="eastAsia" w:ascii="宋体" w:hAnsi="宋体" w:eastAsia="宋体" w:cs="宋体"/>
          <w:kern w:val="2"/>
          <w:lang w:val="en-US" w:eastAsia="zh-CN"/>
        </w:rPr>
        <w:t>四</w:t>
      </w:r>
      <w:r>
        <w:rPr>
          <w:rFonts w:hint="eastAsia" w:ascii="宋体" w:hAnsi="宋体" w:eastAsia="宋体" w:cs="宋体"/>
          <w:kern w:val="2"/>
          <w:lang w:val="zh-CN"/>
        </w:rPr>
        <w:t>份，甲方、乙方双方分别执</w:t>
      </w:r>
      <w:r>
        <w:rPr>
          <w:rFonts w:hint="eastAsia" w:ascii="宋体" w:hAnsi="宋体" w:eastAsia="宋体" w:cs="宋体"/>
          <w:kern w:val="2"/>
          <w:lang w:val="en-US" w:eastAsia="zh-CN"/>
        </w:rPr>
        <w:t>二份</w:t>
      </w:r>
      <w:r>
        <w:rPr>
          <w:rFonts w:hint="eastAsia" w:ascii="宋体" w:hAnsi="宋体" w:eastAsia="宋体" w:cs="宋体"/>
          <w:kern w:val="2"/>
          <w:lang w:val="zh-CN"/>
        </w:rPr>
        <w:t>。</w:t>
      </w:r>
    </w:p>
    <w:p w14:paraId="716B87F0">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3、合同经甲乙双方盖章、签字后生效，合同签订地点为</w:t>
      </w:r>
      <w:r>
        <w:rPr>
          <w:rFonts w:hint="eastAsia" w:ascii="宋体" w:hAnsi="宋体" w:eastAsia="宋体" w:cs="宋体"/>
          <w:kern w:val="2"/>
          <w:lang w:val="en-US" w:eastAsia="zh-CN"/>
        </w:rPr>
        <w:t xml:space="preserve"> </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 xml:space="preserve"> </w:t>
      </w:r>
      <w:r>
        <w:rPr>
          <w:rFonts w:hint="eastAsia" w:ascii="宋体" w:hAnsi="宋体" w:eastAsia="宋体" w:cs="宋体"/>
          <w:kern w:val="2"/>
          <w:lang w:val="zh-CN"/>
        </w:rPr>
        <w:t>。</w:t>
      </w:r>
    </w:p>
    <w:p w14:paraId="71948F9B">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4、生效时间：</w:t>
      </w:r>
      <w:r>
        <w:rPr>
          <w:rFonts w:hint="eastAsia" w:ascii="宋体" w:hAnsi="宋体" w:eastAsia="宋体" w:cs="宋体"/>
          <w:kern w:val="2"/>
          <w:u w:val="single"/>
          <w:lang w:val="en-US" w:eastAsia="zh-CN"/>
        </w:rPr>
        <w:t xml:space="preserve">     </w:t>
      </w:r>
      <w:r>
        <w:rPr>
          <w:rFonts w:hint="eastAsia" w:ascii="宋体" w:hAnsi="宋体" w:eastAsia="宋体" w:cs="宋体"/>
          <w:kern w:val="2"/>
          <w:lang w:val="zh-CN"/>
        </w:rPr>
        <w:t>年</w:t>
      </w:r>
      <w:r>
        <w:rPr>
          <w:rFonts w:hint="eastAsia" w:ascii="宋体" w:hAnsi="宋体" w:eastAsia="宋体" w:cs="宋体"/>
          <w:kern w:val="2"/>
          <w:u w:val="single"/>
          <w:lang w:val="en-US" w:eastAsia="zh-CN"/>
        </w:rPr>
        <w:t xml:space="preserve">    </w:t>
      </w:r>
      <w:r>
        <w:rPr>
          <w:rFonts w:hint="eastAsia" w:ascii="宋体" w:hAnsi="宋体" w:eastAsia="宋体" w:cs="宋体"/>
          <w:kern w:val="2"/>
          <w:lang w:val="zh-CN"/>
        </w:rPr>
        <w:t>月</w:t>
      </w:r>
      <w:r>
        <w:rPr>
          <w:rFonts w:hint="eastAsia" w:ascii="宋体" w:hAnsi="宋体" w:eastAsia="宋体" w:cs="宋体"/>
          <w:kern w:val="2"/>
          <w:u w:val="single"/>
          <w:lang w:val="en-US" w:eastAsia="zh-CN"/>
        </w:rPr>
        <w:t xml:space="preserve">    </w:t>
      </w:r>
      <w:r>
        <w:rPr>
          <w:rFonts w:hint="eastAsia" w:ascii="宋体" w:hAnsi="宋体" w:eastAsia="宋体" w:cs="宋体"/>
          <w:kern w:val="2"/>
          <w:lang w:val="zh-CN"/>
        </w:rPr>
        <w:t>日</w:t>
      </w:r>
    </w:p>
    <w:p w14:paraId="768B8C53">
      <w:pPr>
        <w:widowControl w:val="0"/>
        <w:adjustRightInd w:val="0"/>
        <w:snapToGrid w:val="0"/>
        <w:spacing w:line="360" w:lineRule="auto"/>
        <w:ind w:firstLine="480" w:firstLineChars="200"/>
        <w:jc w:val="both"/>
        <w:rPr>
          <w:rFonts w:hint="eastAsia" w:ascii="宋体" w:hAnsi="宋体" w:eastAsia="宋体" w:cs="宋体"/>
          <w:kern w:val="2"/>
          <w:lang w:val="zh-CN"/>
        </w:rPr>
      </w:pPr>
    </w:p>
    <w:p w14:paraId="58A9B990">
      <w:pPr>
        <w:pStyle w:val="2"/>
        <w:rPr>
          <w:rFonts w:hint="eastAsia" w:ascii="宋体" w:hAnsi="宋体" w:eastAsia="宋体" w:cs="宋体"/>
          <w:kern w:val="2"/>
          <w:lang w:val="zh-CN"/>
        </w:rPr>
      </w:pPr>
    </w:p>
    <w:p w14:paraId="776FD3B4">
      <w:pPr>
        <w:pStyle w:val="2"/>
        <w:rPr>
          <w:rFonts w:hint="eastAsia" w:ascii="宋体" w:hAnsi="宋体" w:eastAsia="宋体" w:cs="宋体"/>
          <w:kern w:val="2"/>
          <w:lang w:val="zh-CN"/>
        </w:rPr>
      </w:pPr>
    </w:p>
    <w:tbl>
      <w:tblPr>
        <w:tblStyle w:val="29"/>
        <w:tblW w:w="0" w:type="auto"/>
        <w:jc w:val="center"/>
        <w:tblLayout w:type="fixed"/>
        <w:tblCellMar>
          <w:top w:w="0" w:type="dxa"/>
          <w:left w:w="108" w:type="dxa"/>
          <w:bottom w:w="0" w:type="dxa"/>
          <w:right w:w="108" w:type="dxa"/>
        </w:tblCellMar>
      </w:tblPr>
      <w:tblGrid>
        <w:gridCol w:w="4590"/>
        <w:gridCol w:w="4590"/>
      </w:tblGrid>
      <w:tr w14:paraId="08C7C254">
        <w:tblPrEx>
          <w:tblCellMar>
            <w:top w:w="0" w:type="dxa"/>
            <w:left w:w="108" w:type="dxa"/>
            <w:bottom w:w="0" w:type="dxa"/>
            <w:right w:w="108" w:type="dxa"/>
          </w:tblCellMar>
        </w:tblPrEx>
        <w:trPr>
          <w:trHeight w:val="3401" w:hRule="atLeast"/>
          <w:jc w:val="center"/>
        </w:trPr>
        <w:tc>
          <w:tcPr>
            <w:tcW w:w="4590" w:type="dxa"/>
          </w:tcPr>
          <w:p w14:paraId="3182E840">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甲方名称（盖章）:</w:t>
            </w:r>
          </w:p>
          <w:p w14:paraId="7FB5386E">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地址：</w:t>
            </w:r>
          </w:p>
          <w:p w14:paraId="1A5549E6">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代表人（签字）：</w:t>
            </w:r>
          </w:p>
          <w:p w14:paraId="64EF67DB">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电话：</w:t>
            </w:r>
          </w:p>
          <w:p w14:paraId="3532763C">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开户银行：</w:t>
            </w:r>
          </w:p>
          <w:p w14:paraId="109EFEBB">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帐号：</w:t>
            </w:r>
          </w:p>
        </w:tc>
        <w:tc>
          <w:tcPr>
            <w:tcW w:w="4590" w:type="dxa"/>
          </w:tcPr>
          <w:p w14:paraId="61DFAF61">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乙方名称（盖章）:</w:t>
            </w:r>
          </w:p>
          <w:p w14:paraId="7308E0EA">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地址：</w:t>
            </w:r>
          </w:p>
          <w:p w14:paraId="790F7E42">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代表人（签字）：</w:t>
            </w:r>
          </w:p>
          <w:p w14:paraId="582B3428">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电话：</w:t>
            </w:r>
          </w:p>
          <w:p w14:paraId="5679D122">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开户银行：</w:t>
            </w:r>
          </w:p>
          <w:p w14:paraId="6E8C48AE">
            <w:pPr>
              <w:widowControl w:val="0"/>
              <w:adjustRightInd w:val="0"/>
              <w:snapToGrid w:val="0"/>
              <w:spacing w:line="360" w:lineRule="auto"/>
              <w:ind w:firstLine="480" w:firstLineChars="200"/>
              <w:jc w:val="both"/>
              <w:rPr>
                <w:rFonts w:hint="eastAsia" w:ascii="宋体" w:hAnsi="宋体" w:eastAsia="宋体" w:cs="宋体"/>
                <w:kern w:val="2"/>
                <w:lang w:val="zh-CN"/>
              </w:rPr>
            </w:pPr>
            <w:r>
              <w:rPr>
                <w:rFonts w:hint="eastAsia" w:ascii="宋体" w:hAnsi="宋体" w:eastAsia="宋体" w:cs="宋体"/>
                <w:kern w:val="2"/>
                <w:lang w:val="zh-CN"/>
              </w:rPr>
              <w:t>帐号：</w:t>
            </w:r>
          </w:p>
        </w:tc>
      </w:tr>
    </w:tbl>
    <w:p w14:paraId="41F30C46">
      <w:pPr>
        <w:pStyle w:val="14"/>
        <w:tabs>
          <w:tab w:val="left" w:pos="567"/>
        </w:tabs>
        <w:rPr>
          <w:rFonts w:hint="eastAsia" w:ascii="宋体" w:hAnsi="宋体" w:eastAsia="宋体" w:cs="宋体"/>
        </w:rPr>
      </w:pPr>
    </w:p>
    <w:p w14:paraId="33CEBD8A">
      <w:pPr>
        <w:outlineLvl w:val="9"/>
        <w:rPr>
          <w:rFonts w:hint="eastAsia" w:ascii="宋体" w:hAnsi="宋体" w:eastAsia="宋体" w:cs="宋体"/>
          <w:b/>
          <w:sz w:val="24"/>
          <w:szCs w:val="24"/>
        </w:rPr>
      </w:pPr>
    </w:p>
    <w:p w14:paraId="49FD367C">
      <w:pP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p>
    <w:p w14:paraId="5F84CFC0">
      <w:pPr>
        <w:widowControl w:val="0"/>
        <w:shd w:val="clear"/>
        <w:spacing w:line="360" w:lineRule="auto"/>
        <w:jc w:val="both"/>
        <w:rPr>
          <w:rFonts w:hint="eastAsia" w:ascii="宋体" w:hAnsi="宋体" w:eastAsia="宋体" w:cs="宋体"/>
          <w:lang w:val="en-US" w:eastAsia="zh-CN"/>
        </w:rPr>
      </w:pPr>
      <w:r>
        <w:rPr>
          <w:rFonts w:hint="eastAsia" w:ascii="宋体" w:hAnsi="宋体" w:eastAsia="宋体" w:cs="宋体"/>
          <w:b/>
          <w:bCs/>
          <w:kern w:val="2"/>
          <w:sz w:val="24"/>
          <w:szCs w:val="24"/>
          <w:lang w:val="en-US" w:eastAsia="zh-CN"/>
        </w:rPr>
        <w:t>附件：供餐食谱</w:t>
      </w:r>
    </w:p>
    <w:tbl>
      <w:tblPr>
        <w:tblStyle w:val="29"/>
        <w:tblW w:w="46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418"/>
        <w:gridCol w:w="2506"/>
        <w:gridCol w:w="1747"/>
        <w:gridCol w:w="1463"/>
        <w:gridCol w:w="756"/>
      </w:tblGrid>
      <w:tr w14:paraId="23FE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6"/>
            <w:tcBorders>
              <w:top w:val="nil"/>
              <w:left w:val="nil"/>
              <w:bottom w:val="nil"/>
              <w:right w:val="nil"/>
            </w:tcBorders>
            <w:shd w:val="clear" w:color="auto" w:fill="auto"/>
            <w:noWrap/>
            <w:vAlign w:val="center"/>
          </w:tcPr>
          <w:p w14:paraId="327CDCE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营养早餐品种、规格、成本费用</w:t>
            </w:r>
          </w:p>
        </w:tc>
      </w:tr>
      <w:tr w14:paraId="08C0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F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菜品</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E6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成本费（元）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8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130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restart"/>
            <w:tcBorders>
              <w:top w:val="single" w:color="000000" w:sz="4" w:space="0"/>
              <w:left w:val="single" w:color="000000" w:sz="4" w:space="0"/>
              <w:bottom w:val="nil"/>
              <w:right w:val="single" w:color="000000" w:sz="4" w:space="0"/>
            </w:tcBorders>
            <w:shd w:val="clear" w:color="auto" w:fill="auto"/>
            <w:noWrap/>
            <w:vAlign w:val="center"/>
          </w:tcPr>
          <w:p w14:paraId="6B8B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主食类</w:t>
            </w: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008CE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2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6A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252D">
            <w:pPr>
              <w:jc w:val="center"/>
              <w:rPr>
                <w:rFonts w:hint="eastAsia" w:ascii="宋体" w:hAnsi="宋体" w:eastAsia="宋体" w:cs="宋体"/>
                <w:i w:val="0"/>
                <w:iCs w:val="0"/>
                <w:color w:val="000000"/>
                <w:sz w:val="22"/>
                <w:szCs w:val="22"/>
                <w:u w:val="none"/>
                <w:lang w:val="en-US" w:eastAsia="zh-CN"/>
              </w:rPr>
            </w:pPr>
          </w:p>
        </w:tc>
      </w:tr>
      <w:tr w14:paraId="4996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E8D686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2EB332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香辣茄子包子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B4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1ED1">
            <w:pPr>
              <w:jc w:val="center"/>
              <w:rPr>
                <w:rFonts w:hint="eastAsia" w:ascii="宋体" w:hAnsi="宋体" w:eastAsia="宋体" w:cs="宋体"/>
                <w:i w:val="0"/>
                <w:iCs w:val="0"/>
                <w:color w:val="000000"/>
                <w:sz w:val="22"/>
                <w:szCs w:val="22"/>
                <w:u w:val="none"/>
                <w:lang w:val="en-US" w:eastAsia="zh-CN"/>
              </w:rPr>
            </w:pPr>
          </w:p>
        </w:tc>
      </w:tr>
      <w:tr w14:paraId="09F5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50C34EF">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44B61A">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6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3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337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48DB">
            <w:pPr>
              <w:jc w:val="center"/>
              <w:rPr>
                <w:rFonts w:hint="eastAsia" w:ascii="宋体" w:hAnsi="宋体" w:eastAsia="宋体" w:cs="宋体"/>
                <w:i w:val="0"/>
                <w:iCs w:val="0"/>
                <w:color w:val="000000"/>
                <w:sz w:val="22"/>
                <w:szCs w:val="22"/>
                <w:u w:val="none"/>
              </w:rPr>
            </w:pPr>
          </w:p>
        </w:tc>
      </w:tr>
      <w:tr w14:paraId="3136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495D3C">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5A1CDD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5D1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730">
            <w:pPr>
              <w:jc w:val="center"/>
              <w:rPr>
                <w:rFonts w:hint="eastAsia" w:ascii="宋体" w:hAnsi="宋体" w:eastAsia="宋体" w:cs="宋体"/>
                <w:i w:val="0"/>
                <w:iCs w:val="0"/>
                <w:color w:val="000000"/>
                <w:sz w:val="22"/>
                <w:szCs w:val="22"/>
                <w:u w:val="none"/>
              </w:rPr>
            </w:pPr>
          </w:p>
        </w:tc>
      </w:tr>
      <w:tr w14:paraId="2D47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701C1AA">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CE0833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409724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地软包子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1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2DF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761F">
            <w:pPr>
              <w:jc w:val="center"/>
              <w:rPr>
                <w:rFonts w:hint="eastAsia" w:ascii="宋体" w:hAnsi="宋体" w:eastAsia="宋体" w:cs="宋体"/>
                <w:i w:val="0"/>
                <w:iCs w:val="0"/>
                <w:color w:val="000000"/>
                <w:sz w:val="22"/>
                <w:szCs w:val="22"/>
                <w:u w:val="none"/>
              </w:rPr>
            </w:pPr>
          </w:p>
        </w:tc>
      </w:tr>
      <w:tr w14:paraId="4C75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9F91C6D">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CB2661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8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萝卜包子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2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FD5E">
            <w:pPr>
              <w:jc w:val="center"/>
              <w:rPr>
                <w:rFonts w:hint="eastAsia" w:ascii="宋体" w:hAnsi="宋体" w:eastAsia="宋体" w:cs="宋体"/>
                <w:i w:val="0"/>
                <w:iCs w:val="0"/>
                <w:color w:val="000000"/>
                <w:sz w:val="22"/>
                <w:szCs w:val="22"/>
                <w:u w:val="none"/>
              </w:rPr>
            </w:pPr>
          </w:p>
        </w:tc>
      </w:tr>
      <w:tr w14:paraId="650E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586767">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3E273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面包</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肉松面包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72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38F9">
            <w:pPr>
              <w:jc w:val="center"/>
              <w:rPr>
                <w:rFonts w:hint="eastAsia" w:ascii="宋体" w:hAnsi="宋体" w:eastAsia="宋体" w:cs="宋体"/>
                <w:i w:val="0"/>
                <w:iCs w:val="0"/>
                <w:color w:val="000000"/>
                <w:sz w:val="22"/>
                <w:szCs w:val="22"/>
                <w:u w:val="none"/>
              </w:rPr>
            </w:pPr>
          </w:p>
        </w:tc>
      </w:tr>
      <w:tr w14:paraId="5423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B5D222">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9B6C3B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鸡腿堡</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3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1A8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F934">
            <w:pPr>
              <w:jc w:val="center"/>
              <w:rPr>
                <w:rFonts w:hint="eastAsia" w:ascii="宋体" w:hAnsi="宋体" w:eastAsia="宋体" w:cs="宋体"/>
                <w:i w:val="0"/>
                <w:iCs w:val="0"/>
                <w:color w:val="000000"/>
                <w:sz w:val="22"/>
                <w:szCs w:val="22"/>
                <w:u w:val="none"/>
              </w:rPr>
            </w:pPr>
          </w:p>
        </w:tc>
      </w:tr>
      <w:tr w14:paraId="2ABF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305851A">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1AD6829">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手撕面包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2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163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1E73">
            <w:pPr>
              <w:jc w:val="center"/>
              <w:rPr>
                <w:rFonts w:hint="eastAsia" w:ascii="宋体" w:hAnsi="宋体" w:eastAsia="宋体" w:cs="宋体"/>
                <w:i w:val="0"/>
                <w:iCs w:val="0"/>
                <w:color w:val="000000"/>
                <w:sz w:val="22"/>
                <w:szCs w:val="22"/>
                <w:u w:val="none"/>
              </w:rPr>
            </w:pPr>
          </w:p>
        </w:tc>
      </w:tr>
      <w:tr w14:paraId="6481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6C0BA94">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7A948EB">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A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起酥豆沙面包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4B1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3FE">
            <w:pPr>
              <w:jc w:val="center"/>
              <w:rPr>
                <w:rFonts w:hint="eastAsia" w:ascii="宋体" w:hAnsi="宋体" w:eastAsia="宋体" w:cs="宋体"/>
                <w:i w:val="0"/>
                <w:iCs w:val="0"/>
                <w:color w:val="000000"/>
                <w:sz w:val="22"/>
                <w:szCs w:val="22"/>
                <w:u w:val="none"/>
              </w:rPr>
            </w:pPr>
          </w:p>
        </w:tc>
      </w:tr>
      <w:tr w14:paraId="70EB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19BE0F">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6186C2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2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红豆小方块</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7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0EF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F4D8">
            <w:pPr>
              <w:jc w:val="center"/>
              <w:rPr>
                <w:rFonts w:hint="eastAsia" w:ascii="宋体" w:hAnsi="宋体" w:eastAsia="宋体" w:cs="宋体"/>
                <w:i w:val="0"/>
                <w:iCs w:val="0"/>
                <w:color w:val="000000"/>
                <w:sz w:val="22"/>
                <w:szCs w:val="22"/>
                <w:u w:val="none"/>
              </w:rPr>
            </w:pPr>
          </w:p>
        </w:tc>
      </w:tr>
      <w:tr w14:paraId="1FA5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2EB565E">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6430C9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杂粮面包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10C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7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2BEB">
            <w:pPr>
              <w:jc w:val="center"/>
              <w:rPr>
                <w:rFonts w:hint="eastAsia" w:ascii="宋体" w:hAnsi="宋体" w:eastAsia="宋体" w:cs="宋体"/>
                <w:i w:val="0"/>
                <w:iCs w:val="0"/>
                <w:color w:val="000000"/>
                <w:sz w:val="22"/>
                <w:szCs w:val="22"/>
                <w:u w:val="none"/>
              </w:rPr>
            </w:pPr>
          </w:p>
        </w:tc>
      </w:tr>
      <w:tr w14:paraId="627C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CD6A085">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ED48F3D">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4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酸奶毛毛虫</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87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E78A">
            <w:pPr>
              <w:jc w:val="center"/>
              <w:rPr>
                <w:rFonts w:hint="eastAsia" w:ascii="宋体" w:hAnsi="宋体" w:eastAsia="宋体" w:cs="宋体"/>
                <w:i w:val="0"/>
                <w:iCs w:val="0"/>
                <w:color w:val="000000"/>
                <w:sz w:val="22"/>
                <w:szCs w:val="22"/>
                <w:u w:val="none"/>
              </w:rPr>
            </w:pPr>
          </w:p>
        </w:tc>
      </w:tr>
      <w:tr w14:paraId="23F6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72F1C2">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C5DDB7D">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lang w:val="en-US" w:eastAsia="zh-CN" w:bidi="ar"/>
              </w:rPr>
              <w:t>原味面包</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9B8">
            <w:pPr>
              <w:keepNext w:val="0"/>
              <w:keepLines w:val="0"/>
              <w:widowControl/>
              <w:suppressLineNumbers w:val="0"/>
              <w:jc w:val="center"/>
              <w:textAlignment w:val="center"/>
              <w:rPr>
                <w:rFonts w:hint="eastAsia" w:ascii="宋体" w:hAnsi="宋体" w:eastAsia="宋体" w:cs="宋体"/>
                <w:lang w:val="en-US"/>
              </w:rPr>
            </w:pPr>
            <w:r>
              <w:rPr>
                <w:rFonts w:hint="eastAsia" w:ascii="宋体" w:hAnsi="宋体" w:eastAsia="宋体" w:cs="宋体"/>
                <w:i w:val="0"/>
                <w:iCs w:val="0"/>
                <w:color w:val="000000"/>
                <w:kern w:val="0"/>
                <w:sz w:val="22"/>
                <w:szCs w:val="22"/>
                <w:u w:val="none"/>
                <w:lang w:val="en-US" w:eastAsia="zh-CN" w:bidi="ar"/>
              </w:rPr>
              <w:t>≥160g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D5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D35A">
            <w:pPr>
              <w:jc w:val="center"/>
              <w:rPr>
                <w:rFonts w:hint="eastAsia" w:ascii="宋体" w:hAnsi="宋体" w:eastAsia="宋体" w:cs="宋体"/>
                <w:i w:val="0"/>
                <w:iCs w:val="0"/>
                <w:color w:val="000000"/>
                <w:sz w:val="22"/>
                <w:szCs w:val="22"/>
                <w:u w:val="none"/>
              </w:rPr>
            </w:pPr>
          </w:p>
        </w:tc>
      </w:tr>
      <w:tr w14:paraId="101B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A28E65E">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2CF71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馍或饼</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F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荷叶饼</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2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7AA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3B6B">
            <w:pPr>
              <w:jc w:val="center"/>
              <w:rPr>
                <w:rFonts w:hint="eastAsia" w:ascii="宋体" w:hAnsi="宋体" w:eastAsia="宋体" w:cs="宋体"/>
                <w:i w:val="0"/>
                <w:iCs w:val="0"/>
                <w:color w:val="000000"/>
                <w:sz w:val="22"/>
                <w:szCs w:val="22"/>
                <w:u w:val="none"/>
              </w:rPr>
            </w:pPr>
          </w:p>
        </w:tc>
      </w:tr>
      <w:tr w14:paraId="2261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60ED8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94539A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葱油花卷</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09B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8863">
            <w:pPr>
              <w:jc w:val="center"/>
              <w:rPr>
                <w:rFonts w:hint="eastAsia" w:ascii="宋体" w:hAnsi="宋体" w:eastAsia="宋体" w:cs="宋体"/>
                <w:i w:val="0"/>
                <w:iCs w:val="0"/>
                <w:color w:val="000000"/>
                <w:sz w:val="22"/>
                <w:szCs w:val="22"/>
                <w:u w:val="none"/>
              </w:rPr>
            </w:pPr>
          </w:p>
        </w:tc>
      </w:tr>
      <w:tr w14:paraId="5C4F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F8C7D63">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63DF39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D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馒头</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AF4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3A02">
            <w:pPr>
              <w:jc w:val="center"/>
              <w:rPr>
                <w:rFonts w:hint="eastAsia" w:ascii="宋体" w:hAnsi="宋体" w:eastAsia="宋体" w:cs="宋体"/>
                <w:i w:val="0"/>
                <w:iCs w:val="0"/>
                <w:color w:val="000000"/>
                <w:sz w:val="22"/>
                <w:szCs w:val="22"/>
                <w:u w:val="none"/>
              </w:rPr>
            </w:pPr>
          </w:p>
        </w:tc>
      </w:tr>
      <w:tr w14:paraId="3B24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8507FDD">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single" w:color="000000" w:sz="4" w:space="0"/>
              <w:bottom w:val="nil"/>
              <w:right w:val="single" w:color="000000" w:sz="4" w:space="0"/>
            </w:tcBorders>
            <w:shd w:val="clear" w:color="auto" w:fill="auto"/>
            <w:noWrap/>
            <w:vAlign w:val="center"/>
          </w:tcPr>
          <w:p w14:paraId="71553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点心</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4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CF5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BCA6">
            <w:pPr>
              <w:jc w:val="center"/>
              <w:rPr>
                <w:rFonts w:hint="eastAsia" w:ascii="宋体" w:hAnsi="宋体" w:eastAsia="宋体" w:cs="宋体"/>
                <w:i w:val="0"/>
                <w:iCs w:val="0"/>
                <w:color w:val="000000"/>
                <w:sz w:val="22"/>
                <w:szCs w:val="22"/>
                <w:u w:val="none"/>
              </w:rPr>
            </w:pPr>
          </w:p>
        </w:tc>
      </w:tr>
      <w:tr w14:paraId="6012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E855AE8">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F82690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9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8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AE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BE43">
            <w:pPr>
              <w:jc w:val="center"/>
              <w:rPr>
                <w:rFonts w:hint="eastAsia" w:ascii="宋体" w:hAnsi="宋体" w:eastAsia="宋体" w:cs="宋体"/>
                <w:i w:val="0"/>
                <w:iCs w:val="0"/>
                <w:color w:val="000000"/>
                <w:sz w:val="22"/>
                <w:szCs w:val="22"/>
                <w:u w:val="none"/>
              </w:rPr>
            </w:pPr>
          </w:p>
        </w:tc>
      </w:tr>
      <w:tr w14:paraId="36EA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A4E6CD9">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10A305">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3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6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4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8A83">
            <w:pPr>
              <w:jc w:val="center"/>
              <w:rPr>
                <w:rFonts w:hint="eastAsia" w:ascii="宋体" w:hAnsi="宋体" w:eastAsia="宋体" w:cs="宋体"/>
                <w:i w:val="0"/>
                <w:iCs w:val="0"/>
                <w:color w:val="000000"/>
                <w:sz w:val="22"/>
                <w:szCs w:val="22"/>
                <w:u w:val="none"/>
              </w:rPr>
            </w:pPr>
          </w:p>
        </w:tc>
      </w:tr>
      <w:tr w14:paraId="1B35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副食类</w:t>
            </w:r>
          </w:p>
        </w:tc>
        <w:tc>
          <w:tcPr>
            <w:tcW w:w="809" w:type="pct"/>
            <w:vMerge w:val="restart"/>
            <w:tcBorders>
              <w:top w:val="single" w:color="000000" w:sz="4" w:space="0"/>
              <w:left w:val="nil"/>
              <w:bottom w:val="nil"/>
              <w:right w:val="single" w:color="000000" w:sz="4" w:space="0"/>
            </w:tcBorders>
            <w:shd w:val="clear" w:color="auto" w:fill="auto"/>
            <w:noWrap/>
            <w:vAlign w:val="center"/>
          </w:tcPr>
          <w:p w14:paraId="0CAF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0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4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A12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EC4A">
            <w:pPr>
              <w:jc w:val="center"/>
              <w:rPr>
                <w:rFonts w:hint="eastAsia" w:ascii="宋体" w:hAnsi="宋体" w:eastAsia="宋体" w:cs="宋体"/>
                <w:i w:val="0"/>
                <w:iCs w:val="0"/>
                <w:color w:val="000000"/>
                <w:sz w:val="22"/>
                <w:szCs w:val="22"/>
                <w:u w:val="none"/>
              </w:rPr>
            </w:pPr>
          </w:p>
        </w:tc>
      </w:tr>
      <w:tr w14:paraId="1226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E3E4">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4751F180">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3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煮鸡蛋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C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91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9577">
            <w:pPr>
              <w:jc w:val="center"/>
              <w:rPr>
                <w:rFonts w:hint="eastAsia" w:ascii="宋体" w:hAnsi="宋体" w:eastAsia="宋体" w:cs="宋体"/>
                <w:i w:val="0"/>
                <w:iCs w:val="0"/>
                <w:color w:val="000000"/>
                <w:sz w:val="22"/>
                <w:szCs w:val="22"/>
                <w:u w:val="none"/>
              </w:rPr>
            </w:pPr>
          </w:p>
        </w:tc>
      </w:tr>
      <w:tr w14:paraId="7FE7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AA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70911B9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2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煎鸡蛋</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4D0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AD6">
            <w:pPr>
              <w:jc w:val="center"/>
              <w:rPr>
                <w:rFonts w:hint="eastAsia" w:ascii="宋体" w:hAnsi="宋体" w:eastAsia="宋体" w:cs="宋体"/>
                <w:i w:val="0"/>
                <w:iCs w:val="0"/>
                <w:color w:val="000000"/>
                <w:sz w:val="22"/>
                <w:szCs w:val="22"/>
                <w:u w:val="none"/>
              </w:rPr>
            </w:pPr>
          </w:p>
        </w:tc>
      </w:tr>
      <w:tr w14:paraId="5CB6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A25">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nil"/>
              <w:right w:val="single" w:color="000000" w:sz="4" w:space="0"/>
            </w:tcBorders>
            <w:shd w:val="clear" w:color="auto" w:fill="auto"/>
            <w:noWrap/>
            <w:vAlign w:val="center"/>
          </w:tcPr>
          <w:p w14:paraId="292D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2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卤小鸡腿</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E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718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76FE">
            <w:pPr>
              <w:jc w:val="center"/>
              <w:rPr>
                <w:rFonts w:hint="eastAsia" w:ascii="宋体" w:hAnsi="宋体" w:eastAsia="宋体" w:cs="宋体"/>
                <w:i w:val="0"/>
                <w:iCs w:val="0"/>
                <w:color w:val="000000"/>
                <w:sz w:val="22"/>
                <w:szCs w:val="22"/>
                <w:u w:val="none"/>
              </w:rPr>
            </w:pPr>
          </w:p>
        </w:tc>
      </w:tr>
      <w:tr w14:paraId="51C6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071F">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4F97DAE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E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红烧小鸡腿</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B39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930E">
            <w:pPr>
              <w:jc w:val="center"/>
              <w:rPr>
                <w:rFonts w:hint="eastAsia" w:ascii="宋体" w:hAnsi="宋体" w:eastAsia="宋体" w:cs="宋体"/>
                <w:i w:val="0"/>
                <w:iCs w:val="0"/>
                <w:color w:val="000000"/>
                <w:sz w:val="22"/>
                <w:szCs w:val="22"/>
                <w:u w:val="none"/>
              </w:rPr>
            </w:pPr>
          </w:p>
        </w:tc>
      </w:tr>
      <w:tr w14:paraId="68D9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D19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52FF0A08">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9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鸡排</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F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9A9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C01">
            <w:pPr>
              <w:jc w:val="center"/>
              <w:rPr>
                <w:rFonts w:hint="eastAsia" w:ascii="宋体" w:hAnsi="宋体" w:eastAsia="宋体" w:cs="宋体"/>
                <w:i w:val="0"/>
                <w:iCs w:val="0"/>
                <w:color w:val="000000"/>
                <w:sz w:val="22"/>
                <w:szCs w:val="22"/>
                <w:u w:val="none"/>
              </w:rPr>
            </w:pPr>
          </w:p>
        </w:tc>
      </w:tr>
      <w:tr w14:paraId="3574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A17E">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nil"/>
              <w:right w:val="single" w:color="000000" w:sz="4" w:space="0"/>
            </w:tcBorders>
            <w:shd w:val="clear" w:color="auto" w:fill="auto"/>
            <w:noWrap/>
            <w:vAlign w:val="center"/>
          </w:tcPr>
          <w:p w14:paraId="0B67C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夹馍酱类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香菇丝</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A7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7B73">
            <w:pPr>
              <w:jc w:val="center"/>
              <w:rPr>
                <w:rFonts w:hint="eastAsia" w:ascii="宋体" w:hAnsi="宋体" w:eastAsia="宋体" w:cs="宋体"/>
                <w:i w:val="0"/>
                <w:iCs w:val="0"/>
                <w:color w:val="000000"/>
                <w:sz w:val="22"/>
                <w:szCs w:val="22"/>
                <w:u w:val="none"/>
              </w:rPr>
            </w:pPr>
          </w:p>
        </w:tc>
      </w:tr>
      <w:tr w14:paraId="61BF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2B72">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7A140F2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F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芽菜</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1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E6F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6313">
            <w:pPr>
              <w:jc w:val="center"/>
              <w:rPr>
                <w:rFonts w:hint="eastAsia" w:ascii="宋体" w:hAnsi="宋体" w:eastAsia="宋体" w:cs="宋体"/>
                <w:i w:val="0"/>
                <w:iCs w:val="0"/>
                <w:color w:val="000000"/>
                <w:sz w:val="22"/>
                <w:szCs w:val="22"/>
                <w:u w:val="none"/>
              </w:rPr>
            </w:pPr>
          </w:p>
        </w:tc>
      </w:tr>
      <w:tr w14:paraId="1392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F921">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nil"/>
              <w:right w:val="single" w:color="000000" w:sz="4" w:space="0"/>
            </w:tcBorders>
            <w:shd w:val="clear" w:color="auto" w:fill="auto"/>
            <w:noWrap/>
            <w:vAlign w:val="center"/>
          </w:tcPr>
          <w:p w14:paraId="7214827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17942D4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梅菜干香辣子</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7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DD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4866">
            <w:pPr>
              <w:jc w:val="center"/>
              <w:rPr>
                <w:rFonts w:hint="eastAsia" w:ascii="宋体" w:hAnsi="宋体" w:eastAsia="宋体" w:cs="宋体"/>
                <w:i w:val="0"/>
                <w:iCs w:val="0"/>
                <w:color w:val="000000"/>
                <w:sz w:val="22"/>
                <w:szCs w:val="22"/>
                <w:u w:val="none"/>
              </w:rPr>
            </w:pPr>
          </w:p>
        </w:tc>
      </w:tr>
      <w:tr w14:paraId="082D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547C">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single" w:color="000000" w:sz="4" w:space="0"/>
              <w:right w:val="single" w:color="000000" w:sz="4" w:space="0"/>
            </w:tcBorders>
            <w:shd w:val="clear" w:color="auto" w:fill="auto"/>
            <w:noWrap/>
            <w:vAlign w:val="center"/>
          </w:tcPr>
          <w:p w14:paraId="0F33C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粥类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5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42B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3975">
            <w:pPr>
              <w:jc w:val="center"/>
              <w:rPr>
                <w:rFonts w:hint="eastAsia" w:ascii="宋体" w:hAnsi="宋体" w:eastAsia="宋体" w:cs="宋体"/>
                <w:i w:val="0"/>
                <w:iCs w:val="0"/>
                <w:color w:val="000000"/>
                <w:sz w:val="22"/>
                <w:szCs w:val="22"/>
                <w:u w:val="none"/>
              </w:rPr>
            </w:pPr>
          </w:p>
        </w:tc>
      </w:tr>
      <w:tr w14:paraId="1026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489">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5EBE4F">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B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红薯玉米羹</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3A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9122">
            <w:pPr>
              <w:jc w:val="center"/>
              <w:rPr>
                <w:rFonts w:hint="eastAsia" w:ascii="宋体" w:hAnsi="宋体" w:eastAsia="宋体" w:cs="宋体"/>
                <w:i w:val="0"/>
                <w:iCs w:val="0"/>
                <w:color w:val="000000"/>
                <w:sz w:val="22"/>
                <w:szCs w:val="22"/>
                <w:u w:val="none"/>
              </w:rPr>
            </w:pPr>
          </w:p>
        </w:tc>
      </w:tr>
      <w:tr w14:paraId="370E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ECAE">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C49CCD2">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红豆薏米粥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5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D4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82E0">
            <w:pPr>
              <w:jc w:val="center"/>
              <w:rPr>
                <w:rFonts w:hint="eastAsia" w:ascii="宋体" w:hAnsi="宋体" w:eastAsia="宋体" w:cs="宋体"/>
                <w:i w:val="0"/>
                <w:iCs w:val="0"/>
                <w:color w:val="000000"/>
                <w:sz w:val="22"/>
                <w:szCs w:val="22"/>
                <w:u w:val="none"/>
              </w:rPr>
            </w:pPr>
          </w:p>
        </w:tc>
      </w:tr>
      <w:tr w14:paraId="0009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D3E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F893399">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6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山药红枣粥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A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C1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E9E0">
            <w:pPr>
              <w:jc w:val="center"/>
              <w:rPr>
                <w:rFonts w:hint="eastAsia" w:ascii="宋体" w:hAnsi="宋体" w:eastAsia="宋体" w:cs="宋体"/>
                <w:i w:val="0"/>
                <w:iCs w:val="0"/>
                <w:color w:val="000000"/>
                <w:sz w:val="22"/>
                <w:szCs w:val="22"/>
                <w:u w:val="none"/>
              </w:rPr>
            </w:pPr>
          </w:p>
        </w:tc>
      </w:tr>
      <w:tr w14:paraId="2ED5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8209">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9F15C6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4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红枣百合莲子粥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3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6C5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04F9">
            <w:pPr>
              <w:jc w:val="center"/>
              <w:rPr>
                <w:rFonts w:hint="eastAsia" w:ascii="宋体" w:hAnsi="宋体" w:eastAsia="宋体" w:cs="宋体"/>
                <w:i w:val="0"/>
                <w:iCs w:val="0"/>
                <w:color w:val="000000"/>
                <w:sz w:val="22"/>
                <w:szCs w:val="22"/>
                <w:u w:val="none"/>
              </w:rPr>
            </w:pPr>
          </w:p>
        </w:tc>
      </w:tr>
      <w:tr w14:paraId="0483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8553">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3AF93A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4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9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DE9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26D1">
            <w:pPr>
              <w:jc w:val="center"/>
              <w:rPr>
                <w:rFonts w:hint="eastAsia" w:ascii="宋体" w:hAnsi="宋体" w:eastAsia="宋体" w:cs="宋体"/>
                <w:i w:val="0"/>
                <w:iCs w:val="0"/>
                <w:color w:val="000000"/>
                <w:sz w:val="22"/>
                <w:szCs w:val="22"/>
                <w:u w:val="none"/>
              </w:rPr>
            </w:pPr>
          </w:p>
        </w:tc>
      </w:tr>
      <w:tr w14:paraId="289A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9017">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3137569">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5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0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7BA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4EC">
            <w:pPr>
              <w:jc w:val="center"/>
              <w:rPr>
                <w:rFonts w:hint="eastAsia" w:ascii="宋体" w:hAnsi="宋体" w:eastAsia="宋体" w:cs="宋体"/>
                <w:i w:val="0"/>
                <w:iCs w:val="0"/>
                <w:color w:val="000000"/>
                <w:sz w:val="22"/>
                <w:szCs w:val="22"/>
                <w:u w:val="none"/>
              </w:rPr>
            </w:pPr>
          </w:p>
        </w:tc>
      </w:tr>
      <w:tr w14:paraId="3334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9CE2">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79EE9A1">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7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AD7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C2C5">
            <w:pPr>
              <w:jc w:val="center"/>
              <w:rPr>
                <w:rFonts w:hint="eastAsia" w:ascii="宋体" w:hAnsi="宋体" w:eastAsia="宋体" w:cs="宋体"/>
                <w:i w:val="0"/>
                <w:iCs w:val="0"/>
                <w:color w:val="000000"/>
                <w:sz w:val="22"/>
                <w:szCs w:val="22"/>
                <w:u w:val="none"/>
              </w:rPr>
            </w:pPr>
          </w:p>
        </w:tc>
      </w:tr>
      <w:tr w14:paraId="73B8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16E6">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ECF0677">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1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97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C4B1">
            <w:pPr>
              <w:jc w:val="center"/>
              <w:rPr>
                <w:rFonts w:hint="eastAsia" w:ascii="宋体" w:hAnsi="宋体" w:eastAsia="宋体" w:cs="宋体"/>
                <w:i w:val="0"/>
                <w:iCs w:val="0"/>
                <w:color w:val="000000"/>
                <w:sz w:val="22"/>
                <w:szCs w:val="22"/>
                <w:u w:val="none"/>
              </w:rPr>
            </w:pPr>
          </w:p>
        </w:tc>
      </w:tr>
      <w:tr w14:paraId="4C84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D6D1">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2FEF79E">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E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五红粥</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381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895">
            <w:pPr>
              <w:jc w:val="center"/>
              <w:rPr>
                <w:rFonts w:hint="eastAsia" w:ascii="宋体" w:hAnsi="宋体" w:eastAsia="宋体" w:cs="宋体"/>
                <w:i w:val="0"/>
                <w:iCs w:val="0"/>
                <w:color w:val="000000"/>
                <w:sz w:val="22"/>
                <w:szCs w:val="22"/>
                <w:u w:val="none"/>
              </w:rPr>
            </w:pPr>
          </w:p>
        </w:tc>
      </w:tr>
      <w:tr w14:paraId="5A1B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BA05">
            <w:pPr>
              <w:jc w:val="center"/>
              <w:rPr>
                <w:rFonts w:hint="eastAsia" w:ascii="宋体" w:hAnsi="宋体" w:eastAsia="宋体" w:cs="宋体"/>
                <w:i w:val="0"/>
                <w:iCs w:val="0"/>
                <w:color w:val="000000"/>
                <w:sz w:val="22"/>
                <w:szCs w:val="22"/>
                <w:u w:val="none"/>
              </w:rPr>
            </w:pPr>
          </w:p>
        </w:tc>
        <w:tc>
          <w:tcPr>
            <w:tcW w:w="80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98AB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豆浆类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0694A61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2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20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4781">
            <w:pPr>
              <w:jc w:val="center"/>
              <w:rPr>
                <w:rFonts w:hint="eastAsia" w:ascii="宋体" w:hAnsi="宋体" w:eastAsia="宋体" w:cs="宋体"/>
                <w:i w:val="0"/>
                <w:iCs w:val="0"/>
                <w:color w:val="000000"/>
                <w:sz w:val="22"/>
                <w:szCs w:val="22"/>
                <w:u w:val="none"/>
              </w:rPr>
            </w:pPr>
          </w:p>
        </w:tc>
      </w:tr>
      <w:tr w14:paraId="1344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FB0">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4C1A791">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20F15F7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82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623F">
            <w:pPr>
              <w:jc w:val="center"/>
              <w:rPr>
                <w:rFonts w:hint="eastAsia" w:ascii="宋体" w:hAnsi="宋体" w:eastAsia="宋体" w:cs="宋体"/>
                <w:i w:val="0"/>
                <w:iCs w:val="0"/>
                <w:color w:val="000000"/>
                <w:sz w:val="22"/>
                <w:szCs w:val="22"/>
                <w:u w:val="none"/>
              </w:rPr>
            </w:pPr>
          </w:p>
        </w:tc>
      </w:tr>
      <w:tr w14:paraId="56EE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EB53">
            <w:pPr>
              <w:jc w:val="center"/>
              <w:rPr>
                <w:rFonts w:hint="eastAsia" w:ascii="宋体" w:hAnsi="宋体" w:eastAsia="宋体" w:cs="宋体"/>
                <w:i w:val="0"/>
                <w:iCs w:val="0"/>
                <w:color w:val="000000"/>
                <w:sz w:val="22"/>
                <w:szCs w:val="22"/>
                <w:u w:val="none"/>
              </w:rPr>
            </w:pPr>
          </w:p>
        </w:tc>
        <w:tc>
          <w:tcPr>
            <w:tcW w:w="80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9479043">
            <w:pPr>
              <w:jc w:val="center"/>
              <w:rPr>
                <w:rFonts w:hint="eastAsia" w:ascii="宋体" w:hAnsi="宋体" w:eastAsia="宋体" w:cs="宋体"/>
                <w:i w:val="0"/>
                <w:iCs w:val="0"/>
                <w:color w:val="000000"/>
                <w:sz w:val="22"/>
                <w:szCs w:val="22"/>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33CB80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无蔗糖豆浆</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7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9A1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DA3F">
            <w:pPr>
              <w:jc w:val="center"/>
              <w:rPr>
                <w:rFonts w:hint="eastAsia" w:ascii="宋体" w:hAnsi="宋体" w:eastAsia="宋体" w:cs="宋体"/>
                <w:i w:val="0"/>
                <w:iCs w:val="0"/>
                <w:color w:val="000000"/>
                <w:sz w:val="22"/>
                <w:szCs w:val="22"/>
                <w:u w:val="none"/>
              </w:rPr>
            </w:pPr>
          </w:p>
        </w:tc>
      </w:tr>
      <w:tr w14:paraId="2D5E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1ABF">
            <w:pPr>
              <w:spacing w:line="360" w:lineRule="auto"/>
              <w:jc w:val="center"/>
              <w:rPr>
                <w:rFonts w:hint="eastAsia" w:ascii="宋体" w:hAnsi="宋体" w:eastAsia="宋体" w:cs="宋体"/>
                <w:i w:val="0"/>
                <w:iCs w:val="0"/>
                <w:color w:val="000000"/>
                <w:sz w:val="22"/>
                <w:szCs w:val="22"/>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C0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乳品类</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4F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56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49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7326">
            <w:pPr>
              <w:spacing w:line="360" w:lineRule="auto"/>
              <w:jc w:val="center"/>
              <w:rPr>
                <w:rFonts w:hint="eastAsia" w:ascii="宋体" w:hAnsi="宋体" w:eastAsia="宋体" w:cs="宋体"/>
                <w:i w:val="0"/>
                <w:iCs w:val="0"/>
                <w:color w:val="000000"/>
                <w:sz w:val="22"/>
                <w:szCs w:val="22"/>
                <w:u w:val="none"/>
              </w:rPr>
            </w:pPr>
          </w:p>
        </w:tc>
      </w:tr>
    </w:tbl>
    <w:p w14:paraId="1B23C2D4">
      <w:pPr>
        <w:rPr>
          <w:rFonts w:hint="eastAsia" w:ascii="宋体" w:hAnsi="宋体" w:eastAsia="宋体" w:cs="宋体"/>
          <w:b/>
          <w:bCs/>
          <w:kern w:val="0"/>
          <w:sz w:val="44"/>
          <w:szCs w:val="44"/>
        </w:rPr>
      </w:pPr>
      <w:r>
        <w:rPr>
          <w:rFonts w:hint="eastAsia" w:ascii="宋体" w:hAnsi="宋体" w:eastAsia="宋体" w:cs="宋体"/>
          <w:b/>
          <w:bCs/>
          <w:kern w:val="0"/>
          <w:sz w:val="44"/>
          <w:szCs w:val="44"/>
        </w:rPr>
        <w:br w:type="page"/>
      </w:r>
    </w:p>
    <w:p w14:paraId="5F8E7E20">
      <w:pPr>
        <w:jc w:val="center"/>
        <w:outlineLvl w:val="0"/>
        <w:rPr>
          <w:rFonts w:hint="eastAsia" w:ascii="宋体" w:hAnsi="宋体" w:eastAsia="宋体" w:cs="宋体"/>
          <w:b/>
          <w:bCs/>
          <w:kern w:val="0"/>
          <w:sz w:val="44"/>
          <w:szCs w:val="44"/>
        </w:rPr>
      </w:pPr>
      <w:bookmarkStart w:id="125" w:name="_Toc25505"/>
      <w:r>
        <w:rPr>
          <w:rFonts w:hint="eastAsia" w:ascii="宋体" w:hAnsi="宋体" w:eastAsia="宋体" w:cs="宋体"/>
          <w:b/>
          <w:bCs/>
          <w:kern w:val="0"/>
          <w:sz w:val="44"/>
          <w:szCs w:val="44"/>
        </w:rPr>
        <w:t>第六章</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投标文件</w:t>
      </w:r>
      <w:bookmarkEnd w:id="93"/>
      <w:bookmarkEnd w:id="94"/>
      <w:r>
        <w:rPr>
          <w:rFonts w:hint="eastAsia" w:ascii="宋体" w:hAnsi="宋体" w:eastAsia="宋体" w:cs="宋体"/>
          <w:b/>
          <w:bCs/>
          <w:kern w:val="0"/>
          <w:sz w:val="44"/>
          <w:szCs w:val="44"/>
        </w:rPr>
        <w:t>组成部分</w:t>
      </w:r>
      <w:bookmarkEnd w:id="112"/>
      <w:bookmarkEnd w:id="125"/>
    </w:p>
    <w:p w14:paraId="7B4EA848">
      <w:pPr>
        <w:spacing w:line="480" w:lineRule="auto"/>
        <w:rPr>
          <w:rFonts w:hint="eastAsia" w:ascii="宋体" w:hAnsi="宋体" w:eastAsia="宋体" w:cs="宋体"/>
          <w:b/>
          <w:bCs/>
          <w:sz w:val="22"/>
        </w:rPr>
      </w:pPr>
    </w:p>
    <w:p w14:paraId="654B452B">
      <w:pPr>
        <w:spacing w:line="480" w:lineRule="auto"/>
        <w:rPr>
          <w:rFonts w:hint="eastAsia" w:ascii="宋体" w:hAnsi="宋体" w:eastAsia="宋体" w:cs="宋体"/>
          <w:b/>
          <w:bCs/>
          <w:sz w:val="22"/>
        </w:rPr>
      </w:pPr>
      <w:r>
        <w:rPr>
          <w:rFonts w:hint="eastAsia" w:ascii="宋体" w:hAnsi="宋体" w:eastAsia="宋体" w:cs="宋体"/>
          <w:b/>
          <w:bCs/>
          <w:sz w:val="22"/>
        </w:rPr>
        <w:t>一、投标文件格式</w:t>
      </w:r>
    </w:p>
    <w:p w14:paraId="3494BD9F">
      <w:pPr>
        <w:spacing w:line="480" w:lineRule="auto"/>
        <w:rPr>
          <w:rFonts w:hint="eastAsia" w:ascii="宋体" w:hAnsi="宋体" w:eastAsia="宋体" w:cs="宋体"/>
          <w:b/>
          <w:bCs/>
          <w:sz w:val="22"/>
        </w:rPr>
      </w:pPr>
      <w:r>
        <w:rPr>
          <w:rFonts w:hint="eastAsia" w:ascii="宋体" w:hAnsi="宋体" w:eastAsia="宋体" w:cs="宋体"/>
          <w:b/>
          <w:bCs/>
          <w:sz w:val="22"/>
        </w:rPr>
        <w:t>二、资质证明文件</w:t>
      </w:r>
    </w:p>
    <w:p w14:paraId="796A88C1">
      <w:pPr>
        <w:spacing w:line="480" w:lineRule="auto"/>
        <w:rPr>
          <w:rFonts w:hint="eastAsia" w:ascii="宋体" w:hAnsi="宋体" w:eastAsia="宋体" w:cs="宋体"/>
          <w:b/>
          <w:bCs/>
          <w:sz w:val="22"/>
        </w:rPr>
      </w:pPr>
      <w:r>
        <w:rPr>
          <w:rFonts w:hint="eastAsia" w:ascii="宋体" w:hAnsi="宋体" w:eastAsia="宋体" w:cs="宋体"/>
          <w:b/>
          <w:bCs/>
          <w:sz w:val="22"/>
        </w:rPr>
        <w:t>三、符合性证明文件</w:t>
      </w:r>
    </w:p>
    <w:p w14:paraId="0D18446D">
      <w:pPr>
        <w:spacing w:line="480" w:lineRule="auto"/>
        <w:rPr>
          <w:rFonts w:hint="eastAsia" w:ascii="宋体" w:hAnsi="宋体" w:eastAsia="宋体" w:cs="宋体"/>
          <w:b/>
          <w:bCs/>
          <w:sz w:val="22"/>
        </w:rPr>
      </w:pPr>
      <w:r>
        <w:rPr>
          <w:rFonts w:hint="eastAsia" w:ascii="宋体" w:hAnsi="宋体" w:eastAsia="宋体" w:cs="宋体"/>
          <w:b/>
          <w:bCs/>
          <w:sz w:val="22"/>
        </w:rPr>
        <w:t>四、投标方案</w:t>
      </w:r>
    </w:p>
    <w:p w14:paraId="673F1D69">
      <w:pPr>
        <w:spacing w:line="360" w:lineRule="auto"/>
        <w:ind w:firstLine="4003" w:firstLineChars="1246"/>
        <w:rPr>
          <w:rFonts w:hint="eastAsia" w:ascii="宋体" w:hAnsi="宋体" w:eastAsia="宋体" w:cs="宋体"/>
          <w:b/>
          <w:sz w:val="32"/>
          <w:szCs w:val="32"/>
        </w:rPr>
      </w:pPr>
    </w:p>
    <w:p w14:paraId="1B7B1905">
      <w:pPr>
        <w:spacing w:line="360" w:lineRule="auto"/>
        <w:ind w:firstLine="4003" w:firstLineChars="1246"/>
        <w:rPr>
          <w:rFonts w:hint="eastAsia" w:ascii="宋体" w:hAnsi="宋体" w:eastAsia="宋体" w:cs="宋体"/>
          <w:b/>
          <w:sz w:val="32"/>
          <w:szCs w:val="32"/>
        </w:rPr>
      </w:pPr>
    </w:p>
    <w:p w14:paraId="4A1EE6E1">
      <w:pPr>
        <w:spacing w:line="360" w:lineRule="auto"/>
        <w:ind w:firstLine="4003" w:firstLineChars="1246"/>
        <w:rPr>
          <w:rFonts w:hint="eastAsia" w:ascii="宋体" w:hAnsi="宋体" w:eastAsia="宋体" w:cs="宋体"/>
          <w:b/>
          <w:sz w:val="32"/>
          <w:szCs w:val="32"/>
        </w:rPr>
      </w:pPr>
    </w:p>
    <w:p w14:paraId="3853E854">
      <w:pPr>
        <w:pStyle w:val="51"/>
        <w:ind w:firstLine="643"/>
        <w:rPr>
          <w:rFonts w:hint="eastAsia" w:ascii="宋体" w:hAnsi="宋体" w:eastAsia="宋体" w:cs="宋体"/>
          <w:b/>
          <w:sz w:val="32"/>
          <w:szCs w:val="32"/>
        </w:rPr>
      </w:pPr>
    </w:p>
    <w:p w14:paraId="3753A571">
      <w:pPr>
        <w:pStyle w:val="51"/>
        <w:ind w:firstLine="643"/>
        <w:rPr>
          <w:rFonts w:hint="eastAsia" w:ascii="宋体" w:hAnsi="宋体" w:eastAsia="宋体" w:cs="宋体"/>
          <w:b/>
          <w:sz w:val="32"/>
          <w:szCs w:val="32"/>
        </w:rPr>
      </w:pPr>
    </w:p>
    <w:p w14:paraId="0E94B44A">
      <w:pPr>
        <w:pStyle w:val="51"/>
        <w:ind w:firstLine="643"/>
        <w:rPr>
          <w:rFonts w:hint="eastAsia" w:ascii="宋体" w:hAnsi="宋体" w:eastAsia="宋体" w:cs="宋体"/>
          <w:b/>
          <w:sz w:val="32"/>
          <w:szCs w:val="32"/>
        </w:rPr>
      </w:pPr>
    </w:p>
    <w:p w14:paraId="6E2FB384">
      <w:pPr>
        <w:pStyle w:val="51"/>
        <w:ind w:firstLine="643"/>
        <w:rPr>
          <w:rFonts w:hint="eastAsia" w:ascii="宋体" w:hAnsi="宋体" w:eastAsia="宋体" w:cs="宋体"/>
          <w:b/>
          <w:sz w:val="32"/>
          <w:szCs w:val="32"/>
        </w:rPr>
      </w:pPr>
    </w:p>
    <w:p w14:paraId="760BE60B">
      <w:pPr>
        <w:pStyle w:val="51"/>
        <w:ind w:firstLine="643"/>
        <w:rPr>
          <w:rFonts w:hint="eastAsia" w:ascii="宋体" w:hAnsi="宋体" w:eastAsia="宋体" w:cs="宋体"/>
          <w:b/>
          <w:sz w:val="32"/>
          <w:szCs w:val="32"/>
        </w:rPr>
      </w:pPr>
    </w:p>
    <w:p w14:paraId="314FC8DE">
      <w:pPr>
        <w:pStyle w:val="51"/>
        <w:ind w:firstLine="643"/>
        <w:rPr>
          <w:rFonts w:hint="eastAsia" w:ascii="宋体" w:hAnsi="宋体" w:eastAsia="宋体" w:cs="宋体"/>
          <w:b/>
          <w:sz w:val="32"/>
          <w:szCs w:val="32"/>
        </w:rPr>
      </w:pPr>
    </w:p>
    <w:p w14:paraId="3F046CA8">
      <w:pPr>
        <w:pStyle w:val="51"/>
        <w:ind w:firstLine="643"/>
        <w:rPr>
          <w:rFonts w:hint="eastAsia" w:ascii="宋体" w:hAnsi="宋体" w:eastAsia="宋体" w:cs="宋体"/>
          <w:b/>
          <w:sz w:val="32"/>
          <w:szCs w:val="32"/>
        </w:rPr>
      </w:pPr>
    </w:p>
    <w:p w14:paraId="5EFF80B0">
      <w:pPr>
        <w:pStyle w:val="51"/>
        <w:ind w:firstLine="643"/>
        <w:rPr>
          <w:rFonts w:hint="eastAsia" w:ascii="宋体" w:hAnsi="宋体" w:eastAsia="宋体" w:cs="宋体"/>
          <w:b/>
          <w:sz w:val="32"/>
          <w:szCs w:val="32"/>
        </w:rPr>
      </w:pPr>
    </w:p>
    <w:p w14:paraId="70A5DC73">
      <w:pPr>
        <w:spacing w:line="360" w:lineRule="auto"/>
        <w:rPr>
          <w:rFonts w:hint="eastAsia" w:ascii="宋体" w:hAnsi="宋体" w:eastAsia="宋体" w:cs="宋体"/>
          <w:b/>
          <w:sz w:val="32"/>
          <w:szCs w:val="32"/>
        </w:rPr>
      </w:pPr>
    </w:p>
    <w:p w14:paraId="0ED46D3D">
      <w:pPr>
        <w:spacing w:line="360" w:lineRule="auto"/>
        <w:rPr>
          <w:rFonts w:hint="eastAsia" w:ascii="宋体" w:hAnsi="宋体" w:eastAsia="宋体" w:cs="宋体"/>
          <w:b/>
          <w:bCs/>
          <w:szCs w:val="24"/>
        </w:rPr>
      </w:pPr>
      <w:r>
        <w:rPr>
          <w:rFonts w:hint="eastAsia" w:ascii="宋体" w:hAnsi="宋体" w:eastAsia="宋体" w:cs="宋体"/>
          <w:b/>
          <w:bCs/>
        </w:rPr>
        <w:t>注：</w:t>
      </w:r>
      <w:r>
        <w:rPr>
          <w:rFonts w:hint="eastAsia" w:ascii="宋体" w:hAnsi="宋体" w:eastAsia="宋体" w:cs="宋体"/>
          <w:b/>
          <w:bCs/>
          <w:szCs w:val="24"/>
        </w:rPr>
        <w:t>投标文件编制说明</w:t>
      </w:r>
    </w:p>
    <w:p w14:paraId="71752BB6">
      <w:pPr>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1、投标文件的编制应按照样本格式提供的内容，做出逐一明确的答复；投标人认为有必要，还可以做其它补充说明。</w:t>
      </w:r>
      <w:r>
        <w:rPr>
          <w:rFonts w:hint="eastAsia" w:ascii="宋体" w:hAnsi="宋体" w:eastAsia="宋体" w:cs="宋体"/>
          <w:b/>
          <w:bCs/>
          <w:szCs w:val="24"/>
        </w:rPr>
        <w:cr/>
      </w:r>
      <w:r>
        <w:rPr>
          <w:rFonts w:hint="eastAsia" w:ascii="宋体" w:hAnsi="宋体" w:eastAsia="宋体" w:cs="宋体"/>
          <w:b/>
          <w:bCs/>
          <w:szCs w:val="24"/>
          <w:lang w:val="en-US" w:eastAsia="zh-CN"/>
        </w:rPr>
        <w:t xml:space="preserve">    </w:t>
      </w:r>
      <w:r>
        <w:rPr>
          <w:rFonts w:hint="eastAsia" w:ascii="宋体" w:hAnsi="宋体" w:eastAsia="宋体" w:cs="宋体"/>
          <w:b/>
          <w:bCs/>
          <w:szCs w:val="24"/>
        </w:rPr>
        <w:t>2、投标人必须按照招标文件的规定和要求由法定代表人或被授权人签字（或盖章），并加盖投标人公章。</w:t>
      </w:r>
    </w:p>
    <w:p w14:paraId="76E1EECB">
      <w:pPr>
        <w:rPr>
          <w:rFonts w:hint="eastAsia" w:ascii="宋体" w:hAnsi="宋体" w:eastAsia="宋体" w:cs="宋体"/>
          <w:b/>
          <w:sz w:val="32"/>
          <w:szCs w:val="32"/>
        </w:rPr>
      </w:pPr>
      <w:r>
        <w:rPr>
          <w:rFonts w:hint="eastAsia" w:ascii="宋体" w:hAnsi="宋体" w:eastAsia="宋体" w:cs="宋体"/>
          <w:b/>
          <w:sz w:val="32"/>
          <w:szCs w:val="32"/>
        </w:rPr>
        <w:br w:type="page"/>
      </w:r>
    </w:p>
    <w:p w14:paraId="62A0D1AA">
      <w:pPr>
        <w:pStyle w:val="5"/>
        <w:spacing w:before="0" w:after="0" w:line="240" w:lineRule="auto"/>
        <w:rPr>
          <w:rFonts w:hint="eastAsia" w:ascii="宋体" w:hAnsi="宋体" w:eastAsia="宋体" w:cs="宋体"/>
        </w:rPr>
      </w:pPr>
      <w:bookmarkStart w:id="126" w:name="_Toc18931"/>
      <w:bookmarkStart w:id="127" w:name="_Toc12712"/>
      <w:bookmarkStart w:id="128" w:name="_Toc30377"/>
      <w:bookmarkStart w:id="129" w:name="_Toc31763"/>
      <w:bookmarkStart w:id="130" w:name="_Toc19425"/>
      <w:r>
        <w:rPr>
          <w:rFonts w:hint="eastAsia" w:ascii="宋体" w:hAnsi="宋体" w:eastAsia="宋体" w:cs="宋体"/>
        </w:rPr>
        <w:t>一、投标文件格式</w:t>
      </w:r>
      <w:bookmarkEnd w:id="126"/>
      <w:bookmarkEnd w:id="127"/>
      <w:bookmarkEnd w:id="128"/>
      <w:bookmarkEnd w:id="129"/>
      <w:bookmarkEnd w:id="130"/>
    </w:p>
    <w:p w14:paraId="36DFE844">
      <w:pPr>
        <w:rPr>
          <w:rFonts w:hint="eastAsia" w:ascii="宋体" w:hAnsi="宋体" w:eastAsia="宋体" w:cs="宋体"/>
          <w:sz w:val="28"/>
          <w:szCs w:val="28"/>
        </w:rPr>
      </w:pPr>
    </w:p>
    <w:p w14:paraId="731EE17D">
      <w:pPr>
        <w:rPr>
          <w:rFonts w:hint="eastAsia" w:ascii="宋体" w:hAnsi="宋体" w:eastAsia="宋体" w:cs="宋体"/>
          <w:b/>
          <w:sz w:val="36"/>
          <w:szCs w:val="36"/>
        </w:rPr>
      </w:pPr>
      <w:r>
        <w:rPr>
          <w:rFonts w:hint="eastAsia" w:ascii="宋体" w:hAnsi="宋体" w:eastAsia="宋体" w:cs="宋体"/>
          <w:b/>
          <w:bCs/>
          <w:sz w:val="28"/>
          <w:szCs w:val="28"/>
        </w:rPr>
        <w:t>1.封面</w:t>
      </w:r>
    </w:p>
    <w:p w14:paraId="2CB6C098">
      <w:pPr>
        <w:spacing w:line="360" w:lineRule="auto"/>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bdr w:val="single" w:color="auto" w:sz="4" w:space="0"/>
          <w:shd w:val="pct10" w:color="auto" w:fill="FFFFFF"/>
        </w:rPr>
        <w:t>政府采购项目</w:t>
      </w:r>
    </w:p>
    <w:p w14:paraId="1DDE8216">
      <w:pPr>
        <w:pStyle w:val="51"/>
        <w:ind w:firstLine="480"/>
        <w:rPr>
          <w:rFonts w:hint="eastAsia" w:ascii="宋体" w:hAnsi="宋体" w:eastAsia="宋体" w:cs="宋体"/>
        </w:rPr>
      </w:pPr>
    </w:p>
    <w:p w14:paraId="7D2F48F2">
      <w:pPr>
        <w:spacing w:line="360" w:lineRule="auto"/>
        <w:rPr>
          <w:rFonts w:hint="eastAsia" w:ascii="宋体" w:hAnsi="宋体" w:eastAsia="宋体" w:cs="宋体"/>
          <w:b/>
          <w:color w:val="FF0000"/>
          <w:sz w:val="36"/>
          <w:szCs w:val="36"/>
          <w:lang w:eastAsia="zh-CN"/>
        </w:rPr>
      </w:pPr>
      <w:r>
        <w:rPr>
          <w:rFonts w:hint="eastAsia" w:ascii="宋体" w:hAnsi="宋体" w:eastAsia="宋体" w:cs="宋体"/>
          <w:b/>
          <w:sz w:val="36"/>
          <w:szCs w:val="36"/>
        </w:rPr>
        <w:t>文件编号:</w:t>
      </w:r>
      <w:r>
        <w:rPr>
          <w:rFonts w:hint="eastAsia" w:ascii="宋体" w:hAnsi="宋体" w:eastAsia="宋体" w:cs="宋体"/>
          <w:b/>
          <w:sz w:val="36"/>
          <w:szCs w:val="36"/>
          <w:lang w:eastAsia="zh-CN"/>
        </w:rPr>
        <w:t>SXJX-2025-008号</w:t>
      </w:r>
    </w:p>
    <w:p w14:paraId="55F812AF">
      <w:pPr>
        <w:rPr>
          <w:rFonts w:hint="eastAsia" w:ascii="宋体" w:hAnsi="宋体" w:eastAsia="宋体" w:cs="宋体"/>
        </w:rPr>
      </w:pPr>
    </w:p>
    <w:p w14:paraId="31119494">
      <w:pPr>
        <w:pStyle w:val="15"/>
        <w:spacing w:line="360" w:lineRule="auto"/>
        <w:ind w:left="0" w:leftChars="0" w:firstLine="0" w:firstLineChars="0"/>
        <w:jc w:val="center"/>
        <w:rPr>
          <w:rFonts w:hint="eastAsia" w:ascii="宋体" w:hAnsi="宋体" w:eastAsia="宋体" w:cs="宋体"/>
          <w:b/>
          <w:bCs/>
          <w:sz w:val="52"/>
          <w:szCs w:val="52"/>
        </w:rPr>
      </w:pPr>
      <w:r>
        <w:rPr>
          <w:rFonts w:hint="eastAsia" w:ascii="宋体" w:hAnsi="宋体" w:eastAsia="宋体" w:cs="宋体"/>
          <w:b/>
          <w:bCs/>
          <w:i w:val="0"/>
          <w:iCs w:val="0"/>
          <w:caps w:val="0"/>
          <w:color w:val="333333"/>
          <w:spacing w:val="0"/>
          <w:kern w:val="2"/>
          <w:sz w:val="48"/>
          <w:szCs w:val="48"/>
          <w:shd w:val="clear" w:fill="FFFFFF"/>
          <w:lang w:val="en-US" w:eastAsia="zh-CN" w:bidi="ar-SA"/>
        </w:rPr>
        <w:t>千阳县2025-2026学年学生营养改善计划食材及供餐采购项目</w:t>
      </w:r>
      <w:r>
        <w:rPr>
          <w:rFonts w:hint="eastAsia" w:ascii="宋体" w:hAnsi="宋体" w:eastAsia="宋体" w:cs="宋体"/>
          <w:b/>
          <w:bCs/>
          <w:sz w:val="48"/>
          <w:szCs w:val="48"/>
          <w:lang w:val="en-US" w:eastAsia="zh-CN"/>
        </w:rPr>
        <w:t>第</w:t>
      </w:r>
      <w:r>
        <w:rPr>
          <w:rFonts w:hint="eastAsia" w:ascii="宋体" w:hAnsi="宋体" w:eastAsia="宋体" w:cs="宋体"/>
          <w:b/>
          <w:bCs/>
          <w:sz w:val="48"/>
          <w:szCs w:val="48"/>
          <w:u w:val="none"/>
          <w:lang w:val="en-US" w:eastAsia="zh-CN"/>
        </w:rPr>
        <w:t>4包</w:t>
      </w:r>
    </w:p>
    <w:p w14:paraId="6495AE6D">
      <w:pPr>
        <w:spacing w:line="360" w:lineRule="auto"/>
        <w:jc w:val="center"/>
        <w:rPr>
          <w:rFonts w:hint="eastAsia" w:ascii="宋体" w:hAnsi="宋体" w:eastAsia="宋体" w:cs="宋体"/>
          <w:spacing w:val="20"/>
          <w:kern w:val="0"/>
          <w:sz w:val="72"/>
          <w:szCs w:val="72"/>
        </w:rPr>
      </w:pPr>
    </w:p>
    <w:p w14:paraId="58BC728D">
      <w:pPr>
        <w:spacing w:line="360" w:lineRule="auto"/>
        <w:jc w:val="center"/>
        <w:rPr>
          <w:rFonts w:hint="eastAsia" w:ascii="宋体" w:hAnsi="宋体" w:eastAsia="宋体" w:cs="宋体"/>
          <w:b/>
          <w:bCs/>
          <w:spacing w:val="20"/>
          <w:kern w:val="0"/>
          <w:sz w:val="96"/>
          <w:szCs w:val="96"/>
        </w:rPr>
      </w:pPr>
      <w:r>
        <w:rPr>
          <w:rFonts w:hint="eastAsia" w:ascii="宋体" w:hAnsi="宋体" w:eastAsia="宋体" w:cs="宋体"/>
          <w:b/>
          <w:bCs/>
          <w:spacing w:val="20"/>
          <w:kern w:val="0"/>
          <w:sz w:val="96"/>
          <w:szCs w:val="96"/>
        </w:rPr>
        <w:t>投标文件</w:t>
      </w:r>
    </w:p>
    <w:p w14:paraId="0B8F04FB">
      <w:pPr>
        <w:spacing w:line="360" w:lineRule="auto"/>
        <w:rPr>
          <w:rFonts w:hint="eastAsia" w:ascii="宋体" w:hAnsi="宋体" w:eastAsia="宋体" w:cs="宋体"/>
          <w:sz w:val="32"/>
        </w:rPr>
      </w:pPr>
    </w:p>
    <w:p w14:paraId="5E5609E9">
      <w:pPr>
        <w:pStyle w:val="15"/>
        <w:ind w:left="960" w:hanging="480"/>
        <w:rPr>
          <w:rFonts w:hint="eastAsia" w:ascii="宋体" w:hAnsi="宋体" w:eastAsia="宋体" w:cs="宋体"/>
        </w:rPr>
      </w:pPr>
    </w:p>
    <w:p w14:paraId="209C2737">
      <w:pPr>
        <w:pStyle w:val="15"/>
        <w:ind w:left="1120" w:hanging="640"/>
        <w:rPr>
          <w:rFonts w:hint="eastAsia" w:ascii="宋体" w:hAnsi="宋体" w:eastAsia="宋体" w:cs="宋体"/>
          <w:sz w:val="32"/>
        </w:rPr>
      </w:pPr>
    </w:p>
    <w:p w14:paraId="6512A18E">
      <w:pPr>
        <w:pStyle w:val="15"/>
        <w:ind w:left="960" w:hanging="480"/>
        <w:rPr>
          <w:rFonts w:hint="eastAsia" w:ascii="宋体" w:hAnsi="宋体" w:eastAsia="宋体" w:cs="宋体"/>
        </w:rPr>
      </w:pPr>
    </w:p>
    <w:p w14:paraId="7C5EA42A">
      <w:pPr>
        <w:pStyle w:val="15"/>
        <w:ind w:left="960" w:hanging="480"/>
        <w:rPr>
          <w:rFonts w:hint="eastAsia" w:ascii="宋体" w:hAnsi="宋体" w:eastAsia="宋体" w:cs="宋体"/>
        </w:rPr>
      </w:pPr>
    </w:p>
    <w:p w14:paraId="74B3398C">
      <w:pPr>
        <w:spacing w:before="168" w:beforeLines="70" w:line="360" w:lineRule="auto"/>
        <w:rPr>
          <w:rFonts w:hint="eastAsia" w:ascii="宋体" w:hAnsi="宋体" w:eastAsia="宋体" w:cs="宋体"/>
          <w:b/>
          <w:spacing w:val="8"/>
          <w:sz w:val="28"/>
          <w:szCs w:val="28"/>
        </w:rPr>
      </w:pPr>
    </w:p>
    <w:p w14:paraId="71D1BC4A">
      <w:pPr>
        <w:spacing w:before="168" w:beforeLines="70" w:line="360" w:lineRule="auto"/>
        <w:ind w:firstLine="1634" w:firstLineChars="550"/>
        <w:rPr>
          <w:rFonts w:hint="eastAsia" w:ascii="宋体" w:hAnsi="宋体" w:eastAsia="宋体" w:cs="宋体"/>
          <w:b/>
          <w:bCs/>
          <w:spacing w:val="8"/>
          <w:sz w:val="28"/>
          <w:szCs w:val="28"/>
          <w:u w:val="single"/>
          <w:lang w:eastAsia="zh-CN"/>
        </w:rPr>
      </w:pPr>
      <w:r>
        <w:rPr>
          <w:rFonts w:hint="eastAsia" w:ascii="宋体" w:hAnsi="宋体" w:eastAsia="宋体" w:cs="宋体"/>
          <w:b/>
          <w:spacing w:val="8"/>
          <w:sz w:val="28"/>
          <w:szCs w:val="28"/>
        </w:rPr>
        <w:t>投标单位：(盖单位章)</w:t>
      </w:r>
    </w:p>
    <w:p w14:paraId="7BEDEDB8">
      <w:pPr>
        <w:spacing w:line="360" w:lineRule="auto"/>
        <w:ind w:firstLine="1661" w:firstLineChars="591"/>
        <w:rPr>
          <w:rFonts w:hint="eastAsia" w:ascii="宋体" w:hAnsi="宋体" w:eastAsia="宋体" w:cs="宋体"/>
          <w:b/>
          <w:sz w:val="28"/>
          <w:szCs w:val="28"/>
        </w:rPr>
      </w:pPr>
    </w:p>
    <w:p w14:paraId="7421E5D0">
      <w:pPr>
        <w:spacing w:line="360" w:lineRule="auto"/>
        <w:ind w:firstLine="1661" w:firstLineChars="591"/>
        <w:rPr>
          <w:rFonts w:hint="eastAsia" w:ascii="宋体" w:hAnsi="宋体" w:eastAsia="宋体" w:cs="宋体"/>
          <w:b/>
          <w:sz w:val="32"/>
          <w:szCs w:val="32"/>
          <w:lang w:eastAsia="zh-CN"/>
        </w:rPr>
      </w:pPr>
      <w:r>
        <w:rPr>
          <w:rFonts w:hint="eastAsia" w:ascii="宋体" w:hAnsi="宋体" w:eastAsia="宋体" w:cs="宋体"/>
          <w:b/>
          <w:sz w:val="28"/>
          <w:szCs w:val="28"/>
        </w:rPr>
        <w:t>时</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间：</w:t>
      </w:r>
      <w:bookmarkStart w:id="131" w:name="_Toc154482479"/>
      <w:bookmarkStart w:id="132" w:name="_Toc193126881"/>
      <w:bookmarkStart w:id="133" w:name="_Toc169846776"/>
      <w:bookmarkStart w:id="134" w:name="_Toc167591492"/>
      <w:bookmarkStart w:id="135" w:name="_Toc193187097"/>
      <w:bookmarkStart w:id="136" w:name="_Toc170980453"/>
      <w:bookmarkStart w:id="137" w:name="_Toc167591330"/>
      <w:bookmarkStart w:id="138" w:name="_Toc170980552"/>
      <w:bookmarkStart w:id="139" w:name="_Toc175032437"/>
      <w:bookmarkStart w:id="140" w:name="_Toc167849360"/>
      <w:bookmarkStart w:id="141" w:name="_Toc194663918"/>
      <w:bookmarkStart w:id="142" w:name="_Toc175033592"/>
      <w:bookmarkStart w:id="143" w:name="_Toc167590775"/>
      <w:bookmarkStart w:id="144" w:name="_Toc173549978"/>
      <w:bookmarkStart w:id="145" w:name="_Toc188808833"/>
      <w:bookmarkStart w:id="146" w:name="_Toc169838532"/>
      <w:bookmarkStart w:id="147" w:name="_Toc167591043"/>
      <w:bookmarkStart w:id="148" w:name="_Toc169846873"/>
      <w:bookmarkStart w:id="149" w:name="_Toc167591144"/>
    </w:p>
    <w:p w14:paraId="201115B0">
      <w:pPr>
        <w:pStyle w:val="5"/>
        <w:rPr>
          <w:rFonts w:hint="eastAsia" w:ascii="宋体" w:hAnsi="宋体" w:eastAsia="宋体" w:cs="宋体"/>
        </w:rPr>
      </w:pPr>
      <w:bookmarkStart w:id="150" w:name="_Toc10709"/>
      <w:bookmarkStart w:id="151" w:name="_Toc1481"/>
      <w:bookmarkStart w:id="152" w:name="_Toc12536"/>
      <w:bookmarkStart w:id="153" w:name="_Toc29206"/>
      <w:bookmarkStart w:id="154" w:name="_Toc19175"/>
      <w:r>
        <w:rPr>
          <w:rFonts w:hint="eastAsia" w:ascii="宋体" w:hAnsi="宋体" w:eastAsia="宋体" w:cs="宋体"/>
        </w:rPr>
        <w:t>二、资质证明文件</w:t>
      </w:r>
      <w:bookmarkEnd w:id="150"/>
      <w:bookmarkEnd w:id="151"/>
      <w:bookmarkEnd w:id="152"/>
      <w:bookmarkEnd w:id="153"/>
      <w:bookmarkEnd w:id="154"/>
    </w:p>
    <w:p w14:paraId="68B0C655">
      <w:pPr>
        <w:spacing w:line="360" w:lineRule="auto"/>
        <w:rPr>
          <w:rFonts w:hint="eastAsia" w:ascii="宋体" w:hAnsi="宋体" w:eastAsia="宋体" w:cs="宋体"/>
          <w:sz w:val="28"/>
          <w:szCs w:val="28"/>
        </w:rPr>
      </w:pPr>
      <w:bookmarkStart w:id="155" w:name="_Toc30119"/>
      <w:r>
        <w:rPr>
          <w:rFonts w:hint="eastAsia" w:ascii="宋体" w:hAnsi="宋体" w:eastAsia="宋体" w:cs="宋体"/>
          <w:sz w:val="28"/>
          <w:szCs w:val="28"/>
        </w:rPr>
        <w:t>1.营业执照等主体资格证明文件</w:t>
      </w:r>
      <w:bookmarkEnd w:id="155"/>
    </w:p>
    <w:p w14:paraId="01C42BB1">
      <w:pPr>
        <w:spacing w:line="360" w:lineRule="auto"/>
        <w:rPr>
          <w:rFonts w:hint="eastAsia" w:ascii="宋体" w:hAnsi="宋体" w:eastAsia="宋体" w:cs="宋体"/>
          <w:sz w:val="28"/>
          <w:szCs w:val="28"/>
          <w:lang w:val="en-US" w:eastAsia="zh-CN"/>
        </w:rPr>
      </w:pPr>
      <w:bookmarkStart w:id="156" w:name="_Toc4287"/>
      <w:r>
        <w:rPr>
          <w:rFonts w:hint="eastAsia" w:ascii="宋体" w:hAnsi="宋体" w:eastAsia="宋体" w:cs="宋体"/>
          <w:sz w:val="28"/>
          <w:szCs w:val="28"/>
        </w:rPr>
        <w:t>2.财务状况报告</w:t>
      </w:r>
      <w:bookmarkEnd w:id="156"/>
      <w:r>
        <w:rPr>
          <w:rFonts w:hint="eastAsia" w:ascii="宋体" w:hAnsi="宋体" w:eastAsia="宋体" w:cs="宋体"/>
          <w:sz w:val="28"/>
          <w:szCs w:val="28"/>
          <w:lang w:val="en-US" w:eastAsia="zh-CN"/>
        </w:rPr>
        <w:t>或资信证明</w:t>
      </w:r>
    </w:p>
    <w:p w14:paraId="078C27EC">
      <w:pPr>
        <w:spacing w:line="360" w:lineRule="auto"/>
        <w:rPr>
          <w:rFonts w:hint="eastAsia" w:ascii="宋体" w:hAnsi="宋体" w:eastAsia="宋体" w:cs="宋体"/>
          <w:sz w:val="28"/>
          <w:szCs w:val="28"/>
        </w:rPr>
      </w:pPr>
      <w:bookmarkStart w:id="157" w:name="_Toc1064"/>
      <w:r>
        <w:rPr>
          <w:rFonts w:hint="eastAsia" w:ascii="宋体" w:hAnsi="宋体" w:eastAsia="宋体" w:cs="宋体"/>
          <w:sz w:val="28"/>
          <w:szCs w:val="28"/>
        </w:rPr>
        <w:t>3.社保缴纳证明</w:t>
      </w:r>
      <w:bookmarkEnd w:id="157"/>
    </w:p>
    <w:p w14:paraId="65F51D27">
      <w:pPr>
        <w:spacing w:line="360" w:lineRule="auto"/>
        <w:rPr>
          <w:rFonts w:hint="eastAsia" w:ascii="宋体" w:hAnsi="宋体" w:eastAsia="宋体" w:cs="宋体"/>
          <w:sz w:val="28"/>
          <w:szCs w:val="28"/>
        </w:rPr>
      </w:pPr>
      <w:bookmarkStart w:id="158" w:name="_Toc5134"/>
      <w:r>
        <w:rPr>
          <w:rFonts w:hint="eastAsia" w:ascii="宋体" w:hAnsi="宋体" w:eastAsia="宋体" w:cs="宋体"/>
          <w:sz w:val="28"/>
          <w:szCs w:val="28"/>
        </w:rPr>
        <w:t>4.税收缴纳证明</w:t>
      </w:r>
      <w:bookmarkEnd w:id="158"/>
    </w:p>
    <w:p w14:paraId="7BA07673">
      <w:pPr>
        <w:spacing w:line="360" w:lineRule="auto"/>
        <w:rPr>
          <w:rFonts w:hint="eastAsia" w:ascii="宋体" w:hAnsi="宋体" w:eastAsia="宋体" w:cs="宋体"/>
          <w:sz w:val="28"/>
          <w:szCs w:val="28"/>
          <w:lang w:val="en-US" w:eastAsia="zh-CN"/>
        </w:rPr>
      </w:pPr>
      <w:bookmarkStart w:id="159" w:name="_Toc15727"/>
      <w:r>
        <w:rPr>
          <w:rFonts w:hint="eastAsia" w:ascii="宋体" w:hAnsi="宋体" w:eastAsia="宋体" w:cs="宋体"/>
          <w:sz w:val="28"/>
          <w:szCs w:val="28"/>
        </w:rPr>
        <w:t>5.</w:t>
      </w:r>
      <w:r>
        <w:rPr>
          <w:rFonts w:hint="eastAsia" w:ascii="宋体" w:hAnsi="宋体" w:eastAsia="宋体" w:cs="宋体"/>
          <w:sz w:val="28"/>
          <w:szCs w:val="28"/>
          <w:lang w:val="en-US" w:eastAsia="zh-CN"/>
        </w:rPr>
        <w:t>书面</w:t>
      </w:r>
      <w:r>
        <w:rPr>
          <w:rFonts w:hint="eastAsia" w:ascii="宋体" w:hAnsi="宋体" w:eastAsia="宋体" w:cs="宋体"/>
          <w:sz w:val="28"/>
          <w:szCs w:val="28"/>
        </w:rPr>
        <w:t>信用</w:t>
      </w:r>
      <w:bookmarkEnd w:id="159"/>
      <w:r>
        <w:rPr>
          <w:rFonts w:hint="eastAsia" w:ascii="宋体" w:hAnsi="宋体" w:eastAsia="宋体" w:cs="宋体"/>
          <w:sz w:val="28"/>
          <w:szCs w:val="28"/>
          <w:lang w:val="en-US" w:eastAsia="zh-CN"/>
        </w:rPr>
        <w:t>承诺函</w:t>
      </w:r>
    </w:p>
    <w:p w14:paraId="2BF6C3B9">
      <w:pPr>
        <w:spacing w:line="360" w:lineRule="auto"/>
        <w:rPr>
          <w:rFonts w:hint="eastAsia" w:ascii="宋体" w:hAnsi="宋体" w:eastAsia="宋体" w:cs="宋体"/>
          <w:sz w:val="28"/>
          <w:szCs w:val="28"/>
          <w:lang w:val="en-US" w:eastAsia="zh-CN"/>
        </w:rPr>
      </w:pPr>
      <w:bookmarkStart w:id="160" w:name="_Toc12228"/>
      <w:r>
        <w:rPr>
          <w:rFonts w:hint="eastAsia" w:ascii="宋体" w:hAnsi="宋体" w:eastAsia="宋体" w:cs="宋体"/>
          <w:sz w:val="28"/>
          <w:szCs w:val="28"/>
        </w:rPr>
        <w:t>6.控股管理关系</w:t>
      </w:r>
      <w:bookmarkEnd w:id="160"/>
      <w:bookmarkStart w:id="161" w:name="_Toc24652"/>
      <w:r>
        <w:rPr>
          <w:rFonts w:hint="eastAsia" w:ascii="宋体" w:hAnsi="宋体" w:eastAsia="宋体" w:cs="宋体"/>
          <w:sz w:val="28"/>
          <w:szCs w:val="28"/>
          <w:lang w:val="en-US" w:eastAsia="zh-CN"/>
        </w:rPr>
        <w:t>承诺书</w:t>
      </w:r>
    </w:p>
    <w:p w14:paraId="75DFC9F5">
      <w:pPr>
        <w:spacing w:line="360" w:lineRule="auto"/>
        <w:rPr>
          <w:rFonts w:hint="eastAsia" w:ascii="宋体" w:hAnsi="宋体" w:eastAsia="宋体" w:cs="宋体"/>
          <w:sz w:val="28"/>
          <w:szCs w:val="28"/>
        </w:rPr>
      </w:pPr>
      <w:r>
        <w:rPr>
          <w:rFonts w:hint="eastAsia" w:ascii="宋体" w:hAnsi="宋体" w:eastAsia="宋体" w:cs="宋体"/>
          <w:sz w:val="28"/>
          <w:szCs w:val="28"/>
        </w:rPr>
        <w:t>7.书面声明</w:t>
      </w:r>
      <w:bookmarkEnd w:id="161"/>
      <w:r>
        <w:rPr>
          <w:rFonts w:hint="eastAsia" w:ascii="宋体" w:hAnsi="宋体" w:eastAsia="宋体" w:cs="宋体"/>
          <w:sz w:val="28"/>
          <w:szCs w:val="28"/>
        </w:rPr>
        <w:t>（格式见附表一）</w:t>
      </w:r>
    </w:p>
    <w:p w14:paraId="1A057AC9">
      <w:pPr>
        <w:spacing w:line="360" w:lineRule="auto"/>
        <w:rPr>
          <w:rFonts w:hint="eastAsia" w:ascii="宋体" w:hAnsi="宋体" w:eastAsia="宋体" w:cs="宋体"/>
          <w:sz w:val="28"/>
          <w:szCs w:val="28"/>
        </w:rPr>
      </w:pPr>
      <w:bookmarkStart w:id="162" w:name="_Toc32587"/>
      <w:r>
        <w:rPr>
          <w:rFonts w:hint="eastAsia" w:ascii="宋体" w:hAnsi="宋体" w:eastAsia="宋体" w:cs="宋体"/>
          <w:sz w:val="28"/>
          <w:szCs w:val="28"/>
        </w:rPr>
        <w:t>8.法定代表人授权委托书（格式见附表</w:t>
      </w:r>
      <w:r>
        <w:rPr>
          <w:rFonts w:hint="eastAsia" w:ascii="宋体" w:hAnsi="宋体" w:eastAsia="宋体" w:cs="宋体"/>
          <w:sz w:val="28"/>
          <w:szCs w:val="28"/>
          <w:lang w:val="en-US" w:eastAsia="zh-CN"/>
        </w:rPr>
        <w:t>二</w:t>
      </w:r>
      <w:r>
        <w:rPr>
          <w:rFonts w:hint="eastAsia" w:ascii="宋体" w:hAnsi="宋体" w:eastAsia="宋体" w:cs="宋体"/>
          <w:sz w:val="28"/>
          <w:szCs w:val="28"/>
        </w:rPr>
        <w:t>）</w:t>
      </w:r>
      <w:bookmarkEnd w:id="162"/>
    </w:p>
    <w:p w14:paraId="491263D8">
      <w:pPr>
        <w:spacing w:line="360" w:lineRule="auto"/>
        <w:rPr>
          <w:rFonts w:hint="eastAsia" w:ascii="宋体" w:hAnsi="宋体" w:eastAsia="宋体" w:cs="宋体"/>
          <w:sz w:val="28"/>
          <w:szCs w:val="28"/>
        </w:rPr>
      </w:pPr>
      <w:bookmarkStart w:id="163" w:name="_Toc31478"/>
      <w:r>
        <w:rPr>
          <w:rFonts w:hint="eastAsia" w:ascii="宋体" w:hAnsi="宋体" w:eastAsia="宋体" w:cs="宋体"/>
          <w:sz w:val="28"/>
          <w:szCs w:val="28"/>
        </w:rPr>
        <w:t>9.所必需的设备和专业技术能力的承诺书</w:t>
      </w:r>
      <w:bookmarkEnd w:id="163"/>
    </w:p>
    <w:p w14:paraId="2BF05F9E">
      <w:pPr>
        <w:spacing w:line="360" w:lineRule="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10.企业资质</w:t>
      </w:r>
    </w:p>
    <w:p w14:paraId="260C29A9">
      <w:pPr>
        <w:spacing w:line="360" w:lineRule="auto"/>
        <w:rPr>
          <w:rFonts w:hint="eastAsia" w:ascii="宋体" w:hAnsi="宋体" w:eastAsia="宋体" w:cs="宋体"/>
          <w:b/>
          <w:bCs/>
          <w:sz w:val="28"/>
          <w:szCs w:val="28"/>
        </w:rPr>
      </w:pPr>
    </w:p>
    <w:p w14:paraId="39EA02F1">
      <w:pPr>
        <w:spacing w:line="360" w:lineRule="auto"/>
        <w:rPr>
          <w:rFonts w:hint="eastAsia" w:ascii="宋体" w:hAnsi="宋体" w:eastAsia="宋体" w:cs="宋体"/>
          <w:sz w:val="28"/>
          <w:szCs w:val="28"/>
        </w:rPr>
      </w:pPr>
    </w:p>
    <w:p w14:paraId="35F4BAAB">
      <w:pPr>
        <w:rPr>
          <w:rFonts w:hint="eastAsia" w:ascii="宋体" w:hAnsi="宋体" w:eastAsia="宋体" w:cs="宋体"/>
          <w:sz w:val="28"/>
          <w:szCs w:val="28"/>
        </w:rPr>
      </w:pPr>
      <w:r>
        <w:rPr>
          <w:rFonts w:hint="eastAsia" w:ascii="宋体" w:hAnsi="宋体" w:eastAsia="宋体" w:cs="宋体"/>
          <w:sz w:val="28"/>
          <w:szCs w:val="28"/>
        </w:rPr>
        <w:br w:type="page"/>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06A69BE1">
      <w:pPr>
        <w:spacing w:line="360" w:lineRule="auto"/>
        <w:rPr>
          <w:rFonts w:hint="eastAsia" w:ascii="宋体" w:hAnsi="宋体" w:eastAsia="宋体" w:cs="宋体"/>
          <w:b/>
          <w:sz w:val="28"/>
          <w:szCs w:val="28"/>
        </w:rPr>
      </w:pPr>
      <w:bookmarkStart w:id="164" w:name="_Toc455077546"/>
      <w:bookmarkStart w:id="165" w:name="_Toc1386"/>
      <w:bookmarkStart w:id="166" w:name="_Toc25120"/>
      <w:bookmarkStart w:id="167" w:name="_Toc458617471"/>
      <w:bookmarkStart w:id="168" w:name="_Toc193126882"/>
      <w:bookmarkStart w:id="169" w:name="_Toc193187098"/>
      <w:bookmarkStart w:id="170" w:name="_Toc188808834"/>
      <w:bookmarkStart w:id="171" w:name="_Toc194663919"/>
      <w:r>
        <w:rPr>
          <w:rFonts w:hint="eastAsia" w:ascii="宋体" w:hAnsi="宋体" w:eastAsia="宋体" w:cs="宋体"/>
          <w:b/>
          <w:bCs/>
          <w:szCs w:val="24"/>
        </w:rPr>
        <w:t>附表一：</w:t>
      </w:r>
    </w:p>
    <w:p w14:paraId="3585C84B">
      <w:pPr>
        <w:pStyle w:val="12"/>
        <w:jc w:val="center"/>
        <w:rPr>
          <w:rFonts w:hint="eastAsia" w:ascii="宋体" w:hAnsi="宋体" w:eastAsia="宋体" w:cs="宋体"/>
          <w:b/>
          <w:sz w:val="28"/>
          <w:szCs w:val="28"/>
        </w:rPr>
      </w:pPr>
      <w:r>
        <w:rPr>
          <w:rFonts w:hint="eastAsia" w:ascii="宋体" w:hAnsi="宋体" w:eastAsia="宋体" w:cs="宋体"/>
          <w:b/>
          <w:sz w:val="28"/>
          <w:szCs w:val="28"/>
        </w:rPr>
        <w:t>无重大违法记录声明</w:t>
      </w:r>
      <w:bookmarkEnd w:id="164"/>
    </w:p>
    <w:p w14:paraId="1C1FD199">
      <w:pPr>
        <w:spacing w:line="360" w:lineRule="auto"/>
        <w:ind w:firstLine="240" w:firstLineChars="100"/>
        <w:rPr>
          <w:rFonts w:hint="eastAsia" w:ascii="宋体" w:hAnsi="宋体" w:eastAsia="宋体" w:cs="宋体"/>
        </w:rPr>
      </w:pPr>
    </w:p>
    <w:p w14:paraId="3BDAFB2B">
      <w:pPr>
        <w:spacing w:line="360" w:lineRule="auto"/>
        <w:rPr>
          <w:rFonts w:hint="eastAsia" w:ascii="宋体" w:hAnsi="宋体" w:eastAsia="宋体" w:cs="宋体"/>
          <w:b/>
          <w:bCs/>
          <w:u w:val="single"/>
          <w:lang w:eastAsia="zh-CN"/>
        </w:rPr>
      </w:pPr>
      <w:r>
        <w:rPr>
          <w:rFonts w:hint="eastAsia" w:ascii="宋体" w:hAnsi="宋体" w:eastAsia="宋体" w:cs="宋体"/>
          <w:b/>
          <w:bCs/>
        </w:rPr>
        <w:t>致：</w:t>
      </w:r>
      <w:r>
        <w:rPr>
          <w:rFonts w:hint="eastAsia" w:ascii="宋体" w:hAnsi="宋体" w:eastAsia="宋体" w:cs="宋体"/>
          <w:b/>
          <w:bCs/>
          <w:lang w:eastAsia="zh-CN"/>
        </w:rPr>
        <w:t>陕西佳信项目管理有限公司</w:t>
      </w:r>
    </w:p>
    <w:p w14:paraId="25341C46">
      <w:pPr>
        <w:spacing w:line="360" w:lineRule="auto"/>
        <w:ind w:firstLine="480" w:firstLineChars="200"/>
        <w:rPr>
          <w:rFonts w:hint="eastAsia" w:ascii="宋体" w:hAnsi="宋体" w:eastAsia="宋体" w:cs="宋体"/>
        </w:rPr>
      </w:pPr>
      <w:r>
        <w:rPr>
          <w:rFonts w:hint="eastAsia" w:ascii="宋体" w:hAnsi="宋体" w:eastAsia="宋体" w:cs="宋体"/>
          <w:u w:val="single"/>
        </w:rPr>
        <w:t>（投标单位名称）</w:t>
      </w:r>
      <w:r>
        <w:rPr>
          <w:rFonts w:hint="eastAsia" w:ascii="宋体" w:hAnsi="宋体" w:eastAsia="宋体" w:cs="宋体"/>
        </w:rPr>
        <w:t>郑重声明，我方参加贵公司组织的项目</w:t>
      </w:r>
      <w:r>
        <w:rPr>
          <w:rFonts w:hint="eastAsia" w:ascii="宋体" w:hAnsi="宋体" w:eastAsia="宋体" w:cs="宋体"/>
          <w:lang w:val="en-US" w:eastAsia="zh-CN"/>
        </w:rPr>
        <w:t>名称：</w:t>
      </w:r>
      <w:r>
        <w:rPr>
          <w:rFonts w:hint="eastAsia" w:ascii="宋体" w:hAnsi="宋体" w:eastAsia="宋体" w:cs="宋体"/>
          <w:u w:val="single"/>
          <w:lang w:val="en-US" w:eastAsia="zh-CN"/>
        </w:rPr>
        <w:t xml:space="preserve">      </w:t>
      </w:r>
      <w:r>
        <w:rPr>
          <w:rFonts w:hint="eastAsia" w:ascii="宋体" w:hAnsi="宋体" w:eastAsia="宋体" w:cs="宋体"/>
          <w:u w:val="single"/>
        </w:rPr>
        <w:t>（项目编号</w:t>
      </w:r>
      <w:r>
        <w:rPr>
          <w:rFonts w:hint="eastAsia" w:ascii="宋体" w:hAnsi="宋体" w:eastAsia="宋体" w:cs="宋体"/>
          <w:u w:val="single"/>
          <w:lang w:eastAsia="zh-CN"/>
        </w:rPr>
        <w:t>：</w:t>
      </w:r>
      <w:r>
        <w:rPr>
          <w:rFonts w:hint="eastAsia" w:ascii="宋体" w:hAnsi="宋体" w:eastAsia="宋体" w:cs="宋体"/>
          <w:u w:val="single"/>
          <w:lang w:val="en-US" w:eastAsia="zh-CN"/>
        </w:rPr>
        <w:t xml:space="preserve">  </w:t>
      </w:r>
      <w:r>
        <w:rPr>
          <w:rFonts w:hint="eastAsia" w:ascii="宋体" w:hAnsi="宋体" w:eastAsia="宋体" w:cs="宋体"/>
          <w:u w:val="single"/>
        </w:rPr>
        <w:t>）</w:t>
      </w:r>
      <w:r>
        <w:rPr>
          <w:rFonts w:hint="eastAsia" w:ascii="宋体" w:hAnsi="宋体" w:eastAsia="宋体" w:cs="宋体"/>
        </w:rPr>
        <w:t>的采购活动前三年内无重大违法活动记录，符合《中华人民共和国政府采购法》规定的投标人资格条件。我方对此声明负全部法律责任。</w:t>
      </w:r>
    </w:p>
    <w:p w14:paraId="0B2F7095">
      <w:pPr>
        <w:spacing w:line="360" w:lineRule="auto"/>
        <w:ind w:firstLine="240" w:firstLineChars="100"/>
        <w:rPr>
          <w:rFonts w:hint="eastAsia" w:ascii="宋体" w:hAnsi="宋体" w:eastAsia="宋体" w:cs="宋体"/>
        </w:rPr>
      </w:pPr>
      <w:r>
        <w:rPr>
          <w:rFonts w:hint="eastAsia" w:ascii="宋体" w:hAnsi="宋体" w:eastAsia="宋体" w:cs="宋体"/>
        </w:rPr>
        <w:t>特此声明。</w:t>
      </w:r>
    </w:p>
    <w:p w14:paraId="3BB89A63">
      <w:pPr>
        <w:spacing w:line="360" w:lineRule="auto"/>
        <w:jc w:val="left"/>
        <w:rPr>
          <w:rFonts w:hint="eastAsia" w:ascii="宋体" w:hAnsi="宋体" w:eastAsia="宋体" w:cs="宋体"/>
        </w:rPr>
      </w:pPr>
    </w:p>
    <w:p w14:paraId="23E94FD0">
      <w:pPr>
        <w:spacing w:line="360" w:lineRule="auto"/>
        <w:jc w:val="left"/>
        <w:rPr>
          <w:rFonts w:hint="eastAsia" w:ascii="宋体" w:hAnsi="宋体" w:eastAsia="宋体" w:cs="宋体"/>
        </w:rPr>
      </w:pPr>
      <w:r>
        <w:rPr>
          <w:rFonts w:hint="eastAsia" w:ascii="宋体" w:hAnsi="宋体" w:eastAsia="宋体" w:cs="宋体"/>
        </w:rPr>
        <w:t>注：成立不足三年的投标人提供自成立之日起至开标之日止的无重大违法记录声明。</w:t>
      </w:r>
    </w:p>
    <w:p w14:paraId="776DB623">
      <w:pPr>
        <w:spacing w:line="360" w:lineRule="auto"/>
        <w:ind w:firstLine="4759" w:firstLineChars="1983"/>
        <w:rPr>
          <w:rFonts w:hint="eastAsia" w:ascii="宋体" w:hAnsi="宋体" w:eastAsia="宋体" w:cs="宋体"/>
          <w:szCs w:val="28"/>
        </w:rPr>
      </w:pPr>
    </w:p>
    <w:p w14:paraId="3B956AD0">
      <w:pPr>
        <w:spacing w:line="360" w:lineRule="auto"/>
        <w:rPr>
          <w:rFonts w:hint="eastAsia" w:ascii="宋体" w:hAnsi="宋体" w:eastAsia="宋体" w:cs="宋体"/>
          <w:szCs w:val="28"/>
        </w:rPr>
      </w:pPr>
      <w:r>
        <w:rPr>
          <w:rFonts w:hint="eastAsia" w:ascii="宋体" w:hAnsi="宋体" w:eastAsia="宋体" w:cs="宋体"/>
          <w:szCs w:val="28"/>
        </w:rPr>
        <w:t>投标单位名称(</w:t>
      </w:r>
      <w:r>
        <w:rPr>
          <w:rFonts w:hint="eastAsia" w:ascii="宋体" w:hAnsi="宋体" w:eastAsia="宋体" w:cs="宋体"/>
          <w:szCs w:val="28"/>
          <w:lang w:val="en-US" w:eastAsia="zh-CN"/>
        </w:rPr>
        <w:t>加盖公章</w:t>
      </w:r>
      <w:r>
        <w:rPr>
          <w:rFonts w:hint="eastAsia" w:ascii="宋体" w:hAnsi="宋体" w:eastAsia="宋体" w:cs="宋体"/>
          <w:szCs w:val="28"/>
        </w:rPr>
        <w:t>)：</w:t>
      </w:r>
    </w:p>
    <w:p w14:paraId="0CDFAFA8">
      <w:pPr>
        <w:spacing w:line="360" w:lineRule="auto"/>
        <w:rPr>
          <w:rFonts w:hint="eastAsia" w:ascii="宋体" w:hAnsi="宋体" w:eastAsia="宋体" w:cs="宋体"/>
          <w:szCs w:val="28"/>
        </w:rPr>
      </w:pPr>
      <w:r>
        <w:rPr>
          <w:rFonts w:hint="eastAsia" w:ascii="宋体" w:hAnsi="宋体" w:eastAsia="宋体" w:cs="宋体"/>
          <w:szCs w:val="28"/>
        </w:rPr>
        <w:t>日</w:t>
      </w:r>
      <w:r>
        <w:rPr>
          <w:rFonts w:hint="eastAsia" w:ascii="宋体" w:hAnsi="宋体" w:eastAsia="宋体" w:cs="宋体"/>
          <w:szCs w:val="28"/>
          <w:lang w:val="en-US" w:eastAsia="zh-CN"/>
        </w:rPr>
        <w:t xml:space="preserve"> </w:t>
      </w:r>
      <w:r>
        <w:rPr>
          <w:rFonts w:hint="eastAsia" w:ascii="宋体" w:hAnsi="宋体" w:eastAsia="宋体" w:cs="宋体"/>
          <w:szCs w:val="28"/>
        </w:rPr>
        <w:t>期：</w:t>
      </w:r>
    </w:p>
    <w:p w14:paraId="6DC75702">
      <w:pPr>
        <w:spacing w:line="360" w:lineRule="auto"/>
        <w:rPr>
          <w:rFonts w:hint="eastAsia" w:ascii="宋体" w:hAnsi="宋体" w:eastAsia="宋体" w:cs="宋体"/>
        </w:rPr>
      </w:pPr>
    </w:p>
    <w:p w14:paraId="70C66E8D">
      <w:pPr>
        <w:spacing w:line="360" w:lineRule="auto"/>
        <w:rPr>
          <w:rFonts w:hint="eastAsia" w:ascii="宋体" w:hAnsi="宋体" w:eastAsia="宋体" w:cs="宋体"/>
          <w:b/>
          <w:sz w:val="44"/>
          <w:szCs w:val="44"/>
        </w:rPr>
      </w:pPr>
      <w:r>
        <w:rPr>
          <w:rFonts w:hint="eastAsia" w:ascii="宋体" w:hAnsi="宋体" w:eastAsia="宋体" w:cs="宋体"/>
          <w:b/>
          <w:bCs/>
          <w:szCs w:val="24"/>
        </w:rPr>
        <w:br w:type="page"/>
      </w:r>
    </w:p>
    <w:p w14:paraId="63BC607E">
      <w:pPr>
        <w:spacing w:line="360" w:lineRule="auto"/>
        <w:rPr>
          <w:rFonts w:hint="eastAsia" w:ascii="宋体" w:hAnsi="宋体" w:eastAsia="宋体" w:cs="宋体"/>
          <w:b/>
          <w:bCs/>
          <w:szCs w:val="24"/>
          <w:lang w:eastAsia="zh-CN"/>
        </w:rPr>
      </w:pPr>
      <w:r>
        <w:rPr>
          <w:rFonts w:hint="eastAsia" w:ascii="宋体" w:hAnsi="宋体" w:eastAsia="宋体" w:cs="宋体"/>
          <w:b/>
          <w:bCs/>
          <w:szCs w:val="24"/>
        </w:rPr>
        <w:t>附表</w:t>
      </w:r>
      <w:r>
        <w:rPr>
          <w:rFonts w:hint="eastAsia" w:ascii="宋体" w:hAnsi="宋体" w:eastAsia="宋体" w:cs="宋体"/>
          <w:b/>
          <w:bCs/>
          <w:szCs w:val="24"/>
          <w:lang w:val="en-US" w:eastAsia="zh-CN"/>
        </w:rPr>
        <w:t>二</w:t>
      </w:r>
    </w:p>
    <w:p w14:paraId="07CACD48">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8-1、法定代表人资格证明书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295"/>
        <w:gridCol w:w="1825"/>
        <w:gridCol w:w="1241"/>
        <w:gridCol w:w="2573"/>
      </w:tblGrid>
      <w:tr w14:paraId="4B3F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40" w:type="dxa"/>
            <w:gridSpan w:val="5"/>
          </w:tcPr>
          <w:p w14:paraId="7CE50D01">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陕西佳信项目管理有限公司</w:t>
            </w:r>
          </w:p>
        </w:tc>
      </w:tr>
      <w:tr w14:paraId="1C91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3D0E17AE">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项目名称</w:t>
            </w:r>
          </w:p>
        </w:tc>
        <w:tc>
          <w:tcPr>
            <w:tcW w:w="7934" w:type="dxa"/>
            <w:gridSpan w:val="4"/>
          </w:tcPr>
          <w:p w14:paraId="2012F8F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679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58D8AE5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lang w:val="en-US" w:eastAsia="zh-CN"/>
              </w:rPr>
              <w:t>项目</w:t>
            </w:r>
            <w:r>
              <w:rPr>
                <w:rFonts w:hint="eastAsia" w:ascii="宋体" w:hAnsi="宋体" w:eastAsia="宋体" w:cs="宋体"/>
                <w:bCs/>
                <w:caps/>
                <w:szCs w:val="24"/>
              </w:rPr>
              <w:t>编号</w:t>
            </w:r>
          </w:p>
        </w:tc>
        <w:tc>
          <w:tcPr>
            <w:tcW w:w="7934" w:type="dxa"/>
            <w:gridSpan w:val="4"/>
          </w:tcPr>
          <w:p w14:paraId="6FC4C205">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0D4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vAlign w:val="center"/>
          </w:tcPr>
          <w:p w14:paraId="5B578AD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权限</w:t>
            </w:r>
          </w:p>
        </w:tc>
        <w:tc>
          <w:tcPr>
            <w:tcW w:w="7934" w:type="dxa"/>
            <w:gridSpan w:val="4"/>
            <w:vAlign w:val="center"/>
          </w:tcPr>
          <w:p w14:paraId="0D43020E">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办理本次招标采购项目的投标、联系、洽谈、签约、执行等具体事务，签署全部有关文件、文书、协议及合同。</w:t>
            </w:r>
          </w:p>
        </w:tc>
      </w:tr>
      <w:tr w14:paraId="0A85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394F8B5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有效期</w:t>
            </w:r>
          </w:p>
        </w:tc>
        <w:tc>
          <w:tcPr>
            <w:tcW w:w="7934" w:type="dxa"/>
            <w:gridSpan w:val="4"/>
            <w:vAlign w:val="center"/>
          </w:tcPr>
          <w:p w14:paraId="26E347C2">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szCs w:val="24"/>
              </w:rPr>
              <w:t>自提交投标文件的截止之日起90个日历日</w:t>
            </w:r>
          </w:p>
        </w:tc>
      </w:tr>
      <w:tr w14:paraId="5BB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restart"/>
            <w:vAlign w:val="center"/>
          </w:tcPr>
          <w:p w14:paraId="0D5BB06E">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企业</w:t>
            </w:r>
          </w:p>
          <w:p w14:paraId="5C4EF9FF">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信息</w:t>
            </w:r>
          </w:p>
        </w:tc>
        <w:tc>
          <w:tcPr>
            <w:tcW w:w="2295" w:type="dxa"/>
          </w:tcPr>
          <w:p w14:paraId="6C5D1A42">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企业名称</w:t>
            </w:r>
          </w:p>
        </w:tc>
        <w:tc>
          <w:tcPr>
            <w:tcW w:w="5639" w:type="dxa"/>
            <w:gridSpan w:val="3"/>
          </w:tcPr>
          <w:p w14:paraId="07B5E50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9C7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115C961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7AB9FCF0">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法定地址</w:t>
            </w:r>
          </w:p>
        </w:tc>
        <w:tc>
          <w:tcPr>
            <w:tcW w:w="5639" w:type="dxa"/>
            <w:gridSpan w:val="3"/>
          </w:tcPr>
          <w:p w14:paraId="60853048">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322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6896E14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2A7B5B07">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639" w:type="dxa"/>
            <w:gridSpan w:val="3"/>
          </w:tcPr>
          <w:p w14:paraId="47C8C17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473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57933F2C">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25EE3C30">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工商登记机关</w:t>
            </w:r>
          </w:p>
        </w:tc>
        <w:tc>
          <w:tcPr>
            <w:tcW w:w="5639" w:type="dxa"/>
            <w:gridSpan w:val="3"/>
          </w:tcPr>
          <w:p w14:paraId="1F33FF94">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56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58BEFD0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6EA210BF">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网址</w:t>
            </w:r>
          </w:p>
        </w:tc>
        <w:tc>
          <w:tcPr>
            <w:tcW w:w="5639" w:type="dxa"/>
            <w:gridSpan w:val="3"/>
          </w:tcPr>
          <w:p w14:paraId="11167E6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50B9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restart"/>
            <w:vAlign w:val="center"/>
          </w:tcPr>
          <w:p w14:paraId="59925AE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w:t>
            </w:r>
          </w:p>
          <w:p w14:paraId="795C3DD6">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表人</w:t>
            </w:r>
          </w:p>
        </w:tc>
        <w:tc>
          <w:tcPr>
            <w:tcW w:w="2295" w:type="dxa"/>
          </w:tcPr>
          <w:p w14:paraId="2443143C">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姓名</w:t>
            </w:r>
          </w:p>
        </w:tc>
        <w:tc>
          <w:tcPr>
            <w:tcW w:w="1825" w:type="dxa"/>
          </w:tcPr>
          <w:p w14:paraId="2F85C876">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41" w:type="dxa"/>
          </w:tcPr>
          <w:p w14:paraId="474F3EE1">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性别</w:t>
            </w:r>
          </w:p>
        </w:tc>
        <w:tc>
          <w:tcPr>
            <w:tcW w:w="2573" w:type="dxa"/>
          </w:tcPr>
          <w:p w14:paraId="47DC723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1C7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79BDB761">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4A43C6E0">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职务</w:t>
            </w:r>
          </w:p>
        </w:tc>
        <w:tc>
          <w:tcPr>
            <w:tcW w:w="1825" w:type="dxa"/>
          </w:tcPr>
          <w:p w14:paraId="2BF9EAB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41" w:type="dxa"/>
          </w:tcPr>
          <w:p w14:paraId="1640E062">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联系电话</w:t>
            </w:r>
          </w:p>
        </w:tc>
        <w:tc>
          <w:tcPr>
            <w:tcW w:w="2573" w:type="dxa"/>
          </w:tcPr>
          <w:p w14:paraId="6FA67F3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9D0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53A7E469">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2F2CDCC1">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传真</w:t>
            </w:r>
          </w:p>
        </w:tc>
        <w:tc>
          <w:tcPr>
            <w:tcW w:w="5639" w:type="dxa"/>
            <w:gridSpan w:val="3"/>
          </w:tcPr>
          <w:p w14:paraId="48213B2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A6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0DC4C030">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06B71282">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5639" w:type="dxa"/>
            <w:gridSpan w:val="3"/>
          </w:tcPr>
          <w:p w14:paraId="371058C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09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9440" w:type="dxa"/>
            <w:gridSpan w:val="5"/>
          </w:tcPr>
          <w:p w14:paraId="405DD23B">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5EC10515">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3549E3D9">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31D6D701">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4A56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40" w:type="dxa"/>
            <w:gridSpan w:val="5"/>
          </w:tcPr>
          <w:p w14:paraId="0B5960C8">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法定代表人签字及盖章：</w:t>
            </w:r>
          </w:p>
        </w:tc>
      </w:tr>
    </w:tbl>
    <w:p w14:paraId="6DBA1BBB">
      <w:pPr>
        <w:spacing w:line="360" w:lineRule="auto"/>
        <w:rPr>
          <w:rFonts w:hint="eastAsia" w:ascii="宋体" w:hAnsi="宋体" w:eastAsia="宋体" w:cs="宋体"/>
          <w:b/>
          <w:bCs/>
          <w:szCs w:val="24"/>
          <w:lang w:val="en-US" w:eastAsia="zh-CN"/>
        </w:rPr>
      </w:pPr>
      <w:r>
        <w:rPr>
          <w:rFonts w:hint="eastAsia" w:ascii="宋体" w:hAnsi="宋体" w:eastAsia="宋体" w:cs="宋体"/>
          <w:szCs w:val="24"/>
        </w:rPr>
        <w:t>投标</w:t>
      </w:r>
      <w:r>
        <w:rPr>
          <w:rFonts w:hint="eastAsia" w:ascii="宋体" w:hAnsi="宋体" w:eastAsia="宋体" w:cs="宋体"/>
          <w:kern w:val="2"/>
          <w:sz w:val="24"/>
          <w:szCs w:val="24"/>
          <w:shd w:val="clear" w:color="auto" w:fill="FFFFFF"/>
          <w:lang w:val="en-US" w:eastAsia="zh-CN" w:bidi="ar-SA"/>
        </w:rPr>
        <w:t>单位</w:t>
      </w:r>
      <w:r>
        <w:rPr>
          <w:rFonts w:hint="eastAsia" w:ascii="宋体" w:hAnsi="宋体" w:eastAsia="宋体" w:cs="宋体"/>
          <w:szCs w:val="24"/>
        </w:rPr>
        <w:t>名称：（单位公章）</w:t>
      </w:r>
      <w:r>
        <w:rPr>
          <w:rFonts w:hint="eastAsia" w:ascii="宋体" w:hAnsi="宋体" w:eastAsia="宋体" w:cs="宋体"/>
          <w:szCs w:val="24"/>
          <w:lang w:val="en-US" w:eastAsia="zh-CN"/>
        </w:rPr>
        <w:t xml:space="preserve">            </w:t>
      </w:r>
      <w:r>
        <w:rPr>
          <w:rFonts w:hint="eastAsia" w:ascii="宋体" w:hAnsi="宋体" w:eastAsia="宋体" w:cs="宋体"/>
          <w:szCs w:val="24"/>
        </w:rPr>
        <w:t>日</w:t>
      </w:r>
      <w:r>
        <w:rPr>
          <w:rFonts w:hint="eastAsia" w:ascii="宋体" w:hAnsi="宋体" w:eastAsia="宋体" w:cs="宋体"/>
          <w:szCs w:val="24"/>
          <w:lang w:val="en-US" w:eastAsia="zh-CN"/>
        </w:rPr>
        <w:t xml:space="preserve"> </w:t>
      </w:r>
      <w:r>
        <w:rPr>
          <w:rFonts w:hint="eastAsia" w:ascii="宋体" w:hAnsi="宋体" w:eastAsia="宋体" w:cs="宋体"/>
          <w:szCs w:val="24"/>
        </w:rPr>
        <w:t>期：</w:t>
      </w:r>
      <w:r>
        <w:rPr>
          <w:rFonts w:hint="eastAsia" w:ascii="宋体" w:hAnsi="宋体" w:eastAsia="宋体" w:cs="宋体"/>
          <w:szCs w:val="24"/>
          <w:lang w:val="en-US" w:eastAsia="zh-CN"/>
        </w:rPr>
        <w:t xml:space="preserve">  年  月  日</w:t>
      </w:r>
    </w:p>
    <w:p w14:paraId="2A9B4195">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br w:type="page"/>
      </w:r>
    </w:p>
    <w:p w14:paraId="50134B13">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8-2、法定代表人授权委托书</w:t>
      </w:r>
    </w:p>
    <w:tbl>
      <w:tblPr>
        <w:tblStyle w:val="2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27"/>
        <w:gridCol w:w="1027"/>
        <w:gridCol w:w="643"/>
        <w:gridCol w:w="769"/>
        <w:gridCol w:w="1410"/>
        <w:gridCol w:w="2623"/>
      </w:tblGrid>
      <w:tr w14:paraId="0B36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40" w:type="dxa"/>
            <w:gridSpan w:val="7"/>
          </w:tcPr>
          <w:p w14:paraId="565FD571">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陕西佳信项目管理有限公司</w:t>
            </w:r>
          </w:p>
        </w:tc>
      </w:tr>
      <w:tr w14:paraId="560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26C9090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w:t>
            </w:r>
          </w:p>
          <w:p w14:paraId="7D232B55">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权项</w:t>
            </w:r>
          </w:p>
          <w:p w14:paraId="04F41D8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目与</w:t>
            </w:r>
          </w:p>
          <w:p w14:paraId="3353866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内容</w:t>
            </w:r>
          </w:p>
        </w:tc>
        <w:tc>
          <w:tcPr>
            <w:tcW w:w="1227" w:type="dxa"/>
          </w:tcPr>
          <w:p w14:paraId="07F097FE">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项目名称</w:t>
            </w:r>
          </w:p>
        </w:tc>
        <w:tc>
          <w:tcPr>
            <w:tcW w:w="6472" w:type="dxa"/>
            <w:gridSpan w:val="5"/>
          </w:tcPr>
          <w:p w14:paraId="1083993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2DA6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41" w:type="dxa"/>
            <w:vMerge w:val="continue"/>
          </w:tcPr>
          <w:p w14:paraId="36114AB4">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29FF755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lang w:val="en-US" w:eastAsia="zh-CN"/>
              </w:rPr>
              <w:t>项目</w:t>
            </w:r>
            <w:r>
              <w:rPr>
                <w:rFonts w:hint="eastAsia" w:ascii="宋体" w:hAnsi="宋体" w:eastAsia="宋体" w:cs="宋体"/>
                <w:bCs/>
                <w:caps/>
                <w:szCs w:val="24"/>
              </w:rPr>
              <w:t>编号</w:t>
            </w:r>
          </w:p>
        </w:tc>
        <w:tc>
          <w:tcPr>
            <w:tcW w:w="6472" w:type="dxa"/>
            <w:gridSpan w:val="5"/>
          </w:tcPr>
          <w:p w14:paraId="0D7BE54D">
            <w:pPr>
              <w:tabs>
                <w:tab w:val="right" w:leader="dot" w:pos="9022"/>
              </w:tabs>
              <w:autoSpaceDE w:val="0"/>
              <w:autoSpaceDN w:val="0"/>
              <w:adjustRightInd w:val="0"/>
              <w:spacing w:line="360" w:lineRule="auto"/>
              <w:ind w:firstLine="1200" w:firstLineChars="500"/>
              <w:jc w:val="left"/>
              <w:rPr>
                <w:rFonts w:hint="eastAsia" w:ascii="宋体" w:hAnsi="宋体" w:eastAsia="宋体" w:cs="宋体"/>
                <w:bCs/>
                <w:caps/>
                <w:szCs w:val="24"/>
              </w:rPr>
            </w:pPr>
          </w:p>
        </w:tc>
      </w:tr>
      <w:tr w14:paraId="6CE5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41" w:type="dxa"/>
            <w:vMerge w:val="continue"/>
          </w:tcPr>
          <w:p w14:paraId="38466CC4">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266B808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授权范围</w:t>
            </w:r>
          </w:p>
        </w:tc>
        <w:tc>
          <w:tcPr>
            <w:tcW w:w="6472" w:type="dxa"/>
            <w:gridSpan w:val="5"/>
          </w:tcPr>
          <w:p w14:paraId="27195CA6">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全权办理本次招标采购项目的投标、联系、洽谈、签约、执行等具体事务，签署全部有关文件、文书、协议及合同。</w:t>
            </w:r>
          </w:p>
        </w:tc>
      </w:tr>
      <w:tr w14:paraId="319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3177513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06C1897B">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法律责任</w:t>
            </w:r>
          </w:p>
        </w:tc>
        <w:tc>
          <w:tcPr>
            <w:tcW w:w="6472" w:type="dxa"/>
            <w:gridSpan w:val="5"/>
          </w:tcPr>
          <w:p w14:paraId="7FA65DFB">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本公司对被授权人在本项目中的签名承担全部法律责任。</w:t>
            </w:r>
          </w:p>
        </w:tc>
      </w:tr>
      <w:tr w14:paraId="35F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6CCB91A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700E7BA1">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授权期限</w:t>
            </w:r>
          </w:p>
        </w:tc>
        <w:tc>
          <w:tcPr>
            <w:tcW w:w="6472" w:type="dxa"/>
            <w:gridSpan w:val="5"/>
            <w:vAlign w:val="center"/>
          </w:tcPr>
          <w:p w14:paraId="3F8A6EBC">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本授权书</w:t>
            </w:r>
            <w:r>
              <w:rPr>
                <w:rFonts w:hint="eastAsia" w:ascii="宋体" w:hAnsi="宋体" w:eastAsia="宋体" w:cs="宋体"/>
                <w:szCs w:val="24"/>
              </w:rPr>
              <w:t>自提交投标文件的截止之日起90个日历日</w:t>
            </w:r>
          </w:p>
        </w:tc>
      </w:tr>
      <w:tr w14:paraId="1D5B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0BDD6F91">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企业信息</w:t>
            </w:r>
          </w:p>
        </w:tc>
        <w:tc>
          <w:tcPr>
            <w:tcW w:w="2254" w:type="dxa"/>
            <w:gridSpan w:val="2"/>
          </w:tcPr>
          <w:p w14:paraId="73DB214C">
            <w:pPr>
              <w:tabs>
                <w:tab w:val="right" w:leader="dot" w:pos="9022"/>
              </w:tabs>
              <w:autoSpaceDE w:val="0"/>
              <w:autoSpaceDN w:val="0"/>
              <w:adjustRightInd w:val="0"/>
              <w:spacing w:line="360" w:lineRule="auto"/>
              <w:rPr>
                <w:rFonts w:hint="eastAsia" w:ascii="宋体" w:hAnsi="宋体" w:eastAsia="宋体" w:cs="宋体"/>
                <w:bCs/>
                <w:caps/>
                <w:szCs w:val="24"/>
                <w:lang w:eastAsia="zh-CN"/>
              </w:rPr>
            </w:pPr>
            <w:r>
              <w:rPr>
                <w:rFonts w:hint="eastAsia" w:ascii="宋体" w:hAnsi="宋体" w:eastAsia="宋体" w:cs="宋体"/>
                <w:bCs/>
                <w:caps/>
                <w:szCs w:val="24"/>
              </w:rPr>
              <w:t>企业名称</w:t>
            </w:r>
          </w:p>
        </w:tc>
        <w:tc>
          <w:tcPr>
            <w:tcW w:w="5445" w:type="dxa"/>
            <w:gridSpan w:val="4"/>
            <w:vAlign w:val="center"/>
          </w:tcPr>
          <w:p w14:paraId="3B957061">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524C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41D3F80F">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6D0B0746">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法定地址</w:t>
            </w:r>
          </w:p>
        </w:tc>
        <w:tc>
          <w:tcPr>
            <w:tcW w:w="5445" w:type="dxa"/>
            <w:gridSpan w:val="4"/>
            <w:vAlign w:val="center"/>
          </w:tcPr>
          <w:p w14:paraId="48B6B13A">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7CA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5BAC05A6">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76F72DDB">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445" w:type="dxa"/>
            <w:gridSpan w:val="4"/>
            <w:vAlign w:val="center"/>
          </w:tcPr>
          <w:p w14:paraId="26399A5A">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0C8F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7B049215">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法定代表人</w:t>
            </w:r>
          </w:p>
        </w:tc>
        <w:tc>
          <w:tcPr>
            <w:tcW w:w="1227" w:type="dxa"/>
            <w:vAlign w:val="center"/>
          </w:tcPr>
          <w:p w14:paraId="15EC3BE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2133CC68">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32D09D86">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性别</w:t>
            </w:r>
          </w:p>
        </w:tc>
        <w:tc>
          <w:tcPr>
            <w:tcW w:w="2623" w:type="dxa"/>
            <w:vAlign w:val="center"/>
          </w:tcPr>
          <w:p w14:paraId="3BE978A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59E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vAlign w:val="center"/>
          </w:tcPr>
          <w:p w14:paraId="435E5F45">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0080A0BB">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6660CED9">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1230C43B">
            <w:pPr>
              <w:tabs>
                <w:tab w:val="right" w:leader="dot" w:pos="9022"/>
              </w:tabs>
              <w:autoSpaceDE w:val="0"/>
              <w:autoSpaceDN w:val="0"/>
              <w:adjustRightInd w:val="0"/>
              <w:spacing w:line="360" w:lineRule="auto"/>
              <w:jc w:val="center"/>
              <w:rPr>
                <w:rFonts w:hint="eastAsia" w:ascii="宋体" w:hAnsi="宋体" w:eastAsia="宋体" w:cs="宋体"/>
                <w:bCs/>
                <w:caps/>
                <w:szCs w:val="24"/>
                <w:lang w:eastAsia="zh-CN"/>
              </w:rPr>
            </w:pPr>
            <w:r>
              <w:rPr>
                <w:rFonts w:hint="eastAsia" w:ascii="宋体" w:hAnsi="宋体" w:eastAsia="宋体" w:cs="宋体"/>
                <w:bCs/>
                <w:caps/>
                <w:szCs w:val="24"/>
                <w:lang w:val="en-US" w:eastAsia="zh-CN"/>
              </w:rPr>
              <w:t>联系电话</w:t>
            </w:r>
          </w:p>
        </w:tc>
        <w:tc>
          <w:tcPr>
            <w:tcW w:w="2623" w:type="dxa"/>
            <w:vAlign w:val="center"/>
          </w:tcPr>
          <w:p w14:paraId="2023E539">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2F86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5014C01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w:t>
            </w:r>
          </w:p>
        </w:tc>
        <w:tc>
          <w:tcPr>
            <w:tcW w:w="1227" w:type="dxa"/>
            <w:vAlign w:val="center"/>
          </w:tcPr>
          <w:p w14:paraId="3A1F9CBD">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740BF33E">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430908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性别</w:t>
            </w:r>
          </w:p>
        </w:tc>
        <w:tc>
          <w:tcPr>
            <w:tcW w:w="2623" w:type="dxa"/>
            <w:vAlign w:val="center"/>
          </w:tcPr>
          <w:p w14:paraId="171ED2CD">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3519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41DF90E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2CD428E6">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7429FEA7">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04A8147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lang w:val="en-US" w:eastAsia="zh-CN"/>
              </w:rPr>
              <w:t>联系电话</w:t>
            </w:r>
          </w:p>
        </w:tc>
        <w:tc>
          <w:tcPr>
            <w:tcW w:w="2623" w:type="dxa"/>
          </w:tcPr>
          <w:p w14:paraId="3CA33080">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6295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tcPr>
          <w:p w14:paraId="1A4D5BCF">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7699" w:type="dxa"/>
            <w:gridSpan w:val="6"/>
          </w:tcPr>
          <w:p w14:paraId="5F058B7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7BF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438" w:type="dxa"/>
            <w:gridSpan w:val="4"/>
            <w:vAlign w:val="center"/>
          </w:tcPr>
          <w:p w14:paraId="14723EE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2E5CB44A">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146BF56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c>
          <w:tcPr>
            <w:tcW w:w="4802" w:type="dxa"/>
            <w:gridSpan w:val="3"/>
            <w:vAlign w:val="center"/>
          </w:tcPr>
          <w:p w14:paraId="3F4CB9E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被授权人身份证复印件</w:t>
            </w:r>
          </w:p>
          <w:p w14:paraId="71820F4E">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5B886F1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r>
      <w:tr w14:paraId="1AF5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40" w:type="dxa"/>
            <w:gridSpan w:val="7"/>
            <w:tcBorders>
              <w:bottom w:val="single" w:color="auto" w:sz="4" w:space="0"/>
            </w:tcBorders>
            <w:vAlign w:val="center"/>
          </w:tcPr>
          <w:p w14:paraId="507DDB90">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法定代表人及被授权人签字或盖章：</w:t>
            </w:r>
          </w:p>
        </w:tc>
      </w:tr>
    </w:tbl>
    <w:p w14:paraId="28CC8D65">
      <w:pPr>
        <w:autoSpaceDE w:val="0"/>
        <w:autoSpaceDN w:val="0"/>
        <w:adjustRightInd w:val="0"/>
        <w:snapToGrid w:val="0"/>
        <w:spacing w:line="360" w:lineRule="auto"/>
        <w:rPr>
          <w:rFonts w:hint="eastAsia" w:ascii="宋体" w:hAnsi="宋体" w:eastAsia="宋体" w:cs="宋体"/>
          <w:bCs/>
          <w:caps/>
          <w:szCs w:val="24"/>
          <w:lang w:val="en-US" w:eastAsia="zh-CN"/>
        </w:rPr>
      </w:pPr>
      <w:r>
        <w:rPr>
          <w:rFonts w:hint="eastAsia" w:ascii="宋体" w:hAnsi="宋体" w:eastAsia="宋体" w:cs="宋体"/>
          <w:bCs/>
          <w:caps/>
          <w:szCs w:val="24"/>
        </w:rPr>
        <w:t>投标</w:t>
      </w:r>
      <w:r>
        <w:rPr>
          <w:rFonts w:hint="eastAsia" w:ascii="宋体" w:hAnsi="宋体" w:eastAsia="宋体" w:cs="宋体"/>
          <w:kern w:val="2"/>
          <w:sz w:val="24"/>
          <w:szCs w:val="24"/>
          <w:shd w:val="clear" w:color="auto" w:fill="FFFFFF"/>
          <w:lang w:val="en-US" w:eastAsia="zh-CN" w:bidi="ar-SA"/>
        </w:rPr>
        <w:t>单位</w:t>
      </w:r>
      <w:r>
        <w:rPr>
          <w:rFonts w:hint="eastAsia" w:ascii="宋体" w:hAnsi="宋体" w:eastAsia="宋体" w:cs="宋体"/>
          <w:bCs/>
          <w:caps/>
          <w:szCs w:val="24"/>
        </w:rPr>
        <w:t>名称：（单位公章）</w:t>
      </w:r>
      <w:r>
        <w:rPr>
          <w:rFonts w:hint="eastAsia" w:ascii="宋体" w:hAnsi="宋体" w:eastAsia="宋体" w:cs="宋体"/>
          <w:bCs/>
          <w:caps/>
          <w:szCs w:val="24"/>
          <w:lang w:val="en-US" w:eastAsia="zh-CN"/>
        </w:rPr>
        <w:t xml:space="preserve">                       </w:t>
      </w:r>
      <w:r>
        <w:rPr>
          <w:rFonts w:hint="eastAsia" w:ascii="宋体" w:hAnsi="宋体" w:eastAsia="宋体" w:cs="宋体"/>
          <w:bCs/>
          <w:caps/>
          <w:szCs w:val="24"/>
        </w:rPr>
        <w:t>日</w:t>
      </w:r>
      <w:r>
        <w:rPr>
          <w:rFonts w:hint="eastAsia" w:ascii="宋体" w:hAnsi="宋体" w:eastAsia="宋体" w:cs="宋体"/>
          <w:bCs/>
          <w:caps/>
          <w:szCs w:val="24"/>
          <w:lang w:val="en-US" w:eastAsia="zh-CN"/>
        </w:rPr>
        <w:t xml:space="preserve"> </w:t>
      </w:r>
      <w:r>
        <w:rPr>
          <w:rFonts w:hint="eastAsia" w:ascii="宋体" w:hAnsi="宋体" w:eastAsia="宋体" w:cs="宋体"/>
          <w:bCs/>
          <w:caps/>
          <w:szCs w:val="24"/>
        </w:rPr>
        <w:t>期：</w:t>
      </w:r>
      <w:r>
        <w:rPr>
          <w:rFonts w:hint="eastAsia" w:ascii="宋体" w:hAnsi="宋体" w:eastAsia="宋体" w:cs="宋体"/>
          <w:bCs/>
          <w:caps/>
          <w:szCs w:val="24"/>
          <w:lang w:val="en-US" w:eastAsia="zh-CN"/>
        </w:rPr>
        <w:t xml:space="preserve">   年  月  日</w:t>
      </w:r>
    </w:p>
    <w:p w14:paraId="4150B358">
      <w:pPr>
        <w:rPr>
          <w:rFonts w:hint="eastAsia" w:ascii="宋体" w:hAnsi="宋体" w:eastAsia="宋体" w:cs="宋体"/>
          <w:b/>
        </w:rPr>
      </w:pPr>
    </w:p>
    <w:p w14:paraId="480C8A33">
      <w:pPr>
        <w:outlineLvl w:val="1"/>
        <w:rPr>
          <w:rFonts w:hint="eastAsia" w:ascii="宋体" w:hAnsi="宋体" w:eastAsia="宋体" w:cs="宋体"/>
          <w:b/>
          <w:sz w:val="32"/>
          <w:szCs w:val="28"/>
        </w:rPr>
      </w:pPr>
      <w:bookmarkStart w:id="172" w:name="_Toc8729"/>
      <w:bookmarkStart w:id="173" w:name="_Toc9324"/>
      <w:bookmarkStart w:id="174" w:name="_Toc6710"/>
      <w:bookmarkStart w:id="175" w:name="_Toc11836"/>
      <w:bookmarkStart w:id="176" w:name="_Toc625"/>
      <w:r>
        <w:rPr>
          <w:rFonts w:hint="eastAsia" w:ascii="宋体" w:hAnsi="宋体" w:eastAsia="宋体" w:cs="宋体"/>
          <w:b/>
          <w:sz w:val="32"/>
          <w:szCs w:val="28"/>
        </w:rPr>
        <w:t>三、符合性证明文件</w:t>
      </w:r>
      <w:bookmarkEnd w:id="172"/>
      <w:bookmarkEnd w:id="173"/>
      <w:bookmarkEnd w:id="174"/>
      <w:bookmarkEnd w:id="175"/>
      <w:bookmarkEnd w:id="176"/>
    </w:p>
    <w:p w14:paraId="70FB3761">
      <w:pPr>
        <w:jc w:val="center"/>
        <w:rPr>
          <w:rFonts w:hint="eastAsia" w:ascii="宋体" w:hAnsi="宋体" w:eastAsia="宋体" w:cs="宋体"/>
          <w:b/>
        </w:rPr>
      </w:pPr>
    </w:p>
    <w:p w14:paraId="1C7EFC5C">
      <w:pPr>
        <w:numPr>
          <w:ilvl w:val="0"/>
          <w:numId w:val="2"/>
        </w:numPr>
        <w:jc w:val="center"/>
        <w:outlineLvl w:val="2"/>
        <w:rPr>
          <w:rFonts w:hint="eastAsia" w:ascii="宋体" w:hAnsi="宋体" w:eastAsia="宋体" w:cs="宋体"/>
          <w:b/>
          <w:sz w:val="28"/>
          <w:szCs w:val="24"/>
        </w:rPr>
      </w:pPr>
      <w:bookmarkStart w:id="177" w:name="_Toc23367"/>
      <w:bookmarkStart w:id="178" w:name="_Toc28246"/>
      <w:bookmarkStart w:id="179" w:name="_Toc13393"/>
      <w:bookmarkStart w:id="180" w:name="_Toc7538"/>
      <w:r>
        <w:rPr>
          <w:rFonts w:hint="eastAsia" w:ascii="宋体" w:hAnsi="宋体" w:eastAsia="宋体" w:cs="宋体"/>
          <w:b/>
          <w:sz w:val="28"/>
          <w:szCs w:val="24"/>
        </w:rPr>
        <w:t>投标函</w:t>
      </w:r>
      <w:bookmarkEnd w:id="165"/>
      <w:bookmarkEnd w:id="166"/>
      <w:bookmarkEnd w:id="167"/>
      <w:bookmarkEnd w:id="177"/>
      <w:bookmarkEnd w:id="178"/>
      <w:bookmarkEnd w:id="179"/>
      <w:bookmarkEnd w:id="180"/>
    </w:p>
    <w:p w14:paraId="74C29F92">
      <w:pPr>
        <w:pStyle w:val="51"/>
        <w:rPr>
          <w:rFonts w:hint="eastAsia" w:ascii="宋体" w:hAnsi="宋体" w:eastAsia="宋体" w:cs="宋体"/>
        </w:rPr>
      </w:pPr>
    </w:p>
    <w:p w14:paraId="62CF34A5">
      <w:pPr>
        <w:spacing w:line="360" w:lineRule="auto"/>
        <w:rPr>
          <w:rFonts w:hint="eastAsia" w:ascii="宋体" w:hAnsi="宋体" w:eastAsia="宋体" w:cs="宋体"/>
          <w:b/>
          <w:szCs w:val="24"/>
          <w:lang w:eastAsia="zh-CN"/>
        </w:rPr>
      </w:pPr>
      <w:r>
        <w:rPr>
          <w:rFonts w:hint="eastAsia" w:ascii="宋体" w:hAnsi="宋体" w:eastAsia="宋体" w:cs="宋体"/>
          <w:b/>
          <w:szCs w:val="24"/>
        </w:rPr>
        <w:t>致：</w:t>
      </w:r>
      <w:r>
        <w:rPr>
          <w:rFonts w:hint="eastAsia" w:ascii="宋体" w:hAnsi="宋体" w:eastAsia="宋体" w:cs="宋体"/>
          <w:b/>
          <w:szCs w:val="24"/>
          <w:lang w:eastAsia="zh-CN"/>
        </w:rPr>
        <w:t>陕西佳信项目管理有限公司</w:t>
      </w:r>
    </w:p>
    <w:p w14:paraId="04751562">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根据贵单位</w:t>
      </w:r>
      <w:r>
        <w:rPr>
          <w:rFonts w:hint="eastAsia" w:ascii="宋体" w:hAnsi="宋体" w:eastAsia="宋体" w:cs="宋体"/>
          <w:szCs w:val="24"/>
          <w:u w:val="single"/>
        </w:rPr>
        <w:t>（招标项目名称）</w:t>
      </w:r>
      <w:r>
        <w:rPr>
          <w:rFonts w:hint="eastAsia" w:ascii="宋体" w:hAnsi="宋体" w:eastAsia="宋体" w:cs="宋体"/>
          <w:szCs w:val="24"/>
        </w:rPr>
        <w:t>项目</w:t>
      </w:r>
      <w:r>
        <w:rPr>
          <w:rFonts w:hint="eastAsia" w:ascii="宋体" w:hAnsi="宋体" w:eastAsia="宋体" w:cs="宋体"/>
          <w:szCs w:val="24"/>
          <w:u w:val="single"/>
        </w:rPr>
        <w:t>（项目编号）</w:t>
      </w:r>
      <w:r>
        <w:rPr>
          <w:rFonts w:hint="eastAsia" w:ascii="宋体" w:hAnsi="宋体" w:eastAsia="宋体" w:cs="宋体"/>
          <w:szCs w:val="24"/>
        </w:rPr>
        <w:t>的采购公告，我方代表</w:t>
      </w:r>
      <w:r>
        <w:rPr>
          <w:rFonts w:hint="eastAsia" w:ascii="宋体" w:hAnsi="宋体" w:eastAsia="宋体" w:cs="宋体"/>
          <w:szCs w:val="24"/>
          <w:u w:val="single"/>
        </w:rPr>
        <w:t>（姓名、职务）</w:t>
      </w:r>
      <w:r>
        <w:rPr>
          <w:rFonts w:hint="eastAsia" w:ascii="宋体" w:hAnsi="宋体" w:eastAsia="宋体" w:cs="宋体"/>
          <w:szCs w:val="24"/>
        </w:rPr>
        <w:t>经正式授权并代表</w:t>
      </w:r>
      <w:r>
        <w:rPr>
          <w:rFonts w:hint="eastAsia" w:ascii="宋体" w:hAnsi="宋体" w:eastAsia="宋体" w:cs="宋体"/>
          <w:szCs w:val="24"/>
          <w:u w:val="single"/>
        </w:rPr>
        <w:t>（投标人名称）</w:t>
      </w:r>
      <w:r>
        <w:rPr>
          <w:rFonts w:hint="eastAsia" w:ascii="宋体" w:hAnsi="宋体" w:eastAsia="宋体" w:cs="宋体"/>
          <w:szCs w:val="24"/>
        </w:rPr>
        <w:t>就该项目进行投标。</w:t>
      </w:r>
    </w:p>
    <w:p w14:paraId="50DC77AA">
      <w:pPr>
        <w:spacing w:line="360" w:lineRule="auto"/>
        <w:ind w:firstLine="472" w:firstLineChars="196"/>
        <w:rPr>
          <w:rFonts w:hint="eastAsia" w:ascii="宋体" w:hAnsi="宋体" w:eastAsia="宋体" w:cs="宋体"/>
          <w:b/>
          <w:szCs w:val="24"/>
        </w:rPr>
      </w:pPr>
      <w:r>
        <w:rPr>
          <w:rFonts w:hint="eastAsia" w:ascii="宋体" w:hAnsi="宋体" w:eastAsia="宋体" w:cs="宋体"/>
          <w:b/>
          <w:szCs w:val="24"/>
        </w:rPr>
        <w:t>在此，我方郑重声明以下诸点，并负法律责任：</w:t>
      </w:r>
    </w:p>
    <w:p w14:paraId="3CDD7D41">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1、我方提交的投标电子文件一份。</w:t>
      </w:r>
    </w:p>
    <w:p w14:paraId="560105EF">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2、我方所附投标报价表中应提交和交付的货物/服务投标总价</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投标单价之和</w:t>
      </w:r>
      <w:r>
        <w:rPr>
          <w:rFonts w:hint="eastAsia" w:ascii="宋体" w:hAnsi="宋体" w:eastAsia="宋体" w:cs="宋体"/>
          <w:b/>
          <w:bCs/>
          <w:szCs w:val="24"/>
          <w:lang w:eastAsia="zh-CN"/>
        </w:rPr>
        <w:t>）</w:t>
      </w:r>
      <w:r>
        <w:rPr>
          <w:rFonts w:hint="eastAsia" w:ascii="宋体" w:hAnsi="宋体" w:eastAsia="宋体" w:cs="宋体"/>
          <w:b/>
          <w:bCs/>
          <w:szCs w:val="24"/>
        </w:rPr>
        <w:t>为人民币：</w:t>
      </w:r>
      <w:r>
        <w:rPr>
          <w:rFonts w:hint="eastAsia" w:ascii="宋体" w:hAnsi="宋体" w:eastAsia="宋体" w:cs="宋体"/>
          <w:szCs w:val="24"/>
          <w:u w:val="single"/>
        </w:rPr>
        <w:t>（同时用汉字大写和数字表示的投标总价）</w:t>
      </w:r>
      <w:r>
        <w:rPr>
          <w:rFonts w:hint="eastAsia" w:ascii="宋体" w:hAnsi="宋体" w:eastAsia="宋体" w:cs="宋体"/>
          <w:szCs w:val="24"/>
        </w:rPr>
        <w:t>。该报价一次报死，不受市场因素的影响。</w:t>
      </w:r>
    </w:p>
    <w:p w14:paraId="35BA2D4E">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3、我方已详细审查全部招标文件，完全理解并同意放弃对这方面有不明及误解质疑的权力。</w:t>
      </w:r>
    </w:p>
    <w:p w14:paraId="4727455D">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4、我方完全理解并同意招标文件中有关没收投标保证金的条款。</w:t>
      </w:r>
    </w:p>
    <w:p w14:paraId="5198D989">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5、我方同意按照要求提供投标有关的一切数据或资料。</w:t>
      </w:r>
    </w:p>
    <w:p w14:paraId="1F3700B1">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6、我方将按招标文件的规定履行合同责任和义务。</w:t>
      </w:r>
    </w:p>
    <w:p w14:paraId="66830AC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7、我方完全理解最低报价不是中标的唯一条件，采购人有权选择质优价廉的货物/服务。</w:t>
      </w:r>
    </w:p>
    <w:p w14:paraId="4AFA26C0">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8、我方同意按招标文件规定，遵守贵方有关招标的各项规定。</w:t>
      </w:r>
    </w:p>
    <w:p w14:paraId="775C0991">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9、若我方中标，我方保证按有关规定向贵方支付采购代理服务费。</w:t>
      </w:r>
    </w:p>
    <w:p w14:paraId="3A4E6814">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10、投标有效期为自提交投标文件的截止之日起90个日历日。</w:t>
      </w:r>
    </w:p>
    <w:p w14:paraId="1857A5C8">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11、所有关于本项目的函电，请按下列地址联系：</w:t>
      </w:r>
    </w:p>
    <w:p w14:paraId="19EA71AD">
      <w:pPr>
        <w:spacing w:line="360" w:lineRule="auto"/>
        <w:ind w:firstLine="496" w:firstLineChars="200"/>
        <w:rPr>
          <w:rFonts w:hint="eastAsia" w:ascii="宋体" w:hAnsi="宋体" w:eastAsia="宋体" w:cs="宋体"/>
          <w:szCs w:val="24"/>
          <w:u w:val="single"/>
          <w:lang w:eastAsia="zh-CN"/>
        </w:rPr>
      </w:pPr>
      <w:r>
        <w:rPr>
          <w:rFonts w:hint="eastAsia" w:ascii="宋体" w:hAnsi="宋体" w:eastAsia="宋体" w:cs="宋体"/>
          <w:spacing w:val="4"/>
          <w:szCs w:val="24"/>
        </w:rPr>
        <w:t>投标单位</w:t>
      </w:r>
      <w:r>
        <w:rPr>
          <w:rFonts w:hint="eastAsia" w:ascii="宋体" w:hAnsi="宋体" w:eastAsia="宋体" w:cs="宋体"/>
          <w:szCs w:val="24"/>
        </w:rPr>
        <w:t>名称（公章）：</w:t>
      </w:r>
    </w:p>
    <w:p w14:paraId="7A0C4556">
      <w:pPr>
        <w:spacing w:line="360" w:lineRule="auto"/>
        <w:ind w:firstLine="480" w:firstLineChars="200"/>
        <w:rPr>
          <w:rFonts w:hint="eastAsia" w:ascii="宋体" w:hAnsi="宋体" w:eastAsia="宋体" w:cs="宋体"/>
          <w:szCs w:val="24"/>
          <w:u w:val="single"/>
          <w:lang w:eastAsia="zh-CN"/>
        </w:rPr>
      </w:pPr>
      <w:r>
        <w:rPr>
          <w:rFonts w:hint="eastAsia" w:ascii="宋体" w:hAnsi="宋体" w:eastAsia="宋体" w:cs="宋体"/>
          <w:szCs w:val="24"/>
        </w:rPr>
        <w:t>详细地址：</w:t>
      </w:r>
    </w:p>
    <w:p w14:paraId="7C3B630C">
      <w:pPr>
        <w:autoSpaceDE w:val="0"/>
        <w:autoSpaceDN w:val="0"/>
        <w:adjustRightInd w:val="0"/>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val="zh-CN"/>
        </w:rPr>
        <w:t>法定代表人或被授权人（签字或盖章）：</w:t>
      </w:r>
    </w:p>
    <w:p w14:paraId="66D2F104">
      <w:pPr>
        <w:autoSpaceDE w:val="0"/>
        <w:autoSpaceDN w:val="0"/>
        <w:adjustRightInd w:val="0"/>
        <w:spacing w:line="360" w:lineRule="auto"/>
        <w:ind w:firstLine="480" w:firstLineChars="200"/>
        <w:rPr>
          <w:rFonts w:hint="eastAsia" w:ascii="宋体" w:hAnsi="宋体" w:eastAsia="宋体" w:cs="宋体"/>
          <w:szCs w:val="24"/>
          <w:u w:val="single"/>
          <w:lang w:val="zh-CN" w:eastAsia="zh-CN"/>
        </w:rPr>
      </w:pPr>
      <w:r>
        <w:rPr>
          <w:rFonts w:hint="eastAsia" w:ascii="宋体" w:hAnsi="宋体" w:eastAsia="宋体" w:cs="宋体"/>
          <w:szCs w:val="24"/>
          <w:lang w:val="zh-CN"/>
        </w:rPr>
        <w:t>联系电话/手机：</w:t>
      </w:r>
    </w:p>
    <w:p w14:paraId="1975DE16">
      <w:pPr>
        <w:spacing w:line="360" w:lineRule="auto"/>
        <w:ind w:left="240" w:leftChars="100" w:firstLine="240" w:firstLineChars="100"/>
        <w:jc w:val="both"/>
        <w:rPr>
          <w:rFonts w:hint="eastAsia" w:ascii="宋体" w:hAnsi="宋体" w:eastAsia="宋体" w:cs="宋体"/>
          <w:szCs w:val="24"/>
        </w:rPr>
        <w:sectPr>
          <w:headerReference r:id="rId9" w:type="default"/>
          <w:footerReference r:id="rId10" w:type="default"/>
          <w:pgSz w:w="11905" w:h="16838"/>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szCs w:val="24"/>
          <w:lang w:val="en-US" w:eastAsia="zh-CN"/>
        </w:rPr>
        <w:t xml:space="preserve">日 期：   </w:t>
      </w:r>
      <w:r>
        <w:rPr>
          <w:rFonts w:hint="eastAsia" w:ascii="宋体" w:hAnsi="宋体" w:eastAsia="宋体" w:cs="宋体"/>
          <w:szCs w:val="24"/>
        </w:rPr>
        <w:t>年</w:t>
      </w:r>
      <w:r>
        <w:rPr>
          <w:rFonts w:hint="eastAsia" w:ascii="宋体" w:hAnsi="宋体" w:eastAsia="宋体" w:cs="宋体"/>
          <w:szCs w:val="24"/>
          <w:lang w:val="en-US" w:eastAsia="zh-CN"/>
        </w:rPr>
        <w:t xml:space="preserve">   </w:t>
      </w:r>
      <w:r>
        <w:rPr>
          <w:rFonts w:hint="eastAsia" w:ascii="宋体" w:hAnsi="宋体" w:eastAsia="宋体" w:cs="宋体"/>
          <w:szCs w:val="24"/>
        </w:rPr>
        <w:t>月</w:t>
      </w:r>
      <w:r>
        <w:rPr>
          <w:rFonts w:hint="eastAsia" w:ascii="宋体" w:hAnsi="宋体" w:eastAsia="宋体" w:cs="宋体"/>
          <w:szCs w:val="24"/>
          <w:lang w:val="en-US" w:eastAsia="zh-CN"/>
        </w:rPr>
        <w:t xml:space="preserve">   </w:t>
      </w:r>
      <w:r>
        <w:rPr>
          <w:rFonts w:hint="eastAsia" w:ascii="宋体" w:hAnsi="宋体" w:eastAsia="宋体" w:cs="宋体"/>
          <w:szCs w:val="24"/>
        </w:rPr>
        <w:t>日</w:t>
      </w:r>
    </w:p>
    <w:bookmarkEnd w:id="168"/>
    <w:bookmarkEnd w:id="169"/>
    <w:bookmarkEnd w:id="170"/>
    <w:bookmarkEnd w:id="171"/>
    <w:p w14:paraId="1EEBC88F">
      <w:pPr>
        <w:pStyle w:val="55"/>
        <w:spacing w:line="360" w:lineRule="auto"/>
        <w:jc w:val="center"/>
        <w:outlineLvl w:val="2"/>
        <w:rPr>
          <w:rFonts w:hint="eastAsia" w:ascii="宋体" w:hAnsi="宋体" w:eastAsia="宋体" w:cs="宋体"/>
          <w:b/>
          <w:sz w:val="28"/>
          <w:szCs w:val="32"/>
        </w:rPr>
      </w:pPr>
      <w:bookmarkStart w:id="181" w:name="_Toc458617472"/>
      <w:bookmarkStart w:id="182" w:name="_Toc4592"/>
      <w:bookmarkStart w:id="183" w:name="_Toc6986"/>
      <w:bookmarkStart w:id="184" w:name="_Toc4528"/>
      <w:bookmarkStart w:id="185" w:name="_Toc9280"/>
      <w:bookmarkStart w:id="186" w:name="_Toc9806"/>
      <w:bookmarkStart w:id="187" w:name="_Toc5497"/>
      <w:bookmarkStart w:id="188" w:name="_Toc188808840"/>
      <w:bookmarkStart w:id="189" w:name="_Toc193126889"/>
      <w:bookmarkStart w:id="190" w:name="_Toc194663926"/>
      <w:bookmarkStart w:id="191" w:name="_Toc193187105"/>
      <w:r>
        <w:rPr>
          <w:rFonts w:hint="eastAsia" w:ascii="宋体" w:hAnsi="宋体" w:eastAsia="宋体" w:cs="宋体"/>
          <w:b/>
          <w:sz w:val="28"/>
          <w:szCs w:val="32"/>
        </w:rPr>
        <w:t>2.开标一览表</w:t>
      </w:r>
      <w:bookmarkEnd w:id="181"/>
      <w:bookmarkEnd w:id="182"/>
      <w:bookmarkEnd w:id="183"/>
      <w:bookmarkEnd w:id="184"/>
      <w:bookmarkEnd w:id="185"/>
      <w:bookmarkEnd w:id="186"/>
      <w:bookmarkEnd w:id="187"/>
    </w:p>
    <w:p w14:paraId="1D8F8FE2">
      <w:pPr>
        <w:spacing w:line="360" w:lineRule="auto"/>
        <w:ind w:firstLine="120" w:firstLineChars="50"/>
        <w:rPr>
          <w:rFonts w:hint="eastAsia" w:ascii="宋体" w:hAnsi="宋体" w:eastAsia="宋体" w:cs="宋体"/>
          <w:bCs/>
          <w:kern w:val="0"/>
          <w:szCs w:val="24"/>
          <w:u w:val="single"/>
          <w:lang w:eastAsia="zh-CN"/>
        </w:rPr>
      </w:pPr>
    </w:p>
    <w:p w14:paraId="225FA6A8">
      <w:pPr>
        <w:widowControl/>
        <w:spacing w:line="384" w:lineRule="auto"/>
        <w:ind w:firstLine="810" w:firstLineChars="300"/>
        <w:rPr>
          <w:rFonts w:hint="eastAsia" w:ascii="宋体" w:hAnsi="宋体" w:eastAsia="宋体" w:cs="宋体"/>
          <w:sz w:val="27"/>
          <w:szCs w:val="27"/>
        </w:rPr>
      </w:pPr>
      <w:bookmarkStart w:id="192" w:name="_Toc12688"/>
      <w:bookmarkStart w:id="193" w:name="_Toc188808838"/>
      <w:bookmarkStart w:id="194" w:name="_Toc458617476"/>
      <w:bookmarkStart w:id="195" w:name="_Toc193126887"/>
      <w:bookmarkStart w:id="196" w:name="_Toc193187103"/>
      <w:bookmarkStart w:id="197" w:name="_Toc2240"/>
      <w:bookmarkStart w:id="198" w:name="_Toc194663924"/>
      <w:bookmarkStart w:id="199" w:name="_Toc11969"/>
      <w:r>
        <w:rPr>
          <w:rFonts w:hint="eastAsia" w:ascii="宋体" w:hAnsi="宋体" w:eastAsia="宋体" w:cs="宋体"/>
          <w:sz w:val="27"/>
          <w:szCs w:val="27"/>
        </w:rPr>
        <w:t>项目编号：</w:t>
      </w:r>
    </w:p>
    <w:p w14:paraId="183BE3C4">
      <w:pPr>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项目名称：</w:t>
      </w:r>
    </w:p>
    <w:p w14:paraId="06DBB84A">
      <w:pPr>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标段编号：</w:t>
      </w:r>
    </w:p>
    <w:p w14:paraId="23CD06E6">
      <w:pPr>
        <w:widowControl/>
        <w:spacing w:line="384" w:lineRule="auto"/>
        <w:ind w:firstLine="810" w:firstLineChars="300"/>
        <w:rPr>
          <w:rFonts w:hint="eastAsia" w:ascii="宋体" w:hAnsi="宋体" w:eastAsia="宋体" w:cs="宋体"/>
          <w:bCs/>
          <w:color w:val="0000FF"/>
          <w:szCs w:val="24"/>
          <w:u w:val="single"/>
          <w:lang w:eastAsia="zh-CN"/>
        </w:rPr>
      </w:pPr>
      <w:r>
        <w:rPr>
          <w:rFonts w:hint="eastAsia" w:ascii="宋体" w:hAnsi="宋体" w:eastAsia="宋体" w:cs="宋体"/>
          <w:sz w:val="27"/>
          <w:szCs w:val="27"/>
        </w:rPr>
        <w:t>标段名称：</w:t>
      </w:r>
    </w:p>
    <w:tbl>
      <w:tblPr>
        <w:tblStyle w:val="29"/>
        <w:tblW w:w="7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4"/>
        <w:gridCol w:w="5745"/>
      </w:tblGrid>
      <w:tr w14:paraId="3988FA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734" w:type="dxa"/>
            <w:vAlign w:val="center"/>
          </w:tcPr>
          <w:p w14:paraId="17DD877C">
            <w:pPr>
              <w:widowControl/>
              <w:spacing w:line="384" w:lineRule="auto"/>
              <w:jc w:val="center"/>
              <w:rPr>
                <w:rFonts w:hint="eastAsia" w:ascii="宋体" w:hAnsi="宋体" w:eastAsia="宋体" w:cs="宋体"/>
                <w:sz w:val="27"/>
                <w:szCs w:val="27"/>
              </w:rPr>
            </w:pPr>
            <w:r>
              <w:rPr>
                <w:rFonts w:hint="eastAsia" w:ascii="宋体" w:hAnsi="宋体" w:eastAsia="宋体" w:cs="宋体"/>
                <w:sz w:val="27"/>
                <w:szCs w:val="27"/>
              </w:rPr>
              <w:t>标题</w:t>
            </w:r>
          </w:p>
        </w:tc>
        <w:tc>
          <w:tcPr>
            <w:tcW w:w="5745" w:type="dxa"/>
            <w:vAlign w:val="center"/>
          </w:tcPr>
          <w:p w14:paraId="0584A60F">
            <w:pPr>
              <w:widowControl/>
              <w:spacing w:line="384" w:lineRule="auto"/>
              <w:ind w:firstLine="2430" w:firstLineChars="900"/>
              <w:rPr>
                <w:rFonts w:hint="eastAsia" w:ascii="宋体" w:hAnsi="宋体" w:eastAsia="宋体" w:cs="宋体"/>
                <w:sz w:val="27"/>
                <w:szCs w:val="27"/>
              </w:rPr>
            </w:pPr>
            <w:r>
              <w:rPr>
                <w:rFonts w:hint="eastAsia" w:ascii="宋体" w:hAnsi="宋体" w:eastAsia="宋体" w:cs="宋体"/>
                <w:sz w:val="27"/>
                <w:szCs w:val="27"/>
              </w:rPr>
              <w:t>内</w:t>
            </w:r>
            <w:r>
              <w:rPr>
                <w:rFonts w:hint="eastAsia" w:ascii="宋体" w:hAnsi="宋体" w:eastAsia="宋体" w:cs="宋体"/>
                <w:sz w:val="27"/>
                <w:szCs w:val="27"/>
                <w:lang w:val="en-US" w:eastAsia="zh-CN"/>
              </w:rPr>
              <w:t xml:space="preserve"> </w:t>
            </w:r>
            <w:r>
              <w:rPr>
                <w:rFonts w:hint="eastAsia" w:ascii="宋体" w:hAnsi="宋体" w:eastAsia="宋体" w:cs="宋体"/>
                <w:sz w:val="27"/>
                <w:szCs w:val="27"/>
              </w:rPr>
              <w:t>容</w:t>
            </w:r>
          </w:p>
        </w:tc>
      </w:tr>
      <w:tr w14:paraId="4B129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734" w:type="dxa"/>
            <w:vAlign w:val="center"/>
          </w:tcPr>
          <w:p w14:paraId="232FE9D7">
            <w:pPr>
              <w:widowControl/>
              <w:spacing w:line="384"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投标报价</w:t>
            </w:r>
          </w:p>
        </w:tc>
        <w:tc>
          <w:tcPr>
            <w:tcW w:w="5745" w:type="dxa"/>
            <w:vAlign w:val="center"/>
          </w:tcPr>
          <w:p w14:paraId="56F35F55">
            <w:pPr>
              <w:widowControl/>
              <w:spacing w:line="384" w:lineRule="auto"/>
              <w:rPr>
                <w:rFonts w:hint="eastAsia" w:ascii="宋体" w:hAnsi="宋体" w:eastAsia="宋体" w:cs="宋体"/>
                <w:sz w:val="27"/>
                <w:szCs w:val="27"/>
                <w:lang w:val="en-US" w:eastAsia="zh-CN"/>
              </w:rPr>
            </w:pPr>
          </w:p>
        </w:tc>
      </w:tr>
      <w:tr w14:paraId="4C85AB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1734" w:type="dxa"/>
            <w:vAlign w:val="center"/>
          </w:tcPr>
          <w:p w14:paraId="71950365">
            <w:pPr>
              <w:widowControl/>
              <w:spacing w:line="384"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合同履行期限</w:t>
            </w:r>
          </w:p>
        </w:tc>
        <w:tc>
          <w:tcPr>
            <w:tcW w:w="5745" w:type="dxa"/>
            <w:vAlign w:val="center"/>
          </w:tcPr>
          <w:p w14:paraId="551C3039">
            <w:pPr>
              <w:widowControl/>
              <w:spacing w:line="384" w:lineRule="auto"/>
              <w:jc w:val="center"/>
              <w:rPr>
                <w:rFonts w:hint="eastAsia" w:ascii="宋体" w:hAnsi="宋体" w:eastAsia="宋体" w:cs="宋体"/>
                <w:sz w:val="27"/>
                <w:szCs w:val="27"/>
              </w:rPr>
            </w:pPr>
          </w:p>
        </w:tc>
      </w:tr>
    </w:tbl>
    <w:p w14:paraId="11D0F1C8">
      <w:pPr>
        <w:spacing w:line="360" w:lineRule="auto"/>
        <w:rPr>
          <w:rFonts w:hint="eastAsia" w:ascii="宋体" w:hAnsi="宋体" w:eastAsia="宋体" w:cs="宋体"/>
          <w:szCs w:val="24"/>
        </w:rPr>
      </w:pPr>
    </w:p>
    <w:p w14:paraId="01A4850D">
      <w:pPr>
        <w:widowControl/>
        <w:numPr>
          <w:ilvl w:val="0"/>
          <w:numId w:val="0"/>
        </w:numPr>
        <w:spacing w:line="384" w:lineRule="auto"/>
        <w:rPr>
          <w:rFonts w:hint="eastAsia" w:ascii="宋体" w:hAnsi="宋体" w:eastAsia="宋体" w:cs="宋体"/>
          <w:b/>
          <w:bCs/>
          <w:color w:val="000000"/>
          <w:sz w:val="24"/>
          <w:szCs w:val="24"/>
        </w:rPr>
      </w:pPr>
      <w:r>
        <w:rPr>
          <w:rFonts w:hint="eastAsia" w:ascii="宋体" w:hAnsi="宋体" w:eastAsia="宋体" w:cs="宋体"/>
          <w:b/>
          <w:bCs/>
          <w:szCs w:val="24"/>
          <w:lang w:val="en-US" w:eastAsia="zh-CN"/>
        </w:rPr>
        <w:t>备注：1.</w:t>
      </w:r>
      <w:r>
        <w:rPr>
          <w:rFonts w:hint="eastAsia" w:ascii="宋体" w:hAnsi="宋体" w:eastAsia="宋体" w:cs="宋体"/>
          <w:b/>
          <w:bCs/>
          <w:color w:val="000000"/>
          <w:sz w:val="24"/>
          <w:szCs w:val="24"/>
        </w:rPr>
        <w:t>投标</w:t>
      </w:r>
      <w:r>
        <w:rPr>
          <w:rFonts w:hint="eastAsia" w:ascii="宋体" w:hAnsi="宋体" w:eastAsia="宋体" w:cs="宋体"/>
          <w:b/>
          <w:bCs/>
          <w:color w:val="000000"/>
          <w:sz w:val="24"/>
          <w:szCs w:val="24"/>
          <w:lang w:val="en-US" w:eastAsia="zh-CN"/>
        </w:rPr>
        <w:t>报价</w:t>
      </w:r>
      <w:r>
        <w:rPr>
          <w:rFonts w:hint="eastAsia" w:ascii="宋体" w:hAnsi="宋体" w:eastAsia="宋体" w:cs="宋体"/>
          <w:b/>
          <w:bCs/>
          <w:color w:val="000000"/>
          <w:sz w:val="24"/>
          <w:szCs w:val="24"/>
        </w:rPr>
        <w:t>=营养餐的</w:t>
      </w:r>
      <w:r>
        <w:rPr>
          <w:rFonts w:hint="eastAsia" w:ascii="宋体" w:hAnsi="宋体" w:eastAsia="宋体" w:cs="宋体"/>
          <w:b/>
          <w:bCs/>
          <w:color w:val="000000"/>
          <w:sz w:val="24"/>
          <w:szCs w:val="24"/>
          <w:lang w:val="en-US" w:eastAsia="zh-CN"/>
        </w:rPr>
        <w:t>成本</w:t>
      </w:r>
      <w:r>
        <w:rPr>
          <w:rFonts w:hint="eastAsia" w:ascii="宋体" w:hAnsi="宋体" w:eastAsia="宋体" w:cs="宋体"/>
          <w:b/>
          <w:bCs/>
          <w:color w:val="000000"/>
          <w:sz w:val="24"/>
          <w:szCs w:val="24"/>
        </w:rPr>
        <w:t>固定单价+配送费</w:t>
      </w:r>
      <w:r>
        <w:rPr>
          <w:rFonts w:hint="eastAsia" w:ascii="宋体" w:hAnsi="宋体" w:eastAsia="宋体" w:cs="宋体"/>
          <w:b/>
          <w:bCs/>
          <w:color w:val="000000"/>
          <w:sz w:val="24"/>
          <w:szCs w:val="24"/>
          <w:lang w:val="en-US" w:eastAsia="zh-CN"/>
        </w:rPr>
        <w:t>单价</w:t>
      </w:r>
      <w:r>
        <w:rPr>
          <w:rFonts w:hint="eastAsia" w:ascii="宋体" w:hAnsi="宋体" w:eastAsia="宋体" w:cs="宋体"/>
          <w:b/>
          <w:bCs/>
          <w:color w:val="000000"/>
          <w:sz w:val="24"/>
          <w:szCs w:val="24"/>
        </w:rPr>
        <w:t>报价。</w:t>
      </w:r>
    </w:p>
    <w:p w14:paraId="1AD2D057">
      <w:pPr>
        <w:widowControl/>
        <w:numPr>
          <w:ilvl w:val="0"/>
          <w:numId w:val="0"/>
        </w:numPr>
        <w:spacing w:line="384" w:lineRule="auto"/>
        <w:ind w:firstLine="542" w:firstLineChars="200"/>
        <w:rPr>
          <w:rFonts w:hint="eastAsia" w:ascii="宋体" w:hAnsi="宋体" w:eastAsia="宋体" w:cs="宋体"/>
          <w:b/>
          <w:bCs/>
          <w:sz w:val="27"/>
          <w:szCs w:val="27"/>
        </w:rPr>
      </w:pPr>
      <w:r>
        <w:rPr>
          <w:rFonts w:hint="eastAsia" w:ascii="宋体" w:hAnsi="宋体" w:eastAsia="宋体" w:cs="宋体"/>
          <w:b/>
          <w:bCs/>
          <w:kern w:val="2"/>
          <w:sz w:val="27"/>
          <w:szCs w:val="27"/>
          <w:lang w:val="en-US" w:eastAsia="zh-CN" w:bidi="ar-SA"/>
        </w:rPr>
        <w:t>2.</w:t>
      </w:r>
      <w:r>
        <w:rPr>
          <w:rFonts w:hint="eastAsia" w:ascii="宋体" w:hAnsi="宋体" w:eastAsia="宋体" w:cs="宋体"/>
          <w:b/>
          <w:bCs/>
          <w:color w:val="000000"/>
          <w:sz w:val="24"/>
          <w:szCs w:val="24"/>
        </w:rPr>
        <w:t>投标报价表中营养餐的</w:t>
      </w:r>
      <w:r>
        <w:rPr>
          <w:rFonts w:hint="eastAsia" w:ascii="宋体" w:hAnsi="宋体" w:eastAsia="宋体" w:cs="宋体"/>
          <w:b/>
          <w:bCs/>
          <w:color w:val="000000"/>
          <w:sz w:val="24"/>
          <w:szCs w:val="24"/>
          <w:lang w:val="en-US" w:eastAsia="zh-CN"/>
        </w:rPr>
        <w:t>成本</w:t>
      </w:r>
      <w:r>
        <w:rPr>
          <w:rFonts w:hint="eastAsia" w:ascii="宋体" w:hAnsi="宋体" w:eastAsia="宋体" w:cs="宋体"/>
          <w:b/>
          <w:bCs/>
          <w:color w:val="000000"/>
          <w:sz w:val="24"/>
          <w:szCs w:val="24"/>
        </w:rPr>
        <w:t>固定单价，每份</w:t>
      </w:r>
      <w:r>
        <w:rPr>
          <w:rFonts w:hint="eastAsia" w:ascii="宋体" w:hAnsi="宋体" w:eastAsia="宋体" w:cs="宋体"/>
          <w:b/>
          <w:bCs/>
          <w:color w:val="000000"/>
          <w:sz w:val="24"/>
          <w:szCs w:val="24"/>
          <w:lang w:val="en-US" w:eastAsia="zh-CN"/>
        </w:rPr>
        <w:t>5.00</w:t>
      </w:r>
      <w:r>
        <w:rPr>
          <w:rFonts w:hint="eastAsia" w:ascii="宋体" w:hAnsi="宋体" w:eastAsia="宋体" w:cs="宋体"/>
          <w:b/>
          <w:bCs/>
          <w:color w:val="000000"/>
          <w:sz w:val="24"/>
          <w:szCs w:val="24"/>
        </w:rPr>
        <w:t>元，低于或高于</w:t>
      </w:r>
      <w:r>
        <w:rPr>
          <w:rFonts w:hint="eastAsia" w:ascii="宋体" w:hAnsi="宋体" w:eastAsia="宋体" w:cs="宋体"/>
          <w:b/>
          <w:bCs/>
          <w:color w:val="000000"/>
          <w:sz w:val="24"/>
          <w:szCs w:val="24"/>
          <w:lang w:val="en-US" w:eastAsia="zh-CN"/>
        </w:rPr>
        <w:t>5.00</w:t>
      </w:r>
      <w:r>
        <w:rPr>
          <w:rFonts w:hint="eastAsia" w:ascii="宋体" w:hAnsi="宋体" w:eastAsia="宋体" w:cs="宋体"/>
          <w:b/>
          <w:bCs/>
          <w:color w:val="000000"/>
          <w:sz w:val="24"/>
          <w:szCs w:val="24"/>
        </w:rPr>
        <w:t>元/份，均视为无效报价。</w:t>
      </w:r>
    </w:p>
    <w:p w14:paraId="7033F565">
      <w:pPr>
        <w:widowControl/>
        <w:numPr>
          <w:ilvl w:val="0"/>
          <w:numId w:val="0"/>
        </w:numPr>
        <w:spacing w:line="384" w:lineRule="auto"/>
        <w:ind w:firstLine="542" w:firstLineChars="200"/>
        <w:rPr>
          <w:rFonts w:hint="eastAsia" w:ascii="宋体" w:hAnsi="宋体" w:eastAsia="宋体" w:cs="宋体"/>
          <w:b/>
          <w:bCs/>
          <w:sz w:val="27"/>
          <w:szCs w:val="27"/>
        </w:rPr>
      </w:pPr>
      <w:r>
        <w:rPr>
          <w:rFonts w:hint="eastAsia" w:ascii="宋体" w:hAnsi="宋体" w:eastAsia="宋体" w:cs="宋体"/>
          <w:b/>
          <w:bCs/>
          <w:kern w:val="2"/>
          <w:sz w:val="27"/>
          <w:szCs w:val="27"/>
          <w:lang w:val="en-US" w:eastAsia="zh-CN" w:bidi="ar-SA"/>
        </w:rPr>
        <w:t>3.</w:t>
      </w:r>
      <w:r>
        <w:rPr>
          <w:rFonts w:hint="eastAsia" w:ascii="宋体" w:hAnsi="宋体" w:eastAsia="宋体" w:cs="宋体"/>
          <w:b/>
          <w:bCs/>
          <w:color w:val="000000"/>
          <w:sz w:val="24"/>
          <w:szCs w:val="24"/>
        </w:rPr>
        <w:t>配送费</w:t>
      </w:r>
      <w:r>
        <w:rPr>
          <w:rFonts w:hint="eastAsia" w:ascii="宋体" w:hAnsi="宋体" w:eastAsia="宋体" w:cs="宋体"/>
          <w:b/>
          <w:bCs/>
          <w:color w:val="000000"/>
          <w:sz w:val="24"/>
          <w:szCs w:val="24"/>
          <w:lang w:val="en-US" w:eastAsia="zh-CN"/>
        </w:rPr>
        <w:t>单价</w:t>
      </w:r>
      <w:r>
        <w:rPr>
          <w:rFonts w:hint="eastAsia" w:ascii="宋体" w:hAnsi="宋体" w:eastAsia="宋体" w:cs="宋体"/>
          <w:b/>
          <w:bCs/>
          <w:color w:val="000000"/>
          <w:sz w:val="24"/>
          <w:szCs w:val="24"/>
        </w:rPr>
        <w:t>投标人根据公司运营情况自行报价，但不能高于每生每天</w:t>
      </w:r>
      <w:r>
        <w:rPr>
          <w:rFonts w:hint="eastAsia" w:ascii="宋体" w:hAnsi="宋体" w:eastAsia="宋体" w:cs="宋体"/>
          <w:b/>
          <w:bCs/>
          <w:color w:val="000000"/>
          <w:sz w:val="24"/>
          <w:szCs w:val="24"/>
          <w:lang w:val="en-US" w:eastAsia="zh-CN"/>
        </w:rPr>
        <w:t>1.00</w:t>
      </w:r>
      <w:r>
        <w:rPr>
          <w:rFonts w:hint="eastAsia" w:ascii="宋体" w:hAnsi="宋体" w:eastAsia="宋体" w:cs="宋体"/>
          <w:b/>
          <w:bCs/>
          <w:color w:val="000000"/>
          <w:sz w:val="24"/>
          <w:szCs w:val="24"/>
        </w:rPr>
        <w:t>元预算价格。不报价或者高于预算价，按无效投标处理。</w:t>
      </w:r>
    </w:p>
    <w:p w14:paraId="5E572111">
      <w:pPr>
        <w:spacing w:line="360" w:lineRule="auto"/>
        <w:ind w:firstLine="482" w:firstLineChars="200"/>
        <w:rPr>
          <w:rFonts w:hint="eastAsia" w:ascii="宋体" w:hAnsi="宋体" w:eastAsia="宋体" w:cs="宋体"/>
          <w:b/>
          <w:bCs/>
          <w:szCs w:val="24"/>
          <w:lang w:val="en-US" w:eastAsia="zh-CN"/>
        </w:rPr>
      </w:pP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所有报价均为含税价格</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报价保留小数点后两位。</w:t>
      </w:r>
    </w:p>
    <w:p w14:paraId="3FD6F84D">
      <w:pPr>
        <w:spacing w:line="360" w:lineRule="auto"/>
        <w:rPr>
          <w:rFonts w:hint="eastAsia" w:ascii="宋体" w:hAnsi="宋体" w:eastAsia="宋体" w:cs="宋体"/>
          <w:szCs w:val="24"/>
        </w:rPr>
      </w:pPr>
    </w:p>
    <w:p w14:paraId="37B0A4E6">
      <w:pPr>
        <w:spacing w:line="360" w:lineRule="auto"/>
        <w:ind w:firstLine="480" w:firstLineChars="200"/>
        <w:rPr>
          <w:rFonts w:hint="eastAsia" w:ascii="宋体" w:hAnsi="宋体" w:eastAsia="宋体" w:cs="宋体"/>
          <w:szCs w:val="24"/>
        </w:rPr>
      </w:pPr>
    </w:p>
    <w:p w14:paraId="62C63411">
      <w:pPr>
        <w:spacing w:line="360" w:lineRule="auto"/>
        <w:ind w:firstLine="480" w:firstLineChars="200"/>
        <w:rPr>
          <w:rFonts w:hint="eastAsia" w:ascii="宋体" w:hAnsi="宋体" w:eastAsia="宋体" w:cs="宋体"/>
          <w:szCs w:val="24"/>
        </w:rPr>
      </w:pPr>
    </w:p>
    <w:p w14:paraId="7B128476">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投标单位：（加盖公章）</w:t>
      </w:r>
    </w:p>
    <w:p w14:paraId="4B76A61F">
      <w:pPr>
        <w:spacing w:line="360" w:lineRule="auto"/>
        <w:ind w:firstLine="480" w:firstLineChars="200"/>
        <w:rPr>
          <w:rFonts w:hint="eastAsia" w:ascii="宋体" w:hAnsi="宋体" w:eastAsia="宋体" w:cs="宋体"/>
          <w:szCs w:val="24"/>
          <w:u w:val="single"/>
          <w:lang w:eastAsia="zh-CN"/>
        </w:rPr>
      </w:pPr>
      <w:r>
        <w:rPr>
          <w:rFonts w:hint="eastAsia" w:ascii="宋体" w:hAnsi="宋体" w:eastAsia="宋体" w:cs="宋体"/>
          <w:szCs w:val="24"/>
        </w:rPr>
        <w:t>日</w:t>
      </w:r>
      <w:r>
        <w:rPr>
          <w:rFonts w:hint="eastAsia" w:ascii="宋体" w:hAnsi="宋体" w:eastAsia="宋体" w:cs="宋体"/>
          <w:szCs w:val="24"/>
          <w:lang w:val="en-US" w:eastAsia="zh-CN"/>
        </w:rPr>
        <w:t xml:space="preserve">   </w:t>
      </w:r>
      <w:r>
        <w:rPr>
          <w:rFonts w:hint="eastAsia" w:ascii="宋体" w:hAnsi="宋体" w:eastAsia="宋体" w:cs="宋体"/>
          <w:szCs w:val="24"/>
        </w:rPr>
        <w:t>期：</w:t>
      </w:r>
    </w:p>
    <w:bookmarkEnd w:id="192"/>
    <w:p w14:paraId="127A5BC3">
      <w:pPr>
        <w:pStyle w:val="55"/>
        <w:spacing w:line="360" w:lineRule="auto"/>
        <w:rPr>
          <w:rFonts w:hint="eastAsia" w:ascii="宋体" w:hAnsi="宋体" w:eastAsia="宋体" w:cs="宋体"/>
          <w:b/>
        </w:rPr>
      </w:pPr>
      <w:bookmarkStart w:id="200" w:name="_Toc19814"/>
      <w:bookmarkStart w:id="201" w:name="_Toc4059"/>
    </w:p>
    <w:p w14:paraId="6BEA724D">
      <w:pPr>
        <w:pStyle w:val="55"/>
        <w:spacing w:line="360" w:lineRule="auto"/>
        <w:rPr>
          <w:rFonts w:hint="eastAsia" w:ascii="宋体" w:hAnsi="宋体" w:eastAsia="宋体" w:cs="宋体"/>
          <w:b/>
        </w:rPr>
      </w:pPr>
    </w:p>
    <w:p w14:paraId="0E332912">
      <w:pPr>
        <w:pStyle w:val="55"/>
        <w:spacing w:line="360" w:lineRule="auto"/>
        <w:outlineLvl w:val="1"/>
        <w:rPr>
          <w:rFonts w:hint="eastAsia" w:ascii="宋体" w:hAnsi="宋体" w:eastAsia="宋体" w:cs="宋体"/>
          <w:b/>
        </w:rPr>
        <w:sectPr>
          <w:headerReference r:id="rId12" w:type="first"/>
          <w:footerReference r:id="rId14" w:type="first"/>
          <w:headerReference r:id="rId11" w:type="default"/>
          <w:footerReference r:id="rId13" w:type="default"/>
          <w:pgSz w:w="11905" w:h="16838"/>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p>
    <w:bookmarkEnd w:id="200"/>
    <w:bookmarkEnd w:id="201"/>
    <w:p w14:paraId="65984D78">
      <w:pPr>
        <w:keepNext/>
        <w:keepLines/>
        <w:widowControl w:val="0"/>
        <w:autoSpaceDE w:val="0"/>
        <w:autoSpaceDN w:val="0"/>
        <w:adjustRightInd w:val="0"/>
        <w:spacing w:line="360" w:lineRule="auto"/>
        <w:jc w:val="center"/>
        <w:outlineLvl w:val="3"/>
        <w:rPr>
          <w:rFonts w:hint="eastAsia" w:ascii="宋体" w:hAnsi="宋体" w:eastAsia="宋体" w:cs="宋体"/>
          <w:b/>
          <w:sz w:val="32"/>
          <w:szCs w:val="32"/>
        </w:rPr>
      </w:pPr>
      <w:bookmarkStart w:id="202" w:name="_Toc140478432"/>
      <w:bookmarkStart w:id="203" w:name="_Toc2099"/>
      <w:bookmarkStart w:id="204" w:name="_Toc10661"/>
      <w:bookmarkStart w:id="205" w:name="_Toc2366"/>
      <w:bookmarkStart w:id="206" w:name="_Toc32748"/>
      <w:bookmarkStart w:id="207" w:name="_Toc65"/>
      <w:r>
        <w:rPr>
          <w:rFonts w:hint="eastAsia" w:ascii="宋体" w:hAnsi="宋体" w:eastAsia="宋体" w:cs="宋体"/>
          <w:b/>
          <w:sz w:val="32"/>
          <w:szCs w:val="32"/>
        </w:rPr>
        <w:t>分项报价表</w:t>
      </w:r>
      <w:bookmarkEnd w:id="202"/>
      <w:bookmarkEnd w:id="203"/>
    </w:p>
    <w:p w14:paraId="3D909BC5">
      <w:pPr>
        <w:pStyle w:val="14"/>
        <w:tabs>
          <w:tab w:val="left" w:pos="567"/>
        </w:tabs>
        <w:ind w:firstLine="7440" w:firstLineChars="3100"/>
        <w:rPr>
          <w:rFonts w:hint="eastAsia" w:ascii="宋体" w:hAnsi="宋体" w:eastAsia="宋体" w:cs="宋体"/>
          <w:sz w:val="24"/>
          <w:szCs w:val="24"/>
        </w:rPr>
      </w:pPr>
      <w:r>
        <w:rPr>
          <w:rFonts w:hint="eastAsia" w:ascii="宋体" w:hAnsi="宋体" w:eastAsia="宋体" w:cs="宋体"/>
          <w:sz w:val="24"/>
          <w:szCs w:val="24"/>
        </w:rPr>
        <w:t>单位：元</w:t>
      </w:r>
    </w:p>
    <w:tbl>
      <w:tblPr>
        <w:tblStyle w:val="29"/>
        <w:tblW w:w="4704" w:type="pct"/>
        <w:jc w:val="center"/>
        <w:tblLayout w:type="autofit"/>
        <w:tblCellMar>
          <w:top w:w="0" w:type="dxa"/>
          <w:left w:w="0" w:type="dxa"/>
          <w:bottom w:w="0" w:type="dxa"/>
          <w:right w:w="0" w:type="dxa"/>
        </w:tblCellMar>
      </w:tblPr>
      <w:tblGrid>
        <w:gridCol w:w="1773"/>
        <w:gridCol w:w="2193"/>
        <w:gridCol w:w="2825"/>
        <w:gridCol w:w="1867"/>
      </w:tblGrid>
      <w:tr w14:paraId="415D9F71">
        <w:tblPrEx>
          <w:tblCellMar>
            <w:top w:w="0" w:type="dxa"/>
            <w:left w:w="0" w:type="dxa"/>
            <w:bottom w:w="0" w:type="dxa"/>
            <w:right w:w="0" w:type="dxa"/>
          </w:tblCellMar>
        </w:tblPrEx>
        <w:trPr>
          <w:trHeight w:val="436" w:hRule="atLeast"/>
          <w:jc w:val="center"/>
        </w:trPr>
        <w:tc>
          <w:tcPr>
            <w:tcW w:w="1024"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14:paraId="4F3DB01C">
            <w:pPr>
              <w:jc w:val="center"/>
              <w:textAlignment w:val="center"/>
              <w:rPr>
                <w:rFonts w:hint="eastAsia" w:ascii="宋体" w:hAnsi="宋体" w:eastAsia="宋体" w:cs="宋体"/>
                <w:sz w:val="24"/>
                <w:szCs w:val="24"/>
              </w:rPr>
            </w:pPr>
            <w:r>
              <w:rPr>
                <w:rFonts w:hint="eastAsia" w:ascii="宋体" w:hAnsi="宋体" w:eastAsia="宋体" w:cs="宋体"/>
                <w:sz w:val="24"/>
                <w:szCs w:val="24"/>
              </w:rPr>
              <w:t>服务项目</w:t>
            </w:r>
          </w:p>
        </w:tc>
        <w:tc>
          <w:tcPr>
            <w:tcW w:w="1266" w:type="pct"/>
            <w:tcBorders>
              <w:top w:val="single" w:color="000000" w:sz="8" w:space="0"/>
              <w:left w:val="single" w:color="000000" w:sz="8" w:space="0"/>
              <w:bottom w:val="single" w:color="000000" w:sz="8" w:space="0"/>
              <w:right w:val="single" w:color="000000" w:sz="8" w:space="0"/>
            </w:tcBorders>
            <w:vAlign w:val="center"/>
          </w:tcPr>
          <w:p w14:paraId="45ACE305">
            <w:pPr>
              <w:jc w:val="center"/>
              <w:textAlignment w:val="center"/>
              <w:rPr>
                <w:rFonts w:hint="eastAsia" w:ascii="宋体" w:hAnsi="宋体" w:eastAsia="宋体" w:cs="宋体"/>
                <w:sz w:val="24"/>
                <w:szCs w:val="24"/>
              </w:rPr>
            </w:pPr>
            <w:r>
              <w:rPr>
                <w:rFonts w:hint="eastAsia" w:ascii="宋体" w:hAnsi="宋体" w:eastAsia="宋体" w:cs="宋体"/>
                <w:sz w:val="24"/>
                <w:szCs w:val="24"/>
              </w:rPr>
              <w:t>营养餐</w:t>
            </w:r>
            <w:r>
              <w:rPr>
                <w:rFonts w:hint="eastAsia" w:ascii="宋体" w:hAnsi="宋体" w:eastAsia="宋体" w:cs="宋体"/>
                <w:sz w:val="24"/>
                <w:szCs w:val="24"/>
                <w:lang w:val="en-US" w:eastAsia="zh-CN"/>
              </w:rPr>
              <w:t>成本固定</w:t>
            </w:r>
            <w:r>
              <w:rPr>
                <w:rFonts w:hint="eastAsia" w:ascii="宋体" w:hAnsi="宋体" w:eastAsia="宋体" w:cs="宋体"/>
                <w:sz w:val="24"/>
                <w:szCs w:val="24"/>
              </w:rPr>
              <w:t>单价</w:t>
            </w:r>
          </w:p>
          <w:p w14:paraId="3A82851B">
            <w:pPr>
              <w:jc w:val="center"/>
              <w:textAlignment w:val="center"/>
              <w:rPr>
                <w:rFonts w:hint="eastAsia" w:ascii="宋体" w:hAnsi="宋体" w:eastAsia="宋体" w:cs="宋体"/>
                <w:sz w:val="24"/>
                <w:szCs w:val="24"/>
              </w:rPr>
            </w:pPr>
            <w:r>
              <w:rPr>
                <w:rFonts w:hint="eastAsia" w:ascii="宋体" w:hAnsi="宋体" w:eastAsia="宋体" w:cs="宋体"/>
                <w:sz w:val="24"/>
                <w:szCs w:val="24"/>
              </w:rPr>
              <w:t>（元/人/</w:t>
            </w:r>
            <w:r>
              <w:rPr>
                <w:rFonts w:hint="eastAsia" w:ascii="宋体" w:hAnsi="宋体" w:eastAsia="宋体" w:cs="宋体"/>
                <w:sz w:val="24"/>
                <w:szCs w:val="24"/>
                <w:lang w:val="en-US" w:eastAsia="zh-CN"/>
              </w:rPr>
              <w:t>份</w:t>
            </w:r>
            <w:r>
              <w:rPr>
                <w:rFonts w:hint="eastAsia" w:ascii="宋体" w:hAnsi="宋体" w:eastAsia="宋体" w:cs="宋体"/>
                <w:sz w:val="24"/>
                <w:szCs w:val="24"/>
              </w:rPr>
              <w:t>）</w:t>
            </w:r>
          </w:p>
        </w:tc>
        <w:tc>
          <w:tcPr>
            <w:tcW w:w="1631" w:type="pct"/>
            <w:tcBorders>
              <w:top w:val="single" w:color="000000" w:sz="8" w:space="0"/>
              <w:left w:val="single" w:color="000000" w:sz="8" w:space="0"/>
              <w:bottom w:val="single" w:color="000000" w:sz="8" w:space="0"/>
              <w:right w:val="single" w:color="auto" w:sz="4" w:space="0"/>
            </w:tcBorders>
            <w:vAlign w:val="center"/>
          </w:tcPr>
          <w:p w14:paraId="73EFCD8D">
            <w:pPr>
              <w:jc w:val="center"/>
              <w:textAlignment w:val="center"/>
              <w:rPr>
                <w:rFonts w:hint="eastAsia" w:ascii="宋体" w:hAnsi="宋体" w:eastAsia="宋体" w:cs="宋体"/>
                <w:sz w:val="27"/>
                <w:szCs w:val="27"/>
                <w:lang w:val="en-US" w:eastAsia="zh-CN"/>
              </w:rPr>
            </w:pPr>
            <w:r>
              <w:rPr>
                <w:rFonts w:hint="eastAsia" w:ascii="宋体" w:hAnsi="宋体" w:eastAsia="宋体" w:cs="宋体"/>
                <w:sz w:val="24"/>
                <w:szCs w:val="24"/>
              </w:rPr>
              <w:t>配送费</w:t>
            </w:r>
            <w:r>
              <w:rPr>
                <w:rFonts w:hint="eastAsia" w:ascii="宋体" w:hAnsi="宋体" w:eastAsia="宋体" w:cs="宋体"/>
                <w:sz w:val="24"/>
                <w:szCs w:val="24"/>
                <w:lang w:val="en-US" w:eastAsia="zh-CN"/>
              </w:rPr>
              <w:t>单价</w:t>
            </w:r>
          </w:p>
          <w:p w14:paraId="72EEC5AB">
            <w:pPr>
              <w:jc w:val="center"/>
              <w:textAlignment w:val="center"/>
              <w:rPr>
                <w:rFonts w:hint="eastAsia" w:ascii="宋体" w:hAnsi="宋体" w:eastAsia="宋体" w:cs="宋体"/>
                <w:sz w:val="24"/>
                <w:szCs w:val="24"/>
              </w:rPr>
            </w:pPr>
            <w:r>
              <w:rPr>
                <w:rFonts w:hint="eastAsia" w:ascii="宋体" w:hAnsi="宋体" w:eastAsia="宋体" w:cs="宋体"/>
                <w:sz w:val="24"/>
                <w:szCs w:val="24"/>
              </w:rPr>
              <w:t>（元/人/</w:t>
            </w:r>
            <w:r>
              <w:rPr>
                <w:rFonts w:hint="eastAsia" w:ascii="宋体" w:hAnsi="宋体" w:eastAsia="宋体" w:cs="宋体"/>
                <w:sz w:val="24"/>
                <w:szCs w:val="24"/>
                <w:lang w:val="en-US" w:eastAsia="zh-CN"/>
              </w:rPr>
              <w:t>份</w:t>
            </w:r>
            <w:r>
              <w:rPr>
                <w:rFonts w:hint="eastAsia" w:ascii="宋体" w:hAnsi="宋体" w:eastAsia="宋体" w:cs="宋体"/>
                <w:sz w:val="24"/>
                <w:szCs w:val="24"/>
              </w:rPr>
              <w:t>）</w:t>
            </w:r>
          </w:p>
        </w:tc>
        <w:tc>
          <w:tcPr>
            <w:tcW w:w="1078" w:type="pct"/>
            <w:tcBorders>
              <w:top w:val="single" w:color="000000" w:sz="8" w:space="0"/>
              <w:left w:val="single" w:color="auto" w:sz="4" w:space="0"/>
              <w:bottom w:val="single" w:color="000000" w:sz="8" w:space="0"/>
              <w:right w:val="single" w:color="000000" w:sz="8" w:space="0"/>
            </w:tcBorders>
            <w:vAlign w:val="center"/>
          </w:tcPr>
          <w:p w14:paraId="11B8F0A2">
            <w:pPr>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合同履行</w:t>
            </w:r>
            <w:r>
              <w:rPr>
                <w:rFonts w:hint="eastAsia" w:ascii="宋体" w:hAnsi="宋体" w:eastAsia="宋体" w:cs="宋体"/>
                <w:sz w:val="24"/>
                <w:szCs w:val="24"/>
              </w:rPr>
              <w:t>期限</w:t>
            </w:r>
          </w:p>
        </w:tc>
      </w:tr>
      <w:tr w14:paraId="07AF1282">
        <w:tblPrEx>
          <w:tblCellMar>
            <w:top w:w="0" w:type="dxa"/>
            <w:left w:w="0" w:type="dxa"/>
            <w:bottom w:w="0" w:type="dxa"/>
            <w:right w:w="0" w:type="dxa"/>
          </w:tblCellMar>
        </w:tblPrEx>
        <w:trPr>
          <w:trHeight w:val="761" w:hRule="atLeast"/>
          <w:jc w:val="center"/>
        </w:trPr>
        <w:tc>
          <w:tcPr>
            <w:tcW w:w="1024"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14:paraId="559A4F57">
            <w:pPr>
              <w:widowControl w:val="0"/>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营养餐</w:t>
            </w:r>
          </w:p>
        </w:tc>
        <w:tc>
          <w:tcPr>
            <w:tcW w:w="1266" w:type="pct"/>
            <w:tcBorders>
              <w:top w:val="single" w:color="000000" w:sz="8" w:space="0"/>
              <w:left w:val="single" w:color="auto" w:sz="4" w:space="0"/>
              <w:bottom w:val="single" w:color="000000" w:sz="8" w:space="0"/>
              <w:right w:val="single" w:color="000000" w:sz="8" w:space="0"/>
            </w:tcBorders>
            <w:vAlign w:val="center"/>
          </w:tcPr>
          <w:p w14:paraId="2388F0D9">
            <w:pPr>
              <w:jc w:val="center"/>
              <w:textAlignment w:val="center"/>
              <w:rPr>
                <w:rFonts w:hint="eastAsia" w:ascii="宋体" w:hAnsi="宋体" w:eastAsia="宋体" w:cs="宋体"/>
                <w:sz w:val="24"/>
                <w:szCs w:val="24"/>
              </w:rPr>
            </w:pPr>
            <w:r>
              <w:rPr>
                <w:rFonts w:hint="eastAsia" w:ascii="宋体" w:hAnsi="宋体" w:eastAsia="宋体" w:cs="宋体"/>
                <w:sz w:val="24"/>
                <w:szCs w:val="24"/>
              </w:rPr>
              <w:t>5.00</w:t>
            </w:r>
          </w:p>
        </w:tc>
        <w:tc>
          <w:tcPr>
            <w:tcW w:w="1631" w:type="pct"/>
            <w:tcBorders>
              <w:top w:val="single" w:color="000000" w:sz="8" w:space="0"/>
              <w:left w:val="single" w:color="000000" w:sz="8" w:space="0"/>
              <w:bottom w:val="single" w:color="000000" w:sz="8" w:space="0"/>
              <w:right w:val="single" w:color="auto" w:sz="4" w:space="0"/>
            </w:tcBorders>
          </w:tcPr>
          <w:p w14:paraId="4EF89309">
            <w:pPr>
              <w:jc w:val="center"/>
              <w:textAlignment w:val="center"/>
              <w:rPr>
                <w:rFonts w:hint="eastAsia" w:ascii="宋体" w:hAnsi="宋体" w:eastAsia="宋体" w:cs="宋体"/>
                <w:sz w:val="24"/>
                <w:szCs w:val="24"/>
              </w:rPr>
            </w:pPr>
          </w:p>
        </w:tc>
        <w:tc>
          <w:tcPr>
            <w:tcW w:w="1078" w:type="pct"/>
            <w:tcBorders>
              <w:top w:val="single" w:color="000000" w:sz="8" w:space="0"/>
              <w:left w:val="single" w:color="auto" w:sz="4" w:space="0"/>
              <w:bottom w:val="single" w:color="000000" w:sz="8" w:space="0"/>
              <w:right w:val="single" w:color="000000" w:sz="8" w:space="0"/>
            </w:tcBorders>
          </w:tcPr>
          <w:p w14:paraId="2FB39192">
            <w:pPr>
              <w:jc w:val="center"/>
              <w:textAlignment w:val="center"/>
              <w:rPr>
                <w:rFonts w:hint="eastAsia" w:ascii="宋体" w:hAnsi="宋体" w:eastAsia="宋体" w:cs="宋体"/>
                <w:sz w:val="24"/>
                <w:szCs w:val="24"/>
              </w:rPr>
            </w:pPr>
          </w:p>
        </w:tc>
      </w:tr>
      <w:tr w14:paraId="6806825F">
        <w:tblPrEx>
          <w:tblCellMar>
            <w:top w:w="0" w:type="dxa"/>
            <w:left w:w="0" w:type="dxa"/>
            <w:bottom w:w="0" w:type="dxa"/>
            <w:right w:w="0" w:type="dxa"/>
          </w:tblCellMar>
        </w:tblPrEx>
        <w:trPr>
          <w:trHeight w:val="751" w:hRule="atLeast"/>
          <w:jc w:val="center"/>
        </w:trPr>
        <w:tc>
          <w:tcPr>
            <w:tcW w:w="1024"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14:paraId="2D108D70">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rPr>
              <w:t>营养餐综合单价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3975" w:type="pct"/>
            <w:gridSpan w:val="3"/>
            <w:tcBorders>
              <w:top w:val="single" w:color="000000" w:sz="8" w:space="0"/>
              <w:left w:val="single" w:color="auto" w:sz="4" w:space="0"/>
              <w:bottom w:val="single" w:color="000000" w:sz="8" w:space="0"/>
              <w:right w:val="single" w:color="000000" w:sz="8" w:space="0"/>
            </w:tcBorders>
            <w:vAlign w:val="center"/>
          </w:tcPr>
          <w:p w14:paraId="1E00CBC0">
            <w:pPr>
              <w:textAlignment w:val="center"/>
              <w:rPr>
                <w:rFonts w:hint="eastAsia" w:ascii="宋体" w:hAnsi="宋体" w:eastAsia="宋体" w:cs="宋体"/>
                <w:sz w:val="24"/>
                <w:szCs w:val="24"/>
              </w:rPr>
            </w:pPr>
          </w:p>
        </w:tc>
      </w:tr>
    </w:tbl>
    <w:p w14:paraId="54CDD696">
      <w:pPr>
        <w:widowControl w:val="0"/>
        <w:tabs>
          <w:tab w:val="left" w:pos="5580"/>
        </w:tabs>
        <w:spacing w:line="360" w:lineRule="auto"/>
        <w:ind w:firstLine="240" w:firstLineChars="1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备注：</w:t>
      </w:r>
      <w:r>
        <w:rPr>
          <w:rFonts w:hint="eastAsia" w:ascii="宋体" w:hAnsi="宋体" w:eastAsia="宋体" w:cs="宋体"/>
          <w:kern w:val="2"/>
          <w:sz w:val="24"/>
          <w:szCs w:val="24"/>
          <w:lang w:val="en-US" w:eastAsia="zh-CN"/>
        </w:rPr>
        <w:t>1.营养餐综合单价应与开标一览表中投标报价金额一致，且保留小数点后两位。</w:t>
      </w:r>
    </w:p>
    <w:p w14:paraId="5C138730">
      <w:pPr>
        <w:widowControl w:val="0"/>
        <w:tabs>
          <w:tab w:val="left" w:pos="5580"/>
        </w:tabs>
        <w:spacing w:line="360" w:lineRule="auto"/>
        <w:ind w:firstLine="960" w:firstLineChars="4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2.配送费（包含食品加工费、包装费、运输费、装卸费、保险费、水电费、税费等其他一切相关费用）</w:t>
      </w:r>
    </w:p>
    <w:p w14:paraId="1D99F512">
      <w:pPr>
        <w:spacing w:line="360" w:lineRule="auto"/>
        <w:ind w:firstLine="240" w:firstLineChars="100"/>
        <w:rPr>
          <w:rFonts w:hint="eastAsia" w:ascii="宋体" w:hAnsi="宋体" w:eastAsia="宋体" w:cs="宋体"/>
          <w:szCs w:val="24"/>
          <w:lang w:eastAsia="zh-CN"/>
        </w:rPr>
      </w:pPr>
      <w:r>
        <w:rPr>
          <w:rFonts w:hint="eastAsia" w:ascii="宋体" w:hAnsi="宋体" w:eastAsia="宋体" w:cs="宋体"/>
          <w:szCs w:val="24"/>
        </w:rPr>
        <w:t>投标单位：（加盖公章）</w:t>
      </w:r>
    </w:p>
    <w:p w14:paraId="7322C856">
      <w:pPr>
        <w:spacing w:line="360" w:lineRule="auto"/>
        <w:ind w:firstLine="240" w:firstLineChars="100"/>
        <w:rPr>
          <w:rFonts w:hint="eastAsia" w:ascii="宋体" w:hAnsi="宋体" w:eastAsia="宋体" w:cs="宋体"/>
          <w:szCs w:val="24"/>
          <w:u w:val="single"/>
          <w:lang w:eastAsia="zh-CN"/>
        </w:rPr>
      </w:pPr>
      <w:r>
        <w:rPr>
          <w:rFonts w:hint="eastAsia" w:ascii="宋体" w:hAnsi="宋体" w:eastAsia="宋体" w:cs="宋体"/>
          <w:szCs w:val="24"/>
        </w:rPr>
        <w:t>日</w:t>
      </w:r>
      <w:r>
        <w:rPr>
          <w:rFonts w:hint="eastAsia" w:ascii="宋体" w:hAnsi="宋体" w:eastAsia="宋体" w:cs="宋体"/>
          <w:szCs w:val="24"/>
          <w:lang w:val="en-US" w:eastAsia="zh-CN"/>
        </w:rPr>
        <w:t xml:space="preserve">    </w:t>
      </w:r>
      <w:r>
        <w:rPr>
          <w:rFonts w:hint="eastAsia" w:ascii="宋体" w:hAnsi="宋体" w:eastAsia="宋体" w:cs="宋体"/>
          <w:szCs w:val="24"/>
        </w:rPr>
        <w:t>期：</w:t>
      </w:r>
    </w:p>
    <w:p w14:paraId="0E3F3528">
      <w:pPr>
        <w:spacing w:line="560" w:lineRule="exact"/>
        <w:jc w:val="both"/>
        <w:rPr>
          <w:rFonts w:hint="eastAsia" w:ascii="宋体" w:hAnsi="宋体" w:eastAsia="宋体" w:cs="宋体"/>
        </w:rPr>
      </w:pPr>
    </w:p>
    <w:p w14:paraId="2459B44B">
      <w:pPr>
        <w:spacing w:line="360" w:lineRule="auto"/>
        <w:ind w:firstLine="3855" w:firstLineChars="1600"/>
        <w:rPr>
          <w:rFonts w:hint="eastAsia" w:ascii="宋体" w:hAnsi="宋体" w:eastAsia="宋体" w:cs="宋体"/>
          <w:szCs w:val="24"/>
          <w:u w:val="single"/>
        </w:rPr>
      </w:pPr>
      <w:r>
        <w:rPr>
          <w:rFonts w:hint="eastAsia" w:ascii="宋体" w:hAnsi="宋体" w:eastAsia="宋体" w:cs="宋体"/>
          <w:b/>
        </w:rPr>
        <w:br w:type="page"/>
      </w:r>
    </w:p>
    <w:p w14:paraId="7F818445">
      <w:pPr>
        <w:pStyle w:val="55"/>
        <w:spacing w:line="360" w:lineRule="auto"/>
        <w:outlineLvl w:val="2"/>
        <w:rPr>
          <w:rFonts w:hint="eastAsia" w:ascii="宋体" w:hAnsi="宋体" w:eastAsia="宋体" w:cs="宋体"/>
          <w:b/>
          <w:sz w:val="28"/>
          <w:szCs w:val="32"/>
        </w:rPr>
      </w:pPr>
      <w:r>
        <w:rPr>
          <w:rFonts w:hint="eastAsia" w:ascii="宋体" w:hAnsi="宋体" w:eastAsia="宋体" w:cs="宋体"/>
          <w:b/>
          <w:sz w:val="28"/>
          <w:szCs w:val="32"/>
          <w:lang w:val="en-US" w:eastAsia="zh-CN"/>
        </w:rPr>
        <w:t>3</w:t>
      </w:r>
      <w:r>
        <w:rPr>
          <w:rFonts w:hint="eastAsia" w:ascii="宋体" w:hAnsi="宋体" w:eastAsia="宋体" w:cs="宋体"/>
          <w:b/>
          <w:sz w:val="28"/>
          <w:szCs w:val="32"/>
        </w:rPr>
        <w:t>.投标保证金交纳凭证</w:t>
      </w:r>
      <w:bookmarkEnd w:id="204"/>
      <w:bookmarkEnd w:id="205"/>
      <w:bookmarkEnd w:id="206"/>
      <w:bookmarkEnd w:id="207"/>
    </w:p>
    <w:p w14:paraId="7EDB3636">
      <w:pPr>
        <w:rPr>
          <w:rFonts w:hint="eastAsia" w:ascii="宋体" w:hAnsi="宋体" w:eastAsia="宋体" w:cs="宋体"/>
          <w:b/>
        </w:rPr>
      </w:pPr>
      <w:r>
        <w:rPr>
          <w:rFonts w:hint="eastAsia" w:ascii="宋体" w:hAnsi="宋体" w:eastAsia="宋体" w:cs="宋体"/>
          <w:b/>
        </w:rPr>
        <w:br w:type="page"/>
      </w:r>
    </w:p>
    <w:p w14:paraId="7607ED5D">
      <w:pPr>
        <w:pStyle w:val="55"/>
        <w:spacing w:line="360" w:lineRule="auto"/>
        <w:ind w:firstLine="228" w:firstLineChars="71"/>
        <w:outlineLvl w:val="2"/>
        <w:rPr>
          <w:rFonts w:hint="eastAsia" w:ascii="宋体" w:hAnsi="宋体" w:eastAsia="宋体" w:cs="宋体"/>
          <w:b/>
          <w:sz w:val="32"/>
          <w:szCs w:val="36"/>
        </w:rPr>
      </w:pPr>
      <w:bookmarkStart w:id="208" w:name="_Toc12762"/>
      <w:bookmarkStart w:id="209" w:name="_Toc15058"/>
      <w:bookmarkStart w:id="210" w:name="_Toc2119"/>
      <w:bookmarkStart w:id="211" w:name="_Toc3486"/>
      <w:r>
        <w:rPr>
          <w:rFonts w:hint="eastAsia" w:ascii="宋体" w:hAnsi="宋体" w:eastAsia="宋体" w:cs="宋体"/>
          <w:b/>
          <w:sz w:val="32"/>
          <w:szCs w:val="36"/>
          <w:lang w:val="en-US" w:eastAsia="zh-CN"/>
        </w:rPr>
        <w:t>4</w:t>
      </w:r>
      <w:r>
        <w:rPr>
          <w:rFonts w:hint="eastAsia" w:ascii="宋体" w:hAnsi="宋体" w:eastAsia="宋体" w:cs="宋体"/>
          <w:b/>
          <w:sz w:val="32"/>
          <w:szCs w:val="36"/>
        </w:rPr>
        <w:t>.供应商承诺书</w:t>
      </w:r>
      <w:bookmarkEnd w:id="208"/>
      <w:bookmarkEnd w:id="209"/>
      <w:bookmarkEnd w:id="210"/>
      <w:bookmarkEnd w:id="211"/>
    </w:p>
    <w:p w14:paraId="77A5B5B3">
      <w:pPr>
        <w:widowControl/>
        <w:spacing w:line="360" w:lineRule="auto"/>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陕西省政府采购投标人</w:t>
      </w:r>
    </w:p>
    <w:p w14:paraId="4396E84B">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拒绝政府采购领域商业贿赂承诺书</w:t>
      </w:r>
    </w:p>
    <w:p w14:paraId="2963967E">
      <w:pPr>
        <w:widowControl/>
        <w:spacing w:line="360" w:lineRule="auto"/>
        <w:ind w:firstLine="480" w:firstLineChars="200"/>
        <w:jc w:val="left"/>
        <w:rPr>
          <w:rFonts w:hint="eastAsia" w:ascii="宋体" w:hAnsi="宋体" w:eastAsia="宋体" w:cs="宋体"/>
          <w:kern w:val="0"/>
        </w:rPr>
      </w:pPr>
    </w:p>
    <w:p w14:paraId="4D7C5D98">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为响应党中央、国务院关于治理政府采购领域商业贿赂行为的号召，</w:t>
      </w:r>
      <w:r>
        <w:rPr>
          <w:rFonts w:hint="eastAsia" w:ascii="宋体" w:hAnsi="宋体" w:eastAsia="宋体" w:cs="宋体"/>
          <w:kern w:val="0"/>
        </w:rPr>
        <w:t>我单位作为</w:t>
      </w:r>
      <w:r>
        <w:rPr>
          <w:rFonts w:hint="eastAsia" w:ascii="宋体" w:hAnsi="宋体" w:eastAsia="宋体" w:cs="宋体"/>
          <w:kern w:val="0"/>
          <w:u w:val="single"/>
        </w:rPr>
        <w:t>（项目名称</w:t>
      </w:r>
      <w:r>
        <w:rPr>
          <w:rFonts w:hint="eastAsia" w:ascii="宋体" w:hAnsi="宋体" w:eastAsia="宋体" w:cs="宋体"/>
          <w:kern w:val="0"/>
          <w:u w:val="single"/>
          <w:lang w:val="en-US" w:eastAsia="zh-CN"/>
        </w:rPr>
        <w:t>及编号</w:t>
      </w:r>
      <w:r>
        <w:rPr>
          <w:rFonts w:hint="eastAsia" w:ascii="宋体" w:hAnsi="宋体" w:eastAsia="宋体" w:cs="宋体"/>
          <w:kern w:val="0"/>
          <w:u w:val="single"/>
        </w:rPr>
        <w:t>）</w:t>
      </w:r>
      <w:r>
        <w:rPr>
          <w:rFonts w:hint="eastAsia" w:ascii="宋体" w:hAnsi="宋体" w:eastAsia="宋体" w:cs="宋体"/>
          <w:kern w:val="0"/>
        </w:rPr>
        <w:t>的投标人，</w:t>
      </w:r>
      <w:r>
        <w:rPr>
          <w:rFonts w:hint="eastAsia" w:ascii="宋体" w:hAnsi="宋体" w:eastAsia="宋体" w:cs="宋体"/>
          <w:kern w:val="0"/>
          <w:szCs w:val="24"/>
        </w:rPr>
        <w:t>在此庄严承诺：</w:t>
      </w:r>
    </w:p>
    <w:p w14:paraId="70FDAA42">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1、在参与政府采购活动中遵纪守法、诚信经营、公平竞标。</w:t>
      </w:r>
    </w:p>
    <w:p w14:paraId="524D05E6">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2、不向采购人、采购代理机构和政府采购评审专家进行任何形式的商业贿赂以谋取交易机会。</w:t>
      </w:r>
    </w:p>
    <w:p w14:paraId="1450A637">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3、不向政府采购代理机构和采购人提供虚假资质文件或采用虚假应标方式参与政府采购市场竞争并谋取中标、成交。</w:t>
      </w:r>
    </w:p>
    <w:p w14:paraId="3313A8FB">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4、不采取“围标、陪标”等商业欺诈手段获得政府采购定单。</w:t>
      </w:r>
    </w:p>
    <w:p w14:paraId="3CBA7B84">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5、不采取不正当手段低毁、排挤其他投标人。</w:t>
      </w:r>
    </w:p>
    <w:p w14:paraId="51BE6947">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6、不在提供商品和服务时“偷梁换柱、以次充好”损害采购人的合法权益。</w:t>
      </w:r>
    </w:p>
    <w:p w14:paraId="44EDBE2D">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7、不与采购人、采购代理机构政府采购评审专家或其它投标人恶意串通，进行质疑和投诉，维护政府采购市场秩序。</w:t>
      </w:r>
    </w:p>
    <w:p w14:paraId="7A528C76">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8、尊重和接受政府采购监督管理部门的监督和政府采购代理机构招标要求，承担因违约行为给采购人造成的损失。</w:t>
      </w:r>
    </w:p>
    <w:p w14:paraId="08ADF0D5">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9、不发生其他有悖于政府采购公开、公平、公正和诚信原则的行为。</w:t>
      </w:r>
    </w:p>
    <w:p w14:paraId="1A4379FF">
      <w:pPr>
        <w:pStyle w:val="2"/>
        <w:ind w:firstLine="480"/>
        <w:rPr>
          <w:rFonts w:hint="eastAsia" w:ascii="宋体" w:hAnsi="宋体" w:eastAsia="宋体" w:cs="宋体"/>
        </w:rPr>
      </w:pPr>
    </w:p>
    <w:p w14:paraId="209F8BA9">
      <w:pPr>
        <w:widowControl/>
        <w:spacing w:line="360" w:lineRule="auto"/>
        <w:ind w:firstLine="480" w:firstLineChars="200"/>
        <w:rPr>
          <w:rFonts w:hint="eastAsia" w:ascii="宋体" w:hAnsi="宋体" w:eastAsia="宋体" w:cs="宋体"/>
          <w:kern w:val="0"/>
          <w:szCs w:val="24"/>
        </w:rPr>
      </w:pPr>
    </w:p>
    <w:p w14:paraId="5E50183C">
      <w:pPr>
        <w:widowControl/>
        <w:spacing w:line="360" w:lineRule="auto"/>
        <w:ind w:firstLine="480" w:firstLineChars="200"/>
        <w:rPr>
          <w:rFonts w:hint="eastAsia" w:ascii="宋体" w:hAnsi="宋体" w:eastAsia="宋体" w:cs="宋体"/>
          <w:kern w:val="0"/>
          <w:szCs w:val="24"/>
          <w:lang w:eastAsia="zh-CN"/>
        </w:rPr>
      </w:pPr>
    </w:p>
    <w:p w14:paraId="422B51B3">
      <w:pPr>
        <w:widowControl/>
        <w:spacing w:line="360" w:lineRule="auto"/>
        <w:ind w:firstLine="480" w:firstLineChars="200"/>
        <w:rPr>
          <w:rFonts w:hint="eastAsia" w:ascii="宋体" w:hAnsi="宋体" w:eastAsia="宋体" w:cs="宋体"/>
          <w:kern w:val="0"/>
          <w:szCs w:val="24"/>
          <w:lang w:eastAsia="zh-CN"/>
        </w:rPr>
      </w:pPr>
      <w:r>
        <w:rPr>
          <w:rFonts w:hint="eastAsia" w:ascii="宋体" w:hAnsi="宋体" w:eastAsia="宋体" w:cs="宋体"/>
          <w:kern w:val="0"/>
          <w:szCs w:val="24"/>
        </w:rPr>
        <w:t>承诺单位：</w:t>
      </w:r>
      <w:r>
        <w:rPr>
          <w:rFonts w:hint="eastAsia" w:ascii="宋体" w:hAnsi="宋体" w:eastAsia="宋体" w:cs="宋体"/>
          <w:kern w:val="0"/>
          <w:szCs w:val="24"/>
          <w:u w:val="single"/>
        </w:rPr>
        <w:t>　</w:t>
      </w:r>
      <w:r>
        <w:rPr>
          <w:rFonts w:hint="eastAsia" w:ascii="宋体" w:hAnsi="宋体" w:eastAsia="宋体" w:cs="宋体"/>
          <w:kern w:val="0"/>
          <w:szCs w:val="24"/>
          <w:u w:val="single"/>
          <w:lang w:val="en-US" w:eastAsia="zh-CN"/>
        </w:rPr>
        <w:t xml:space="preserve">      </w:t>
      </w:r>
      <w:r>
        <w:rPr>
          <w:rFonts w:hint="eastAsia" w:ascii="宋体" w:hAnsi="宋体" w:eastAsia="宋体" w:cs="宋体"/>
          <w:kern w:val="0"/>
          <w:szCs w:val="24"/>
          <w:u w:val="single"/>
        </w:rPr>
        <w:t>　　</w:t>
      </w:r>
      <w:r>
        <w:rPr>
          <w:rFonts w:hint="eastAsia" w:ascii="宋体" w:hAnsi="宋体" w:eastAsia="宋体" w:cs="宋体"/>
          <w:kern w:val="0"/>
          <w:szCs w:val="24"/>
        </w:rPr>
        <w:t>（加盖公章）</w:t>
      </w:r>
    </w:p>
    <w:p w14:paraId="3E073CC7">
      <w:pPr>
        <w:widowControl/>
        <w:spacing w:line="360" w:lineRule="auto"/>
        <w:ind w:firstLine="480" w:firstLineChars="200"/>
        <w:rPr>
          <w:rFonts w:hint="eastAsia" w:ascii="宋体" w:hAnsi="宋体" w:eastAsia="宋体" w:cs="宋体"/>
          <w:kern w:val="0"/>
          <w:szCs w:val="24"/>
        </w:rPr>
      </w:pPr>
    </w:p>
    <w:p w14:paraId="1EBE6554">
      <w:pPr>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lang w:val="en-US" w:eastAsia="zh-CN"/>
        </w:rPr>
        <w:t xml:space="preserve">日    期：    </w:t>
      </w:r>
      <w:r>
        <w:rPr>
          <w:rFonts w:hint="eastAsia" w:ascii="宋体" w:hAnsi="宋体" w:eastAsia="宋体" w:cs="宋体"/>
          <w:kern w:val="0"/>
          <w:szCs w:val="24"/>
        </w:rPr>
        <w:t>年　　月　　日</w:t>
      </w:r>
    </w:p>
    <w:p w14:paraId="3E8D1D7C">
      <w:pPr>
        <w:pStyle w:val="15"/>
        <w:ind w:left="960" w:hanging="480"/>
        <w:rPr>
          <w:rFonts w:hint="eastAsia" w:ascii="宋体" w:hAnsi="宋体" w:eastAsia="宋体" w:cs="宋体"/>
          <w:kern w:val="0"/>
          <w:szCs w:val="24"/>
        </w:rPr>
      </w:pPr>
    </w:p>
    <w:p w14:paraId="317F4901">
      <w:pPr>
        <w:pStyle w:val="16"/>
        <w:ind w:left="960"/>
        <w:rPr>
          <w:rFonts w:hint="eastAsia" w:ascii="宋体" w:hAnsi="宋体" w:eastAsia="宋体" w:cs="宋体"/>
          <w:kern w:val="0"/>
          <w:szCs w:val="24"/>
        </w:rPr>
      </w:pPr>
    </w:p>
    <w:p w14:paraId="02D397FA">
      <w:pPr>
        <w:pStyle w:val="16"/>
        <w:ind w:left="960"/>
        <w:rPr>
          <w:rFonts w:hint="eastAsia" w:ascii="宋体" w:hAnsi="宋体" w:eastAsia="宋体" w:cs="宋体"/>
          <w:kern w:val="0"/>
          <w:szCs w:val="24"/>
        </w:rPr>
      </w:pPr>
    </w:p>
    <w:p w14:paraId="6FC19029">
      <w:pPr>
        <w:pStyle w:val="16"/>
        <w:ind w:left="960"/>
        <w:rPr>
          <w:rFonts w:hint="eastAsia" w:ascii="宋体" w:hAnsi="宋体" w:eastAsia="宋体" w:cs="宋体"/>
          <w:kern w:val="0"/>
          <w:szCs w:val="24"/>
        </w:rPr>
      </w:pPr>
    </w:p>
    <w:p w14:paraId="42CDA9E3">
      <w:pPr>
        <w:pStyle w:val="16"/>
        <w:ind w:left="960"/>
        <w:rPr>
          <w:rFonts w:hint="eastAsia" w:ascii="宋体" w:hAnsi="宋体" w:eastAsia="宋体" w:cs="宋体"/>
          <w:kern w:val="0"/>
          <w:szCs w:val="24"/>
        </w:rPr>
      </w:pPr>
    </w:p>
    <w:p w14:paraId="7D67BE0F">
      <w:pPr>
        <w:pStyle w:val="16"/>
        <w:ind w:left="960"/>
        <w:rPr>
          <w:rFonts w:hint="eastAsia" w:ascii="宋体" w:hAnsi="宋体" w:eastAsia="宋体" w:cs="宋体"/>
          <w:kern w:val="0"/>
          <w:szCs w:val="24"/>
        </w:rPr>
      </w:pPr>
    </w:p>
    <w:p w14:paraId="1B882B7E">
      <w:pPr>
        <w:pStyle w:val="55"/>
        <w:spacing w:line="360" w:lineRule="auto"/>
        <w:outlineLvl w:val="2"/>
        <w:rPr>
          <w:rFonts w:hint="eastAsia" w:ascii="宋体" w:hAnsi="宋体" w:eastAsia="宋体" w:cs="宋体"/>
          <w:b/>
          <w:bCs/>
          <w:sz w:val="28"/>
          <w:szCs w:val="44"/>
        </w:rPr>
      </w:pPr>
      <w:bookmarkStart w:id="212" w:name="_Toc14623"/>
      <w:bookmarkStart w:id="213" w:name="_Toc17007"/>
      <w:bookmarkStart w:id="214" w:name="_Toc5384"/>
      <w:bookmarkStart w:id="215" w:name="_Toc25335"/>
      <w:r>
        <w:rPr>
          <w:rFonts w:hint="eastAsia" w:ascii="宋体" w:hAnsi="宋体" w:eastAsia="宋体" w:cs="宋体"/>
          <w:b/>
          <w:sz w:val="28"/>
          <w:szCs w:val="32"/>
          <w:lang w:val="en-US" w:eastAsia="zh-CN"/>
        </w:rPr>
        <w:t>5</w:t>
      </w:r>
      <w:r>
        <w:rPr>
          <w:rFonts w:hint="eastAsia" w:ascii="宋体" w:hAnsi="宋体" w:eastAsia="宋体" w:cs="宋体"/>
          <w:b/>
          <w:sz w:val="28"/>
          <w:szCs w:val="32"/>
        </w:rPr>
        <w:t>.商务响应</w:t>
      </w:r>
      <w:bookmarkEnd w:id="193"/>
      <w:bookmarkEnd w:id="194"/>
      <w:bookmarkEnd w:id="195"/>
      <w:bookmarkEnd w:id="196"/>
      <w:bookmarkEnd w:id="197"/>
      <w:bookmarkEnd w:id="198"/>
      <w:bookmarkEnd w:id="199"/>
      <w:bookmarkEnd w:id="212"/>
      <w:bookmarkEnd w:id="213"/>
      <w:r>
        <w:rPr>
          <w:rFonts w:hint="eastAsia" w:ascii="宋体" w:hAnsi="宋体" w:eastAsia="宋体" w:cs="宋体"/>
          <w:b/>
          <w:sz w:val="28"/>
          <w:szCs w:val="32"/>
        </w:rPr>
        <w:t>偏离表</w:t>
      </w:r>
      <w:bookmarkEnd w:id="214"/>
      <w:bookmarkEnd w:id="215"/>
    </w:p>
    <w:p w14:paraId="48395ED4">
      <w:pPr>
        <w:spacing w:line="360" w:lineRule="auto"/>
        <w:rPr>
          <w:rFonts w:hint="eastAsia" w:ascii="宋体" w:hAnsi="宋体" w:eastAsia="宋体" w:cs="宋体"/>
          <w:szCs w:val="24"/>
          <w:lang w:eastAsia="zh-CN"/>
        </w:rPr>
      </w:pPr>
      <w:r>
        <w:rPr>
          <w:rFonts w:hint="eastAsia" w:ascii="宋体" w:hAnsi="宋体" w:eastAsia="宋体" w:cs="宋体"/>
          <w:szCs w:val="24"/>
        </w:rPr>
        <w:t>项目名称及编号：</w:t>
      </w:r>
    </w:p>
    <w:tbl>
      <w:tblPr>
        <w:tblStyle w:val="29"/>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14:paraId="3DF48E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544DF4B">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序号</w:t>
            </w:r>
          </w:p>
        </w:tc>
        <w:tc>
          <w:tcPr>
            <w:tcW w:w="3234" w:type="dxa"/>
            <w:tcMar>
              <w:top w:w="57" w:type="dxa"/>
              <w:left w:w="28" w:type="dxa"/>
              <w:bottom w:w="57" w:type="dxa"/>
              <w:right w:w="28" w:type="dxa"/>
            </w:tcMar>
            <w:vAlign w:val="center"/>
          </w:tcPr>
          <w:p w14:paraId="76502748">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招标文件商务要求</w:t>
            </w:r>
          </w:p>
        </w:tc>
        <w:tc>
          <w:tcPr>
            <w:tcW w:w="2835" w:type="dxa"/>
            <w:tcMar>
              <w:top w:w="57" w:type="dxa"/>
              <w:left w:w="28" w:type="dxa"/>
              <w:bottom w:w="57" w:type="dxa"/>
              <w:right w:w="28" w:type="dxa"/>
            </w:tcMar>
            <w:vAlign w:val="center"/>
          </w:tcPr>
          <w:p w14:paraId="7B975C9E">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投标文件商务响应</w:t>
            </w:r>
          </w:p>
        </w:tc>
        <w:tc>
          <w:tcPr>
            <w:tcW w:w="2295" w:type="dxa"/>
            <w:tcMar>
              <w:top w:w="57" w:type="dxa"/>
              <w:left w:w="28" w:type="dxa"/>
              <w:bottom w:w="57" w:type="dxa"/>
              <w:right w:w="28" w:type="dxa"/>
            </w:tcMar>
            <w:vAlign w:val="center"/>
          </w:tcPr>
          <w:p w14:paraId="4FF725A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6EDB4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215EE096">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1091A922">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1288EFB5">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10FAE4C7">
            <w:pPr>
              <w:spacing w:line="360" w:lineRule="auto"/>
              <w:ind w:left="240" w:leftChars="100"/>
              <w:rPr>
                <w:rFonts w:hint="eastAsia" w:ascii="宋体" w:hAnsi="宋体" w:eastAsia="宋体" w:cs="宋体"/>
                <w:szCs w:val="24"/>
              </w:rPr>
            </w:pPr>
          </w:p>
        </w:tc>
      </w:tr>
      <w:tr w14:paraId="05BFA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4362021B">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03D56C6B">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4E1474A9">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A3CA8ED">
            <w:pPr>
              <w:spacing w:line="360" w:lineRule="auto"/>
              <w:ind w:left="240" w:leftChars="100"/>
              <w:rPr>
                <w:rFonts w:hint="eastAsia" w:ascii="宋体" w:hAnsi="宋体" w:eastAsia="宋体" w:cs="宋体"/>
                <w:szCs w:val="24"/>
              </w:rPr>
            </w:pPr>
          </w:p>
        </w:tc>
      </w:tr>
      <w:tr w14:paraId="0C484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8DEB4D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397CD4E">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550C2A4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2C7E56A">
            <w:pPr>
              <w:spacing w:line="360" w:lineRule="auto"/>
              <w:ind w:left="240" w:leftChars="100"/>
              <w:rPr>
                <w:rFonts w:hint="eastAsia" w:ascii="宋体" w:hAnsi="宋体" w:eastAsia="宋体" w:cs="宋体"/>
                <w:szCs w:val="24"/>
              </w:rPr>
            </w:pPr>
          </w:p>
        </w:tc>
      </w:tr>
      <w:tr w14:paraId="40093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E6FCE50">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A6CE4AB">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26B1D07">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0AEC1376">
            <w:pPr>
              <w:spacing w:line="360" w:lineRule="auto"/>
              <w:ind w:left="240" w:leftChars="100"/>
              <w:rPr>
                <w:rFonts w:hint="eastAsia" w:ascii="宋体" w:hAnsi="宋体" w:eastAsia="宋体" w:cs="宋体"/>
                <w:szCs w:val="24"/>
              </w:rPr>
            </w:pPr>
          </w:p>
        </w:tc>
      </w:tr>
      <w:tr w14:paraId="08A30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872FD9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27EFE68">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CD493E1">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084CA19">
            <w:pPr>
              <w:spacing w:line="360" w:lineRule="auto"/>
              <w:ind w:left="240" w:leftChars="100"/>
              <w:rPr>
                <w:rFonts w:hint="eastAsia" w:ascii="宋体" w:hAnsi="宋体" w:eastAsia="宋体" w:cs="宋体"/>
                <w:szCs w:val="24"/>
              </w:rPr>
            </w:pPr>
          </w:p>
        </w:tc>
      </w:tr>
      <w:tr w14:paraId="5F849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675370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189E996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7E19087">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75F8B7A">
            <w:pPr>
              <w:spacing w:line="360" w:lineRule="auto"/>
              <w:ind w:left="240" w:leftChars="100"/>
              <w:rPr>
                <w:rFonts w:hint="eastAsia" w:ascii="宋体" w:hAnsi="宋体" w:eastAsia="宋体" w:cs="宋体"/>
                <w:szCs w:val="24"/>
              </w:rPr>
            </w:pPr>
          </w:p>
        </w:tc>
      </w:tr>
      <w:tr w14:paraId="5C0CA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B954B5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E699BDE">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C5C5AB6">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69712C7">
            <w:pPr>
              <w:spacing w:line="360" w:lineRule="auto"/>
              <w:ind w:left="240" w:leftChars="100"/>
              <w:rPr>
                <w:rFonts w:hint="eastAsia" w:ascii="宋体" w:hAnsi="宋体" w:eastAsia="宋体" w:cs="宋体"/>
                <w:szCs w:val="24"/>
              </w:rPr>
            </w:pPr>
          </w:p>
        </w:tc>
      </w:tr>
      <w:tr w14:paraId="3651E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F7DD7C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7ADF0F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9E7BC45">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85B0215">
            <w:pPr>
              <w:spacing w:line="360" w:lineRule="auto"/>
              <w:ind w:left="240" w:leftChars="100"/>
              <w:rPr>
                <w:rFonts w:hint="eastAsia" w:ascii="宋体" w:hAnsi="宋体" w:eastAsia="宋体" w:cs="宋体"/>
                <w:szCs w:val="24"/>
              </w:rPr>
            </w:pPr>
          </w:p>
        </w:tc>
      </w:tr>
      <w:tr w14:paraId="22F7FD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36B303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669E76A">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59EC030">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5433A66">
            <w:pPr>
              <w:spacing w:line="360" w:lineRule="auto"/>
              <w:ind w:left="240" w:leftChars="100"/>
              <w:rPr>
                <w:rFonts w:hint="eastAsia" w:ascii="宋体" w:hAnsi="宋体" w:eastAsia="宋体" w:cs="宋体"/>
                <w:szCs w:val="24"/>
              </w:rPr>
            </w:pPr>
          </w:p>
        </w:tc>
      </w:tr>
      <w:tr w14:paraId="533BF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7670D5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03331B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F9F2A77">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EFA5A86">
            <w:pPr>
              <w:spacing w:line="360" w:lineRule="auto"/>
              <w:ind w:left="240" w:leftChars="100"/>
              <w:rPr>
                <w:rFonts w:hint="eastAsia" w:ascii="宋体" w:hAnsi="宋体" w:eastAsia="宋体" w:cs="宋体"/>
                <w:szCs w:val="24"/>
              </w:rPr>
            </w:pPr>
          </w:p>
        </w:tc>
      </w:tr>
      <w:tr w14:paraId="5B34A5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9E61B4D">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E723345">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255F853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31392F9">
            <w:pPr>
              <w:spacing w:line="360" w:lineRule="auto"/>
              <w:ind w:left="240" w:leftChars="100"/>
              <w:rPr>
                <w:rFonts w:hint="eastAsia" w:ascii="宋体" w:hAnsi="宋体" w:eastAsia="宋体" w:cs="宋体"/>
                <w:szCs w:val="24"/>
              </w:rPr>
            </w:pPr>
          </w:p>
        </w:tc>
      </w:tr>
      <w:tr w14:paraId="09BE8D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03D78783">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08E4BC2A">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0E063C23">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2B4CB5C3">
            <w:pPr>
              <w:spacing w:line="360" w:lineRule="auto"/>
              <w:ind w:left="240" w:leftChars="100"/>
              <w:rPr>
                <w:rFonts w:hint="eastAsia" w:ascii="宋体" w:hAnsi="宋体" w:eastAsia="宋体" w:cs="宋体"/>
                <w:szCs w:val="24"/>
              </w:rPr>
            </w:pPr>
          </w:p>
        </w:tc>
      </w:tr>
      <w:tr w14:paraId="3022D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65DFD1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A6D8FCD">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B4FB7BD">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E6C83B6">
            <w:pPr>
              <w:spacing w:line="360" w:lineRule="auto"/>
              <w:ind w:left="240" w:leftChars="100"/>
              <w:rPr>
                <w:rFonts w:hint="eastAsia" w:ascii="宋体" w:hAnsi="宋体" w:eastAsia="宋体" w:cs="宋体"/>
                <w:szCs w:val="24"/>
              </w:rPr>
            </w:pPr>
          </w:p>
        </w:tc>
      </w:tr>
      <w:tr w14:paraId="2E797A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109D1E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C3CEF8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67E99AC">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7524E6B9">
            <w:pPr>
              <w:spacing w:line="360" w:lineRule="auto"/>
              <w:ind w:left="240" w:leftChars="100"/>
              <w:rPr>
                <w:rFonts w:hint="eastAsia" w:ascii="宋体" w:hAnsi="宋体" w:eastAsia="宋体" w:cs="宋体"/>
                <w:szCs w:val="24"/>
              </w:rPr>
            </w:pPr>
          </w:p>
        </w:tc>
      </w:tr>
      <w:tr w14:paraId="54F4A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874EAFB">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CE7A8D6">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4C92A00">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EE62FA8">
            <w:pPr>
              <w:spacing w:line="360" w:lineRule="auto"/>
              <w:ind w:left="240" w:leftChars="100"/>
              <w:rPr>
                <w:rFonts w:hint="eastAsia" w:ascii="宋体" w:hAnsi="宋体" w:eastAsia="宋体" w:cs="宋体"/>
                <w:szCs w:val="24"/>
              </w:rPr>
            </w:pPr>
          </w:p>
        </w:tc>
      </w:tr>
    </w:tbl>
    <w:p w14:paraId="26B1847A">
      <w:pPr>
        <w:numPr>
          <w:ilvl w:val="0"/>
          <w:numId w:val="0"/>
        </w:numPr>
        <w:spacing w:line="360" w:lineRule="auto"/>
        <w:ind w:leftChars="200"/>
        <w:rPr>
          <w:rFonts w:hint="eastAsia" w:ascii="宋体" w:hAnsi="宋体" w:eastAsia="宋体" w:cs="宋体"/>
          <w:b/>
          <w:szCs w:val="24"/>
          <w:lang w:val="en-US" w:eastAsia="zh-CN"/>
        </w:rPr>
      </w:pPr>
      <w:r>
        <w:rPr>
          <w:rFonts w:hint="eastAsia" w:ascii="宋体" w:hAnsi="宋体" w:eastAsia="宋体" w:cs="宋体"/>
          <w:b/>
          <w:szCs w:val="24"/>
        </w:rPr>
        <w:t>注：商务要求为实质性要求，不得负偏离</w:t>
      </w:r>
      <w:r>
        <w:rPr>
          <w:rFonts w:hint="eastAsia" w:ascii="宋体" w:hAnsi="宋体" w:eastAsia="宋体" w:cs="宋体"/>
          <w:b/>
          <w:szCs w:val="24"/>
          <w:lang w:val="en-US" w:eastAsia="zh-CN"/>
        </w:rPr>
        <w:t>。</w:t>
      </w:r>
    </w:p>
    <w:p w14:paraId="54C3151A">
      <w:pPr>
        <w:spacing w:line="360" w:lineRule="auto"/>
        <w:ind w:left="240" w:leftChars="100"/>
        <w:rPr>
          <w:rFonts w:hint="eastAsia" w:ascii="宋体" w:hAnsi="宋体" w:eastAsia="宋体" w:cs="宋体"/>
          <w:b/>
          <w:szCs w:val="24"/>
          <w:lang w:val="en-US" w:eastAsia="zh-CN"/>
        </w:rPr>
      </w:pPr>
    </w:p>
    <w:p w14:paraId="4A6612FC">
      <w:pPr>
        <w:spacing w:line="360" w:lineRule="auto"/>
        <w:ind w:left="240" w:leftChars="100"/>
        <w:rPr>
          <w:rFonts w:hint="eastAsia" w:ascii="宋体" w:hAnsi="宋体" w:eastAsia="宋体" w:cs="宋体"/>
          <w:szCs w:val="24"/>
        </w:rPr>
      </w:pPr>
    </w:p>
    <w:p w14:paraId="688F0C0C">
      <w:pPr>
        <w:spacing w:line="360" w:lineRule="auto"/>
        <w:ind w:left="240" w:leftChars="100"/>
        <w:rPr>
          <w:rFonts w:hint="eastAsia" w:ascii="宋体" w:hAnsi="宋体" w:eastAsia="宋体" w:cs="宋体"/>
          <w:szCs w:val="24"/>
          <w:lang w:eastAsia="zh-CN"/>
        </w:rPr>
      </w:pPr>
      <w:bookmarkStart w:id="216" w:name="_Toc21922"/>
      <w:r>
        <w:rPr>
          <w:rFonts w:hint="eastAsia" w:ascii="宋体" w:hAnsi="宋体" w:eastAsia="宋体" w:cs="宋体"/>
          <w:szCs w:val="24"/>
        </w:rPr>
        <w:t>投标单位</w:t>
      </w:r>
      <w:r>
        <w:rPr>
          <w:rFonts w:hint="eastAsia" w:ascii="宋体" w:hAnsi="宋体" w:eastAsia="宋体" w:cs="宋体"/>
          <w:szCs w:val="24"/>
          <w:lang w:val="en-US" w:eastAsia="zh-CN"/>
        </w:rPr>
        <w:t>名称</w:t>
      </w:r>
      <w:r>
        <w:rPr>
          <w:rFonts w:hint="eastAsia" w:ascii="宋体" w:hAnsi="宋体" w:eastAsia="宋体" w:cs="宋体"/>
          <w:szCs w:val="24"/>
        </w:rPr>
        <w:t>：（加盖公章）</w:t>
      </w:r>
    </w:p>
    <w:p w14:paraId="0EB95F62">
      <w:pPr>
        <w:widowControl w:val="0"/>
        <w:numPr>
          <w:ilvl w:val="0"/>
          <w:numId w:val="0"/>
        </w:numPr>
        <w:spacing w:line="360" w:lineRule="auto"/>
        <w:jc w:val="both"/>
        <w:rPr>
          <w:rFonts w:hint="eastAsia" w:ascii="宋体" w:hAnsi="宋体" w:eastAsia="宋体" w:cs="宋体"/>
          <w:b/>
          <w:kern w:val="0"/>
          <w:sz w:val="28"/>
          <w:szCs w:val="32"/>
          <w:lang w:val="en-US" w:eastAsia="zh-CN" w:bidi="ar-SA"/>
        </w:rPr>
        <w:sectPr>
          <w:headerReference r:id="rId16" w:type="first"/>
          <w:footerReference r:id="rId18" w:type="first"/>
          <w:headerReference r:id="rId15" w:type="default"/>
          <w:footerReference r:id="rId17" w:type="default"/>
          <w:pgSz w:w="11905" w:h="16838"/>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pPr>
      <w:r>
        <w:rPr>
          <w:rFonts w:hint="eastAsia" w:ascii="宋体" w:hAnsi="宋体" w:eastAsia="宋体" w:cs="宋体"/>
          <w:szCs w:val="24"/>
        </w:rPr>
        <w:t>日</w:t>
      </w:r>
      <w:r>
        <w:rPr>
          <w:rFonts w:hint="eastAsia" w:ascii="宋体" w:hAnsi="宋体" w:eastAsia="宋体" w:cs="宋体"/>
          <w:szCs w:val="24"/>
          <w:lang w:val="en-US" w:eastAsia="zh-CN"/>
        </w:rPr>
        <w:t xml:space="preserve">    </w:t>
      </w:r>
      <w:r>
        <w:rPr>
          <w:rFonts w:hint="eastAsia" w:ascii="宋体" w:hAnsi="宋体" w:eastAsia="宋体" w:cs="宋体"/>
          <w:szCs w:val="24"/>
        </w:rPr>
        <w:t>期：</w:t>
      </w:r>
    </w:p>
    <w:bookmarkEnd w:id="216"/>
    <w:p w14:paraId="2A0A56A6">
      <w:pPr>
        <w:pStyle w:val="55"/>
        <w:numPr>
          <w:ilvl w:val="0"/>
          <w:numId w:val="3"/>
        </w:numPr>
        <w:spacing w:line="360" w:lineRule="auto"/>
        <w:ind w:firstLine="199" w:firstLineChars="62"/>
        <w:outlineLvl w:val="1"/>
        <w:rPr>
          <w:rFonts w:hint="eastAsia" w:ascii="宋体" w:hAnsi="宋体" w:eastAsia="宋体" w:cs="宋体"/>
          <w:b/>
          <w:kern w:val="2"/>
          <w:sz w:val="32"/>
          <w:szCs w:val="28"/>
        </w:rPr>
      </w:pPr>
      <w:bookmarkStart w:id="217" w:name="_Toc11627"/>
      <w:bookmarkStart w:id="218" w:name="_Toc32443"/>
      <w:bookmarkStart w:id="219" w:name="_Toc15525"/>
      <w:bookmarkStart w:id="220" w:name="_Toc28778"/>
      <w:bookmarkStart w:id="221" w:name="_Toc28746"/>
      <w:bookmarkStart w:id="222" w:name="_Toc28085"/>
      <w:bookmarkStart w:id="223" w:name="_Toc5659"/>
      <w:bookmarkStart w:id="224" w:name="_Toc458617478"/>
      <w:r>
        <w:rPr>
          <w:rFonts w:hint="eastAsia" w:ascii="宋体" w:hAnsi="宋体" w:eastAsia="宋体" w:cs="宋体"/>
          <w:b/>
          <w:kern w:val="2"/>
          <w:sz w:val="32"/>
          <w:szCs w:val="28"/>
        </w:rPr>
        <w:t>投标方案</w:t>
      </w:r>
      <w:bookmarkEnd w:id="217"/>
      <w:bookmarkEnd w:id="218"/>
      <w:bookmarkEnd w:id="219"/>
      <w:bookmarkEnd w:id="220"/>
      <w:bookmarkEnd w:id="221"/>
      <w:bookmarkStart w:id="225" w:name="_Toc26121"/>
    </w:p>
    <w:bookmarkEnd w:id="225"/>
    <w:p w14:paraId="04DBD9CD">
      <w:pPr>
        <w:pStyle w:val="55"/>
        <w:spacing w:line="360" w:lineRule="auto"/>
        <w:ind w:firstLine="137" w:firstLineChars="62"/>
        <w:outlineLvl w:val="2"/>
        <w:rPr>
          <w:rFonts w:hint="eastAsia" w:ascii="宋体" w:hAnsi="宋体" w:eastAsia="宋体" w:cs="宋体"/>
          <w:b/>
          <w:bCs/>
          <w:sz w:val="22"/>
          <w:szCs w:val="32"/>
        </w:rPr>
      </w:pPr>
      <w:bookmarkStart w:id="226" w:name="_Toc1109"/>
      <w:bookmarkStart w:id="227" w:name="_Toc20309"/>
      <w:bookmarkStart w:id="228" w:name="_Toc7794"/>
      <w:bookmarkStart w:id="229" w:name="_Toc21423"/>
      <w:r>
        <w:rPr>
          <w:rFonts w:hint="eastAsia" w:ascii="宋体" w:hAnsi="宋体" w:eastAsia="宋体" w:cs="宋体"/>
          <w:b/>
          <w:bCs/>
          <w:sz w:val="22"/>
          <w:szCs w:val="32"/>
        </w:rPr>
        <w:t>1.供应商基本情况及其性质</w:t>
      </w:r>
      <w:bookmarkEnd w:id="226"/>
      <w:bookmarkEnd w:id="227"/>
      <w:bookmarkEnd w:id="228"/>
      <w:bookmarkEnd w:id="229"/>
    </w:p>
    <w:tbl>
      <w:tblPr>
        <w:tblStyle w:val="29"/>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146"/>
        <w:gridCol w:w="2250"/>
        <w:gridCol w:w="1323"/>
        <w:gridCol w:w="2462"/>
      </w:tblGrid>
      <w:tr w14:paraId="661C40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58" w:type="dxa"/>
            <w:vAlign w:val="center"/>
          </w:tcPr>
          <w:p w14:paraId="68C6AF2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投标单位名称</w:t>
            </w:r>
          </w:p>
        </w:tc>
        <w:tc>
          <w:tcPr>
            <w:tcW w:w="7181" w:type="dxa"/>
            <w:gridSpan w:val="4"/>
            <w:vAlign w:val="center"/>
          </w:tcPr>
          <w:p w14:paraId="675CB039">
            <w:pPr>
              <w:keepNext/>
              <w:keepLines/>
              <w:autoSpaceDE w:val="0"/>
              <w:autoSpaceDN w:val="0"/>
              <w:adjustRightInd w:val="0"/>
              <w:spacing w:line="400" w:lineRule="exact"/>
              <w:jc w:val="center"/>
              <w:rPr>
                <w:rFonts w:hint="eastAsia" w:ascii="宋体" w:hAnsi="宋体" w:eastAsia="宋体" w:cs="宋体"/>
                <w:kern w:val="0"/>
                <w:szCs w:val="24"/>
              </w:rPr>
            </w:pPr>
          </w:p>
        </w:tc>
      </w:tr>
      <w:tr w14:paraId="3E5259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02AF303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注册地址</w:t>
            </w:r>
          </w:p>
        </w:tc>
        <w:tc>
          <w:tcPr>
            <w:tcW w:w="3396" w:type="dxa"/>
            <w:gridSpan w:val="2"/>
            <w:vAlign w:val="center"/>
          </w:tcPr>
          <w:p w14:paraId="423FB098">
            <w:pPr>
              <w:keepNext/>
              <w:keepLines/>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7ABE159E">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邮政编码</w:t>
            </w:r>
          </w:p>
        </w:tc>
        <w:tc>
          <w:tcPr>
            <w:tcW w:w="2462" w:type="dxa"/>
            <w:vAlign w:val="center"/>
          </w:tcPr>
          <w:p w14:paraId="3A86FC39">
            <w:pPr>
              <w:keepNext/>
              <w:keepLines/>
              <w:autoSpaceDE w:val="0"/>
              <w:autoSpaceDN w:val="0"/>
              <w:adjustRightInd w:val="0"/>
              <w:spacing w:line="400" w:lineRule="exact"/>
              <w:jc w:val="center"/>
              <w:rPr>
                <w:rFonts w:hint="eastAsia" w:ascii="宋体" w:hAnsi="宋体" w:eastAsia="宋体" w:cs="宋体"/>
                <w:kern w:val="0"/>
                <w:szCs w:val="24"/>
              </w:rPr>
            </w:pPr>
          </w:p>
        </w:tc>
      </w:tr>
      <w:tr w14:paraId="586F39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Merge w:val="restart"/>
            <w:vAlign w:val="center"/>
          </w:tcPr>
          <w:p w14:paraId="0E7B2CBB">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联系方式</w:t>
            </w:r>
          </w:p>
        </w:tc>
        <w:tc>
          <w:tcPr>
            <w:tcW w:w="1146" w:type="dxa"/>
            <w:vAlign w:val="center"/>
          </w:tcPr>
          <w:p w14:paraId="31E48DFE">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联系人</w:t>
            </w:r>
          </w:p>
        </w:tc>
        <w:tc>
          <w:tcPr>
            <w:tcW w:w="2250" w:type="dxa"/>
            <w:vAlign w:val="center"/>
          </w:tcPr>
          <w:p w14:paraId="18589C1C">
            <w:pPr>
              <w:keepNext/>
              <w:keepLines/>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1230B6FD">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59F4553B">
            <w:pPr>
              <w:keepNext/>
              <w:keepLines/>
              <w:autoSpaceDE w:val="0"/>
              <w:autoSpaceDN w:val="0"/>
              <w:adjustRightInd w:val="0"/>
              <w:spacing w:line="400" w:lineRule="exact"/>
              <w:jc w:val="center"/>
              <w:rPr>
                <w:rFonts w:hint="eastAsia" w:ascii="宋体" w:hAnsi="宋体" w:eastAsia="宋体" w:cs="宋体"/>
                <w:kern w:val="0"/>
                <w:szCs w:val="24"/>
              </w:rPr>
            </w:pPr>
          </w:p>
        </w:tc>
      </w:tr>
      <w:tr w14:paraId="2A01C0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58" w:type="dxa"/>
            <w:vMerge w:val="continue"/>
            <w:vAlign w:val="center"/>
          </w:tcPr>
          <w:p w14:paraId="09E33A83">
            <w:pPr>
              <w:autoSpaceDE w:val="0"/>
              <w:autoSpaceDN w:val="0"/>
              <w:adjustRightInd w:val="0"/>
              <w:spacing w:line="400" w:lineRule="exact"/>
              <w:jc w:val="center"/>
              <w:rPr>
                <w:rFonts w:hint="eastAsia" w:ascii="宋体" w:hAnsi="宋体" w:eastAsia="宋体" w:cs="宋体"/>
                <w:kern w:val="0"/>
                <w:szCs w:val="24"/>
              </w:rPr>
            </w:pPr>
          </w:p>
        </w:tc>
        <w:tc>
          <w:tcPr>
            <w:tcW w:w="1146" w:type="dxa"/>
            <w:vAlign w:val="center"/>
          </w:tcPr>
          <w:p w14:paraId="7B537CA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传真</w:t>
            </w:r>
          </w:p>
        </w:tc>
        <w:tc>
          <w:tcPr>
            <w:tcW w:w="2250" w:type="dxa"/>
            <w:vAlign w:val="center"/>
          </w:tcPr>
          <w:p w14:paraId="3DD68A72">
            <w:pPr>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0F84FA98">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网址</w:t>
            </w:r>
          </w:p>
        </w:tc>
        <w:tc>
          <w:tcPr>
            <w:tcW w:w="2462" w:type="dxa"/>
            <w:vAlign w:val="center"/>
          </w:tcPr>
          <w:p w14:paraId="2FF0D3FE">
            <w:pPr>
              <w:autoSpaceDE w:val="0"/>
              <w:autoSpaceDN w:val="0"/>
              <w:adjustRightInd w:val="0"/>
              <w:spacing w:line="400" w:lineRule="exact"/>
              <w:jc w:val="center"/>
              <w:rPr>
                <w:rFonts w:hint="eastAsia" w:ascii="宋体" w:hAnsi="宋体" w:eastAsia="宋体" w:cs="宋体"/>
                <w:kern w:val="0"/>
                <w:szCs w:val="24"/>
              </w:rPr>
            </w:pPr>
          </w:p>
        </w:tc>
      </w:tr>
      <w:tr w14:paraId="6292E7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58" w:type="dxa"/>
            <w:vAlign w:val="center"/>
          </w:tcPr>
          <w:p w14:paraId="2433B4DC">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法定代表人</w:t>
            </w:r>
          </w:p>
        </w:tc>
        <w:tc>
          <w:tcPr>
            <w:tcW w:w="1146" w:type="dxa"/>
            <w:vAlign w:val="center"/>
          </w:tcPr>
          <w:p w14:paraId="1B76AD19">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250" w:type="dxa"/>
            <w:vAlign w:val="center"/>
          </w:tcPr>
          <w:p w14:paraId="64E00C13">
            <w:pPr>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1BFFA7C8">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71218DC1">
            <w:pPr>
              <w:autoSpaceDE w:val="0"/>
              <w:autoSpaceDN w:val="0"/>
              <w:adjustRightInd w:val="0"/>
              <w:spacing w:line="400" w:lineRule="exact"/>
              <w:jc w:val="center"/>
              <w:rPr>
                <w:rFonts w:hint="eastAsia" w:ascii="宋体" w:hAnsi="宋体" w:eastAsia="宋体" w:cs="宋体"/>
                <w:b/>
                <w:bCs/>
                <w:kern w:val="0"/>
                <w:szCs w:val="24"/>
              </w:rPr>
            </w:pPr>
          </w:p>
        </w:tc>
      </w:tr>
      <w:tr w14:paraId="1F14DA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658" w:type="dxa"/>
            <w:vAlign w:val="center"/>
          </w:tcPr>
          <w:p w14:paraId="621EF87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项目负责人</w:t>
            </w:r>
          </w:p>
        </w:tc>
        <w:tc>
          <w:tcPr>
            <w:tcW w:w="1146" w:type="dxa"/>
            <w:vAlign w:val="center"/>
          </w:tcPr>
          <w:p w14:paraId="18093A8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250" w:type="dxa"/>
            <w:vAlign w:val="center"/>
          </w:tcPr>
          <w:p w14:paraId="67830DBF">
            <w:pPr>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3509C75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48F69137">
            <w:pPr>
              <w:autoSpaceDE w:val="0"/>
              <w:autoSpaceDN w:val="0"/>
              <w:adjustRightInd w:val="0"/>
              <w:spacing w:line="400" w:lineRule="exact"/>
              <w:jc w:val="center"/>
              <w:rPr>
                <w:rFonts w:hint="eastAsia" w:ascii="宋体" w:hAnsi="宋体" w:eastAsia="宋体" w:cs="宋体"/>
                <w:b/>
                <w:bCs/>
                <w:kern w:val="0"/>
                <w:szCs w:val="24"/>
              </w:rPr>
            </w:pPr>
          </w:p>
        </w:tc>
      </w:tr>
      <w:tr w14:paraId="4967C8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0249A332">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成立时间</w:t>
            </w:r>
          </w:p>
        </w:tc>
        <w:tc>
          <w:tcPr>
            <w:tcW w:w="3396" w:type="dxa"/>
            <w:gridSpan w:val="2"/>
            <w:vAlign w:val="center"/>
          </w:tcPr>
          <w:p w14:paraId="415BF116">
            <w:pPr>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19341791">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开户银行</w:t>
            </w:r>
          </w:p>
        </w:tc>
        <w:tc>
          <w:tcPr>
            <w:tcW w:w="2462" w:type="dxa"/>
            <w:vAlign w:val="center"/>
          </w:tcPr>
          <w:p w14:paraId="24BD1E06">
            <w:pPr>
              <w:autoSpaceDE w:val="0"/>
              <w:autoSpaceDN w:val="0"/>
              <w:adjustRightInd w:val="0"/>
              <w:spacing w:line="400" w:lineRule="exact"/>
              <w:jc w:val="center"/>
              <w:rPr>
                <w:rFonts w:hint="eastAsia" w:ascii="宋体" w:hAnsi="宋体" w:eastAsia="宋体" w:cs="宋体"/>
                <w:b/>
                <w:bCs/>
                <w:kern w:val="0"/>
                <w:szCs w:val="24"/>
              </w:rPr>
            </w:pPr>
          </w:p>
        </w:tc>
      </w:tr>
      <w:tr w14:paraId="3BA132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Align w:val="center"/>
          </w:tcPr>
          <w:p w14:paraId="4ADA3EB0">
            <w:pPr>
              <w:autoSpaceDE w:val="0"/>
              <w:autoSpaceDN w:val="0"/>
              <w:adjustRightInd w:val="0"/>
              <w:spacing w:line="400" w:lineRule="exact"/>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统一社会信用代码</w:t>
            </w:r>
          </w:p>
        </w:tc>
        <w:tc>
          <w:tcPr>
            <w:tcW w:w="3396" w:type="dxa"/>
            <w:gridSpan w:val="2"/>
            <w:vAlign w:val="center"/>
          </w:tcPr>
          <w:p w14:paraId="427BC965">
            <w:pPr>
              <w:autoSpaceDE w:val="0"/>
              <w:autoSpaceDN w:val="0"/>
              <w:adjustRightInd w:val="0"/>
              <w:spacing w:line="400" w:lineRule="exact"/>
              <w:jc w:val="center"/>
              <w:rPr>
                <w:rFonts w:hint="eastAsia" w:ascii="宋体" w:hAnsi="宋体" w:eastAsia="宋体" w:cs="宋体"/>
                <w:kern w:val="0"/>
                <w:szCs w:val="24"/>
              </w:rPr>
            </w:pPr>
          </w:p>
        </w:tc>
        <w:tc>
          <w:tcPr>
            <w:tcW w:w="1323" w:type="dxa"/>
            <w:vAlign w:val="center"/>
          </w:tcPr>
          <w:p w14:paraId="49F7D02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账号</w:t>
            </w:r>
          </w:p>
        </w:tc>
        <w:tc>
          <w:tcPr>
            <w:tcW w:w="2462" w:type="dxa"/>
            <w:vAlign w:val="center"/>
          </w:tcPr>
          <w:p w14:paraId="6A2D808B">
            <w:pPr>
              <w:autoSpaceDE w:val="0"/>
              <w:autoSpaceDN w:val="0"/>
              <w:adjustRightInd w:val="0"/>
              <w:spacing w:line="400" w:lineRule="exact"/>
              <w:jc w:val="center"/>
              <w:rPr>
                <w:rFonts w:hint="eastAsia" w:ascii="宋体" w:hAnsi="宋体" w:eastAsia="宋体" w:cs="宋体"/>
                <w:b/>
                <w:bCs/>
                <w:kern w:val="0"/>
                <w:szCs w:val="24"/>
              </w:rPr>
            </w:pPr>
          </w:p>
        </w:tc>
      </w:tr>
      <w:tr w14:paraId="2ABEBC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1" w:hRule="atLeast"/>
          <w:jc w:val="center"/>
        </w:trPr>
        <w:tc>
          <w:tcPr>
            <w:tcW w:w="1658" w:type="dxa"/>
            <w:vAlign w:val="center"/>
          </w:tcPr>
          <w:p w14:paraId="3055FC3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经营范围</w:t>
            </w:r>
          </w:p>
        </w:tc>
        <w:tc>
          <w:tcPr>
            <w:tcW w:w="7181" w:type="dxa"/>
            <w:gridSpan w:val="4"/>
            <w:vAlign w:val="center"/>
          </w:tcPr>
          <w:p w14:paraId="6501B144">
            <w:pPr>
              <w:autoSpaceDE w:val="0"/>
              <w:autoSpaceDN w:val="0"/>
              <w:adjustRightInd w:val="0"/>
              <w:spacing w:line="400" w:lineRule="exact"/>
              <w:rPr>
                <w:rFonts w:hint="eastAsia" w:ascii="宋体" w:hAnsi="宋体" w:eastAsia="宋体" w:cs="宋体"/>
                <w:b/>
                <w:bCs/>
                <w:kern w:val="0"/>
                <w:szCs w:val="24"/>
              </w:rPr>
            </w:pPr>
          </w:p>
        </w:tc>
      </w:tr>
      <w:tr w14:paraId="29FF04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8" w:hRule="atLeast"/>
          <w:jc w:val="center"/>
        </w:trPr>
        <w:tc>
          <w:tcPr>
            <w:tcW w:w="1658" w:type="dxa"/>
          </w:tcPr>
          <w:p w14:paraId="74CDA035">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备注</w:t>
            </w:r>
          </w:p>
        </w:tc>
        <w:tc>
          <w:tcPr>
            <w:tcW w:w="7181" w:type="dxa"/>
            <w:gridSpan w:val="4"/>
          </w:tcPr>
          <w:p w14:paraId="565442E2">
            <w:pPr>
              <w:autoSpaceDE w:val="0"/>
              <w:autoSpaceDN w:val="0"/>
              <w:adjustRightInd w:val="0"/>
              <w:spacing w:line="400" w:lineRule="exact"/>
              <w:jc w:val="left"/>
              <w:rPr>
                <w:rFonts w:hint="eastAsia" w:ascii="宋体" w:hAnsi="宋体" w:eastAsia="宋体" w:cs="宋体"/>
                <w:kern w:val="0"/>
                <w:szCs w:val="24"/>
              </w:rPr>
            </w:pPr>
          </w:p>
        </w:tc>
      </w:tr>
    </w:tbl>
    <w:p w14:paraId="647F599E">
      <w:pPr>
        <w:rPr>
          <w:rFonts w:hint="eastAsia" w:ascii="宋体" w:hAnsi="宋体" w:eastAsia="宋体" w:cs="宋体"/>
        </w:rPr>
      </w:pPr>
    </w:p>
    <w:p w14:paraId="40671569">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投标</w:t>
      </w:r>
      <w:r>
        <w:rPr>
          <w:rFonts w:hint="eastAsia" w:ascii="宋体" w:hAnsi="宋体" w:eastAsia="宋体" w:cs="宋体"/>
          <w:bCs/>
          <w:szCs w:val="24"/>
          <w:lang w:val="en-US" w:eastAsia="zh-CN"/>
        </w:rPr>
        <w:t>单位</w:t>
      </w:r>
      <w:r>
        <w:rPr>
          <w:rFonts w:hint="eastAsia" w:ascii="宋体" w:hAnsi="宋体" w:eastAsia="宋体" w:cs="宋体"/>
          <w:bCs/>
          <w:szCs w:val="24"/>
        </w:rPr>
        <w:t>名称:（加盖公章）</w:t>
      </w:r>
    </w:p>
    <w:p w14:paraId="543B512A">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日</w:t>
      </w:r>
      <w:r>
        <w:rPr>
          <w:rFonts w:hint="eastAsia" w:ascii="宋体" w:hAnsi="宋体" w:eastAsia="宋体" w:cs="宋体"/>
          <w:bCs/>
          <w:szCs w:val="24"/>
          <w:lang w:val="en-US" w:eastAsia="zh-CN"/>
        </w:rPr>
        <w:t xml:space="preserve">  </w:t>
      </w:r>
      <w:r>
        <w:rPr>
          <w:rFonts w:hint="eastAsia" w:ascii="宋体" w:hAnsi="宋体" w:eastAsia="宋体" w:cs="宋体"/>
          <w:bCs/>
          <w:szCs w:val="24"/>
        </w:rPr>
        <w:t>期：</w:t>
      </w:r>
      <w:r>
        <w:rPr>
          <w:rFonts w:hint="eastAsia" w:ascii="宋体" w:hAnsi="宋体" w:eastAsia="宋体" w:cs="宋体"/>
          <w:bCs/>
          <w:szCs w:val="24"/>
          <w:lang w:val="en-US" w:eastAsia="zh-CN"/>
        </w:rPr>
        <w:t xml:space="preserve"> </w:t>
      </w:r>
      <w:r>
        <w:rPr>
          <w:rFonts w:hint="eastAsia" w:ascii="宋体" w:hAnsi="宋体" w:eastAsia="宋体" w:cs="宋体"/>
          <w:bCs/>
          <w:szCs w:val="24"/>
        </w:rPr>
        <w:t>年</w:t>
      </w:r>
      <w:r>
        <w:rPr>
          <w:rFonts w:hint="eastAsia" w:ascii="宋体" w:hAnsi="宋体" w:eastAsia="宋体" w:cs="宋体"/>
          <w:bCs/>
          <w:szCs w:val="24"/>
          <w:lang w:val="en-US" w:eastAsia="zh-CN"/>
        </w:rPr>
        <w:t xml:space="preserve">  </w:t>
      </w:r>
      <w:r>
        <w:rPr>
          <w:rFonts w:hint="eastAsia" w:ascii="宋体" w:hAnsi="宋体" w:eastAsia="宋体" w:cs="宋体"/>
          <w:bCs/>
          <w:szCs w:val="24"/>
        </w:rPr>
        <w:t>月</w:t>
      </w:r>
      <w:r>
        <w:rPr>
          <w:rFonts w:hint="eastAsia" w:ascii="宋体" w:hAnsi="宋体" w:eastAsia="宋体" w:cs="宋体"/>
          <w:bCs/>
          <w:szCs w:val="24"/>
          <w:lang w:val="en-US" w:eastAsia="zh-CN"/>
        </w:rPr>
        <w:t xml:space="preserve">   </w:t>
      </w:r>
      <w:r>
        <w:rPr>
          <w:rFonts w:hint="eastAsia" w:ascii="宋体" w:hAnsi="宋体" w:eastAsia="宋体" w:cs="宋体"/>
          <w:bCs/>
          <w:szCs w:val="24"/>
        </w:rPr>
        <w:t>日</w:t>
      </w:r>
    </w:p>
    <w:p w14:paraId="6E018F1C">
      <w:pPr>
        <w:rPr>
          <w:rFonts w:hint="eastAsia" w:ascii="宋体" w:hAnsi="宋体" w:eastAsia="宋体" w:cs="宋体"/>
          <w:b/>
          <w:bCs/>
          <w:szCs w:val="28"/>
        </w:rPr>
      </w:pPr>
    </w:p>
    <w:p w14:paraId="07F059E8">
      <w:pPr>
        <w:pStyle w:val="55"/>
        <w:spacing w:line="360" w:lineRule="auto"/>
        <w:ind w:firstLine="112" w:firstLineChars="62"/>
        <w:jc w:val="left"/>
        <w:outlineLvl w:val="9"/>
        <w:rPr>
          <w:rFonts w:hint="eastAsia" w:ascii="宋体" w:hAnsi="宋体" w:eastAsia="宋体" w:cs="宋体"/>
          <w:b/>
          <w:bCs/>
          <w:sz w:val="18"/>
          <w:szCs w:val="18"/>
        </w:rPr>
      </w:pPr>
      <w:bookmarkStart w:id="230" w:name="_Toc31256"/>
      <w:bookmarkStart w:id="231" w:name="_Toc10742"/>
      <w:bookmarkStart w:id="232" w:name="_Toc558"/>
      <w:bookmarkStart w:id="233" w:name="_Toc23813"/>
      <w:r>
        <w:rPr>
          <w:rFonts w:hint="eastAsia" w:ascii="宋体" w:hAnsi="宋体" w:eastAsia="宋体" w:cs="宋体"/>
          <w:b/>
          <w:bCs/>
          <w:sz w:val="18"/>
          <w:szCs w:val="18"/>
        </w:rPr>
        <w:t>注：</w:t>
      </w:r>
      <w:bookmarkStart w:id="234" w:name="_Toc2560"/>
      <w:r>
        <w:rPr>
          <w:rFonts w:hint="eastAsia" w:ascii="宋体" w:hAnsi="宋体" w:eastAsia="宋体" w:cs="宋体"/>
          <w:b/>
          <w:bCs/>
          <w:sz w:val="18"/>
          <w:szCs w:val="18"/>
        </w:rPr>
        <w:t>后附下列资料</w:t>
      </w:r>
      <w:bookmarkEnd w:id="230"/>
    </w:p>
    <w:bookmarkEnd w:id="234"/>
    <w:p w14:paraId="12B9CC61">
      <w:pPr>
        <w:pStyle w:val="53"/>
        <w:spacing w:line="360" w:lineRule="auto"/>
        <w:ind w:firstLine="112" w:firstLineChars="62"/>
        <w:jc w:val="left"/>
        <w:outlineLvl w:val="9"/>
        <w:rPr>
          <w:rFonts w:hint="eastAsia" w:ascii="宋体" w:hAnsi="宋体" w:eastAsia="宋体" w:cs="宋体"/>
          <w:b/>
          <w:bCs/>
          <w:sz w:val="18"/>
          <w:szCs w:val="18"/>
        </w:rPr>
      </w:pPr>
      <w:bookmarkStart w:id="235" w:name="_Toc25475"/>
      <w:bookmarkStart w:id="236" w:name="_Toc21313"/>
      <w:bookmarkStart w:id="237" w:name="_Toc12226"/>
      <w:r>
        <w:rPr>
          <w:rFonts w:hint="eastAsia" w:ascii="宋体" w:hAnsi="宋体" w:eastAsia="宋体" w:cs="宋体"/>
          <w:b/>
          <w:bCs/>
          <w:sz w:val="18"/>
          <w:szCs w:val="18"/>
        </w:rPr>
        <w:t>1.中小企业声明函（如适用，请提供，格式见附件一）；</w:t>
      </w:r>
      <w:bookmarkEnd w:id="235"/>
      <w:bookmarkEnd w:id="236"/>
    </w:p>
    <w:p w14:paraId="3AD8634F">
      <w:pPr>
        <w:pStyle w:val="53"/>
        <w:spacing w:line="360" w:lineRule="auto"/>
        <w:ind w:firstLine="112" w:firstLineChars="62"/>
        <w:jc w:val="left"/>
        <w:outlineLvl w:val="9"/>
        <w:rPr>
          <w:rFonts w:hint="eastAsia" w:ascii="宋体" w:hAnsi="宋体" w:eastAsia="宋体" w:cs="宋体"/>
          <w:b/>
          <w:bCs/>
          <w:sz w:val="18"/>
          <w:szCs w:val="18"/>
        </w:rPr>
      </w:pPr>
      <w:bookmarkStart w:id="238" w:name="_Toc8805"/>
      <w:bookmarkStart w:id="239" w:name="_Toc9211"/>
      <w:r>
        <w:rPr>
          <w:rFonts w:hint="eastAsia" w:ascii="宋体" w:hAnsi="宋体" w:eastAsia="宋体" w:cs="宋体"/>
          <w:b/>
          <w:bCs/>
          <w:sz w:val="18"/>
          <w:szCs w:val="18"/>
        </w:rPr>
        <w:t>2.残疾人福利性单位声明函（如适用，请提供，格式见附件二）；</w:t>
      </w:r>
      <w:bookmarkEnd w:id="238"/>
      <w:bookmarkEnd w:id="239"/>
    </w:p>
    <w:p w14:paraId="0DA4B570">
      <w:pPr>
        <w:pStyle w:val="53"/>
        <w:spacing w:line="360" w:lineRule="auto"/>
        <w:ind w:firstLine="112" w:firstLineChars="62"/>
        <w:jc w:val="left"/>
        <w:outlineLvl w:val="9"/>
        <w:rPr>
          <w:rFonts w:hint="eastAsia" w:ascii="宋体" w:hAnsi="宋体" w:eastAsia="宋体" w:cs="宋体"/>
          <w:b/>
          <w:bCs/>
          <w:sz w:val="18"/>
          <w:szCs w:val="18"/>
        </w:rPr>
      </w:pPr>
      <w:bookmarkStart w:id="240" w:name="_Toc32331"/>
      <w:bookmarkStart w:id="241" w:name="_Toc2125"/>
      <w:r>
        <w:rPr>
          <w:rFonts w:hint="eastAsia" w:ascii="宋体" w:hAnsi="宋体" w:eastAsia="宋体" w:cs="宋体"/>
          <w:b/>
          <w:bCs/>
          <w:sz w:val="18"/>
          <w:szCs w:val="18"/>
        </w:rPr>
        <w:t>3.监狱企业证明文件（如适用，请提供证明材料，格式见附件三）；</w:t>
      </w:r>
      <w:bookmarkEnd w:id="240"/>
      <w:bookmarkEnd w:id="241"/>
    </w:p>
    <w:p w14:paraId="56521F0D">
      <w:pPr>
        <w:pStyle w:val="53"/>
        <w:spacing w:line="360" w:lineRule="auto"/>
        <w:ind w:firstLine="112" w:firstLineChars="62"/>
        <w:jc w:val="left"/>
        <w:outlineLvl w:val="9"/>
        <w:rPr>
          <w:rFonts w:hint="eastAsia" w:ascii="宋体" w:hAnsi="宋体" w:eastAsia="宋体" w:cs="宋体"/>
          <w:b/>
          <w:bCs/>
          <w:sz w:val="18"/>
          <w:szCs w:val="18"/>
        </w:rPr>
      </w:pPr>
      <w:bookmarkStart w:id="242" w:name="_Toc29452"/>
      <w:bookmarkStart w:id="243" w:name="_Toc11101"/>
      <w:r>
        <w:rPr>
          <w:rFonts w:hint="eastAsia" w:ascii="宋体" w:hAnsi="宋体" w:eastAsia="宋体" w:cs="宋体"/>
          <w:b/>
          <w:bCs/>
          <w:sz w:val="18"/>
          <w:szCs w:val="18"/>
        </w:rPr>
        <w:t>4.节能产品和环境标志产品证明材料（如适用，请提供相关证明材料）；</w:t>
      </w:r>
      <w:bookmarkEnd w:id="242"/>
      <w:bookmarkEnd w:id="243"/>
    </w:p>
    <w:p w14:paraId="42E24DF6">
      <w:pPr>
        <w:pStyle w:val="53"/>
        <w:spacing w:line="360" w:lineRule="auto"/>
        <w:ind w:firstLine="112" w:firstLineChars="62"/>
        <w:jc w:val="left"/>
        <w:outlineLvl w:val="9"/>
        <w:rPr>
          <w:rFonts w:hint="eastAsia" w:ascii="宋体" w:hAnsi="宋体" w:eastAsia="宋体" w:cs="宋体"/>
          <w:b/>
          <w:bCs/>
          <w:sz w:val="18"/>
          <w:szCs w:val="18"/>
        </w:rPr>
        <w:sectPr>
          <w:headerReference r:id="rId20" w:type="first"/>
          <w:footerReference r:id="rId22" w:type="first"/>
          <w:headerReference r:id="rId19" w:type="default"/>
          <w:footerReference r:id="rId21" w:type="default"/>
          <w:pgSz w:w="11905" w:h="16838"/>
          <w:pgMar w:top="1440" w:right="1080" w:bottom="1440" w:left="1080" w:header="935" w:footer="771" w:gutter="567"/>
          <w:pgNumType w:fmt="decimal"/>
          <w:cols w:space="0" w:num="1"/>
          <w:titlePg/>
          <w:docGrid w:linePitch="312" w:charSpace="0"/>
        </w:sectPr>
      </w:pPr>
      <w:bookmarkStart w:id="244" w:name="_Toc23064"/>
      <w:bookmarkStart w:id="245" w:name="_Toc658"/>
      <w:r>
        <w:rPr>
          <w:rFonts w:hint="eastAsia" w:ascii="宋体" w:hAnsi="宋体" w:eastAsia="宋体" w:cs="宋体"/>
          <w:b/>
          <w:bCs/>
          <w:sz w:val="18"/>
          <w:szCs w:val="18"/>
        </w:rPr>
        <w:t>5.其他资料。</w:t>
      </w:r>
      <w:bookmarkEnd w:id="244"/>
      <w:bookmarkEnd w:id="245"/>
    </w:p>
    <w:p w14:paraId="2812E8ED">
      <w:pPr>
        <w:spacing w:line="360" w:lineRule="auto"/>
        <w:jc w:val="both"/>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附</w:t>
      </w:r>
      <w:bookmarkEnd w:id="237"/>
      <w:r>
        <w:rPr>
          <w:rFonts w:hint="eastAsia" w:ascii="宋体" w:hAnsi="宋体" w:eastAsia="宋体" w:cs="宋体"/>
          <w:b/>
          <w:bCs/>
          <w:color w:val="auto"/>
          <w:szCs w:val="24"/>
          <w:highlight w:val="none"/>
          <w:lang w:val="en-US" w:eastAsia="zh-CN"/>
        </w:rPr>
        <w:t>件一</w:t>
      </w:r>
    </w:p>
    <w:p w14:paraId="4742E5A5">
      <w:pPr>
        <w:pStyle w:val="6"/>
        <w:numPr>
          <w:ilvl w:val="0"/>
          <w:numId w:val="0"/>
        </w:numPr>
        <w:spacing w:line="360" w:lineRule="auto"/>
        <w:jc w:val="center"/>
        <w:outlineLvl w:val="9"/>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28"/>
          <w:szCs w:val="28"/>
          <w:highlight w:val="none"/>
          <w:lang w:val="en-US" w:eastAsia="en-US" w:bidi="ar-SA"/>
        </w:rPr>
        <w:t>中小企业声明函</w:t>
      </w:r>
      <w:r>
        <w:rPr>
          <w:rFonts w:hint="eastAsia" w:ascii="宋体" w:hAnsi="宋体" w:eastAsia="宋体" w:cs="宋体"/>
          <w:b/>
          <w:bCs/>
          <w:color w:val="auto"/>
          <w:kern w:val="2"/>
          <w:sz w:val="28"/>
          <w:szCs w:val="28"/>
          <w:highlight w:val="none"/>
          <w:lang w:val="en-US" w:eastAsia="zh-CN" w:bidi="ar-SA"/>
        </w:rPr>
        <w:t>（服务）</w:t>
      </w:r>
    </w:p>
    <w:p w14:paraId="6AC561A9">
      <w:pPr>
        <w:numPr>
          <w:ilvl w:val="0"/>
          <w:numId w:val="0"/>
        </w:numPr>
        <w:spacing w:line="360" w:lineRule="auto"/>
        <w:ind w:firstLine="496" w:firstLineChars="200"/>
        <w:rPr>
          <w:rFonts w:hint="eastAsia" w:ascii="宋体" w:hAnsi="宋体" w:eastAsia="宋体" w:cs="宋体"/>
          <w:color w:val="auto"/>
          <w:spacing w:val="4"/>
          <w:sz w:val="24"/>
          <w:szCs w:val="20"/>
          <w:highlight w:val="none"/>
          <w:lang w:eastAsia="zh-CN"/>
        </w:rPr>
      </w:pPr>
      <w:r>
        <w:rPr>
          <w:rFonts w:hint="eastAsia" w:ascii="宋体" w:hAnsi="宋体" w:eastAsia="宋体" w:cs="宋体"/>
          <w:color w:val="auto"/>
          <w:spacing w:val="4"/>
          <w:sz w:val="24"/>
          <w:szCs w:val="20"/>
          <w:highlight w:val="none"/>
        </w:rPr>
        <w:t>本公司郑重声明，根据《政府采购促进中小企业发展管理办法》(财库( 2020 ) 46 号)的规定，本公司(联合体)参加</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rPr>
        <w:t xml:space="preserve"> (单位名称)的</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rPr>
        <w:t xml:space="preserve"> (项目名称)采购活动，服务全部由符合政策要求的中小企业承接)。相关企业(含联合体中的中小企业、签订分包意向协议的中小企业)的具体情况如下</w:t>
      </w:r>
      <w:r>
        <w:rPr>
          <w:rFonts w:hint="eastAsia" w:ascii="宋体" w:hAnsi="宋体" w:eastAsia="宋体" w:cs="宋体"/>
          <w:color w:val="auto"/>
          <w:spacing w:val="4"/>
          <w:sz w:val="24"/>
          <w:szCs w:val="20"/>
          <w:highlight w:val="none"/>
          <w:lang w:eastAsia="zh-CN"/>
        </w:rPr>
        <w:t>：</w:t>
      </w:r>
    </w:p>
    <w:p w14:paraId="371A334F">
      <w:pPr>
        <w:numPr>
          <w:ilvl w:val="0"/>
          <w:numId w:val="4"/>
        </w:num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w:t>
      </w:r>
      <w:r>
        <w:rPr>
          <w:rFonts w:hint="eastAsia" w:ascii="宋体" w:hAnsi="宋体" w:eastAsia="宋体" w:cs="宋体"/>
          <w:color w:val="auto"/>
          <w:spacing w:val="4"/>
          <w:sz w:val="24"/>
          <w:szCs w:val="20"/>
          <w:highlight w:val="none"/>
        </w:rPr>
        <w:t>标的名称)，属于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lang w:val="en-US" w:eastAsia="zh-CN"/>
        </w:rPr>
        <w:t xml:space="preserve"> </w:t>
      </w:r>
      <w:r>
        <w:rPr>
          <w:rFonts w:hint="eastAsia" w:ascii="宋体" w:hAnsi="宋体" w:eastAsia="宋体" w:cs="宋体"/>
          <w:color w:val="auto"/>
          <w:spacing w:val="4"/>
          <w:sz w:val="24"/>
          <w:szCs w:val="20"/>
          <w:highlight w:val="none"/>
        </w:rPr>
        <w:t>(采购文件中明确的所属行业)</w:t>
      </w:r>
      <w:r>
        <w:rPr>
          <w:rFonts w:hint="eastAsia" w:ascii="宋体" w:hAnsi="宋体" w:eastAsia="宋体" w:cs="宋体"/>
          <w:color w:val="auto"/>
          <w:spacing w:val="4"/>
          <w:sz w:val="24"/>
          <w:szCs w:val="20"/>
          <w:highlight w:val="none"/>
          <w:lang w:eastAsia="zh-CN"/>
        </w:rPr>
        <w:t>；</w:t>
      </w:r>
      <w:r>
        <w:rPr>
          <w:rFonts w:hint="eastAsia" w:ascii="宋体" w:hAnsi="宋体" w:eastAsia="宋体" w:cs="宋体"/>
          <w:color w:val="auto"/>
          <w:spacing w:val="4"/>
          <w:sz w:val="24"/>
          <w:szCs w:val="20"/>
          <w:highlight w:val="none"/>
        </w:rPr>
        <w:t>承接企业为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(企业名称)，从业人员</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人，营业收入为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资产总额为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 xml:space="preserve"> (中型企业</w:t>
      </w:r>
      <w:r>
        <w:rPr>
          <w:rFonts w:hint="eastAsia" w:ascii="宋体" w:hAnsi="宋体" w:eastAsia="宋体" w:cs="宋体"/>
          <w:color w:val="auto"/>
          <w:spacing w:val="4"/>
          <w:sz w:val="24"/>
          <w:szCs w:val="20"/>
          <w:highlight w:val="none"/>
        </w:rPr>
        <w:t>、小型企业、微型企业);</w:t>
      </w:r>
    </w:p>
    <w:p w14:paraId="4983494F">
      <w:pPr>
        <w:numPr>
          <w:ilvl w:val="0"/>
          <w:numId w:val="4"/>
        </w:num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w:t>
      </w:r>
      <w:r>
        <w:rPr>
          <w:rFonts w:hint="eastAsia" w:ascii="宋体" w:hAnsi="宋体" w:eastAsia="宋体" w:cs="宋体"/>
          <w:color w:val="auto"/>
          <w:spacing w:val="4"/>
          <w:sz w:val="24"/>
          <w:szCs w:val="20"/>
          <w:highlight w:val="none"/>
        </w:rPr>
        <w:t>标的名称)，属于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lang w:val="en-US" w:eastAsia="zh-CN"/>
        </w:rPr>
        <w:t xml:space="preserve"> </w:t>
      </w:r>
      <w:r>
        <w:rPr>
          <w:rFonts w:hint="eastAsia" w:ascii="宋体" w:hAnsi="宋体" w:eastAsia="宋体" w:cs="宋体"/>
          <w:color w:val="auto"/>
          <w:spacing w:val="4"/>
          <w:sz w:val="24"/>
          <w:szCs w:val="20"/>
          <w:highlight w:val="none"/>
        </w:rPr>
        <w:t>(采购文件中明确的所属行业)</w:t>
      </w:r>
      <w:r>
        <w:rPr>
          <w:rFonts w:hint="eastAsia" w:ascii="宋体" w:hAnsi="宋体" w:eastAsia="宋体" w:cs="宋体"/>
          <w:color w:val="auto"/>
          <w:spacing w:val="4"/>
          <w:sz w:val="24"/>
          <w:szCs w:val="20"/>
          <w:highlight w:val="none"/>
          <w:lang w:eastAsia="zh-CN"/>
        </w:rPr>
        <w:t>；</w:t>
      </w:r>
      <w:r>
        <w:rPr>
          <w:rFonts w:hint="eastAsia" w:ascii="宋体" w:hAnsi="宋体" w:eastAsia="宋体" w:cs="宋体"/>
          <w:color w:val="auto"/>
          <w:spacing w:val="4"/>
          <w:sz w:val="24"/>
          <w:szCs w:val="20"/>
          <w:highlight w:val="none"/>
        </w:rPr>
        <w:t>承接企业为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none"/>
        </w:rPr>
        <w:t>(企业名称)，从业人员</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人，营业收入为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资产总额为</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万元， 属于</w:t>
      </w:r>
      <w:r>
        <w:rPr>
          <w:rFonts w:hint="eastAsia" w:ascii="宋体" w:hAnsi="宋体" w:eastAsia="宋体" w:cs="宋体"/>
          <w:color w:val="auto"/>
          <w:spacing w:val="4"/>
          <w:sz w:val="24"/>
          <w:szCs w:val="20"/>
          <w:highlight w:val="none"/>
          <w:u w:val="single"/>
          <w:lang w:val="en-US" w:eastAsia="zh-CN"/>
        </w:rPr>
        <w:t xml:space="preserve">     </w:t>
      </w:r>
      <w:r>
        <w:rPr>
          <w:rFonts w:hint="eastAsia" w:ascii="宋体" w:hAnsi="宋体" w:eastAsia="宋体" w:cs="宋体"/>
          <w:color w:val="auto"/>
          <w:spacing w:val="4"/>
          <w:sz w:val="24"/>
          <w:szCs w:val="20"/>
          <w:highlight w:val="none"/>
          <w:u w:val="none"/>
        </w:rPr>
        <w:t xml:space="preserve"> (中型企业</w:t>
      </w:r>
      <w:r>
        <w:rPr>
          <w:rFonts w:hint="eastAsia" w:ascii="宋体" w:hAnsi="宋体" w:eastAsia="宋体" w:cs="宋体"/>
          <w:color w:val="auto"/>
          <w:spacing w:val="4"/>
          <w:sz w:val="24"/>
          <w:szCs w:val="20"/>
          <w:highlight w:val="none"/>
        </w:rPr>
        <w:t>、小型企业、微型企业);</w:t>
      </w:r>
    </w:p>
    <w:p w14:paraId="79FEFAC3">
      <w:p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rPr>
        <w:t>以上企业，不属于大企业的分支机构，不存在控股股东为大企业的情形，也不存在与大企业的负责人为同一人的情形。</w:t>
      </w:r>
    </w:p>
    <w:p w14:paraId="0FE62616">
      <w:pPr>
        <w:spacing w:line="360" w:lineRule="auto"/>
        <w:ind w:firstLine="496" w:firstLineChars="200"/>
        <w:rPr>
          <w:rFonts w:hint="eastAsia" w:ascii="宋体" w:hAnsi="宋体" w:eastAsia="宋体" w:cs="宋体"/>
          <w:color w:val="auto"/>
          <w:spacing w:val="4"/>
          <w:sz w:val="24"/>
          <w:szCs w:val="20"/>
          <w:highlight w:val="none"/>
        </w:rPr>
      </w:pPr>
      <w:r>
        <w:rPr>
          <w:rFonts w:hint="eastAsia" w:ascii="宋体" w:hAnsi="宋体" w:eastAsia="宋体" w:cs="宋体"/>
          <w:color w:val="auto"/>
          <w:spacing w:val="4"/>
          <w:sz w:val="24"/>
          <w:szCs w:val="20"/>
          <w:highlight w:val="none"/>
        </w:rPr>
        <w:t xml:space="preserve">本企业对，上述声明内容的真实性负责。如有虚假，将依法承担相应责任。             </w:t>
      </w:r>
    </w:p>
    <w:p w14:paraId="3A041AA9">
      <w:pPr>
        <w:tabs>
          <w:tab w:val="left" w:pos="4860"/>
        </w:tabs>
        <w:spacing w:line="360" w:lineRule="auto"/>
        <w:ind w:right="1560" w:firstLine="496" w:firstLineChars="200"/>
        <w:jc w:val="center"/>
        <w:rPr>
          <w:rFonts w:hint="eastAsia" w:ascii="宋体" w:hAnsi="宋体" w:eastAsia="宋体" w:cs="宋体"/>
          <w:color w:val="auto"/>
          <w:spacing w:val="4"/>
          <w:sz w:val="24"/>
          <w:szCs w:val="20"/>
          <w:highlight w:val="none"/>
        </w:rPr>
      </w:pPr>
    </w:p>
    <w:p w14:paraId="0B202C6D">
      <w:pPr>
        <w:spacing w:before="156" w:beforeLines="50" w:after="156" w:afterLines="50" w:line="360" w:lineRule="auto"/>
        <w:ind w:left="4896" w:hanging="4216" w:hangingChars="1700"/>
        <w:rPr>
          <w:rFonts w:hint="eastAsia" w:ascii="宋体" w:hAnsi="宋体" w:eastAsia="宋体" w:cs="宋体"/>
          <w:color w:val="auto"/>
          <w:sz w:val="24"/>
          <w:szCs w:val="20"/>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 w:val="24"/>
          <w:szCs w:val="20"/>
          <w:highlight w:val="none"/>
          <w:lang w:val="en-US" w:eastAsia="zh-CN"/>
        </w:rPr>
        <w:t>供应商</w:t>
      </w:r>
      <w:r>
        <w:rPr>
          <w:rFonts w:hint="eastAsia" w:ascii="宋体" w:hAnsi="宋体" w:eastAsia="宋体" w:cs="宋体"/>
          <w:color w:val="auto"/>
          <w:spacing w:val="4"/>
          <w:sz w:val="24"/>
          <w:szCs w:val="20"/>
          <w:highlight w:val="none"/>
        </w:rPr>
        <w:t>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单位公章）</w:t>
      </w:r>
    </w:p>
    <w:p w14:paraId="73D1FE0F">
      <w:pPr>
        <w:spacing w:before="156" w:beforeLines="50" w:after="156" w:afterLines="50" w:line="360" w:lineRule="auto"/>
        <w:ind w:left="4080" w:leftChars="140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日期：    年   月   日</w:t>
      </w:r>
    </w:p>
    <w:p w14:paraId="10EE5D23">
      <w:pPr>
        <w:pStyle w:val="53"/>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p w14:paraId="0C520ED4">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1.从业人员、营业收入、资产总额填报上一年度数据，无上一年度数据的新成立企业可不填报。</w:t>
      </w:r>
    </w:p>
    <w:p w14:paraId="52FFBB5F">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olor w:val="auto"/>
          <w:spacing w:val="4"/>
          <w:kern w:val="2"/>
          <w:sz w:val="24"/>
          <w:szCs w:val="24"/>
          <w:lang w:val="en-US" w:eastAsia="zh-CN" w:bidi="ar-SA"/>
        </w:rPr>
      </w:pPr>
      <w:r>
        <w:rPr>
          <w:rFonts w:hint="eastAsia" w:ascii="宋体" w:hAnsi="宋体" w:eastAsia="宋体" w:cs="宋体"/>
          <w:i w:val="0"/>
          <w:iCs w:val="0"/>
          <w:color w:val="auto"/>
          <w:spacing w:val="4"/>
          <w:kern w:val="2"/>
          <w:sz w:val="24"/>
          <w:szCs w:val="24"/>
          <w:lang w:val="en-US" w:eastAsia="zh-CN" w:bidi="ar-SA"/>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795D1E69">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3.本包段采购标的对应的中小企业划分标准所属行业为餐饮业。（所属行业类别投标人不得更改，否则，造成不利影响投标人自行承担）</w:t>
      </w:r>
    </w:p>
    <w:p w14:paraId="4189C764">
      <w:pPr>
        <w:pStyle w:val="14"/>
        <w:rPr>
          <w:rFonts w:hint="eastAsia" w:ascii="宋体" w:hAnsi="宋体" w:eastAsia="宋体" w:cs="宋体"/>
          <w:lang w:eastAsia="zh-CN"/>
        </w:rPr>
      </w:pPr>
    </w:p>
    <w:p w14:paraId="3DA98802">
      <w:pPr>
        <w:rPr>
          <w:rFonts w:hint="eastAsia" w:ascii="宋体" w:hAnsi="宋体" w:eastAsia="宋体" w:cs="宋体"/>
          <w:b/>
          <w:sz w:val="32"/>
          <w:szCs w:val="28"/>
        </w:rPr>
      </w:pPr>
      <w:r>
        <w:rPr>
          <w:rFonts w:hint="eastAsia" w:ascii="宋体" w:hAnsi="宋体" w:eastAsia="宋体" w:cs="宋体"/>
          <w:b/>
          <w:sz w:val="32"/>
          <w:szCs w:val="28"/>
        </w:rPr>
        <w:br w:type="page"/>
      </w:r>
    </w:p>
    <w:p w14:paraId="4EDFDCA3">
      <w:pPr>
        <w:pStyle w:val="55"/>
        <w:spacing w:line="360" w:lineRule="auto"/>
        <w:jc w:val="left"/>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附件二：《残疾人福利性单位声明函》（若有）</w:t>
      </w:r>
    </w:p>
    <w:p w14:paraId="70DF7832">
      <w:pPr>
        <w:spacing w:line="360" w:lineRule="auto"/>
        <w:jc w:val="center"/>
        <w:outlineLvl w:val="9"/>
        <w:rPr>
          <w:rFonts w:hint="eastAsia" w:ascii="宋体" w:hAnsi="宋体" w:eastAsia="宋体" w:cs="宋体"/>
          <w:b/>
          <w:spacing w:val="6"/>
          <w:szCs w:val="24"/>
        </w:rPr>
      </w:pPr>
    </w:p>
    <w:p w14:paraId="774E6D13">
      <w:pPr>
        <w:spacing w:line="360" w:lineRule="auto"/>
        <w:jc w:val="center"/>
        <w:outlineLvl w:val="9"/>
        <w:rPr>
          <w:rFonts w:hint="eastAsia" w:ascii="宋体" w:hAnsi="宋体" w:eastAsia="宋体" w:cs="宋体"/>
          <w:b/>
          <w:spacing w:val="6"/>
          <w:szCs w:val="24"/>
        </w:rPr>
      </w:pPr>
      <w:r>
        <w:rPr>
          <w:rFonts w:hint="eastAsia" w:ascii="宋体" w:hAnsi="宋体" w:eastAsia="宋体" w:cs="宋体"/>
          <w:b/>
          <w:spacing w:val="6"/>
          <w:szCs w:val="24"/>
        </w:rPr>
        <w:t>残疾人福利性单位声明函</w:t>
      </w:r>
    </w:p>
    <w:p w14:paraId="0879F760">
      <w:pPr>
        <w:spacing w:line="360" w:lineRule="auto"/>
        <w:outlineLvl w:val="9"/>
        <w:rPr>
          <w:rFonts w:hint="eastAsia" w:ascii="宋体" w:hAnsi="宋体" w:eastAsia="宋体" w:cs="宋体"/>
          <w:b/>
          <w:spacing w:val="6"/>
          <w:szCs w:val="24"/>
        </w:rPr>
      </w:pPr>
    </w:p>
    <w:p w14:paraId="3967D0F4">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本单位郑重声明，根据《财政部</w:t>
      </w:r>
      <w:r>
        <w:rPr>
          <w:rFonts w:hint="eastAsia" w:ascii="宋体" w:hAnsi="宋体" w:eastAsia="宋体" w:cs="宋体"/>
          <w:spacing w:val="6"/>
          <w:szCs w:val="24"/>
          <w:lang w:val="en-US" w:eastAsia="zh-CN"/>
        </w:rPr>
        <w:t xml:space="preserve"> </w:t>
      </w:r>
      <w:r>
        <w:rPr>
          <w:rFonts w:hint="eastAsia" w:ascii="宋体" w:hAnsi="宋体" w:eastAsia="宋体" w:cs="宋体"/>
          <w:spacing w:val="6"/>
          <w:szCs w:val="24"/>
        </w:rPr>
        <w:t>民政部</w:t>
      </w:r>
      <w:r>
        <w:rPr>
          <w:rFonts w:hint="eastAsia" w:ascii="宋体" w:hAnsi="宋体" w:eastAsia="宋体" w:cs="宋体"/>
          <w:spacing w:val="6"/>
          <w:szCs w:val="24"/>
          <w:lang w:val="en-US" w:eastAsia="zh-CN"/>
        </w:rPr>
        <w:t xml:space="preserve"> </w:t>
      </w:r>
      <w:r>
        <w:rPr>
          <w:rFonts w:hint="eastAsia" w:ascii="宋体" w:hAnsi="宋体" w:eastAsia="宋体" w:cs="宋体"/>
          <w:spacing w:val="6"/>
          <w:szCs w:val="24"/>
        </w:rPr>
        <w:t>中国残疾人联合会关于促进残疾人就业政府采购政策的通知》（财库</w:t>
      </w:r>
      <w:r>
        <w:rPr>
          <w:rFonts w:hint="eastAsia" w:ascii="宋体" w:hAnsi="宋体" w:eastAsia="宋体" w:cs="宋体"/>
          <w:szCs w:val="24"/>
        </w:rPr>
        <w:t>〔2017〕141</w:t>
      </w:r>
      <w:r>
        <w:rPr>
          <w:rFonts w:hint="eastAsia" w:ascii="宋体" w:hAnsi="宋体" w:eastAsia="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45AA3B">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本单位对上述声明的真实性负责。如有虚假，将依法承担相应责任。</w:t>
      </w:r>
    </w:p>
    <w:p w14:paraId="753577A9">
      <w:pPr>
        <w:spacing w:line="360" w:lineRule="auto"/>
        <w:ind w:firstLine="504" w:firstLineChars="200"/>
        <w:rPr>
          <w:rFonts w:hint="eastAsia" w:ascii="宋体" w:hAnsi="宋体" w:eastAsia="宋体" w:cs="宋体"/>
          <w:spacing w:val="6"/>
          <w:szCs w:val="24"/>
        </w:rPr>
      </w:pPr>
    </w:p>
    <w:p w14:paraId="7F80A99B">
      <w:pPr>
        <w:spacing w:line="360" w:lineRule="auto"/>
        <w:ind w:firstLine="504" w:firstLineChars="200"/>
        <w:rPr>
          <w:rFonts w:hint="eastAsia" w:ascii="宋体" w:hAnsi="宋体" w:eastAsia="宋体" w:cs="宋体"/>
          <w:spacing w:val="6"/>
          <w:szCs w:val="24"/>
        </w:rPr>
      </w:pPr>
    </w:p>
    <w:p w14:paraId="165211D1">
      <w:pPr>
        <w:spacing w:before="120" w:beforeLines="50" w:after="120" w:afterLines="50" w:line="360" w:lineRule="auto"/>
        <w:rPr>
          <w:rFonts w:hint="eastAsia" w:ascii="宋体" w:hAnsi="宋体" w:eastAsia="宋体" w:cs="宋体"/>
          <w:spacing w:val="4"/>
          <w:szCs w:val="24"/>
        </w:rPr>
      </w:pPr>
      <w:r>
        <w:rPr>
          <w:rFonts w:hint="eastAsia" w:ascii="宋体" w:hAnsi="宋体" w:eastAsia="宋体" w:cs="宋体"/>
          <w:spacing w:val="4"/>
          <w:szCs w:val="24"/>
        </w:rPr>
        <w:t>投标单位名称：</w:t>
      </w:r>
      <w:r>
        <w:rPr>
          <w:rFonts w:hint="eastAsia" w:ascii="宋体" w:hAnsi="宋体" w:eastAsia="宋体" w:cs="宋体"/>
          <w:spacing w:val="4"/>
          <w:szCs w:val="24"/>
          <w:u w:val="single"/>
          <w:lang w:val="en-US" w:eastAsia="zh-CN"/>
        </w:rPr>
        <w:t xml:space="preserve">       </w:t>
      </w:r>
      <w:r>
        <w:rPr>
          <w:rFonts w:hint="eastAsia" w:ascii="宋体" w:hAnsi="宋体" w:eastAsia="宋体" w:cs="宋体"/>
          <w:szCs w:val="24"/>
          <w:u w:val="single"/>
        </w:rPr>
        <w:t>（</w:t>
      </w:r>
      <w:r>
        <w:rPr>
          <w:rFonts w:hint="eastAsia" w:ascii="宋体" w:hAnsi="宋体" w:eastAsia="宋体" w:cs="宋体"/>
          <w:szCs w:val="24"/>
        </w:rPr>
        <w:t>单位公章）</w:t>
      </w:r>
    </w:p>
    <w:p w14:paraId="2BCADC0D">
      <w:pPr>
        <w:adjustRightInd w:val="0"/>
        <w:snapToGrid w:val="0"/>
        <w:spacing w:line="360" w:lineRule="auto"/>
        <w:ind w:right="420"/>
        <w:jc w:val="both"/>
        <w:rPr>
          <w:rFonts w:hint="eastAsia" w:ascii="宋体" w:hAnsi="宋体" w:eastAsia="宋体" w:cs="宋体"/>
          <w:szCs w:val="24"/>
        </w:rPr>
      </w:pPr>
      <w:r>
        <w:rPr>
          <w:rFonts w:hint="eastAsia" w:ascii="宋体" w:hAnsi="宋体" w:eastAsia="宋体" w:cs="宋体"/>
          <w:szCs w:val="24"/>
        </w:rPr>
        <w:t>日</w:t>
      </w:r>
      <w:r>
        <w:rPr>
          <w:rFonts w:hint="eastAsia" w:ascii="宋体" w:hAnsi="宋体" w:eastAsia="宋体" w:cs="宋体"/>
          <w:szCs w:val="24"/>
          <w:lang w:val="en-US" w:eastAsia="zh-CN"/>
        </w:rPr>
        <w:t xml:space="preserve">  </w:t>
      </w:r>
      <w:r>
        <w:rPr>
          <w:rFonts w:hint="eastAsia" w:ascii="宋体" w:hAnsi="宋体" w:eastAsia="宋体" w:cs="宋体"/>
          <w:szCs w:val="24"/>
        </w:rPr>
        <w:t>期：</w:t>
      </w:r>
      <w:r>
        <w:rPr>
          <w:rFonts w:hint="eastAsia" w:ascii="宋体" w:hAnsi="宋体" w:eastAsia="宋体" w:cs="宋体"/>
          <w:szCs w:val="24"/>
          <w:lang w:val="en-US" w:eastAsia="zh-CN"/>
        </w:rPr>
        <w:t xml:space="preserve">  </w:t>
      </w:r>
      <w:r>
        <w:rPr>
          <w:rFonts w:hint="eastAsia" w:ascii="宋体" w:hAnsi="宋体" w:eastAsia="宋体" w:cs="宋体"/>
          <w:szCs w:val="24"/>
        </w:rPr>
        <w:t>年</w:t>
      </w:r>
      <w:r>
        <w:rPr>
          <w:rFonts w:hint="eastAsia" w:ascii="宋体" w:hAnsi="宋体" w:eastAsia="宋体" w:cs="宋体"/>
          <w:szCs w:val="24"/>
          <w:lang w:val="en-US" w:eastAsia="zh-CN"/>
        </w:rPr>
        <w:t xml:space="preserve">  </w:t>
      </w:r>
      <w:r>
        <w:rPr>
          <w:rFonts w:hint="eastAsia" w:ascii="宋体" w:hAnsi="宋体" w:eastAsia="宋体" w:cs="宋体"/>
          <w:szCs w:val="24"/>
        </w:rPr>
        <w:t>月</w:t>
      </w:r>
      <w:r>
        <w:rPr>
          <w:rFonts w:hint="eastAsia" w:ascii="宋体" w:hAnsi="宋体" w:eastAsia="宋体" w:cs="宋体"/>
          <w:szCs w:val="24"/>
          <w:lang w:val="en-US" w:eastAsia="zh-CN"/>
        </w:rPr>
        <w:t xml:space="preserve">  </w:t>
      </w:r>
      <w:r>
        <w:rPr>
          <w:rFonts w:hint="eastAsia" w:ascii="宋体" w:hAnsi="宋体" w:eastAsia="宋体" w:cs="宋体"/>
          <w:szCs w:val="24"/>
        </w:rPr>
        <w:t>日</w:t>
      </w:r>
    </w:p>
    <w:p w14:paraId="1C43B780">
      <w:pPr>
        <w:rPr>
          <w:rFonts w:hint="eastAsia" w:ascii="宋体" w:hAnsi="宋体" w:eastAsia="宋体" w:cs="宋体"/>
          <w:szCs w:val="24"/>
        </w:rPr>
      </w:pPr>
    </w:p>
    <w:p w14:paraId="54077D08">
      <w:pPr>
        <w:ind w:firstLine="280"/>
        <w:rPr>
          <w:rFonts w:hint="eastAsia" w:ascii="宋体" w:hAnsi="宋体" w:eastAsia="宋体" w:cs="宋体"/>
        </w:rPr>
      </w:pPr>
    </w:p>
    <w:p w14:paraId="5560CFFB">
      <w:pPr>
        <w:ind w:firstLine="280"/>
        <w:rPr>
          <w:rFonts w:hint="eastAsia" w:ascii="宋体" w:hAnsi="宋体" w:eastAsia="宋体" w:cs="宋体"/>
        </w:rPr>
      </w:pPr>
    </w:p>
    <w:p w14:paraId="63B3CD45">
      <w:pPr>
        <w:ind w:firstLine="280"/>
        <w:rPr>
          <w:rFonts w:hint="eastAsia" w:ascii="宋体" w:hAnsi="宋体" w:eastAsia="宋体" w:cs="宋体"/>
        </w:rPr>
      </w:pPr>
    </w:p>
    <w:p w14:paraId="2D1CCC95">
      <w:pPr>
        <w:ind w:firstLine="280"/>
        <w:rPr>
          <w:rFonts w:hint="eastAsia" w:ascii="宋体" w:hAnsi="宋体" w:eastAsia="宋体" w:cs="宋体"/>
        </w:rPr>
      </w:pPr>
    </w:p>
    <w:p w14:paraId="2240AA1F">
      <w:pPr>
        <w:spacing w:line="360" w:lineRule="auto"/>
        <w:rPr>
          <w:rFonts w:hint="eastAsia" w:ascii="宋体" w:hAnsi="宋体" w:eastAsia="宋体" w:cs="宋体"/>
          <w:b/>
          <w:sz w:val="44"/>
          <w:szCs w:val="44"/>
        </w:rPr>
      </w:pPr>
    </w:p>
    <w:p w14:paraId="0C30F4B1">
      <w:pPr>
        <w:spacing w:line="360" w:lineRule="auto"/>
        <w:rPr>
          <w:rFonts w:hint="eastAsia" w:ascii="宋体" w:hAnsi="宋体" w:eastAsia="宋体" w:cs="宋体"/>
        </w:rPr>
      </w:pPr>
    </w:p>
    <w:p w14:paraId="1A448E87">
      <w:pPr>
        <w:rPr>
          <w:rFonts w:hint="eastAsia" w:ascii="宋体" w:hAnsi="宋体" w:eastAsia="宋体" w:cs="宋体"/>
          <w:b/>
        </w:rPr>
      </w:pPr>
    </w:p>
    <w:bookmarkEnd w:id="231"/>
    <w:bookmarkEnd w:id="232"/>
    <w:p w14:paraId="59CD07CB">
      <w:pPr>
        <w:spacing w:line="600" w:lineRule="exact"/>
        <w:rPr>
          <w:rFonts w:hint="eastAsia" w:ascii="宋体" w:hAnsi="宋体" w:eastAsia="宋体" w:cs="宋体"/>
          <w:sz w:val="28"/>
          <w:szCs w:val="28"/>
        </w:rPr>
      </w:pPr>
    </w:p>
    <w:p w14:paraId="5775A940">
      <w:pPr>
        <w:spacing w:line="600" w:lineRule="exact"/>
        <w:rPr>
          <w:rFonts w:hint="eastAsia" w:ascii="宋体" w:hAnsi="宋体" w:eastAsia="宋体" w:cs="宋体"/>
          <w:sz w:val="28"/>
          <w:szCs w:val="28"/>
        </w:rPr>
      </w:pPr>
    </w:p>
    <w:p w14:paraId="67DD1820">
      <w:pPr>
        <w:spacing w:line="600" w:lineRule="exact"/>
        <w:rPr>
          <w:rFonts w:hint="eastAsia" w:ascii="宋体" w:hAnsi="宋体" w:eastAsia="宋体" w:cs="宋体"/>
          <w:sz w:val="28"/>
          <w:szCs w:val="28"/>
        </w:rPr>
      </w:pPr>
    </w:p>
    <w:p w14:paraId="287919AF">
      <w:pPr>
        <w:spacing w:line="600" w:lineRule="exact"/>
        <w:rPr>
          <w:rFonts w:hint="eastAsia" w:ascii="宋体" w:hAnsi="宋体" w:eastAsia="宋体" w:cs="宋体"/>
          <w:sz w:val="28"/>
          <w:szCs w:val="28"/>
        </w:rPr>
      </w:pPr>
    </w:p>
    <w:p w14:paraId="32FC3ECF">
      <w:pPr>
        <w:rPr>
          <w:rFonts w:hint="eastAsia" w:ascii="宋体" w:hAnsi="宋体" w:eastAsia="宋体" w:cs="宋体"/>
          <w:sz w:val="28"/>
          <w:szCs w:val="28"/>
        </w:rPr>
      </w:pPr>
      <w:r>
        <w:rPr>
          <w:rFonts w:hint="eastAsia" w:ascii="宋体" w:hAnsi="宋体" w:eastAsia="宋体" w:cs="宋体"/>
          <w:sz w:val="28"/>
          <w:szCs w:val="28"/>
        </w:rPr>
        <w:br w:type="page"/>
      </w:r>
    </w:p>
    <w:p w14:paraId="00EB85EE">
      <w:pPr>
        <w:spacing w:line="600" w:lineRule="exact"/>
        <w:rPr>
          <w:rFonts w:hint="eastAsia" w:ascii="宋体" w:hAnsi="宋体" w:eastAsia="宋体" w:cs="宋体"/>
          <w:b/>
          <w:bCs/>
          <w:szCs w:val="24"/>
        </w:rPr>
      </w:pPr>
      <w:r>
        <w:rPr>
          <w:rFonts w:hint="eastAsia" w:ascii="宋体" w:hAnsi="宋体" w:eastAsia="宋体" w:cs="宋体"/>
          <w:b/>
          <w:bCs/>
          <w:szCs w:val="24"/>
        </w:rPr>
        <w:t>附件</w:t>
      </w:r>
      <w:r>
        <w:rPr>
          <w:rFonts w:hint="eastAsia" w:ascii="宋体" w:hAnsi="宋体" w:eastAsia="宋体" w:cs="宋体"/>
          <w:b/>
          <w:bCs/>
          <w:szCs w:val="24"/>
          <w:lang w:val="en-US" w:eastAsia="zh-CN"/>
        </w:rPr>
        <w:t>三</w:t>
      </w:r>
      <w:r>
        <w:rPr>
          <w:rFonts w:hint="eastAsia" w:ascii="宋体" w:hAnsi="宋体" w:eastAsia="宋体" w:cs="宋体"/>
          <w:b/>
          <w:bCs/>
          <w:szCs w:val="24"/>
        </w:rPr>
        <w:t>：监狱企业证明文件（若有）</w:t>
      </w:r>
    </w:p>
    <w:p w14:paraId="09B1B72D">
      <w:pPr>
        <w:pStyle w:val="2"/>
        <w:ind w:firstLine="560"/>
        <w:rPr>
          <w:rFonts w:hint="eastAsia" w:ascii="宋体" w:hAnsi="宋体" w:eastAsia="宋体" w:cs="宋体"/>
          <w:kern w:val="2"/>
          <w:sz w:val="28"/>
          <w:szCs w:val="28"/>
        </w:rPr>
      </w:pPr>
    </w:p>
    <w:p w14:paraId="1A8A826F">
      <w:pPr>
        <w:spacing w:line="360" w:lineRule="auto"/>
        <w:ind w:firstLine="504" w:firstLineChars="200"/>
        <w:rPr>
          <w:rFonts w:hint="eastAsia" w:ascii="宋体" w:hAnsi="宋体" w:eastAsia="宋体" w:cs="宋体"/>
          <w:spacing w:val="6"/>
          <w:szCs w:val="24"/>
        </w:rPr>
      </w:pPr>
      <w:bookmarkStart w:id="246" w:name="_Toc26753"/>
      <w:r>
        <w:rPr>
          <w:rFonts w:hint="eastAsia" w:ascii="宋体" w:hAnsi="宋体" w:eastAsia="宋体" w:cs="宋体"/>
          <w:spacing w:val="6"/>
          <w:szCs w:val="24"/>
        </w:rPr>
        <w:t>说明：</w:t>
      </w:r>
      <w:bookmarkEnd w:id="246"/>
      <w:r>
        <w:rPr>
          <w:rFonts w:hint="eastAsia" w:ascii="宋体" w:hAnsi="宋体" w:eastAsia="宋体" w:cs="宋体"/>
          <w:spacing w:val="6"/>
          <w:szCs w:val="24"/>
        </w:rPr>
        <w:t>监狱企业参加政府采购活动时，应当提供由省级以上监狱管理局、戒毒管理局（含新疆生产建设兵团）出具的属于监狱企业的证明文件。在政府采购活动中，监狱企业视同小型、微型企业。</w:t>
      </w:r>
    </w:p>
    <w:p w14:paraId="4ECF9C5F">
      <w:pPr>
        <w:pStyle w:val="55"/>
        <w:spacing w:line="360" w:lineRule="auto"/>
        <w:ind w:firstLine="156" w:firstLineChars="62"/>
        <w:rPr>
          <w:rFonts w:hint="eastAsia" w:ascii="宋体" w:hAnsi="宋体" w:eastAsia="宋体" w:cs="宋体"/>
          <w:spacing w:val="6"/>
          <w:sz w:val="24"/>
        </w:rPr>
      </w:pPr>
    </w:p>
    <w:p w14:paraId="5CC41690">
      <w:pPr>
        <w:rPr>
          <w:rFonts w:hint="eastAsia" w:ascii="宋体" w:hAnsi="宋体" w:eastAsia="宋体" w:cs="宋体"/>
          <w:spacing w:val="6"/>
          <w:szCs w:val="24"/>
        </w:rPr>
      </w:pPr>
      <w:r>
        <w:rPr>
          <w:rFonts w:hint="eastAsia" w:ascii="宋体" w:hAnsi="宋体" w:eastAsia="宋体" w:cs="宋体"/>
          <w:spacing w:val="6"/>
          <w:szCs w:val="24"/>
        </w:rPr>
        <w:br w:type="page"/>
      </w:r>
    </w:p>
    <w:p w14:paraId="451CDA01">
      <w:pPr>
        <w:pStyle w:val="55"/>
        <w:spacing w:line="360" w:lineRule="auto"/>
        <w:ind w:firstLine="174" w:firstLineChars="62"/>
        <w:outlineLvl w:val="2"/>
        <w:rPr>
          <w:rFonts w:hint="eastAsia" w:ascii="宋体" w:hAnsi="宋体" w:eastAsia="宋体" w:cs="宋体"/>
          <w:b/>
          <w:bCs/>
          <w:sz w:val="28"/>
          <w:szCs w:val="40"/>
        </w:rPr>
      </w:pPr>
      <w:bookmarkStart w:id="247" w:name="_Toc4901"/>
      <w:bookmarkStart w:id="248" w:name="_Toc13065"/>
      <w:bookmarkStart w:id="249" w:name="_Toc19949"/>
      <w:r>
        <w:rPr>
          <w:rFonts w:hint="eastAsia" w:ascii="宋体" w:hAnsi="宋体" w:eastAsia="宋体" w:cs="宋体"/>
          <w:b/>
          <w:bCs/>
          <w:sz w:val="28"/>
          <w:szCs w:val="40"/>
        </w:rPr>
        <w:t>2.</w:t>
      </w:r>
      <w:bookmarkEnd w:id="233"/>
      <w:bookmarkEnd w:id="247"/>
      <w:bookmarkEnd w:id="248"/>
      <w:r>
        <w:rPr>
          <w:rFonts w:hint="eastAsia" w:ascii="宋体" w:hAnsi="宋体" w:eastAsia="宋体" w:cs="宋体"/>
          <w:b/>
          <w:bCs/>
          <w:sz w:val="28"/>
          <w:szCs w:val="40"/>
        </w:rPr>
        <w:t>技术文件</w:t>
      </w:r>
      <w:bookmarkEnd w:id="249"/>
    </w:p>
    <w:p w14:paraId="1D11BB36">
      <w:pPr>
        <w:spacing w:line="360" w:lineRule="auto"/>
        <w:jc w:val="center"/>
        <w:rPr>
          <w:rFonts w:hint="eastAsia" w:ascii="宋体" w:hAnsi="宋体" w:eastAsia="宋体" w:cs="宋体"/>
          <w:b/>
          <w:bCs/>
          <w:szCs w:val="24"/>
        </w:rPr>
      </w:pPr>
      <w:bookmarkStart w:id="250" w:name="_Toc22062"/>
      <w:bookmarkStart w:id="251" w:name="_Toc11620"/>
      <w:r>
        <w:rPr>
          <w:rFonts w:hint="eastAsia" w:ascii="宋体" w:hAnsi="宋体" w:eastAsia="宋体" w:cs="宋体"/>
          <w:b/>
          <w:bCs/>
          <w:szCs w:val="24"/>
        </w:rPr>
        <w:t>（投标人根据评标办法及采购服务要求自行阐述、格式自拟）</w:t>
      </w:r>
      <w:bookmarkEnd w:id="250"/>
      <w:bookmarkEnd w:id="251"/>
    </w:p>
    <w:p w14:paraId="4DA2C86D">
      <w:pPr>
        <w:pStyle w:val="51"/>
        <w:ind w:firstLine="883"/>
        <w:rPr>
          <w:rFonts w:hint="eastAsia" w:ascii="宋体" w:hAnsi="宋体" w:eastAsia="宋体" w:cs="宋体"/>
          <w:b/>
          <w:sz w:val="44"/>
          <w:szCs w:val="44"/>
        </w:rPr>
      </w:pPr>
    </w:p>
    <w:p w14:paraId="649649EE">
      <w:pPr>
        <w:pStyle w:val="12"/>
        <w:rPr>
          <w:rFonts w:hint="eastAsia" w:ascii="宋体" w:hAnsi="宋体" w:eastAsia="宋体" w:cs="宋体"/>
        </w:rPr>
      </w:pPr>
    </w:p>
    <w:p w14:paraId="39592CDE">
      <w:pPr>
        <w:rPr>
          <w:rFonts w:hint="eastAsia" w:ascii="宋体" w:hAnsi="宋体" w:eastAsia="宋体" w:cs="宋体"/>
          <w:b/>
        </w:rPr>
      </w:pPr>
    </w:p>
    <w:bookmarkEnd w:id="188"/>
    <w:bookmarkEnd w:id="189"/>
    <w:bookmarkEnd w:id="190"/>
    <w:bookmarkEnd w:id="191"/>
    <w:bookmarkEnd w:id="222"/>
    <w:bookmarkEnd w:id="223"/>
    <w:bookmarkEnd w:id="224"/>
    <w:p w14:paraId="79E1F44B">
      <w:pPr>
        <w:spacing w:line="360" w:lineRule="auto"/>
        <w:rPr>
          <w:rFonts w:hint="eastAsia" w:ascii="宋体" w:hAnsi="宋体" w:eastAsia="宋体" w:cs="宋体"/>
          <w:b/>
        </w:rPr>
      </w:pPr>
    </w:p>
    <w:p w14:paraId="22E0F279">
      <w:pPr>
        <w:numPr>
          <w:ilvl w:val="0"/>
          <w:numId w:val="0"/>
        </w:numPr>
        <w:spacing w:line="360" w:lineRule="auto"/>
        <w:outlineLvl w:val="2"/>
        <w:rPr>
          <w:rFonts w:hint="eastAsia" w:ascii="宋体" w:hAnsi="宋体" w:eastAsia="宋体" w:cs="宋体"/>
        </w:rPr>
      </w:pPr>
      <w:r>
        <w:rPr>
          <w:rFonts w:hint="eastAsia" w:ascii="宋体" w:hAnsi="宋体" w:eastAsia="宋体" w:cs="宋体"/>
          <w:b/>
        </w:rPr>
        <w:br w:type="page"/>
      </w:r>
      <w:bookmarkStart w:id="252" w:name="_Toc5160"/>
      <w:bookmarkStart w:id="253" w:name="_Toc7761"/>
      <w:bookmarkStart w:id="254" w:name="_Toc28621"/>
      <w:bookmarkStart w:id="255" w:name="_Toc32052"/>
      <w:r>
        <w:rPr>
          <w:rFonts w:hint="eastAsia" w:ascii="宋体" w:hAnsi="宋体" w:eastAsia="宋体" w:cs="宋体"/>
          <w:b/>
          <w:sz w:val="32"/>
          <w:szCs w:val="28"/>
          <w:lang w:val="en-US" w:eastAsia="zh-CN"/>
        </w:rPr>
        <w:t>3.</w:t>
      </w:r>
      <w:r>
        <w:rPr>
          <w:rFonts w:hint="eastAsia" w:ascii="宋体" w:hAnsi="宋体" w:eastAsia="宋体" w:cs="宋体"/>
          <w:b/>
          <w:bCs/>
          <w:kern w:val="0"/>
          <w:sz w:val="28"/>
          <w:szCs w:val="28"/>
          <w:lang w:val="zh-CN"/>
        </w:rPr>
        <w:t>提供20</w:t>
      </w:r>
      <w:r>
        <w:rPr>
          <w:rFonts w:hint="eastAsia" w:ascii="宋体" w:hAnsi="宋体" w:eastAsia="宋体" w:cs="宋体"/>
          <w:b/>
          <w:bCs/>
          <w:kern w:val="0"/>
          <w:sz w:val="28"/>
          <w:szCs w:val="28"/>
          <w:lang w:val="en-US" w:eastAsia="zh-CN"/>
        </w:rPr>
        <w:t>22</w:t>
      </w:r>
      <w:r>
        <w:rPr>
          <w:rFonts w:hint="eastAsia" w:ascii="宋体" w:hAnsi="宋体" w:eastAsia="宋体" w:cs="宋体"/>
          <w:b/>
          <w:bCs/>
          <w:kern w:val="0"/>
          <w:sz w:val="28"/>
          <w:szCs w:val="28"/>
          <w:lang w:val="zh-CN"/>
        </w:rPr>
        <w:t>年</w:t>
      </w:r>
      <w:r>
        <w:rPr>
          <w:rFonts w:hint="eastAsia" w:ascii="宋体" w:hAnsi="宋体" w:eastAsia="宋体" w:cs="宋体"/>
          <w:b/>
          <w:bCs/>
          <w:kern w:val="0"/>
          <w:sz w:val="28"/>
          <w:szCs w:val="28"/>
          <w:lang w:val="en-US" w:eastAsia="zh-CN"/>
        </w:rPr>
        <w:t>01</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zh-CN"/>
        </w:rPr>
        <w:t>至今</w:t>
      </w:r>
      <w:r>
        <w:rPr>
          <w:rFonts w:hint="eastAsia" w:ascii="宋体" w:hAnsi="宋体" w:eastAsia="宋体" w:cs="宋体"/>
          <w:b/>
          <w:bCs/>
          <w:kern w:val="0"/>
          <w:sz w:val="28"/>
          <w:szCs w:val="28"/>
        </w:rPr>
        <w:t>完成的类似业绩证明材料</w:t>
      </w:r>
      <w:bookmarkEnd w:id="252"/>
      <w:bookmarkEnd w:id="253"/>
      <w:bookmarkEnd w:id="254"/>
      <w:bookmarkEnd w:id="255"/>
    </w:p>
    <w:p w14:paraId="58396124">
      <w:pPr>
        <w:spacing w:line="360" w:lineRule="auto"/>
        <w:rPr>
          <w:rFonts w:hint="eastAsia" w:ascii="宋体" w:hAnsi="宋体" w:eastAsia="宋体" w:cs="宋体"/>
        </w:rPr>
      </w:pPr>
    </w:p>
    <w:p w14:paraId="10BD9DCF">
      <w:pPr>
        <w:pStyle w:val="2"/>
        <w:rPr>
          <w:rFonts w:hint="eastAsia" w:ascii="宋体" w:hAnsi="宋体" w:eastAsia="宋体" w:cs="宋体"/>
        </w:rPr>
      </w:pPr>
    </w:p>
    <w:p w14:paraId="6031145B">
      <w:pPr>
        <w:pStyle w:val="2"/>
        <w:rPr>
          <w:rFonts w:hint="eastAsia" w:ascii="宋体" w:hAnsi="宋体" w:eastAsia="宋体" w:cs="宋体"/>
        </w:rPr>
      </w:pPr>
    </w:p>
    <w:p w14:paraId="2251A7AF">
      <w:pPr>
        <w:pStyle w:val="2"/>
        <w:rPr>
          <w:rFonts w:hint="eastAsia" w:ascii="宋体" w:hAnsi="宋体" w:eastAsia="宋体" w:cs="宋体"/>
        </w:rPr>
      </w:pPr>
    </w:p>
    <w:p w14:paraId="1A66A30F">
      <w:pPr>
        <w:pStyle w:val="2"/>
        <w:rPr>
          <w:rFonts w:hint="eastAsia" w:ascii="宋体" w:hAnsi="宋体" w:eastAsia="宋体" w:cs="宋体"/>
        </w:rPr>
      </w:pPr>
    </w:p>
    <w:p w14:paraId="70A06871">
      <w:pPr>
        <w:pStyle w:val="2"/>
        <w:rPr>
          <w:rFonts w:hint="eastAsia" w:ascii="宋体" w:hAnsi="宋体" w:eastAsia="宋体" w:cs="宋体"/>
        </w:rPr>
      </w:pPr>
    </w:p>
    <w:p w14:paraId="4AD9E441">
      <w:pPr>
        <w:pStyle w:val="2"/>
        <w:rPr>
          <w:rFonts w:hint="eastAsia" w:ascii="宋体" w:hAnsi="宋体" w:eastAsia="宋体" w:cs="宋体"/>
        </w:rPr>
      </w:pPr>
    </w:p>
    <w:p w14:paraId="2D3BCE62">
      <w:pPr>
        <w:pStyle w:val="2"/>
        <w:rPr>
          <w:rFonts w:hint="eastAsia" w:ascii="宋体" w:hAnsi="宋体" w:eastAsia="宋体" w:cs="宋体"/>
        </w:rPr>
      </w:pPr>
    </w:p>
    <w:p w14:paraId="3FE4B974">
      <w:pPr>
        <w:pStyle w:val="2"/>
        <w:rPr>
          <w:rFonts w:hint="eastAsia" w:ascii="宋体" w:hAnsi="宋体" w:eastAsia="宋体" w:cs="宋体"/>
        </w:rPr>
      </w:pPr>
    </w:p>
    <w:p w14:paraId="233FEA63">
      <w:pPr>
        <w:pStyle w:val="2"/>
        <w:rPr>
          <w:rFonts w:hint="eastAsia" w:ascii="宋体" w:hAnsi="宋体" w:eastAsia="宋体" w:cs="宋体"/>
        </w:rPr>
      </w:pPr>
    </w:p>
    <w:p w14:paraId="18978BE2">
      <w:pPr>
        <w:pStyle w:val="2"/>
        <w:rPr>
          <w:rFonts w:hint="eastAsia" w:ascii="宋体" w:hAnsi="宋体" w:eastAsia="宋体" w:cs="宋体"/>
        </w:rPr>
      </w:pPr>
    </w:p>
    <w:p w14:paraId="394EABFC">
      <w:pPr>
        <w:pStyle w:val="2"/>
        <w:rPr>
          <w:rFonts w:hint="eastAsia" w:ascii="宋体" w:hAnsi="宋体" w:eastAsia="宋体" w:cs="宋体"/>
        </w:rPr>
      </w:pPr>
    </w:p>
    <w:p w14:paraId="432D5FD0">
      <w:pPr>
        <w:pStyle w:val="2"/>
        <w:rPr>
          <w:rFonts w:hint="eastAsia" w:ascii="宋体" w:hAnsi="宋体" w:eastAsia="宋体" w:cs="宋体"/>
        </w:rPr>
      </w:pPr>
    </w:p>
    <w:p w14:paraId="03426389">
      <w:pPr>
        <w:pStyle w:val="2"/>
        <w:rPr>
          <w:rFonts w:hint="eastAsia" w:ascii="宋体" w:hAnsi="宋体" w:eastAsia="宋体" w:cs="宋体"/>
        </w:rPr>
      </w:pPr>
    </w:p>
    <w:p w14:paraId="1EC6094B">
      <w:pPr>
        <w:pStyle w:val="2"/>
        <w:rPr>
          <w:rFonts w:hint="eastAsia" w:ascii="宋体" w:hAnsi="宋体" w:eastAsia="宋体" w:cs="宋体"/>
        </w:rPr>
      </w:pPr>
    </w:p>
    <w:p w14:paraId="5CD094B9">
      <w:pPr>
        <w:pStyle w:val="2"/>
        <w:rPr>
          <w:rFonts w:hint="eastAsia" w:ascii="宋体" w:hAnsi="宋体" w:eastAsia="宋体" w:cs="宋体"/>
        </w:rPr>
      </w:pPr>
    </w:p>
    <w:p w14:paraId="38D06E48">
      <w:pPr>
        <w:pStyle w:val="2"/>
        <w:rPr>
          <w:rFonts w:hint="eastAsia" w:ascii="宋体" w:hAnsi="宋体" w:eastAsia="宋体" w:cs="宋体"/>
        </w:rPr>
      </w:pPr>
    </w:p>
    <w:p w14:paraId="7F92153D">
      <w:pPr>
        <w:pStyle w:val="2"/>
        <w:rPr>
          <w:rFonts w:hint="eastAsia" w:ascii="宋体" w:hAnsi="宋体" w:eastAsia="宋体" w:cs="宋体"/>
        </w:rPr>
      </w:pPr>
    </w:p>
    <w:p w14:paraId="063B125C">
      <w:pPr>
        <w:pStyle w:val="2"/>
        <w:rPr>
          <w:rFonts w:hint="eastAsia" w:ascii="宋体" w:hAnsi="宋体" w:eastAsia="宋体" w:cs="宋体"/>
        </w:rPr>
      </w:pPr>
    </w:p>
    <w:p w14:paraId="44B54202">
      <w:pPr>
        <w:pStyle w:val="2"/>
        <w:rPr>
          <w:rFonts w:hint="eastAsia" w:ascii="宋体" w:hAnsi="宋体" w:eastAsia="宋体" w:cs="宋体"/>
        </w:rPr>
      </w:pPr>
    </w:p>
    <w:p w14:paraId="1B9D7030">
      <w:pPr>
        <w:pStyle w:val="2"/>
        <w:rPr>
          <w:rFonts w:hint="eastAsia" w:ascii="宋体" w:hAnsi="宋体" w:eastAsia="宋体" w:cs="宋体"/>
        </w:rPr>
      </w:pPr>
    </w:p>
    <w:p w14:paraId="4CEDB6C0">
      <w:pPr>
        <w:pStyle w:val="2"/>
        <w:rPr>
          <w:rFonts w:hint="eastAsia" w:ascii="宋体" w:hAnsi="宋体" w:eastAsia="宋体" w:cs="宋体"/>
        </w:rPr>
      </w:pPr>
    </w:p>
    <w:p w14:paraId="5AA78698">
      <w:pPr>
        <w:pStyle w:val="2"/>
        <w:rPr>
          <w:rFonts w:hint="eastAsia" w:ascii="宋体" w:hAnsi="宋体" w:eastAsia="宋体" w:cs="宋体"/>
        </w:rPr>
      </w:pPr>
    </w:p>
    <w:p w14:paraId="6CFA8DE1">
      <w:pPr>
        <w:pStyle w:val="2"/>
        <w:rPr>
          <w:rFonts w:hint="eastAsia" w:ascii="宋体" w:hAnsi="宋体" w:eastAsia="宋体" w:cs="宋体"/>
        </w:rPr>
      </w:pPr>
    </w:p>
    <w:p w14:paraId="0A965929">
      <w:pPr>
        <w:pStyle w:val="2"/>
        <w:rPr>
          <w:rFonts w:hint="eastAsia" w:ascii="宋体" w:hAnsi="宋体" w:eastAsia="宋体" w:cs="宋体"/>
        </w:rPr>
      </w:pPr>
    </w:p>
    <w:p w14:paraId="6E3015C1">
      <w:pPr>
        <w:pStyle w:val="2"/>
        <w:rPr>
          <w:rFonts w:hint="eastAsia" w:ascii="宋体" w:hAnsi="宋体" w:eastAsia="宋体" w:cs="宋体"/>
        </w:rPr>
      </w:pPr>
    </w:p>
    <w:p w14:paraId="0447C384">
      <w:pPr>
        <w:pStyle w:val="2"/>
        <w:rPr>
          <w:rFonts w:hint="eastAsia" w:ascii="宋体" w:hAnsi="宋体" w:eastAsia="宋体" w:cs="宋体"/>
        </w:rPr>
      </w:pPr>
    </w:p>
    <w:p w14:paraId="7A4362D4">
      <w:pPr>
        <w:pStyle w:val="2"/>
        <w:rPr>
          <w:rFonts w:hint="eastAsia" w:ascii="宋体" w:hAnsi="宋体" w:eastAsia="宋体" w:cs="宋体"/>
        </w:rPr>
      </w:pPr>
    </w:p>
    <w:p w14:paraId="7B9F0F7A">
      <w:pPr>
        <w:pStyle w:val="2"/>
        <w:rPr>
          <w:rFonts w:hint="eastAsia" w:ascii="宋体" w:hAnsi="宋体" w:eastAsia="宋体" w:cs="宋体"/>
        </w:rPr>
      </w:pPr>
    </w:p>
    <w:p w14:paraId="1891A2CF">
      <w:pPr>
        <w:pStyle w:val="2"/>
        <w:rPr>
          <w:rFonts w:hint="eastAsia" w:ascii="宋体" w:hAnsi="宋体" w:eastAsia="宋体" w:cs="宋体"/>
        </w:rPr>
      </w:pPr>
    </w:p>
    <w:p w14:paraId="3F4795A3">
      <w:pPr>
        <w:pStyle w:val="2"/>
        <w:rPr>
          <w:rFonts w:hint="eastAsia" w:ascii="宋体" w:hAnsi="宋体" w:eastAsia="宋体" w:cs="宋体"/>
        </w:rPr>
      </w:pPr>
    </w:p>
    <w:p w14:paraId="1CF80D8E">
      <w:pPr>
        <w:pStyle w:val="2"/>
        <w:rPr>
          <w:rFonts w:hint="eastAsia" w:ascii="宋体" w:hAnsi="宋体" w:eastAsia="宋体" w:cs="宋体"/>
        </w:rPr>
      </w:pPr>
    </w:p>
    <w:p w14:paraId="76DC7760">
      <w:pPr>
        <w:pStyle w:val="2"/>
        <w:rPr>
          <w:rFonts w:hint="eastAsia" w:ascii="宋体" w:hAnsi="宋体" w:eastAsia="宋体" w:cs="宋体"/>
        </w:rPr>
      </w:pPr>
    </w:p>
    <w:p w14:paraId="6321D222">
      <w:pPr>
        <w:pStyle w:val="2"/>
        <w:rPr>
          <w:rFonts w:hint="eastAsia" w:ascii="宋体" w:hAnsi="宋体" w:eastAsia="宋体" w:cs="宋体"/>
        </w:rPr>
      </w:pPr>
    </w:p>
    <w:p w14:paraId="586B2F2B">
      <w:pPr>
        <w:pStyle w:val="2"/>
        <w:rPr>
          <w:rFonts w:hint="eastAsia" w:ascii="宋体" w:hAnsi="宋体" w:eastAsia="宋体" w:cs="宋体"/>
        </w:rPr>
      </w:pPr>
    </w:p>
    <w:p w14:paraId="6CD92976">
      <w:pPr>
        <w:pStyle w:val="2"/>
        <w:rPr>
          <w:rFonts w:hint="eastAsia" w:ascii="宋体" w:hAnsi="宋体" w:eastAsia="宋体" w:cs="宋体"/>
        </w:rPr>
      </w:pPr>
    </w:p>
    <w:p w14:paraId="53E7A1C0">
      <w:pPr>
        <w:pStyle w:val="2"/>
        <w:rPr>
          <w:rFonts w:hint="eastAsia" w:ascii="宋体" w:hAnsi="宋体" w:eastAsia="宋体" w:cs="宋体"/>
        </w:rPr>
      </w:pPr>
    </w:p>
    <w:p w14:paraId="0CC3FEE6">
      <w:pPr>
        <w:pStyle w:val="2"/>
        <w:rPr>
          <w:rFonts w:hint="eastAsia" w:ascii="宋体" w:hAnsi="宋体" w:eastAsia="宋体" w:cs="宋体"/>
        </w:rPr>
      </w:pPr>
    </w:p>
    <w:p w14:paraId="29DFA55A">
      <w:pPr>
        <w:pStyle w:val="2"/>
        <w:rPr>
          <w:rFonts w:hint="eastAsia" w:ascii="宋体" w:hAnsi="宋体" w:eastAsia="宋体" w:cs="宋体"/>
        </w:rPr>
      </w:pPr>
    </w:p>
    <w:p w14:paraId="2DE56614">
      <w:pPr>
        <w:pStyle w:val="2"/>
        <w:rPr>
          <w:rFonts w:hint="eastAsia" w:ascii="宋体" w:hAnsi="宋体" w:eastAsia="宋体" w:cs="宋体"/>
        </w:rPr>
      </w:pPr>
    </w:p>
    <w:p w14:paraId="6923DD8C">
      <w:pPr>
        <w:pStyle w:val="2"/>
        <w:rPr>
          <w:rFonts w:hint="eastAsia" w:ascii="宋体" w:hAnsi="宋体" w:eastAsia="宋体" w:cs="宋体"/>
        </w:rPr>
      </w:pPr>
    </w:p>
    <w:p w14:paraId="2BAA7C58">
      <w:pPr>
        <w:pStyle w:val="2"/>
        <w:rPr>
          <w:rFonts w:hint="eastAsia" w:ascii="宋体" w:hAnsi="宋体" w:eastAsia="宋体" w:cs="宋体"/>
        </w:rPr>
      </w:pPr>
    </w:p>
    <w:p w14:paraId="6205CA01">
      <w:pPr>
        <w:pStyle w:val="2"/>
        <w:ind w:left="0" w:leftChars="0" w:firstLine="0" w:firstLineChars="0"/>
        <w:outlineLvl w:val="2"/>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w:t>
      </w:r>
      <w:r>
        <w:rPr>
          <w:rFonts w:hint="eastAsia" w:hAnsi="宋体" w:eastAsia="宋体" w:cs="宋体"/>
          <w:b/>
          <w:bCs/>
          <w:kern w:val="0"/>
          <w:sz w:val="28"/>
          <w:szCs w:val="28"/>
          <w:lang w:val="en-US" w:eastAsia="zh-CN" w:bidi="ar-SA"/>
        </w:rPr>
        <w:t>.</w:t>
      </w:r>
      <w:r>
        <w:rPr>
          <w:rFonts w:hint="eastAsia" w:ascii="宋体" w:hAnsi="宋体" w:eastAsia="宋体" w:cs="宋体"/>
          <w:b/>
          <w:bCs/>
          <w:kern w:val="0"/>
          <w:sz w:val="28"/>
          <w:szCs w:val="28"/>
          <w:lang w:val="en-US" w:eastAsia="zh-CN" w:bidi="ar-SA"/>
        </w:rPr>
        <w:t>其他资料（如有）</w:t>
      </w:r>
    </w:p>
    <w:p w14:paraId="7A95F4E9">
      <w:pPr>
        <w:pStyle w:val="2"/>
        <w:rPr>
          <w:rFonts w:hint="eastAsia" w:ascii="宋体" w:hAnsi="宋体" w:eastAsia="宋体" w:cs="宋体"/>
        </w:rPr>
      </w:pPr>
    </w:p>
    <w:p w14:paraId="6C7608AA">
      <w:pPr>
        <w:pStyle w:val="2"/>
        <w:rPr>
          <w:rFonts w:hint="eastAsia" w:ascii="宋体" w:hAnsi="宋体" w:eastAsia="宋体" w:cs="宋体"/>
        </w:rPr>
      </w:pPr>
    </w:p>
    <w:p w14:paraId="601EEBCD">
      <w:pPr>
        <w:pStyle w:val="2"/>
        <w:rPr>
          <w:rFonts w:hint="eastAsia" w:ascii="宋体" w:hAnsi="宋体" w:eastAsia="宋体" w:cs="宋体"/>
        </w:rPr>
      </w:pPr>
    </w:p>
    <w:p w14:paraId="4D240D0D">
      <w:pPr>
        <w:pStyle w:val="2"/>
        <w:rPr>
          <w:rFonts w:hint="eastAsia" w:ascii="宋体" w:hAnsi="宋体" w:eastAsia="宋体" w:cs="宋体"/>
        </w:rPr>
      </w:pPr>
    </w:p>
    <w:sectPr>
      <w:headerReference r:id="rId24" w:type="first"/>
      <w:footerReference r:id="rId26" w:type="first"/>
      <w:headerReference r:id="rId23" w:type="default"/>
      <w:footerReference r:id="rId25" w:type="default"/>
      <w:pgSz w:w="11905" w:h="16838"/>
      <w:pgMar w:top="1440" w:right="1080" w:bottom="1440" w:left="1080" w:header="935" w:footer="771" w:gutter="567"/>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1EB1">
    <w:pPr>
      <w:pStyle w:val="2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4F30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C4F30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2F31">
    <w:pPr>
      <w:pStyle w:val="19"/>
      <w:jc w:val="center"/>
      <w:rPr>
        <w:rFonts w:ascii="宋体" w:hAnsi="宋体" w:cs="宋体"/>
        <w:b/>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1FB875">
                          <w:pPr>
                            <w:pStyle w:val="1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1FB875">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F0AD">
    <w:pPr>
      <w:pStyle w:val="21"/>
      <w:rPr>
        <w:rFonts w:ascii="宋体" w:hAnsi="宋体" w:cs="宋体"/>
        <w:b/>
        <w:u w:val="single"/>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21A11">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DA21A11">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694E">
    <w:pPr>
      <w:pStyle w:val="21"/>
      <w:jc w:val="center"/>
      <w:rPr>
        <w:rFonts w:ascii="宋体" w:hAnsi="宋体" w:cs="宋体"/>
        <w:b/>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3A07D">
                          <w:pPr>
                            <w:pStyle w:val="2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03A07D">
                    <w:pPr>
                      <w:pStyle w:val="2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3D9D">
    <w:pPr>
      <w:pStyle w:val="21"/>
      <w:jc w:val="center"/>
    </w:pPr>
    <w:r>
      <mc:AlternateContent>
        <mc:Choice Requires="wps">
          <w:drawing>
            <wp:anchor distT="0" distB="0" distL="114300" distR="114300" simplePos="0" relativeHeight="251667456" behindDoc="0" locked="0" layoutInCell="1" allowOverlap="1">
              <wp:simplePos x="0" y="0"/>
              <wp:positionH relativeFrom="margin">
                <wp:posOffset>2853690</wp:posOffset>
              </wp:positionH>
              <wp:positionV relativeFrom="paragraph">
                <wp:posOffset>0</wp:posOffset>
              </wp:positionV>
              <wp:extent cx="1644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44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30836">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2.95pt;mso-position-horizontal-relative:margin;z-index:251667456;mso-width-relative:page;mso-height-relative:page;" filled="f" stroked="f" coordsize="21600,21600" o:gfxdata="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F42u3WAAAACAEAAA8AAAAAAAAAAQAgAAAAIgAAAGRycy9kb3ducmV2LnhtbFBL&#10;AQIUABQAAAAIAIdO4kC+b5BFMQIAAFYEAAAOAAAAAAAAAAEAIAAAACUBAABkcnMvZTJvRG9jLnht&#10;bFBLBQYAAAAABgAGAFkBAADIBQAAAAA=&#10;">
              <v:fill on="f" focussize="0,0"/>
              <v:stroke on="f" weight="0.5pt"/>
              <v:imagedata o:title=""/>
              <o:lock v:ext="edit" aspectratio="f"/>
              <v:textbox inset="0mm,0mm,0mm,0mm" style="mso-fit-shape-to-text:t;">
                <w:txbxContent>
                  <w:p w14:paraId="77030836">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D592">
    <w:pPr>
      <w:spacing w:line="28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A3446">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26A3446">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96BDF">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E9B81">
                          <w:pPr>
                            <w:pStyle w:val="2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4E9B81">
                    <w:pPr>
                      <w:pStyle w:val="2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86EB">
    <w:pPr>
      <w:pStyle w:val="21"/>
      <w:rPr>
        <w:rFonts w:ascii="宋体" w:hAnsi="宋体"/>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B9FE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FAB9FE2">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5AF49679">
    <w:pPr>
      <w:spacing w:line="280" w:lineRule="exact"/>
      <w:jc w:val="left"/>
      <w:rPr>
        <w:rFonts w:ascii="楷体" w:hAnsi="楷体" w:eastAsia="楷体" w:cs="楷体"/>
        <w:b/>
        <w:sz w:val="18"/>
        <w:szCs w:val="18"/>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A3CC">
    <w:pPr>
      <w:pStyle w:val="21"/>
      <w:rPr>
        <w:rFonts w:ascii="楷体" w:hAnsi="楷体" w:eastAsia="楷体" w:cs="楷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0998F">
                          <w:pPr>
                            <w:pStyle w:val="2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E80998F">
                    <w:pPr>
                      <w:pStyle w:val="21"/>
                    </w:pPr>
                    <w:r>
                      <w:fldChar w:fldCharType="begin"/>
                    </w:r>
                    <w:r>
                      <w:instrText xml:space="preserve"> PAGE  \* MERGEFORMAT </w:instrText>
                    </w:r>
                    <w:r>
                      <w:fldChar w:fldCharType="separate"/>
                    </w:r>
                    <w:r>
                      <w:t>62</w:t>
                    </w:r>
                    <w:r>
                      <w:fldChar w:fldCharType="end"/>
                    </w:r>
                  </w:p>
                </w:txbxContent>
              </v:textbox>
            </v:shape>
          </w:pict>
        </mc:Fallback>
      </mc:AlternateContent>
    </w:r>
  </w:p>
  <w:p w14:paraId="0582A2EA">
    <w:pPr>
      <w:pStyle w:val="21"/>
      <w:tabs>
        <w:tab w:val="left" w:pos="8415"/>
      </w:tabs>
      <w:rPr>
        <w:rFonts w:ascii="楷体" w:hAnsi="楷体" w:eastAsia="楷体" w:cs="楷体"/>
        <w:b/>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261E">
    <w:pPr>
      <w:pStyle w:val="21"/>
      <w:rPr>
        <w:rFonts w:ascii="宋体" w:hAnsi="宋体" w:cs="宋体"/>
        <w:b/>
        <w:u w:val="single"/>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FFD57">
                          <w:pPr>
                            <w:pStyle w:val="2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CDFFD57">
                    <w:pPr>
                      <w:pStyle w:val="2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1821">
    <w:pPr>
      <w:pStyle w:val="21"/>
      <w:jc w:val="center"/>
      <w:rPr>
        <w:rFonts w:ascii="宋体" w:hAnsi="宋体" w:cs="宋体"/>
        <w:b/>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A20BF">
                          <w:pPr>
                            <w:pStyle w:val="2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B9A20BF">
                    <w:pPr>
                      <w:pStyle w:val="2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1071">
    <w:pPr>
      <w:pStyle w:val="19"/>
      <w:rPr>
        <w:rFonts w:ascii="宋体" w:hAnsi="宋体" w:cs="宋体"/>
        <w:b/>
        <w:u w:val="single"/>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5CE40">
                          <w:pPr>
                            <w:pStyle w:val="1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895CE40">
                    <w:pPr>
                      <w:pStyle w:val="1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8254">
    <w:pPr>
      <w:tabs>
        <w:tab w:val="left" w:pos="3801"/>
      </w:tabs>
      <w:spacing w:line="480" w:lineRule="exact"/>
      <w:rPr>
        <w:rFonts w:ascii="宋体" w:hAnsi="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D768">
    <w:pPr>
      <w:spacing w:line="480" w:lineRule="exact"/>
      <w:rPr>
        <w:rFonts w:ascii="宋体" w:hAnsi="宋体" w:eastAsia="宋体" w:cs="宋体"/>
        <w:b/>
        <w:sz w:val="18"/>
        <w:szCs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B7DC">
    <w:pPr>
      <w:spacing w:line="480" w:lineRule="exact"/>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0F2A">
    <w:pPr>
      <w:spacing w:line="480" w:lineRule="exact"/>
      <w:rPr>
        <w:rFonts w:ascii="宋体" w:hAnsi="宋体" w:eastAsia="宋体" w:cs="宋体"/>
        <w:b/>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4161">
    <w:pPr>
      <w:pStyle w:val="24"/>
      <w:pBdr>
        <w:bottom w:val="none" w:color="auto" w:sz="0" w:space="1"/>
      </w:pBdr>
      <w:spacing w:line="440" w:lineRule="exact"/>
      <w:ind w:left="1956" w:hanging="1476" w:hangingChars="700"/>
      <w:jc w:val="left"/>
      <w:rPr>
        <w:rFonts w:ascii="宋体" w:hAnsi="宋体" w:eastAsia="宋体" w:cs="宋体"/>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69EA">
    <w:pPr>
      <w:pStyle w:val="24"/>
      <w:pBdr>
        <w:bottom w:val="none" w:color="auto" w:sz="0" w:space="1"/>
      </w:pBdr>
      <w:spacing w:line="440" w:lineRule="exact"/>
      <w:ind w:left="5540" w:hanging="5060" w:hangingChars="2400"/>
      <w:jc w:val="left"/>
      <w:rPr>
        <w:rFonts w:ascii="宋体" w:hAnsi="宋体" w:eastAsia="宋体" w:cs="宋体"/>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4854">
    <w:pPr>
      <w:pStyle w:val="24"/>
      <w:pBdr>
        <w:bottom w:val="none" w:color="auto" w:sz="0" w:space="1"/>
      </w:pBdr>
      <w:spacing w:line="440" w:lineRule="exact"/>
      <w:ind w:left="1956" w:hanging="1476" w:hangingChars="700"/>
      <w:jc w:val="left"/>
      <w:rPr>
        <w:rFonts w:ascii="宋体" w:hAnsi="宋体" w:eastAsia="宋体" w:cs="宋体"/>
        <w:b/>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8978">
    <w:pPr>
      <w:spacing w:line="480" w:lineRule="exact"/>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8E08">
    <w:pPr>
      <w:spacing w:line="480" w:lineRule="exact"/>
      <w:jc w:val="left"/>
      <w:rPr>
        <w:rFonts w:ascii="宋体" w:hAnsi="宋体" w:eastAsia="宋体" w:cs="宋体"/>
        <w:b/>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514A">
    <w:pPr>
      <w:spacing w:line="480" w:lineRule="exact"/>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08FE">
    <w:pPr>
      <w:spacing w:line="480" w:lineRule="exact"/>
      <w:rPr>
        <w:rFonts w:ascii="宋体" w:hAnsi="宋体" w:eastAsia="宋体" w:cs="宋体"/>
        <w:b/>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7276">
    <w:pPr>
      <w:spacing w:line="48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3045"/>
    <w:multiLevelType w:val="singleLevel"/>
    <w:tmpl w:val="83163045"/>
    <w:lvl w:ilvl="0" w:tentative="0">
      <w:start w:val="4"/>
      <w:numFmt w:val="chineseCounting"/>
      <w:suff w:val="nothing"/>
      <w:lvlText w:val="%1、"/>
      <w:lvlJc w:val="left"/>
      <w:rPr>
        <w:rFonts w:hint="eastAsia"/>
      </w:rPr>
    </w:lvl>
  </w:abstractNum>
  <w:abstractNum w:abstractNumId="1">
    <w:nsid w:val="DB644A44"/>
    <w:multiLevelType w:val="singleLevel"/>
    <w:tmpl w:val="DB644A44"/>
    <w:lvl w:ilvl="0" w:tentative="0">
      <w:start w:val="1"/>
      <w:numFmt w:val="decimal"/>
      <w:lvlText w:val="%1."/>
      <w:lvlJc w:val="left"/>
      <w:pPr>
        <w:tabs>
          <w:tab w:val="left" w:pos="312"/>
        </w:tabs>
      </w:pPr>
    </w:lvl>
  </w:abstractNum>
  <w:abstractNum w:abstractNumId="2">
    <w:nsid w:val="FEF83CE8"/>
    <w:multiLevelType w:val="singleLevel"/>
    <w:tmpl w:val="FEF83CE8"/>
    <w:lvl w:ilvl="0" w:tentative="0">
      <w:start w:val="1"/>
      <w:numFmt w:val="decimal"/>
      <w:suff w:val="space"/>
      <w:lvlText w:val="%1."/>
      <w:lvlJc w:val="left"/>
    </w:lvl>
  </w:abstractNum>
  <w:abstractNum w:abstractNumId="3">
    <w:nsid w:val="23175427"/>
    <w:multiLevelType w:val="multilevel"/>
    <w:tmpl w:val="23175427"/>
    <w:lvl w:ilvl="0" w:tentative="0">
      <w:start w:val="1"/>
      <w:numFmt w:val="decimal"/>
      <w:isLgl/>
      <w:suff w:val="space"/>
      <w:lvlText w:val="第%1章"/>
      <w:lvlJc w:val="left"/>
      <w:pPr>
        <w:ind w:left="0" w:firstLine="0"/>
      </w:pPr>
      <w:rPr>
        <w:rFonts w:hint="default" w:ascii="Times New Roman" w:hAnsi="Times New Roman" w:eastAsia="宋体" w:cs="Times New Roman"/>
        <w:b/>
        <w:bCs w:val="0"/>
        <w:i w:val="0"/>
        <w:iCs w:val="0"/>
        <w:caps w:val="0"/>
        <w:strike w:val="0"/>
        <w:dstrike w:val="0"/>
        <w:vanish w:val="0"/>
        <w:color w:val="000000"/>
        <w:spacing w:val="0"/>
        <w:position w:val="0"/>
        <w:sz w:val="44"/>
        <w:u w:val="none"/>
        <w:vertAlign w:val="baseline"/>
      </w:rPr>
    </w:lvl>
    <w:lvl w:ilvl="1" w:tentative="0">
      <w:start w:val="1"/>
      <w:numFmt w:val="decimal"/>
      <w:isLgl/>
      <w:suff w:val="space"/>
      <w:lvlText w:val="%1.%2"/>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lang w:val="zh-CN"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7"/>
      <w:isLg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rPr>
    </w:lvl>
    <w:lvl w:ilvl="3" w:tentative="0">
      <w:start w:val="1"/>
      <w:numFmt w:val="decimal"/>
      <w:pStyle w:val="8"/>
      <w:isLgl/>
      <w:suff w:val="space"/>
      <w:lvlText w:val="%1.%2.%3.%4"/>
      <w:lvlJc w:val="left"/>
      <w:pPr>
        <w:ind w:left="480" w:firstLine="0"/>
      </w:pPr>
      <w:rPr>
        <w:rFonts w:hint="default" w:ascii="Times New Roman" w:hAnsi="Times New Roman" w:eastAsia="宋体" w:cs="Times New Roman"/>
        <w:b/>
        <w:bCs w:val="0"/>
        <w:i w:val="0"/>
        <w:iCs w:val="0"/>
        <w:caps w:val="0"/>
        <w:smallCaps w:val="0"/>
        <w:strike w:val="0"/>
        <w:dstrike w:val="0"/>
        <w:vanish w:val="0"/>
        <w:color w:val="auto"/>
        <w:spacing w:val="0"/>
        <w:position w:val="0"/>
        <w:sz w:val="30"/>
        <w:u w:val="none"/>
        <w:vertAlign w:val="baseline"/>
      </w:rPr>
    </w:lvl>
    <w:lvl w:ilvl="4" w:tentative="0">
      <w:start w:val="1"/>
      <w:numFmt w:val="decimal"/>
      <w:isLgl/>
      <w:suff w:val="space"/>
      <w:lvlText w:val="%1.%2.%3.%4.%5"/>
      <w:lvlJc w:val="center"/>
      <w:pPr>
        <w:ind w:left="1134" w:firstLine="0"/>
      </w:pPr>
      <w:rPr>
        <w:rFonts w:hint="eastAsia"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center"/>
      <w:pPr>
        <w:ind w:left="624" w:firstLine="794"/>
      </w:pPr>
      <w:rPr>
        <w:rFonts w:hint="default" w:ascii="Times New Roman" w:hAnsi="Times New Roman" w:eastAsia="宋体"/>
        <w:b/>
        <w:i w:val="0"/>
        <w:sz w:val="24"/>
      </w:rPr>
    </w:lvl>
    <w:lvl w:ilvl="6" w:tentative="0">
      <w:start w:val="1"/>
      <w:numFmt w:val="decimal"/>
      <w:isLgl/>
      <w:lvlText w:val="%1.%2.%3.%4.%5.%6.%7"/>
      <w:lvlJc w:val="left"/>
      <w:pPr>
        <w:tabs>
          <w:tab w:val="left" w:pos="1134"/>
        </w:tabs>
        <w:ind w:left="1134" w:hanging="28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attachedTemplate r:id="rId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lN2Y2MTkzNmMwM2JjZmE2ZjhjY2Q2ZjhiMTA2OTMifQ=="/>
  </w:docVars>
  <w:rsids>
    <w:rsidRoot w:val="41465FC8"/>
    <w:rsid w:val="000754D8"/>
    <w:rsid w:val="0009281E"/>
    <w:rsid w:val="0011666E"/>
    <w:rsid w:val="00141003"/>
    <w:rsid w:val="00153DE9"/>
    <w:rsid w:val="0020646F"/>
    <w:rsid w:val="00230225"/>
    <w:rsid w:val="002A0A98"/>
    <w:rsid w:val="003010E8"/>
    <w:rsid w:val="00343337"/>
    <w:rsid w:val="00344814"/>
    <w:rsid w:val="003679E8"/>
    <w:rsid w:val="0038469A"/>
    <w:rsid w:val="003C0EDE"/>
    <w:rsid w:val="00481AA9"/>
    <w:rsid w:val="004C387F"/>
    <w:rsid w:val="004E2CFD"/>
    <w:rsid w:val="00563121"/>
    <w:rsid w:val="005777D2"/>
    <w:rsid w:val="005B45BD"/>
    <w:rsid w:val="006140F3"/>
    <w:rsid w:val="00614110"/>
    <w:rsid w:val="006367EA"/>
    <w:rsid w:val="00665735"/>
    <w:rsid w:val="006D25F4"/>
    <w:rsid w:val="006E0BC1"/>
    <w:rsid w:val="007059A5"/>
    <w:rsid w:val="0077174E"/>
    <w:rsid w:val="007A3D26"/>
    <w:rsid w:val="007B1294"/>
    <w:rsid w:val="007F3947"/>
    <w:rsid w:val="007F3AD9"/>
    <w:rsid w:val="008730C5"/>
    <w:rsid w:val="008A4425"/>
    <w:rsid w:val="008F3AE4"/>
    <w:rsid w:val="00936276"/>
    <w:rsid w:val="00963F92"/>
    <w:rsid w:val="009D5018"/>
    <w:rsid w:val="009F374F"/>
    <w:rsid w:val="00A07AFE"/>
    <w:rsid w:val="00A12778"/>
    <w:rsid w:val="00A26E78"/>
    <w:rsid w:val="00A87C14"/>
    <w:rsid w:val="00AD0711"/>
    <w:rsid w:val="00AE462C"/>
    <w:rsid w:val="00B44FFC"/>
    <w:rsid w:val="00B92B8B"/>
    <w:rsid w:val="00BA72D1"/>
    <w:rsid w:val="00BC7E1B"/>
    <w:rsid w:val="00C53D13"/>
    <w:rsid w:val="00C60556"/>
    <w:rsid w:val="00C606E4"/>
    <w:rsid w:val="00C82A1C"/>
    <w:rsid w:val="00CA124E"/>
    <w:rsid w:val="00CA7A67"/>
    <w:rsid w:val="00CE3ECD"/>
    <w:rsid w:val="00D42B17"/>
    <w:rsid w:val="00D81D21"/>
    <w:rsid w:val="00D85F41"/>
    <w:rsid w:val="00D91EDB"/>
    <w:rsid w:val="00DC4DAD"/>
    <w:rsid w:val="00DD54D6"/>
    <w:rsid w:val="00DF3269"/>
    <w:rsid w:val="00E275AD"/>
    <w:rsid w:val="00E616BA"/>
    <w:rsid w:val="00E64850"/>
    <w:rsid w:val="00E822D5"/>
    <w:rsid w:val="00EF6558"/>
    <w:rsid w:val="00F02941"/>
    <w:rsid w:val="00F612BE"/>
    <w:rsid w:val="00F77E5F"/>
    <w:rsid w:val="00FD2AAA"/>
    <w:rsid w:val="00FE0DE1"/>
    <w:rsid w:val="00FF302B"/>
    <w:rsid w:val="00FF6BD6"/>
    <w:rsid w:val="01027F95"/>
    <w:rsid w:val="010A62F5"/>
    <w:rsid w:val="010F0DF2"/>
    <w:rsid w:val="011078C7"/>
    <w:rsid w:val="01115B19"/>
    <w:rsid w:val="01115E6A"/>
    <w:rsid w:val="011C4FD6"/>
    <w:rsid w:val="012359E3"/>
    <w:rsid w:val="012A4E2C"/>
    <w:rsid w:val="013A16B8"/>
    <w:rsid w:val="01456ACF"/>
    <w:rsid w:val="01536654"/>
    <w:rsid w:val="01604C89"/>
    <w:rsid w:val="016270AE"/>
    <w:rsid w:val="01686994"/>
    <w:rsid w:val="0169707B"/>
    <w:rsid w:val="017D0BAC"/>
    <w:rsid w:val="018A038B"/>
    <w:rsid w:val="018C6215"/>
    <w:rsid w:val="01B67B6C"/>
    <w:rsid w:val="01B86378"/>
    <w:rsid w:val="01BF07E9"/>
    <w:rsid w:val="01BF37C7"/>
    <w:rsid w:val="01EA6E6D"/>
    <w:rsid w:val="01F24136"/>
    <w:rsid w:val="01F82A2C"/>
    <w:rsid w:val="01FB40D3"/>
    <w:rsid w:val="02154C6B"/>
    <w:rsid w:val="021D5878"/>
    <w:rsid w:val="02244A3B"/>
    <w:rsid w:val="02401EDE"/>
    <w:rsid w:val="02417447"/>
    <w:rsid w:val="02436ECE"/>
    <w:rsid w:val="02480639"/>
    <w:rsid w:val="0249313C"/>
    <w:rsid w:val="0252465F"/>
    <w:rsid w:val="02544B31"/>
    <w:rsid w:val="025814F0"/>
    <w:rsid w:val="02691984"/>
    <w:rsid w:val="0273481D"/>
    <w:rsid w:val="027506C2"/>
    <w:rsid w:val="027A6048"/>
    <w:rsid w:val="027B5DA6"/>
    <w:rsid w:val="028A2C94"/>
    <w:rsid w:val="029105D0"/>
    <w:rsid w:val="02A36C44"/>
    <w:rsid w:val="02B20C9A"/>
    <w:rsid w:val="02B7624C"/>
    <w:rsid w:val="02B76D6F"/>
    <w:rsid w:val="02BD04CF"/>
    <w:rsid w:val="02CC4F01"/>
    <w:rsid w:val="02CD5A6F"/>
    <w:rsid w:val="02D35C2E"/>
    <w:rsid w:val="02DA22C9"/>
    <w:rsid w:val="02DC75D6"/>
    <w:rsid w:val="02F079B0"/>
    <w:rsid w:val="02F47D05"/>
    <w:rsid w:val="030819D4"/>
    <w:rsid w:val="030A72D0"/>
    <w:rsid w:val="030F0E86"/>
    <w:rsid w:val="03113498"/>
    <w:rsid w:val="03120B70"/>
    <w:rsid w:val="031F4D12"/>
    <w:rsid w:val="03370C3A"/>
    <w:rsid w:val="035C0B7F"/>
    <w:rsid w:val="036477EF"/>
    <w:rsid w:val="036B1176"/>
    <w:rsid w:val="037229B0"/>
    <w:rsid w:val="03740980"/>
    <w:rsid w:val="037523D0"/>
    <w:rsid w:val="03843B44"/>
    <w:rsid w:val="03885E3A"/>
    <w:rsid w:val="03942A31"/>
    <w:rsid w:val="039A4AFB"/>
    <w:rsid w:val="03B67D67"/>
    <w:rsid w:val="03C1647D"/>
    <w:rsid w:val="03C50289"/>
    <w:rsid w:val="03CC3FA5"/>
    <w:rsid w:val="03D11265"/>
    <w:rsid w:val="03D45B15"/>
    <w:rsid w:val="03D8544B"/>
    <w:rsid w:val="03E24F0D"/>
    <w:rsid w:val="03F941A8"/>
    <w:rsid w:val="040B2CF6"/>
    <w:rsid w:val="040E601C"/>
    <w:rsid w:val="04190920"/>
    <w:rsid w:val="041B5524"/>
    <w:rsid w:val="042B5A27"/>
    <w:rsid w:val="042E0A14"/>
    <w:rsid w:val="04365896"/>
    <w:rsid w:val="043C172A"/>
    <w:rsid w:val="043D18BC"/>
    <w:rsid w:val="043E6504"/>
    <w:rsid w:val="043F60C0"/>
    <w:rsid w:val="04477AA3"/>
    <w:rsid w:val="044C0703"/>
    <w:rsid w:val="04504BAA"/>
    <w:rsid w:val="047B4C8E"/>
    <w:rsid w:val="047F0B0C"/>
    <w:rsid w:val="047F3631"/>
    <w:rsid w:val="048C1C85"/>
    <w:rsid w:val="04945377"/>
    <w:rsid w:val="049A4077"/>
    <w:rsid w:val="049D1F36"/>
    <w:rsid w:val="04B14598"/>
    <w:rsid w:val="04BC0FEC"/>
    <w:rsid w:val="04C05AF4"/>
    <w:rsid w:val="04C404B5"/>
    <w:rsid w:val="04CB2C56"/>
    <w:rsid w:val="04D30B3F"/>
    <w:rsid w:val="04E7212F"/>
    <w:rsid w:val="04EF59D1"/>
    <w:rsid w:val="04F44A31"/>
    <w:rsid w:val="04F72C5C"/>
    <w:rsid w:val="04FD4E03"/>
    <w:rsid w:val="05023B6F"/>
    <w:rsid w:val="05044BB3"/>
    <w:rsid w:val="05092CD1"/>
    <w:rsid w:val="050A3124"/>
    <w:rsid w:val="050D67D9"/>
    <w:rsid w:val="05145FDB"/>
    <w:rsid w:val="051C00DD"/>
    <w:rsid w:val="052338C5"/>
    <w:rsid w:val="052E7DE9"/>
    <w:rsid w:val="052F7377"/>
    <w:rsid w:val="053E0EA6"/>
    <w:rsid w:val="05490568"/>
    <w:rsid w:val="054E2F54"/>
    <w:rsid w:val="055576D3"/>
    <w:rsid w:val="0556567A"/>
    <w:rsid w:val="05766F51"/>
    <w:rsid w:val="057D42F0"/>
    <w:rsid w:val="05B031F1"/>
    <w:rsid w:val="05B969B3"/>
    <w:rsid w:val="05B97105"/>
    <w:rsid w:val="05BB48D6"/>
    <w:rsid w:val="05BD2396"/>
    <w:rsid w:val="05BE3D95"/>
    <w:rsid w:val="05DC0A20"/>
    <w:rsid w:val="05E03C0B"/>
    <w:rsid w:val="05F00679"/>
    <w:rsid w:val="05F13A50"/>
    <w:rsid w:val="05FA24A8"/>
    <w:rsid w:val="05FB66C2"/>
    <w:rsid w:val="06053772"/>
    <w:rsid w:val="060B57E8"/>
    <w:rsid w:val="060D1658"/>
    <w:rsid w:val="061439B5"/>
    <w:rsid w:val="061522D0"/>
    <w:rsid w:val="0616328A"/>
    <w:rsid w:val="06195A58"/>
    <w:rsid w:val="061E1135"/>
    <w:rsid w:val="0626103B"/>
    <w:rsid w:val="06267774"/>
    <w:rsid w:val="06274478"/>
    <w:rsid w:val="0628117E"/>
    <w:rsid w:val="06294CB0"/>
    <w:rsid w:val="062A241C"/>
    <w:rsid w:val="06321829"/>
    <w:rsid w:val="063B53E6"/>
    <w:rsid w:val="064D53AA"/>
    <w:rsid w:val="06505B4F"/>
    <w:rsid w:val="065C6CFD"/>
    <w:rsid w:val="06613BC7"/>
    <w:rsid w:val="066652C1"/>
    <w:rsid w:val="06682785"/>
    <w:rsid w:val="066A031B"/>
    <w:rsid w:val="067609CA"/>
    <w:rsid w:val="067751D5"/>
    <w:rsid w:val="069E79DB"/>
    <w:rsid w:val="06B120FE"/>
    <w:rsid w:val="06BB644B"/>
    <w:rsid w:val="06BE1ADE"/>
    <w:rsid w:val="06C2041E"/>
    <w:rsid w:val="06C41534"/>
    <w:rsid w:val="06D624A9"/>
    <w:rsid w:val="06D737D3"/>
    <w:rsid w:val="06E213BE"/>
    <w:rsid w:val="06E456CE"/>
    <w:rsid w:val="06E75DDC"/>
    <w:rsid w:val="06F75A98"/>
    <w:rsid w:val="06F77C5C"/>
    <w:rsid w:val="06F84A18"/>
    <w:rsid w:val="06F91994"/>
    <w:rsid w:val="07053883"/>
    <w:rsid w:val="07071EEC"/>
    <w:rsid w:val="07093AFD"/>
    <w:rsid w:val="07275FD5"/>
    <w:rsid w:val="07362169"/>
    <w:rsid w:val="074D51BB"/>
    <w:rsid w:val="077B38ED"/>
    <w:rsid w:val="077C1334"/>
    <w:rsid w:val="077E3528"/>
    <w:rsid w:val="07907A7C"/>
    <w:rsid w:val="07914CA8"/>
    <w:rsid w:val="07987194"/>
    <w:rsid w:val="079C558D"/>
    <w:rsid w:val="07A1260A"/>
    <w:rsid w:val="07A7570B"/>
    <w:rsid w:val="07A86BC0"/>
    <w:rsid w:val="07B375B1"/>
    <w:rsid w:val="07B74F40"/>
    <w:rsid w:val="07D258D6"/>
    <w:rsid w:val="07DC6755"/>
    <w:rsid w:val="07E37F1A"/>
    <w:rsid w:val="07EA06D8"/>
    <w:rsid w:val="07EA4AA0"/>
    <w:rsid w:val="07F319E6"/>
    <w:rsid w:val="07F37DB7"/>
    <w:rsid w:val="07F96EF4"/>
    <w:rsid w:val="07FC0BA5"/>
    <w:rsid w:val="08107530"/>
    <w:rsid w:val="081D7650"/>
    <w:rsid w:val="081E6D6D"/>
    <w:rsid w:val="083160DA"/>
    <w:rsid w:val="083C04CA"/>
    <w:rsid w:val="08564D7A"/>
    <w:rsid w:val="086B637D"/>
    <w:rsid w:val="08723EAD"/>
    <w:rsid w:val="087C2D8F"/>
    <w:rsid w:val="088F6915"/>
    <w:rsid w:val="089305EA"/>
    <w:rsid w:val="08A15DF8"/>
    <w:rsid w:val="08A32304"/>
    <w:rsid w:val="08A61263"/>
    <w:rsid w:val="08C40234"/>
    <w:rsid w:val="08D25283"/>
    <w:rsid w:val="08E63620"/>
    <w:rsid w:val="08E86B03"/>
    <w:rsid w:val="08EC2CB0"/>
    <w:rsid w:val="08F16FBA"/>
    <w:rsid w:val="08F72679"/>
    <w:rsid w:val="08F85810"/>
    <w:rsid w:val="0909178E"/>
    <w:rsid w:val="090D0240"/>
    <w:rsid w:val="091226EC"/>
    <w:rsid w:val="09171238"/>
    <w:rsid w:val="091D679D"/>
    <w:rsid w:val="0930331F"/>
    <w:rsid w:val="0935436E"/>
    <w:rsid w:val="09366956"/>
    <w:rsid w:val="09394134"/>
    <w:rsid w:val="09394DFF"/>
    <w:rsid w:val="094D79CF"/>
    <w:rsid w:val="094E50E2"/>
    <w:rsid w:val="0958700F"/>
    <w:rsid w:val="095D0457"/>
    <w:rsid w:val="09616F12"/>
    <w:rsid w:val="096359F3"/>
    <w:rsid w:val="096E224D"/>
    <w:rsid w:val="0972320A"/>
    <w:rsid w:val="098C0F2F"/>
    <w:rsid w:val="09A02A75"/>
    <w:rsid w:val="09A41295"/>
    <w:rsid w:val="09A56B00"/>
    <w:rsid w:val="09B02D44"/>
    <w:rsid w:val="09B93BD3"/>
    <w:rsid w:val="09C86F91"/>
    <w:rsid w:val="09CD2EA4"/>
    <w:rsid w:val="09DF22A7"/>
    <w:rsid w:val="09F772BB"/>
    <w:rsid w:val="09FC5C2F"/>
    <w:rsid w:val="0A047C39"/>
    <w:rsid w:val="0A0976D6"/>
    <w:rsid w:val="0A0A56B9"/>
    <w:rsid w:val="0A2A79DC"/>
    <w:rsid w:val="0A3603EC"/>
    <w:rsid w:val="0A3F3752"/>
    <w:rsid w:val="0A422BB4"/>
    <w:rsid w:val="0A481E6C"/>
    <w:rsid w:val="0A4B08DB"/>
    <w:rsid w:val="0A4B6101"/>
    <w:rsid w:val="0A573A02"/>
    <w:rsid w:val="0A5B6066"/>
    <w:rsid w:val="0A631701"/>
    <w:rsid w:val="0A6413E8"/>
    <w:rsid w:val="0A670752"/>
    <w:rsid w:val="0A70503F"/>
    <w:rsid w:val="0A7878BE"/>
    <w:rsid w:val="0A8D13DF"/>
    <w:rsid w:val="0A8F0586"/>
    <w:rsid w:val="0A9B46A5"/>
    <w:rsid w:val="0AA3646B"/>
    <w:rsid w:val="0AA429E7"/>
    <w:rsid w:val="0AA44EE2"/>
    <w:rsid w:val="0AAC5B9D"/>
    <w:rsid w:val="0AB753BE"/>
    <w:rsid w:val="0ABE4480"/>
    <w:rsid w:val="0ACE1B7A"/>
    <w:rsid w:val="0AD4520F"/>
    <w:rsid w:val="0AE46BCE"/>
    <w:rsid w:val="0AF7350B"/>
    <w:rsid w:val="0AFA207A"/>
    <w:rsid w:val="0B073AE9"/>
    <w:rsid w:val="0B0A037E"/>
    <w:rsid w:val="0B0D2E4D"/>
    <w:rsid w:val="0B0E781A"/>
    <w:rsid w:val="0B172C94"/>
    <w:rsid w:val="0B1C65EC"/>
    <w:rsid w:val="0B1F62F5"/>
    <w:rsid w:val="0B3A31CC"/>
    <w:rsid w:val="0B3B3486"/>
    <w:rsid w:val="0B3F2834"/>
    <w:rsid w:val="0B5A4560"/>
    <w:rsid w:val="0B5B335B"/>
    <w:rsid w:val="0B5F3925"/>
    <w:rsid w:val="0B602BA6"/>
    <w:rsid w:val="0B671DE2"/>
    <w:rsid w:val="0B6748EB"/>
    <w:rsid w:val="0B71069A"/>
    <w:rsid w:val="0B745CE2"/>
    <w:rsid w:val="0B773E2A"/>
    <w:rsid w:val="0B783C70"/>
    <w:rsid w:val="0B9A13E8"/>
    <w:rsid w:val="0B9C3914"/>
    <w:rsid w:val="0B9D61FB"/>
    <w:rsid w:val="0BA01E9F"/>
    <w:rsid w:val="0BB878C6"/>
    <w:rsid w:val="0BB90B86"/>
    <w:rsid w:val="0BC54853"/>
    <w:rsid w:val="0BD13387"/>
    <w:rsid w:val="0BD17F76"/>
    <w:rsid w:val="0BD437D5"/>
    <w:rsid w:val="0BF30E45"/>
    <w:rsid w:val="0BF71DAF"/>
    <w:rsid w:val="0BFE459E"/>
    <w:rsid w:val="0C0239CD"/>
    <w:rsid w:val="0C0A1AE2"/>
    <w:rsid w:val="0C14604F"/>
    <w:rsid w:val="0C14781D"/>
    <w:rsid w:val="0C173CA1"/>
    <w:rsid w:val="0C2273F1"/>
    <w:rsid w:val="0C2820CE"/>
    <w:rsid w:val="0C2F759E"/>
    <w:rsid w:val="0C360C0C"/>
    <w:rsid w:val="0C363C81"/>
    <w:rsid w:val="0C4E4452"/>
    <w:rsid w:val="0C55263E"/>
    <w:rsid w:val="0C5C7CC1"/>
    <w:rsid w:val="0C7A644B"/>
    <w:rsid w:val="0C804F56"/>
    <w:rsid w:val="0C806E36"/>
    <w:rsid w:val="0C8278CB"/>
    <w:rsid w:val="0C877047"/>
    <w:rsid w:val="0C98415F"/>
    <w:rsid w:val="0C9E4A7C"/>
    <w:rsid w:val="0CA76FA4"/>
    <w:rsid w:val="0CAE385B"/>
    <w:rsid w:val="0CC14BDF"/>
    <w:rsid w:val="0CC7352F"/>
    <w:rsid w:val="0CD51B2B"/>
    <w:rsid w:val="0CE301AB"/>
    <w:rsid w:val="0CF171ED"/>
    <w:rsid w:val="0D01122B"/>
    <w:rsid w:val="0D0273AB"/>
    <w:rsid w:val="0D0F5438"/>
    <w:rsid w:val="0D15073F"/>
    <w:rsid w:val="0D163F7C"/>
    <w:rsid w:val="0D1B695F"/>
    <w:rsid w:val="0D265343"/>
    <w:rsid w:val="0D28603C"/>
    <w:rsid w:val="0D296DE3"/>
    <w:rsid w:val="0D2A5A0E"/>
    <w:rsid w:val="0D2C3EBE"/>
    <w:rsid w:val="0D37695A"/>
    <w:rsid w:val="0D386CEC"/>
    <w:rsid w:val="0D3E5403"/>
    <w:rsid w:val="0D4044EA"/>
    <w:rsid w:val="0D5B4A2E"/>
    <w:rsid w:val="0D5E76E7"/>
    <w:rsid w:val="0D611B52"/>
    <w:rsid w:val="0D615A8C"/>
    <w:rsid w:val="0D632D5D"/>
    <w:rsid w:val="0D7E1119"/>
    <w:rsid w:val="0D8E4412"/>
    <w:rsid w:val="0D8E5825"/>
    <w:rsid w:val="0D9B5C07"/>
    <w:rsid w:val="0DBD4CB1"/>
    <w:rsid w:val="0DE008A2"/>
    <w:rsid w:val="0DEB4616"/>
    <w:rsid w:val="0DF72FBD"/>
    <w:rsid w:val="0E046C74"/>
    <w:rsid w:val="0E0A2593"/>
    <w:rsid w:val="0E2268C0"/>
    <w:rsid w:val="0E2C1C6C"/>
    <w:rsid w:val="0E3156A5"/>
    <w:rsid w:val="0E3241F4"/>
    <w:rsid w:val="0E3C49E6"/>
    <w:rsid w:val="0E3E75C0"/>
    <w:rsid w:val="0E524A33"/>
    <w:rsid w:val="0E680D42"/>
    <w:rsid w:val="0E7D2530"/>
    <w:rsid w:val="0E821E91"/>
    <w:rsid w:val="0E8D4754"/>
    <w:rsid w:val="0E910A5D"/>
    <w:rsid w:val="0E9506C7"/>
    <w:rsid w:val="0EA24254"/>
    <w:rsid w:val="0EA651CB"/>
    <w:rsid w:val="0EA82E8B"/>
    <w:rsid w:val="0EA855E3"/>
    <w:rsid w:val="0EAF2AA1"/>
    <w:rsid w:val="0EBA3B6D"/>
    <w:rsid w:val="0EBA4906"/>
    <w:rsid w:val="0EC0305B"/>
    <w:rsid w:val="0EC26DFD"/>
    <w:rsid w:val="0EC940EA"/>
    <w:rsid w:val="0EDB4EAB"/>
    <w:rsid w:val="0EDB6E81"/>
    <w:rsid w:val="0EEF03F1"/>
    <w:rsid w:val="0EEF1AF7"/>
    <w:rsid w:val="0EFF1053"/>
    <w:rsid w:val="0F0E3698"/>
    <w:rsid w:val="0F0F5004"/>
    <w:rsid w:val="0F107184"/>
    <w:rsid w:val="0F291F9D"/>
    <w:rsid w:val="0F296723"/>
    <w:rsid w:val="0F2C3286"/>
    <w:rsid w:val="0F322F5B"/>
    <w:rsid w:val="0F351C71"/>
    <w:rsid w:val="0F361CC3"/>
    <w:rsid w:val="0F3631D5"/>
    <w:rsid w:val="0F4F6440"/>
    <w:rsid w:val="0F5825D7"/>
    <w:rsid w:val="0F5D1E31"/>
    <w:rsid w:val="0F6E2388"/>
    <w:rsid w:val="0F86619D"/>
    <w:rsid w:val="0F8C280E"/>
    <w:rsid w:val="0F97082B"/>
    <w:rsid w:val="0F9A2833"/>
    <w:rsid w:val="0FA017DC"/>
    <w:rsid w:val="0FA32E66"/>
    <w:rsid w:val="0FAB538A"/>
    <w:rsid w:val="0FB82BBC"/>
    <w:rsid w:val="0FBC4689"/>
    <w:rsid w:val="0FBD18E8"/>
    <w:rsid w:val="0FBE54C5"/>
    <w:rsid w:val="0FBF39ED"/>
    <w:rsid w:val="0FC864B4"/>
    <w:rsid w:val="0FCF4C35"/>
    <w:rsid w:val="0FD03043"/>
    <w:rsid w:val="0FD61CDB"/>
    <w:rsid w:val="0FEF1BB8"/>
    <w:rsid w:val="100935AA"/>
    <w:rsid w:val="100E221B"/>
    <w:rsid w:val="101C388F"/>
    <w:rsid w:val="103041CA"/>
    <w:rsid w:val="103579BB"/>
    <w:rsid w:val="103A085F"/>
    <w:rsid w:val="103A5D24"/>
    <w:rsid w:val="105109E4"/>
    <w:rsid w:val="105A074D"/>
    <w:rsid w:val="105C6A52"/>
    <w:rsid w:val="106731BC"/>
    <w:rsid w:val="10682D61"/>
    <w:rsid w:val="106949B6"/>
    <w:rsid w:val="106B4B1A"/>
    <w:rsid w:val="106D06E6"/>
    <w:rsid w:val="108C294A"/>
    <w:rsid w:val="10A72F83"/>
    <w:rsid w:val="10BA70C8"/>
    <w:rsid w:val="10D2267A"/>
    <w:rsid w:val="10D54286"/>
    <w:rsid w:val="10DA015E"/>
    <w:rsid w:val="10F72C0A"/>
    <w:rsid w:val="10F733DB"/>
    <w:rsid w:val="10F76EEF"/>
    <w:rsid w:val="11034887"/>
    <w:rsid w:val="110B0CD6"/>
    <w:rsid w:val="110D46B3"/>
    <w:rsid w:val="110E79F6"/>
    <w:rsid w:val="11143C44"/>
    <w:rsid w:val="111D2BD1"/>
    <w:rsid w:val="111D5E14"/>
    <w:rsid w:val="112144A5"/>
    <w:rsid w:val="11256A5D"/>
    <w:rsid w:val="112940F5"/>
    <w:rsid w:val="112E1DBE"/>
    <w:rsid w:val="112F2BFA"/>
    <w:rsid w:val="11306F0D"/>
    <w:rsid w:val="11321EE1"/>
    <w:rsid w:val="113A59FE"/>
    <w:rsid w:val="1148711D"/>
    <w:rsid w:val="114C4A69"/>
    <w:rsid w:val="11515425"/>
    <w:rsid w:val="115553E3"/>
    <w:rsid w:val="11655EBE"/>
    <w:rsid w:val="11686CB0"/>
    <w:rsid w:val="11691059"/>
    <w:rsid w:val="11722676"/>
    <w:rsid w:val="117715B9"/>
    <w:rsid w:val="117B0D8C"/>
    <w:rsid w:val="11A521B1"/>
    <w:rsid w:val="11A8752B"/>
    <w:rsid w:val="11AC7E2F"/>
    <w:rsid w:val="11C81ABF"/>
    <w:rsid w:val="11CC4559"/>
    <w:rsid w:val="11CD7198"/>
    <w:rsid w:val="11D0273B"/>
    <w:rsid w:val="11D533D6"/>
    <w:rsid w:val="11DB54D0"/>
    <w:rsid w:val="11E206A3"/>
    <w:rsid w:val="11F2270C"/>
    <w:rsid w:val="11F6274E"/>
    <w:rsid w:val="11FB2E27"/>
    <w:rsid w:val="120002D4"/>
    <w:rsid w:val="122E0B70"/>
    <w:rsid w:val="123038E0"/>
    <w:rsid w:val="12324D62"/>
    <w:rsid w:val="124B39FF"/>
    <w:rsid w:val="124F0F9F"/>
    <w:rsid w:val="12543C02"/>
    <w:rsid w:val="125A35EC"/>
    <w:rsid w:val="125E4D1C"/>
    <w:rsid w:val="12630024"/>
    <w:rsid w:val="126E6705"/>
    <w:rsid w:val="127311AF"/>
    <w:rsid w:val="12804AEE"/>
    <w:rsid w:val="1292339A"/>
    <w:rsid w:val="129618C0"/>
    <w:rsid w:val="12A244E9"/>
    <w:rsid w:val="12A54313"/>
    <w:rsid w:val="12AE298A"/>
    <w:rsid w:val="12BB2AC3"/>
    <w:rsid w:val="12BC58F4"/>
    <w:rsid w:val="12C06B14"/>
    <w:rsid w:val="12CD1380"/>
    <w:rsid w:val="12D11443"/>
    <w:rsid w:val="12D772F2"/>
    <w:rsid w:val="12D9589A"/>
    <w:rsid w:val="12F809D3"/>
    <w:rsid w:val="12FE2782"/>
    <w:rsid w:val="12FE7EC7"/>
    <w:rsid w:val="1306450C"/>
    <w:rsid w:val="13092799"/>
    <w:rsid w:val="130B524C"/>
    <w:rsid w:val="130D5D85"/>
    <w:rsid w:val="130F4DCE"/>
    <w:rsid w:val="1310261B"/>
    <w:rsid w:val="133236CD"/>
    <w:rsid w:val="13356C83"/>
    <w:rsid w:val="133F4C3A"/>
    <w:rsid w:val="13581385"/>
    <w:rsid w:val="135962FB"/>
    <w:rsid w:val="135B2FBC"/>
    <w:rsid w:val="13666D9F"/>
    <w:rsid w:val="136C4B49"/>
    <w:rsid w:val="1372198F"/>
    <w:rsid w:val="13737182"/>
    <w:rsid w:val="138D4D76"/>
    <w:rsid w:val="138E4DA7"/>
    <w:rsid w:val="13947D36"/>
    <w:rsid w:val="13977EC5"/>
    <w:rsid w:val="13A61647"/>
    <w:rsid w:val="13AD0EAD"/>
    <w:rsid w:val="13BA3C51"/>
    <w:rsid w:val="13BE0279"/>
    <w:rsid w:val="13C4099B"/>
    <w:rsid w:val="13D03886"/>
    <w:rsid w:val="13DC10BF"/>
    <w:rsid w:val="13E5183B"/>
    <w:rsid w:val="13E558A2"/>
    <w:rsid w:val="13F6294C"/>
    <w:rsid w:val="14025AF6"/>
    <w:rsid w:val="140D0901"/>
    <w:rsid w:val="14107E48"/>
    <w:rsid w:val="142467C0"/>
    <w:rsid w:val="143F7423"/>
    <w:rsid w:val="144548A9"/>
    <w:rsid w:val="14543A5E"/>
    <w:rsid w:val="14584F97"/>
    <w:rsid w:val="146C6CC8"/>
    <w:rsid w:val="148132AA"/>
    <w:rsid w:val="14814826"/>
    <w:rsid w:val="1481490C"/>
    <w:rsid w:val="14832432"/>
    <w:rsid w:val="148A06AB"/>
    <w:rsid w:val="148D777B"/>
    <w:rsid w:val="148E3DCA"/>
    <w:rsid w:val="14942891"/>
    <w:rsid w:val="149941A7"/>
    <w:rsid w:val="14A00B4D"/>
    <w:rsid w:val="14A2793B"/>
    <w:rsid w:val="14A40D04"/>
    <w:rsid w:val="14A5257D"/>
    <w:rsid w:val="14C41406"/>
    <w:rsid w:val="14EC1FB9"/>
    <w:rsid w:val="14EC3868"/>
    <w:rsid w:val="14F7354F"/>
    <w:rsid w:val="14F742AD"/>
    <w:rsid w:val="14F7759A"/>
    <w:rsid w:val="14F87C7A"/>
    <w:rsid w:val="14FC0436"/>
    <w:rsid w:val="14FF24E6"/>
    <w:rsid w:val="15081CB9"/>
    <w:rsid w:val="15144A4E"/>
    <w:rsid w:val="151E6CB3"/>
    <w:rsid w:val="153676AC"/>
    <w:rsid w:val="153921E0"/>
    <w:rsid w:val="154063F3"/>
    <w:rsid w:val="1543418F"/>
    <w:rsid w:val="15451AFF"/>
    <w:rsid w:val="154567DD"/>
    <w:rsid w:val="154C266A"/>
    <w:rsid w:val="15585CD3"/>
    <w:rsid w:val="15597637"/>
    <w:rsid w:val="15682E2B"/>
    <w:rsid w:val="15717AE6"/>
    <w:rsid w:val="157E709D"/>
    <w:rsid w:val="157F329D"/>
    <w:rsid w:val="1587038E"/>
    <w:rsid w:val="15945FA0"/>
    <w:rsid w:val="15A71BE7"/>
    <w:rsid w:val="15AC59B8"/>
    <w:rsid w:val="15AE2033"/>
    <w:rsid w:val="15BB1936"/>
    <w:rsid w:val="15BD216B"/>
    <w:rsid w:val="15C138F3"/>
    <w:rsid w:val="15D122BF"/>
    <w:rsid w:val="15D33DE7"/>
    <w:rsid w:val="15D73E0F"/>
    <w:rsid w:val="15DB1DCC"/>
    <w:rsid w:val="15E9735F"/>
    <w:rsid w:val="16096110"/>
    <w:rsid w:val="161E1E16"/>
    <w:rsid w:val="16287735"/>
    <w:rsid w:val="162968AC"/>
    <w:rsid w:val="162D5E38"/>
    <w:rsid w:val="16331386"/>
    <w:rsid w:val="16405EF7"/>
    <w:rsid w:val="164262C1"/>
    <w:rsid w:val="16437554"/>
    <w:rsid w:val="164C117E"/>
    <w:rsid w:val="16504596"/>
    <w:rsid w:val="165322D8"/>
    <w:rsid w:val="16617E54"/>
    <w:rsid w:val="16655FE9"/>
    <w:rsid w:val="166E0E26"/>
    <w:rsid w:val="16742E86"/>
    <w:rsid w:val="1680407A"/>
    <w:rsid w:val="168C1430"/>
    <w:rsid w:val="16A26B83"/>
    <w:rsid w:val="16AA1C01"/>
    <w:rsid w:val="16C12104"/>
    <w:rsid w:val="16C146D1"/>
    <w:rsid w:val="16C27441"/>
    <w:rsid w:val="16C3120C"/>
    <w:rsid w:val="16C502C6"/>
    <w:rsid w:val="16C53D60"/>
    <w:rsid w:val="16CA351D"/>
    <w:rsid w:val="16D65B82"/>
    <w:rsid w:val="16DE2AD8"/>
    <w:rsid w:val="16E6226A"/>
    <w:rsid w:val="16EC5272"/>
    <w:rsid w:val="16EE2F79"/>
    <w:rsid w:val="16EF3DAF"/>
    <w:rsid w:val="170346FE"/>
    <w:rsid w:val="17061FE2"/>
    <w:rsid w:val="17147EFE"/>
    <w:rsid w:val="17173695"/>
    <w:rsid w:val="171E10AD"/>
    <w:rsid w:val="172123D6"/>
    <w:rsid w:val="1723341E"/>
    <w:rsid w:val="172E6B5E"/>
    <w:rsid w:val="173068B1"/>
    <w:rsid w:val="173A57B8"/>
    <w:rsid w:val="173C7946"/>
    <w:rsid w:val="17441FED"/>
    <w:rsid w:val="174F2CC4"/>
    <w:rsid w:val="1752789E"/>
    <w:rsid w:val="17577A60"/>
    <w:rsid w:val="177158CC"/>
    <w:rsid w:val="179C2373"/>
    <w:rsid w:val="17A51F67"/>
    <w:rsid w:val="17C86D05"/>
    <w:rsid w:val="17D8151A"/>
    <w:rsid w:val="17DF71B9"/>
    <w:rsid w:val="18042206"/>
    <w:rsid w:val="180B5ADD"/>
    <w:rsid w:val="180C2EE7"/>
    <w:rsid w:val="180E295A"/>
    <w:rsid w:val="18210148"/>
    <w:rsid w:val="182201B4"/>
    <w:rsid w:val="18304F7C"/>
    <w:rsid w:val="183E6574"/>
    <w:rsid w:val="18522623"/>
    <w:rsid w:val="18653EFB"/>
    <w:rsid w:val="18662ABB"/>
    <w:rsid w:val="18671D3B"/>
    <w:rsid w:val="186802BC"/>
    <w:rsid w:val="18702B9B"/>
    <w:rsid w:val="18712C23"/>
    <w:rsid w:val="18726510"/>
    <w:rsid w:val="18733A58"/>
    <w:rsid w:val="187D097E"/>
    <w:rsid w:val="18881CB4"/>
    <w:rsid w:val="189C1D14"/>
    <w:rsid w:val="189F284B"/>
    <w:rsid w:val="18A53194"/>
    <w:rsid w:val="18A65CA4"/>
    <w:rsid w:val="18AA6F31"/>
    <w:rsid w:val="18BC3AD4"/>
    <w:rsid w:val="18C04D27"/>
    <w:rsid w:val="18CA5FF0"/>
    <w:rsid w:val="18CF4AC4"/>
    <w:rsid w:val="18D771F0"/>
    <w:rsid w:val="18DC0363"/>
    <w:rsid w:val="18E364A5"/>
    <w:rsid w:val="18E92610"/>
    <w:rsid w:val="18EB525A"/>
    <w:rsid w:val="18F20AFB"/>
    <w:rsid w:val="18FD51E2"/>
    <w:rsid w:val="18FD6350"/>
    <w:rsid w:val="19005238"/>
    <w:rsid w:val="19047C5B"/>
    <w:rsid w:val="19170138"/>
    <w:rsid w:val="191B3081"/>
    <w:rsid w:val="19254303"/>
    <w:rsid w:val="192A3F0F"/>
    <w:rsid w:val="192B7AB8"/>
    <w:rsid w:val="192C753C"/>
    <w:rsid w:val="193308D1"/>
    <w:rsid w:val="193326F9"/>
    <w:rsid w:val="19354D41"/>
    <w:rsid w:val="19383276"/>
    <w:rsid w:val="193A1CC9"/>
    <w:rsid w:val="193F08F1"/>
    <w:rsid w:val="19530509"/>
    <w:rsid w:val="196565AA"/>
    <w:rsid w:val="196E7061"/>
    <w:rsid w:val="19783399"/>
    <w:rsid w:val="1986763E"/>
    <w:rsid w:val="198837D0"/>
    <w:rsid w:val="199E4C13"/>
    <w:rsid w:val="19A70A0F"/>
    <w:rsid w:val="19AC5124"/>
    <w:rsid w:val="19B25FC3"/>
    <w:rsid w:val="19B81DC9"/>
    <w:rsid w:val="19D219E1"/>
    <w:rsid w:val="19D871FC"/>
    <w:rsid w:val="19D90D82"/>
    <w:rsid w:val="19E44DA8"/>
    <w:rsid w:val="19ED2002"/>
    <w:rsid w:val="19ED6873"/>
    <w:rsid w:val="19F82CEA"/>
    <w:rsid w:val="19FB5C65"/>
    <w:rsid w:val="19FE07AD"/>
    <w:rsid w:val="1A013E26"/>
    <w:rsid w:val="1A0E328C"/>
    <w:rsid w:val="1A167A73"/>
    <w:rsid w:val="1A1B71D7"/>
    <w:rsid w:val="1A32116F"/>
    <w:rsid w:val="1A3F6C39"/>
    <w:rsid w:val="1A475CB0"/>
    <w:rsid w:val="1A53515C"/>
    <w:rsid w:val="1A543B91"/>
    <w:rsid w:val="1A590423"/>
    <w:rsid w:val="1A5E611B"/>
    <w:rsid w:val="1A6125F2"/>
    <w:rsid w:val="1A63665D"/>
    <w:rsid w:val="1A6F0015"/>
    <w:rsid w:val="1A722BCA"/>
    <w:rsid w:val="1A7447DA"/>
    <w:rsid w:val="1A8233A5"/>
    <w:rsid w:val="1A8A2B1D"/>
    <w:rsid w:val="1AA920DA"/>
    <w:rsid w:val="1AD06A5D"/>
    <w:rsid w:val="1AD70802"/>
    <w:rsid w:val="1ADE1F0B"/>
    <w:rsid w:val="1AE1508C"/>
    <w:rsid w:val="1AEA561B"/>
    <w:rsid w:val="1AF32CF4"/>
    <w:rsid w:val="1AFB749D"/>
    <w:rsid w:val="1AFE4BFE"/>
    <w:rsid w:val="1B001495"/>
    <w:rsid w:val="1B020733"/>
    <w:rsid w:val="1B05696E"/>
    <w:rsid w:val="1B323090"/>
    <w:rsid w:val="1B414DF5"/>
    <w:rsid w:val="1B4C0D69"/>
    <w:rsid w:val="1B5A147F"/>
    <w:rsid w:val="1B5C3CD8"/>
    <w:rsid w:val="1B5F7EBD"/>
    <w:rsid w:val="1B6603B7"/>
    <w:rsid w:val="1B730FBA"/>
    <w:rsid w:val="1B861FC4"/>
    <w:rsid w:val="1B92166F"/>
    <w:rsid w:val="1B94749F"/>
    <w:rsid w:val="1BAB44D3"/>
    <w:rsid w:val="1BAE6646"/>
    <w:rsid w:val="1BC23D87"/>
    <w:rsid w:val="1BC325CB"/>
    <w:rsid w:val="1BC915AB"/>
    <w:rsid w:val="1BD33B7E"/>
    <w:rsid w:val="1BD729CF"/>
    <w:rsid w:val="1BDB0DA5"/>
    <w:rsid w:val="1BDC0F1D"/>
    <w:rsid w:val="1BE07C46"/>
    <w:rsid w:val="1BE660DB"/>
    <w:rsid w:val="1C013DB0"/>
    <w:rsid w:val="1C015C5F"/>
    <w:rsid w:val="1C0302FC"/>
    <w:rsid w:val="1C163B8C"/>
    <w:rsid w:val="1C1B081F"/>
    <w:rsid w:val="1C1B7408"/>
    <w:rsid w:val="1C1D5618"/>
    <w:rsid w:val="1C1D5E4D"/>
    <w:rsid w:val="1C3173F8"/>
    <w:rsid w:val="1C4A1A87"/>
    <w:rsid w:val="1C4B327A"/>
    <w:rsid w:val="1C4D6BC4"/>
    <w:rsid w:val="1C4F703E"/>
    <w:rsid w:val="1C661728"/>
    <w:rsid w:val="1C677F2D"/>
    <w:rsid w:val="1C7020B2"/>
    <w:rsid w:val="1C7C28FE"/>
    <w:rsid w:val="1C896A53"/>
    <w:rsid w:val="1C8D3A58"/>
    <w:rsid w:val="1C8D5ECE"/>
    <w:rsid w:val="1C8E2E5B"/>
    <w:rsid w:val="1C8E7E12"/>
    <w:rsid w:val="1C941B85"/>
    <w:rsid w:val="1C9E2CAC"/>
    <w:rsid w:val="1CA035E4"/>
    <w:rsid w:val="1CA24B83"/>
    <w:rsid w:val="1CA70DB1"/>
    <w:rsid w:val="1CAD68B9"/>
    <w:rsid w:val="1CB24155"/>
    <w:rsid w:val="1CB81B8B"/>
    <w:rsid w:val="1CC71E0F"/>
    <w:rsid w:val="1CCC570F"/>
    <w:rsid w:val="1CD50946"/>
    <w:rsid w:val="1CD53CB6"/>
    <w:rsid w:val="1CD9226F"/>
    <w:rsid w:val="1CDA4ACD"/>
    <w:rsid w:val="1CE76F7B"/>
    <w:rsid w:val="1CE77104"/>
    <w:rsid w:val="1CEC1F81"/>
    <w:rsid w:val="1D0B56BA"/>
    <w:rsid w:val="1D156997"/>
    <w:rsid w:val="1D1F5764"/>
    <w:rsid w:val="1D1F64BE"/>
    <w:rsid w:val="1D217A0F"/>
    <w:rsid w:val="1D323E43"/>
    <w:rsid w:val="1D325A42"/>
    <w:rsid w:val="1D345826"/>
    <w:rsid w:val="1D365D00"/>
    <w:rsid w:val="1D3868DB"/>
    <w:rsid w:val="1D457A2D"/>
    <w:rsid w:val="1D497BBF"/>
    <w:rsid w:val="1D592364"/>
    <w:rsid w:val="1D6B03E8"/>
    <w:rsid w:val="1D6D54D9"/>
    <w:rsid w:val="1D7806E8"/>
    <w:rsid w:val="1D7A639C"/>
    <w:rsid w:val="1D8009CF"/>
    <w:rsid w:val="1D896015"/>
    <w:rsid w:val="1D9474D1"/>
    <w:rsid w:val="1DA20C78"/>
    <w:rsid w:val="1DAE09EA"/>
    <w:rsid w:val="1DB71586"/>
    <w:rsid w:val="1DB7373C"/>
    <w:rsid w:val="1DC03242"/>
    <w:rsid w:val="1DC25AD0"/>
    <w:rsid w:val="1DCE2818"/>
    <w:rsid w:val="1DD66728"/>
    <w:rsid w:val="1DDA37AA"/>
    <w:rsid w:val="1DDE01A1"/>
    <w:rsid w:val="1DDF6BF1"/>
    <w:rsid w:val="1DE261F8"/>
    <w:rsid w:val="1DE26E0D"/>
    <w:rsid w:val="1DE422F7"/>
    <w:rsid w:val="1DE46380"/>
    <w:rsid w:val="1DEC0F21"/>
    <w:rsid w:val="1DFE177C"/>
    <w:rsid w:val="1E026ABD"/>
    <w:rsid w:val="1E0C3054"/>
    <w:rsid w:val="1E113FF4"/>
    <w:rsid w:val="1E1E6C36"/>
    <w:rsid w:val="1E201AE4"/>
    <w:rsid w:val="1E2307E2"/>
    <w:rsid w:val="1E27054B"/>
    <w:rsid w:val="1E2F06AF"/>
    <w:rsid w:val="1E4038BF"/>
    <w:rsid w:val="1E5B0DF5"/>
    <w:rsid w:val="1E610F31"/>
    <w:rsid w:val="1E7B16B2"/>
    <w:rsid w:val="1E7F4C6A"/>
    <w:rsid w:val="1E805C34"/>
    <w:rsid w:val="1E885A44"/>
    <w:rsid w:val="1E926A05"/>
    <w:rsid w:val="1E964B22"/>
    <w:rsid w:val="1E985748"/>
    <w:rsid w:val="1E9E3F9E"/>
    <w:rsid w:val="1EA3650A"/>
    <w:rsid w:val="1EAC412A"/>
    <w:rsid w:val="1EB61C86"/>
    <w:rsid w:val="1EBB0A1A"/>
    <w:rsid w:val="1EBD253E"/>
    <w:rsid w:val="1EC70C89"/>
    <w:rsid w:val="1ED34179"/>
    <w:rsid w:val="1ED542CB"/>
    <w:rsid w:val="1EDD659D"/>
    <w:rsid w:val="1EEF2358"/>
    <w:rsid w:val="1EEF5962"/>
    <w:rsid w:val="1F0105B5"/>
    <w:rsid w:val="1F074C09"/>
    <w:rsid w:val="1F085BD9"/>
    <w:rsid w:val="1F0D1BA4"/>
    <w:rsid w:val="1F1172AC"/>
    <w:rsid w:val="1F1F681B"/>
    <w:rsid w:val="1F22514C"/>
    <w:rsid w:val="1F275CD6"/>
    <w:rsid w:val="1F3158B0"/>
    <w:rsid w:val="1F32241A"/>
    <w:rsid w:val="1F3410FC"/>
    <w:rsid w:val="1F3429E4"/>
    <w:rsid w:val="1F3618E7"/>
    <w:rsid w:val="1F5C7043"/>
    <w:rsid w:val="1F5E5F75"/>
    <w:rsid w:val="1F632705"/>
    <w:rsid w:val="1F732367"/>
    <w:rsid w:val="1F7E2725"/>
    <w:rsid w:val="1F7E6D20"/>
    <w:rsid w:val="1F814C0C"/>
    <w:rsid w:val="1F8379F4"/>
    <w:rsid w:val="1F8D3CBD"/>
    <w:rsid w:val="1F956529"/>
    <w:rsid w:val="1F96022A"/>
    <w:rsid w:val="1F9951FF"/>
    <w:rsid w:val="1FA92F69"/>
    <w:rsid w:val="1FAF2BA0"/>
    <w:rsid w:val="1FB64A08"/>
    <w:rsid w:val="1FBD4474"/>
    <w:rsid w:val="1FC16986"/>
    <w:rsid w:val="1FD61FB0"/>
    <w:rsid w:val="1FD6702F"/>
    <w:rsid w:val="1FDD651D"/>
    <w:rsid w:val="1FE3647B"/>
    <w:rsid w:val="1FE673A2"/>
    <w:rsid w:val="1FEA66A3"/>
    <w:rsid w:val="1FEC65AF"/>
    <w:rsid w:val="1FF6780E"/>
    <w:rsid w:val="20062969"/>
    <w:rsid w:val="200D0260"/>
    <w:rsid w:val="2011123A"/>
    <w:rsid w:val="201B735F"/>
    <w:rsid w:val="201C2597"/>
    <w:rsid w:val="20225D32"/>
    <w:rsid w:val="202C43A0"/>
    <w:rsid w:val="202C79B6"/>
    <w:rsid w:val="2038623D"/>
    <w:rsid w:val="20390044"/>
    <w:rsid w:val="20487AEE"/>
    <w:rsid w:val="20513A3C"/>
    <w:rsid w:val="205660DC"/>
    <w:rsid w:val="206215AF"/>
    <w:rsid w:val="206E0C88"/>
    <w:rsid w:val="207759DE"/>
    <w:rsid w:val="2089094D"/>
    <w:rsid w:val="209A3718"/>
    <w:rsid w:val="209B7FAA"/>
    <w:rsid w:val="209C5B5A"/>
    <w:rsid w:val="209D487B"/>
    <w:rsid w:val="209E40FF"/>
    <w:rsid w:val="20A14683"/>
    <w:rsid w:val="20C7112F"/>
    <w:rsid w:val="20DD4C4D"/>
    <w:rsid w:val="20E93555"/>
    <w:rsid w:val="20F81C87"/>
    <w:rsid w:val="20F97957"/>
    <w:rsid w:val="20FA58EE"/>
    <w:rsid w:val="2103015E"/>
    <w:rsid w:val="210C170E"/>
    <w:rsid w:val="210C64D6"/>
    <w:rsid w:val="21167A84"/>
    <w:rsid w:val="211702E6"/>
    <w:rsid w:val="211D4B0E"/>
    <w:rsid w:val="21200828"/>
    <w:rsid w:val="212E1977"/>
    <w:rsid w:val="213470EA"/>
    <w:rsid w:val="213A34AC"/>
    <w:rsid w:val="21470D76"/>
    <w:rsid w:val="21627922"/>
    <w:rsid w:val="216D06F2"/>
    <w:rsid w:val="21776988"/>
    <w:rsid w:val="217E0BDF"/>
    <w:rsid w:val="21803811"/>
    <w:rsid w:val="218A1243"/>
    <w:rsid w:val="21A56AE0"/>
    <w:rsid w:val="21B93937"/>
    <w:rsid w:val="21D55BF0"/>
    <w:rsid w:val="21D94F51"/>
    <w:rsid w:val="21DE51C9"/>
    <w:rsid w:val="21E22CEA"/>
    <w:rsid w:val="21E7532C"/>
    <w:rsid w:val="21E8152C"/>
    <w:rsid w:val="21F254C0"/>
    <w:rsid w:val="21F53216"/>
    <w:rsid w:val="21F629AE"/>
    <w:rsid w:val="21F85B8D"/>
    <w:rsid w:val="21FE1AEF"/>
    <w:rsid w:val="22131A27"/>
    <w:rsid w:val="221636EF"/>
    <w:rsid w:val="222608A0"/>
    <w:rsid w:val="22384D9E"/>
    <w:rsid w:val="223E5678"/>
    <w:rsid w:val="22423423"/>
    <w:rsid w:val="224616BF"/>
    <w:rsid w:val="224A7372"/>
    <w:rsid w:val="224B72C0"/>
    <w:rsid w:val="225278E7"/>
    <w:rsid w:val="22595692"/>
    <w:rsid w:val="22615A2A"/>
    <w:rsid w:val="22730512"/>
    <w:rsid w:val="227458A8"/>
    <w:rsid w:val="22857CBD"/>
    <w:rsid w:val="228634B3"/>
    <w:rsid w:val="2292110D"/>
    <w:rsid w:val="22927225"/>
    <w:rsid w:val="22996AC6"/>
    <w:rsid w:val="229D6BA8"/>
    <w:rsid w:val="22A9206B"/>
    <w:rsid w:val="22B6619A"/>
    <w:rsid w:val="22C023BE"/>
    <w:rsid w:val="22C758F0"/>
    <w:rsid w:val="22CC2A26"/>
    <w:rsid w:val="22D00DD8"/>
    <w:rsid w:val="22D55446"/>
    <w:rsid w:val="22D909D3"/>
    <w:rsid w:val="22F240AB"/>
    <w:rsid w:val="230C3F3A"/>
    <w:rsid w:val="230E4EC1"/>
    <w:rsid w:val="23101F2E"/>
    <w:rsid w:val="231337FF"/>
    <w:rsid w:val="23155347"/>
    <w:rsid w:val="23361412"/>
    <w:rsid w:val="23367132"/>
    <w:rsid w:val="233E0FB8"/>
    <w:rsid w:val="23463515"/>
    <w:rsid w:val="23512EF0"/>
    <w:rsid w:val="23526931"/>
    <w:rsid w:val="23586A43"/>
    <w:rsid w:val="235A4CA6"/>
    <w:rsid w:val="235B61D1"/>
    <w:rsid w:val="235D2B3D"/>
    <w:rsid w:val="236E1872"/>
    <w:rsid w:val="236F21C0"/>
    <w:rsid w:val="237D2742"/>
    <w:rsid w:val="23854AFC"/>
    <w:rsid w:val="238A3A61"/>
    <w:rsid w:val="238C1246"/>
    <w:rsid w:val="23981364"/>
    <w:rsid w:val="23A20466"/>
    <w:rsid w:val="23A94469"/>
    <w:rsid w:val="23AF2E12"/>
    <w:rsid w:val="23CE08DE"/>
    <w:rsid w:val="23E9373D"/>
    <w:rsid w:val="23EA7843"/>
    <w:rsid w:val="23F13072"/>
    <w:rsid w:val="23FB5291"/>
    <w:rsid w:val="24151990"/>
    <w:rsid w:val="24151A30"/>
    <w:rsid w:val="24222C5E"/>
    <w:rsid w:val="24366723"/>
    <w:rsid w:val="243775AA"/>
    <w:rsid w:val="243A4FFE"/>
    <w:rsid w:val="243C50C4"/>
    <w:rsid w:val="24407957"/>
    <w:rsid w:val="244138C4"/>
    <w:rsid w:val="24456344"/>
    <w:rsid w:val="244B67B8"/>
    <w:rsid w:val="2453265A"/>
    <w:rsid w:val="245E6479"/>
    <w:rsid w:val="24665779"/>
    <w:rsid w:val="246A3AD3"/>
    <w:rsid w:val="24812BD3"/>
    <w:rsid w:val="248D3743"/>
    <w:rsid w:val="2494047A"/>
    <w:rsid w:val="24D94A47"/>
    <w:rsid w:val="24E27EBC"/>
    <w:rsid w:val="24E73701"/>
    <w:rsid w:val="24ED4A1D"/>
    <w:rsid w:val="24F03545"/>
    <w:rsid w:val="24F15196"/>
    <w:rsid w:val="24FA4FB3"/>
    <w:rsid w:val="24FD0132"/>
    <w:rsid w:val="24FE1255"/>
    <w:rsid w:val="250A7F60"/>
    <w:rsid w:val="250F69F1"/>
    <w:rsid w:val="25190627"/>
    <w:rsid w:val="251B5720"/>
    <w:rsid w:val="251C0383"/>
    <w:rsid w:val="25285EEC"/>
    <w:rsid w:val="25290DD3"/>
    <w:rsid w:val="253121DC"/>
    <w:rsid w:val="25405F2A"/>
    <w:rsid w:val="255E6ECB"/>
    <w:rsid w:val="256363F0"/>
    <w:rsid w:val="256F3831"/>
    <w:rsid w:val="25724139"/>
    <w:rsid w:val="25726B45"/>
    <w:rsid w:val="257A57B5"/>
    <w:rsid w:val="258B2872"/>
    <w:rsid w:val="25915BD8"/>
    <w:rsid w:val="25950217"/>
    <w:rsid w:val="25952570"/>
    <w:rsid w:val="259C7C27"/>
    <w:rsid w:val="25A51CCF"/>
    <w:rsid w:val="25A742AA"/>
    <w:rsid w:val="25A827C8"/>
    <w:rsid w:val="25A920B4"/>
    <w:rsid w:val="25BF5DF7"/>
    <w:rsid w:val="25C2583D"/>
    <w:rsid w:val="25D01C18"/>
    <w:rsid w:val="25D83EF7"/>
    <w:rsid w:val="25DD6CB7"/>
    <w:rsid w:val="25E07923"/>
    <w:rsid w:val="25E633D7"/>
    <w:rsid w:val="25EE45FD"/>
    <w:rsid w:val="25F612C0"/>
    <w:rsid w:val="26011C3C"/>
    <w:rsid w:val="26026C80"/>
    <w:rsid w:val="260C5268"/>
    <w:rsid w:val="26185AB3"/>
    <w:rsid w:val="262F241A"/>
    <w:rsid w:val="263C68E5"/>
    <w:rsid w:val="264A6570"/>
    <w:rsid w:val="264B57DA"/>
    <w:rsid w:val="264C33FD"/>
    <w:rsid w:val="26500DC0"/>
    <w:rsid w:val="26633FB6"/>
    <w:rsid w:val="267C53DA"/>
    <w:rsid w:val="26815C8F"/>
    <w:rsid w:val="268338B6"/>
    <w:rsid w:val="26A510A3"/>
    <w:rsid w:val="26AB1FD1"/>
    <w:rsid w:val="26AE6DD4"/>
    <w:rsid w:val="26C16DEA"/>
    <w:rsid w:val="26CD3F4D"/>
    <w:rsid w:val="26CF7759"/>
    <w:rsid w:val="26DE370F"/>
    <w:rsid w:val="26DE5BEE"/>
    <w:rsid w:val="26DF6380"/>
    <w:rsid w:val="26E649A4"/>
    <w:rsid w:val="26F50BDB"/>
    <w:rsid w:val="270B25F8"/>
    <w:rsid w:val="270C4C13"/>
    <w:rsid w:val="270E1E32"/>
    <w:rsid w:val="27130ACE"/>
    <w:rsid w:val="272677BC"/>
    <w:rsid w:val="27283C0A"/>
    <w:rsid w:val="27294289"/>
    <w:rsid w:val="272D723C"/>
    <w:rsid w:val="272F71A1"/>
    <w:rsid w:val="27374DE7"/>
    <w:rsid w:val="273B2A76"/>
    <w:rsid w:val="273D098C"/>
    <w:rsid w:val="273E43AB"/>
    <w:rsid w:val="27455C11"/>
    <w:rsid w:val="274953D9"/>
    <w:rsid w:val="274A7C53"/>
    <w:rsid w:val="2750794F"/>
    <w:rsid w:val="27547C5E"/>
    <w:rsid w:val="275C55BF"/>
    <w:rsid w:val="27742ED1"/>
    <w:rsid w:val="27767BD4"/>
    <w:rsid w:val="2781462E"/>
    <w:rsid w:val="27937512"/>
    <w:rsid w:val="279572F9"/>
    <w:rsid w:val="27A06016"/>
    <w:rsid w:val="27B45BAC"/>
    <w:rsid w:val="27B83B5E"/>
    <w:rsid w:val="27B94BDE"/>
    <w:rsid w:val="27D54F2C"/>
    <w:rsid w:val="27E31ACD"/>
    <w:rsid w:val="27E86D24"/>
    <w:rsid w:val="27EF25B3"/>
    <w:rsid w:val="27EF2E91"/>
    <w:rsid w:val="27F10606"/>
    <w:rsid w:val="28017EE0"/>
    <w:rsid w:val="2805028C"/>
    <w:rsid w:val="28161F25"/>
    <w:rsid w:val="2817062E"/>
    <w:rsid w:val="282A72D4"/>
    <w:rsid w:val="285261AC"/>
    <w:rsid w:val="28541118"/>
    <w:rsid w:val="285F3DF5"/>
    <w:rsid w:val="28640DDD"/>
    <w:rsid w:val="287C35D4"/>
    <w:rsid w:val="28812B87"/>
    <w:rsid w:val="28841CCC"/>
    <w:rsid w:val="288C3A34"/>
    <w:rsid w:val="288D4F9A"/>
    <w:rsid w:val="28970403"/>
    <w:rsid w:val="28AA11B7"/>
    <w:rsid w:val="28AE3ED9"/>
    <w:rsid w:val="28B34B19"/>
    <w:rsid w:val="28B50B6A"/>
    <w:rsid w:val="28C06C51"/>
    <w:rsid w:val="28CD7CC8"/>
    <w:rsid w:val="28CF6BB0"/>
    <w:rsid w:val="28DD37F9"/>
    <w:rsid w:val="28E86982"/>
    <w:rsid w:val="28EC45F2"/>
    <w:rsid w:val="29024666"/>
    <w:rsid w:val="290A25C3"/>
    <w:rsid w:val="29123842"/>
    <w:rsid w:val="29203F67"/>
    <w:rsid w:val="29215C3E"/>
    <w:rsid w:val="293A4E1A"/>
    <w:rsid w:val="29533914"/>
    <w:rsid w:val="295D6C8D"/>
    <w:rsid w:val="29671C51"/>
    <w:rsid w:val="296A09E4"/>
    <w:rsid w:val="29706DC9"/>
    <w:rsid w:val="29753FA3"/>
    <w:rsid w:val="297A36FC"/>
    <w:rsid w:val="2988291C"/>
    <w:rsid w:val="298E2403"/>
    <w:rsid w:val="2992273E"/>
    <w:rsid w:val="29965126"/>
    <w:rsid w:val="299C6C00"/>
    <w:rsid w:val="29A071A9"/>
    <w:rsid w:val="29A814C5"/>
    <w:rsid w:val="29A904D6"/>
    <w:rsid w:val="29B9024C"/>
    <w:rsid w:val="29BC5A37"/>
    <w:rsid w:val="29D00BBE"/>
    <w:rsid w:val="29D34FAD"/>
    <w:rsid w:val="29DE6035"/>
    <w:rsid w:val="29E0151E"/>
    <w:rsid w:val="29E5333C"/>
    <w:rsid w:val="29ED66B9"/>
    <w:rsid w:val="29EE44E0"/>
    <w:rsid w:val="29FD77D4"/>
    <w:rsid w:val="29FF6D9B"/>
    <w:rsid w:val="2A045AFE"/>
    <w:rsid w:val="2A0A1487"/>
    <w:rsid w:val="2A0D54AD"/>
    <w:rsid w:val="2A1A0CEB"/>
    <w:rsid w:val="2A1D7677"/>
    <w:rsid w:val="2A2361E0"/>
    <w:rsid w:val="2A263200"/>
    <w:rsid w:val="2A27688E"/>
    <w:rsid w:val="2A2C2C75"/>
    <w:rsid w:val="2A2F0351"/>
    <w:rsid w:val="2A350ABA"/>
    <w:rsid w:val="2A3B6ACC"/>
    <w:rsid w:val="2A3D2D8C"/>
    <w:rsid w:val="2A43479E"/>
    <w:rsid w:val="2A4D51C1"/>
    <w:rsid w:val="2A5423D7"/>
    <w:rsid w:val="2A6110A7"/>
    <w:rsid w:val="2A73051F"/>
    <w:rsid w:val="2A856061"/>
    <w:rsid w:val="2A893625"/>
    <w:rsid w:val="2A8A609B"/>
    <w:rsid w:val="2A912EF5"/>
    <w:rsid w:val="2AAF30C4"/>
    <w:rsid w:val="2AB0164F"/>
    <w:rsid w:val="2AB17355"/>
    <w:rsid w:val="2ABB0DF3"/>
    <w:rsid w:val="2AC70190"/>
    <w:rsid w:val="2ACD779E"/>
    <w:rsid w:val="2ADB0919"/>
    <w:rsid w:val="2AF145C3"/>
    <w:rsid w:val="2AF42DFD"/>
    <w:rsid w:val="2AFD71FE"/>
    <w:rsid w:val="2B116592"/>
    <w:rsid w:val="2B31411A"/>
    <w:rsid w:val="2B547A22"/>
    <w:rsid w:val="2B55667F"/>
    <w:rsid w:val="2B6F6516"/>
    <w:rsid w:val="2B8B2D9D"/>
    <w:rsid w:val="2B8C6632"/>
    <w:rsid w:val="2B8D2005"/>
    <w:rsid w:val="2BA5776D"/>
    <w:rsid w:val="2BBD4024"/>
    <w:rsid w:val="2BBF4E40"/>
    <w:rsid w:val="2BD47DFD"/>
    <w:rsid w:val="2BDA751F"/>
    <w:rsid w:val="2BE152B9"/>
    <w:rsid w:val="2BEA443F"/>
    <w:rsid w:val="2BEB20E8"/>
    <w:rsid w:val="2C0637DD"/>
    <w:rsid w:val="2C082F54"/>
    <w:rsid w:val="2C1357B6"/>
    <w:rsid w:val="2C183B08"/>
    <w:rsid w:val="2C1A1476"/>
    <w:rsid w:val="2C224F4A"/>
    <w:rsid w:val="2C2864E6"/>
    <w:rsid w:val="2C2B420A"/>
    <w:rsid w:val="2C320D9F"/>
    <w:rsid w:val="2C385980"/>
    <w:rsid w:val="2C410F70"/>
    <w:rsid w:val="2C4A2ACB"/>
    <w:rsid w:val="2C5746C9"/>
    <w:rsid w:val="2C65562F"/>
    <w:rsid w:val="2C6C21CC"/>
    <w:rsid w:val="2C8352B4"/>
    <w:rsid w:val="2C896B08"/>
    <w:rsid w:val="2C8D5247"/>
    <w:rsid w:val="2C963FEB"/>
    <w:rsid w:val="2CA21670"/>
    <w:rsid w:val="2CA67F53"/>
    <w:rsid w:val="2CBB3369"/>
    <w:rsid w:val="2CBF5B79"/>
    <w:rsid w:val="2CD36631"/>
    <w:rsid w:val="2CD54DA9"/>
    <w:rsid w:val="2CD836F5"/>
    <w:rsid w:val="2CD94796"/>
    <w:rsid w:val="2CDF7AEC"/>
    <w:rsid w:val="2CE268D4"/>
    <w:rsid w:val="2CE629A3"/>
    <w:rsid w:val="2CE6307D"/>
    <w:rsid w:val="2CEC1227"/>
    <w:rsid w:val="2CFA6C00"/>
    <w:rsid w:val="2D021D22"/>
    <w:rsid w:val="2D095286"/>
    <w:rsid w:val="2D0D31CA"/>
    <w:rsid w:val="2D190E40"/>
    <w:rsid w:val="2D1C16A2"/>
    <w:rsid w:val="2D1E3E74"/>
    <w:rsid w:val="2D340FC7"/>
    <w:rsid w:val="2D3505E2"/>
    <w:rsid w:val="2D3532BC"/>
    <w:rsid w:val="2D37677A"/>
    <w:rsid w:val="2D386FD2"/>
    <w:rsid w:val="2D3D1758"/>
    <w:rsid w:val="2D4164B4"/>
    <w:rsid w:val="2D5D67C7"/>
    <w:rsid w:val="2D626812"/>
    <w:rsid w:val="2D697037"/>
    <w:rsid w:val="2D6B46F9"/>
    <w:rsid w:val="2D6C5586"/>
    <w:rsid w:val="2D727875"/>
    <w:rsid w:val="2D7B4BF1"/>
    <w:rsid w:val="2D851A28"/>
    <w:rsid w:val="2D8E1BC9"/>
    <w:rsid w:val="2D907BEE"/>
    <w:rsid w:val="2D9662AB"/>
    <w:rsid w:val="2D9D1F27"/>
    <w:rsid w:val="2DA12CCD"/>
    <w:rsid w:val="2DA524A9"/>
    <w:rsid w:val="2DAE7161"/>
    <w:rsid w:val="2DB04A93"/>
    <w:rsid w:val="2DB3404F"/>
    <w:rsid w:val="2DC710CF"/>
    <w:rsid w:val="2DD06EFD"/>
    <w:rsid w:val="2DD74EB8"/>
    <w:rsid w:val="2DE46DA0"/>
    <w:rsid w:val="2DE47FB4"/>
    <w:rsid w:val="2DED7CD8"/>
    <w:rsid w:val="2DF47EBE"/>
    <w:rsid w:val="2E096771"/>
    <w:rsid w:val="2E0A6052"/>
    <w:rsid w:val="2E0B0BCA"/>
    <w:rsid w:val="2E105BDC"/>
    <w:rsid w:val="2E350723"/>
    <w:rsid w:val="2E3A108B"/>
    <w:rsid w:val="2E545BBD"/>
    <w:rsid w:val="2E5A0138"/>
    <w:rsid w:val="2E5C3810"/>
    <w:rsid w:val="2E6245C7"/>
    <w:rsid w:val="2E633EB6"/>
    <w:rsid w:val="2E68639B"/>
    <w:rsid w:val="2E6A549C"/>
    <w:rsid w:val="2E731311"/>
    <w:rsid w:val="2E737315"/>
    <w:rsid w:val="2E793111"/>
    <w:rsid w:val="2E7F2B0A"/>
    <w:rsid w:val="2E832FE3"/>
    <w:rsid w:val="2E974C20"/>
    <w:rsid w:val="2E9E012E"/>
    <w:rsid w:val="2EA241A8"/>
    <w:rsid w:val="2EA617F9"/>
    <w:rsid w:val="2EA878B4"/>
    <w:rsid w:val="2EB06BAE"/>
    <w:rsid w:val="2EB239BF"/>
    <w:rsid w:val="2EBC0AD9"/>
    <w:rsid w:val="2ED72E29"/>
    <w:rsid w:val="2EDF7EBD"/>
    <w:rsid w:val="2EE32100"/>
    <w:rsid w:val="2EEA7478"/>
    <w:rsid w:val="2F2B6B37"/>
    <w:rsid w:val="2F2D4BFA"/>
    <w:rsid w:val="2F3445FD"/>
    <w:rsid w:val="2F3B1E2F"/>
    <w:rsid w:val="2F4A20E2"/>
    <w:rsid w:val="2F4B4F8C"/>
    <w:rsid w:val="2F5C1E65"/>
    <w:rsid w:val="2F725125"/>
    <w:rsid w:val="2F831153"/>
    <w:rsid w:val="2F8A5F05"/>
    <w:rsid w:val="2F8F5372"/>
    <w:rsid w:val="2F9224EE"/>
    <w:rsid w:val="2F95088F"/>
    <w:rsid w:val="2F9E5F1A"/>
    <w:rsid w:val="2FAF25AD"/>
    <w:rsid w:val="2FB026FE"/>
    <w:rsid w:val="2FB95680"/>
    <w:rsid w:val="2FC65E23"/>
    <w:rsid w:val="2FCC0CD9"/>
    <w:rsid w:val="2FD3451D"/>
    <w:rsid w:val="2FD716FC"/>
    <w:rsid w:val="2FE34C37"/>
    <w:rsid w:val="2FE7202C"/>
    <w:rsid w:val="2FE778C1"/>
    <w:rsid w:val="2FE97AAC"/>
    <w:rsid w:val="30044EC4"/>
    <w:rsid w:val="300F0BC6"/>
    <w:rsid w:val="30164017"/>
    <w:rsid w:val="30220725"/>
    <w:rsid w:val="302A5A00"/>
    <w:rsid w:val="303007C4"/>
    <w:rsid w:val="303F1F33"/>
    <w:rsid w:val="305507B7"/>
    <w:rsid w:val="30692369"/>
    <w:rsid w:val="307A2551"/>
    <w:rsid w:val="308E6E5A"/>
    <w:rsid w:val="3091782D"/>
    <w:rsid w:val="30A45AD9"/>
    <w:rsid w:val="30A57328"/>
    <w:rsid w:val="30AA0CCD"/>
    <w:rsid w:val="30AB5508"/>
    <w:rsid w:val="30AE2D02"/>
    <w:rsid w:val="30B95842"/>
    <w:rsid w:val="30BF6C07"/>
    <w:rsid w:val="30CD67C6"/>
    <w:rsid w:val="30E169AF"/>
    <w:rsid w:val="30E82EED"/>
    <w:rsid w:val="30EE26F1"/>
    <w:rsid w:val="30EE502A"/>
    <w:rsid w:val="30F502F1"/>
    <w:rsid w:val="30F960DF"/>
    <w:rsid w:val="310C54B7"/>
    <w:rsid w:val="31104BF6"/>
    <w:rsid w:val="311143C8"/>
    <w:rsid w:val="311B0C6F"/>
    <w:rsid w:val="312425DE"/>
    <w:rsid w:val="312469B7"/>
    <w:rsid w:val="31304AD0"/>
    <w:rsid w:val="313679B9"/>
    <w:rsid w:val="313B4EF9"/>
    <w:rsid w:val="313E6208"/>
    <w:rsid w:val="314825E1"/>
    <w:rsid w:val="314904C5"/>
    <w:rsid w:val="315157EB"/>
    <w:rsid w:val="31531228"/>
    <w:rsid w:val="3153318E"/>
    <w:rsid w:val="315C7D9C"/>
    <w:rsid w:val="316267D4"/>
    <w:rsid w:val="316D0B31"/>
    <w:rsid w:val="317613FF"/>
    <w:rsid w:val="31763D43"/>
    <w:rsid w:val="318B1904"/>
    <w:rsid w:val="31A16C2A"/>
    <w:rsid w:val="31A83080"/>
    <w:rsid w:val="31A85978"/>
    <w:rsid w:val="31A93C46"/>
    <w:rsid w:val="31AB71D2"/>
    <w:rsid w:val="31B02341"/>
    <w:rsid w:val="31BB28C8"/>
    <w:rsid w:val="31BE306F"/>
    <w:rsid w:val="31BE782D"/>
    <w:rsid w:val="31C362CB"/>
    <w:rsid w:val="31C36410"/>
    <w:rsid w:val="31CA6BDE"/>
    <w:rsid w:val="31CD1C13"/>
    <w:rsid w:val="31CE121E"/>
    <w:rsid w:val="31D1694B"/>
    <w:rsid w:val="31D274E6"/>
    <w:rsid w:val="31F6130E"/>
    <w:rsid w:val="320151E5"/>
    <w:rsid w:val="320E1B3B"/>
    <w:rsid w:val="32153495"/>
    <w:rsid w:val="322019D9"/>
    <w:rsid w:val="3220243A"/>
    <w:rsid w:val="322B2002"/>
    <w:rsid w:val="32362F74"/>
    <w:rsid w:val="32393EFC"/>
    <w:rsid w:val="323A6734"/>
    <w:rsid w:val="323E5F09"/>
    <w:rsid w:val="325C3658"/>
    <w:rsid w:val="325F0F0C"/>
    <w:rsid w:val="32620A38"/>
    <w:rsid w:val="32644486"/>
    <w:rsid w:val="326B722B"/>
    <w:rsid w:val="326E7E26"/>
    <w:rsid w:val="32711A3F"/>
    <w:rsid w:val="327422B7"/>
    <w:rsid w:val="32A61CB5"/>
    <w:rsid w:val="32AB7116"/>
    <w:rsid w:val="32B949EA"/>
    <w:rsid w:val="32CE7207"/>
    <w:rsid w:val="32D576FC"/>
    <w:rsid w:val="32DD302D"/>
    <w:rsid w:val="33003B24"/>
    <w:rsid w:val="3317670F"/>
    <w:rsid w:val="33196106"/>
    <w:rsid w:val="33294A23"/>
    <w:rsid w:val="332F054D"/>
    <w:rsid w:val="33484B1B"/>
    <w:rsid w:val="33516BCC"/>
    <w:rsid w:val="33546EAB"/>
    <w:rsid w:val="336A5E5A"/>
    <w:rsid w:val="33732B59"/>
    <w:rsid w:val="337A6C9E"/>
    <w:rsid w:val="337B485B"/>
    <w:rsid w:val="337B4F6B"/>
    <w:rsid w:val="3385067B"/>
    <w:rsid w:val="33883E73"/>
    <w:rsid w:val="339C186C"/>
    <w:rsid w:val="33A22127"/>
    <w:rsid w:val="33A54DD3"/>
    <w:rsid w:val="33A61A0B"/>
    <w:rsid w:val="33A94C8B"/>
    <w:rsid w:val="33B675FB"/>
    <w:rsid w:val="33B73C5F"/>
    <w:rsid w:val="33BB0051"/>
    <w:rsid w:val="33BE6B8B"/>
    <w:rsid w:val="33C344F1"/>
    <w:rsid w:val="33C537BE"/>
    <w:rsid w:val="33D67363"/>
    <w:rsid w:val="33D96789"/>
    <w:rsid w:val="33DC4725"/>
    <w:rsid w:val="33E47D26"/>
    <w:rsid w:val="33EF143A"/>
    <w:rsid w:val="33EF6B5D"/>
    <w:rsid w:val="33F672FE"/>
    <w:rsid w:val="33FD5312"/>
    <w:rsid w:val="340448F3"/>
    <w:rsid w:val="34081E5C"/>
    <w:rsid w:val="341822DF"/>
    <w:rsid w:val="341D7E95"/>
    <w:rsid w:val="341F1B5E"/>
    <w:rsid w:val="34241E5A"/>
    <w:rsid w:val="342B2748"/>
    <w:rsid w:val="34347613"/>
    <w:rsid w:val="34452E08"/>
    <w:rsid w:val="344545A1"/>
    <w:rsid w:val="344A2F2E"/>
    <w:rsid w:val="344F3B16"/>
    <w:rsid w:val="345B4FBF"/>
    <w:rsid w:val="345D0F0E"/>
    <w:rsid w:val="345F3CA4"/>
    <w:rsid w:val="34706D7C"/>
    <w:rsid w:val="34733E19"/>
    <w:rsid w:val="34752FBC"/>
    <w:rsid w:val="347E6B2A"/>
    <w:rsid w:val="34837301"/>
    <w:rsid w:val="349F0554"/>
    <w:rsid w:val="34A46257"/>
    <w:rsid w:val="34A74049"/>
    <w:rsid w:val="34A87C0A"/>
    <w:rsid w:val="34AC4266"/>
    <w:rsid w:val="34B91DCA"/>
    <w:rsid w:val="34BE1A18"/>
    <w:rsid w:val="34C043E7"/>
    <w:rsid w:val="34CD06DF"/>
    <w:rsid w:val="34D83B42"/>
    <w:rsid w:val="34D94A1A"/>
    <w:rsid w:val="34E631BA"/>
    <w:rsid w:val="34EA4FFE"/>
    <w:rsid w:val="34F14D3E"/>
    <w:rsid w:val="34FB6A94"/>
    <w:rsid w:val="35014893"/>
    <w:rsid w:val="350512F4"/>
    <w:rsid w:val="350A38BC"/>
    <w:rsid w:val="3527263D"/>
    <w:rsid w:val="352A7791"/>
    <w:rsid w:val="3535049D"/>
    <w:rsid w:val="35420BC9"/>
    <w:rsid w:val="35560223"/>
    <w:rsid w:val="35630C60"/>
    <w:rsid w:val="35635C3C"/>
    <w:rsid w:val="35640AA7"/>
    <w:rsid w:val="35652CAC"/>
    <w:rsid w:val="356A398D"/>
    <w:rsid w:val="356D0131"/>
    <w:rsid w:val="357144D1"/>
    <w:rsid w:val="358A4254"/>
    <w:rsid w:val="359965F5"/>
    <w:rsid w:val="359E50C8"/>
    <w:rsid w:val="35A54378"/>
    <w:rsid w:val="35A64B1C"/>
    <w:rsid w:val="35AE164C"/>
    <w:rsid w:val="35D3279F"/>
    <w:rsid w:val="35DA124F"/>
    <w:rsid w:val="35E069BF"/>
    <w:rsid w:val="35E20AB3"/>
    <w:rsid w:val="35E9447C"/>
    <w:rsid w:val="35ED0684"/>
    <w:rsid w:val="35F05FAF"/>
    <w:rsid w:val="35F2250C"/>
    <w:rsid w:val="35FA100E"/>
    <w:rsid w:val="35FB15AC"/>
    <w:rsid w:val="360D7BDD"/>
    <w:rsid w:val="361C5DEB"/>
    <w:rsid w:val="3625404A"/>
    <w:rsid w:val="36280C33"/>
    <w:rsid w:val="36336D24"/>
    <w:rsid w:val="36396041"/>
    <w:rsid w:val="36503EE1"/>
    <w:rsid w:val="365D08DD"/>
    <w:rsid w:val="36686302"/>
    <w:rsid w:val="366E6334"/>
    <w:rsid w:val="36782079"/>
    <w:rsid w:val="36794FEB"/>
    <w:rsid w:val="36836FBD"/>
    <w:rsid w:val="36886312"/>
    <w:rsid w:val="368B3923"/>
    <w:rsid w:val="368C551D"/>
    <w:rsid w:val="368E2129"/>
    <w:rsid w:val="369B0833"/>
    <w:rsid w:val="369F627B"/>
    <w:rsid w:val="36A2338A"/>
    <w:rsid w:val="36AF3A1C"/>
    <w:rsid w:val="36B74AF6"/>
    <w:rsid w:val="36BF5033"/>
    <w:rsid w:val="36C721FA"/>
    <w:rsid w:val="36CD705E"/>
    <w:rsid w:val="36E24857"/>
    <w:rsid w:val="36E52680"/>
    <w:rsid w:val="36EE7082"/>
    <w:rsid w:val="36F159EF"/>
    <w:rsid w:val="36FE2022"/>
    <w:rsid w:val="36FE3449"/>
    <w:rsid w:val="37021E57"/>
    <w:rsid w:val="37066F72"/>
    <w:rsid w:val="372143A0"/>
    <w:rsid w:val="372F673B"/>
    <w:rsid w:val="37323743"/>
    <w:rsid w:val="37400CBA"/>
    <w:rsid w:val="37441A9D"/>
    <w:rsid w:val="37463266"/>
    <w:rsid w:val="375765E9"/>
    <w:rsid w:val="376D1BAD"/>
    <w:rsid w:val="376F4827"/>
    <w:rsid w:val="37725E4D"/>
    <w:rsid w:val="377755F7"/>
    <w:rsid w:val="377E0A45"/>
    <w:rsid w:val="37803F47"/>
    <w:rsid w:val="37811EE8"/>
    <w:rsid w:val="3788047A"/>
    <w:rsid w:val="378A19C8"/>
    <w:rsid w:val="37A7676C"/>
    <w:rsid w:val="37B00DA3"/>
    <w:rsid w:val="37B248FD"/>
    <w:rsid w:val="37B652C5"/>
    <w:rsid w:val="37BD5690"/>
    <w:rsid w:val="37C04216"/>
    <w:rsid w:val="37CD313B"/>
    <w:rsid w:val="37D0695D"/>
    <w:rsid w:val="37DC7F27"/>
    <w:rsid w:val="37DD401F"/>
    <w:rsid w:val="37E04929"/>
    <w:rsid w:val="37E7443D"/>
    <w:rsid w:val="37EF6B42"/>
    <w:rsid w:val="37F05F5D"/>
    <w:rsid w:val="38020479"/>
    <w:rsid w:val="38054756"/>
    <w:rsid w:val="380A00D2"/>
    <w:rsid w:val="381924EE"/>
    <w:rsid w:val="381C1A3A"/>
    <w:rsid w:val="38227535"/>
    <w:rsid w:val="38286350"/>
    <w:rsid w:val="38341F26"/>
    <w:rsid w:val="3842422E"/>
    <w:rsid w:val="3847186B"/>
    <w:rsid w:val="384757A3"/>
    <w:rsid w:val="384A061D"/>
    <w:rsid w:val="38551131"/>
    <w:rsid w:val="38585BFD"/>
    <w:rsid w:val="385C64F0"/>
    <w:rsid w:val="38622165"/>
    <w:rsid w:val="386776ED"/>
    <w:rsid w:val="387424F8"/>
    <w:rsid w:val="38760DB8"/>
    <w:rsid w:val="387741B4"/>
    <w:rsid w:val="387A0C66"/>
    <w:rsid w:val="38860D43"/>
    <w:rsid w:val="38896326"/>
    <w:rsid w:val="3894652D"/>
    <w:rsid w:val="389D11B1"/>
    <w:rsid w:val="38AB241F"/>
    <w:rsid w:val="38BB64B8"/>
    <w:rsid w:val="38BD6FDF"/>
    <w:rsid w:val="38C62509"/>
    <w:rsid w:val="38CA1EE3"/>
    <w:rsid w:val="38D44D2C"/>
    <w:rsid w:val="38DB2244"/>
    <w:rsid w:val="38DB7B5F"/>
    <w:rsid w:val="38E27F47"/>
    <w:rsid w:val="38E602B6"/>
    <w:rsid w:val="39042924"/>
    <w:rsid w:val="390800ED"/>
    <w:rsid w:val="391725C0"/>
    <w:rsid w:val="391D7C06"/>
    <w:rsid w:val="3925374E"/>
    <w:rsid w:val="392628AE"/>
    <w:rsid w:val="3928085A"/>
    <w:rsid w:val="39363667"/>
    <w:rsid w:val="393711C9"/>
    <w:rsid w:val="394B5951"/>
    <w:rsid w:val="3952255A"/>
    <w:rsid w:val="395C1022"/>
    <w:rsid w:val="39750C67"/>
    <w:rsid w:val="397A53E5"/>
    <w:rsid w:val="397C68E0"/>
    <w:rsid w:val="397F50D8"/>
    <w:rsid w:val="39811069"/>
    <w:rsid w:val="399D108F"/>
    <w:rsid w:val="399E272A"/>
    <w:rsid w:val="39A26FC3"/>
    <w:rsid w:val="39A71E38"/>
    <w:rsid w:val="39A9148A"/>
    <w:rsid w:val="39AA5865"/>
    <w:rsid w:val="39AC73FC"/>
    <w:rsid w:val="39AE0D81"/>
    <w:rsid w:val="39B626AB"/>
    <w:rsid w:val="39D55FF8"/>
    <w:rsid w:val="39D649E4"/>
    <w:rsid w:val="39F70DCD"/>
    <w:rsid w:val="39F84C79"/>
    <w:rsid w:val="3A2936C0"/>
    <w:rsid w:val="3A2E56C3"/>
    <w:rsid w:val="3A377697"/>
    <w:rsid w:val="3A3D49B0"/>
    <w:rsid w:val="3A3F2B67"/>
    <w:rsid w:val="3A4B50C2"/>
    <w:rsid w:val="3A4B6265"/>
    <w:rsid w:val="3A507E77"/>
    <w:rsid w:val="3A555D6F"/>
    <w:rsid w:val="3A616EB5"/>
    <w:rsid w:val="3A692B81"/>
    <w:rsid w:val="3A7F0D54"/>
    <w:rsid w:val="3A837C10"/>
    <w:rsid w:val="3A8446A7"/>
    <w:rsid w:val="3A8A70C9"/>
    <w:rsid w:val="3A8D6CA0"/>
    <w:rsid w:val="3A8F0928"/>
    <w:rsid w:val="3A914737"/>
    <w:rsid w:val="3AA34199"/>
    <w:rsid w:val="3AB7512D"/>
    <w:rsid w:val="3ABA3BFA"/>
    <w:rsid w:val="3ABE537A"/>
    <w:rsid w:val="3AC258E1"/>
    <w:rsid w:val="3AD52B8D"/>
    <w:rsid w:val="3AD763D7"/>
    <w:rsid w:val="3AE50EA1"/>
    <w:rsid w:val="3AE72E6B"/>
    <w:rsid w:val="3AE779DF"/>
    <w:rsid w:val="3AE8273F"/>
    <w:rsid w:val="3AEE244B"/>
    <w:rsid w:val="3AF42518"/>
    <w:rsid w:val="3B022B39"/>
    <w:rsid w:val="3B0F4170"/>
    <w:rsid w:val="3B20692C"/>
    <w:rsid w:val="3B227CC5"/>
    <w:rsid w:val="3B283A0F"/>
    <w:rsid w:val="3B345F96"/>
    <w:rsid w:val="3B3F5D44"/>
    <w:rsid w:val="3B53158F"/>
    <w:rsid w:val="3B595FBE"/>
    <w:rsid w:val="3B637ABB"/>
    <w:rsid w:val="3B664451"/>
    <w:rsid w:val="3B717453"/>
    <w:rsid w:val="3B763A7E"/>
    <w:rsid w:val="3B7C2027"/>
    <w:rsid w:val="3B7D1AC6"/>
    <w:rsid w:val="3B802CBB"/>
    <w:rsid w:val="3B8D2B84"/>
    <w:rsid w:val="3B917DA8"/>
    <w:rsid w:val="3B960214"/>
    <w:rsid w:val="3BA06BE5"/>
    <w:rsid w:val="3BA81FCB"/>
    <w:rsid w:val="3BB055C2"/>
    <w:rsid w:val="3BB836DA"/>
    <w:rsid w:val="3BBA665E"/>
    <w:rsid w:val="3BBA7883"/>
    <w:rsid w:val="3BBE4987"/>
    <w:rsid w:val="3BC12100"/>
    <w:rsid w:val="3BCB2D49"/>
    <w:rsid w:val="3BCB7E35"/>
    <w:rsid w:val="3BCF04E4"/>
    <w:rsid w:val="3BD01304"/>
    <w:rsid w:val="3BDC202D"/>
    <w:rsid w:val="3BE43074"/>
    <w:rsid w:val="3C05042D"/>
    <w:rsid w:val="3C2553AA"/>
    <w:rsid w:val="3C280866"/>
    <w:rsid w:val="3C3354D2"/>
    <w:rsid w:val="3C3632D4"/>
    <w:rsid w:val="3C387660"/>
    <w:rsid w:val="3C394A07"/>
    <w:rsid w:val="3C4F3844"/>
    <w:rsid w:val="3C5B3DD1"/>
    <w:rsid w:val="3C5C1C3E"/>
    <w:rsid w:val="3C5C1EF1"/>
    <w:rsid w:val="3C5D0868"/>
    <w:rsid w:val="3C615E1C"/>
    <w:rsid w:val="3C6D0F69"/>
    <w:rsid w:val="3C753B5A"/>
    <w:rsid w:val="3C7B3474"/>
    <w:rsid w:val="3C7E77FF"/>
    <w:rsid w:val="3C7F1FC2"/>
    <w:rsid w:val="3CA54D8C"/>
    <w:rsid w:val="3CAF7102"/>
    <w:rsid w:val="3CB06634"/>
    <w:rsid w:val="3CB8456A"/>
    <w:rsid w:val="3CB87395"/>
    <w:rsid w:val="3CD2211B"/>
    <w:rsid w:val="3CD22D9E"/>
    <w:rsid w:val="3CD44909"/>
    <w:rsid w:val="3CD84854"/>
    <w:rsid w:val="3CDA071A"/>
    <w:rsid w:val="3CE053C2"/>
    <w:rsid w:val="3CE23269"/>
    <w:rsid w:val="3CE834E9"/>
    <w:rsid w:val="3CF05A1E"/>
    <w:rsid w:val="3CF7064B"/>
    <w:rsid w:val="3CFA4BFF"/>
    <w:rsid w:val="3CFF03D0"/>
    <w:rsid w:val="3D007631"/>
    <w:rsid w:val="3D01076F"/>
    <w:rsid w:val="3D062B25"/>
    <w:rsid w:val="3D0B0988"/>
    <w:rsid w:val="3D0F6B9A"/>
    <w:rsid w:val="3D170F8C"/>
    <w:rsid w:val="3D2C5F0E"/>
    <w:rsid w:val="3D2D2171"/>
    <w:rsid w:val="3D37326B"/>
    <w:rsid w:val="3D3E0A5C"/>
    <w:rsid w:val="3D424389"/>
    <w:rsid w:val="3D446166"/>
    <w:rsid w:val="3D4B38E8"/>
    <w:rsid w:val="3D4C66BF"/>
    <w:rsid w:val="3D581A9C"/>
    <w:rsid w:val="3D5B3220"/>
    <w:rsid w:val="3D731F63"/>
    <w:rsid w:val="3D75246B"/>
    <w:rsid w:val="3D7549B1"/>
    <w:rsid w:val="3D7C3183"/>
    <w:rsid w:val="3D857994"/>
    <w:rsid w:val="3DB472E2"/>
    <w:rsid w:val="3DC60A63"/>
    <w:rsid w:val="3DCA5152"/>
    <w:rsid w:val="3DDF6088"/>
    <w:rsid w:val="3DE9790D"/>
    <w:rsid w:val="3DFC4E7F"/>
    <w:rsid w:val="3E0E767B"/>
    <w:rsid w:val="3E12266C"/>
    <w:rsid w:val="3E132A9A"/>
    <w:rsid w:val="3E24274D"/>
    <w:rsid w:val="3E2F563B"/>
    <w:rsid w:val="3E383483"/>
    <w:rsid w:val="3E3E7D51"/>
    <w:rsid w:val="3E5A3553"/>
    <w:rsid w:val="3E670347"/>
    <w:rsid w:val="3E742840"/>
    <w:rsid w:val="3E7429B9"/>
    <w:rsid w:val="3E7E3AE6"/>
    <w:rsid w:val="3E821FF6"/>
    <w:rsid w:val="3E8D6BB6"/>
    <w:rsid w:val="3E8F6E78"/>
    <w:rsid w:val="3EA71F0F"/>
    <w:rsid w:val="3EA902F1"/>
    <w:rsid w:val="3EBC7034"/>
    <w:rsid w:val="3EDA230E"/>
    <w:rsid w:val="3EDD3236"/>
    <w:rsid w:val="3EE12796"/>
    <w:rsid w:val="3EE24A87"/>
    <w:rsid w:val="3EF7362B"/>
    <w:rsid w:val="3EFD2E19"/>
    <w:rsid w:val="3EFE771A"/>
    <w:rsid w:val="3F024488"/>
    <w:rsid w:val="3F067638"/>
    <w:rsid w:val="3F122481"/>
    <w:rsid w:val="3F177461"/>
    <w:rsid w:val="3F210EC9"/>
    <w:rsid w:val="3F2A1578"/>
    <w:rsid w:val="3F375CD3"/>
    <w:rsid w:val="3F4B3D5C"/>
    <w:rsid w:val="3F5901D1"/>
    <w:rsid w:val="3F5F2882"/>
    <w:rsid w:val="3F686AB3"/>
    <w:rsid w:val="3F703C49"/>
    <w:rsid w:val="3F7F2379"/>
    <w:rsid w:val="3F8143AF"/>
    <w:rsid w:val="3F831B9E"/>
    <w:rsid w:val="3F8C2E47"/>
    <w:rsid w:val="3F950288"/>
    <w:rsid w:val="3F9C135A"/>
    <w:rsid w:val="3F9F1808"/>
    <w:rsid w:val="3FB5717E"/>
    <w:rsid w:val="3FB776A9"/>
    <w:rsid w:val="3FBD4D3E"/>
    <w:rsid w:val="3FC43688"/>
    <w:rsid w:val="3FC5143E"/>
    <w:rsid w:val="3FC769F9"/>
    <w:rsid w:val="3FD70D8F"/>
    <w:rsid w:val="3FD72D51"/>
    <w:rsid w:val="3FD84D6B"/>
    <w:rsid w:val="3FDB2873"/>
    <w:rsid w:val="3FE62B42"/>
    <w:rsid w:val="3FE8668B"/>
    <w:rsid w:val="3FF17580"/>
    <w:rsid w:val="3FF97B90"/>
    <w:rsid w:val="400861F5"/>
    <w:rsid w:val="40156BD0"/>
    <w:rsid w:val="40182238"/>
    <w:rsid w:val="401A783F"/>
    <w:rsid w:val="402970A9"/>
    <w:rsid w:val="40376E8B"/>
    <w:rsid w:val="403A2025"/>
    <w:rsid w:val="403F65EA"/>
    <w:rsid w:val="404048CB"/>
    <w:rsid w:val="40442E5C"/>
    <w:rsid w:val="40475334"/>
    <w:rsid w:val="40521DF3"/>
    <w:rsid w:val="40700C9B"/>
    <w:rsid w:val="407C14A7"/>
    <w:rsid w:val="407F19EA"/>
    <w:rsid w:val="4085718A"/>
    <w:rsid w:val="409D0293"/>
    <w:rsid w:val="40A43286"/>
    <w:rsid w:val="40AA575C"/>
    <w:rsid w:val="40AB23C9"/>
    <w:rsid w:val="40AE2BD0"/>
    <w:rsid w:val="40B30B18"/>
    <w:rsid w:val="40BB4E1B"/>
    <w:rsid w:val="40BF22CB"/>
    <w:rsid w:val="40C00455"/>
    <w:rsid w:val="40C034E9"/>
    <w:rsid w:val="40E8106F"/>
    <w:rsid w:val="40F05854"/>
    <w:rsid w:val="40F534E0"/>
    <w:rsid w:val="40FD16DC"/>
    <w:rsid w:val="410C785F"/>
    <w:rsid w:val="41143BFC"/>
    <w:rsid w:val="411519BE"/>
    <w:rsid w:val="41175560"/>
    <w:rsid w:val="411E5643"/>
    <w:rsid w:val="412532AA"/>
    <w:rsid w:val="412546ED"/>
    <w:rsid w:val="413D4A79"/>
    <w:rsid w:val="41465FC8"/>
    <w:rsid w:val="41585B81"/>
    <w:rsid w:val="415A0ADF"/>
    <w:rsid w:val="416B3891"/>
    <w:rsid w:val="416D071C"/>
    <w:rsid w:val="417168E5"/>
    <w:rsid w:val="41720FB5"/>
    <w:rsid w:val="41731CFD"/>
    <w:rsid w:val="417D6B2C"/>
    <w:rsid w:val="417E53B0"/>
    <w:rsid w:val="417E7959"/>
    <w:rsid w:val="418812BB"/>
    <w:rsid w:val="418B17F4"/>
    <w:rsid w:val="41947B50"/>
    <w:rsid w:val="41967399"/>
    <w:rsid w:val="41B345FC"/>
    <w:rsid w:val="41B44562"/>
    <w:rsid w:val="41B765CE"/>
    <w:rsid w:val="41BA28B0"/>
    <w:rsid w:val="41C41905"/>
    <w:rsid w:val="41D02D0F"/>
    <w:rsid w:val="41DF7674"/>
    <w:rsid w:val="41F714FD"/>
    <w:rsid w:val="41FB2ED3"/>
    <w:rsid w:val="42042357"/>
    <w:rsid w:val="42051D01"/>
    <w:rsid w:val="420F21FF"/>
    <w:rsid w:val="42146B7B"/>
    <w:rsid w:val="424D2C32"/>
    <w:rsid w:val="425119CD"/>
    <w:rsid w:val="42513575"/>
    <w:rsid w:val="426041E0"/>
    <w:rsid w:val="426F4876"/>
    <w:rsid w:val="42707BEA"/>
    <w:rsid w:val="42723582"/>
    <w:rsid w:val="4272683B"/>
    <w:rsid w:val="42732F75"/>
    <w:rsid w:val="427A2EE8"/>
    <w:rsid w:val="428A54DF"/>
    <w:rsid w:val="42903DE8"/>
    <w:rsid w:val="4294373D"/>
    <w:rsid w:val="42946A25"/>
    <w:rsid w:val="42962121"/>
    <w:rsid w:val="42A77076"/>
    <w:rsid w:val="42AC4BD4"/>
    <w:rsid w:val="42B21372"/>
    <w:rsid w:val="42BC2E2F"/>
    <w:rsid w:val="42BD5934"/>
    <w:rsid w:val="42C23F47"/>
    <w:rsid w:val="42D812EB"/>
    <w:rsid w:val="42FC322C"/>
    <w:rsid w:val="431B423D"/>
    <w:rsid w:val="431B4361"/>
    <w:rsid w:val="431D6275"/>
    <w:rsid w:val="43217641"/>
    <w:rsid w:val="432664FB"/>
    <w:rsid w:val="43384A06"/>
    <w:rsid w:val="43395A3D"/>
    <w:rsid w:val="43397D15"/>
    <w:rsid w:val="433F3CCC"/>
    <w:rsid w:val="435D368B"/>
    <w:rsid w:val="43894E7F"/>
    <w:rsid w:val="438F417D"/>
    <w:rsid w:val="43962707"/>
    <w:rsid w:val="439D36C6"/>
    <w:rsid w:val="43A65359"/>
    <w:rsid w:val="43A710EC"/>
    <w:rsid w:val="43BD52A4"/>
    <w:rsid w:val="43C05D59"/>
    <w:rsid w:val="43DA01EC"/>
    <w:rsid w:val="43E07A6C"/>
    <w:rsid w:val="43EE4E30"/>
    <w:rsid w:val="43F74887"/>
    <w:rsid w:val="43FE65C5"/>
    <w:rsid w:val="44002D59"/>
    <w:rsid w:val="44147A4E"/>
    <w:rsid w:val="4427252A"/>
    <w:rsid w:val="444035EC"/>
    <w:rsid w:val="444875B7"/>
    <w:rsid w:val="44627D24"/>
    <w:rsid w:val="446A76C8"/>
    <w:rsid w:val="448A7E5A"/>
    <w:rsid w:val="448B0D0B"/>
    <w:rsid w:val="44966E95"/>
    <w:rsid w:val="449A49DE"/>
    <w:rsid w:val="449E617E"/>
    <w:rsid w:val="449F4A43"/>
    <w:rsid w:val="44A12CDA"/>
    <w:rsid w:val="44B406F7"/>
    <w:rsid w:val="44B44CFB"/>
    <w:rsid w:val="44B55CBA"/>
    <w:rsid w:val="44C126F2"/>
    <w:rsid w:val="44C706ED"/>
    <w:rsid w:val="44CB075D"/>
    <w:rsid w:val="44CF0E93"/>
    <w:rsid w:val="44D101A3"/>
    <w:rsid w:val="44D8211A"/>
    <w:rsid w:val="44E00363"/>
    <w:rsid w:val="44E11D12"/>
    <w:rsid w:val="44E14CC6"/>
    <w:rsid w:val="44E74D70"/>
    <w:rsid w:val="45101210"/>
    <w:rsid w:val="451134DD"/>
    <w:rsid w:val="451C1963"/>
    <w:rsid w:val="45263CFA"/>
    <w:rsid w:val="452D3499"/>
    <w:rsid w:val="45322F35"/>
    <w:rsid w:val="45476FB4"/>
    <w:rsid w:val="454E63B1"/>
    <w:rsid w:val="455052A5"/>
    <w:rsid w:val="455723CE"/>
    <w:rsid w:val="456B6447"/>
    <w:rsid w:val="457A5299"/>
    <w:rsid w:val="457A56BB"/>
    <w:rsid w:val="457C411B"/>
    <w:rsid w:val="458D6DD8"/>
    <w:rsid w:val="459109F4"/>
    <w:rsid w:val="45926AB8"/>
    <w:rsid w:val="45A155EC"/>
    <w:rsid w:val="45AF435A"/>
    <w:rsid w:val="45B62896"/>
    <w:rsid w:val="45BC20BA"/>
    <w:rsid w:val="45BD1FBC"/>
    <w:rsid w:val="45C72681"/>
    <w:rsid w:val="45C951A4"/>
    <w:rsid w:val="45CB5808"/>
    <w:rsid w:val="45CF147C"/>
    <w:rsid w:val="45DE6F05"/>
    <w:rsid w:val="45E73B78"/>
    <w:rsid w:val="45FF275A"/>
    <w:rsid w:val="46032698"/>
    <w:rsid w:val="46066099"/>
    <w:rsid w:val="460C1B2C"/>
    <w:rsid w:val="460F46A4"/>
    <w:rsid w:val="4618037D"/>
    <w:rsid w:val="46225F8A"/>
    <w:rsid w:val="46243831"/>
    <w:rsid w:val="46265402"/>
    <w:rsid w:val="46271527"/>
    <w:rsid w:val="462B53C0"/>
    <w:rsid w:val="463C6DC2"/>
    <w:rsid w:val="46424D8A"/>
    <w:rsid w:val="464C185A"/>
    <w:rsid w:val="464C44CA"/>
    <w:rsid w:val="464C6924"/>
    <w:rsid w:val="46521E10"/>
    <w:rsid w:val="465E36F9"/>
    <w:rsid w:val="466B6068"/>
    <w:rsid w:val="46713F31"/>
    <w:rsid w:val="467632F5"/>
    <w:rsid w:val="46790CB6"/>
    <w:rsid w:val="468F05A2"/>
    <w:rsid w:val="468F7004"/>
    <w:rsid w:val="46903A50"/>
    <w:rsid w:val="469D2F78"/>
    <w:rsid w:val="46A06731"/>
    <w:rsid w:val="46A36F52"/>
    <w:rsid w:val="46AE13E2"/>
    <w:rsid w:val="46B74038"/>
    <w:rsid w:val="46BB24AD"/>
    <w:rsid w:val="46D05285"/>
    <w:rsid w:val="46DD558A"/>
    <w:rsid w:val="46EC35B7"/>
    <w:rsid w:val="46F81F5C"/>
    <w:rsid w:val="470658E5"/>
    <w:rsid w:val="4710374A"/>
    <w:rsid w:val="4719426E"/>
    <w:rsid w:val="47267C30"/>
    <w:rsid w:val="472D2E17"/>
    <w:rsid w:val="47320D92"/>
    <w:rsid w:val="473B747B"/>
    <w:rsid w:val="47444C90"/>
    <w:rsid w:val="4751797E"/>
    <w:rsid w:val="47547272"/>
    <w:rsid w:val="475874F1"/>
    <w:rsid w:val="47593520"/>
    <w:rsid w:val="4760161A"/>
    <w:rsid w:val="476426E8"/>
    <w:rsid w:val="477015B5"/>
    <w:rsid w:val="47712DC1"/>
    <w:rsid w:val="47726B9D"/>
    <w:rsid w:val="477A6FFF"/>
    <w:rsid w:val="477B47A8"/>
    <w:rsid w:val="47923451"/>
    <w:rsid w:val="47A11F37"/>
    <w:rsid w:val="47A245D0"/>
    <w:rsid w:val="47AA14A8"/>
    <w:rsid w:val="47AE6B40"/>
    <w:rsid w:val="47AF5C82"/>
    <w:rsid w:val="47B20776"/>
    <w:rsid w:val="47CA38F8"/>
    <w:rsid w:val="47CF01F6"/>
    <w:rsid w:val="47D311AC"/>
    <w:rsid w:val="47DB641F"/>
    <w:rsid w:val="47DF42E7"/>
    <w:rsid w:val="47EA2A0F"/>
    <w:rsid w:val="47EC6BDD"/>
    <w:rsid w:val="47F44E19"/>
    <w:rsid w:val="4800411F"/>
    <w:rsid w:val="4812688A"/>
    <w:rsid w:val="481373DE"/>
    <w:rsid w:val="481E4B78"/>
    <w:rsid w:val="48242C98"/>
    <w:rsid w:val="483F0CB0"/>
    <w:rsid w:val="48442155"/>
    <w:rsid w:val="48484C47"/>
    <w:rsid w:val="48636DA4"/>
    <w:rsid w:val="48652F19"/>
    <w:rsid w:val="48721084"/>
    <w:rsid w:val="48862A01"/>
    <w:rsid w:val="489D1D0E"/>
    <w:rsid w:val="489E1AD2"/>
    <w:rsid w:val="48AA1C07"/>
    <w:rsid w:val="48AB0DF1"/>
    <w:rsid w:val="48AE76E2"/>
    <w:rsid w:val="48B95ABB"/>
    <w:rsid w:val="48C84331"/>
    <w:rsid w:val="48DC0900"/>
    <w:rsid w:val="48DF0E6B"/>
    <w:rsid w:val="48EA5F1D"/>
    <w:rsid w:val="48ED73F7"/>
    <w:rsid w:val="48F21359"/>
    <w:rsid w:val="48F43409"/>
    <w:rsid w:val="48F46B43"/>
    <w:rsid w:val="490270C2"/>
    <w:rsid w:val="49094029"/>
    <w:rsid w:val="491A2D45"/>
    <w:rsid w:val="492B3C7D"/>
    <w:rsid w:val="49303386"/>
    <w:rsid w:val="49332C49"/>
    <w:rsid w:val="493A0BE5"/>
    <w:rsid w:val="493F3F4B"/>
    <w:rsid w:val="49406CE1"/>
    <w:rsid w:val="494309BD"/>
    <w:rsid w:val="4943370E"/>
    <w:rsid w:val="494D617D"/>
    <w:rsid w:val="49506D18"/>
    <w:rsid w:val="495B0C45"/>
    <w:rsid w:val="495B7C31"/>
    <w:rsid w:val="495F6BCD"/>
    <w:rsid w:val="496170E9"/>
    <w:rsid w:val="496A7223"/>
    <w:rsid w:val="496B22E2"/>
    <w:rsid w:val="49766154"/>
    <w:rsid w:val="4983410B"/>
    <w:rsid w:val="498367B9"/>
    <w:rsid w:val="49872D70"/>
    <w:rsid w:val="4989655A"/>
    <w:rsid w:val="498E392B"/>
    <w:rsid w:val="499464FC"/>
    <w:rsid w:val="49964DCA"/>
    <w:rsid w:val="499722DD"/>
    <w:rsid w:val="49997A26"/>
    <w:rsid w:val="499C4175"/>
    <w:rsid w:val="499D1F90"/>
    <w:rsid w:val="49A27AC6"/>
    <w:rsid w:val="49A54771"/>
    <w:rsid w:val="49AA1C33"/>
    <w:rsid w:val="49B55197"/>
    <w:rsid w:val="49C17428"/>
    <w:rsid w:val="49C918F6"/>
    <w:rsid w:val="49D826C1"/>
    <w:rsid w:val="49E41780"/>
    <w:rsid w:val="49F829C1"/>
    <w:rsid w:val="49FD1143"/>
    <w:rsid w:val="4A070E34"/>
    <w:rsid w:val="4A0B01F8"/>
    <w:rsid w:val="4A154D6E"/>
    <w:rsid w:val="4A1A00BE"/>
    <w:rsid w:val="4A1B0D47"/>
    <w:rsid w:val="4A215A8B"/>
    <w:rsid w:val="4A266DE0"/>
    <w:rsid w:val="4A282225"/>
    <w:rsid w:val="4A3C40DE"/>
    <w:rsid w:val="4A3C5740"/>
    <w:rsid w:val="4A4A0D21"/>
    <w:rsid w:val="4A4C20AA"/>
    <w:rsid w:val="4A527036"/>
    <w:rsid w:val="4A533A5F"/>
    <w:rsid w:val="4A65441F"/>
    <w:rsid w:val="4A702D6F"/>
    <w:rsid w:val="4A754080"/>
    <w:rsid w:val="4A7C6152"/>
    <w:rsid w:val="4A7D158E"/>
    <w:rsid w:val="4A7F31EA"/>
    <w:rsid w:val="4A8677E5"/>
    <w:rsid w:val="4A8B7CD1"/>
    <w:rsid w:val="4A8E392E"/>
    <w:rsid w:val="4A9549CB"/>
    <w:rsid w:val="4A9C1CA2"/>
    <w:rsid w:val="4AAF5525"/>
    <w:rsid w:val="4AB51B19"/>
    <w:rsid w:val="4AB73080"/>
    <w:rsid w:val="4AB80380"/>
    <w:rsid w:val="4AC235FD"/>
    <w:rsid w:val="4AD15864"/>
    <w:rsid w:val="4AD16527"/>
    <w:rsid w:val="4AD84510"/>
    <w:rsid w:val="4AEE376E"/>
    <w:rsid w:val="4AEF6D40"/>
    <w:rsid w:val="4AF83C73"/>
    <w:rsid w:val="4B030D39"/>
    <w:rsid w:val="4B1E32A9"/>
    <w:rsid w:val="4B47309E"/>
    <w:rsid w:val="4B4B2546"/>
    <w:rsid w:val="4B555488"/>
    <w:rsid w:val="4B5B4729"/>
    <w:rsid w:val="4B5C6083"/>
    <w:rsid w:val="4B5E3F0F"/>
    <w:rsid w:val="4B63027D"/>
    <w:rsid w:val="4B645E12"/>
    <w:rsid w:val="4B6E0A3F"/>
    <w:rsid w:val="4B6F5722"/>
    <w:rsid w:val="4B7122DD"/>
    <w:rsid w:val="4B732C63"/>
    <w:rsid w:val="4B78366B"/>
    <w:rsid w:val="4B8E00A4"/>
    <w:rsid w:val="4BA426B2"/>
    <w:rsid w:val="4BA47BE0"/>
    <w:rsid w:val="4BC23E1F"/>
    <w:rsid w:val="4BCB75FA"/>
    <w:rsid w:val="4BD6757B"/>
    <w:rsid w:val="4BE13E60"/>
    <w:rsid w:val="4BEC36ED"/>
    <w:rsid w:val="4BF07D8C"/>
    <w:rsid w:val="4BF45471"/>
    <w:rsid w:val="4BF90C8A"/>
    <w:rsid w:val="4BFA7DD8"/>
    <w:rsid w:val="4C0759BC"/>
    <w:rsid w:val="4C147838"/>
    <w:rsid w:val="4C1E1EBF"/>
    <w:rsid w:val="4C2861D1"/>
    <w:rsid w:val="4C443C1D"/>
    <w:rsid w:val="4C4579F1"/>
    <w:rsid w:val="4C461C95"/>
    <w:rsid w:val="4C5550A0"/>
    <w:rsid w:val="4C573346"/>
    <w:rsid w:val="4C5F0117"/>
    <w:rsid w:val="4C621863"/>
    <w:rsid w:val="4C680AAA"/>
    <w:rsid w:val="4C74619A"/>
    <w:rsid w:val="4C784F99"/>
    <w:rsid w:val="4C853ECF"/>
    <w:rsid w:val="4C8873A0"/>
    <w:rsid w:val="4C920781"/>
    <w:rsid w:val="4C9A4936"/>
    <w:rsid w:val="4C9B13D5"/>
    <w:rsid w:val="4C9D7D81"/>
    <w:rsid w:val="4CB77719"/>
    <w:rsid w:val="4CB84539"/>
    <w:rsid w:val="4CBB6E45"/>
    <w:rsid w:val="4CBF1C5B"/>
    <w:rsid w:val="4CC47943"/>
    <w:rsid w:val="4CD5093F"/>
    <w:rsid w:val="4CED7717"/>
    <w:rsid w:val="4CF024AC"/>
    <w:rsid w:val="4CF03E01"/>
    <w:rsid w:val="4CF655AF"/>
    <w:rsid w:val="4CFB1DA6"/>
    <w:rsid w:val="4D041A53"/>
    <w:rsid w:val="4D0C2DF2"/>
    <w:rsid w:val="4D1331BE"/>
    <w:rsid w:val="4D1B6FC2"/>
    <w:rsid w:val="4D254CB7"/>
    <w:rsid w:val="4D291E66"/>
    <w:rsid w:val="4D297472"/>
    <w:rsid w:val="4D2D4A55"/>
    <w:rsid w:val="4D323FCE"/>
    <w:rsid w:val="4D4B7022"/>
    <w:rsid w:val="4D645352"/>
    <w:rsid w:val="4D6B16DA"/>
    <w:rsid w:val="4D6F1B11"/>
    <w:rsid w:val="4D8A5169"/>
    <w:rsid w:val="4D901140"/>
    <w:rsid w:val="4D91452C"/>
    <w:rsid w:val="4D916C1D"/>
    <w:rsid w:val="4D9605C1"/>
    <w:rsid w:val="4DA53F28"/>
    <w:rsid w:val="4DA67EC1"/>
    <w:rsid w:val="4DAB31F4"/>
    <w:rsid w:val="4DAE0862"/>
    <w:rsid w:val="4DB36F88"/>
    <w:rsid w:val="4DC67ECC"/>
    <w:rsid w:val="4DC94A5D"/>
    <w:rsid w:val="4DCB23DC"/>
    <w:rsid w:val="4DD12FC8"/>
    <w:rsid w:val="4DDF01A5"/>
    <w:rsid w:val="4DE4323A"/>
    <w:rsid w:val="4DEB1BDC"/>
    <w:rsid w:val="4DEE6881"/>
    <w:rsid w:val="4DF9798F"/>
    <w:rsid w:val="4E08517B"/>
    <w:rsid w:val="4E0A1298"/>
    <w:rsid w:val="4E0E47B1"/>
    <w:rsid w:val="4E1548BB"/>
    <w:rsid w:val="4E1952D9"/>
    <w:rsid w:val="4E2435B5"/>
    <w:rsid w:val="4E2519CB"/>
    <w:rsid w:val="4E265601"/>
    <w:rsid w:val="4E3B3BEE"/>
    <w:rsid w:val="4E3F0E77"/>
    <w:rsid w:val="4E444AD8"/>
    <w:rsid w:val="4E4752CB"/>
    <w:rsid w:val="4E6C5BE5"/>
    <w:rsid w:val="4E73419A"/>
    <w:rsid w:val="4E756529"/>
    <w:rsid w:val="4E797E26"/>
    <w:rsid w:val="4E7D3EFC"/>
    <w:rsid w:val="4E812762"/>
    <w:rsid w:val="4E824A53"/>
    <w:rsid w:val="4E9065C5"/>
    <w:rsid w:val="4E9638DC"/>
    <w:rsid w:val="4EC34A7B"/>
    <w:rsid w:val="4ECA2C94"/>
    <w:rsid w:val="4ED80DF5"/>
    <w:rsid w:val="4EE82269"/>
    <w:rsid w:val="4EF23735"/>
    <w:rsid w:val="4EF34ED9"/>
    <w:rsid w:val="4EFC433E"/>
    <w:rsid w:val="4F041DB6"/>
    <w:rsid w:val="4F0B412E"/>
    <w:rsid w:val="4F256A12"/>
    <w:rsid w:val="4F2B18A9"/>
    <w:rsid w:val="4F3C25AB"/>
    <w:rsid w:val="4F423498"/>
    <w:rsid w:val="4F762AE3"/>
    <w:rsid w:val="4F7B2712"/>
    <w:rsid w:val="4F7D38BC"/>
    <w:rsid w:val="4F835C08"/>
    <w:rsid w:val="4F84322D"/>
    <w:rsid w:val="4F8B2BDA"/>
    <w:rsid w:val="4F8F74E5"/>
    <w:rsid w:val="4F9A32B5"/>
    <w:rsid w:val="4FA70FEE"/>
    <w:rsid w:val="4FAE3D28"/>
    <w:rsid w:val="4FB34C36"/>
    <w:rsid w:val="4FB45473"/>
    <w:rsid w:val="4FB84C92"/>
    <w:rsid w:val="4FC6174C"/>
    <w:rsid w:val="4FD27E99"/>
    <w:rsid w:val="4FDA3E42"/>
    <w:rsid w:val="4FE439C5"/>
    <w:rsid w:val="4FE53CB0"/>
    <w:rsid w:val="4FEB4DFD"/>
    <w:rsid w:val="50097B99"/>
    <w:rsid w:val="502A6434"/>
    <w:rsid w:val="502B5150"/>
    <w:rsid w:val="502D35F8"/>
    <w:rsid w:val="50372350"/>
    <w:rsid w:val="504D48EB"/>
    <w:rsid w:val="504F52E3"/>
    <w:rsid w:val="5050362F"/>
    <w:rsid w:val="505665B4"/>
    <w:rsid w:val="505A2306"/>
    <w:rsid w:val="505D19B3"/>
    <w:rsid w:val="506177CB"/>
    <w:rsid w:val="507537B4"/>
    <w:rsid w:val="50831075"/>
    <w:rsid w:val="508D1ABF"/>
    <w:rsid w:val="508D1F6C"/>
    <w:rsid w:val="50945BD7"/>
    <w:rsid w:val="50994CDA"/>
    <w:rsid w:val="509A5E54"/>
    <w:rsid w:val="50DB3B30"/>
    <w:rsid w:val="50E2690D"/>
    <w:rsid w:val="50E6185A"/>
    <w:rsid w:val="51023B8F"/>
    <w:rsid w:val="51134FF1"/>
    <w:rsid w:val="511E76A2"/>
    <w:rsid w:val="51320AE8"/>
    <w:rsid w:val="51356050"/>
    <w:rsid w:val="51385D77"/>
    <w:rsid w:val="513E14B7"/>
    <w:rsid w:val="515672A8"/>
    <w:rsid w:val="515900C3"/>
    <w:rsid w:val="516A388F"/>
    <w:rsid w:val="517174DB"/>
    <w:rsid w:val="51735642"/>
    <w:rsid w:val="51752B27"/>
    <w:rsid w:val="517B2107"/>
    <w:rsid w:val="51834C6A"/>
    <w:rsid w:val="519400A0"/>
    <w:rsid w:val="5197233D"/>
    <w:rsid w:val="51976BBD"/>
    <w:rsid w:val="519B42B6"/>
    <w:rsid w:val="51A61F92"/>
    <w:rsid w:val="51A94FAF"/>
    <w:rsid w:val="51AA45E6"/>
    <w:rsid w:val="51B12BAF"/>
    <w:rsid w:val="51B35153"/>
    <w:rsid w:val="51B65454"/>
    <w:rsid w:val="51B960DF"/>
    <w:rsid w:val="51BA5215"/>
    <w:rsid w:val="51BE0D94"/>
    <w:rsid w:val="51C62C82"/>
    <w:rsid w:val="51C83469"/>
    <w:rsid w:val="51CC07C9"/>
    <w:rsid w:val="51CC2572"/>
    <w:rsid w:val="51DF1D84"/>
    <w:rsid w:val="51F577C4"/>
    <w:rsid w:val="51FF0911"/>
    <w:rsid w:val="52040470"/>
    <w:rsid w:val="520B6FE7"/>
    <w:rsid w:val="520C31BA"/>
    <w:rsid w:val="5211008F"/>
    <w:rsid w:val="52142635"/>
    <w:rsid w:val="521C078B"/>
    <w:rsid w:val="521E2888"/>
    <w:rsid w:val="52261251"/>
    <w:rsid w:val="522A19EE"/>
    <w:rsid w:val="522D519C"/>
    <w:rsid w:val="52383E52"/>
    <w:rsid w:val="52402A48"/>
    <w:rsid w:val="5240587A"/>
    <w:rsid w:val="524B0B5E"/>
    <w:rsid w:val="524B39BE"/>
    <w:rsid w:val="5264274C"/>
    <w:rsid w:val="52705478"/>
    <w:rsid w:val="52787F19"/>
    <w:rsid w:val="527A3337"/>
    <w:rsid w:val="527C37A4"/>
    <w:rsid w:val="52870F1B"/>
    <w:rsid w:val="529A0439"/>
    <w:rsid w:val="52A34C1C"/>
    <w:rsid w:val="52A40A81"/>
    <w:rsid w:val="52A45323"/>
    <w:rsid w:val="52B17CD5"/>
    <w:rsid w:val="52C02796"/>
    <w:rsid w:val="52C81F94"/>
    <w:rsid w:val="52CB2C66"/>
    <w:rsid w:val="52CE298C"/>
    <w:rsid w:val="52F43310"/>
    <w:rsid w:val="52FB171E"/>
    <w:rsid w:val="5307218F"/>
    <w:rsid w:val="530F77CB"/>
    <w:rsid w:val="53200CBC"/>
    <w:rsid w:val="53233453"/>
    <w:rsid w:val="53277E51"/>
    <w:rsid w:val="532E0503"/>
    <w:rsid w:val="533A4CAB"/>
    <w:rsid w:val="53477523"/>
    <w:rsid w:val="534857C7"/>
    <w:rsid w:val="534B2413"/>
    <w:rsid w:val="53566988"/>
    <w:rsid w:val="536C1D08"/>
    <w:rsid w:val="536F5B93"/>
    <w:rsid w:val="537068FD"/>
    <w:rsid w:val="53745DA6"/>
    <w:rsid w:val="5376374D"/>
    <w:rsid w:val="537B58DB"/>
    <w:rsid w:val="53806DA0"/>
    <w:rsid w:val="53842D58"/>
    <w:rsid w:val="538D468F"/>
    <w:rsid w:val="539A1916"/>
    <w:rsid w:val="53AE7A43"/>
    <w:rsid w:val="53BC40A6"/>
    <w:rsid w:val="53C35430"/>
    <w:rsid w:val="53C51223"/>
    <w:rsid w:val="53C70CE0"/>
    <w:rsid w:val="53D03ADD"/>
    <w:rsid w:val="53FE3ED8"/>
    <w:rsid w:val="540427F1"/>
    <w:rsid w:val="540543FC"/>
    <w:rsid w:val="54057ADE"/>
    <w:rsid w:val="541370BB"/>
    <w:rsid w:val="54144AD4"/>
    <w:rsid w:val="541F6D7A"/>
    <w:rsid w:val="5431429F"/>
    <w:rsid w:val="54363862"/>
    <w:rsid w:val="543C7FD3"/>
    <w:rsid w:val="54507947"/>
    <w:rsid w:val="54536FA9"/>
    <w:rsid w:val="54594BAD"/>
    <w:rsid w:val="5463135D"/>
    <w:rsid w:val="546649A9"/>
    <w:rsid w:val="54737B83"/>
    <w:rsid w:val="54746421"/>
    <w:rsid w:val="54782D53"/>
    <w:rsid w:val="54861759"/>
    <w:rsid w:val="54866C6B"/>
    <w:rsid w:val="5491510C"/>
    <w:rsid w:val="549D090F"/>
    <w:rsid w:val="54A61249"/>
    <w:rsid w:val="54A8078E"/>
    <w:rsid w:val="54AC055B"/>
    <w:rsid w:val="54B735FD"/>
    <w:rsid w:val="54BA230C"/>
    <w:rsid w:val="54CF3CBA"/>
    <w:rsid w:val="54D24DB1"/>
    <w:rsid w:val="54D4224E"/>
    <w:rsid w:val="54D466A4"/>
    <w:rsid w:val="54D94BF0"/>
    <w:rsid w:val="54E079B3"/>
    <w:rsid w:val="54F368FE"/>
    <w:rsid w:val="54F93A8A"/>
    <w:rsid w:val="55005B7A"/>
    <w:rsid w:val="55083814"/>
    <w:rsid w:val="551E30B5"/>
    <w:rsid w:val="551E7DD8"/>
    <w:rsid w:val="55386A13"/>
    <w:rsid w:val="553B028C"/>
    <w:rsid w:val="553D1BAE"/>
    <w:rsid w:val="55493617"/>
    <w:rsid w:val="55722453"/>
    <w:rsid w:val="557B3A4A"/>
    <w:rsid w:val="557B767C"/>
    <w:rsid w:val="558B0EC4"/>
    <w:rsid w:val="55921A40"/>
    <w:rsid w:val="55A25146"/>
    <w:rsid w:val="55AC0E8C"/>
    <w:rsid w:val="55AE2E98"/>
    <w:rsid w:val="55CC63E5"/>
    <w:rsid w:val="55CF0A78"/>
    <w:rsid w:val="55D2530D"/>
    <w:rsid w:val="55D92649"/>
    <w:rsid w:val="55DD6EED"/>
    <w:rsid w:val="55E62915"/>
    <w:rsid w:val="55EB0093"/>
    <w:rsid w:val="55F03311"/>
    <w:rsid w:val="55F2640C"/>
    <w:rsid w:val="55F67FAE"/>
    <w:rsid w:val="55FA0EE6"/>
    <w:rsid w:val="560F15A0"/>
    <w:rsid w:val="561B7A15"/>
    <w:rsid w:val="561F2FA4"/>
    <w:rsid w:val="563544C4"/>
    <w:rsid w:val="563C50FF"/>
    <w:rsid w:val="563D2984"/>
    <w:rsid w:val="56525E5F"/>
    <w:rsid w:val="565C6063"/>
    <w:rsid w:val="565E3DB3"/>
    <w:rsid w:val="565F7902"/>
    <w:rsid w:val="566677FF"/>
    <w:rsid w:val="56683B0B"/>
    <w:rsid w:val="566A31A2"/>
    <w:rsid w:val="566C3B73"/>
    <w:rsid w:val="567216B7"/>
    <w:rsid w:val="5678104D"/>
    <w:rsid w:val="568E034B"/>
    <w:rsid w:val="56925446"/>
    <w:rsid w:val="56951AE9"/>
    <w:rsid w:val="569F7594"/>
    <w:rsid w:val="56A057BD"/>
    <w:rsid w:val="56BC478D"/>
    <w:rsid w:val="56BD53F6"/>
    <w:rsid w:val="56C65BD3"/>
    <w:rsid w:val="56D87CEA"/>
    <w:rsid w:val="56DB18AD"/>
    <w:rsid w:val="56E714BC"/>
    <w:rsid w:val="56EC29A7"/>
    <w:rsid w:val="56EC4BB2"/>
    <w:rsid w:val="56F73FA5"/>
    <w:rsid w:val="56FE29DB"/>
    <w:rsid w:val="57016125"/>
    <w:rsid w:val="57032C5A"/>
    <w:rsid w:val="57131C90"/>
    <w:rsid w:val="57161CE9"/>
    <w:rsid w:val="571A5B55"/>
    <w:rsid w:val="572576BF"/>
    <w:rsid w:val="572C1D0F"/>
    <w:rsid w:val="57345F1A"/>
    <w:rsid w:val="573667EE"/>
    <w:rsid w:val="57391286"/>
    <w:rsid w:val="573D2468"/>
    <w:rsid w:val="57433E54"/>
    <w:rsid w:val="574E0FD0"/>
    <w:rsid w:val="575262F4"/>
    <w:rsid w:val="575906B0"/>
    <w:rsid w:val="575C3DBD"/>
    <w:rsid w:val="575F582F"/>
    <w:rsid w:val="575F73B8"/>
    <w:rsid w:val="576020CB"/>
    <w:rsid w:val="576912A5"/>
    <w:rsid w:val="576F0018"/>
    <w:rsid w:val="57740C6C"/>
    <w:rsid w:val="577F24C2"/>
    <w:rsid w:val="57814EED"/>
    <w:rsid w:val="5787168B"/>
    <w:rsid w:val="57891883"/>
    <w:rsid w:val="578E351F"/>
    <w:rsid w:val="57907BEC"/>
    <w:rsid w:val="57A148DE"/>
    <w:rsid w:val="57A83112"/>
    <w:rsid w:val="57A911A1"/>
    <w:rsid w:val="57A91AD8"/>
    <w:rsid w:val="57AE5A0A"/>
    <w:rsid w:val="57B76933"/>
    <w:rsid w:val="57C105AC"/>
    <w:rsid w:val="57C76914"/>
    <w:rsid w:val="57ED2E88"/>
    <w:rsid w:val="57F33ADD"/>
    <w:rsid w:val="57FD76AC"/>
    <w:rsid w:val="580170AE"/>
    <w:rsid w:val="580B17C1"/>
    <w:rsid w:val="58205495"/>
    <w:rsid w:val="58236909"/>
    <w:rsid w:val="58261482"/>
    <w:rsid w:val="58277B25"/>
    <w:rsid w:val="58466FCB"/>
    <w:rsid w:val="58610F15"/>
    <w:rsid w:val="586C06DD"/>
    <w:rsid w:val="587658FF"/>
    <w:rsid w:val="587E0036"/>
    <w:rsid w:val="588102E0"/>
    <w:rsid w:val="588173A5"/>
    <w:rsid w:val="5887319F"/>
    <w:rsid w:val="589A6EED"/>
    <w:rsid w:val="58A61220"/>
    <w:rsid w:val="58AE5779"/>
    <w:rsid w:val="58BB045B"/>
    <w:rsid w:val="58BC739B"/>
    <w:rsid w:val="58D00057"/>
    <w:rsid w:val="58D051F9"/>
    <w:rsid w:val="58D34EB9"/>
    <w:rsid w:val="58F0512B"/>
    <w:rsid w:val="58F34DEE"/>
    <w:rsid w:val="58FE78A6"/>
    <w:rsid w:val="5907190E"/>
    <w:rsid w:val="5909312A"/>
    <w:rsid w:val="590F5AFD"/>
    <w:rsid w:val="593457B7"/>
    <w:rsid w:val="59496717"/>
    <w:rsid w:val="59585546"/>
    <w:rsid w:val="596C1D10"/>
    <w:rsid w:val="596D2336"/>
    <w:rsid w:val="596F4893"/>
    <w:rsid w:val="597A3254"/>
    <w:rsid w:val="597A6FB3"/>
    <w:rsid w:val="59826EE5"/>
    <w:rsid w:val="59872E49"/>
    <w:rsid w:val="59A16D65"/>
    <w:rsid w:val="59AC4E44"/>
    <w:rsid w:val="59AD6E65"/>
    <w:rsid w:val="59B26314"/>
    <w:rsid w:val="59BB12F3"/>
    <w:rsid w:val="59C25606"/>
    <w:rsid w:val="59C31BF5"/>
    <w:rsid w:val="59C35B69"/>
    <w:rsid w:val="59E64BCC"/>
    <w:rsid w:val="59F666B2"/>
    <w:rsid w:val="59F66FCC"/>
    <w:rsid w:val="5A0462FA"/>
    <w:rsid w:val="5A105D19"/>
    <w:rsid w:val="5A1B1E32"/>
    <w:rsid w:val="5A1C116B"/>
    <w:rsid w:val="5A277941"/>
    <w:rsid w:val="5A34670D"/>
    <w:rsid w:val="5A4F05F4"/>
    <w:rsid w:val="5A560A53"/>
    <w:rsid w:val="5A5B6C38"/>
    <w:rsid w:val="5A6742B8"/>
    <w:rsid w:val="5A67697E"/>
    <w:rsid w:val="5A683FFF"/>
    <w:rsid w:val="5A73012E"/>
    <w:rsid w:val="5A7806AC"/>
    <w:rsid w:val="5A7A69E7"/>
    <w:rsid w:val="5A920FA8"/>
    <w:rsid w:val="5A926BAB"/>
    <w:rsid w:val="5A951B44"/>
    <w:rsid w:val="5A953CA8"/>
    <w:rsid w:val="5ABA1186"/>
    <w:rsid w:val="5AC97323"/>
    <w:rsid w:val="5ACD57CD"/>
    <w:rsid w:val="5AD6441B"/>
    <w:rsid w:val="5AE52810"/>
    <w:rsid w:val="5AE623A0"/>
    <w:rsid w:val="5AE71287"/>
    <w:rsid w:val="5AEA25E6"/>
    <w:rsid w:val="5AEE6532"/>
    <w:rsid w:val="5AF80325"/>
    <w:rsid w:val="5B14558A"/>
    <w:rsid w:val="5B173A02"/>
    <w:rsid w:val="5B1C2265"/>
    <w:rsid w:val="5B204233"/>
    <w:rsid w:val="5B266C40"/>
    <w:rsid w:val="5B2C39E0"/>
    <w:rsid w:val="5B3C0ABF"/>
    <w:rsid w:val="5B4377F2"/>
    <w:rsid w:val="5B4E005F"/>
    <w:rsid w:val="5B5E7175"/>
    <w:rsid w:val="5B692318"/>
    <w:rsid w:val="5B694D7F"/>
    <w:rsid w:val="5B8462CB"/>
    <w:rsid w:val="5B8C74FF"/>
    <w:rsid w:val="5B9A5225"/>
    <w:rsid w:val="5B9F5DBE"/>
    <w:rsid w:val="5BA30CA0"/>
    <w:rsid w:val="5BB42F9E"/>
    <w:rsid w:val="5BB44074"/>
    <w:rsid w:val="5BBB382C"/>
    <w:rsid w:val="5BBC7482"/>
    <w:rsid w:val="5BBC7770"/>
    <w:rsid w:val="5BC327A1"/>
    <w:rsid w:val="5BC900CE"/>
    <w:rsid w:val="5BCC12BC"/>
    <w:rsid w:val="5BD42B40"/>
    <w:rsid w:val="5BDC2A59"/>
    <w:rsid w:val="5BDF67CB"/>
    <w:rsid w:val="5BE65E15"/>
    <w:rsid w:val="5BF203D5"/>
    <w:rsid w:val="5C09106D"/>
    <w:rsid w:val="5C1368B3"/>
    <w:rsid w:val="5C1D6295"/>
    <w:rsid w:val="5C25169C"/>
    <w:rsid w:val="5C3A01DA"/>
    <w:rsid w:val="5C427DE2"/>
    <w:rsid w:val="5C475AF5"/>
    <w:rsid w:val="5C4D66CC"/>
    <w:rsid w:val="5C6E2C97"/>
    <w:rsid w:val="5C78796F"/>
    <w:rsid w:val="5C79069E"/>
    <w:rsid w:val="5C7F3F6F"/>
    <w:rsid w:val="5C9B57A1"/>
    <w:rsid w:val="5C9C5F14"/>
    <w:rsid w:val="5C9F110F"/>
    <w:rsid w:val="5CA97C7F"/>
    <w:rsid w:val="5CB331A1"/>
    <w:rsid w:val="5CC25B3F"/>
    <w:rsid w:val="5CC3296D"/>
    <w:rsid w:val="5CC90302"/>
    <w:rsid w:val="5CCA0F0B"/>
    <w:rsid w:val="5CE33C53"/>
    <w:rsid w:val="5CEA308E"/>
    <w:rsid w:val="5CEB2B77"/>
    <w:rsid w:val="5CFB6C29"/>
    <w:rsid w:val="5CFD5E03"/>
    <w:rsid w:val="5D024210"/>
    <w:rsid w:val="5D1610E5"/>
    <w:rsid w:val="5D3C01EC"/>
    <w:rsid w:val="5D4E27B8"/>
    <w:rsid w:val="5D4E503C"/>
    <w:rsid w:val="5D534813"/>
    <w:rsid w:val="5D537A94"/>
    <w:rsid w:val="5D57324E"/>
    <w:rsid w:val="5D5C1548"/>
    <w:rsid w:val="5D5C6554"/>
    <w:rsid w:val="5D664D78"/>
    <w:rsid w:val="5D6A781B"/>
    <w:rsid w:val="5D6E22F6"/>
    <w:rsid w:val="5D7210AD"/>
    <w:rsid w:val="5D7F230C"/>
    <w:rsid w:val="5D902A97"/>
    <w:rsid w:val="5D9738E5"/>
    <w:rsid w:val="5D9D6107"/>
    <w:rsid w:val="5D9F6382"/>
    <w:rsid w:val="5DA344BD"/>
    <w:rsid w:val="5DA648F4"/>
    <w:rsid w:val="5DA71127"/>
    <w:rsid w:val="5DAA4A5C"/>
    <w:rsid w:val="5DB269C5"/>
    <w:rsid w:val="5DB45681"/>
    <w:rsid w:val="5DC3071A"/>
    <w:rsid w:val="5DD0609E"/>
    <w:rsid w:val="5DDB1F64"/>
    <w:rsid w:val="5DDD6E1B"/>
    <w:rsid w:val="5DDF4629"/>
    <w:rsid w:val="5DE00E74"/>
    <w:rsid w:val="5DE20187"/>
    <w:rsid w:val="5DE63556"/>
    <w:rsid w:val="5DF41277"/>
    <w:rsid w:val="5DFB5441"/>
    <w:rsid w:val="5E062A66"/>
    <w:rsid w:val="5E167021"/>
    <w:rsid w:val="5E1A011C"/>
    <w:rsid w:val="5E1E1140"/>
    <w:rsid w:val="5E1F1CD3"/>
    <w:rsid w:val="5E231915"/>
    <w:rsid w:val="5E2E263F"/>
    <w:rsid w:val="5E314CA3"/>
    <w:rsid w:val="5E394EDC"/>
    <w:rsid w:val="5E3D445F"/>
    <w:rsid w:val="5E4E362E"/>
    <w:rsid w:val="5E565FC3"/>
    <w:rsid w:val="5E5E6979"/>
    <w:rsid w:val="5E634E8C"/>
    <w:rsid w:val="5E6E2DD8"/>
    <w:rsid w:val="5E800449"/>
    <w:rsid w:val="5E834C66"/>
    <w:rsid w:val="5E9B35C9"/>
    <w:rsid w:val="5E9E1DAC"/>
    <w:rsid w:val="5EAE1426"/>
    <w:rsid w:val="5EB16998"/>
    <w:rsid w:val="5EBD7F90"/>
    <w:rsid w:val="5ECB577D"/>
    <w:rsid w:val="5EF84D97"/>
    <w:rsid w:val="5EFB4B45"/>
    <w:rsid w:val="5F082AF3"/>
    <w:rsid w:val="5F166FCB"/>
    <w:rsid w:val="5F233AEF"/>
    <w:rsid w:val="5F3761C3"/>
    <w:rsid w:val="5F437CD0"/>
    <w:rsid w:val="5F45331C"/>
    <w:rsid w:val="5F454D59"/>
    <w:rsid w:val="5F5105CE"/>
    <w:rsid w:val="5F5E1818"/>
    <w:rsid w:val="5F791BE7"/>
    <w:rsid w:val="5F922911"/>
    <w:rsid w:val="5F997FF6"/>
    <w:rsid w:val="5FAA55FC"/>
    <w:rsid w:val="5FAB0817"/>
    <w:rsid w:val="5FB742C8"/>
    <w:rsid w:val="5FC158AC"/>
    <w:rsid w:val="5FC344E2"/>
    <w:rsid w:val="5FC80CC1"/>
    <w:rsid w:val="5FE95B68"/>
    <w:rsid w:val="5FEB7D5C"/>
    <w:rsid w:val="5FEC688A"/>
    <w:rsid w:val="5FF76655"/>
    <w:rsid w:val="600747A3"/>
    <w:rsid w:val="60127746"/>
    <w:rsid w:val="601654D5"/>
    <w:rsid w:val="601A24BF"/>
    <w:rsid w:val="60234096"/>
    <w:rsid w:val="60257E5D"/>
    <w:rsid w:val="603805C0"/>
    <w:rsid w:val="603A6C4E"/>
    <w:rsid w:val="603B75C3"/>
    <w:rsid w:val="60423B50"/>
    <w:rsid w:val="604A1623"/>
    <w:rsid w:val="605F136E"/>
    <w:rsid w:val="606030B2"/>
    <w:rsid w:val="60615954"/>
    <w:rsid w:val="606730C1"/>
    <w:rsid w:val="606D70BF"/>
    <w:rsid w:val="606E3563"/>
    <w:rsid w:val="60783DFE"/>
    <w:rsid w:val="6082538A"/>
    <w:rsid w:val="60834959"/>
    <w:rsid w:val="608A3BE5"/>
    <w:rsid w:val="60924859"/>
    <w:rsid w:val="60AB5B56"/>
    <w:rsid w:val="60AF790C"/>
    <w:rsid w:val="60AF7A03"/>
    <w:rsid w:val="60B66E04"/>
    <w:rsid w:val="60C457EE"/>
    <w:rsid w:val="60C831F4"/>
    <w:rsid w:val="60D233DE"/>
    <w:rsid w:val="60DB1769"/>
    <w:rsid w:val="60DB4D7D"/>
    <w:rsid w:val="60E05AE3"/>
    <w:rsid w:val="60FC7053"/>
    <w:rsid w:val="60FF0D42"/>
    <w:rsid w:val="61071E89"/>
    <w:rsid w:val="61090DC1"/>
    <w:rsid w:val="610C692D"/>
    <w:rsid w:val="610D46BD"/>
    <w:rsid w:val="611267E4"/>
    <w:rsid w:val="6122434D"/>
    <w:rsid w:val="61292E6A"/>
    <w:rsid w:val="612A4B4A"/>
    <w:rsid w:val="61337AFD"/>
    <w:rsid w:val="61354081"/>
    <w:rsid w:val="6139218F"/>
    <w:rsid w:val="61487CBD"/>
    <w:rsid w:val="614C05AA"/>
    <w:rsid w:val="61580810"/>
    <w:rsid w:val="615C679A"/>
    <w:rsid w:val="615F320E"/>
    <w:rsid w:val="61662067"/>
    <w:rsid w:val="61667616"/>
    <w:rsid w:val="61687840"/>
    <w:rsid w:val="616D4A30"/>
    <w:rsid w:val="61767EA4"/>
    <w:rsid w:val="61787C40"/>
    <w:rsid w:val="618A58A7"/>
    <w:rsid w:val="618D4564"/>
    <w:rsid w:val="619204E3"/>
    <w:rsid w:val="61966EA8"/>
    <w:rsid w:val="61B44472"/>
    <w:rsid w:val="61B8608C"/>
    <w:rsid w:val="61BB3AB6"/>
    <w:rsid w:val="61BD3ED0"/>
    <w:rsid w:val="61C53760"/>
    <w:rsid w:val="61CF0CB6"/>
    <w:rsid w:val="61E873B8"/>
    <w:rsid w:val="61EC4C74"/>
    <w:rsid w:val="61F658B1"/>
    <w:rsid w:val="61FB2A3C"/>
    <w:rsid w:val="61FC40A6"/>
    <w:rsid w:val="61FE2213"/>
    <w:rsid w:val="62000EFA"/>
    <w:rsid w:val="62091300"/>
    <w:rsid w:val="620A3E1E"/>
    <w:rsid w:val="620E773D"/>
    <w:rsid w:val="62134383"/>
    <w:rsid w:val="621513B2"/>
    <w:rsid w:val="62156DDB"/>
    <w:rsid w:val="6217031D"/>
    <w:rsid w:val="62191225"/>
    <w:rsid w:val="62195D1C"/>
    <w:rsid w:val="62276D10"/>
    <w:rsid w:val="622B7161"/>
    <w:rsid w:val="62307422"/>
    <w:rsid w:val="623835FF"/>
    <w:rsid w:val="62457F58"/>
    <w:rsid w:val="624A58EA"/>
    <w:rsid w:val="624B0438"/>
    <w:rsid w:val="62501EA0"/>
    <w:rsid w:val="625A0379"/>
    <w:rsid w:val="62600C89"/>
    <w:rsid w:val="62607095"/>
    <w:rsid w:val="6262026E"/>
    <w:rsid w:val="62660C46"/>
    <w:rsid w:val="62662A38"/>
    <w:rsid w:val="62761878"/>
    <w:rsid w:val="627C3C10"/>
    <w:rsid w:val="628B688F"/>
    <w:rsid w:val="629A65D4"/>
    <w:rsid w:val="629C5FF1"/>
    <w:rsid w:val="629C7A81"/>
    <w:rsid w:val="62A52C3F"/>
    <w:rsid w:val="62A621CE"/>
    <w:rsid w:val="62B42FC8"/>
    <w:rsid w:val="62BA6FBB"/>
    <w:rsid w:val="62C34CA8"/>
    <w:rsid w:val="62DA360D"/>
    <w:rsid w:val="62EE79A8"/>
    <w:rsid w:val="62FA262E"/>
    <w:rsid w:val="62FA7805"/>
    <w:rsid w:val="62FB6C99"/>
    <w:rsid w:val="62FC3877"/>
    <w:rsid w:val="631F3FB4"/>
    <w:rsid w:val="63265FFC"/>
    <w:rsid w:val="632B07A3"/>
    <w:rsid w:val="633460DD"/>
    <w:rsid w:val="63483AFB"/>
    <w:rsid w:val="634A3D36"/>
    <w:rsid w:val="635140B5"/>
    <w:rsid w:val="6356783B"/>
    <w:rsid w:val="6357074E"/>
    <w:rsid w:val="635B7C9E"/>
    <w:rsid w:val="637A18F9"/>
    <w:rsid w:val="637A5D7B"/>
    <w:rsid w:val="63981C78"/>
    <w:rsid w:val="63A02CC7"/>
    <w:rsid w:val="63B70E87"/>
    <w:rsid w:val="63B74A81"/>
    <w:rsid w:val="63BF5D69"/>
    <w:rsid w:val="63C67C05"/>
    <w:rsid w:val="63CA0FEC"/>
    <w:rsid w:val="63D32595"/>
    <w:rsid w:val="63D37B19"/>
    <w:rsid w:val="63EE2B01"/>
    <w:rsid w:val="63EE4574"/>
    <w:rsid w:val="63EE7149"/>
    <w:rsid w:val="64086CEA"/>
    <w:rsid w:val="64151735"/>
    <w:rsid w:val="642A77F6"/>
    <w:rsid w:val="64351970"/>
    <w:rsid w:val="643F247E"/>
    <w:rsid w:val="64465CCB"/>
    <w:rsid w:val="645A2DF3"/>
    <w:rsid w:val="645B6400"/>
    <w:rsid w:val="645C7B76"/>
    <w:rsid w:val="64656A2B"/>
    <w:rsid w:val="64661FA2"/>
    <w:rsid w:val="6466633F"/>
    <w:rsid w:val="64727B57"/>
    <w:rsid w:val="64765FC5"/>
    <w:rsid w:val="648F0721"/>
    <w:rsid w:val="649B2D2D"/>
    <w:rsid w:val="64A200D2"/>
    <w:rsid w:val="64BE37C6"/>
    <w:rsid w:val="64C31649"/>
    <w:rsid w:val="64C346B6"/>
    <w:rsid w:val="64D70E77"/>
    <w:rsid w:val="64E5687F"/>
    <w:rsid w:val="64F16511"/>
    <w:rsid w:val="64F1749A"/>
    <w:rsid w:val="64F5116B"/>
    <w:rsid w:val="64FB485A"/>
    <w:rsid w:val="64FF56E3"/>
    <w:rsid w:val="65014061"/>
    <w:rsid w:val="65165C99"/>
    <w:rsid w:val="65482D99"/>
    <w:rsid w:val="6552510A"/>
    <w:rsid w:val="655345F8"/>
    <w:rsid w:val="65614C68"/>
    <w:rsid w:val="658E425E"/>
    <w:rsid w:val="658F4F1E"/>
    <w:rsid w:val="65921CC9"/>
    <w:rsid w:val="659249F3"/>
    <w:rsid w:val="65941128"/>
    <w:rsid w:val="659A4256"/>
    <w:rsid w:val="659E4180"/>
    <w:rsid w:val="65A42D5D"/>
    <w:rsid w:val="65AC6778"/>
    <w:rsid w:val="65B03CD6"/>
    <w:rsid w:val="65BA5D8A"/>
    <w:rsid w:val="65DD0D76"/>
    <w:rsid w:val="65DD0DB0"/>
    <w:rsid w:val="65DE018C"/>
    <w:rsid w:val="65E309BA"/>
    <w:rsid w:val="65E708B8"/>
    <w:rsid w:val="65F15D0F"/>
    <w:rsid w:val="65F225E7"/>
    <w:rsid w:val="65F84280"/>
    <w:rsid w:val="66054DA2"/>
    <w:rsid w:val="660821AD"/>
    <w:rsid w:val="66086DC4"/>
    <w:rsid w:val="660D5E07"/>
    <w:rsid w:val="66157FDD"/>
    <w:rsid w:val="661900C5"/>
    <w:rsid w:val="661D78DD"/>
    <w:rsid w:val="662D365C"/>
    <w:rsid w:val="66363795"/>
    <w:rsid w:val="663B2164"/>
    <w:rsid w:val="6641669D"/>
    <w:rsid w:val="66604473"/>
    <w:rsid w:val="66680388"/>
    <w:rsid w:val="666E56CA"/>
    <w:rsid w:val="66743C40"/>
    <w:rsid w:val="66775998"/>
    <w:rsid w:val="66882C3A"/>
    <w:rsid w:val="669725E5"/>
    <w:rsid w:val="66A83153"/>
    <w:rsid w:val="66B34D6A"/>
    <w:rsid w:val="66B61496"/>
    <w:rsid w:val="66C20911"/>
    <w:rsid w:val="66C764F3"/>
    <w:rsid w:val="66D118CB"/>
    <w:rsid w:val="66DB4D83"/>
    <w:rsid w:val="66DD20B0"/>
    <w:rsid w:val="66E057BE"/>
    <w:rsid w:val="66F2323F"/>
    <w:rsid w:val="66F61FF0"/>
    <w:rsid w:val="66F97255"/>
    <w:rsid w:val="66FC5136"/>
    <w:rsid w:val="670901AC"/>
    <w:rsid w:val="67155D32"/>
    <w:rsid w:val="67156D98"/>
    <w:rsid w:val="673945BE"/>
    <w:rsid w:val="673A1928"/>
    <w:rsid w:val="673D118F"/>
    <w:rsid w:val="674B2A82"/>
    <w:rsid w:val="674C7291"/>
    <w:rsid w:val="67515045"/>
    <w:rsid w:val="67550106"/>
    <w:rsid w:val="67562C2C"/>
    <w:rsid w:val="675E37B9"/>
    <w:rsid w:val="675F072A"/>
    <w:rsid w:val="675F7EA6"/>
    <w:rsid w:val="676A30F0"/>
    <w:rsid w:val="67701B95"/>
    <w:rsid w:val="67902011"/>
    <w:rsid w:val="679A4913"/>
    <w:rsid w:val="679E7A57"/>
    <w:rsid w:val="67B02023"/>
    <w:rsid w:val="67B11FB2"/>
    <w:rsid w:val="67B16007"/>
    <w:rsid w:val="67CF1999"/>
    <w:rsid w:val="67E5602B"/>
    <w:rsid w:val="680C37AC"/>
    <w:rsid w:val="68120826"/>
    <w:rsid w:val="68143178"/>
    <w:rsid w:val="68187745"/>
    <w:rsid w:val="681C4219"/>
    <w:rsid w:val="68242759"/>
    <w:rsid w:val="682D5AB2"/>
    <w:rsid w:val="6830403E"/>
    <w:rsid w:val="683E45F1"/>
    <w:rsid w:val="68494C73"/>
    <w:rsid w:val="684F5BAE"/>
    <w:rsid w:val="68735D2A"/>
    <w:rsid w:val="687A0832"/>
    <w:rsid w:val="687F5BE1"/>
    <w:rsid w:val="68957E56"/>
    <w:rsid w:val="68991EB8"/>
    <w:rsid w:val="68A03460"/>
    <w:rsid w:val="68A35DE0"/>
    <w:rsid w:val="68A8414D"/>
    <w:rsid w:val="68AA3C1E"/>
    <w:rsid w:val="68AA40BB"/>
    <w:rsid w:val="68AE0791"/>
    <w:rsid w:val="68B43FFA"/>
    <w:rsid w:val="68B825F5"/>
    <w:rsid w:val="68BE568E"/>
    <w:rsid w:val="68C00BD5"/>
    <w:rsid w:val="68CF6188"/>
    <w:rsid w:val="68D40505"/>
    <w:rsid w:val="68D4417F"/>
    <w:rsid w:val="68DB13CC"/>
    <w:rsid w:val="68E30E05"/>
    <w:rsid w:val="68F901AD"/>
    <w:rsid w:val="690C6AF1"/>
    <w:rsid w:val="690F6BEF"/>
    <w:rsid w:val="692106A3"/>
    <w:rsid w:val="69242A9F"/>
    <w:rsid w:val="69297EE1"/>
    <w:rsid w:val="69410B2F"/>
    <w:rsid w:val="69442C7A"/>
    <w:rsid w:val="694E761A"/>
    <w:rsid w:val="695D5033"/>
    <w:rsid w:val="69696812"/>
    <w:rsid w:val="696C04DD"/>
    <w:rsid w:val="696E6CD6"/>
    <w:rsid w:val="697323D5"/>
    <w:rsid w:val="69810522"/>
    <w:rsid w:val="69932899"/>
    <w:rsid w:val="699730E5"/>
    <w:rsid w:val="699A135A"/>
    <w:rsid w:val="69A953A4"/>
    <w:rsid w:val="69B93324"/>
    <w:rsid w:val="69D76BFD"/>
    <w:rsid w:val="69D9209B"/>
    <w:rsid w:val="69DC497D"/>
    <w:rsid w:val="69E3448F"/>
    <w:rsid w:val="69E434C6"/>
    <w:rsid w:val="69ED39F2"/>
    <w:rsid w:val="69FA3386"/>
    <w:rsid w:val="69FE2648"/>
    <w:rsid w:val="69FF2EAC"/>
    <w:rsid w:val="6A114F5F"/>
    <w:rsid w:val="6A1416F2"/>
    <w:rsid w:val="6A1D6DB8"/>
    <w:rsid w:val="6A2B2321"/>
    <w:rsid w:val="6A525731"/>
    <w:rsid w:val="6A575068"/>
    <w:rsid w:val="6A5F181E"/>
    <w:rsid w:val="6A683E40"/>
    <w:rsid w:val="6A7F2F96"/>
    <w:rsid w:val="6A81438B"/>
    <w:rsid w:val="6A857A6B"/>
    <w:rsid w:val="6A8F6CF6"/>
    <w:rsid w:val="6A9B7513"/>
    <w:rsid w:val="6AA02919"/>
    <w:rsid w:val="6AA80A00"/>
    <w:rsid w:val="6AAF4000"/>
    <w:rsid w:val="6AB5194E"/>
    <w:rsid w:val="6AB61964"/>
    <w:rsid w:val="6AD23BF4"/>
    <w:rsid w:val="6AD62B07"/>
    <w:rsid w:val="6AD93CCF"/>
    <w:rsid w:val="6AE0238F"/>
    <w:rsid w:val="6AE20D5D"/>
    <w:rsid w:val="6AE519FD"/>
    <w:rsid w:val="6AE84379"/>
    <w:rsid w:val="6AEB7D56"/>
    <w:rsid w:val="6AEE4AA1"/>
    <w:rsid w:val="6AF528C8"/>
    <w:rsid w:val="6AFB3C45"/>
    <w:rsid w:val="6B022560"/>
    <w:rsid w:val="6B1B3B07"/>
    <w:rsid w:val="6B24124E"/>
    <w:rsid w:val="6B2A1B63"/>
    <w:rsid w:val="6B2F1B41"/>
    <w:rsid w:val="6B3176AD"/>
    <w:rsid w:val="6B4362DF"/>
    <w:rsid w:val="6B454EC0"/>
    <w:rsid w:val="6B463C35"/>
    <w:rsid w:val="6B4A4137"/>
    <w:rsid w:val="6B4A4702"/>
    <w:rsid w:val="6B50030B"/>
    <w:rsid w:val="6B504EF3"/>
    <w:rsid w:val="6B534EB6"/>
    <w:rsid w:val="6B546F14"/>
    <w:rsid w:val="6B604690"/>
    <w:rsid w:val="6B64306C"/>
    <w:rsid w:val="6B662A89"/>
    <w:rsid w:val="6B7F320A"/>
    <w:rsid w:val="6B7F6B7E"/>
    <w:rsid w:val="6B881251"/>
    <w:rsid w:val="6B8F5C3A"/>
    <w:rsid w:val="6B905818"/>
    <w:rsid w:val="6B9823AC"/>
    <w:rsid w:val="6B99149D"/>
    <w:rsid w:val="6BBA0D4F"/>
    <w:rsid w:val="6BBD0EFB"/>
    <w:rsid w:val="6BBE458E"/>
    <w:rsid w:val="6BBF6F3A"/>
    <w:rsid w:val="6BC70F58"/>
    <w:rsid w:val="6BD5550F"/>
    <w:rsid w:val="6BDC00B7"/>
    <w:rsid w:val="6BE313E2"/>
    <w:rsid w:val="6BE35BC6"/>
    <w:rsid w:val="6BE738B7"/>
    <w:rsid w:val="6BFD4879"/>
    <w:rsid w:val="6C046F3A"/>
    <w:rsid w:val="6C085419"/>
    <w:rsid w:val="6C0C563A"/>
    <w:rsid w:val="6C112375"/>
    <w:rsid w:val="6C246147"/>
    <w:rsid w:val="6C2C1892"/>
    <w:rsid w:val="6C2E4DB2"/>
    <w:rsid w:val="6C307D28"/>
    <w:rsid w:val="6C31397A"/>
    <w:rsid w:val="6C335085"/>
    <w:rsid w:val="6C4775B2"/>
    <w:rsid w:val="6C483E09"/>
    <w:rsid w:val="6C4F32CF"/>
    <w:rsid w:val="6C4F3A3C"/>
    <w:rsid w:val="6C532B84"/>
    <w:rsid w:val="6C68123C"/>
    <w:rsid w:val="6C6D6FBB"/>
    <w:rsid w:val="6C6F424F"/>
    <w:rsid w:val="6C733D3D"/>
    <w:rsid w:val="6C842C0D"/>
    <w:rsid w:val="6C863902"/>
    <w:rsid w:val="6C945F94"/>
    <w:rsid w:val="6C994030"/>
    <w:rsid w:val="6C9D5AD7"/>
    <w:rsid w:val="6CA35E5B"/>
    <w:rsid w:val="6CB37B03"/>
    <w:rsid w:val="6CBA15A8"/>
    <w:rsid w:val="6CC6045D"/>
    <w:rsid w:val="6CCF41D4"/>
    <w:rsid w:val="6CD161C9"/>
    <w:rsid w:val="6CE12D9C"/>
    <w:rsid w:val="6CEC072E"/>
    <w:rsid w:val="6D1E0AEF"/>
    <w:rsid w:val="6D26511D"/>
    <w:rsid w:val="6D2A74D4"/>
    <w:rsid w:val="6D2B3405"/>
    <w:rsid w:val="6D306F9E"/>
    <w:rsid w:val="6D535020"/>
    <w:rsid w:val="6D603AC0"/>
    <w:rsid w:val="6D613BCF"/>
    <w:rsid w:val="6D6B753F"/>
    <w:rsid w:val="6D6F0E39"/>
    <w:rsid w:val="6D6F54AE"/>
    <w:rsid w:val="6D8848F1"/>
    <w:rsid w:val="6D8D3D91"/>
    <w:rsid w:val="6D8F2C0D"/>
    <w:rsid w:val="6D900F2A"/>
    <w:rsid w:val="6D912CFE"/>
    <w:rsid w:val="6DA24504"/>
    <w:rsid w:val="6DA80C31"/>
    <w:rsid w:val="6DAE5EBE"/>
    <w:rsid w:val="6DBD0EAF"/>
    <w:rsid w:val="6DC42A14"/>
    <w:rsid w:val="6DC44E36"/>
    <w:rsid w:val="6DC90F89"/>
    <w:rsid w:val="6DD23840"/>
    <w:rsid w:val="6DE45444"/>
    <w:rsid w:val="6DFC48B5"/>
    <w:rsid w:val="6E0538A5"/>
    <w:rsid w:val="6E153270"/>
    <w:rsid w:val="6E2457C6"/>
    <w:rsid w:val="6E255415"/>
    <w:rsid w:val="6E3524C2"/>
    <w:rsid w:val="6E35559F"/>
    <w:rsid w:val="6E3E0D3C"/>
    <w:rsid w:val="6E443B55"/>
    <w:rsid w:val="6E533D98"/>
    <w:rsid w:val="6E5640C5"/>
    <w:rsid w:val="6E5B29A9"/>
    <w:rsid w:val="6E5F2C6D"/>
    <w:rsid w:val="6E61463C"/>
    <w:rsid w:val="6E672882"/>
    <w:rsid w:val="6E6D64F0"/>
    <w:rsid w:val="6E793AB8"/>
    <w:rsid w:val="6E7D7067"/>
    <w:rsid w:val="6E825187"/>
    <w:rsid w:val="6E976BEC"/>
    <w:rsid w:val="6EA37EE9"/>
    <w:rsid w:val="6EAD5CFD"/>
    <w:rsid w:val="6EB34837"/>
    <w:rsid w:val="6EBD2BBC"/>
    <w:rsid w:val="6EC1274B"/>
    <w:rsid w:val="6EC55662"/>
    <w:rsid w:val="6EC83430"/>
    <w:rsid w:val="6ED25178"/>
    <w:rsid w:val="6EE37A56"/>
    <w:rsid w:val="6EE7024D"/>
    <w:rsid w:val="6EED4691"/>
    <w:rsid w:val="6EFA45B4"/>
    <w:rsid w:val="6EFE0309"/>
    <w:rsid w:val="6F0E6C06"/>
    <w:rsid w:val="6F131AF7"/>
    <w:rsid w:val="6F1B215E"/>
    <w:rsid w:val="6F1D37BE"/>
    <w:rsid w:val="6F20011E"/>
    <w:rsid w:val="6F202F41"/>
    <w:rsid w:val="6F226351"/>
    <w:rsid w:val="6F3D1843"/>
    <w:rsid w:val="6F433D24"/>
    <w:rsid w:val="6F46618D"/>
    <w:rsid w:val="6F4A6430"/>
    <w:rsid w:val="6F585D57"/>
    <w:rsid w:val="6F61159C"/>
    <w:rsid w:val="6F741428"/>
    <w:rsid w:val="6F77567F"/>
    <w:rsid w:val="6F7C2B68"/>
    <w:rsid w:val="6F803EEA"/>
    <w:rsid w:val="6F8153D5"/>
    <w:rsid w:val="6F8C4DB9"/>
    <w:rsid w:val="6F955EE4"/>
    <w:rsid w:val="6FA420E7"/>
    <w:rsid w:val="6FBB4E5C"/>
    <w:rsid w:val="6FC565D0"/>
    <w:rsid w:val="6FE06357"/>
    <w:rsid w:val="6FED09BC"/>
    <w:rsid w:val="6FF23F3A"/>
    <w:rsid w:val="6FF7031F"/>
    <w:rsid w:val="6FFD3769"/>
    <w:rsid w:val="6FFE5C40"/>
    <w:rsid w:val="700779BA"/>
    <w:rsid w:val="7017460A"/>
    <w:rsid w:val="70180C0C"/>
    <w:rsid w:val="701A5064"/>
    <w:rsid w:val="701A66D4"/>
    <w:rsid w:val="701B627A"/>
    <w:rsid w:val="70222BD5"/>
    <w:rsid w:val="70307113"/>
    <w:rsid w:val="70344DC9"/>
    <w:rsid w:val="703534E1"/>
    <w:rsid w:val="703A4681"/>
    <w:rsid w:val="7044709E"/>
    <w:rsid w:val="70575418"/>
    <w:rsid w:val="705B5063"/>
    <w:rsid w:val="70605E21"/>
    <w:rsid w:val="70633451"/>
    <w:rsid w:val="70704E7A"/>
    <w:rsid w:val="707178DB"/>
    <w:rsid w:val="70775A02"/>
    <w:rsid w:val="70874BDA"/>
    <w:rsid w:val="70890A7A"/>
    <w:rsid w:val="708B4F58"/>
    <w:rsid w:val="70A40957"/>
    <w:rsid w:val="70A95865"/>
    <w:rsid w:val="70B51446"/>
    <w:rsid w:val="70B65CB9"/>
    <w:rsid w:val="70B80E5A"/>
    <w:rsid w:val="70DC3F6F"/>
    <w:rsid w:val="70E54E73"/>
    <w:rsid w:val="70ED17FC"/>
    <w:rsid w:val="70F25E7F"/>
    <w:rsid w:val="70F829D5"/>
    <w:rsid w:val="70FC350F"/>
    <w:rsid w:val="70FE2B8F"/>
    <w:rsid w:val="71013EEA"/>
    <w:rsid w:val="71157051"/>
    <w:rsid w:val="71215709"/>
    <w:rsid w:val="712835BB"/>
    <w:rsid w:val="712D6ECA"/>
    <w:rsid w:val="713559D7"/>
    <w:rsid w:val="713A123F"/>
    <w:rsid w:val="715C0FCF"/>
    <w:rsid w:val="71665B90"/>
    <w:rsid w:val="717B2D56"/>
    <w:rsid w:val="7182183A"/>
    <w:rsid w:val="71841AC0"/>
    <w:rsid w:val="718F2BFF"/>
    <w:rsid w:val="71900E5F"/>
    <w:rsid w:val="71952CF0"/>
    <w:rsid w:val="719B1CDE"/>
    <w:rsid w:val="719B5A2B"/>
    <w:rsid w:val="719F1625"/>
    <w:rsid w:val="71A8173F"/>
    <w:rsid w:val="71AB5C99"/>
    <w:rsid w:val="71C03BC7"/>
    <w:rsid w:val="71C2657D"/>
    <w:rsid w:val="71C37778"/>
    <w:rsid w:val="71C66B55"/>
    <w:rsid w:val="71C85D97"/>
    <w:rsid w:val="71CD32A7"/>
    <w:rsid w:val="71E115ED"/>
    <w:rsid w:val="71FC6FDA"/>
    <w:rsid w:val="71FE77E7"/>
    <w:rsid w:val="72063429"/>
    <w:rsid w:val="72081FCD"/>
    <w:rsid w:val="72183F4F"/>
    <w:rsid w:val="721B2E1F"/>
    <w:rsid w:val="72205D8F"/>
    <w:rsid w:val="722969F6"/>
    <w:rsid w:val="722D7C29"/>
    <w:rsid w:val="72563CEC"/>
    <w:rsid w:val="72593335"/>
    <w:rsid w:val="72603ACB"/>
    <w:rsid w:val="72610A66"/>
    <w:rsid w:val="72620A4E"/>
    <w:rsid w:val="72691324"/>
    <w:rsid w:val="7274188D"/>
    <w:rsid w:val="7274361A"/>
    <w:rsid w:val="727A7C51"/>
    <w:rsid w:val="727E4017"/>
    <w:rsid w:val="728052F7"/>
    <w:rsid w:val="72812F25"/>
    <w:rsid w:val="728A3B01"/>
    <w:rsid w:val="728D332F"/>
    <w:rsid w:val="72A4498D"/>
    <w:rsid w:val="72A746B3"/>
    <w:rsid w:val="72A77D1E"/>
    <w:rsid w:val="72AA1762"/>
    <w:rsid w:val="72BA38D9"/>
    <w:rsid w:val="72C369A9"/>
    <w:rsid w:val="72CC70D6"/>
    <w:rsid w:val="72D517CB"/>
    <w:rsid w:val="72D925C4"/>
    <w:rsid w:val="72DF3E4C"/>
    <w:rsid w:val="72F66E9D"/>
    <w:rsid w:val="72F80F48"/>
    <w:rsid w:val="72FC1840"/>
    <w:rsid w:val="73010267"/>
    <w:rsid w:val="730A746E"/>
    <w:rsid w:val="73160033"/>
    <w:rsid w:val="731D373F"/>
    <w:rsid w:val="73242CE1"/>
    <w:rsid w:val="733B2872"/>
    <w:rsid w:val="733B41A6"/>
    <w:rsid w:val="73531308"/>
    <w:rsid w:val="735361DC"/>
    <w:rsid w:val="7365036E"/>
    <w:rsid w:val="736834A8"/>
    <w:rsid w:val="737D689B"/>
    <w:rsid w:val="738F7621"/>
    <w:rsid w:val="73A53CE8"/>
    <w:rsid w:val="73A6170B"/>
    <w:rsid w:val="73B579E7"/>
    <w:rsid w:val="73B726D3"/>
    <w:rsid w:val="73C00D3D"/>
    <w:rsid w:val="73C146FD"/>
    <w:rsid w:val="73D05F07"/>
    <w:rsid w:val="73D37145"/>
    <w:rsid w:val="73DB040A"/>
    <w:rsid w:val="73DC4504"/>
    <w:rsid w:val="73E87BB6"/>
    <w:rsid w:val="74012BF0"/>
    <w:rsid w:val="74026044"/>
    <w:rsid w:val="74086805"/>
    <w:rsid w:val="74091A64"/>
    <w:rsid w:val="74121AB7"/>
    <w:rsid w:val="741832FB"/>
    <w:rsid w:val="741D228C"/>
    <w:rsid w:val="74212243"/>
    <w:rsid w:val="742817A0"/>
    <w:rsid w:val="742D35FF"/>
    <w:rsid w:val="742E48C2"/>
    <w:rsid w:val="7434789C"/>
    <w:rsid w:val="743620AB"/>
    <w:rsid w:val="74454BA2"/>
    <w:rsid w:val="744A0F12"/>
    <w:rsid w:val="74517CAD"/>
    <w:rsid w:val="74763712"/>
    <w:rsid w:val="74766E22"/>
    <w:rsid w:val="748523C3"/>
    <w:rsid w:val="748705D2"/>
    <w:rsid w:val="748B12AA"/>
    <w:rsid w:val="748F74EF"/>
    <w:rsid w:val="74925631"/>
    <w:rsid w:val="7497161A"/>
    <w:rsid w:val="749F3561"/>
    <w:rsid w:val="74A40EAA"/>
    <w:rsid w:val="74AE3AD6"/>
    <w:rsid w:val="74BA2958"/>
    <w:rsid w:val="74C13C80"/>
    <w:rsid w:val="74C158BA"/>
    <w:rsid w:val="74C168CD"/>
    <w:rsid w:val="74E425EB"/>
    <w:rsid w:val="74E55A60"/>
    <w:rsid w:val="74F17AEA"/>
    <w:rsid w:val="74F619EA"/>
    <w:rsid w:val="75043DDD"/>
    <w:rsid w:val="750625B1"/>
    <w:rsid w:val="750A47B1"/>
    <w:rsid w:val="750F15BE"/>
    <w:rsid w:val="75297F92"/>
    <w:rsid w:val="753D45A7"/>
    <w:rsid w:val="753E5F25"/>
    <w:rsid w:val="753F1FC8"/>
    <w:rsid w:val="755032D2"/>
    <w:rsid w:val="75526621"/>
    <w:rsid w:val="7559062E"/>
    <w:rsid w:val="75594189"/>
    <w:rsid w:val="755F74C6"/>
    <w:rsid w:val="75624DE6"/>
    <w:rsid w:val="756B6CAA"/>
    <w:rsid w:val="75802507"/>
    <w:rsid w:val="75843EEE"/>
    <w:rsid w:val="758B2E14"/>
    <w:rsid w:val="758C1AF5"/>
    <w:rsid w:val="75905155"/>
    <w:rsid w:val="7592615B"/>
    <w:rsid w:val="75930F1E"/>
    <w:rsid w:val="759F7ACB"/>
    <w:rsid w:val="75B00DA7"/>
    <w:rsid w:val="75C325E6"/>
    <w:rsid w:val="75D52C58"/>
    <w:rsid w:val="75FF7929"/>
    <w:rsid w:val="76027022"/>
    <w:rsid w:val="76047238"/>
    <w:rsid w:val="76087737"/>
    <w:rsid w:val="760D2474"/>
    <w:rsid w:val="76115AB3"/>
    <w:rsid w:val="761805BB"/>
    <w:rsid w:val="76193B4E"/>
    <w:rsid w:val="761A5E16"/>
    <w:rsid w:val="76204CD2"/>
    <w:rsid w:val="76441071"/>
    <w:rsid w:val="765066DF"/>
    <w:rsid w:val="76564426"/>
    <w:rsid w:val="765A710A"/>
    <w:rsid w:val="765B0A8C"/>
    <w:rsid w:val="765C117F"/>
    <w:rsid w:val="765C7C91"/>
    <w:rsid w:val="76702304"/>
    <w:rsid w:val="76723CFA"/>
    <w:rsid w:val="76730F51"/>
    <w:rsid w:val="767C7EC7"/>
    <w:rsid w:val="76A437CB"/>
    <w:rsid w:val="76A53483"/>
    <w:rsid w:val="76AA3978"/>
    <w:rsid w:val="76B03A42"/>
    <w:rsid w:val="76B80C3C"/>
    <w:rsid w:val="76BF5471"/>
    <w:rsid w:val="76CA47CD"/>
    <w:rsid w:val="76CC1DC2"/>
    <w:rsid w:val="76CF00C8"/>
    <w:rsid w:val="76D702A3"/>
    <w:rsid w:val="76DA31F1"/>
    <w:rsid w:val="76F346B0"/>
    <w:rsid w:val="76F60EB1"/>
    <w:rsid w:val="76F771B9"/>
    <w:rsid w:val="76FD65ED"/>
    <w:rsid w:val="7716015E"/>
    <w:rsid w:val="77183344"/>
    <w:rsid w:val="771B0EBC"/>
    <w:rsid w:val="771C566F"/>
    <w:rsid w:val="771F7011"/>
    <w:rsid w:val="77216746"/>
    <w:rsid w:val="772B3B26"/>
    <w:rsid w:val="774D3E2D"/>
    <w:rsid w:val="77550B81"/>
    <w:rsid w:val="775D17E4"/>
    <w:rsid w:val="7761204D"/>
    <w:rsid w:val="778115CE"/>
    <w:rsid w:val="778D191F"/>
    <w:rsid w:val="779275C7"/>
    <w:rsid w:val="7797321E"/>
    <w:rsid w:val="77B330D5"/>
    <w:rsid w:val="77B56A42"/>
    <w:rsid w:val="77BC5EF8"/>
    <w:rsid w:val="77CC7F28"/>
    <w:rsid w:val="77CE5BE1"/>
    <w:rsid w:val="77E3618D"/>
    <w:rsid w:val="77F03FDA"/>
    <w:rsid w:val="77F90E12"/>
    <w:rsid w:val="77F94CAA"/>
    <w:rsid w:val="780254D2"/>
    <w:rsid w:val="78101B0E"/>
    <w:rsid w:val="781D17B3"/>
    <w:rsid w:val="781D3DAA"/>
    <w:rsid w:val="784B2ADE"/>
    <w:rsid w:val="784D29EB"/>
    <w:rsid w:val="7855711F"/>
    <w:rsid w:val="78690E08"/>
    <w:rsid w:val="78735AB9"/>
    <w:rsid w:val="787D7674"/>
    <w:rsid w:val="78810460"/>
    <w:rsid w:val="7881676A"/>
    <w:rsid w:val="78844251"/>
    <w:rsid w:val="78853E58"/>
    <w:rsid w:val="789712D3"/>
    <w:rsid w:val="789719A8"/>
    <w:rsid w:val="789F3BF0"/>
    <w:rsid w:val="78A10E53"/>
    <w:rsid w:val="78A630AD"/>
    <w:rsid w:val="78B77E15"/>
    <w:rsid w:val="78BC4235"/>
    <w:rsid w:val="78C87131"/>
    <w:rsid w:val="78DE5886"/>
    <w:rsid w:val="78DF0EB4"/>
    <w:rsid w:val="78F930CD"/>
    <w:rsid w:val="78FC07F8"/>
    <w:rsid w:val="78FD327E"/>
    <w:rsid w:val="79045141"/>
    <w:rsid w:val="7907567B"/>
    <w:rsid w:val="79153B64"/>
    <w:rsid w:val="791907FF"/>
    <w:rsid w:val="7919798C"/>
    <w:rsid w:val="792755DC"/>
    <w:rsid w:val="792A7CC8"/>
    <w:rsid w:val="793025CA"/>
    <w:rsid w:val="79364366"/>
    <w:rsid w:val="79402E8A"/>
    <w:rsid w:val="794669D3"/>
    <w:rsid w:val="794E53EF"/>
    <w:rsid w:val="796B7F12"/>
    <w:rsid w:val="79733540"/>
    <w:rsid w:val="797A2F6D"/>
    <w:rsid w:val="79A9019E"/>
    <w:rsid w:val="79B63AAD"/>
    <w:rsid w:val="79B747EC"/>
    <w:rsid w:val="79BD4970"/>
    <w:rsid w:val="79BD717A"/>
    <w:rsid w:val="79C75C56"/>
    <w:rsid w:val="79CE0777"/>
    <w:rsid w:val="79D32C03"/>
    <w:rsid w:val="79F275C4"/>
    <w:rsid w:val="79FD6089"/>
    <w:rsid w:val="7A0723E7"/>
    <w:rsid w:val="7A0C5059"/>
    <w:rsid w:val="7A0D4C7B"/>
    <w:rsid w:val="7A141516"/>
    <w:rsid w:val="7A1D7FE1"/>
    <w:rsid w:val="7A1F42F7"/>
    <w:rsid w:val="7A1F7CB1"/>
    <w:rsid w:val="7A2778CD"/>
    <w:rsid w:val="7A3A0ED1"/>
    <w:rsid w:val="7A3C7795"/>
    <w:rsid w:val="7A3E4994"/>
    <w:rsid w:val="7A4F7285"/>
    <w:rsid w:val="7A666D9F"/>
    <w:rsid w:val="7A724452"/>
    <w:rsid w:val="7A766CFC"/>
    <w:rsid w:val="7A772BBC"/>
    <w:rsid w:val="7A784587"/>
    <w:rsid w:val="7A787D82"/>
    <w:rsid w:val="7A7A2FD6"/>
    <w:rsid w:val="7A7E6272"/>
    <w:rsid w:val="7A8040BE"/>
    <w:rsid w:val="7A847AAD"/>
    <w:rsid w:val="7A931A00"/>
    <w:rsid w:val="7A9E40ED"/>
    <w:rsid w:val="7AAF24B0"/>
    <w:rsid w:val="7AB979D1"/>
    <w:rsid w:val="7ACD600F"/>
    <w:rsid w:val="7ACF7154"/>
    <w:rsid w:val="7AE83989"/>
    <w:rsid w:val="7B06401A"/>
    <w:rsid w:val="7B066428"/>
    <w:rsid w:val="7B117CCD"/>
    <w:rsid w:val="7B20768D"/>
    <w:rsid w:val="7B263D55"/>
    <w:rsid w:val="7B281992"/>
    <w:rsid w:val="7B3032F6"/>
    <w:rsid w:val="7B447E26"/>
    <w:rsid w:val="7B4612E8"/>
    <w:rsid w:val="7B4634CB"/>
    <w:rsid w:val="7B480A80"/>
    <w:rsid w:val="7B486D67"/>
    <w:rsid w:val="7B491488"/>
    <w:rsid w:val="7B5D09C5"/>
    <w:rsid w:val="7B694BFB"/>
    <w:rsid w:val="7B6B5909"/>
    <w:rsid w:val="7B6D18F1"/>
    <w:rsid w:val="7B707426"/>
    <w:rsid w:val="7B9539C2"/>
    <w:rsid w:val="7B9D18D3"/>
    <w:rsid w:val="7B9E7B03"/>
    <w:rsid w:val="7BA23796"/>
    <w:rsid w:val="7BAA2D08"/>
    <w:rsid w:val="7BAB7212"/>
    <w:rsid w:val="7BB4200A"/>
    <w:rsid w:val="7BBD0C0A"/>
    <w:rsid w:val="7BC57958"/>
    <w:rsid w:val="7BCF3BA5"/>
    <w:rsid w:val="7BD6053C"/>
    <w:rsid w:val="7BE671B1"/>
    <w:rsid w:val="7BE9311A"/>
    <w:rsid w:val="7BF37C8D"/>
    <w:rsid w:val="7BF57C09"/>
    <w:rsid w:val="7BFC26C5"/>
    <w:rsid w:val="7C02295A"/>
    <w:rsid w:val="7C127733"/>
    <w:rsid w:val="7C167562"/>
    <w:rsid w:val="7C174657"/>
    <w:rsid w:val="7C1872B1"/>
    <w:rsid w:val="7C1B1AB2"/>
    <w:rsid w:val="7C1B7AA8"/>
    <w:rsid w:val="7C1C10B7"/>
    <w:rsid w:val="7C1C3A1B"/>
    <w:rsid w:val="7C2415EF"/>
    <w:rsid w:val="7C2E7930"/>
    <w:rsid w:val="7C2F45F8"/>
    <w:rsid w:val="7C3A7ED7"/>
    <w:rsid w:val="7C3C2790"/>
    <w:rsid w:val="7C3E3A95"/>
    <w:rsid w:val="7C455F5C"/>
    <w:rsid w:val="7C504E5F"/>
    <w:rsid w:val="7C582E95"/>
    <w:rsid w:val="7C66472F"/>
    <w:rsid w:val="7C6E4C43"/>
    <w:rsid w:val="7C75137E"/>
    <w:rsid w:val="7C793E41"/>
    <w:rsid w:val="7C7F6464"/>
    <w:rsid w:val="7C9F3E5B"/>
    <w:rsid w:val="7CA507B1"/>
    <w:rsid w:val="7CAB0170"/>
    <w:rsid w:val="7CB47D2E"/>
    <w:rsid w:val="7CC16FF5"/>
    <w:rsid w:val="7CC76207"/>
    <w:rsid w:val="7CCC2DCC"/>
    <w:rsid w:val="7CCE614A"/>
    <w:rsid w:val="7CDA5697"/>
    <w:rsid w:val="7CDD764F"/>
    <w:rsid w:val="7CE64029"/>
    <w:rsid w:val="7CE72722"/>
    <w:rsid w:val="7CEF7382"/>
    <w:rsid w:val="7CF404F4"/>
    <w:rsid w:val="7CF46746"/>
    <w:rsid w:val="7CF85C26"/>
    <w:rsid w:val="7CFA4D3A"/>
    <w:rsid w:val="7D004E05"/>
    <w:rsid w:val="7D18283A"/>
    <w:rsid w:val="7D1E42E6"/>
    <w:rsid w:val="7D310F09"/>
    <w:rsid w:val="7D4E5163"/>
    <w:rsid w:val="7D6A1D7D"/>
    <w:rsid w:val="7D70048D"/>
    <w:rsid w:val="7D7635FF"/>
    <w:rsid w:val="7D787765"/>
    <w:rsid w:val="7D820685"/>
    <w:rsid w:val="7D845903"/>
    <w:rsid w:val="7D880BD4"/>
    <w:rsid w:val="7D93256E"/>
    <w:rsid w:val="7D936746"/>
    <w:rsid w:val="7DA51E59"/>
    <w:rsid w:val="7DB06003"/>
    <w:rsid w:val="7DE16D40"/>
    <w:rsid w:val="7E0624AF"/>
    <w:rsid w:val="7E062F36"/>
    <w:rsid w:val="7E067C60"/>
    <w:rsid w:val="7E0761C6"/>
    <w:rsid w:val="7E097CCE"/>
    <w:rsid w:val="7E0B2A9C"/>
    <w:rsid w:val="7E0B4774"/>
    <w:rsid w:val="7E216F2E"/>
    <w:rsid w:val="7E2968C4"/>
    <w:rsid w:val="7E3279DD"/>
    <w:rsid w:val="7E3B6107"/>
    <w:rsid w:val="7E4037BC"/>
    <w:rsid w:val="7E4159AD"/>
    <w:rsid w:val="7E480A69"/>
    <w:rsid w:val="7E5704FB"/>
    <w:rsid w:val="7E663674"/>
    <w:rsid w:val="7E6D7893"/>
    <w:rsid w:val="7E8048A0"/>
    <w:rsid w:val="7E8340C9"/>
    <w:rsid w:val="7E924469"/>
    <w:rsid w:val="7E9C3EBD"/>
    <w:rsid w:val="7E9C6F80"/>
    <w:rsid w:val="7EA228E5"/>
    <w:rsid w:val="7EAB2915"/>
    <w:rsid w:val="7EB20B08"/>
    <w:rsid w:val="7EBA0464"/>
    <w:rsid w:val="7EC14D4E"/>
    <w:rsid w:val="7EC93614"/>
    <w:rsid w:val="7ECF3225"/>
    <w:rsid w:val="7EDC1B88"/>
    <w:rsid w:val="7EDE67BB"/>
    <w:rsid w:val="7EE277FD"/>
    <w:rsid w:val="7EFA26DC"/>
    <w:rsid w:val="7F120551"/>
    <w:rsid w:val="7F277D80"/>
    <w:rsid w:val="7F3B19CE"/>
    <w:rsid w:val="7F3B3B52"/>
    <w:rsid w:val="7F416423"/>
    <w:rsid w:val="7F421ABF"/>
    <w:rsid w:val="7F447CBD"/>
    <w:rsid w:val="7F5D46B5"/>
    <w:rsid w:val="7F5E68DD"/>
    <w:rsid w:val="7F627BD8"/>
    <w:rsid w:val="7F834D72"/>
    <w:rsid w:val="7F853B09"/>
    <w:rsid w:val="7F92250B"/>
    <w:rsid w:val="7F977055"/>
    <w:rsid w:val="7FA624BA"/>
    <w:rsid w:val="7FA8577C"/>
    <w:rsid w:val="7FB46A34"/>
    <w:rsid w:val="7FB46B49"/>
    <w:rsid w:val="7FC248DA"/>
    <w:rsid w:val="7FD152B8"/>
    <w:rsid w:val="7FE42AB6"/>
    <w:rsid w:val="7FF61152"/>
    <w:rsid w:val="7FF6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6"/>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autoRedefine/>
    <w:qFormat/>
    <w:uiPriority w:val="0"/>
    <w:pPr>
      <w:numPr>
        <w:ilvl w:val="2"/>
        <w:numId w:val="1"/>
      </w:numPr>
      <w:adjustRightInd w:val="0"/>
      <w:spacing w:before="120" w:beforeLines="50" w:after="120" w:afterLines="50"/>
      <w:jc w:val="left"/>
      <w:outlineLvl w:val="2"/>
    </w:pPr>
    <w:rPr>
      <w:rFonts w:ascii="Times New Roman" w:hAnsi="Times New Roman"/>
      <w:b/>
      <w:bCs/>
      <w:sz w:val="32"/>
      <w:szCs w:val="32"/>
    </w:rPr>
  </w:style>
  <w:style w:type="paragraph" w:styleId="8">
    <w:name w:val="heading 4"/>
    <w:basedOn w:val="1"/>
    <w:next w:val="1"/>
    <w:autoRedefine/>
    <w:qFormat/>
    <w:uiPriority w:val="0"/>
    <w:pPr>
      <w:keepNext/>
      <w:keepLines/>
      <w:widowControl/>
      <w:numPr>
        <w:ilvl w:val="3"/>
        <w:numId w:val="1"/>
      </w:numPr>
      <w:adjustRightInd w:val="0"/>
      <w:spacing w:before="120" w:after="120"/>
      <w:jc w:val="left"/>
      <w:outlineLvl w:val="3"/>
    </w:pPr>
    <w:rPr>
      <w:rFonts w:ascii="Arial" w:hAnsi="Arial"/>
      <w:b/>
      <w:bCs/>
      <w:sz w:val="30"/>
      <w:szCs w:val="28"/>
    </w:rPr>
  </w:style>
  <w:style w:type="paragraph" w:styleId="9">
    <w:name w:val="heading 5"/>
    <w:basedOn w:val="1"/>
    <w:next w:val="1"/>
    <w:autoRedefine/>
    <w:qFormat/>
    <w:uiPriority w:val="1"/>
    <w:pPr>
      <w:ind w:left="998"/>
      <w:outlineLvl w:val="4"/>
    </w:pPr>
    <w:rPr>
      <w:rFonts w:ascii="宋体" w:hAnsi="宋体" w:eastAsia="宋体" w:cs="宋体"/>
      <w:b/>
      <w:bCs/>
      <w:sz w:val="28"/>
      <w:szCs w:val="28"/>
      <w:lang w:val="zh-CN" w:bidi="zh-CN"/>
    </w:rPr>
  </w:style>
  <w:style w:type="paragraph" w:styleId="10">
    <w:name w:val="heading 6"/>
    <w:basedOn w:val="1"/>
    <w:next w:val="1"/>
    <w:autoRedefine/>
    <w:qFormat/>
    <w:uiPriority w:val="1"/>
    <w:pPr>
      <w:ind w:left="1066" w:hanging="849"/>
      <w:outlineLvl w:val="5"/>
    </w:pPr>
    <w:rPr>
      <w:rFonts w:ascii="宋体" w:hAnsi="宋体" w:eastAsia="宋体" w:cs="宋体"/>
      <w:b/>
      <w:bCs/>
      <w:i/>
      <w:sz w:val="25"/>
      <w:szCs w:val="25"/>
      <w:lang w:val="zh-CN" w:bidi="zh-CN"/>
    </w:rPr>
  </w:style>
  <w:style w:type="paragraph" w:styleId="11">
    <w:name w:val="heading 7"/>
    <w:basedOn w:val="1"/>
    <w:next w:val="1"/>
    <w:autoRedefine/>
    <w:qFormat/>
    <w:uiPriority w:val="1"/>
    <w:pPr>
      <w:ind w:left="886"/>
      <w:outlineLvl w:val="6"/>
    </w:pPr>
    <w:rPr>
      <w:rFonts w:ascii="宋体" w:hAnsi="宋体" w:eastAsia="宋体" w:cs="宋体"/>
      <w:b/>
      <w:bCs/>
      <w:szCs w:val="24"/>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autoRedefine/>
    <w:qFormat/>
    <w:uiPriority w:val="99"/>
    <w:pPr>
      <w:ind w:firstLine="420" w:firstLineChars="200"/>
    </w:pPr>
  </w:style>
  <w:style w:type="paragraph" w:styleId="3">
    <w:name w:val="Body Text Indent"/>
    <w:basedOn w:val="1"/>
    <w:next w:val="2"/>
    <w:link w:val="47"/>
    <w:autoRedefine/>
    <w:qFormat/>
    <w:uiPriority w:val="99"/>
    <w:pPr>
      <w:widowControl/>
      <w:ind w:left="426" w:hanging="426" w:hangingChars="152"/>
      <w:jc w:val="left"/>
    </w:pPr>
    <w:rPr>
      <w:rFonts w:ascii="宋体"/>
      <w:kern w:val="0"/>
    </w:rPr>
  </w:style>
  <w:style w:type="paragraph" w:styleId="6">
    <w:name w:val="Normal Indent"/>
    <w:basedOn w:val="1"/>
    <w:autoRedefine/>
    <w:qFormat/>
    <w:uiPriority w:val="0"/>
    <w:pPr>
      <w:ind w:firstLine="420"/>
    </w:pPr>
    <w:rPr>
      <w:rFonts w:eastAsia="宋体"/>
      <w:sz w:val="21"/>
      <w:szCs w:val="20"/>
    </w:rPr>
  </w:style>
  <w:style w:type="paragraph" w:styleId="12">
    <w:name w:val="toa heading"/>
    <w:basedOn w:val="1"/>
    <w:next w:val="1"/>
    <w:autoRedefine/>
    <w:qFormat/>
    <w:uiPriority w:val="0"/>
    <w:pPr>
      <w:spacing w:before="120"/>
    </w:pPr>
    <w:rPr>
      <w:rFonts w:ascii="Arial" w:hAnsi="Arial"/>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spacing w:after="120"/>
    </w:pPr>
  </w:style>
  <w:style w:type="paragraph" w:styleId="15">
    <w:name w:val="List 2"/>
    <w:basedOn w:val="1"/>
    <w:autoRedefine/>
    <w:qFormat/>
    <w:uiPriority w:val="0"/>
    <w:pPr>
      <w:ind w:left="100" w:leftChars="200" w:hanging="200" w:hangingChars="200"/>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99"/>
    <w:rPr>
      <w:rFonts w:ascii="宋体" w:hAnsi="Courier New"/>
      <w:szCs w:val="21"/>
    </w:rPr>
  </w:style>
  <w:style w:type="paragraph" w:styleId="18">
    <w:name w:val="Date"/>
    <w:basedOn w:val="1"/>
    <w:next w:val="1"/>
    <w:autoRedefine/>
    <w:qFormat/>
    <w:uiPriority w:val="0"/>
    <w:rPr>
      <w:rFonts w:ascii="Times New Roman"/>
      <w:sz w:val="28"/>
    </w:rPr>
  </w:style>
  <w:style w:type="paragraph" w:styleId="19">
    <w:name w:val="footer"/>
    <w:basedOn w:val="1"/>
    <w:autoRedefine/>
    <w:qFormat/>
    <w:uiPriority w:val="0"/>
    <w:pPr>
      <w:tabs>
        <w:tab w:val="center" w:pos="4153"/>
        <w:tab w:val="right" w:pos="8306"/>
      </w:tabs>
      <w:snapToGrid w:val="0"/>
      <w:jc w:val="left"/>
    </w:pPr>
    <w:rPr>
      <w:rFonts w:eastAsia="宋体"/>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rPr>
      <w:sz w:val="21"/>
      <w:szCs w:val="24"/>
    </w:rPr>
  </w:style>
  <w:style w:type="paragraph" w:styleId="22">
    <w:name w:val="toc 4"/>
    <w:basedOn w:val="1"/>
    <w:next w:val="1"/>
    <w:autoRedefine/>
    <w:qFormat/>
    <w:uiPriority w:val="39"/>
    <w:pPr>
      <w:ind w:left="630"/>
      <w:jc w:val="left"/>
    </w:pPr>
    <w:rPr>
      <w:rFonts w:ascii="Calibri" w:hAnsi="Calibri" w:cs="Calibri"/>
      <w:sz w:val="18"/>
      <w:szCs w:val="18"/>
    </w:rPr>
  </w:style>
  <w:style w:type="paragraph" w:styleId="23">
    <w:name w:val="Body Text Indent 3"/>
    <w:basedOn w:val="1"/>
    <w:autoRedefine/>
    <w:qFormat/>
    <w:uiPriority w:val="0"/>
    <w:pPr>
      <w:ind w:left="899" w:leftChars="428" w:firstLine="458" w:firstLineChars="218"/>
    </w:pPr>
    <w:rPr>
      <w:rFonts w:ascii="Times New Roman" w:hAnsi="Times New Roman" w:eastAsia="宋体" w:cs="Times New Roman"/>
    </w:rPr>
  </w:style>
  <w:style w:type="paragraph" w:styleId="24">
    <w:name w:val="toc 2"/>
    <w:basedOn w:val="1"/>
    <w:next w:val="1"/>
    <w:autoRedefine/>
    <w:qFormat/>
    <w:uiPriority w:val="0"/>
    <w:pPr>
      <w:ind w:left="420" w:leftChars="200"/>
    </w:pPr>
    <w:rPr>
      <w:sz w:val="21"/>
      <w:szCs w:val="24"/>
    </w:rPr>
  </w:style>
  <w:style w:type="paragraph" w:styleId="25">
    <w:name w:val="Body Text 2"/>
    <w:basedOn w:val="1"/>
    <w:autoRedefine/>
    <w:qFormat/>
    <w:uiPriority w:val="99"/>
    <w:rPr>
      <w:sz w:val="28"/>
    </w:rPr>
  </w:style>
  <w:style w:type="paragraph" w:styleId="26">
    <w:name w:val="HTML Preformatted"/>
    <w:basedOn w:val="1"/>
    <w:autoRedefine/>
    <w:qFormat/>
    <w:uiPriority w:val="0"/>
    <w:pPr>
      <w:jc w:val="left"/>
    </w:pPr>
    <w:rPr>
      <w:rFonts w:ascii="Arial" w:hAnsi="Arial" w:cs="Arial"/>
      <w:kern w:val="0"/>
    </w:rPr>
  </w:style>
  <w:style w:type="paragraph" w:styleId="27">
    <w:name w:val="Normal (Web)"/>
    <w:basedOn w:val="1"/>
    <w:autoRedefine/>
    <w:qFormat/>
    <w:uiPriority w:val="0"/>
    <w:pPr>
      <w:jc w:val="left"/>
    </w:pPr>
    <w:rPr>
      <w:rFonts w:cs="Times New Roman"/>
      <w:kern w:val="0"/>
    </w:rPr>
  </w:style>
  <w:style w:type="paragraph" w:styleId="28">
    <w:name w:val="Body Text First Indent"/>
    <w:basedOn w:val="14"/>
    <w:next w:val="14"/>
    <w:autoRedefine/>
    <w:qFormat/>
    <w:uiPriority w:val="0"/>
    <w:pPr>
      <w:ind w:firstLine="420" w:firstLineChars="100"/>
    </w:pPr>
    <w:rPr>
      <w:rFonts w:eastAsia="仿宋_GB2312"/>
      <w:sz w:val="28"/>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color w:val="555555"/>
      <w:sz w:val="16"/>
      <w:szCs w:val="16"/>
      <w:bdr w:val="single" w:color="CCCCCC" w:sz="4" w:space="0"/>
      <w:shd w:val="clear" w:color="auto" w:fill="FFFFFF"/>
    </w:rPr>
  </w:style>
  <w:style w:type="character" w:styleId="33">
    <w:name w:val="page number"/>
    <w:basedOn w:val="31"/>
    <w:autoRedefine/>
    <w:qFormat/>
    <w:uiPriority w:val="0"/>
  </w:style>
  <w:style w:type="character" w:styleId="34">
    <w:name w:val="FollowedHyperlink"/>
    <w:basedOn w:val="31"/>
    <w:autoRedefine/>
    <w:qFormat/>
    <w:uiPriority w:val="99"/>
    <w:rPr>
      <w:color w:val="333333"/>
      <w:u w:val="none"/>
    </w:rPr>
  </w:style>
  <w:style w:type="character" w:styleId="35">
    <w:name w:val="Emphasis"/>
    <w:basedOn w:val="31"/>
    <w:autoRedefine/>
    <w:qFormat/>
    <w:uiPriority w:val="0"/>
  </w:style>
  <w:style w:type="character" w:styleId="36">
    <w:name w:val="HTML Definition"/>
    <w:basedOn w:val="31"/>
    <w:autoRedefine/>
    <w:qFormat/>
    <w:uiPriority w:val="0"/>
    <w:rPr>
      <w:i/>
      <w:color w:val="555555"/>
      <w:sz w:val="16"/>
      <w:szCs w:val="16"/>
      <w:bdr w:val="single" w:color="CCCCCC" w:sz="4" w:space="0"/>
      <w:shd w:val="clear" w:color="auto" w:fill="FFFFFF"/>
    </w:rPr>
  </w:style>
  <w:style w:type="character" w:styleId="37">
    <w:name w:val="HTML Typewriter"/>
    <w:basedOn w:val="31"/>
    <w:autoRedefine/>
    <w:qFormat/>
    <w:uiPriority w:val="0"/>
    <w:rPr>
      <w:rFonts w:hint="default" w:ascii="monospace" w:hAnsi="monospace" w:eastAsia="monospace" w:cs="monospace"/>
      <w:sz w:val="20"/>
    </w:rPr>
  </w:style>
  <w:style w:type="character" w:styleId="38">
    <w:name w:val="HTML Acronym"/>
    <w:basedOn w:val="31"/>
    <w:autoRedefine/>
    <w:qFormat/>
    <w:uiPriority w:val="0"/>
  </w:style>
  <w:style w:type="character" w:styleId="39">
    <w:name w:val="HTML Variable"/>
    <w:basedOn w:val="31"/>
    <w:autoRedefine/>
    <w:qFormat/>
    <w:uiPriority w:val="0"/>
  </w:style>
  <w:style w:type="character" w:styleId="40">
    <w:name w:val="Hyperlink"/>
    <w:basedOn w:val="31"/>
    <w:autoRedefine/>
    <w:qFormat/>
    <w:uiPriority w:val="99"/>
    <w:rPr>
      <w:rFonts w:ascii="宋体" w:hAnsi="宋体" w:eastAsia="宋体"/>
      <w:b/>
      <w:color w:val="0000FF"/>
      <w:kern w:val="2"/>
      <w:sz w:val="24"/>
      <w:szCs w:val="24"/>
      <w:u w:val="single"/>
      <w:lang w:val="en-US" w:eastAsia="zh-CN" w:bidi="ar-SA"/>
    </w:rPr>
  </w:style>
  <w:style w:type="character" w:styleId="41">
    <w:name w:val="HTML Code"/>
    <w:basedOn w:val="31"/>
    <w:autoRedefine/>
    <w:qFormat/>
    <w:uiPriority w:val="0"/>
    <w:rPr>
      <w:rFonts w:hint="default" w:ascii="Menlo" w:hAnsi="Menlo" w:eastAsia="Menlo" w:cs="Menlo"/>
      <w:color w:val="C7254E"/>
      <w:sz w:val="21"/>
      <w:szCs w:val="21"/>
      <w:shd w:val="clear" w:color="auto" w:fill="F9F2F4"/>
    </w:rPr>
  </w:style>
  <w:style w:type="character" w:styleId="42">
    <w:name w:val="annotation reference"/>
    <w:autoRedefine/>
    <w:qFormat/>
    <w:uiPriority w:val="0"/>
    <w:rPr>
      <w:sz w:val="21"/>
      <w:szCs w:val="21"/>
    </w:rPr>
  </w:style>
  <w:style w:type="character" w:styleId="43">
    <w:name w:val="HTML Cite"/>
    <w:basedOn w:val="31"/>
    <w:autoRedefine/>
    <w:qFormat/>
    <w:uiPriority w:val="0"/>
  </w:style>
  <w:style w:type="character" w:styleId="44">
    <w:name w:val="HTML Keyboard"/>
    <w:basedOn w:val="31"/>
    <w:autoRedefine/>
    <w:qFormat/>
    <w:uiPriority w:val="0"/>
    <w:rPr>
      <w:rFonts w:ascii="Menlo" w:hAnsi="Menlo" w:eastAsia="Menlo" w:cs="Menlo"/>
      <w:color w:val="FFFFFF"/>
      <w:sz w:val="21"/>
      <w:szCs w:val="21"/>
      <w:shd w:val="clear" w:color="auto" w:fill="333333"/>
    </w:rPr>
  </w:style>
  <w:style w:type="character" w:styleId="45">
    <w:name w:val="HTML Sample"/>
    <w:basedOn w:val="31"/>
    <w:autoRedefine/>
    <w:qFormat/>
    <w:uiPriority w:val="0"/>
    <w:rPr>
      <w:rFonts w:hint="default" w:ascii="Menlo" w:hAnsi="Menlo" w:eastAsia="Menlo" w:cs="Menlo"/>
      <w:sz w:val="21"/>
      <w:szCs w:val="21"/>
    </w:rPr>
  </w:style>
  <w:style w:type="paragraph" w:styleId="4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7">
    <w:name w:val="正文文本缩进 字符"/>
    <w:basedOn w:val="31"/>
    <w:link w:val="3"/>
    <w:autoRedefine/>
    <w:qFormat/>
    <w:uiPriority w:val="99"/>
    <w:rPr>
      <w:rFonts w:ascii="宋体" w:hAnsiTheme="minorHAnsi" w:eastAsiaTheme="minorEastAsia" w:cstheme="minorBidi"/>
      <w:sz w:val="24"/>
      <w:szCs w:val="22"/>
    </w:rPr>
  </w:style>
  <w:style w:type="character" w:customStyle="1" w:styleId="48">
    <w:name w:val="正文文本首行缩进 2 字符"/>
    <w:basedOn w:val="47"/>
    <w:link w:val="2"/>
    <w:autoRedefine/>
    <w:qFormat/>
    <w:uiPriority w:val="99"/>
    <w:rPr>
      <w:rFonts w:ascii="宋体" w:hAnsiTheme="minorHAnsi" w:eastAsiaTheme="minorEastAsia" w:cstheme="minorBidi"/>
      <w:sz w:val="24"/>
      <w:szCs w:val="22"/>
    </w:rPr>
  </w:style>
  <w:style w:type="paragraph" w:customStyle="1" w:styleId="49">
    <w:name w:val="正文缩进1"/>
    <w:basedOn w:val="1"/>
    <w:autoRedefine/>
    <w:qFormat/>
    <w:uiPriority w:val="0"/>
    <w:pPr>
      <w:ind w:firstLine="420" w:firstLineChars="200"/>
    </w:p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5"/>
    <w:basedOn w:val="4"/>
    <w:next w:val="1"/>
    <w:autoRedefine/>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53">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4">
    <w:name w:val="p15"/>
    <w:basedOn w:val="1"/>
    <w:autoRedefine/>
    <w:qFormat/>
    <w:uiPriority w:val="99"/>
    <w:pPr>
      <w:widowControl/>
    </w:pPr>
    <w:rPr>
      <w:kern w:val="0"/>
      <w:sz w:val="21"/>
      <w:szCs w:val="21"/>
    </w:rPr>
  </w:style>
  <w:style w:type="paragraph" w:customStyle="1" w:styleId="55">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56">
    <w:name w:val="old"/>
    <w:basedOn w:val="31"/>
    <w:autoRedefine/>
    <w:qFormat/>
    <w:uiPriority w:val="0"/>
    <w:rPr>
      <w:color w:val="999999"/>
    </w:rPr>
  </w:style>
  <w:style w:type="character" w:customStyle="1" w:styleId="57">
    <w:name w:val="hover3"/>
    <w:basedOn w:val="31"/>
    <w:autoRedefine/>
    <w:qFormat/>
    <w:uiPriority w:val="0"/>
    <w:rPr>
      <w:shd w:val="clear" w:color="auto" w:fill="EEEEEE"/>
    </w:rPr>
  </w:style>
  <w:style w:type="character" w:customStyle="1" w:styleId="58">
    <w:name w:val="glyphicon4"/>
    <w:basedOn w:val="31"/>
    <w:autoRedefine/>
    <w:qFormat/>
    <w:uiPriority w:val="0"/>
  </w:style>
  <w:style w:type="character" w:customStyle="1" w:styleId="59">
    <w:name w:val="hour_am"/>
    <w:basedOn w:val="31"/>
    <w:autoRedefine/>
    <w:qFormat/>
    <w:uiPriority w:val="0"/>
  </w:style>
  <w:style w:type="character" w:customStyle="1" w:styleId="60">
    <w:name w:val="hour_pm"/>
    <w:basedOn w:val="31"/>
    <w:autoRedefine/>
    <w:qFormat/>
    <w:uiPriority w:val="0"/>
  </w:style>
  <w:style w:type="character" w:customStyle="1" w:styleId="61">
    <w:name w:val="button"/>
    <w:basedOn w:val="31"/>
    <w:autoRedefine/>
    <w:qFormat/>
    <w:uiPriority w:val="0"/>
  </w:style>
  <w:style w:type="character" w:customStyle="1" w:styleId="62">
    <w:name w:val="tmpztreemove_arrow"/>
    <w:basedOn w:val="31"/>
    <w:autoRedefine/>
    <w:qFormat/>
    <w:uiPriority w:val="0"/>
    <w:rPr>
      <w:shd w:val="clear" w:color="auto" w:fill="FFFFFF"/>
    </w:rPr>
  </w:style>
  <w:style w:type="paragraph" w:customStyle="1" w:styleId="63">
    <w:name w:val="正文文本1"/>
    <w:basedOn w:val="1"/>
    <w:autoRedefine/>
    <w:unhideWhenUsed/>
    <w:qFormat/>
    <w:uiPriority w:val="0"/>
    <w:pPr>
      <w:shd w:val="clear" w:color="auto" w:fill="FFFFFF"/>
      <w:spacing w:line="240" w:lineRule="atLeast"/>
      <w:jc w:val="left"/>
    </w:pPr>
    <w:rPr>
      <w:rFonts w:ascii="Times New Roman" w:hAnsi="Times New Roman" w:eastAsia="Times New Roman"/>
      <w:kern w:val="0"/>
      <w:sz w:val="11"/>
      <w:szCs w:val="20"/>
    </w:rPr>
  </w:style>
  <w:style w:type="paragraph" w:styleId="64">
    <w:name w:val="List Paragraph"/>
    <w:basedOn w:val="1"/>
    <w:autoRedefine/>
    <w:qFormat/>
    <w:uiPriority w:val="99"/>
    <w:pPr>
      <w:ind w:firstLine="420" w:firstLineChars="200"/>
    </w:pPr>
  </w:style>
  <w:style w:type="paragraph" w:customStyle="1" w:styleId="65">
    <w:name w:val="标准文本"/>
    <w:basedOn w:val="1"/>
    <w:autoRedefine/>
    <w:qFormat/>
    <w:uiPriority w:val="0"/>
    <w:pPr>
      <w:widowControl/>
      <w:ind w:firstLine="480"/>
      <w:jc w:val="left"/>
    </w:pPr>
    <w:rPr>
      <w:rFonts w:ascii="Times New Roman" w:hAnsi="Times New Roman"/>
      <w:szCs w:val="20"/>
    </w:rPr>
  </w:style>
  <w:style w:type="paragraph" w:customStyle="1" w:styleId="66">
    <w:name w:val="_正文段落"/>
    <w:basedOn w:val="1"/>
    <w:autoRedefine/>
    <w:qFormat/>
    <w:uiPriority w:val="0"/>
    <w:pPr>
      <w:spacing w:beforeLines="15" w:afterLines="15"/>
    </w:pPr>
    <w:rPr>
      <w:rFonts w:ascii="Times New Roman" w:hAnsi="Times New Roman"/>
      <w:szCs w:val="24"/>
    </w:rPr>
  </w:style>
  <w:style w:type="paragraph" w:customStyle="1" w:styleId="67">
    <w:name w:val="表格内容"/>
    <w:basedOn w:val="1"/>
    <w:autoRedefine/>
    <w:qFormat/>
    <w:uiPriority w:val="0"/>
    <w:pPr>
      <w:jc w:val="left"/>
    </w:pPr>
  </w:style>
  <w:style w:type="character" w:customStyle="1" w:styleId="68">
    <w:name w:val="proollist"/>
    <w:basedOn w:val="31"/>
    <w:autoRedefine/>
    <w:qFormat/>
    <w:uiPriority w:val="0"/>
  </w:style>
  <w:style w:type="character" w:customStyle="1" w:styleId="69">
    <w:name w:val="beforeinfotext"/>
    <w:basedOn w:val="31"/>
    <w:autoRedefine/>
    <w:qFormat/>
    <w:uiPriority w:val="0"/>
    <w:rPr>
      <w:color w:val="666666"/>
    </w:rPr>
  </w:style>
  <w:style w:type="character" w:customStyle="1" w:styleId="70">
    <w:name w:val="number"/>
    <w:basedOn w:val="31"/>
    <w:autoRedefine/>
    <w:qFormat/>
    <w:uiPriority w:val="0"/>
    <w:rPr>
      <w:color w:val="FF8833"/>
      <w:sz w:val="18"/>
      <w:szCs w:val="18"/>
    </w:rPr>
  </w:style>
  <w:style w:type="character" w:customStyle="1" w:styleId="71">
    <w:name w:val="stclosebtn"/>
    <w:basedOn w:val="31"/>
    <w:autoRedefine/>
    <w:qFormat/>
    <w:uiPriority w:val="0"/>
  </w:style>
  <w:style w:type="character" w:customStyle="1" w:styleId="72">
    <w:name w:val="phone"/>
    <w:basedOn w:val="31"/>
    <w:autoRedefine/>
    <w:qFormat/>
    <w:uiPriority w:val="0"/>
    <w:rPr>
      <w:color w:val="FF8833"/>
      <w:sz w:val="18"/>
      <w:szCs w:val="18"/>
    </w:rPr>
  </w:style>
  <w:style w:type="paragraph" w:customStyle="1" w:styleId="73">
    <w:name w:val="title11"/>
    <w:basedOn w:val="1"/>
    <w:autoRedefine/>
    <w:qFormat/>
    <w:uiPriority w:val="0"/>
    <w:pPr>
      <w:spacing w:before="150"/>
      <w:jc w:val="left"/>
    </w:pPr>
    <w:rPr>
      <w:rFonts w:cs="Times New Roman"/>
      <w:b/>
      <w:kern w:val="0"/>
      <w:sz w:val="22"/>
    </w:rPr>
  </w:style>
  <w:style w:type="paragraph" w:customStyle="1" w:styleId="74">
    <w:name w:val="正文文字2"/>
    <w:basedOn w:val="14"/>
    <w:autoRedefine/>
    <w:qFormat/>
    <w:uiPriority w:val="0"/>
    <w:pPr>
      <w:adjustRightInd w:val="0"/>
      <w:spacing w:after="60" w:line="360" w:lineRule="atLeast"/>
      <w:ind w:left="72" w:leftChars="30" w:right="72" w:rightChars="30"/>
      <w:jc w:val="center"/>
      <w:textAlignment w:val="baseline"/>
    </w:pPr>
    <w:rPr>
      <w:rFonts w:ascii="Arial" w:hAnsi="Times New Roman" w:eastAsia="黑体"/>
      <w:kern w:val="0"/>
      <w:szCs w:val="20"/>
    </w:rPr>
  </w:style>
  <w:style w:type="paragraph" w:customStyle="1" w:styleId="75">
    <w:name w:val="Default"/>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76">
    <w:name w:val="dd"/>
    <w:basedOn w:val="1"/>
    <w:autoRedefine/>
    <w:qFormat/>
    <w:uiPriority w:val="0"/>
    <w:pPr>
      <w:jc w:val="left"/>
    </w:pPr>
    <w:rPr>
      <w:rFonts w:cs="Times New Roman"/>
      <w:kern w:val="0"/>
    </w:rPr>
  </w:style>
  <w:style w:type="paragraph" w:customStyle="1" w:styleId="77">
    <w:name w:val="列出段落4"/>
    <w:basedOn w:val="1"/>
    <w:autoRedefine/>
    <w:qFormat/>
    <w:uiPriority w:val="99"/>
    <w:pPr>
      <w:ind w:firstLine="420" w:firstLineChars="200"/>
    </w:pPr>
    <w:rPr>
      <w:rFonts w:ascii="Calibri" w:hAnsi="Calibri"/>
    </w:rPr>
  </w:style>
  <w:style w:type="paragraph" w:customStyle="1" w:styleId="78">
    <w:name w:val="标书"/>
    <w:basedOn w:val="1"/>
    <w:autoRedefine/>
    <w:qFormat/>
    <w:uiPriority w:val="0"/>
    <w:pPr>
      <w:shd w:val="clear" w:color="auto" w:fill="FFFFFF"/>
      <w:spacing w:line="360" w:lineRule="auto"/>
      <w:ind w:firstLine="480"/>
      <w:jc w:val="left"/>
    </w:pPr>
    <w:rPr>
      <w:rFonts w:ascii="宋体" w:hAnsi="宋体"/>
      <w:shd w:val="clear" w:color="auto" w:fill="FFFFFF"/>
    </w:rPr>
  </w:style>
  <w:style w:type="paragraph" w:customStyle="1" w:styleId="79">
    <w:name w:val="Table Paragraph"/>
    <w:basedOn w:val="1"/>
    <w:autoRedefine/>
    <w:qFormat/>
    <w:uiPriority w:val="1"/>
    <w:rPr>
      <w:rFonts w:ascii="宋体" w:hAnsi="宋体" w:eastAsia="宋体" w:cs="宋体"/>
      <w:lang w:val="zh-CN" w:bidi="zh-CN"/>
    </w:rPr>
  </w:style>
  <w:style w:type="character" w:customStyle="1" w:styleId="80">
    <w:name w:val="font21"/>
    <w:basedOn w:val="31"/>
    <w:autoRedefine/>
    <w:qFormat/>
    <w:uiPriority w:val="0"/>
    <w:rPr>
      <w:rFonts w:hint="eastAsia" w:ascii="宋体" w:hAnsi="宋体" w:eastAsia="宋体" w:cs="宋体"/>
      <w:color w:val="000000"/>
      <w:sz w:val="24"/>
      <w:szCs w:val="24"/>
      <w:u w:val="none"/>
    </w:rPr>
  </w:style>
  <w:style w:type="character" w:customStyle="1" w:styleId="81">
    <w:name w:val="font11"/>
    <w:basedOn w:val="31"/>
    <w:autoRedefine/>
    <w:qFormat/>
    <w:uiPriority w:val="0"/>
    <w:rPr>
      <w:rFonts w:hint="eastAsia" w:ascii="宋体" w:hAnsi="宋体" w:eastAsia="宋体" w:cs="宋体"/>
      <w:color w:val="0000FF"/>
      <w:sz w:val="24"/>
      <w:szCs w:val="24"/>
      <w:u w:val="none"/>
    </w:rPr>
  </w:style>
  <w:style w:type="paragraph" w:customStyle="1" w:styleId="82">
    <w:name w:val="Titre fiche"/>
    <w:basedOn w:val="1"/>
    <w:autoRedefine/>
    <w:qFormat/>
    <w:uiPriority w:val="0"/>
    <w:pPr>
      <w:widowControl/>
      <w:tabs>
        <w:tab w:val="left" w:pos="2800"/>
      </w:tabs>
      <w:spacing w:before="120" w:after="180" w:line="480" w:lineRule="atLeast"/>
      <w:ind w:left="1701"/>
    </w:pPr>
    <w:rPr>
      <w:rFonts w:ascii="Arial" w:hAnsi="Arial" w:cs="Arial"/>
      <w:i/>
      <w:caps/>
      <w:kern w:val="0"/>
      <w:sz w:val="18"/>
      <w:szCs w:val="20"/>
      <w:u w:val="single"/>
      <w:lang w:val="en-GB" w:eastAsia="fr-FR"/>
    </w:rPr>
  </w:style>
  <w:style w:type="character" w:customStyle="1" w:styleId="83">
    <w:name w:val="input-direction"/>
    <w:basedOn w:val="31"/>
    <w:autoRedefine/>
    <w:qFormat/>
    <w:uiPriority w:val="0"/>
    <w:rPr>
      <w:color w:val="FF6600"/>
    </w:rPr>
  </w:style>
  <w:style w:type="character" w:customStyle="1" w:styleId="84">
    <w:name w:val="span-long"/>
    <w:basedOn w:val="31"/>
    <w:autoRedefine/>
    <w:qFormat/>
    <w:uiPriority w:val="0"/>
  </w:style>
  <w:style w:type="character" w:customStyle="1" w:styleId="85">
    <w:name w:val="hilite6"/>
    <w:basedOn w:val="31"/>
    <w:autoRedefine/>
    <w:qFormat/>
    <w:uiPriority w:val="0"/>
    <w:rPr>
      <w:color w:val="FFFFFF"/>
      <w:shd w:val="clear" w:color="auto" w:fill="666677"/>
    </w:rPr>
  </w:style>
  <w:style w:type="character" w:customStyle="1" w:styleId="86">
    <w:name w:val="active6"/>
    <w:basedOn w:val="31"/>
    <w:autoRedefine/>
    <w:qFormat/>
    <w:uiPriority w:val="0"/>
    <w:rPr>
      <w:color w:val="00FF00"/>
      <w:shd w:val="clear" w:color="auto" w:fill="000000"/>
    </w:rPr>
  </w:style>
  <w:style w:type="character" w:customStyle="1" w:styleId="87">
    <w:name w:val="font01"/>
    <w:basedOn w:val="31"/>
    <w:autoRedefine/>
    <w:qFormat/>
    <w:uiPriority w:val="0"/>
    <w:rPr>
      <w:rFonts w:hint="default" w:ascii="等线" w:hAnsi="等线" w:eastAsia="等线" w:cs="等线"/>
      <w:color w:val="FF0000"/>
      <w:sz w:val="22"/>
      <w:szCs w:val="22"/>
      <w:u w:val="none"/>
    </w:rPr>
  </w:style>
  <w:style w:type="character" w:customStyle="1" w:styleId="88">
    <w:name w:val="indent"/>
    <w:basedOn w:val="31"/>
    <w:autoRedefine/>
    <w:qFormat/>
    <w:uiPriority w:val="0"/>
  </w:style>
  <w:style w:type="character" w:customStyle="1" w:styleId="89">
    <w:name w:val="active"/>
    <w:basedOn w:val="31"/>
    <w:autoRedefine/>
    <w:qFormat/>
    <w:uiPriority w:val="0"/>
    <w:rPr>
      <w:color w:val="00FF00"/>
      <w:shd w:val="clear" w:color="auto" w:fill="000000"/>
    </w:rPr>
  </w:style>
  <w:style w:type="character" w:customStyle="1" w:styleId="90">
    <w:name w:val="button2"/>
    <w:basedOn w:val="31"/>
    <w:autoRedefine/>
    <w:qFormat/>
    <w:uiPriority w:val="0"/>
  </w:style>
  <w:style w:type="paragraph" w:customStyle="1" w:styleId="91">
    <w:name w:val="title1"/>
    <w:basedOn w:val="1"/>
    <w:autoRedefine/>
    <w:qFormat/>
    <w:uiPriority w:val="0"/>
    <w:pPr>
      <w:spacing w:before="120"/>
      <w:jc w:val="left"/>
    </w:pPr>
    <w:rPr>
      <w:rFonts w:cs="Times New Roman"/>
      <w:b/>
      <w:kern w:val="0"/>
      <w:sz w:val="18"/>
      <w:szCs w:val="18"/>
    </w:rPr>
  </w:style>
  <w:style w:type="paragraph" w:customStyle="1" w:styleId="92">
    <w:name w:val="title12"/>
    <w:basedOn w:val="1"/>
    <w:autoRedefine/>
    <w:qFormat/>
    <w:uiPriority w:val="0"/>
    <w:pPr>
      <w:spacing w:before="120"/>
      <w:jc w:val="left"/>
    </w:pPr>
    <w:rPr>
      <w:rFonts w:cs="Times New Roman"/>
      <w:b/>
      <w:kern w:val="0"/>
      <w:sz w:val="18"/>
      <w:szCs w:val="18"/>
    </w:rPr>
  </w:style>
  <w:style w:type="character" w:customStyle="1" w:styleId="93">
    <w:name w:val="font31"/>
    <w:basedOn w:val="31"/>
    <w:autoRedefine/>
    <w:qFormat/>
    <w:uiPriority w:val="0"/>
    <w:rPr>
      <w:rFonts w:hint="eastAsia" w:ascii="仿宋" w:hAnsi="仿宋" w:eastAsia="仿宋" w:cs="仿宋"/>
      <w:color w:val="FF0000"/>
      <w:sz w:val="20"/>
      <w:szCs w:val="20"/>
      <w:u w:val="none"/>
    </w:rPr>
  </w:style>
  <w:style w:type="character" w:customStyle="1" w:styleId="94">
    <w:name w:val="font41"/>
    <w:basedOn w:val="31"/>
    <w:autoRedefine/>
    <w:qFormat/>
    <w:uiPriority w:val="0"/>
    <w:rPr>
      <w:rFonts w:hint="eastAsia" w:ascii="仿宋" w:hAnsi="仿宋" w:eastAsia="仿宋" w:cs="仿宋"/>
      <w:color w:val="000000"/>
      <w:sz w:val="20"/>
      <w:szCs w:val="20"/>
      <w:u w:val="none"/>
    </w:rPr>
  </w:style>
  <w:style w:type="character" w:customStyle="1" w:styleId="95">
    <w:name w:val="font71"/>
    <w:basedOn w:val="31"/>
    <w:autoRedefine/>
    <w:qFormat/>
    <w:uiPriority w:val="0"/>
    <w:rPr>
      <w:rFonts w:ascii="Arial" w:hAnsi="Arial" w:cs="Arial"/>
      <w:color w:val="000000"/>
      <w:sz w:val="20"/>
      <w:szCs w:val="20"/>
      <w:u w:val="none"/>
    </w:rPr>
  </w:style>
  <w:style w:type="character" w:customStyle="1" w:styleId="96">
    <w:name w:val="hover"/>
    <w:basedOn w:val="31"/>
    <w:autoRedefine/>
    <w:qFormat/>
    <w:uiPriority w:val="0"/>
    <w:rPr>
      <w:shd w:val="clear" w:color="auto" w:fill="EEEEEE"/>
    </w:rPr>
  </w:style>
  <w:style w:type="character" w:customStyle="1" w:styleId="97">
    <w:name w:val="font51"/>
    <w:basedOn w:val="31"/>
    <w:autoRedefine/>
    <w:qFormat/>
    <w:uiPriority w:val="0"/>
    <w:rPr>
      <w:rFonts w:hint="eastAsia" w:ascii="宋体" w:hAnsi="宋体" w:eastAsia="宋体" w:cs="宋体"/>
      <w:b/>
      <w:color w:val="000000"/>
      <w:sz w:val="24"/>
      <w:szCs w:val="24"/>
      <w:u w:val="none"/>
    </w:rPr>
  </w:style>
  <w:style w:type="paragraph" w:customStyle="1" w:styleId="98">
    <w:name w:val="表 靠左"/>
    <w:basedOn w:val="1"/>
    <w:autoRedefine/>
    <w:qFormat/>
    <w:uiPriority w:val="0"/>
    <w:pPr>
      <w:jc w:val="left"/>
    </w:pPr>
    <w:rPr>
      <w:rFonts w:ascii="Times New Roman" w:hAnsi="Times New Roman" w:cs="Times New Roman"/>
      <w:szCs w:val="21"/>
    </w:rPr>
  </w:style>
  <w:style w:type="paragraph" w:customStyle="1" w:styleId="99">
    <w:name w:val="正文11"/>
    <w:basedOn w:val="1"/>
    <w:next w:val="1"/>
    <w:autoRedefine/>
    <w:qFormat/>
    <w:uiPriority w:val="0"/>
    <w:pPr>
      <w:widowControl/>
      <w:topLinePunct/>
      <w:snapToGrid w:val="0"/>
      <w:spacing w:line="340" w:lineRule="exact"/>
    </w:pPr>
    <w:rPr>
      <w:rFonts w:hAnsi="宋体" w:eastAsia="黑体"/>
      <w:b/>
      <w:sz w:val="25"/>
      <w:lang w:eastAsia="en-US"/>
    </w:rPr>
  </w:style>
  <w:style w:type="character" w:customStyle="1" w:styleId="100">
    <w:name w:val="font81"/>
    <w:basedOn w:val="31"/>
    <w:autoRedefine/>
    <w:qFormat/>
    <w:uiPriority w:val="0"/>
    <w:rPr>
      <w:rFonts w:hint="eastAsia" w:ascii="宋体" w:hAnsi="宋体" w:eastAsia="宋体" w:cs="宋体"/>
      <w:color w:val="000000"/>
      <w:sz w:val="20"/>
      <w:szCs w:val="20"/>
      <w:u w:val="none"/>
    </w:rPr>
  </w:style>
  <w:style w:type="paragraph" w:customStyle="1" w:styleId="101">
    <w:name w:val="默认段落字体 Para Char Char Char Char22"/>
    <w:basedOn w:val="1"/>
    <w:autoRedefine/>
    <w:qFormat/>
    <w:uiPriority w:val="0"/>
  </w:style>
  <w:style w:type="paragraph" w:customStyle="1" w:styleId="102">
    <w:name w:val="标准正文样式"/>
    <w:basedOn w:val="103"/>
    <w:autoRedefine/>
    <w:qFormat/>
    <w:uiPriority w:val="0"/>
    <w:pPr>
      <w:ind w:firstLine="200"/>
    </w:pPr>
  </w:style>
  <w:style w:type="paragraph" w:customStyle="1" w:styleId="103">
    <w:name w:val="样式 样式 正文首行缩进 2 + 首行缩进:  2 字符 + 首行缩进:  2 字符"/>
    <w:basedOn w:val="1"/>
    <w:autoRedefine/>
    <w:qFormat/>
    <w:uiPriority w:val="0"/>
    <w:pPr>
      <w:spacing w:line="360" w:lineRule="auto"/>
      <w:ind w:firstLine="480" w:firstLineChars="200"/>
    </w:pPr>
    <w:rPr>
      <w:szCs w:val="20"/>
    </w:rPr>
  </w:style>
  <w:style w:type="paragraph" w:customStyle="1" w:styleId="104">
    <w:name w:val="ParaAttribute1"/>
    <w:autoRedefine/>
    <w:qFormat/>
    <w:uiPriority w:val="0"/>
    <w:pPr>
      <w:widowControl w:val="0"/>
      <w:tabs>
        <w:tab w:val="left" w:pos="4860"/>
      </w:tabs>
      <w:spacing w:line="500" w:lineRule="exact"/>
      <w:jc w:val="both"/>
    </w:pPr>
    <w:rPr>
      <w:rFonts w:ascii="Times New Roman" w:hAnsi="Times New Roman" w:eastAsia="宋体" w:cs="Times New Roman"/>
      <w:lang w:val="en-US" w:eastAsia="zh-CN" w:bidi="ar-SA"/>
    </w:rPr>
  </w:style>
  <w:style w:type="character" w:customStyle="1" w:styleId="105">
    <w:name w:val="CharAttribute1"/>
    <w:autoRedefine/>
    <w:qFormat/>
    <w:uiPriority w:val="0"/>
    <w:rPr>
      <w:rFonts w:ascii="仿宋_GB2312" w:eastAsia="仿宋_GB2312"/>
      <w:sz w:val="24"/>
    </w:rPr>
  </w:style>
  <w:style w:type="paragraph" w:customStyle="1" w:styleId="106">
    <w:name w:val="ParaAttribute2"/>
    <w:autoRedefine/>
    <w:qFormat/>
    <w:uiPriority w:val="0"/>
    <w:pPr>
      <w:widowControl w:val="0"/>
      <w:tabs>
        <w:tab w:val="left" w:pos="4860"/>
      </w:tabs>
      <w:spacing w:line="500" w:lineRule="exact"/>
      <w:ind w:firstLine="240"/>
      <w:jc w:val="both"/>
    </w:pPr>
    <w:rPr>
      <w:rFonts w:ascii="Times New Roman" w:hAnsi="Times New Roman" w:eastAsia="宋体" w:cs="Times New Roman"/>
      <w:lang w:val="en-US" w:eastAsia="zh-CN" w:bidi="ar-SA"/>
    </w:rPr>
  </w:style>
  <w:style w:type="paragraph" w:customStyle="1" w:styleId="107">
    <w:name w:val="ParaAttribute4"/>
    <w:autoRedefine/>
    <w:qFormat/>
    <w:uiPriority w:val="0"/>
    <w:pPr>
      <w:widowControl w:val="0"/>
      <w:tabs>
        <w:tab w:val="left" w:pos="4860"/>
      </w:tabs>
      <w:spacing w:line="500" w:lineRule="exact"/>
      <w:ind w:left="240"/>
      <w:jc w:val="both"/>
    </w:pPr>
    <w:rPr>
      <w:rFonts w:ascii="Times New Roman" w:hAnsi="Times New Roman" w:eastAsia="宋体" w:cs="Times New Roman"/>
      <w:lang w:val="en-US" w:eastAsia="zh-CN" w:bidi="ar-SA"/>
    </w:rPr>
  </w:style>
  <w:style w:type="paragraph" w:customStyle="1" w:styleId="108">
    <w:name w:val="p0"/>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09">
    <w:name w:val="NormalCharacter"/>
    <w:autoRedefine/>
    <w:qFormat/>
    <w:uiPriority w:val="0"/>
  </w:style>
  <w:style w:type="paragraph" w:customStyle="1" w:styleId="110">
    <w:name w:val="PlainText"/>
    <w:basedOn w:val="1"/>
    <w:autoRedefine/>
    <w:qFormat/>
    <w:uiPriority w:val="0"/>
    <w:pPr>
      <w:widowControl/>
      <w:textAlignment w:val="baseline"/>
    </w:pPr>
    <w:rPr>
      <w:rFonts w:ascii="宋体" w:cs="Times New Roman"/>
      <w:szCs w:val="20"/>
    </w:rPr>
  </w:style>
  <w:style w:type="character" w:customStyle="1" w:styleId="111">
    <w:name w:val="style91"/>
    <w:basedOn w:val="31"/>
    <w:autoRedefine/>
    <w:qFormat/>
    <w:uiPriority w:val="0"/>
    <w:rPr>
      <w:color w:val="000000"/>
    </w:rPr>
  </w:style>
  <w:style w:type="character" w:customStyle="1" w:styleId="112">
    <w:name w:val="active4"/>
    <w:basedOn w:val="31"/>
    <w:autoRedefine/>
    <w:qFormat/>
    <w:uiPriority w:val="0"/>
    <w:rPr>
      <w:color w:val="00FF00"/>
      <w:shd w:val="clear" w:color="auto" w:fill="000000"/>
    </w:rPr>
  </w:style>
  <w:style w:type="paragraph" w:customStyle="1" w:styleId="113">
    <w:name w:val="默认段落字体 Para Char Char Char Char"/>
    <w:basedOn w:val="1"/>
    <w:autoRedefine/>
    <w:qFormat/>
    <w:uiPriority w:val="0"/>
  </w:style>
  <w:style w:type="character" w:customStyle="1" w:styleId="114">
    <w:name w:val="font91"/>
    <w:basedOn w:val="31"/>
    <w:autoRedefine/>
    <w:qFormat/>
    <w:uiPriority w:val="0"/>
    <w:rPr>
      <w:rFonts w:hint="eastAsia" w:ascii="宋体" w:hAnsi="宋体" w:eastAsia="宋体" w:cs="宋体"/>
      <w:color w:val="000000"/>
      <w:sz w:val="20"/>
      <w:szCs w:val="20"/>
      <w:u w:val="none"/>
      <w:vertAlign w:val="subscript"/>
    </w:rPr>
  </w:style>
  <w:style w:type="paragraph" w:customStyle="1" w:styleId="115">
    <w:name w:val="_Style 3"/>
    <w:basedOn w:val="1"/>
    <w:autoRedefine/>
    <w:qFormat/>
    <w:uiPriority w:val="0"/>
    <w:pPr>
      <w:ind w:firstLine="420" w:firstLineChars="200"/>
    </w:pPr>
    <w:rPr>
      <w:rFonts w:ascii="Calibri" w:hAnsi="Calibri" w:eastAsia="宋体" w:cs="Times New Roman"/>
    </w:rPr>
  </w:style>
  <w:style w:type="paragraph" w:customStyle="1" w:styleId="116">
    <w:name w:val="表格样式居左"/>
    <w:autoRedefine/>
    <w:qFormat/>
    <w:uiPriority w:val="0"/>
    <w:pPr>
      <w:adjustRightInd w:val="0"/>
      <w:snapToGrid w:val="0"/>
      <w:spacing w:line="360" w:lineRule="exact"/>
    </w:pPr>
    <w:rPr>
      <w:rFonts w:ascii="仿宋_GB2312" w:hAnsi="Calibri" w:eastAsia="仿宋_GB2312" w:cs="Times New Roman"/>
      <w:bCs/>
      <w:color w:val="000000"/>
      <w:szCs w:val="44"/>
      <w:lang w:val="en-US" w:eastAsia="zh-CN" w:bidi="ar-SA"/>
    </w:rPr>
  </w:style>
  <w:style w:type="paragraph" w:customStyle="1" w:styleId="117">
    <w:name w:val="列出段落1"/>
    <w:basedOn w:val="1"/>
    <w:autoRedefine/>
    <w:qFormat/>
    <w:uiPriority w:val="1"/>
    <w:pPr>
      <w:ind w:left="1802" w:hanging="424"/>
    </w:pPr>
  </w:style>
  <w:style w:type="paragraph" w:customStyle="1" w:styleId="118">
    <w:name w:val="列出段落3"/>
    <w:basedOn w:val="1"/>
    <w:autoRedefine/>
    <w:qFormat/>
    <w:uiPriority w:val="99"/>
    <w:pPr>
      <w:ind w:firstLine="420" w:firstLineChars="200"/>
    </w:pPr>
  </w:style>
  <w:style w:type="paragraph" w:customStyle="1" w:styleId="119">
    <w:name w:val="正文（缩进 2 字符）"/>
    <w:basedOn w:val="1"/>
    <w:autoRedefine/>
    <w:qFormat/>
    <w:uiPriority w:val="0"/>
    <w:pPr>
      <w:ind w:firstLine="200" w:firstLineChars="200"/>
    </w:pPr>
  </w:style>
  <w:style w:type="paragraph" w:customStyle="1" w:styleId="120">
    <w:name w:val="Table Text"/>
    <w:basedOn w:val="1"/>
    <w:autoRedefine/>
    <w:semiHidden/>
    <w:qFormat/>
    <w:uiPriority w:val="0"/>
    <w:rPr>
      <w:rFonts w:ascii="宋体" w:hAnsi="宋体" w:eastAsia="宋体" w:cs="宋体"/>
      <w:sz w:val="20"/>
      <w:szCs w:val="20"/>
      <w:lang w:eastAsia="en-US"/>
    </w:rPr>
  </w:style>
  <w:style w:type="table" w:customStyle="1" w:styleId="1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69</Pages>
  <Words>4459</Words>
  <Characters>5307</Characters>
  <Lines>284</Lines>
  <Paragraphs>80</Paragraphs>
  <TotalTime>22</TotalTime>
  <ScaleCrop>false</ScaleCrop>
  <LinksUpToDate>false</LinksUpToDate>
  <CharactersWithSpaces>5339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2024-02-22T03:50:00Z</dcterms:created>
  <dc:creator>Administrator</dc:creator>
  <cp:lastModifiedBy>WPS_1658106135</cp:lastModifiedBy>
  <cp:lastPrinted>2025-07-21T08:24:00Z</cp:lastPrinted>
  <dcterms:modified xsi:type="dcterms:W3CDTF">2025-07-22T02:29:52Z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F4098D4B716F4C58AFFE42F0CD9925C2_13</vt:lpwstr>
  </property>
  <property fmtid="{D5CDD505-2E9C-101B-9397-08002B2CF9AE}" pid="4" name="KSOTemplateDocerSaveRecord">
    <vt:lpwstr>eyJoZGlkIjoiZjRlN2Y2MTkzNmMwM2JjZmE2ZjhjY2Q2ZjhiMTA2OTMiLCJ1c2VySWQiOiIxMzg5MDA5NDczIn0=</vt:lpwstr>
  </property>
</Properties>
</file>