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5E8B8">
      <w:pPr>
        <w:rPr>
          <w:rFonts w:hint="eastAsia" w:ascii="宋体" w:hAnsi="宋体" w:eastAsia="宋体" w:cs="宋体"/>
          <w:b/>
          <w:bCs/>
          <w:spacing w:val="5"/>
          <w:sz w:val="36"/>
          <w:szCs w:val="36"/>
          <w:lang w:val="en-US" w:eastAsia="zh-CN"/>
        </w:rPr>
      </w:pPr>
      <w:r>
        <w:rPr>
          <w:rFonts w:hint="eastAsia" w:ascii="宋体" w:hAnsi="宋体" w:eastAsia="宋体" w:cs="宋体"/>
          <w:b/>
          <w:bCs/>
          <w:spacing w:val="5"/>
          <w:sz w:val="36"/>
          <w:szCs w:val="36"/>
          <w:lang w:val="en-US" w:eastAsia="zh-CN"/>
        </w:rPr>
        <w:t xml:space="preserve">                 采购需求</w:t>
      </w:r>
    </w:p>
    <w:p w14:paraId="76F987AB">
      <w:pPr>
        <w:spacing w:before="85" w:line="360" w:lineRule="auto"/>
        <w:outlineLvl w:val="9"/>
        <w:rPr>
          <w:rFonts w:hint="eastAsia" w:ascii="宋体" w:hAnsi="宋体" w:eastAsia="宋体" w:cs="宋体"/>
          <w:b/>
          <w:bCs/>
          <w:color w:val="333333"/>
          <w:spacing w:val="8"/>
          <w:sz w:val="28"/>
          <w:szCs w:val="28"/>
        </w:rPr>
      </w:pPr>
      <w:bookmarkStart w:id="0" w:name="_Toc10170"/>
      <w:bookmarkStart w:id="1" w:name="_Toc7890"/>
      <w:bookmarkStart w:id="2" w:name="_Toc9192"/>
      <w:bookmarkStart w:id="3" w:name="_Toc15826"/>
      <w:r>
        <w:rPr>
          <w:rFonts w:hint="eastAsia" w:ascii="宋体" w:hAnsi="宋体" w:eastAsia="宋体" w:cs="宋体"/>
          <w:b/>
          <w:bCs/>
          <w:color w:val="333333"/>
          <w:spacing w:val="8"/>
          <w:sz w:val="28"/>
          <w:szCs w:val="28"/>
        </w:rPr>
        <w:t>1</w:t>
      </w:r>
      <w:r>
        <w:rPr>
          <w:rFonts w:hint="eastAsia" w:ascii="宋体" w:hAnsi="宋体" w:eastAsia="宋体" w:cs="宋体"/>
          <w:b/>
          <w:bCs/>
          <w:color w:val="333333"/>
          <w:spacing w:val="8"/>
          <w:sz w:val="28"/>
          <w:szCs w:val="28"/>
          <w:lang w:eastAsia="zh-CN"/>
        </w:rPr>
        <w:t>、</w:t>
      </w:r>
      <w:r>
        <w:rPr>
          <w:rFonts w:hint="eastAsia" w:ascii="宋体" w:hAnsi="宋体" w:eastAsia="宋体" w:cs="宋体"/>
          <w:b/>
          <w:bCs/>
          <w:color w:val="333333"/>
          <w:spacing w:val="8"/>
          <w:sz w:val="28"/>
          <w:szCs w:val="28"/>
        </w:rPr>
        <w:t>项目名称</w:t>
      </w:r>
      <w:bookmarkEnd w:id="0"/>
      <w:bookmarkEnd w:id="1"/>
      <w:bookmarkEnd w:id="2"/>
    </w:p>
    <w:p w14:paraId="05A27AE8">
      <w:pPr>
        <w:spacing w:before="153" w:line="295" w:lineRule="auto"/>
        <w:jc w:val="both"/>
        <w:outlineLvl w:val="9"/>
        <w:rPr>
          <w:rFonts w:hint="eastAsia" w:ascii="宋体" w:hAnsi="宋体" w:eastAsia="宋体" w:cs="宋体"/>
          <w:spacing w:val="-1"/>
          <w:sz w:val="24"/>
          <w:szCs w:val="24"/>
        </w:rPr>
      </w:pPr>
      <w:bookmarkStart w:id="4" w:name="_Hlk6323603"/>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靖边县东芦河13条河流健康评价项目</w:t>
      </w:r>
    </w:p>
    <w:bookmarkEnd w:id="3"/>
    <w:bookmarkEnd w:id="4"/>
    <w:p w14:paraId="30ABECB4">
      <w:pPr>
        <w:spacing w:before="105" w:line="360" w:lineRule="auto"/>
        <w:ind w:right="153"/>
        <w:rPr>
          <w:rFonts w:hint="eastAsia" w:ascii="宋体" w:hAnsi="宋体" w:eastAsia="宋体" w:cs="宋体"/>
          <w:b/>
          <w:bCs/>
          <w:color w:val="333333"/>
          <w:spacing w:val="8"/>
          <w:sz w:val="28"/>
          <w:szCs w:val="28"/>
        </w:rPr>
      </w:pPr>
      <w:r>
        <w:rPr>
          <w:rFonts w:hint="eastAsia" w:ascii="宋体" w:hAnsi="宋体" w:eastAsia="宋体" w:cs="宋体"/>
          <w:b/>
          <w:bCs/>
          <w:color w:val="333333"/>
          <w:spacing w:val="8"/>
          <w:sz w:val="28"/>
          <w:szCs w:val="28"/>
          <w:lang w:val="en-US" w:eastAsia="zh-CN"/>
        </w:rPr>
        <w:t>2</w:t>
      </w:r>
      <w:r>
        <w:rPr>
          <w:rFonts w:hint="eastAsia" w:ascii="宋体" w:hAnsi="宋体" w:eastAsia="宋体" w:cs="宋体"/>
          <w:b/>
          <w:bCs/>
          <w:color w:val="333333"/>
          <w:spacing w:val="8"/>
          <w:sz w:val="28"/>
          <w:szCs w:val="28"/>
          <w:lang w:eastAsia="zh-CN"/>
        </w:rPr>
        <w:t>、</w:t>
      </w:r>
      <w:r>
        <w:rPr>
          <w:rFonts w:hint="eastAsia" w:ascii="宋体" w:hAnsi="宋体" w:eastAsia="宋体" w:cs="宋体"/>
          <w:b/>
          <w:bCs/>
          <w:color w:val="333333"/>
          <w:spacing w:val="8"/>
          <w:sz w:val="28"/>
          <w:szCs w:val="28"/>
        </w:rPr>
        <w:t>编制任务</w:t>
      </w:r>
    </w:p>
    <w:p w14:paraId="07B9113B">
      <w:pPr>
        <w:spacing w:before="85" w:line="360" w:lineRule="auto"/>
        <w:ind w:firstLine="297" w:firstLineChars="100"/>
        <w:outlineLvl w:val="9"/>
        <w:rPr>
          <w:rFonts w:hint="eastAsia" w:ascii="宋体" w:hAnsi="宋体" w:eastAsia="宋体" w:cs="宋体"/>
          <w:b/>
          <w:bCs/>
          <w:color w:val="333333"/>
          <w:spacing w:val="8"/>
          <w:sz w:val="28"/>
          <w:szCs w:val="28"/>
        </w:rPr>
      </w:pPr>
      <w:bookmarkStart w:id="5" w:name="_Toc2511"/>
      <w:r>
        <w:rPr>
          <w:rFonts w:hint="eastAsia" w:ascii="宋体" w:hAnsi="宋体" w:eastAsia="宋体" w:cs="宋体"/>
          <w:b/>
          <w:bCs/>
          <w:color w:val="333333"/>
          <w:spacing w:val="8"/>
          <w:sz w:val="28"/>
          <w:szCs w:val="28"/>
          <w:lang w:val="en-US" w:eastAsia="zh-CN"/>
        </w:rPr>
        <w:t>2</w:t>
      </w:r>
      <w:r>
        <w:rPr>
          <w:rFonts w:hint="eastAsia" w:ascii="宋体" w:hAnsi="宋体" w:eastAsia="宋体" w:cs="宋体"/>
          <w:b/>
          <w:bCs/>
          <w:color w:val="333333"/>
          <w:spacing w:val="8"/>
          <w:sz w:val="28"/>
          <w:szCs w:val="28"/>
        </w:rPr>
        <w:t>.1编制对象</w:t>
      </w:r>
      <w:bookmarkEnd w:id="5"/>
    </w:p>
    <w:p w14:paraId="3E2A40D7">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本次编制对象为靖边县县级负责的13条河流，分别为东芦河、石窑沟、惠桥沟、老庄沟、圪洞沟、打营峁子河、东门沟、周家沟、赵家湾、双城沟、小河、袁家湾、波罗地梁，</w:t>
      </w:r>
      <w:r>
        <w:rPr>
          <w:rFonts w:hint="eastAsia" w:ascii="宋体" w:hAnsi="宋体" w:eastAsia="宋体" w:cs="宋体"/>
          <w:spacing w:val="-1"/>
          <w:sz w:val="24"/>
          <w:szCs w:val="24"/>
          <w:lang w:val="en-US" w:eastAsia="zh-CN"/>
        </w:rPr>
        <w:t>13</w:t>
      </w:r>
      <w:r>
        <w:rPr>
          <w:rFonts w:hint="eastAsia" w:ascii="宋体" w:hAnsi="宋体" w:eastAsia="宋体" w:cs="宋体"/>
          <w:spacing w:val="-1"/>
          <w:sz w:val="24"/>
          <w:szCs w:val="24"/>
        </w:rPr>
        <w:t>条河流的基本情况见表3-1。</w:t>
      </w:r>
    </w:p>
    <w:p w14:paraId="2256930B">
      <w:pPr>
        <w:spacing w:before="85" w:line="360" w:lineRule="auto"/>
        <w:ind w:firstLine="297" w:firstLineChars="100"/>
        <w:jc w:val="center"/>
        <w:outlineLvl w:val="9"/>
        <w:rPr>
          <w:rFonts w:hint="eastAsia" w:ascii="宋体" w:hAnsi="宋体" w:eastAsia="宋体" w:cs="宋体"/>
          <w:b/>
          <w:bCs/>
          <w:color w:val="333333"/>
          <w:spacing w:val="8"/>
          <w:sz w:val="28"/>
          <w:szCs w:val="28"/>
        </w:rPr>
      </w:pPr>
      <w:r>
        <w:rPr>
          <w:rFonts w:hint="eastAsia" w:ascii="宋体" w:hAnsi="宋体" w:eastAsia="宋体" w:cs="宋体"/>
          <w:b/>
          <w:bCs/>
          <w:color w:val="333333"/>
          <w:spacing w:val="8"/>
          <w:sz w:val="28"/>
          <w:szCs w:val="28"/>
        </w:rPr>
        <w:t>表3-1  靖边县县级负责的13条河流基本情况统计表</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64"/>
        <w:gridCol w:w="1313"/>
        <w:gridCol w:w="1825"/>
        <w:gridCol w:w="2629"/>
        <w:gridCol w:w="1190"/>
      </w:tblGrid>
      <w:tr w14:paraId="78B68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08073765">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序号</w:t>
            </w:r>
          </w:p>
        </w:tc>
        <w:tc>
          <w:tcPr>
            <w:tcW w:w="565" w:type="pct"/>
            <w:noWrap/>
            <w:vAlign w:val="center"/>
          </w:tcPr>
          <w:p w14:paraId="1A4D0E2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河流</w:t>
            </w:r>
          </w:p>
        </w:tc>
        <w:tc>
          <w:tcPr>
            <w:tcW w:w="770" w:type="pct"/>
            <w:noWrap/>
            <w:vAlign w:val="center"/>
          </w:tcPr>
          <w:p w14:paraId="346F1A1E">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河长（km）</w:t>
            </w:r>
          </w:p>
        </w:tc>
        <w:tc>
          <w:tcPr>
            <w:tcW w:w="1070" w:type="pct"/>
            <w:noWrap/>
            <w:vAlign w:val="center"/>
          </w:tcPr>
          <w:p w14:paraId="6FF49F37">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流域面积（km2）</w:t>
            </w:r>
          </w:p>
        </w:tc>
        <w:tc>
          <w:tcPr>
            <w:tcW w:w="1542" w:type="pct"/>
            <w:noWrap/>
            <w:vAlign w:val="center"/>
          </w:tcPr>
          <w:p w14:paraId="000C8043">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涉及镇区</w:t>
            </w:r>
          </w:p>
        </w:tc>
        <w:tc>
          <w:tcPr>
            <w:tcW w:w="698" w:type="pct"/>
            <w:noWrap/>
            <w:vAlign w:val="center"/>
          </w:tcPr>
          <w:p w14:paraId="30B7AA15">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评价河段</w:t>
            </w:r>
          </w:p>
        </w:tc>
      </w:tr>
      <w:tr w14:paraId="05202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71BD26D6">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w:t>
            </w:r>
          </w:p>
        </w:tc>
        <w:tc>
          <w:tcPr>
            <w:tcW w:w="565" w:type="pct"/>
            <w:noWrap/>
            <w:vAlign w:val="center"/>
          </w:tcPr>
          <w:p w14:paraId="601E24C6">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东芦河</w:t>
            </w:r>
          </w:p>
        </w:tc>
        <w:tc>
          <w:tcPr>
            <w:tcW w:w="770" w:type="pct"/>
            <w:noWrap/>
            <w:vAlign w:val="center"/>
          </w:tcPr>
          <w:p w14:paraId="56351A2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41.35</w:t>
            </w:r>
          </w:p>
        </w:tc>
        <w:tc>
          <w:tcPr>
            <w:tcW w:w="1070" w:type="pct"/>
            <w:noWrap/>
            <w:vAlign w:val="center"/>
          </w:tcPr>
          <w:p w14:paraId="54DCBD5C">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408.2</w:t>
            </w:r>
          </w:p>
        </w:tc>
        <w:tc>
          <w:tcPr>
            <w:tcW w:w="1542" w:type="pct"/>
            <w:noWrap/>
            <w:vAlign w:val="center"/>
          </w:tcPr>
          <w:p w14:paraId="5AE3BA1C">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杨米涧镇、镇靖镇</w:t>
            </w:r>
          </w:p>
        </w:tc>
        <w:tc>
          <w:tcPr>
            <w:tcW w:w="698" w:type="pct"/>
            <w:noWrap/>
            <w:vAlign w:val="center"/>
          </w:tcPr>
          <w:p w14:paraId="4BB300C7">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p>
        </w:tc>
      </w:tr>
      <w:tr w14:paraId="5E821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468CB7CA">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565" w:type="pct"/>
            <w:noWrap/>
            <w:vAlign w:val="center"/>
          </w:tcPr>
          <w:p w14:paraId="52C0BAF3">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石窑沟</w:t>
            </w:r>
          </w:p>
        </w:tc>
        <w:tc>
          <w:tcPr>
            <w:tcW w:w="770" w:type="pct"/>
            <w:noWrap/>
            <w:vAlign w:val="center"/>
          </w:tcPr>
          <w:p w14:paraId="5BCE3E2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42.7</w:t>
            </w:r>
          </w:p>
        </w:tc>
        <w:tc>
          <w:tcPr>
            <w:tcW w:w="1070" w:type="pct"/>
            <w:noWrap/>
            <w:vAlign w:val="center"/>
          </w:tcPr>
          <w:p w14:paraId="4A2EE06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413.9</w:t>
            </w:r>
          </w:p>
        </w:tc>
        <w:tc>
          <w:tcPr>
            <w:tcW w:w="1542" w:type="pct"/>
            <w:noWrap/>
            <w:vAlign w:val="center"/>
          </w:tcPr>
          <w:p w14:paraId="10674DB4">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中山涧镇、王渠则镇、东坑镇</w:t>
            </w:r>
          </w:p>
        </w:tc>
        <w:tc>
          <w:tcPr>
            <w:tcW w:w="698" w:type="pct"/>
            <w:noWrap/>
            <w:vAlign w:val="center"/>
          </w:tcPr>
          <w:p w14:paraId="2D06B8E0">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p>
        </w:tc>
      </w:tr>
      <w:tr w14:paraId="0FB96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6376407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3</w:t>
            </w:r>
          </w:p>
        </w:tc>
        <w:tc>
          <w:tcPr>
            <w:tcW w:w="565" w:type="pct"/>
            <w:noWrap/>
            <w:vAlign w:val="center"/>
          </w:tcPr>
          <w:p w14:paraId="11123888">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慧桥沟</w:t>
            </w:r>
          </w:p>
        </w:tc>
        <w:tc>
          <w:tcPr>
            <w:tcW w:w="770" w:type="pct"/>
            <w:noWrap/>
            <w:vAlign w:val="center"/>
          </w:tcPr>
          <w:p w14:paraId="06FBABC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24.6</w:t>
            </w:r>
          </w:p>
        </w:tc>
        <w:tc>
          <w:tcPr>
            <w:tcW w:w="1070" w:type="pct"/>
            <w:noWrap/>
            <w:vAlign w:val="center"/>
          </w:tcPr>
          <w:p w14:paraId="05AFD09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305.5</w:t>
            </w:r>
          </w:p>
        </w:tc>
        <w:tc>
          <w:tcPr>
            <w:tcW w:w="1542" w:type="pct"/>
            <w:noWrap/>
            <w:vAlign w:val="center"/>
          </w:tcPr>
          <w:p w14:paraId="2E46EDB9">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龙洲镇</w:t>
            </w:r>
          </w:p>
        </w:tc>
        <w:tc>
          <w:tcPr>
            <w:tcW w:w="698" w:type="pct"/>
            <w:noWrap/>
            <w:vAlign w:val="center"/>
          </w:tcPr>
          <w:p w14:paraId="551A429F">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p>
        </w:tc>
      </w:tr>
      <w:tr w14:paraId="1739F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194E570E">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565" w:type="pct"/>
            <w:noWrap/>
            <w:vAlign w:val="center"/>
          </w:tcPr>
          <w:p w14:paraId="5BF80448">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老庄沟</w:t>
            </w:r>
          </w:p>
        </w:tc>
        <w:tc>
          <w:tcPr>
            <w:tcW w:w="770" w:type="pct"/>
            <w:noWrap/>
            <w:vAlign w:val="center"/>
          </w:tcPr>
          <w:p w14:paraId="56B37F7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34.7</w:t>
            </w:r>
          </w:p>
        </w:tc>
        <w:tc>
          <w:tcPr>
            <w:tcW w:w="1070" w:type="pct"/>
            <w:noWrap/>
            <w:vAlign w:val="center"/>
          </w:tcPr>
          <w:p w14:paraId="148A8253">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294.3</w:t>
            </w:r>
          </w:p>
        </w:tc>
        <w:tc>
          <w:tcPr>
            <w:tcW w:w="1542" w:type="pct"/>
            <w:noWrap/>
            <w:vAlign w:val="center"/>
          </w:tcPr>
          <w:p w14:paraId="11E0202E">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天赐湾镇、小河镇、青阳岔镇</w:t>
            </w:r>
          </w:p>
        </w:tc>
        <w:tc>
          <w:tcPr>
            <w:tcW w:w="698" w:type="pct"/>
            <w:noWrap/>
            <w:vAlign w:val="center"/>
          </w:tcPr>
          <w:p w14:paraId="11C55E7A">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p>
        </w:tc>
      </w:tr>
      <w:tr w14:paraId="2AD53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7EDCE195">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5</w:t>
            </w:r>
          </w:p>
        </w:tc>
        <w:tc>
          <w:tcPr>
            <w:tcW w:w="565" w:type="pct"/>
            <w:noWrap/>
            <w:vAlign w:val="center"/>
          </w:tcPr>
          <w:p w14:paraId="1FC16DEA">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圪洞沟</w:t>
            </w:r>
          </w:p>
        </w:tc>
        <w:tc>
          <w:tcPr>
            <w:tcW w:w="770" w:type="pct"/>
            <w:noWrap/>
            <w:vAlign w:val="center"/>
          </w:tcPr>
          <w:p w14:paraId="084E40B2">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27.49</w:t>
            </w:r>
          </w:p>
        </w:tc>
        <w:tc>
          <w:tcPr>
            <w:tcW w:w="1070" w:type="pct"/>
            <w:noWrap/>
            <w:vAlign w:val="center"/>
          </w:tcPr>
          <w:p w14:paraId="6C229D44">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94.64</w:t>
            </w:r>
          </w:p>
        </w:tc>
        <w:tc>
          <w:tcPr>
            <w:tcW w:w="1542" w:type="pct"/>
            <w:noWrap/>
            <w:vAlign w:val="center"/>
          </w:tcPr>
          <w:p w14:paraId="18834706">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红墩界镇</w:t>
            </w:r>
          </w:p>
        </w:tc>
        <w:tc>
          <w:tcPr>
            <w:tcW w:w="698" w:type="pct"/>
            <w:noWrap/>
            <w:vAlign w:val="center"/>
          </w:tcPr>
          <w:p w14:paraId="720D5E1E">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7AD08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3B2539C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565" w:type="pct"/>
            <w:noWrap/>
            <w:vAlign w:val="center"/>
          </w:tcPr>
          <w:p w14:paraId="53346486">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打营峁子沟</w:t>
            </w:r>
          </w:p>
        </w:tc>
        <w:tc>
          <w:tcPr>
            <w:tcW w:w="770" w:type="pct"/>
            <w:noWrap/>
            <w:vAlign w:val="center"/>
          </w:tcPr>
          <w:p w14:paraId="443B562A">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24.8</w:t>
            </w:r>
          </w:p>
        </w:tc>
        <w:tc>
          <w:tcPr>
            <w:tcW w:w="1070" w:type="pct"/>
            <w:noWrap/>
            <w:vAlign w:val="center"/>
          </w:tcPr>
          <w:p w14:paraId="2685F132">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141</w:t>
            </w:r>
          </w:p>
        </w:tc>
        <w:tc>
          <w:tcPr>
            <w:tcW w:w="1542" w:type="pct"/>
            <w:noWrap/>
            <w:vAlign w:val="center"/>
          </w:tcPr>
          <w:p w14:paraId="1D4A265E">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黄蒿界镇</w:t>
            </w:r>
          </w:p>
        </w:tc>
        <w:tc>
          <w:tcPr>
            <w:tcW w:w="698" w:type="pct"/>
            <w:noWrap/>
            <w:vAlign w:val="center"/>
          </w:tcPr>
          <w:p w14:paraId="45F3D9E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6F25D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47750A96">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7</w:t>
            </w:r>
          </w:p>
        </w:tc>
        <w:tc>
          <w:tcPr>
            <w:tcW w:w="565" w:type="pct"/>
            <w:noWrap/>
            <w:vAlign w:val="center"/>
          </w:tcPr>
          <w:p w14:paraId="018836A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东门沟</w:t>
            </w:r>
          </w:p>
        </w:tc>
        <w:tc>
          <w:tcPr>
            <w:tcW w:w="770" w:type="pct"/>
            <w:noWrap/>
            <w:vAlign w:val="center"/>
          </w:tcPr>
          <w:p w14:paraId="59D43F6E">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19.2</w:t>
            </w:r>
          </w:p>
        </w:tc>
        <w:tc>
          <w:tcPr>
            <w:tcW w:w="1070" w:type="pct"/>
            <w:noWrap/>
            <w:vAlign w:val="center"/>
          </w:tcPr>
          <w:p w14:paraId="3316E825">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60.08</w:t>
            </w:r>
          </w:p>
        </w:tc>
        <w:tc>
          <w:tcPr>
            <w:tcW w:w="1542" w:type="pct"/>
            <w:noWrap/>
            <w:vAlign w:val="center"/>
          </w:tcPr>
          <w:p w14:paraId="424EBD40">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杨桥畔镇</w:t>
            </w:r>
          </w:p>
        </w:tc>
        <w:tc>
          <w:tcPr>
            <w:tcW w:w="698" w:type="pct"/>
            <w:noWrap/>
            <w:vAlign w:val="center"/>
          </w:tcPr>
          <w:p w14:paraId="1604F969">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05219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6E4F9899">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565" w:type="pct"/>
            <w:noWrap/>
            <w:vAlign w:val="center"/>
          </w:tcPr>
          <w:p w14:paraId="214ECD54">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周家沟</w:t>
            </w:r>
          </w:p>
        </w:tc>
        <w:tc>
          <w:tcPr>
            <w:tcW w:w="770" w:type="pct"/>
            <w:noWrap/>
            <w:vAlign w:val="center"/>
          </w:tcPr>
          <w:p w14:paraId="5D225E13">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17.91</w:t>
            </w:r>
          </w:p>
        </w:tc>
        <w:tc>
          <w:tcPr>
            <w:tcW w:w="1070" w:type="pct"/>
            <w:noWrap/>
            <w:vAlign w:val="center"/>
          </w:tcPr>
          <w:p w14:paraId="60C95D7E">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87.92</w:t>
            </w:r>
          </w:p>
        </w:tc>
        <w:tc>
          <w:tcPr>
            <w:tcW w:w="1542" w:type="pct"/>
            <w:noWrap/>
            <w:vAlign w:val="center"/>
          </w:tcPr>
          <w:p w14:paraId="676051AD">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天赐湾镇、杨米涧镇、镇靖镇</w:t>
            </w:r>
          </w:p>
        </w:tc>
        <w:tc>
          <w:tcPr>
            <w:tcW w:w="698" w:type="pct"/>
            <w:noWrap/>
            <w:vAlign w:val="center"/>
          </w:tcPr>
          <w:p w14:paraId="39C4D04F">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p>
        </w:tc>
      </w:tr>
      <w:tr w14:paraId="6012F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1136AE5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9</w:t>
            </w:r>
          </w:p>
        </w:tc>
        <w:tc>
          <w:tcPr>
            <w:tcW w:w="565" w:type="pct"/>
            <w:noWrap/>
            <w:vAlign w:val="center"/>
          </w:tcPr>
          <w:p w14:paraId="0705D219">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赵家湾</w:t>
            </w:r>
          </w:p>
        </w:tc>
        <w:tc>
          <w:tcPr>
            <w:tcW w:w="770" w:type="pct"/>
            <w:noWrap/>
            <w:vAlign w:val="center"/>
          </w:tcPr>
          <w:p w14:paraId="7E9422C3">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17.121</w:t>
            </w:r>
          </w:p>
        </w:tc>
        <w:tc>
          <w:tcPr>
            <w:tcW w:w="1070" w:type="pct"/>
            <w:noWrap/>
            <w:vAlign w:val="center"/>
          </w:tcPr>
          <w:p w14:paraId="55ADEEEF">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72.25</w:t>
            </w:r>
          </w:p>
        </w:tc>
        <w:tc>
          <w:tcPr>
            <w:tcW w:w="1542" w:type="pct"/>
            <w:noWrap/>
            <w:vAlign w:val="center"/>
          </w:tcPr>
          <w:p w14:paraId="297BF05E">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天赐湾镇、镇靖镇</w:t>
            </w:r>
          </w:p>
        </w:tc>
        <w:tc>
          <w:tcPr>
            <w:tcW w:w="698" w:type="pct"/>
            <w:noWrap/>
            <w:vAlign w:val="center"/>
          </w:tcPr>
          <w:p w14:paraId="454EF760">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66F5B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2D78C31C">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10</w:t>
            </w:r>
          </w:p>
        </w:tc>
        <w:tc>
          <w:tcPr>
            <w:tcW w:w="565" w:type="pct"/>
            <w:noWrap/>
            <w:vAlign w:val="center"/>
          </w:tcPr>
          <w:p w14:paraId="25B6333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双城沟</w:t>
            </w:r>
          </w:p>
        </w:tc>
        <w:tc>
          <w:tcPr>
            <w:tcW w:w="770" w:type="pct"/>
            <w:noWrap/>
            <w:vAlign w:val="center"/>
          </w:tcPr>
          <w:p w14:paraId="4B873F8C">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15.3</w:t>
            </w:r>
          </w:p>
        </w:tc>
        <w:tc>
          <w:tcPr>
            <w:tcW w:w="1070" w:type="pct"/>
            <w:noWrap/>
            <w:vAlign w:val="center"/>
          </w:tcPr>
          <w:p w14:paraId="74224D55">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71.6</w:t>
            </w:r>
          </w:p>
        </w:tc>
        <w:tc>
          <w:tcPr>
            <w:tcW w:w="1542" w:type="pct"/>
            <w:noWrap/>
            <w:vAlign w:val="center"/>
          </w:tcPr>
          <w:p w14:paraId="3948B02B">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龙州镇、青阳岔镇</w:t>
            </w:r>
          </w:p>
        </w:tc>
        <w:tc>
          <w:tcPr>
            <w:tcW w:w="698" w:type="pct"/>
            <w:noWrap/>
            <w:vAlign w:val="center"/>
          </w:tcPr>
          <w:p w14:paraId="11911D3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52A87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5856B66C">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11</w:t>
            </w:r>
          </w:p>
        </w:tc>
        <w:tc>
          <w:tcPr>
            <w:tcW w:w="565" w:type="pct"/>
            <w:noWrap/>
            <w:vAlign w:val="center"/>
          </w:tcPr>
          <w:p w14:paraId="5E868BC6">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小河</w:t>
            </w:r>
          </w:p>
        </w:tc>
        <w:tc>
          <w:tcPr>
            <w:tcW w:w="770" w:type="pct"/>
            <w:noWrap/>
            <w:vAlign w:val="center"/>
          </w:tcPr>
          <w:p w14:paraId="4AF92361">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22.478</w:t>
            </w:r>
          </w:p>
        </w:tc>
        <w:tc>
          <w:tcPr>
            <w:tcW w:w="1070" w:type="pct"/>
            <w:noWrap/>
            <w:vAlign w:val="center"/>
          </w:tcPr>
          <w:p w14:paraId="77EE94C4">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69.72</w:t>
            </w:r>
          </w:p>
        </w:tc>
        <w:tc>
          <w:tcPr>
            <w:tcW w:w="1542" w:type="pct"/>
            <w:noWrap/>
            <w:vAlign w:val="center"/>
          </w:tcPr>
          <w:p w14:paraId="4830627C">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小河镇</w:t>
            </w:r>
          </w:p>
        </w:tc>
        <w:tc>
          <w:tcPr>
            <w:tcW w:w="698" w:type="pct"/>
            <w:noWrap/>
            <w:vAlign w:val="center"/>
          </w:tcPr>
          <w:p w14:paraId="6B21E3C2">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571AD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54B9CEF8">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565" w:type="pct"/>
            <w:noWrap/>
            <w:vAlign w:val="center"/>
          </w:tcPr>
          <w:p w14:paraId="33C5E1CE">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袁家湾</w:t>
            </w:r>
          </w:p>
        </w:tc>
        <w:tc>
          <w:tcPr>
            <w:tcW w:w="770" w:type="pct"/>
            <w:noWrap/>
            <w:vAlign w:val="center"/>
          </w:tcPr>
          <w:p w14:paraId="596C4EA2">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16.58</w:t>
            </w:r>
          </w:p>
        </w:tc>
        <w:tc>
          <w:tcPr>
            <w:tcW w:w="1070" w:type="pct"/>
            <w:noWrap/>
            <w:vAlign w:val="center"/>
          </w:tcPr>
          <w:p w14:paraId="09A779E0">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70.1</w:t>
            </w:r>
          </w:p>
        </w:tc>
        <w:tc>
          <w:tcPr>
            <w:tcW w:w="1542" w:type="pct"/>
            <w:noWrap/>
            <w:vAlign w:val="center"/>
          </w:tcPr>
          <w:p w14:paraId="4ACE99CD">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杨桥畔镇、青阳岔镇</w:t>
            </w:r>
          </w:p>
        </w:tc>
        <w:tc>
          <w:tcPr>
            <w:tcW w:w="698" w:type="pct"/>
            <w:noWrap/>
            <w:vAlign w:val="center"/>
          </w:tcPr>
          <w:p w14:paraId="43F98755">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r w14:paraId="07FF2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2" w:type="pct"/>
            <w:noWrap/>
            <w:vAlign w:val="center"/>
          </w:tcPr>
          <w:p w14:paraId="55E4E28B">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13</w:t>
            </w:r>
          </w:p>
        </w:tc>
        <w:tc>
          <w:tcPr>
            <w:tcW w:w="565" w:type="pct"/>
            <w:noWrap/>
            <w:vAlign w:val="center"/>
          </w:tcPr>
          <w:p w14:paraId="7D76AFAC">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波罗地梁</w:t>
            </w:r>
          </w:p>
        </w:tc>
        <w:tc>
          <w:tcPr>
            <w:tcW w:w="770" w:type="pct"/>
            <w:noWrap/>
            <w:vAlign w:val="center"/>
          </w:tcPr>
          <w:p w14:paraId="3370023D">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4.39</w:t>
            </w:r>
          </w:p>
        </w:tc>
        <w:tc>
          <w:tcPr>
            <w:tcW w:w="1070" w:type="pct"/>
            <w:noWrap/>
            <w:vAlign w:val="center"/>
          </w:tcPr>
          <w:p w14:paraId="0EFBF25A">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rPr>
              <w:t>4.39</w:t>
            </w:r>
          </w:p>
        </w:tc>
        <w:tc>
          <w:tcPr>
            <w:tcW w:w="1542" w:type="pct"/>
            <w:noWrap/>
            <w:vAlign w:val="center"/>
          </w:tcPr>
          <w:p w14:paraId="58C6C861">
            <w:pPr>
              <w:spacing w:before="105" w:line="360" w:lineRule="auto"/>
              <w:ind w:right="153"/>
              <w:jc w:val="both"/>
              <w:rPr>
                <w:rFonts w:hint="eastAsia" w:ascii="宋体" w:hAnsi="宋体" w:eastAsia="宋体" w:cs="宋体"/>
                <w:spacing w:val="-1"/>
                <w:sz w:val="24"/>
                <w:szCs w:val="24"/>
              </w:rPr>
            </w:pPr>
            <w:r>
              <w:rPr>
                <w:rFonts w:hint="eastAsia" w:ascii="宋体" w:hAnsi="宋体" w:eastAsia="宋体" w:cs="宋体"/>
                <w:spacing w:val="-1"/>
                <w:sz w:val="24"/>
                <w:szCs w:val="24"/>
              </w:rPr>
              <w:t>红墩界镇</w:t>
            </w:r>
          </w:p>
        </w:tc>
        <w:tc>
          <w:tcPr>
            <w:tcW w:w="698" w:type="pct"/>
            <w:noWrap/>
            <w:vAlign w:val="center"/>
          </w:tcPr>
          <w:p w14:paraId="61A4CCF9">
            <w:pPr>
              <w:spacing w:before="105" w:line="360" w:lineRule="auto"/>
              <w:ind w:right="153"/>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p>
        </w:tc>
      </w:tr>
    </w:tbl>
    <w:p w14:paraId="0F9C22C5">
      <w:pPr>
        <w:spacing w:before="85" w:line="360" w:lineRule="auto"/>
        <w:ind w:firstLine="297" w:firstLineChars="100"/>
        <w:outlineLvl w:val="9"/>
        <w:rPr>
          <w:rFonts w:hint="eastAsia" w:ascii="宋体" w:hAnsi="宋体" w:eastAsia="宋体" w:cs="宋体"/>
          <w:b/>
          <w:bCs/>
          <w:color w:val="333333"/>
          <w:spacing w:val="8"/>
          <w:sz w:val="28"/>
          <w:szCs w:val="28"/>
        </w:rPr>
      </w:pPr>
      <w:bookmarkStart w:id="6" w:name="_Toc2777"/>
      <w:r>
        <w:rPr>
          <w:rFonts w:hint="eastAsia" w:ascii="宋体" w:hAnsi="宋体" w:eastAsia="宋体" w:cs="宋体"/>
          <w:b/>
          <w:bCs/>
          <w:color w:val="333333"/>
          <w:spacing w:val="8"/>
          <w:sz w:val="28"/>
          <w:szCs w:val="28"/>
          <w:lang w:val="en-US" w:eastAsia="zh-CN"/>
        </w:rPr>
        <w:t>2</w:t>
      </w:r>
      <w:r>
        <w:rPr>
          <w:rFonts w:hint="eastAsia" w:ascii="宋体" w:hAnsi="宋体" w:eastAsia="宋体" w:cs="宋体"/>
          <w:b/>
          <w:bCs/>
          <w:color w:val="333333"/>
          <w:spacing w:val="8"/>
          <w:sz w:val="28"/>
          <w:szCs w:val="28"/>
        </w:rPr>
        <w:t>.2编制任务</w:t>
      </w:r>
      <w:bookmarkEnd w:id="6"/>
    </w:p>
    <w:p w14:paraId="36A2B723">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结合靖边县县级负责的13条河流水情和河道管理实际，基于河流健康概念从生态系统结构完整性、生态系统抗扰动弹性、社会服务功能可持续性三个方面建立河湖健康评价指标体系与评价方法，从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水</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生物、社会服务功能等4个准则层对其健康状态进行评价，快速辨识河流健康存在问题、及时分析原因，帮助公众了解河流真实健康状况，为各级河长及相关主管部门履行河湖管理保护职责提供参考。本次靖边县县级负责的13条河流健康评价主要任务如下：</w:t>
      </w:r>
    </w:p>
    <w:p w14:paraId="65C177BF">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（1）确定河流健康评价指标；</w:t>
      </w:r>
    </w:p>
    <w:p w14:paraId="0A3F24E2">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（2）调查监测河流健康指标值；</w:t>
      </w:r>
    </w:p>
    <w:p w14:paraId="16C38C2F">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（3）评估河流健康整体状况；</w:t>
      </w:r>
    </w:p>
    <w:p w14:paraId="237DD25D">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（4）分析导致河流不健康的原因；</w:t>
      </w:r>
    </w:p>
    <w:p w14:paraId="2169F5DD">
      <w:pPr>
        <w:spacing w:before="105" w:line="360" w:lineRule="auto"/>
        <w:ind w:right="153" w:firstLine="483"/>
        <w:rPr>
          <w:rFonts w:hint="eastAsia" w:ascii="宋体" w:hAnsi="宋体" w:eastAsia="宋体" w:cs="宋体"/>
          <w:spacing w:val="-1"/>
          <w:sz w:val="24"/>
          <w:szCs w:val="24"/>
        </w:rPr>
      </w:pPr>
      <w:r>
        <w:rPr>
          <w:rFonts w:hint="eastAsia" w:ascii="宋体" w:hAnsi="宋体" w:eastAsia="宋体" w:cs="宋体"/>
          <w:spacing w:val="-1"/>
          <w:sz w:val="24"/>
          <w:szCs w:val="24"/>
        </w:rPr>
        <w:t>（5）提出河流健康保护和修复建议方案。</w:t>
      </w:r>
    </w:p>
    <w:p w14:paraId="1DAE9793">
      <w:pPr>
        <w:rPr>
          <w:rFonts w:hint="default" w:ascii="宋体" w:hAnsi="宋体" w:eastAsia="宋体" w:cs="宋体"/>
          <w:b/>
          <w:bCs/>
          <w:spacing w:val="5"/>
          <w:sz w:val="36"/>
          <w:szCs w:val="36"/>
          <w:lang w:val="en-US" w:eastAsia="zh-CN"/>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4F8B"/>
    <w:rsid w:val="5B1D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10"/>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2025-08-13T01:34:00Z</dcterms:created>
  <dc:creator>公 瑾－</dc:creator>
  <cp:lastModifiedBy>公 瑾－</cp:lastModifiedBy>
  <dcterms:modified xsi:type="dcterms:W3CDTF">2025-08-13T01:36:21Z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16ADFA720A234B05BD9EFBC50766F1F8_11</vt:lpwstr>
  </property>
  <property fmtid="{D5CDD505-2E9C-101B-9397-08002B2CF9AE}" pid="4" name="KSOTemplateDocerSaveRecord">
    <vt:lpwstr>eyJoZGlkIjoiMmM5MTIxYmFmZjM4OWU1OGZkNzM4ZjM3MzdkYjQxNzEiLCJ1c2VySWQiOiIxMDg4NjYyMDg1In0=</vt:lpwstr>
  </property>
</Properties>
</file>