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hint="eastAsia" w:eastAsia="宋体" w:cs="Tahoma"/>
          <w:sz w:val="44"/>
          <w:szCs w:val="44"/>
        </w:rPr>
      </w:pPr>
      <w:bookmarkStart w:id="16" w:name="_GoBack"/>
      <w:bookmarkEnd w:id="16"/>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7"/>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5"/>
        <w:widowControl w:val="0"/>
        <w:topLinePunct/>
        <w:rPr>
          <w:rFonts w:cstheme="minorHAnsi"/>
        </w:rPr>
      </w:pPr>
      <w:r>
        <w:rPr>
          <w:rFonts w:hint="eastAsia" w:cstheme="minorHAnsi"/>
        </w:rPr>
        <w:t>竞争性磋商</w:t>
      </w:r>
      <w:r>
        <w:rPr>
          <w:rFonts w:cstheme="minorHAnsi"/>
        </w:rPr>
        <w:t>文件</w:t>
      </w:r>
    </w:p>
    <w:p w14:paraId="0BF7852F">
      <w:pPr>
        <w:widowControl w:val="0"/>
        <w:topLinePunct/>
        <w:spacing w:line="360" w:lineRule="auto"/>
        <w:jc w:val="center"/>
        <w:rPr>
          <w:rFonts w:eastAsia="宋体" w:cs="Tahoma"/>
          <w:sz w:val="36"/>
          <w:szCs w:val="36"/>
        </w:rPr>
      </w:pPr>
    </w:p>
    <w:p w14:paraId="31BD0224">
      <w:pPr>
        <w:pStyle w:val="38"/>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2025年西安市住建局住房租赁交易服务平台新运维项目</w:t>
      </w:r>
    </w:p>
    <w:p w14:paraId="3B07DD0B">
      <w:pPr>
        <w:pStyle w:val="38"/>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XCZX2025-0112</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6"/>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622B6DAE">
      <w:pPr>
        <w:pStyle w:val="21"/>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3"/>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14:paraId="371B8779">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3"/>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14:paraId="36290FF0">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3"/>
          <w:rFonts w:hint="eastAsia"/>
        </w:rPr>
        <w:t>第三章　磋商内容及要求</w:t>
      </w:r>
      <w:r>
        <w:tab/>
      </w:r>
      <w:r>
        <w:fldChar w:fldCharType="begin"/>
      </w:r>
      <w:r>
        <w:instrText xml:space="preserve"> PAGEREF _Toc100219614 \h </w:instrText>
      </w:r>
      <w:r>
        <w:fldChar w:fldCharType="separate"/>
      </w:r>
      <w:r>
        <w:t>31</w:t>
      </w:r>
      <w:r>
        <w:fldChar w:fldCharType="end"/>
      </w:r>
      <w:r>
        <w:fldChar w:fldCharType="end"/>
      </w:r>
    </w:p>
    <w:p w14:paraId="60554200">
      <w:pPr>
        <w:pStyle w:val="21"/>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3"/>
          <w:rFonts w:hint="eastAsia"/>
        </w:rPr>
        <w:t>第四章　合同草案条款</w:t>
      </w:r>
      <w:r>
        <w:tab/>
      </w:r>
      <w:r>
        <w:fldChar w:fldCharType="end"/>
      </w:r>
      <w:r>
        <w:t>32</w:t>
      </w:r>
    </w:p>
    <w:p w14:paraId="41D1F5B5">
      <w:pPr>
        <w:pStyle w:val="21"/>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3"/>
          <w:rFonts w:hint="eastAsia"/>
        </w:rPr>
        <w:t>第五章　响应文件构成及格式</w:t>
      </w:r>
      <w:r>
        <w:tab/>
      </w:r>
      <w:r>
        <w:fldChar w:fldCharType="begin"/>
      </w:r>
      <w:r>
        <w:instrText xml:space="preserve"> PAGEREF _Toc100219616 \h </w:instrText>
      </w:r>
      <w:r>
        <w:fldChar w:fldCharType="separate"/>
      </w:r>
      <w:r>
        <w:t>48</w:t>
      </w:r>
      <w:r>
        <w:fldChar w:fldCharType="end"/>
      </w:r>
      <w:r>
        <w:fldChar w:fldCharType="end"/>
      </w: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100219612"/>
      <w:r>
        <w:rPr>
          <w:rFonts w:hint="eastAsia"/>
        </w:rPr>
        <w:t>第一章　磋商邀请函</w:t>
      </w:r>
      <w:bookmarkEnd w:id="0"/>
    </w:p>
    <w:p w14:paraId="0B3A0504">
      <w:pPr>
        <w:widowControl w:val="0"/>
        <w:topLinePunct/>
        <w:ind w:firstLine="480" w:firstLineChars="200"/>
        <w:jc w:val="both"/>
      </w:pPr>
      <w:r>
        <w:rPr>
          <w:rFonts w:hint="eastAsia"/>
        </w:rPr>
        <w:t>西安市市级单位政府采购中心受</w:t>
      </w:r>
      <w:r>
        <w:rPr>
          <w:rFonts w:hint="eastAsia"/>
          <w:color w:val="C00000"/>
        </w:rPr>
        <w:t>西安市住房和城乡建设信息中心</w:t>
      </w:r>
      <w:r>
        <w:rPr>
          <w:rFonts w:hint="eastAsia"/>
        </w:rPr>
        <w:t>的委托，经政府采购监管部门批准，按照政府采购程序，对</w:t>
      </w:r>
      <w:r>
        <w:rPr>
          <w:rFonts w:hint="eastAsia"/>
          <w:color w:val="C00000"/>
        </w:rPr>
        <w:t>2025年西安市住建局住房租赁交易服务平台新运维项目</w:t>
      </w:r>
      <w:r>
        <w:rPr>
          <w:rFonts w:hint="eastAsia"/>
        </w:rPr>
        <w:t>项目进行竞争性磋商，欢迎符合资格条件的、有能力提供本项目所需货物和服务的供应商参加磋商。</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bookmarkStart w:id="1" w:name="OLE_LINK1"/>
      <w:r>
        <w:rPr>
          <w:rFonts w:hint="eastAsia"/>
          <w:color w:val="C00000"/>
        </w:rPr>
        <w:t>2025年西安市住建局住房租赁交易服务平台新运维项目</w:t>
      </w:r>
      <w:bookmarkEnd w:id="1"/>
    </w:p>
    <w:p w14:paraId="62B33849">
      <w:pPr>
        <w:widowControl w:val="0"/>
        <w:topLinePunct/>
        <w:ind w:firstLine="480" w:firstLineChars="200"/>
        <w:jc w:val="both"/>
      </w:pPr>
      <w:r>
        <w:rPr>
          <w:rFonts w:hint="eastAsia"/>
        </w:rPr>
        <w:t>项目编号：</w:t>
      </w:r>
      <w:r>
        <w:rPr>
          <w:rFonts w:hint="eastAsia"/>
          <w:color w:val="C00000"/>
        </w:rPr>
        <w:t>XCZX2025-0112</w:t>
      </w:r>
    </w:p>
    <w:p w14:paraId="3201ECCD">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3528</w:t>
      </w:r>
    </w:p>
    <w:p w14:paraId="11EC738C">
      <w:pPr>
        <w:widowControl w:val="0"/>
        <w:topLinePunct/>
        <w:ind w:firstLine="480" w:firstLineChars="200"/>
        <w:jc w:val="both"/>
      </w:pPr>
      <w:r>
        <w:rPr>
          <w:rFonts w:hint="eastAsia"/>
          <w:b/>
        </w:rPr>
        <w:t>二、项目性质：</w:t>
      </w:r>
      <w:r>
        <w:rPr>
          <w:rFonts w:hint="eastAsia"/>
          <w:color w:val="C00000"/>
        </w:rPr>
        <w:t>专门面向中小企业的采购项目</w:t>
      </w:r>
    </w:p>
    <w:p w14:paraId="143219DA">
      <w:pPr>
        <w:widowControl w:val="0"/>
        <w:topLinePunct/>
        <w:ind w:firstLine="480" w:firstLineChars="200"/>
        <w:jc w:val="both"/>
        <w:rPr>
          <w:color w:val="C00000"/>
        </w:rPr>
      </w:pPr>
      <w:r>
        <w:rPr>
          <w:rFonts w:hint="eastAsia"/>
          <w:b/>
        </w:rPr>
        <w:t>三、采购预算：</w:t>
      </w:r>
      <w:r>
        <w:rPr>
          <w:rFonts w:hint="eastAsia"/>
          <w:color w:val="C00000"/>
        </w:rPr>
        <w:t>〈1754000元〉（最高限价〈1754000元〉）</w:t>
      </w:r>
    </w:p>
    <w:p w14:paraId="22CDC1C3">
      <w:pPr>
        <w:widowControl w:val="0"/>
        <w:topLinePunct/>
        <w:ind w:firstLine="480" w:firstLineChars="200"/>
        <w:jc w:val="both"/>
        <w:rPr>
          <w:b/>
        </w:rPr>
      </w:pPr>
      <w:r>
        <w:rPr>
          <w:b/>
        </w:rPr>
        <w:t>四、采购</w:t>
      </w:r>
      <w:r>
        <w:rPr>
          <w:rFonts w:hint="eastAsia"/>
          <w:b/>
        </w:rPr>
        <w:t>内容和要求：</w:t>
      </w:r>
    </w:p>
    <w:p w14:paraId="64FC89D4">
      <w:pPr>
        <w:widowControl w:val="0"/>
        <w:topLinePunct/>
        <w:ind w:firstLine="480" w:firstLineChars="200"/>
        <w:jc w:val="both"/>
      </w:pPr>
      <w:r>
        <w:rPr>
          <w:rFonts w:hint="eastAsia"/>
        </w:rPr>
        <w:t>详见第三章「磋商内容及要求」。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39B3C26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4036FEA1">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D34C5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58DE4155">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8A5394C">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七、获取磋商文件的时间及方式：</w:t>
      </w:r>
    </w:p>
    <w:p w14:paraId="00291F81">
      <w:pPr>
        <w:widowControl w:val="0"/>
        <w:topLinePunct/>
        <w:ind w:firstLine="480" w:firstLineChars="200"/>
        <w:jc w:val="both"/>
      </w:pPr>
      <w:r>
        <w:rPr>
          <w:rFonts w:hint="eastAsia"/>
        </w:rPr>
        <w:t>1．获取时间：自磋商公告发布之日起5个工作日内。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3"/>
          <w:rFonts w:hint="eastAsia"/>
        </w:rPr>
        <w:t>http://sxggzyjy.xa.gov.cn/</w:t>
      </w:r>
      <w:r>
        <w:rPr>
          <w:rStyle w:val="33"/>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089EDA29">
      <w:pPr>
        <w:widowControl w:val="0"/>
        <w:topLinePunct/>
        <w:ind w:firstLine="480" w:firstLineChars="200"/>
        <w:jc w:val="both"/>
        <w:rPr>
          <w:b/>
        </w:rPr>
      </w:pPr>
      <w:r>
        <w:rPr>
          <w:rFonts w:hint="eastAsia"/>
          <w:b/>
        </w:rPr>
        <w:t>八、提交首次响应文件截止时间及方式：</w:t>
      </w:r>
    </w:p>
    <w:p w14:paraId="51241B74">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年__</w:t>
      </w:r>
      <w:r>
        <w:t>8_</w:t>
      </w:r>
      <w:r>
        <w:rPr>
          <w:rFonts w:hint="eastAsia"/>
        </w:rPr>
        <w:t>月_</w:t>
      </w:r>
      <w:r>
        <w:rPr>
          <w:u w:val="single"/>
        </w:rPr>
        <w:t>15__</w:t>
      </w:r>
      <w:r>
        <w:rPr>
          <w:rFonts w:hint="eastAsia"/>
        </w:rPr>
        <w:t>日10:30，逾期提交的，系统将拒绝接收。</w:t>
      </w:r>
    </w:p>
    <w:p w14:paraId="713E12B2">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002298FE">
      <w:pPr>
        <w:widowControl w:val="0"/>
        <w:topLinePunct/>
        <w:ind w:firstLine="480" w:firstLineChars="200"/>
        <w:jc w:val="both"/>
      </w:pPr>
      <w:r>
        <w:rPr>
          <w:rFonts w:hint="eastAsia"/>
          <w:b/>
        </w:rPr>
        <w:t>九、开启时间、地点及开标形式：</w:t>
      </w:r>
    </w:p>
    <w:p w14:paraId="1CB81DA3">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_8__</w:t>
      </w:r>
      <w:r>
        <w:rPr>
          <w:rFonts w:hint="eastAsia"/>
        </w:rPr>
        <w:t>月_</w:t>
      </w:r>
      <w:r>
        <w:rPr>
          <w:u w:val="single"/>
        </w:rPr>
        <w:t>_15_</w:t>
      </w:r>
      <w:r>
        <w:rPr>
          <w:rFonts w:hint="eastAsia"/>
        </w:rPr>
        <w:t>日10:30</w:t>
      </w:r>
    </w:p>
    <w:p w14:paraId="75602388">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__5_</w:t>
      </w:r>
      <w:r>
        <w:rPr>
          <w:rFonts w:hint="eastAsia"/>
        </w:rPr>
        <w:t>。</w:t>
      </w:r>
    </w:p>
    <w:p w14:paraId="044015C4">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1．采购人：西安市住房和城乡建设信息中心</w:t>
      </w:r>
    </w:p>
    <w:p w14:paraId="07A194B0">
      <w:pPr>
        <w:widowControl w:val="0"/>
        <w:topLinePunct/>
        <w:ind w:firstLine="480" w:firstLineChars="200"/>
        <w:jc w:val="both"/>
      </w:pPr>
      <w:r>
        <w:rPr>
          <w:rFonts w:hint="eastAsia"/>
        </w:rPr>
        <w:t>地址：西安市莲湖区</w:t>
      </w:r>
      <w:r>
        <w:t>西大街</w:t>
      </w:r>
      <w:r>
        <w:rPr>
          <w:rFonts w:hint="eastAsia"/>
        </w:rPr>
        <w:t>116号房产</w:t>
      </w:r>
      <w:r>
        <w:t>交易大厦</w:t>
      </w:r>
    </w:p>
    <w:p w14:paraId="5CD1CE1F">
      <w:pPr>
        <w:widowControl w:val="0"/>
        <w:topLinePunct/>
        <w:ind w:firstLine="480" w:firstLineChars="200"/>
        <w:jc w:val="both"/>
      </w:pPr>
      <w:r>
        <w:rPr>
          <w:rFonts w:hint="eastAsia"/>
        </w:rPr>
        <w:t>联系人：卫老师</w:t>
      </w:r>
      <w:r>
        <w:t xml:space="preserve"> </w:t>
      </w:r>
    </w:p>
    <w:p w14:paraId="7C403659">
      <w:pPr>
        <w:widowControl w:val="0"/>
        <w:topLinePunct/>
        <w:ind w:firstLine="480" w:firstLineChars="200"/>
        <w:jc w:val="both"/>
      </w:pPr>
      <w:r>
        <w:rPr>
          <w:rFonts w:hint="eastAsia"/>
        </w:rPr>
        <w:t>联系电话：0</w:t>
      </w:r>
      <w:r>
        <w:t>29-87619444</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　廖老师（</w:t>
      </w:r>
      <w:r>
        <w:t>80859</w:t>
      </w:r>
      <w:r>
        <w:rPr>
          <w:rFonts w:hint="eastAsia"/>
        </w:rPr>
        <w:t>）</w:t>
      </w:r>
    </w:p>
    <w:p w14:paraId="6F1334A2">
      <w:pPr>
        <w:widowControl w:val="0"/>
        <w:topLinePunct/>
        <w:ind w:firstLine="480" w:firstLineChars="200"/>
        <w:jc w:val="both"/>
      </w:pPr>
      <w:r>
        <w:rPr>
          <w:rFonts w:hint="eastAsia"/>
        </w:rPr>
        <w:t>开标联系人及分机号：　苏老师（</w:t>
      </w:r>
      <w:r>
        <w:t>80837</w:t>
      </w:r>
      <w:r>
        <w:rPr>
          <w:rFonts w:hint="eastAsia"/>
        </w:rPr>
        <w:t>）</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2" w:name="_Toc498349068"/>
      <w:bookmarkStart w:id="3" w:name="_Toc533363235"/>
      <w:bookmarkStart w:id="4" w:name="_Toc534656414"/>
      <w:bookmarkStart w:id="5" w:name="_Toc100219613"/>
      <w:bookmarkStart w:id="6" w:name="_Toc97563329"/>
      <w:bookmarkStart w:id="7" w:name="_Toc445407251"/>
      <w:bookmarkStart w:id="8" w:name="_Toc534656409"/>
      <w:bookmarkStart w:id="9" w:name="_Toc533363262"/>
      <w:r>
        <w:t>第二章</w:t>
      </w:r>
      <w:r>
        <w:rPr>
          <w:rFonts w:hint="eastAsia"/>
        </w:rPr>
        <w:t>　</w:t>
      </w:r>
      <w:r>
        <w:t>供应商须知</w:t>
      </w:r>
      <w:bookmarkEnd w:id="2"/>
      <w:bookmarkEnd w:id="3"/>
      <w:bookmarkEnd w:id="4"/>
      <w:bookmarkEnd w:id="5"/>
      <w:bookmarkEnd w:id="6"/>
      <w:bookmarkEnd w:id="7"/>
      <w:bookmarkEnd w:id="8"/>
      <w:bookmarkEnd w:id="9"/>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70"/>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2025年西安市住建局住房租赁交易服务平台新运维项目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XCZX2025-0112</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74D8F0">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hint="eastAsia"/>
              </w:rPr>
              <w:t>1754000</w:t>
            </w:r>
            <w:r>
              <w:rPr>
                <w:rFonts w:hint="eastAsia" w:ascii="Calibri" w:hAnsi="宋体" w:eastAsia="宋体" w:cstheme="minorHAnsi"/>
                <w:sz w:val="21"/>
              </w:rPr>
              <w:t>元〉（最高限价</w:t>
            </w:r>
            <w:r>
              <w:rPr>
                <w:rFonts w:hint="eastAsia"/>
              </w:rPr>
              <w:t>1754000</w:t>
            </w:r>
            <w:r>
              <w:rPr>
                <w:rFonts w:hint="eastAsia" w:ascii="Calibri" w:hAnsi="宋体" w:eastAsia="宋体" w:cstheme="minorHAnsi"/>
                <w:sz w:val="21"/>
              </w:rPr>
              <w:t>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1D0D8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710653">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40C658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DC1D910">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0B106DD">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261342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AA0FCC2">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3A61785F">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63474F9">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7578361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软件和信息技术服务业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3669E3A3">
      <w:pPr>
        <w:pStyle w:val="3"/>
        <w:jc w:val="both"/>
      </w:pPr>
      <w:r>
        <w:t>一、有关定义</w:t>
      </w:r>
    </w:p>
    <w:p w14:paraId="174EA960">
      <w:pPr>
        <w:ind w:firstLine="480" w:firstLineChars="200"/>
        <w:jc w:val="both"/>
        <w:rPr>
          <w:rFonts w:cstheme="minorHAnsi"/>
        </w:rPr>
      </w:pPr>
      <w:r>
        <w:rPr>
          <w:rFonts w:hint="eastAsia" w:cstheme="minorHAnsi"/>
        </w:rPr>
        <w:t>1．采购人：依法进行政府采购的西安市市级机关、事业单位或团体组织。</w:t>
      </w:r>
    </w:p>
    <w:p w14:paraId="7DF98CC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C49474">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039F54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3"/>
          <w:rFonts w:hint="eastAsia" w:cstheme="minorHAnsi"/>
        </w:rPr>
        <w:t>http</w:t>
      </w:r>
      <w:r>
        <w:rPr>
          <w:rStyle w:val="33"/>
          <w:rFonts w:cstheme="minorHAnsi"/>
        </w:rPr>
        <w:t>://sxggzyjy.xa.gov.cn</w:t>
      </w:r>
      <w:r>
        <w:rPr>
          <w:rStyle w:val="33"/>
          <w:rFonts w:hint="eastAsia" w:cstheme="minorHAnsi"/>
        </w:rPr>
        <w:t>/</w:t>
      </w:r>
      <w:r>
        <w:rPr>
          <w:rStyle w:val="33"/>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3"/>
          <w:rFonts w:cstheme="minorHAnsi"/>
        </w:rPr>
        <w:t>http://www.sxggzyjy.cn:9002/TPBidder/memberLogin</w:t>
      </w:r>
      <w:r>
        <w:rPr>
          <w:rStyle w:val="33"/>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0C993A48">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4068C74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0" w:name="OLE_LINK9"/>
      <w:bookmarkStart w:id="11" w:name="OLE_LINK10"/>
      <w:r>
        <w:rPr>
          <w:rFonts w:hint="eastAsia"/>
          <w:color w:val="C00000"/>
        </w:rPr>
        <w:t>采购文件公告期限届满之日</w:t>
      </w:r>
      <w:bookmarkEnd w:id="10"/>
      <w:bookmarkEnd w:id="11"/>
      <w:r>
        <w:rPr>
          <w:rFonts w:hint="eastAsia"/>
          <w:color w:val="C00000"/>
        </w:rPr>
        <w:t>。</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3"/>
        </w:rPr>
        <w:t>http://download.ccgp.gov.cn/2018/zhiyihanfanben.zip</w:t>
      </w:r>
      <w:r>
        <w:rPr>
          <w:rStyle w:val="33"/>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3"/>
          <w:rFonts w:cstheme="minorHAnsi"/>
          <w:color w:val="0070C0"/>
        </w:rPr>
        <w:t>http://download.ccgp.gov.cn/2018/tousushufanben.zip</w:t>
      </w:r>
      <w:r>
        <w:rPr>
          <w:rStyle w:val="33"/>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0757EB72">
      <w:pPr>
        <w:pStyle w:val="4"/>
        <w:ind w:firstLine="482"/>
      </w:pPr>
      <w:r>
        <w:t>（五）</w:t>
      </w:r>
      <w:r>
        <w:rPr>
          <w:rFonts w:hint="eastAsia"/>
        </w:rPr>
        <w:t>关于政府采购</w:t>
      </w:r>
      <w:r>
        <w:t>政策</w:t>
      </w:r>
    </w:p>
    <w:p w14:paraId="45D8A6C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38383B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7604E96">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447BE28B">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5FAECBEE">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3553126">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373C800F">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270992C5">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355068CF">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7A1308D2">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47466523">
      <w:pPr>
        <w:ind w:firstLine="480" w:firstLineChars="200"/>
        <w:jc w:val="both"/>
        <w:rPr>
          <w:rFonts w:cstheme="minorHAnsi"/>
          <w:b/>
        </w:rPr>
      </w:pPr>
      <w:r>
        <w:rPr>
          <w:rFonts w:hint="eastAsia" w:cstheme="minorHAnsi"/>
          <w:b/>
        </w:rPr>
        <w:t>（1）陕西省中小企业政府采购信用融资办法</w:t>
      </w:r>
    </w:p>
    <w:p w14:paraId="72A2CB80">
      <w:pPr>
        <w:wordWrap w:val="0"/>
        <w:ind w:firstLine="480" w:firstLineChars="200"/>
        <w:jc w:val="both"/>
        <w:rPr>
          <w:rStyle w:val="33"/>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3"/>
          <w:rFonts w:hint="eastAsia" w:cstheme="minorHAnsi"/>
          <w:color w:val="0070C0"/>
        </w:rPr>
        <w:t>http://www.ccgp-shaanxi.gov.cn/zcdservice/zcd/shanxi/</w:t>
      </w:r>
    </w:p>
    <w:p w14:paraId="6A65DAE5">
      <w:pPr>
        <w:ind w:firstLine="480" w:firstLineChars="200"/>
        <w:jc w:val="both"/>
        <w:rPr>
          <w:b/>
        </w:rPr>
      </w:pPr>
      <w:r>
        <w:rPr>
          <w:rFonts w:hint="eastAsia" w:cstheme="minorHAnsi"/>
          <w:b/>
        </w:rPr>
        <w:t>（2）</w:t>
      </w:r>
      <w:r>
        <w:rPr>
          <w:b/>
        </w:rPr>
        <w:t>西安市政府采购信用担保及信用融资政策</w:t>
      </w:r>
    </w:p>
    <w:p w14:paraId="43FA72C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3"/>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4FAF62E3">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8ABBE46">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4317014E">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3"/>
          <w:rFonts w:eastAsiaTheme="majorEastAsia" w:cstheme="minorHAnsi"/>
          <w:color w:val="0070C0"/>
        </w:rPr>
        <w:t>https://www.creditchina.gov.cn</w:t>
      </w:r>
      <w:r>
        <w:rPr>
          <w:rStyle w:val="33"/>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3"/>
          <w:rFonts w:eastAsiaTheme="majorEastAsia" w:cstheme="minorHAnsi"/>
          <w:color w:val="0070C0"/>
        </w:rPr>
        <w:t>http://www.ccgp.gov.cn/</w:t>
      </w:r>
      <w:r>
        <w:rPr>
          <w:rStyle w:val="33"/>
          <w:rFonts w:eastAsiaTheme="majorEastAsia" w:cstheme="minorHAnsi"/>
        </w:rPr>
        <w:t>）</w:t>
      </w:r>
      <w:r>
        <w:rPr>
          <w:rStyle w:val="33"/>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pPr>
        <w:pStyle w:val="4"/>
      </w:pPr>
      <w:r>
        <w:t>（十）关于联合体</w:t>
      </w:r>
    </w:p>
    <w:p w14:paraId="5CDDB123">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3FE162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0121866">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713EBE0B">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0F0DA6A8">
      <w:pPr>
        <w:ind w:firstLine="480" w:firstLineChars="200"/>
        <w:jc w:val="both"/>
      </w:pPr>
      <w:r>
        <w:rPr>
          <w:rFonts w:hint="eastAsia"/>
        </w:rPr>
        <w:t>6．联合体可享受的中小企业优惠政策：</w:t>
      </w:r>
    </w:p>
    <w:p w14:paraId="19BF3BD9">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867ABE1">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1C39AB7C">
      <w:pPr>
        <w:ind w:firstLine="480" w:firstLineChars="200"/>
        <w:jc w:val="both"/>
      </w:pPr>
      <w:r>
        <w:rPr>
          <w:rFonts w:hint="eastAsia"/>
        </w:rPr>
        <w:t>7．联合体出现下列情形之一的，响</w:t>
      </w:r>
      <w:r>
        <w:rPr>
          <w:rFonts w:hint="eastAsia"/>
          <w:w w:val="1"/>
        </w:rPr>
        <w:t>　</w:t>
      </w:r>
      <w:r>
        <w:rPr>
          <w:rFonts w:hint="eastAsia"/>
        </w:rPr>
        <w:t>应无效：</w:t>
      </w:r>
    </w:p>
    <w:p w14:paraId="6B74783B">
      <w:pPr>
        <w:ind w:firstLine="480" w:firstLineChars="200"/>
        <w:jc w:val="both"/>
      </w:pPr>
      <w:r>
        <w:rPr>
          <w:rFonts w:hint="eastAsia"/>
        </w:rPr>
        <w:t>（1）联合体没有提交有效的联合协议的；</w:t>
      </w:r>
    </w:p>
    <w:p w14:paraId="6E355482">
      <w:pPr>
        <w:ind w:firstLine="480" w:firstLineChars="200"/>
        <w:jc w:val="both"/>
      </w:pPr>
      <w:r>
        <w:rPr>
          <w:rFonts w:hint="eastAsia"/>
        </w:rPr>
        <w:t xml:space="preserve">（2）进行资格预审的项目，资格预审后联合体增减、更换成员的； </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三、磋商文件</w:t>
      </w:r>
    </w:p>
    <w:p w14:paraId="57027355">
      <w:pPr>
        <w:pStyle w:val="4"/>
        <w:ind w:firstLine="482"/>
      </w:pPr>
      <w:r>
        <w:t>（一）磋商</w:t>
      </w:r>
      <w:r>
        <w:rPr>
          <w:rFonts w:hint="eastAsia"/>
        </w:rPr>
        <w:t>文件的解释权</w:t>
      </w:r>
    </w:p>
    <w:p w14:paraId="140F6F8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2F374EBD">
      <w:pPr>
        <w:pStyle w:val="4"/>
        <w:ind w:firstLine="482"/>
      </w:pPr>
      <w:r>
        <w:t>（二）磋商文件主要内容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604A09AD">
      <w:pPr>
        <w:pStyle w:val="4"/>
        <w:ind w:firstLine="482"/>
      </w:pPr>
      <w:r>
        <w:t>（三）磋商文件的检查及阅读</w:t>
      </w:r>
    </w:p>
    <w:p w14:paraId="136227A3">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4558F347">
      <w:pPr>
        <w:pStyle w:val="4"/>
        <w:ind w:firstLine="482"/>
      </w:pPr>
      <w:r>
        <w:t>（四）磋商文件的修改、澄清</w:t>
      </w:r>
    </w:p>
    <w:p w14:paraId="0079D1A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5C6D7605">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55830B">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3"/>
          <w:color w:val="0070C0"/>
        </w:rPr>
        <w:t>http://www.ccgp-shaanxi.gov.cn/</w:t>
      </w:r>
      <w:r>
        <w:rPr>
          <w:rStyle w:val="33"/>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3"/>
          <w:rFonts w:hint="eastAsia"/>
          <w:color w:val="0070C0"/>
        </w:rPr>
        <w:t>http://</w:t>
      </w:r>
      <w:r>
        <w:rPr>
          <w:rStyle w:val="33"/>
          <w:color w:val="0070C0"/>
        </w:rPr>
        <w:t>sxggzyjy.xa.gov.cn/</w:t>
      </w:r>
      <w:r>
        <w:rPr>
          <w:rStyle w:val="33"/>
          <w:color w:val="0070C0"/>
        </w:rPr>
        <w:fldChar w:fldCharType="end"/>
      </w:r>
      <w:r>
        <w:t>）中的〖首页·〉交易大厅·〉政府采购〗。</w:t>
      </w:r>
    </w:p>
    <w:p w14:paraId="76A1CFDA">
      <w:pPr>
        <w:pStyle w:val="3"/>
      </w:pPr>
      <w:r>
        <w:t>四、响应文件</w:t>
      </w:r>
    </w:p>
    <w:p w14:paraId="38AFDCFA">
      <w:pPr>
        <w:pStyle w:val="4"/>
        <w:ind w:firstLine="482"/>
      </w:pPr>
      <w:r>
        <w:rPr>
          <w:rFonts w:hint="eastAsia"/>
        </w:rPr>
        <w:t>（一）响应文件</w:t>
      </w:r>
      <w:r>
        <w:t>的式样</w:t>
      </w:r>
    </w:p>
    <w:p w14:paraId="4DBD232F">
      <w:pPr>
        <w:pStyle w:val="83"/>
        <w:ind w:firstLine="480"/>
      </w:pPr>
      <w:r>
        <w:t>1</w:t>
      </w:r>
      <w:r>
        <w:rPr>
          <w:rFonts w:hint="eastAsia"/>
          <w:color w:val="auto"/>
        </w:rPr>
        <w:t>．</w:t>
      </w:r>
      <w:r>
        <w:rPr>
          <w:rFonts w:hint="eastAsia"/>
        </w:rPr>
        <w:t>组成</w:t>
      </w:r>
      <w:r>
        <w:t>及格式</w:t>
      </w:r>
    </w:p>
    <w:p w14:paraId="6BFB9D09">
      <w:pPr>
        <w:pStyle w:val="83"/>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EC44FBE">
      <w:pPr>
        <w:pStyle w:val="83"/>
        <w:ind w:firstLine="480"/>
      </w:pPr>
      <w:r>
        <w:rPr>
          <w:rFonts w:hint="eastAsia"/>
        </w:rPr>
        <w:t>2</w:t>
      </w:r>
      <w:r>
        <w:rPr>
          <w:rFonts w:hint="eastAsia"/>
          <w:color w:val="auto"/>
        </w:rPr>
        <w:t>．</w:t>
      </w:r>
      <w:r>
        <w:rPr>
          <w:rFonts w:hint="eastAsia"/>
        </w:rPr>
        <w:t>语言</w:t>
      </w:r>
    </w:p>
    <w:p w14:paraId="3C33EE09">
      <w:pPr>
        <w:pStyle w:val="83"/>
        <w:ind w:firstLine="480"/>
      </w:pPr>
      <w:r>
        <w:rPr>
          <w:rFonts w:hint="eastAsia"/>
        </w:rPr>
        <w:t>磋商活动的所有文件、资料、函电文字均使用简体中文，确需提交用其他语言形成的资料，必须翻译成简体中文，如有差异，以简体中文为准。</w:t>
      </w:r>
    </w:p>
    <w:p w14:paraId="2F3FAA15">
      <w:pPr>
        <w:pStyle w:val="83"/>
        <w:ind w:firstLine="480"/>
      </w:pPr>
      <w:r>
        <w:rPr>
          <w:rFonts w:hint="eastAsia"/>
        </w:rPr>
        <w:t>3</w:t>
      </w:r>
      <w:r>
        <w:rPr>
          <w:rFonts w:hint="eastAsia"/>
          <w:color w:val="auto"/>
        </w:rPr>
        <w:t>．</w:t>
      </w:r>
      <w:r>
        <w:t>计量单位</w:t>
      </w:r>
    </w:p>
    <w:p w14:paraId="386CC72A">
      <w:pPr>
        <w:pStyle w:val="83"/>
        <w:ind w:firstLine="480"/>
      </w:pPr>
      <w:r>
        <w:rPr>
          <w:rFonts w:hint="eastAsia"/>
        </w:rPr>
        <w:t>响应文件的计量单位应使用中华人民共和国法定计量单位，但磋商文件另有规定的除外。</w:t>
      </w:r>
    </w:p>
    <w:p w14:paraId="40216070">
      <w:pPr>
        <w:pStyle w:val="4"/>
        <w:ind w:firstLine="482"/>
      </w:pPr>
      <w:r>
        <w:rPr>
          <w:rFonts w:hint="eastAsia"/>
        </w:rPr>
        <w:t>（二）响应文件</w:t>
      </w:r>
      <w:r>
        <w:t>的有效期</w:t>
      </w:r>
    </w:p>
    <w:p w14:paraId="5B7D7BC8">
      <w:pPr>
        <w:pStyle w:val="83"/>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802925A">
      <w:pPr>
        <w:pStyle w:val="4"/>
        <w:ind w:firstLine="482"/>
      </w:pPr>
      <w:r>
        <w:rPr>
          <w:rFonts w:hint="eastAsia"/>
        </w:rPr>
        <w:t>（三）磋商</w:t>
      </w:r>
      <w:r>
        <w:t>报价</w:t>
      </w:r>
    </w:p>
    <w:p w14:paraId="15B579B7">
      <w:pPr>
        <w:pStyle w:val="83"/>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3"/>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pPr>
        <w:pStyle w:val="83"/>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pPr>
        <w:pStyle w:val="83"/>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pPr>
        <w:pStyle w:val="83"/>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pPr>
        <w:pStyle w:val="83"/>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pPr>
        <w:pStyle w:val="83"/>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pPr>
        <w:pStyle w:val="4"/>
        <w:ind w:firstLine="482"/>
      </w:pPr>
      <w:r>
        <w:rPr>
          <w:rFonts w:hint="eastAsia"/>
        </w:rPr>
        <w:t>（四）电子响应文件</w:t>
      </w:r>
      <w:r>
        <w:t>的</w:t>
      </w:r>
      <w:r>
        <w:rPr>
          <w:rFonts w:hint="eastAsia"/>
        </w:rPr>
        <w:t>制作、</w:t>
      </w:r>
      <w:r>
        <w:t>签章及加密</w:t>
      </w:r>
    </w:p>
    <w:p w14:paraId="5660DCD5">
      <w:pPr>
        <w:pStyle w:val="83"/>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3"/>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3"/>
          <w:rFonts w:asciiTheme="minorHAnsi" w:hAnsiTheme="minorHAnsi" w:eastAsiaTheme="minorEastAsia"/>
          <w:color w:val="0070C0"/>
        </w:rPr>
        <w:t>http://sxggzyjy.xa.gov.cn/fwzn/004003/20181115/4d59c184-e8f6-4d5a-a416-c2f6b0601e66.html</w:t>
      </w:r>
      <w:r>
        <w:rPr>
          <w:rStyle w:val="33"/>
          <w:rFonts w:asciiTheme="minorHAnsi" w:hAnsiTheme="minorHAnsi" w:eastAsiaTheme="minorEastAsia"/>
          <w:color w:val="0070C0"/>
        </w:rPr>
        <w:fldChar w:fldCharType="end"/>
      </w:r>
    </w:p>
    <w:p w14:paraId="1AFAE165">
      <w:pPr>
        <w:pStyle w:val="83"/>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pPr>
        <w:pStyle w:val="83"/>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5C61E669">
      <w:pPr>
        <w:pStyle w:val="83"/>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3"/>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pPr>
        <w:pStyle w:val="83"/>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20C51986">
      <w:pPr>
        <w:pStyle w:val="4"/>
        <w:ind w:firstLine="482"/>
      </w:pPr>
      <w:r>
        <w:rPr>
          <w:rFonts w:hint="eastAsia"/>
        </w:rPr>
        <w:t>（五）电子响应文件</w:t>
      </w:r>
      <w:r>
        <w:t>的提交</w:t>
      </w:r>
    </w:p>
    <w:p w14:paraId="0656DC15">
      <w:pPr>
        <w:pStyle w:val="83"/>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340285A">
      <w:pPr>
        <w:pStyle w:val="83"/>
        <w:ind w:firstLine="480"/>
      </w:pPr>
      <w:r>
        <w:t>出现下述情形的，电子响应文件将被系统拒收：</w:t>
      </w:r>
    </w:p>
    <w:p w14:paraId="4AC6B849">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AA2B29A">
      <w:pPr>
        <w:ind w:firstLine="480" w:firstLineChars="200"/>
        <w:jc w:val="both"/>
        <w:rPr>
          <w:rFonts w:cstheme="minorHAnsi"/>
        </w:rPr>
      </w:pPr>
      <w:r>
        <w:rPr>
          <w:rFonts w:hint="eastAsia" w:cstheme="minorHAnsi"/>
        </w:rPr>
        <w:t>2．</w:t>
      </w:r>
      <w:r>
        <w:rPr>
          <w:rFonts w:cstheme="minorHAnsi"/>
        </w:rPr>
        <w:t>逾期提交电子响应文件的；</w:t>
      </w:r>
    </w:p>
    <w:p w14:paraId="76583FD7">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092E8868">
      <w:pPr>
        <w:pStyle w:val="4"/>
        <w:ind w:firstLine="482"/>
      </w:pPr>
      <w:r>
        <w:t>（</w:t>
      </w:r>
      <w:r>
        <w:rPr>
          <w:rFonts w:hint="eastAsia"/>
        </w:rPr>
        <w:t>六</w:t>
      </w:r>
      <w:r>
        <w:t>）电子响应文件的撤回、补充及修改</w:t>
      </w:r>
    </w:p>
    <w:p w14:paraId="3592412A">
      <w:pPr>
        <w:pStyle w:val="83"/>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pPr>
        <w:pStyle w:val="83"/>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pPr>
        <w:pStyle w:val="4"/>
        <w:ind w:firstLine="482"/>
      </w:pPr>
      <w:r>
        <w:rPr>
          <w:rFonts w:hint="eastAsia"/>
        </w:rPr>
        <w:t>（七）关于电子投</w:t>
      </w:r>
      <w:r>
        <w:rPr>
          <w:rFonts w:hint="eastAsia"/>
          <w:w w:val="1"/>
        </w:rPr>
        <w:t>　</w:t>
      </w:r>
      <w:r>
        <w:rPr>
          <w:rFonts w:hint="eastAsia"/>
        </w:rPr>
        <w:t>标文件的雷同性分析</w:t>
      </w:r>
    </w:p>
    <w:p w14:paraId="6B9F7F24">
      <w:pPr>
        <w:pStyle w:val="83"/>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60DD6D01">
      <w:pPr>
        <w:pStyle w:val="83"/>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29ABB2FB">
      <w:pPr>
        <w:pStyle w:val="83"/>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AFE0513">
      <w:pPr>
        <w:pStyle w:val="83"/>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1601A4A6">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8163BC9">
      <w:pPr>
        <w:pStyle w:val="83"/>
        <w:ind w:firstLine="480"/>
      </w:pPr>
      <w:r>
        <w:rPr>
          <w:rFonts w:hint="eastAsia"/>
        </w:rPr>
        <w:t>1．不同供应商的响应文件由同一单位或者个人编制的；</w:t>
      </w:r>
    </w:p>
    <w:p w14:paraId="680072CC">
      <w:pPr>
        <w:pStyle w:val="83"/>
        <w:ind w:firstLine="480"/>
      </w:pPr>
      <w:r>
        <w:rPr>
          <w:rFonts w:hint="eastAsia"/>
        </w:rPr>
        <w:t>2．不同供应商委托同一单位或者个人办理磋商事宜的；</w:t>
      </w:r>
    </w:p>
    <w:p w14:paraId="7440E1B6">
      <w:pPr>
        <w:pStyle w:val="83"/>
        <w:ind w:firstLine="480"/>
      </w:pPr>
      <w:r>
        <w:rPr>
          <w:rFonts w:hint="eastAsia"/>
        </w:rPr>
        <w:t>3．不同供应商的响应文件载明的项目管理成员或者联系人员为同一人的；</w:t>
      </w:r>
    </w:p>
    <w:p w14:paraId="781FE8A4">
      <w:pPr>
        <w:pStyle w:val="83"/>
        <w:ind w:firstLine="480"/>
      </w:pPr>
      <w:r>
        <w:rPr>
          <w:rFonts w:hint="eastAsia"/>
        </w:rPr>
        <w:t>4．不同供应商的响应文件异常一致或者报价呈规律性差异的；</w:t>
      </w:r>
    </w:p>
    <w:p w14:paraId="3D0E3CF0">
      <w:pPr>
        <w:pStyle w:val="83"/>
        <w:ind w:firstLine="480"/>
      </w:pPr>
      <w:r>
        <w:rPr>
          <w:rFonts w:hint="eastAsia"/>
        </w:rPr>
        <w:t>5．不同供应商的响应文件相互混编或混装的。</w:t>
      </w:r>
    </w:p>
    <w:p w14:paraId="147CE1F7">
      <w:pPr>
        <w:pStyle w:val="3"/>
      </w:pPr>
      <w:r>
        <w:rPr>
          <w:rFonts w:hint="eastAsia"/>
        </w:rPr>
        <w:t>五</w:t>
      </w:r>
      <w:r>
        <w:t>、开启</w:t>
      </w:r>
    </w:p>
    <w:p w14:paraId="7E9B778B">
      <w:pPr>
        <w:pStyle w:val="83"/>
        <w:ind w:firstLine="480"/>
      </w:pPr>
      <w:r>
        <w:rPr>
          <w:rFonts w:hint="eastAsia"/>
        </w:rPr>
        <w:t>开启工作由采购代理机构组织实施，整个过程受同级政府采购监管部门的监督、管理。</w:t>
      </w:r>
    </w:p>
    <w:p w14:paraId="5994D3AC">
      <w:pPr>
        <w:pStyle w:val="83"/>
        <w:ind w:firstLine="480"/>
        <w:rPr>
          <w:color w:val="auto"/>
        </w:rPr>
      </w:pPr>
      <w:r>
        <w:rPr>
          <w:rFonts w:hint="eastAsia"/>
        </w:rPr>
        <w:t>1</w:t>
      </w:r>
      <w:r>
        <w:rPr>
          <w:rFonts w:hint="eastAsia"/>
          <w:color w:val="auto"/>
        </w:rPr>
        <w:t>．提交首次响应文件截止时间前，请各供应商务必确认已正常提交了响应文件。</w:t>
      </w:r>
    </w:p>
    <w:p w14:paraId="7F3B1320">
      <w:pPr>
        <w:pStyle w:val="83"/>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1859B800">
      <w:pPr>
        <w:pStyle w:val="83"/>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pPr>
        <w:pStyle w:val="83"/>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3"/>
          <w:rFonts w:hint="eastAsia"/>
          <w:color w:val="0070C0"/>
        </w:rPr>
        <w:t>http://sxggzyjy.xa.gov.cn/fwzn/004003/20200426/bc8b2c1e-abe2-4168-913c-68ff93345faf.html</w:t>
      </w:r>
      <w:r>
        <w:rPr>
          <w:rStyle w:val="33"/>
          <w:rFonts w:hint="eastAsia"/>
          <w:color w:val="0070C0"/>
        </w:rPr>
        <w:fldChar w:fldCharType="end"/>
      </w:r>
    </w:p>
    <w:p w14:paraId="554DB15D">
      <w:pPr>
        <w:pStyle w:val="83"/>
        <w:ind w:firstLine="480"/>
      </w:pPr>
      <w:r>
        <w:rPr>
          <w:rStyle w:val="33"/>
          <w:color w:val="auto"/>
          <w:u w:val="none"/>
        </w:rPr>
        <w:t>（</w:t>
      </w:r>
      <w:r>
        <w:rPr>
          <w:rStyle w:val="33"/>
          <w:rFonts w:hint="eastAsia"/>
          <w:color w:val="auto"/>
          <w:u w:val="none"/>
        </w:rPr>
        <w:t>3</w:t>
      </w:r>
      <w:r>
        <w:rPr>
          <w:rStyle w:val="33"/>
          <w:color w:val="auto"/>
          <w:u w:val="none"/>
        </w:rPr>
        <w:t>）突发状况的处置：整个磋商期间，</w:t>
      </w:r>
      <w:r>
        <w:rPr>
          <w:rStyle w:val="33"/>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pPr>
        <w:pStyle w:val="83"/>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pPr>
        <w:pStyle w:val="83"/>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pPr>
        <w:pStyle w:val="83"/>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5DF699C5">
      <w:pPr>
        <w:pStyle w:val="83"/>
        <w:ind w:firstLine="480"/>
        <w:rPr>
          <w:color w:val="auto"/>
        </w:rPr>
      </w:pPr>
      <w:r>
        <w:rPr>
          <w:rFonts w:hint="eastAsia"/>
          <w:color w:val="auto"/>
        </w:rPr>
        <w:t>（3）上传</w:t>
      </w:r>
      <w:r>
        <w:rPr>
          <w:color w:val="auto"/>
        </w:rPr>
        <w:t>的电子响应文件无法正常打开的；</w:t>
      </w:r>
    </w:p>
    <w:p w14:paraId="5875F9E0">
      <w:pPr>
        <w:pStyle w:val="83"/>
        <w:ind w:firstLine="480"/>
        <w:rPr>
          <w:color w:val="auto"/>
        </w:rPr>
      </w:pPr>
      <w:r>
        <w:rPr>
          <w:rFonts w:hint="eastAsia"/>
          <w:color w:val="auto"/>
        </w:rPr>
        <w:t>（4）</w:t>
      </w:r>
      <w:r>
        <w:rPr>
          <w:color w:val="auto"/>
        </w:rPr>
        <w:t>政府采购法律法规规定的其他无效情形。</w:t>
      </w:r>
    </w:p>
    <w:p w14:paraId="76C6C5F6">
      <w:pPr>
        <w:pStyle w:val="83"/>
        <w:ind w:firstLine="480"/>
        <w:rPr>
          <w:color w:val="C00000"/>
        </w:rPr>
      </w:pPr>
      <w:r>
        <w:rPr>
          <w:rFonts w:hint="eastAsia"/>
          <w:color w:val="C00000"/>
        </w:rPr>
        <w:t>按照《政府采购竞争性磋商采购方式管理暂行办法》（财库〔2014〕214号）相关规定，对供应商的各轮磋商报价均不予公开。</w:t>
      </w:r>
    </w:p>
    <w:p w14:paraId="30688DCD">
      <w:pPr>
        <w:pStyle w:val="83"/>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pPr>
        <w:pStyle w:val="3"/>
      </w:pPr>
      <w:r>
        <w:t>六、磋商方法和程序</w:t>
      </w:r>
    </w:p>
    <w:p w14:paraId="70C3F6C2">
      <w:pPr>
        <w:pStyle w:val="4"/>
        <w:ind w:firstLine="482"/>
      </w:pPr>
      <w:r>
        <w:rPr>
          <w:rFonts w:hint="eastAsia"/>
        </w:rPr>
        <w:t>（一）组建磋商小组</w:t>
      </w:r>
    </w:p>
    <w:p w14:paraId="2FB0A0CA">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B85A452">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pPr>
        <w:ind w:firstLine="480" w:firstLineChars="200"/>
        <w:jc w:val="both"/>
      </w:pPr>
      <w:r>
        <w:rPr>
          <w:rFonts w:hint="eastAsia"/>
        </w:rPr>
        <w:t>由采购代理机构组织磋商小组推选评审组长，采购人代表不得担任组长。</w:t>
      </w:r>
    </w:p>
    <w:p w14:paraId="147E3A3B">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pPr>
        <w:pStyle w:val="4"/>
        <w:ind w:firstLine="482"/>
      </w:pPr>
      <w:r>
        <w:t>（二）资格性审查</w:t>
      </w:r>
    </w:p>
    <w:p w14:paraId="72965B24">
      <w:pPr>
        <w:pStyle w:val="83"/>
        <w:ind w:firstLine="480"/>
      </w:pPr>
      <w:r>
        <w:rPr>
          <w:rFonts w:hint="eastAsia"/>
        </w:rPr>
        <w:t>磋商文件经确认后，磋商小组对响应文件中的供应商资格证明文件进行审查（其中供应商信用记录审查由采购人进行）。</w:t>
      </w:r>
    </w:p>
    <w:p w14:paraId="415E7DA6">
      <w:pPr>
        <w:pStyle w:val="83"/>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pPr>
        <w:pStyle w:val="83"/>
        <w:ind w:firstLine="480"/>
      </w:pPr>
      <w:r>
        <w:rPr>
          <w:rFonts w:hint="eastAsia"/>
        </w:rPr>
        <w:t>（1）不具备磋商文件中规定的资格要求的；</w:t>
      </w:r>
    </w:p>
    <w:p w14:paraId="679D2DFA">
      <w:pPr>
        <w:pStyle w:val="83"/>
        <w:ind w:firstLine="480"/>
      </w:pPr>
      <w:r>
        <w:rPr>
          <w:rFonts w:hint="eastAsia"/>
        </w:rPr>
        <w:t>（2）未按磋商文件要求提供资格证明文件，或资格证明文件未按磋商文件要求签字、盖章的；</w:t>
      </w:r>
    </w:p>
    <w:p w14:paraId="13F9BBCC">
      <w:pPr>
        <w:pStyle w:val="83"/>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6EA62AC4">
      <w:pPr>
        <w:pStyle w:val="83"/>
        <w:ind w:firstLine="480"/>
      </w:pPr>
      <w:r>
        <w:rPr>
          <w:rFonts w:hint="eastAsia"/>
        </w:rPr>
        <w:t>（4）法律法规规定的其他无效情形。</w:t>
      </w:r>
    </w:p>
    <w:p w14:paraId="17B8864D">
      <w:pPr>
        <w:pStyle w:val="83"/>
        <w:ind w:firstLine="480"/>
      </w:pPr>
      <w:r>
        <w:rPr>
          <w:rFonts w:hint="eastAsia"/>
        </w:rPr>
        <w:t>资格审查结束后，磋商小组成员应当对审查结果进行签字确认，并告知无效响应供应商资格审查未通过的原因。</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6"/>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3FC9E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left w:val="single" w:color="auto" w:sz="12" w:space="0"/>
              <w:bottom w:val="single" w:color="auto" w:sz="2" w:space="0"/>
              <w:right w:val="single" w:color="auto" w:sz="2" w:space="0"/>
            </w:tcBorders>
            <w:shd w:val="clear" w:color="auto" w:fill="F1F1F1" w:themeFill="background1" w:themeFillShade="F2"/>
            <w:vAlign w:val="center"/>
          </w:tcPr>
          <w:p w14:paraId="52E6F11E">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left w:val="single" w:color="auto" w:sz="2" w:space="0"/>
              <w:bottom w:val="single" w:color="auto" w:sz="2" w:space="0"/>
              <w:right w:val="single" w:color="auto" w:sz="2" w:space="0"/>
            </w:tcBorders>
            <w:shd w:val="clear" w:color="auto" w:fill="F1F1F1" w:themeFill="background1" w:themeFillShade="F2"/>
            <w:vAlign w:val="center"/>
          </w:tcPr>
          <w:p w14:paraId="00BCE092">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left w:val="single" w:color="auto" w:sz="2" w:space="0"/>
              <w:bottom w:val="single" w:color="auto" w:sz="2" w:space="0"/>
              <w:right w:val="single" w:color="auto" w:sz="12" w:space="0"/>
            </w:tcBorders>
            <w:shd w:val="clear" w:color="auto" w:fill="F1F1F1" w:themeFill="background1" w:themeFillShade="F2"/>
            <w:vAlign w:val="center"/>
          </w:tcPr>
          <w:p w14:paraId="68FFFE41">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4CEEB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408ECDC4">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4178A8C0">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59CA74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C242C11">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12BB74AD">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3C77C4EC">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5ECDA5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6EF482B">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64B06AD7">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5EFFB669">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1305C119">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79006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2564C9A">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13C57302">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18D9DD02">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32D99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EB9B6E3">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55A9EA9F">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729AAC87">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6F1D3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18C2958">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591B012A">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7C088D2F">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06C27A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EEB5F78">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36BA6BEA">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28CACA60">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547EE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135B96A">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0516BDE0">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3A6A86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477A15E">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1C764D38">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14:paraId="017D2E6C">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14:paraId="1857A3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3C52E92">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5E986B42">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75CF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51944BB">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656EB8C9">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63B3E4CA">
            <w:pPr>
              <w:spacing w:line="400" w:lineRule="exact"/>
              <w:jc w:val="both"/>
              <w:rPr>
                <w:rFonts w:ascii="Calibri" w:hAnsi="宋体" w:eastAsia="宋体" w:cstheme="minorHAnsi"/>
                <w:bCs/>
                <w:color w:val="C00000"/>
                <w:sz w:val="21"/>
              </w:rPr>
            </w:pPr>
          </w:p>
        </w:tc>
      </w:tr>
      <w:tr w14:paraId="7DC46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1483FC87">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267B85D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BCA1E75">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3FF65CA">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37F0D6D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2D6DE100">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14:paraId="6B5D850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6．</w:t>
            </w:r>
            <w:r>
              <w:rPr>
                <w:rFonts w:hint="eastAsia" w:ascii="Calibri" w:hAnsi="宋体" w:eastAsia="宋体" w:cstheme="minorHAnsi"/>
                <w:bCs/>
                <w:color w:val="00B050"/>
                <w:sz w:val="21"/>
              </w:rPr>
              <w:t>以联合体形式参加政府采购活动的，联合体各方均应具备基本资格条件前五项要求，第六项要求由牵头方填写。对于特定资格条件，按照联合协议承担特定工作的供应商应具备对应的资质；联合体中有同类资质的供应商按照联合体分工承担相同工作的，按照资质等级较低的供应商确定资质等级。</w:t>
            </w:r>
          </w:p>
        </w:tc>
      </w:tr>
    </w:tbl>
    <w:p w14:paraId="4DCD95B1">
      <w:pPr>
        <w:pStyle w:val="4"/>
        <w:ind w:firstLine="482"/>
      </w:pPr>
      <w:r>
        <w:t>（三）符合性审查</w:t>
      </w:r>
    </w:p>
    <w:p w14:paraId="02B54396">
      <w:pPr>
        <w:pStyle w:val="83"/>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pPr>
        <w:pStyle w:val="83"/>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pPr>
        <w:pStyle w:val="83"/>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6"/>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9497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2823F95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721E28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39FC90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9701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3486B8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0C51DED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3BDE3B1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78EB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1A43A25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FB70CC4">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C71810A">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AE1F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D040B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0C4F16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5125CA3B">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31CC1C0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E5C86F8">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3EB2C20B">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6ACAF3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06F962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84E9CC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6A98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A98E6A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56D6201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7ADF7BAF">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4F0C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9FFD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65D1DAD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EC60DCD">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5C81A9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6CE55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AA6A19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25919158">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C179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5636AF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20C2D1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282AF31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12BDBA5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13A2706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59BFD0C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2EB836B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1CA0A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5EB10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BBAE4D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3BE8D608">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6E67BB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A112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0CD97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700613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049D1A93">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7A29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DF665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865014C">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35EFB294">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7F64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9E8F6">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6B4AF92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6449067">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0A78B2A">
      <w:pPr>
        <w:pStyle w:val="4"/>
        <w:ind w:firstLine="482"/>
      </w:pPr>
      <w:r>
        <w:t>（四）磋商</w:t>
      </w:r>
    </w:p>
    <w:p w14:paraId="6E195E68">
      <w:pPr>
        <w:ind w:firstLine="480" w:firstLineChars="200"/>
        <w:jc w:val="both"/>
      </w:pPr>
      <w:r>
        <w:rPr>
          <w:rFonts w:hint="eastAsia"/>
        </w:rPr>
        <w:t>磋商小组所有成员将集中与单一供应商分别进行磋商，并给予所有参加磋商的供应商平等的磋商机会。</w:t>
      </w:r>
    </w:p>
    <w:p w14:paraId="6692C3F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pPr>
        <w:pStyle w:val="4"/>
        <w:ind w:firstLine="482"/>
      </w:pPr>
      <w:r>
        <w:t>（五）提交最后报价</w:t>
      </w:r>
    </w:p>
    <w:p w14:paraId="09C9AC31">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pPr>
        <w:ind w:firstLine="480" w:firstLineChars="200"/>
        <w:jc w:val="both"/>
      </w:pPr>
      <w:r>
        <w:rPr>
          <w:rFonts w:hint="eastAsia"/>
        </w:rPr>
        <w:t>提交最后报价的供应商不得少于3家，但以下情形除外：</w:t>
      </w:r>
    </w:p>
    <w:p w14:paraId="1C7866C4">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4C034289">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0AE46734">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28566B72">
      <w:pPr>
        <w:pStyle w:val="4"/>
        <w:ind w:firstLine="482"/>
        <w:jc w:val="both"/>
      </w:pPr>
      <w:r>
        <w:t>（六）综合比较与评分</w:t>
      </w:r>
    </w:p>
    <w:p w14:paraId="1664C8C9">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6"/>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45BD5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397AD57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385D34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6ABD1B10">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73C41DE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4D553C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0B4ABAD8">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4CEEA5F8">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A61E917">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19381AEF">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186DF4CE">
            <w:pPr>
              <w:spacing w:line="400" w:lineRule="exact"/>
              <w:jc w:val="center"/>
              <w:rPr>
                <w:rFonts w:ascii="Calibri" w:hAnsi="宋体" w:eastAsia="宋体" w:cstheme="minorHAnsi"/>
                <w:bCs/>
                <w:sz w:val="21"/>
                <w:szCs w:val="21"/>
              </w:rPr>
            </w:pPr>
          </w:p>
        </w:tc>
      </w:tr>
      <w:tr w14:paraId="68436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59F48284">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143FEF0D">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860" w:type="dxa"/>
            <w:shd w:val="clear" w:color="auto" w:fill="auto"/>
            <w:vAlign w:val="center"/>
          </w:tcPr>
          <w:p w14:paraId="73C28B2E">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6093" w:type="dxa"/>
            <w:tcBorders>
              <w:top w:val="single" w:color="auto" w:sz="2" w:space="0"/>
            </w:tcBorders>
            <w:shd w:val="clear" w:color="auto" w:fill="auto"/>
            <w:vAlign w:val="center"/>
          </w:tcPr>
          <w:p w14:paraId="09624C2A">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14:paraId="1B10A2D4">
            <w:pPr>
              <w:spacing w:line="400" w:lineRule="exact"/>
              <w:jc w:val="center"/>
              <w:rPr>
                <w:rFonts w:ascii="Calibri" w:hAnsi="宋体" w:eastAsia="宋体" w:cs="宋体"/>
                <w:bCs/>
                <w:color w:val="FF0000"/>
                <w:sz w:val="21"/>
                <w:szCs w:val="21"/>
              </w:rPr>
            </w:pPr>
          </w:p>
        </w:tc>
      </w:tr>
      <w:tr w14:paraId="3E17F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7C1382AC">
            <w:pPr>
              <w:spacing w:line="400" w:lineRule="exact"/>
              <w:jc w:val="center"/>
              <w:rPr>
                <w:rFonts w:ascii="Calibri" w:hAnsi="宋体" w:eastAsia="宋体" w:cs="宋体"/>
                <w:b/>
                <w:sz w:val="21"/>
                <w:szCs w:val="21"/>
              </w:rPr>
            </w:pPr>
            <w:r>
              <w:rPr>
                <w:rFonts w:hint="eastAsia" w:ascii="Calibri" w:hAnsi="宋体" w:eastAsia="宋体" w:cs="宋体"/>
                <w:b/>
                <w:sz w:val="21"/>
                <w:szCs w:val="21"/>
              </w:rPr>
              <w:t>技术</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14:paraId="1388F72C">
            <w:pPr>
              <w:spacing w:line="400" w:lineRule="exact"/>
              <w:jc w:val="center"/>
              <w:rPr>
                <w:rFonts w:ascii="Calibri" w:hAnsi="宋体" w:eastAsia="宋体" w:cs="宋体"/>
                <w:bCs/>
                <w:sz w:val="21"/>
                <w:szCs w:val="21"/>
              </w:rPr>
            </w:pPr>
            <w:r>
              <w:rPr>
                <w:rFonts w:ascii="Calibri" w:hAnsi="宋体" w:eastAsia="宋体" w:cs="宋体"/>
                <w:bCs/>
                <w:sz w:val="21"/>
                <w:szCs w:val="21"/>
              </w:rPr>
              <w:t>60</w:t>
            </w:r>
          </w:p>
        </w:tc>
        <w:tc>
          <w:tcPr>
            <w:tcW w:w="860" w:type="dxa"/>
            <w:shd w:val="clear" w:color="auto" w:fill="auto"/>
            <w:vAlign w:val="center"/>
          </w:tcPr>
          <w:p w14:paraId="087F220A">
            <w:pPr>
              <w:spacing w:line="400" w:lineRule="exact"/>
              <w:jc w:val="center"/>
              <w:rPr>
                <w:rFonts w:ascii="Calibri" w:hAnsi="宋体" w:eastAsia="宋体" w:cs="宋体"/>
                <w:bCs/>
                <w:sz w:val="21"/>
                <w:szCs w:val="21"/>
              </w:rPr>
            </w:pPr>
            <w:r>
              <w:rPr>
                <w:rFonts w:hint="eastAsia" w:ascii="Calibri" w:hAnsi="宋体" w:eastAsia="宋体" w:cs="宋体"/>
                <w:bCs/>
                <w:szCs w:val="21"/>
              </w:rPr>
              <w:t>15</w:t>
            </w:r>
          </w:p>
        </w:tc>
        <w:tc>
          <w:tcPr>
            <w:tcW w:w="6093" w:type="dxa"/>
            <w:tcBorders>
              <w:top w:val="single" w:color="auto" w:sz="2" w:space="0"/>
            </w:tcBorders>
            <w:shd w:val="clear" w:color="auto" w:fill="auto"/>
            <w:vAlign w:val="center"/>
          </w:tcPr>
          <w:p w14:paraId="10497EF3">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需求分析：</w:t>
            </w:r>
          </w:p>
          <w:p w14:paraId="6E97F549">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一、评审内容</w:t>
            </w:r>
          </w:p>
          <w:p w14:paraId="56A9D686">
            <w:pPr>
              <w:spacing w:line="300" w:lineRule="exact"/>
              <w:ind w:firstLine="420" w:firstLineChars="200"/>
              <w:rPr>
                <w:rFonts w:ascii="Calibri" w:hAnsi="宋体" w:cs="Calibri Light"/>
                <w:szCs w:val="21"/>
              </w:rPr>
            </w:pPr>
            <w:r>
              <w:rPr>
                <w:rFonts w:hint="eastAsia" w:ascii="Calibri" w:hAnsi="宋体" w:cs="仿宋"/>
                <w:sz w:val="21"/>
                <w:szCs w:val="21"/>
              </w:rPr>
              <w:t>供应商提供针对于本项目的</w:t>
            </w:r>
            <w:r>
              <w:rPr>
                <w:rFonts w:hint="eastAsia" w:ascii="Calibri" w:hAnsi="宋体" w:cs="Calibri Light"/>
                <w:sz w:val="21"/>
                <w:szCs w:val="21"/>
              </w:rPr>
              <w:t>需求分析</w:t>
            </w:r>
            <w:r>
              <w:rPr>
                <w:rFonts w:ascii="Calibri" w:hAnsi="宋体" w:cs="Calibri Light"/>
                <w:sz w:val="21"/>
                <w:szCs w:val="21"/>
              </w:rPr>
              <w:t>，内容包含：</w:t>
            </w:r>
            <w:r>
              <w:rPr>
                <w:rFonts w:hint="eastAsia" w:ascii="Calibri" w:hAnsi="宋体" w:eastAsia="宋体" w:cs="宋体"/>
                <w:sz w:val="21"/>
                <w:szCs w:val="21"/>
              </w:rPr>
              <w:t>①</w:t>
            </w:r>
            <w:r>
              <w:rPr>
                <w:rFonts w:hint="eastAsia" w:ascii="Calibri" w:hAnsi="宋体"/>
                <w:sz w:val="21"/>
                <w:szCs w:val="21"/>
              </w:rPr>
              <w:t>住建业务管理现状、信息化现状</w:t>
            </w:r>
            <w:r>
              <w:rPr>
                <w:rFonts w:hint="eastAsia" w:ascii="Calibri" w:hAnsi="宋体" w:cs="MS Mincho"/>
                <w:sz w:val="21"/>
                <w:szCs w:val="21"/>
              </w:rPr>
              <w:t>；</w:t>
            </w:r>
            <w:r>
              <w:rPr>
                <w:rFonts w:hint="eastAsia" w:ascii="Calibri" w:hAnsi="宋体" w:eastAsia="宋体" w:cs="宋体"/>
                <w:sz w:val="21"/>
                <w:szCs w:val="21"/>
              </w:rPr>
              <w:t>②</w:t>
            </w:r>
            <w:r>
              <w:rPr>
                <w:rFonts w:hint="eastAsia" w:ascii="Calibri" w:hAnsi="宋体" w:cs="MS Mincho"/>
                <w:sz w:val="21"/>
                <w:szCs w:val="21"/>
              </w:rPr>
              <w:t>本项目涉及业务的流程及管理要求；</w:t>
            </w:r>
            <w:r>
              <w:rPr>
                <w:rFonts w:hint="eastAsia" w:ascii="Calibri" w:hAnsi="宋体" w:eastAsia="宋体" w:cs="宋体"/>
                <w:sz w:val="21"/>
                <w:szCs w:val="21"/>
              </w:rPr>
              <w:t>③</w:t>
            </w:r>
            <w:r>
              <w:rPr>
                <w:rFonts w:hint="eastAsia" w:ascii="Calibri" w:hAnsi="宋体"/>
                <w:sz w:val="21"/>
                <w:szCs w:val="21"/>
              </w:rPr>
              <w:t>本项目涉及系统介绍。</w:t>
            </w:r>
          </w:p>
          <w:p w14:paraId="4C97A6D3">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二、评审标准</w:t>
            </w:r>
          </w:p>
          <w:p w14:paraId="70E7C5D0">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1、完整性：</w:t>
            </w:r>
            <w:r>
              <w:rPr>
                <w:rFonts w:hint="eastAsia" w:ascii="Calibri" w:hAnsi="宋体" w:cs="仿宋"/>
                <w:bCs/>
                <w:sz w:val="21"/>
                <w:szCs w:val="21"/>
              </w:rPr>
              <w:t>方案须详细全面，表述清晰完整，满足磋商文件要求。</w:t>
            </w:r>
          </w:p>
          <w:p w14:paraId="069CC29D">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2、可实施性：切合本项目实际情况，能够准确把握运维要点及重点。</w:t>
            </w:r>
          </w:p>
          <w:p w14:paraId="46E2B2DD">
            <w:pPr>
              <w:tabs>
                <w:tab w:val="left" w:pos="547"/>
              </w:tabs>
              <w:spacing w:line="300" w:lineRule="exact"/>
              <w:ind w:firstLine="420" w:firstLineChars="200"/>
              <w:rPr>
                <w:rFonts w:ascii="Calibri" w:hAnsi="宋体" w:cs="仿宋"/>
                <w:szCs w:val="21"/>
              </w:rPr>
            </w:pPr>
            <w:r>
              <w:rPr>
                <w:rFonts w:hint="eastAsia" w:ascii="Calibri" w:hAnsi="宋体" w:cs="仿宋"/>
                <w:sz w:val="21"/>
                <w:szCs w:val="21"/>
              </w:rPr>
              <w:t>3、针对性：方案能够紧扣项目实际情况，内容科学合理。</w:t>
            </w:r>
          </w:p>
          <w:p w14:paraId="01F49A1C">
            <w:pPr>
              <w:tabs>
                <w:tab w:val="left" w:pos="547"/>
              </w:tabs>
              <w:spacing w:line="300" w:lineRule="exact"/>
              <w:ind w:firstLine="420" w:firstLineChars="200"/>
              <w:rPr>
                <w:rFonts w:ascii="Calibri" w:hAnsi="宋体" w:cs="仿宋"/>
                <w:b/>
                <w:szCs w:val="21"/>
              </w:rPr>
            </w:pPr>
            <w:r>
              <w:rPr>
                <w:rFonts w:hint="eastAsia" w:ascii="Calibri" w:hAnsi="宋体" w:cs="仿宋"/>
                <w:b/>
                <w:sz w:val="21"/>
                <w:szCs w:val="21"/>
              </w:rPr>
              <w:t>三、赋分标准（满分15分）</w:t>
            </w:r>
          </w:p>
          <w:p w14:paraId="08A8280D">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①</w:t>
            </w:r>
            <w:r>
              <w:rPr>
                <w:rFonts w:hint="eastAsia" w:ascii="Calibri" w:hAnsi="宋体"/>
                <w:sz w:val="21"/>
                <w:szCs w:val="21"/>
              </w:rPr>
              <w:t>住建业务管理现状、信息化现状：</w:t>
            </w:r>
            <w:r>
              <w:rPr>
                <w:rFonts w:hint="eastAsia" w:ascii="Calibri" w:hAnsi="宋体" w:eastAsia="宋体" w:cs="宋体"/>
                <w:sz w:val="21"/>
                <w:szCs w:val="21"/>
              </w:rPr>
              <w:t>每项方案每完全满足一项评审标准得2分，每项满分</w:t>
            </w:r>
            <w:r>
              <w:rPr>
                <w:rFonts w:ascii="Calibri" w:hAnsi="宋体" w:eastAsia="宋体" w:cs="宋体"/>
                <w:sz w:val="21"/>
                <w:szCs w:val="21"/>
              </w:rPr>
              <w:t>6</w:t>
            </w:r>
            <w:r>
              <w:rPr>
                <w:rFonts w:hint="eastAsia" w:ascii="Calibri" w:hAnsi="宋体" w:eastAsia="宋体" w:cs="宋体"/>
                <w:sz w:val="21"/>
                <w:szCs w:val="21"/>
              </w:rPr>
              <w:t>分；</w:t>
            </w:r>
          </w:p>
          <w:p w14:paraId="1FC8E523">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上述②、③项评审内容：每项方案每完全满足一项评审标准得</w:t>
            </w:r>
            <w:r>
              <w:rPr>
                <w:rFonts w:ascii="Calibri" w:hAnsi="宋体" w:eastAsia="宋体" w:cs="宋体"/>
                <w:sz w:val="21"/>
                <w:szCs w:val="21"/>
              </w:rPr>
              <w:t>1.5</w:t>
            </w:r>
            <w:r>
              <w:rPr>
                <w:rFonts w:hint="eastAsia" w:ascii="Calibri" w:hAnsi="宋体" w:eastAsia="宋体" w:cs="宋体"/>
                <w:sz w:val="21"/>
                <w:szCs w:val="21"/>
              </w:rPr>
              <w:t>分，每项满分</w:t>
            </w:r>
            <w:r>
              <w:rPr>
                <w:rFonts w:ascii="Calibri" w:hAnsi="宋体" w:eastAsia="宋体" w:cs="宋体"/>
                <w:sz w:val="21"/>
                <w:szCs w:val="21"/>
              </w:rPr>
              <w:t>4.5</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14:paraId="790B35B2">
            <w:pPr>
              <w:spacing w:line="400" w:lineRule="exact"/>
              <w:jc w:val="center"/>
              <w:rPr>
                <w:rFonts w:ascii="Calibri" w:hAnsi="宋体" w:eastAsia="宋体" w:cs="宋体"/>
                <w:bCs/>
                <w:color w:val="FF0000"/>
                <w:sz w:val="21"/>
                <w:szCs w:val="21"/>
              </w:rPr>
            </w:pPr>
          </w:p>
        </w:tc>
      </w:tr>
      <w:tr w14:paraId="02F0DC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87FFEA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21589214">
            <w:pPr>
              <w:spacing w:line="400" w:lineRule="exact"/>
              <w:jc w:val="center"/>
              <w:rPr>
                <w:rFonts w:ascii="Calibri" w:hAnsi="宋体" w:eastAsia="宋体" w:cs="宋体"/>
                <w:bCs/>
                <w:sz w:val="21"/>
                <w:szCs w:val="21"/>
              </w:rPr>
            </w:pPr>
          </w:p>
        </w:tc>
        <w:tc>
          <w:tcPr>
            <w:tcW w:w="860" w:type="dxa"/>
            <w:shd w:val="clear" w:color="auto" w:fill="auto"/>
            <w:vAlign w:val="center"/>
          </w:tcPr>
          <w:p w14:paraId="5DE8BB17">
            <w:pPr>
              <w:spacing w:line="400" w:lineRule="exact"/>
              <w:jc w:val="center"/>
              <w:rPr>
                <w:rFonts w:ascii="Calibri" w:hAnsi="宋体" w:eastAsia="宋体" w:cs="宋体"/>
                <w:bCs/>
                <w:sz w:val="21"/>
                <w:szCs w:val="21"/>
              </w:rPr>
            </w:pPr>
            <w:r>
              <w:rPr>
                <w:rFonts w:hint="eastAsia" w:ascii="Calibri" w:hAnsi="宋体" w:eastAsia="宋体" w:cs="宋体"/>
                <w:bCs/>
                <w:szCs w:val="21"/>
              </w:rPr>
              <w:t>24</w:t>
            </w:r>
          </w:p>
        </w:tc>
        <w:tc>
          <w:tcPr>
            <w:tcW w:w="6093" w:type="dxa"/>
            <w:tcBorders>
              <w:top w:val="single" w:color="auto" w:sz="2" w:space="0"/>
            </w:tcBorders>
            <w:shd w:val="clear" w:color="auto" w:fill="auto"/>
            <w:vAlign w:val="center"/>
          </w:tcPr>
          <w:p w14:paraId="445E598A">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技术方案：</w:t>
            </w:r>
          </w:p>
          <w:p w14:paraId="729DEA75">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2F3876DA">
            <w:pPr>
              <w:spacing w:line="320" w:lineRule="exact"/>
              <w:ind w:firstLine="420" w:firstLineChars="200"/>
              <w:rPr>
                <w:rFonts w:ascii="Calibri" w:hAnsi="宋体" w:eastAsia="宋体" w:cs="Calibri Light"/>
                <w:sz w:val="21"/>
                <w:szCs w:val="21"/>
              </w:rPr>
            </w:pPr>
            <w:r>
              <w:rPr>
                <w:rFonts w:hint="eastAsia" w:ascii="Calibri" w:hAnsi="宋体" w:eastAsia="宋体" w:cs="仿宋"/>
                <w:sz w:val="21"/>
                <w:szCs w:val="21"/>
              </w:rPr>
              <w:t>供应商提供针对于本项目的</w:t>
            </w:r>
            <w:r>
              <w:rPr>
                <w:rFonts w:hint="eastAsia" w:ascii="Calibri" w:hAnsi="宋体" w:eastAsia="宋体" w:cs="Calibri Light"/>
                <w:sz w:val="21"/>
                <w:szCs w:val="21"/>
              </w:rPr>
              <w:t>技术方案</w:t>
            </w:r>
            <w:r>
              <w:rPr>
                <w:rFonts w:ascii="Calibri" w:hAnsi="宋体" w:eastAsia="宋体" w:cs="Calibri Light"/>
                <w:sz w:val="21"/>
                <w:szCs w:val="21"/>
              </w:rPr>
              <w:t>，</w:t>
            </w:r>
            <w:r>
              <w:rPr>
                <w:rFonts w:hint="eastAsia" w:ascii="Calibri" w:hAnsi="宋体" w:eastAsia="宋体" w:cs="Calibri Light"/>
                <w:sz w:val="21"/>
                <w:szCs w:val="21"/>
              </w:rPr>
              <w:t>内容包含：①模块日常运维方案；②数据日常运维方案；③数据采集方案；④功能完善方案</w:t>
            </w:r>
            <w:r>
              <w:rPr>
                <w:rFonts w:hint="eastAsia" w:ascii="Calibri" w:hAnsi="宋体" w:eastAsia="宋体"/>
                <w:color w:val="000000"/>
                <w:sz w:val="21"/>
                <w:szCs w:val="21"/>
              </w:rPr>
              <w:t>。</w:t>
            </w:r>
          </w:p>
          <w:p w14:paraId="243455D9">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06CE38B5">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1</w:t>
            </w:r>
            <w:r>
              <w:rPr>
                <w:rFonts w:hint="eastAsia" w:ascii="Calibri" w:hAnsi="宋体" w:eastAsia="宋体" w:cs="仿宋"/>
                <w:sz w:val="21"/>
                <w:szCs w:val="21"/>
              </w:rPr>
              <w:t>、完整性：</w:t>
            </w:r>
            <w:r>
              <w:rPr>
                <w:rFonts w:hint="eastAsia" w:ascii="Calibri" w:hAnsi="宋体" w:eastAsia="宋体" w:cs="仿宋"/>
                <w:bCs/>
                <w:sz w:val="21"/>
                <w:szCs w:val="21"/>
              </w:rPr>
              <w:t>方案须详细全面，表述清晰完整，满足磋商文件要求。</w:t>
            </w:r>
          </w:p>
          <w:p w14:paraId="3062272F">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2</w:t>
            </w:r>
            <w:r>
              <w:rPr>
                <w:rFonts w:hint="eastAsia" w:ascii="Calibri" w:hAnsi="宋体" w:eastAsia="宋体" w:cs="仿宋"/>
                <w:sz w:val="21"/>
                <w:szCs w:val="21"/>
              </w:rPr>
              <w:t>、可实施性：切合本项目实际情况，实施步骤清晰、合理。</w:t>
            </w:r>
          </w:p>
          <w:p w14:paraId="40860F17">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3</w:t>
            </w:r>
            <w:r>
              <w:rPr>
                <w:rFonts w:hint="eastAsia" w:ascii="Calibri" w:hAnsi="宋体" w:eastAsia="宋体" w:cs="仿宋"/>
                <w:sz w:val="21"/>
                <w:szCs w:val="21"/>
              </w:rPr>
              <w:t>、针对性：方案能够紧扣项目实际情况，内容科学合理。</w:t>
            </w:r>
          </w:p>
          <w:p w14:paraId="71FDB719">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三、赋分标准（满分24分）</w:t>
            </w:r>
          </w:p>
          <w:p w14:paraId="5F1F14CD">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上述①~</w:t>
            </w:r>
            <w:r>
              <w:rPr>
                <w:rFonts w:hint="eastAsia" w:ascii="Calibri" w:hAnsi="宋体" w:eastAsia="宋体" w:cs="Calibri Light"/>
                <w:sz w:val="21"/>
                <w:szCs w:val="21"/>
              </w:rPr>
              <w:t>④</w:t>
            </w:r>
            <w:r>
              <w:rPr>
                <w:rFonts w:hint="eastAsia" w:ascii="Calibri" w:hAnsi="宋体" w:eastAsia="宋体" w:cs="宋体"/>
                <w:sz w:val="21"/>
                <w:szCs w:val="21"/>
              </w:rPr>
              <w:t>项评审内容：每项方案每完全满足一项评审标准得2分，每项满分</w:t>
            </w:r>
            <w:r>
              <w:rPr>
                <w:rFonts w:ascii="Calibri" w:hAnsi="宋体" w:eastAsia="宋体" w:cs="宋体"/>
                <w:sz w:val="21"/>
                <w:szCs w:val="21"/>
              </w:rPr>
              <w:t>6</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14:paraId="466DF22F">
            <w:pPr>
              <w:spacing w:line="400" w:lineRule="exact"/>
              <w:jc w:val="center"/>
              <w:rPr>
                <w:rFonts w:ascii="Calibri" w:hAnsi="宋体" w:eastAsia="宋体" w:cs="宋体"/>
                <w:bCs/>
                <w:color w:val="FF0000"/>
                <w:sz w:val="21"/>
                <w:szCs w:val="21"/>
              </w:rPr>
            </w:pPr>
          </w:p>
        </w:tc>
      </w:tr>
      <w:tr w14:paraId="45B43E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D4CC10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34957698">
            <w:pPr>
              <w:spacing w:line="400" w:lineRule="exact"/>
              <w:jc w:val="center"/>
              <w:rPr>
                <w:rFonts w:ascii="Calibri" w:hAnsi="宋体" w:eastAsia="宋体" w:cs="宋体"/>
                <w:bCs/>
                <w:sz w:val="21"/>
                <w:szCs w:val="21"/>
              </w:rPr>
            </w:pPr>
          </w:p>
        </w:tc>
        <w:tc>
          <w:tcPr>
            <w:tcW w:w="860" w:type="dxa"/>
            <w:shd w:val="clear" w:color="auto" w:fill="auto"/>
            <w:vAlign w:val="center"/>
          </w:tcPr>
          <w:p w14:paraId="64F3825A">
            <w:pPr>
              <w:spacing w:line="320" w:lineRule="exact"/>
              <w:jc w:val="center"/>
              <w:rPr>
                <w:rFonts w:ascii="Calibri" w:hAnsi="宋体" w:eastAsia="宋体" w:cs="宋体"/>
                <w:bCs/>
                <w:sz w:val="21"/>
                <w:szCs w:val="21"/>
              </w:rPr>
            </w:pPr>
            <w:r>
              <w:rPr>
                <w:rFonts w:ascii="Calibri" w:hAnsi="宋体" w:eastAsia="宋体" w:cs="宋体"/>
                <w:bCs/>
                <w:sz w:val="21"/>
                <w:szCs w:val="21"/>
              </w:rPr>
              <w:t>9</w:t>
            </w:r>
          </w:p>
        </w:tc>
        <w:tc>
          <w:tcPr>
            <w:tcW w:w="6093" w:type="dxa"/>
            <w:tcBorders>
              <w:top w:val="single" w:color="auto" w:sz="2" w:space="0"/>
            </w:tcBorders>
            <w:shd w:val="clear" w:color="auto" w:fill="auto"/>
            <w:vAlign w:val="center"/>
          </w:tcPr>
          <w:p w14:paraId="6CDCAE6E">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实施方案：</w:t>
            </w:r>
          </w:p>
          <w:p w14:paraId="691C95D7">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08AD37E5">
            <w:pPr>
              <w:spacing w:line="320" w:lineRule="exact"/>
              <w:ind w:firstLine="420" w:firstLineChars="200"/>
              <w:rPr>
                <w:rFonts w:ascii="Calibri" w:hAnsi="宋体" w:eastAsia="宋体" w:cs="Calibri Light"/>
                <w:sz w:val="21"/>
                <w:szCs w:val="21"/>
              </w:rPr>
            </w:pPr>
            <w:r>
              <w:rPr>
                <w:rFonts w:hint="eastAsia" w:ascii="Calibri" w:hAnsi="宋体" w:eastAsia="宋体" w:cs="仿宋"/>
                <w:sz w:val="21"/>
                <w:szCs w:val="21"/>
              </w:rPr>
              <w:t>供应商提供针对于本项目的</w:t>
            </w:r>
            <w:r>
              <w:rPr>
                <w:rFonts w:hint="eastAsia" w:ascii="Calibri" w:hAnsi="宋体" w:eastAsia="宋体" w:cs="Calibri Light"/>
                <w:sz w:val="21"/>
                <w:szCs w:val="21"/>
              </w:rPr>
              <w:t>实施方案，内容包含：</w:t>
            </w:r>
            <w:r>
              <w:rPr>
                <w:rFonts w:hint="eastAsia" w:ascii="Calibri" w:hAnsi="宋体" w:eastAsia="宋体" w:cs="宋体"/>
                <w:sz w:val="21"/>
                <w:szCs w:val="21"/>
              </w:rPr>
              <w:t>①</w:t>
            </w:r>
            <w:r>
              <w:rPr>
                <w:rFonts w:hint="eastAsia" w:ascii="Calibri" w:hAnsi="宋体" w:eastAsia="宋体"/>
                <w:color w:val="000000"/>
                <w:sz w:val="21"/>
                <w:szCs w:val="21"/>
              </w:rPr>
              <w:t>项目管理办法及进度安排</w:t>
            </w:r>
            <w:r>
              <w:rPr>
                <w:rFonts w:hint="eastAsia" w:ascii="Calibri" w:hAnsi="宋体" w:eastAsia="宋体" w:cs="MS Mincho"/>
                <w:sz w:val="21"/>
                <w:szCs w:val="21"/>
              </w:rPr>
              <w:t>；</w:t>
            </w:r>
            <w:r>
              <w:rPr>
                <w:rFonts w:hint="eastAsia" w:ascii="Calibri" w:hAnsi="宋体" w:eastAsia="宋体" w:cs="宋体"/>
                <w:sz w:val="21"/>
                <w:szCs w:val="21"/>
              </w:rPr>
              <w:t>②</w:t>
            </w:r>
            <w:r>
              <w:rPr>
                <w:rFonts w:hint="eastAsia" w:ascii="Calibri" w:hAnsi="宋体" w:cs="MS Mincho"/>
                <w:sz w:val="21"/>
                <w:szCs w:val="21"/>
              </w:rPr>
              <w:t>项目组织机构</w:t>
            </w:r>
            <w:r>
              <w:rPr>
                <w:rFonts w:hint="eastAsia" w:ascii="Calibri" w:hAnsi="宋体"/>
                <w:sz w:val="21"/>
                <w:szCs w:val="21"/>
              </w:rPr>
              <w:t>及各岗位职责规范</w:t>
            </w:r>
            <w:r>
              <w:rPr>
                <w:rFonts w:hint="eastAsia" w:ascii="Calibri" w:hAnsi="宋体" w:eastAsia="宋体"/>
                <w:color w:val="000000"/>
                <w:sz w:val="21"/>
                <w:szCs w:val="21"/>
              </w:rPr>
              <w:t>。</w:t>
            </w:r>
          </w:p>
          <w:p w14:paraId="7845F70C">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2F2383AB">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1</w:t>
            </w:r>
            <w:r>
              <w:rPr>
                <w:rFonts w:hint="eastAsia" w:ascii="Calibri" w:hAnsi="宋体" w:eastAsia="宋体" w:cs="仿宋"/>
                <w:sz w:val="21"/>
                <w:szCs w:val="21"/>
              </w:rPr>
              <w:t>、完整性：</w:t>
            </w:r>
            <w:r>
              <w:rPr>
                <w:rFonts w:hint="eastAsia" w:ascii="Calibri" w:hAnsi="宋体" w:eastAsia="宋体" w:cs="仿宋"/>
                <w:bCs/>
                <w:sz w:val="21"/>
                <w:szCs w:val="21"/>
              </w:rPr>
              <w:t>方案须详细全面，表述清晰完整，满足磋商文件要求。</w:t>
            </w:r>
          </w:p>
          <w:p w14:paraId="007EF7CA">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2</w:t>
            </w:r>
            <w:r>
              <w:rPr>
                <w:rFonts w:hint="eastAsia" w:ascii="Calibri" w:hAnsi="宋体" w:eastAsia="宋体" w:cs="仿宋"/>
                <w:sz w:val="21"/>
                <w:szCs w:val="21"/>
              </w:rPr>
              <w:t>、可实施性：切合本项目实际情况，实施步骤清晰、合理。</w:t>
            </w:r>
          </w:p>
          <w:p w14:paraId="21F4AA7F">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3</w:t>
            </w:r>
            <w:r>
              <w:rPr>
                <w:rFonts w:hint="eastAsia" w:ascii="Calibri" w:hAnsi="宋体" w:eastAsia="宋体" w:cs="仿宋"/>
                <w:sz w:val="21"/>
                <w:szCs w:val="21"/>
              </w:rPr>
              <w:t>、针对性：方案能够紧扣项目实际情况，内容科学合理。</w:t>
            </w:r>
          </w:p>
          <w:p w14:paraId="423D80C3">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w:t>
            </w:r>
            <w:r>
              <w:rPr>
                <w:rFonts w:ascii="Calibri" w:hAnsi="宋体" w:eastAsia="宋体" w:cs="仿宋"/>
                <w:b/>
                <w:sz w:val="21"/>
                <w:szCs w:val="21"/>
              </w:rPr>
              <w:t>9</w:t>
            </w:r>
            <w:r>
              <w:rPr>
                <w:rFonts w:hint="eastAsia" w:ascii="Calibri" w:hAnsi="宋体" w:eastAsia="宋体" w:cs="仿宋"/>
                <w:b/>
                <w:sz w:val="21"/>
                <w:szCs w:val="21"/>
              </w:rPr>
              <w:t>分）</w:t>
            </w:r>
          </w:p>
          <w:p w14:paraId="4C8187C7">
            <w:pPr>
              <w:spacing w:line="320" w:lineRule="exact"/>
              <w:ind w:firstLine="420" w:firstLineChars="200"/>
              <w:jc w:val="both"/>
              <w:rPr>
                <w:rFonts w:ascii="Calibri" w:hAnsi="宋体" w:eastAsia="宋体" w:cs="仿宋"/>
                <w:sz w:val="21"/>
                <w:szCs w:val="21"/>
              </w:rPr>
            </w:pPr>
            <w:r>
              <w:rPr>
                <w:rFonts w:hint="eastAsia" w:ascii="Calibri" w:hAnsi="宋体" w:eastAsia="宋体" w:cs="宋体"/>
                <w:sz w:val="21"/>
                <w:szCs w:val="21"/>
              </w:rPr>
              <w:t>①</w:t>
            </w:r>
            <w:r>
              <w:rPr>
                <w:rFonts w:hint="eastAsia" w:ascii="Calibri" w:hAnsi="宋体" w:eastAsia="宋体"/>
                <w:color w:val="000000"/>
                <w:sz w:val="21"/>
                <w:szCs w:val="21"/>
              </w:rPr>
              <w:t>项目管理办法及进度安排</w:t>
            </w:r>
            <w:r>
              <w:rPr>
                <w:rFonts w:hint="eastAsia" w:ascii="Calibri" w:hAnsi="宋体" w:eastAsia="宋体" w:cs="仿宋"/>
                <w:sz w:val="21"/>
                <w:szCs w:val="21"/>
              </w:rPr>
              <w:t>：每满足一项评审标准得</w:t>
            </w:r>
            <w:r>
              <w:rPr>
                <w:rFonts w:ascii="Calibri" w:hAnsi="宋体" w:eastAsia="宋体" w:cs="仿宋"/>
                <w:sz w:val="21"/>
                <w:szCs w:val="21"/>
              </w:rPr>
              <w:t>1.5</w:t>
            </w:r>
            <w:r>
              <w:rPr>
                <w:rFonts w:hint="eastAsia" w:ascii="Calibri" w:hAnsi="宋体" w:eastAsia="宋体" w:cs="仿宋"/>
                <w:sz w:val="21"/>
                <w:szCs w:val="21"/>
              </w:rPr>
              <w:t>分，满分</w:t>
            </w:r>
            <w:r>
              <w:rPr>
                <w:rFonts w:ascii="Calibri" w:hAnsi="宋体" w:eastAsia="宋体" w:cs="仿宋"/>
                <w:sz w:val="21"/>
                <w:szCs w:val="21"/>
              </w:rPr>
              <w:t>4.5</w:t>
            </w:r>
            <w:r>
              <w:rPr>
                <w:rFonts w:hint="eastAsia" w:ascii="Calibri" w:hAnsi="宋体" w:eastAsia="宋体" w:cs="仿宋"/>
                <w:sz w:val="21"/>
                <w:szCs w:val="21"/>
              </w:rPr>
              <w:t>分。</w:t>
            </w:r>
          </w:p>
          <w:p w14:paraId="2042B1AA">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②</w:t>
            </w:r>
            <w:r>
              <w:rPr>
                <w:rFonts w:hint="eastAsia" w:ascii="Calibri" w:hAnsi="宋体" w:eastAsia="宋体" w:cs="仿宋"/>
                <w:sz w:val="21"/>
                <w:szCs w:val="21"/>
              </w:rPr>
              <w:t>项目组织机构及各岗位职责规范：每满足一项评审标准得</w:t>
            </w:r>
            <w:r>
              <w:rPr>
                <w:rFonts w:ascii="Calibri" w:hAnsi="宋体" w:eastAsia="宋体" w:cs="仿宋"/>
                <w:sz w:val="21"/>
                <w:szCs w:val="21"/>
              </w:rPr>
              <w:t>1.5</w:t>
            </w:r>
            <w:r>
              <w:rPr>
                <w:rFonts w:hint="eastAsia" w:ascii="Calibri" w:hAnsi="宋体" w:eastAsia="宋体" w:cs="仿宋"/>
                <w:sz w:val="21"/>
                <w:szCs w:val="21"/>
              </w:rPr>
              <w:t>分，满分</w:t>
            </w:r>
            <w:r>
              <w:rPr>
                <w:rFonts w:ascii="Calibri" w:hAnsi="宋体" w:eastAsia="宋体" w:cs="仿宋"/>
                <w:sz w:val="21"/>
                <w:szCs w:val="21"/>
              </w:rPr>
              <w:t>4.5</w:t>
            </w:r>
            <w:r>
              <w:rPr>
                <w:rFonts w:hint="eastAsia" w:ascii="Calibri" w:hAnsi="宋体" w:eastAsia="宋体" w:cs="仿宋"/>
                <w:sz w:val="21"/>
                <w:szCs w:val="21"/>
              </w:rPr>
              <w:t>分。</w:t>
            </w:r>
          </w:p>
        </w:tc>
        <w:tc>
          <w:tcPr>
            <w:tcW w:w="1134" w:type="dxa"/>
            <w:tcBorders>
              <w:top w:val="single" w:color="auto" w:sz="2" w:space="0"/>
            </w:tcBorders>
            <w:shd w:val="clear" w:color="auto" w:fill="auto"/>
            <w:vAlign w:val="center"/>
          </w:tcPr>
          <w:p w14:paraId="39A68E77">
            <w:pPr>
              <w:spacing w:line="400" w:lineRule="exact"/>
              <w:jc w:val="center"/>
              <w:rPr>
                <w:rFonts w:ascii="Calibri" w:hAnsi="宋体" w:eastAsia="宋体" w:cs="宋体"/>
                <w:bCs/>
                <w:color w:val="FF0000"/>
                <w:sz w:val="21"/>
                <w:szCs w:val="21"/>
              </w:rPr>
            </w:pPr>
          </w:p>
        </w:tc>
      </w:tr>
      <w:tr w14:paraId="4FBE37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2ED08077">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0FDD1586">
            <w:pPr>
              <w:spacing w:line="400" w:lineRule="exact"/>
              <w:jc w:val="center"/>
              <w:rPr>
                <w:rFonts w:ascii="Calibri" w:hAnsi="宋体" w:eastAsia="宋体" w:cs="宋体"/>
                <w:bCs/>
                <w:sz w:val="21"/>
                <w:szCs w:val="21"/>
              </w:rPr>
            </w:pPr>
          </w:p>
        </w:tc>
        <w:tc>
          <w:tcPr>
            <w:tcW w:w="860" w:type="dxa"/>
            <w:shd w:val="clear" w:color="auto" w:fill="auto"/>
            <w:vAlign w:val="center"/>
          </w:tcPr>
          <w:p w14:paraId="2F8F6350">
            <w:pPr>
              <w:spacing w:line="32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tcBorders>
              <w:top w:val="single" w:color="auto" w:sz="2" w:space="0"/>
            </w:tcBorders>
            <w:shd w:val="clear" w:color="auto" w:fill="auto"/>
            <w:vAlign w:val="center"/>
          </w:tcPr>
          <w:p w14:paraId="2AE1BF4B">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质量保障方案</w:t>
            </w:r>
            <w:r>
              <w:rPr>
                <w:rFonts w:ascii="Calibri" w:hAnsi="宋体" w:eastAsia="宋体" w:cs="仿宋"/>
                <w:b/>
                <w:color w:val="C00000"/>
                <w:sz w:val="21"/>
                <w:szCs w:val="21"/>
              </w:rPr>
              <w:t>：</w:t>
            </w:r>
          </w:p>
          <w:p w14:paraId="317461CF">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58D91990">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sz w:val="21"/>
                <w:szCs w:val="21"/>
              </w:rPr>
              <w:t>供应商提供针对本项目的质量保障方案。</w:t>
            </w:r>
          </w:p>
          <w:p w14:paraId="1BB6A193">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48614C55">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1、完整性：</w:t>
            </w:r>
            <w:r>
              <w:rPr>
                <w:rFonts w:hint="eastAsia" w:ascii="Calibri" w:hAnsi="宋体" w:eastAsia="宋体" w:cs="仿宋"/>
                <w:bCs/>
                <w:sz w:val="21"/>
                <w:szCs w:val="21"/>
              </w:rPr>
              <w:t>方案须详细全面，表述清晰完整，满足磋商文件要求。</w:t>
            </w:r>
          </w:p>
          <w:p w14:paraId="57BA411A">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2、可实施性：切合本项目实际情况，实施步骤清晰、合理。</w:t>
            </w:r>
          </w:p>
          <w:p w14:paraId="1F6075B0">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3、针对性：方案能够紧扣项目实际情况，内容科学合理。</w:t>
            </w:r>
          </w:p>
          <w:p w14:paraId="528FA259">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b/>
                <w:sz w:val="21"/>
                <w:szCs w:val="21"/>
              </w:rPr>
              <w:t>三、赋分标准（满分6分）</w:t>
            </w:r>
          </w:p>
          <w:p w14:paraId="6B54201F">
            <w:pPr>
              <w:tabs>
                <w:tab w:val="left" w:pos="547"/>
              </w:tabs>
              <w:spacing w:line="320" w:lineRule="exact"/>
              <w:ind w:firstLine="420"/>
              <w:jc w:val="both"/>
              <w:rPr>
                <w:rFonts w:ascii="Calibri" w:hAnsi="宋体" w:eastAsia="宋体" w:cs="宋体"/>
                <w:sz w:val="21"/>
                <w:szCs w:val="21"/>
              </w:rPr>
            </w:pPr>
            <w:r>
              <w:rPr>
                <w:rFonts w:hint="eastAsia" w:ascii="Times New Roman" w:hAnsi="Times New Roman" w:eastAsia="宋体" w:cs="宋体"/>
                <w:sz w:val="21"/>
                <w:szCs w:val="21"/>
              </w:rPr>
              <w:t>每满足一项评审标准得2分，满分6分。</w:t>
            </w:r>
          </w:p>
        </w:tc>
        <w:tc>
          <w:tcPr>
            <w:tcW w:w="1134" w:type="dxa"/>
            <w:tcBorders>
              <w:top w:val="single" w:color="auto" w:sz="2" w:space="0"/>
            </w:tcBorders>
            <w:shd w:val="clear" w:color="auto" w:fill="auto"/>
            <w:vAlign w:val="center"/>
          </w:tcPr>
          <w:p w14:paraId="156145C4">
            <w:pPr>
              <w:spacing w:line="400" w:lineRule="exact"/>
              <w:jc w:val="center"/>
              <w:rPr>
                <w:rFonts w:ascii="Calibri" w:hAnsi="宋体" w:eastAsia="宋体" w:cs="宋体"/>
                <w:bCs/>
                <w:color w:val="FF0000"/>
                <w:sz w:val="21"/>
                <w:szCs w:val="21"/>
              </w:rPr>
            </w:pPr>
          </w:p>
        </w:tc>
      </w:tr>
      <w:tr w14:paraId="70508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F6279BD">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0FE539A1">
            <w:pPr>
              <w:spacing w:line="400" w:lineRule="exact"/>
              <w:jc w:val="center"/>
              <w:rPr>
                <w:rFonts w:ascii="Calibri" w:hAnsi="宋体" w:eastAsia="宋体" w:cs="宋体"/>
                <w:bCs/>
                <w:sz w:val="21"/>
                <w:szCs w:val="21"/>
              </w:rPr>
            </w:pPr>
          </w:p>
        </w:tc>
        <w:tc>
          <w:tcPr>
            <w:tcW w:w="860" w:type="dxa"/>
            <w:shd w:val="clear" w:color="auto" w:fill="auto"/>
            <w:vAlign w:val="center"/>
          </w:tcPr>
          <w:p w14:paraId="67E09387">
            <w:pPr>
              <w:spacing w:line="320" w:lineRule="exact"/>
              <w:jc w:val="center"/>
              <w:rPr>
                <w:rFonts w:ascii="Calibri" w:hAnsi="宋体" w:eastAsia="宋体" w:cs="宋体"/>
                <w:bCs/>
                <w:sz w:val="21"/>
                <w:szCs w:val="21"/>
              </w:rPr>
            </w:pPr>
            <w:r>
              <w:rPr>
                <w:rFonts w:ascii="Calibri" w:hAnsi="宋体" w:eastAsia="宋体" w:cs="宋体"/>
                <w:bCs/>
                <w:sz w:val="21"/>
                <w:szCs w:val="21"/>
              </w:rPr>
              <w:t>6</w:t>
            </w:r>
          </w:p>
        </w:tc>
        <w:tc>
          <w:tcPr>
            <w:tcW w:w="6093" w:type="dxa"/>
            <w:tcBorders>
              <w:top w:val="single" w:color="auto" w:sz="2" w:space="0"/>
            </w:tcBorders>
            <w:shd w:val="clear" w:color="auto" w:fill="auto"/>
            <w:vAlign w:val="center"/>
          </w:tcPr>
          <w:p w14:paraId="2D888B2B">
            <w:pPr>
              <w:tabs>
                <w:tab w:val="left" w:pos="547"/>
              </w:tabs>
              <w:spacing w:line="320" w:lineRule="exact"/>
              <w:ind w:firstLine="420" w:firstLineChars="200"/>
              <w:rPr>
                <w:rFonts w:ascii="Calibri" w:hAnsi="宋体" w:eastAsia="宋体" w:cs="仿宋"/>
                <w:b/>
                <w:color w:val="C00000"/>
                <w:sz w:val="21"/>
                <w:szCs w:val="21"/>
              </w:rPr>
            </w:pPr>
            <w:r>
              <w:rPr>
                <w:rFonts w:ascii="Calibri" w:hAnsi="宋体" w:eastAsia="宋体" w:cs="仿宋"/>
                <w:b/>
                <w:color w:val="C00000"/>
                <w:sz w:val="21"/>
                <w:szCs w:val="21"/>
              </w:rPr>
              <w:t>应急方案：</w:t>
            </w:r>
          </w:p>
          <w:p w14:paraId="6A4FC463">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一、评审内容</w:t>
            </w:r>
          </w:p>
          <w:p w14:paraId="112E0D05">
            <w:pPr>
              <w:spacing w:line="320" w:lineRule="exact"/>
              <w:ind w:firstLine="420" w:firstLineChars="200"/>
              <w:rPr>
                <w:rFonts w:ascii="Calibri" w:hAnsi="宋体" w:eastAsia="宋体" w:cs="Calibri Light"/>
                <w:sz w:val="21"/>
                <w:szCs w:val="21"/>
              </w:rPr>
            </w:pPr>
            <w:r>
              <w:rPr>
                <w:rFonts w:ascii="Calibri" w:hAnsi="宋体" w:eastAsia="宋体" w:cs="Calibri Light"/>
                <w:sz w:val="21"/>
                <w:szCs w:val="21"/>
              </w:rPr>
              <w:t>供应商提供针</w:t>
            </w:r>
            <w:r>
              <w:rPr>
                <w:rFonts w:hint="eastAsia" w:ascii="Calibri" w:hAnsi="宋体" w:eastAsia="宋体" w:cs="Calibri Light"/>
                <w:sz w:val="21"/>
                <w:szCs w:val="21"/>
              </w:rPr>
              <w:t>对本项目的</w:t>
            </w:r>
            <w:r>
              <w:rPr>
                <w:rFonts w:ascii="Calibri" w:hAnsi="宋体" w:eastAsia="宋体" w:cs="Calibri Light"/>
                <w:sz w:val="21"/>
                <w:szCs w:val="21"/>
              </w:rPr>
              <w:t>应急方案，方案内容包含：</w:t>
            </w:r>
            <w:r>
              <w:rPr>
                <w:rFonts w:hint="eastAsia" w:ascii="Calibri" w:hAnsi="宋体" w:eastAsia="宋体" w:cs="Calibri Light"/>
                <w:sz w:val="21"/>
                <w:szCs w:val="21"/>
              </w:rPr>
              <w:t>①系统故障应急预案；②安全事件应急预案；③数据故障应急预案；④业务中断应急预案。</w:t>
            </w:r>
          </w:p>
          <w:p w14:paraId="2EB62061">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二、评审标准</w:t>
            </w:r>
          </w:p>
          <w:p w14:paraId="1C04FF7C">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1、完整性：</w:t>
            </w:r>
            <w:r>
              <w:rPr>
                <w:rFonts w:hint="eastAsia" w:ascii="Calibri" w:hAnsi="宋体" w:eastAsia="宋体" w:cs="仿宋"/>
                <w:bCs/>
                <w:sz w:val="21"/>
                <w:szCs w:val="21"/>
              </w:rPr>
              <w:t>方案须详细全面，表述清晰完整，满足磋商文件要求。</w:t>
            </w:r>
          </w:p>
          <w:p w14:paraId="06C9EE26">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2、可实施性：切合本项目实际情况，实施步骤清晰、合理。</w:t>
            </w:r>
          </w:p>
          <w:p w14:paraId="0BC1E0D4">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3、针对性：方案能够紧扣项目实际情况，内容科学合理。</w:t>
            </w:r>
          </w:p>
          <w:p w14:paraId="27DAE143">
            <w:pPr>
              <w:tabs>
                <w:tab w:val="left" w:pos="547"/>
              </w:tabs>
              <w:spacing w:line="320" w:lineRule="exact"/>
              <w:ind w:firstLine="420" w:firstLineChars="200"/>
              <w:rPr>
                <w:rFonts w:ascii="Calibri" w:hAnsi="宋体" w:eastAsia="宋体" w:cs="仿宋"/>
                <w:b/>
                <w:sz w:val="21"/>
                <w:szCs w:val="21"/>
              </w:rPr>
            </w:pPr>
            <w:r>
              <w:rPr>
                <w:rFonts w:hint="eastAsia" w:ascii="Calibri" w:hAnsi="宋体" w:eastAsia="宋体" w:cs="仿宋"/>
                <w:b/>
                <w:sz w:val="21"/>
                <w:szCs w:val="21"/>
              </w:rPr>
              <w:t>三、赋分标准（满分</w:t>
            </w:r>
            <w:r>
              <w:rPr>
                <w:rFonts w:ascii="Calibri" w:hAnsi="宋体" w:eastAsia="宋体" w:cs="仿宋"/>
                <w:b/>
                <w:sz w:val="21"/>
                <w:szCs w:val="21"/>
              </w:rPr>
              <w:t>6</w:t>
            </w:r>
            <w:r>
              <w:rPr>
                <w:rFonts w:hint="eastAsia" w:ascii="Calibri" w:hAnsi="宋体" w:eastAsia="宋体" w:cs="仿宋"/>
                <w:b/>
                <w:sz w:val="21"/>
                <w:szCs w:val="21"/>
              </w:rPr>
              <w:t>分）</w:t>
            </w:r>
          </w:p>
          <w:p w14:paraId="13007C51">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宋体"/>
                <w:sz w:val="21"/>
                <w:szCs w:val="21"/>
              </w:rPr>
              <w:t>上述①~</w:t>
            </w:r>
            <w:r>
              <w:rPr>
                <w:rFonts w:hint="eastAsia" w:ascii="Calibri" w:hAnsi="宋体" w:eastAsia="宋体" w:cs="Calibri Light"/>
                <w:sz w:val="21"/>
                <w:szCs w:val="21"/>
              </w:rPr>
              <w:t>④</w:t>
            </w:r>
            <w:r>
              <w:rPr>
                <w:rFonts w:hint="eastAsia" w:ascii="Calibri" w:hAnsi="宋体" w:eastAsia="宋体" w:cs="宋体"/>
                <w:sz w:val="21"/>
                <w:szCs w:val="21"/>
              </w:rPr>
              <w:t>项评审内容：每项方案每完全满足一项评审标准得</w:t>
            </w:r>
            <w:r>
              <w:rPr>
                <w:rFonts w:ascii="Calibri" w:hAnsi="宋体" w:eastAsia="宋体" w:cs="宋体"/>
                <w:sz w:val="21"/>
                <w:szCs w:val="21"/>
              </w:rPr>
              <w:t>0.5</w:t>
            </w:r>
            <w:r>
              <w:rPr>
                <w:rFonts w:hint="eastAsia" w:ascii="Calibri" w:hAnsi="宋体" w:eastAsia="宋体" w:cs="宋体"/>
                <w:sz w:val="21"/>
                <w:szCs w:val="21"/>
              </w:rPr>
              <w:t>分，每项满分</w:t>
            </w:r>
            <w:r>
              <w:rPr>
                <w:rFonts w:ascii="Calibri" w:hAnsi="宋体" w:eastAsia="宋体" w:cs="宋体"/>
                <w:sz w:val="21"/>
                <w:szCs w:val="21"/>
              </w:rPr>
              <w:t>1.5</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14:paraId="14ADF304">
            <w:pPr>
              <w:spacing w:line="400" w:lineRule="exact"/>
              <w:jc w:val="center"/>
              <w:rPr>
                <w:rFonts w:ascii="Calibri" w:hAnsi="宋体" w:eastAsia="宋体" w:cs="宋体"/>
                <w:bCs/>
                <w:color w:val="FF0000"/>
                <w:sz w:val="21"/>
                <w:szCs w:val="21"/>
              </w:rPr>
            </w:pPr>
          </w:p>
        </w:tc>
      </w:tr>
      <w:tr w14:paraId="2A1B8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5D5C2DBC">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34537DB5">
            <w:pPr>
              <w:spacing w:line="400" w:lineRule="exact"/>
              <w:jc w:val="center"/>
              <w:rPr>
                <w:rFonts w:ascii="Calibri" w:hAnsi="宋体" w:eastAsia="宋体" w:cs="宋体"/>
                <w:bCs/>
                <w:sz w:val="21"/>
                <w:szCs w:val="21"/>
              </w:rPr>
            </w:pPr>
            <w:r>
              <w:rPr>
                <w:rFonts w:ascii="Calibri" w:hAnsi="宋体" w:eastAsia="宋体" w:cs="宋体"/>
                <w:bCs/>
                <w:sz w:val="21"/>
                <w:szCs w:val="21"/>
              </w:rPr>
              <w:t>30</w:t>
            </w:r>
          </w:p>
        </w:tc>
        <w:tc>
          <w:tcPr>
            <w:tcW w:w="860" w:type="dxa"/>
            <w:shd w:val="clear" w:color="auto" w:fill="auto"/>
            <w:vAlign w:val="center"/>
          </w:tcPr>
          <w:p w14:paraId="020A5EA0">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6093" w:type="dxa"/>
            <w:shd w:val="clear" w:color="auto" w:fill="auto"/>
            <w:vAlign w:val="center"/>
          </w:tcPr>
          <w:p w14:paraId="62DCD9BE">
            <w:pPr>
              <w:tabs>
                <w:tab w:val="left" w:pos="547"/>
              </w:tabs>
              <w:spacing w:line="320" w:lineRule="exact"/>
              <w:ind w:firstLine="420" w:firstLineChars="200"/>
              <w:rPr>
                <w:rFonts w:ascii="Calibri" w:hAnsi="宋体" w:eastAsia="宋体" w:cs="仿宋"/>
                <w:b/>
                <w:color w:val="C00000"/>
                <w:sz w:val="21"/>
                <w:szCs w:val="21"/>
              </w:rPr>
            </w:pPr>
            <w:r>
              <w:rPr>
                <w:rFonts w:ascii="Calibri" w:hAnsi="宋体" w:eastAsia="宋体" w:cs="仿宋"/>
                <w:b/>
                <w:color w:val="C00000"/>
                <w:sz w:val="21"/>
                <w:szCs w:val="21"/>
              </w:rPr>
              <w:t>人员配置</w:t>
            </w:r>
            <w:r>
              <w:rPr>
                <w:rFonts w:hint="eastAsia" w:ascii="Calibri" w:hAnsi="宋体" w:eastAsia="宋体" w:cs="仿宋"/>
                <w:b/>
                <w:color w:val="C00000"/>
                <w:sz w:val="21"/>
                <w:szCs w:val="21"/>
              </w:rPr>
              <w:t>：</w:t>
            </w:r>
          </w:p>
          <w:p w14:paraId="4D9A4204">
            <w:pPr>
              <w:spacing w:line="320" w:lineRule="exact"/>
              <w:ind w:firstLine="420" w:firstLineChars="200"/>
              <w:rPr>
                <w:rFonts w:ascii="Calibri" w:hAnsi="宋体" w:eastAsia="宋体" w:cs="MS Mincho"/>
                <w:color w:val="C00000"/>
                <w:sz w:val="21"/>
                <w:szCs w:val="21"/>
              </w:rPr>
            </w:pPr>
            <w:r>
              <w:rPr>
                <w:rFonts w:hint="eastAsia" w:ascii="Calibri" w:hAnsi="宋体" w:eastAsia="宋体" w:cs="MS Mincho"/>
                <w:b/>
                <w:color w:val="C00000"/>
                <w:sz w:val="21"/>
                <w:szCs w:val="21"/>
              </w:rPr>
              <w:t>一</w:t>
            </w:r>
            <w:r>
              <w:rPr>
                <w:rFonts w:ascii="Calibri" w:hAnsi="宋体" w:eastAsia="宋体" w:cs="MS Mincho"/>
                <w:b/>
                <w:color w:val="C00000"/>
                <w:sz w:val="21"/>
                <w:szCs w:val="21"/>
              </w:rPr>
              <w:t>、</w:t>
            </w:r>
            <w:r>
              <w:rPr>
                <w:rFonts w:hint="eastAsia" w:ascii="Calibri" w:hAnsi="宋体" w:eastAsia="宋体" w:cs="MS Mincho"/>
                <w:b/>
                <w:color w:val="C00000"/>
                <w:sz w:val="21"/>
                <w:szCs w:val="21"/>
              </w:rPr>
              <w:t>项目经理（满分3</w:t>
            </w:r>
            <w:r>
              <w:rPr>
                <w:rFonts w:ascii="Calibri" w:hAnsi="宋体" w:eastAsia="宋体" w:cs="MS Mincho"/>
                <w:b/>
                <w:color w:val="C00000"/>
                <w:sz w:val="21"/>
                <w:szCs w:val="21"/>
              </w:rPr>
              <w:t>分）</w:t>
            </w:r>
          </w:p>
          <w:p w14:paraId="31E364D4">
            <w:pPr>
              <w:tabs>
                <w:tab w:val="left" w:pos="547"/>
              </w:tabs>
              <w:spacing w:line="320" w:lineRule="exact"/>
              <w:ind w:firstLine="420" w:firstLineChars="200"/>
              <w:rPr>
                <w:rFonts w:ascii="Calibri" w:hAnsi="宋体" w:eastAsia="宋体" w:cs="MS Mincho"/>
                <w:sz w:val="21"/>
                <w:szCs w:val="21"/>
              </w:rPr>
            </w:pPr>
            <w:r>
              <w:rPr>
                <w:rFonts w:hint="eastAsia" w:ascii="Calibri" w:hAnsi="宋体" w:eastAsia="宋体" w:cs="MS Mincho"/>
                <w:sz w:val="21"/>
                <w:szCs w:val="21"/>
              </w:rPr>
              <w:t>拟派项目经理具有本科及以上学历且具有高级职称证书或高级职业资格证书，须提供证书</w:t>
            </w:r>
            <w:r>
              <w:rPr>
                <w:rFonts w:ascii="Calibri" w:hAnsi="宋体" w:eastAsia="宋体" w:cs="MS Mincho"/>
                <w:sz w:val="21"/>
                <w:szCs w:val="21"/>
              </w:rPr>
              <w:t>扫描件</w:t>
            </w:r>
            <w:r>
              <w:rPr>
                <w:rFonts w:hint="eastAsia" w:ascii="Calibri" w:hAnsi="宋体" w:eastAsia="宋体" w:cs="MS Mincho"/>
                <w:sz w:val="21"/>
                <w:szCs w:val="21"/>
              </w:rPr>
              <w:t>；同时</w:t>
            </w:r>
            <w:r>
              <w:rPr>
                <w:rFonts w:ascii="Calibri" w:hAnsi="宋体" w:eastAsia="宋体" w:cs="MS Mincho"/>
                <w:sz w:val="21"/>
                <w:szCs w:val="21"/>
              </w:rPr>
              <w:t>须</w:t>
            </w:r>
            <w:r>
              <w:rPr>
                <w:rFonts w:hint="eastAsia" w:ascii="Calibri" w:hAnsi="宋体" w:eastAsia="宋体" w:cs="MS Mincho"/>
                <w:sz w:val="21"/>
                <w:szCs w:val="21"/>
              </w:rPr>
              <w:t>具有10年及以上本行业从业经验及5年及以上本行业项目管理经验，须提供加盖服务单位公章的</w:t>
            </w:r>
            <w:r>
              <w:rPr>
                <w:rFonts w:ascii="Calibri" w:hAnsi="宋体" w:eastAsia="宋体" w:cs="MS Mincho"/>
                <w:sz w:val="21"/>
                <w:szCs w:val="21"/>
              </w:rPr>
              <w:t>工作证明</w:t>
            </w:r>
            <w:r>
              <w:rPr>
                <w:rFonts w:hint="eastAsia" w:ascii="Calibri" w:hAnsi="宋体" w:eastAsia="宋体" w:cs="MS Mincho"/>
                <w:sz w:val="21"/>
                <w:szCs w:val="21"/>
              </w:rPr>
              <w:t>；</w:t>
            </w:r>
            <w:r>
              <w:rPr>
                <w:rFonts w:hint="eastAsia" w:ascii="Calibri" w:hAnsi="宋体" w:eastAsia="宋体" w:cs="宋体"/>
                <w:sz w:val="21"/>
                <w:szCs w:val="21"/>
              </w:rPr>
              <w:t>资料完整且全部满足</w:t>
            </w:r>
            <w:r>
              <w:rPr>
                <w:rFonts w:ascii="Calibri" w:hAnsi="宋体" w:eastAsia="宋体" w:cs="MS Mincho"/>
                <w:sz w:val="21"/>
                <w:szCs w:val="21"/>
              </w:rPr>
              <w:t>得</w:t>
            </w:r>
            <w:r>
              <w:rPr>
                <w:rFonts w:hint="eastAsia" w:ascii="Calibri" w:hAnsi="宋体" w:eastAsia="宋体" w:cs="MS Mincho"/>
                <w:sz w:val="21"/>
                <w:szCs w:val="21"/>
              </w:rPr>
              <w:t>3分。</w:t>
            </w:r>
          </w:p>
          <w:p w14:paraId="7B9FD687">
            <w:pPr>
              <w:tabs>
                <w:tab w:val="left" w:pos="547"/>
              </w:tabs>
              <w:spacing w:line="300" w:lineRule="exact"/>
              <w:ind w:firstLine="420" w:firstLineChars="200"/>
              <w:rPr>
                <w:rFonts w:ascii="Calibri" w:hAnsi="宋体" w:cs="仿宋"/>
                <w:b/>
                <w:sz w:val="21"/>
                <w:szCs w:val="21"/>
              </w:rPr>
            </w:pPr>
            <w:r>
              <w:rPr>
                <w:rFonts w:hint="eastAsia" w:ascii="Times New Roman" w:hAnsi="Times New Roman" w:eastAsia="宋体" w:cs="宋体"/>
                <w:sz w:val="21"/>
                <w:szCs w:val="21"/>
              </w:rPr>
              <w:t>注：以上资料须</w:t>
            </w:r>
            <w:r>
              <w:rPr>
                <w:rFonts w:ascii="Times New Roman" w:hAnsi="Times New Roman" w:eastAsia="宋体" w:cs="宋体"/>
                <w:sz w:val="21"/>
                <w:szCs w:val="21"/>
              </w:rPr>
              <w:t>同时</w:t>
            </w:r>
            <w:r>
              <w:rPr>
                <w:rFonts w:hint="eastAsia" w:ascii="Times New Roman" w:hAnsi="Times New Roman" w:eastAsia="宋体" w:cs="宋体"/>
                <w:sz w:val="21"/>
                <w:szCs w:val="21"/>
              </w:rPr>
              <w:t>提供供应商为其缴纳的2024年6月1日以来至少6个月在本单位的社保证明，否则</w:t>
            </w:r>
            <w:r>
              <w:rPr>
                <w:rFonts w:ascii="Times New Roman" w:hAnsi="Times New Roman" w:eastAsia="宋体" w:cs="宋体"/>
                <w:sz w:val="21"/>
                <w:szCs w:val="21"/>
              </w:rPr>
              <w:t>不得分。</w:t>
            </w:r>
          </w:p>
          <w:p w14:paraId="26E6F540">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二、人员配置方案</w:t>
            </w:r>
            <w:r>
              <w:rPr>
                <w:rFonts w:hint="eastAsia" w:ascii="Calibri" w:hAnsi="宋体" w:eastAsia="宋体" w:cs="MS Mincho"/>
                <w:b/>
                <w:color w:val="C00000"/>
                <w:sz w:val="21"/>
                <w:szCs w:val="21"/>
              </w:rPr>
              <w:t>（满分9分）</w:t>
            </w:r>
          </w:p>
          <w:p w14:paraId="055B5971">
            <w:pPr>
              <w:tabs>
                <w:tab w:val="left" w:pos="547"/>
              </w:tabs>
              <w:spacing w:line="300" w:lineRule="exact"/>
              <w:ind w:firstLine="420" w:firstLineChars="200"/>
              <w:rPr>
                <w:rFonts w:cs="宋体"/>
                <w:sz w:val="21"/>
                <w:szCs w:val="21"/>
              </w:rPr>
            </w:pPr>
            <w:r>
              <w:rPr>
                <w:rFonts w:hint="eastAsia" w:cs="宋体"/>
                <w:sz w:val="21"/>
                <w:szCs w:val="21"/>
              </w:rPr>
              <w:t>（一）评审内容</w:t>
            </w:r>
          </w:p>
          <w:p w14:paraId="1C82F894">
            <w:pPr>
              <w:tabs>
                <w:tab w:val="left" w:pos="547"/>
              </w:tabs>
              <w:spacing w:line="300" w:lineRule="exact"/>
              <w:ind w:firstLine="420" w:firstLineChars="200"/>
              <w:rPr>
                <w:rFonts w:cs="宋体"/>
                <w:sz w:val="21"/>
                <w:szCs w:val="21"/>
              </w:rPr>
            </w:pPr>
            <w:r>
              <w:rPr>
                <w:rFonts w:hint="eastAsia" w:cs="宋体"/>
                <w:sz w:val="21"/>
                <w:szCs w:val="21"/>
              </w:rPr>
              <w:t>提供针对本项目服务团队所有人员配备具体情况，包括但不限于年龄/学历/专业资格/职称等，</w:t>
            </w:r>
            <w:r>
              <w:rPr>
                <w:rFonts w:hint="eastAsia" w:ascii="Calibri" w:hAnsi="宋体" w:eastAsia="宋体" w:cs="宋体"/>
                <w:sz w:val="21"/>
                <w:szCs w:val="21"/>
              </w:rPr>
              <w:t>相关工作经验和所获荣誉等（以响应方案中《拟派项目团队及人员情况表》为依据）。</w:t>
            </w:r>
          </w:p>
          <w:p w14:paraId="678705E7">
            <w:pPr>
              <w:tabs>
                <w:tab w:val="left" w:pos="547"/>
              </w:tabs>
              <w:spacing w:line="300" w:lineRule="exact"/>
              <w:ind w:firstLine="420" w:firstLineChars="200"/>
              <w:rPr>
                <w:rFonts w:cs="宋体"/>
                <w:sz w:val="21"/>
                <w:szCs w:val="21"/>
              </w:rPr>
            </w:pPr>
            <w:r>
              <w:rPr>
                <w:rFonts w:hint="eastAsia" w:ascii="Times New Roman" w:hAnsi="Times New Roman" w:eastAsia="宋体" w:cs="宋体"/>
                <w:sz w:val="21"/>
                <w:szCs w:val="21"/>
              </w:rPr>
              <w:t>注：</w:t>
            </w:r>
            <w:r>
              <w:rPr>
                <w:rFonts w:hint="eastAsia" w:cs="宋体"/>
                <w:sz w:val="21"/>
                <w:szCs w:val="21"/>
              </w:rPr>
              <w:t>同时</w:t>
            </w:r>
            <w:r>
              <w:rPr>
                <w:rFonts w:cs="宋体"/>
                <w:sz w:val="21"/>
                <w:szCs w:val="21"/>
              </w:rPr>
              <w:t>须提供</w:t>
            </w:r>
            <w:r>
              <w:rPr>
                <w:rFonts w:hint="eastAsia" w:ascii="Calibri" w:hAnsi="宋体" w:cs="MS Mincho"/>
                <w:sz w:val="21"/>
                <w:szCs w:val="21"/>
              </w:rPr>
              <w:t>供应商为上述人员缴纳的2024年6月1日以来至少6个月在本单位的社保证明</w:t>
            </w:r>
            <w:r>
              <w:rPr>
                <w:rFonts w:hint="eastAsia" w:cs="宋体"/>
                <w:sz w:val="21"/>
                <w:szCs w:val="21"/>
              </w:rPr>
              <w:t>。</w:t>
            </w:r>
          </w:p>
          <w:p w14:paraId="41FA5B57">
            <w:pPr>
              <w:tabs>
                <w:tab w:val="left" w:pos="547"/>
              </w:tabs>
              <w:spacing w:line="300" w:lineRule="exact"/>
              <w:ind w:firstLine="420" w:firstLineChars="200"/>
              <w:rPr>
                <w:rFonts w:cs="宋体"/>
                <w:sz w:val="21"/>
                <w:szCs w:val="21"/>
              </w:rPr>
            </w:pPr>
            <w:r>
              <w:rPr>
                <w:rFonts w:hint="eastAsia" w:cs="宋体"/>
                <w:sz w:val="21"/>
                <w:szCs w:val="21"/>
              </w:rPr>
              <w:t>（二）评审标准</w:t>
            </w:r>
          </w:p>
          <w:p w14:paraId="3C8EEC13">
            <w:pPr>
              <w:tabs>
                <w:tab w:val="left" w:pos="547"/>
              </w:tabs>
              <w:spacing w:line="300" w:lineRule="exact"/>
              <w:ind w:firstLine="420" w:firstLineChars="200"/>
              <w:rPr>
                <w:rFonts w:cs="宋体"/>
                <w:sz w:val="21"/>
                <w:szCs w:val="21"/>
              </w:rPr>
            </w:pPr>
            <w:r>
              <w:rPr>
                <w:rFonts w:hint="eastAsia" w:cs="宋体"/>
                <w:sz w:val="21"/>
                <w:szCs w:val="21"/>
              </w:rPr>
              <w:t>1、完整性：各类人员配置合理，分工明确。</w:t>
            </w:r>
          </w:p>
          <w:p w14:paraId="52037C14">
            <w:pPr>
              <w:tabs>
                <w:tab w:val="left" w:pos="547"/>
              </w:tabs>
              <w:spacing w:line="300" w:lineRule="exact"/>
              <w:ind w:firstLine="420" w:firstLineChars="200"/>
              <w:rPr>
                <w:rFonts w:cs="宋体"/>
                <w:sz w:val="21"/>
                <w:szCs w:val="21"/>
              </w:rPr>
            </w:pPr>
            <w:r>
              <w:rPr>
                <w:rFonts w:hint="eastAsia" w:cs="宋体"/>
                <w:sz w:val="21"/>
                <w:szCs w:val="21"/>
              </w:rPr>
              <w:t>2、针对性：人员充足，数量及职责符合采购需求。</w:t>
            </w:r>
          </w:p>
          <w:p w14:paraId="6ABBE9AC">
            <w:pPr>
              <w:tabs>
                <w:tab w:val="left" w:pos="547"/>
              </w:tabs>
              <w:spacing w:line="300" w:lineRule="exact"/>
              <w:ind w:firstLine="420" w:firstLineChars="200"/>
              <w:rPr>
                <w:rFonts w:cs="宋体"/>
                <w:sz w:val="21"/>
                <w:szCs w:val="21"/>
              </w:rPr>
            </w:pPr>
            <w:r>
              <w:rPr>
                <w:rFonts w:hint="eastAsia" w:cs="宋体"/>
                <w:sz w:val="21"/>
                <w:szCs w:val="21"/>
              </w:rPr>
              <w:t>3、专业性：人员相关岗位经验丰富，技术能力及资质符合采购需求。</w:t>
            </w:r>
          </w:p>
          <w:p w14:paraId="2F406809">
            <w:pPr>
              <w:tabs>
                <w:tab w:val="left" w:pos="547"/>
              </w:tabs>
              <w:spacing w:line="300" w:lineRule="exact"/>
              <w:ind w:firstLine="420" w:firstLineChars="200"/>
              <w:rPr>
                <w:rFonts w:cs="宋体"/>
                <w:sz w:val="21"/>
                <w:szCs w:val="21"/>
              </w:rPr>
            </w:pPr>
            <w:r>
              <w:rPr>
                <w:rFonts w:hint="eastAsia" w:cs="宋体"/>
                <w:sz w:val="21"/>
                <w:szCs w:val="21"/>
              </w:rPr>
              <w:t>（三）赋分标准</w:t>
            </w:r>
          </w:p>
          <w:p w14:paraId="186C9968">
            <w:pPr>
              <w:tabs>
                <w:tab w:val="left" w:pos="547"/>
              </w:tabs>
              <w:spacing w:line="300" w:lineRule="exact"/>
              <w:ind w:firstLine="420" w:firstLineChars="200"/>
              <w:rPr>
                <w:rFonts w:ascii="Times New Roman" w:hAnsi="Times New Roman" w:eastAsia="宋体" w:cs="宋体"/>
                <w:sz w:val="21"/>
                <w:szCs w:val="21"/>
                <w:highlight w:val="yellow"/>
              </w:rPr>
            </w:pPr>
            <w:r>
              <w:rPr>
                <w:rFonts w:hint="eastAsia" w:cs="宋体"/>
                <w:sz w:val="21"/>
                <w:szCs w:val="21"/>
              </w:rPr>
              <w:t>每满足一项评审标准得3分，满分9分（驻场人员＜4人，或未提供社保证明，或社保证明提供不全的，本项</w:t>
            </w:r>
            <w:r>
              <w:rPr>
                <w:rFonts w:cs="宋体"/>
                <w:sz w:val="21"/>
                <w:szCs w:val="21"/>
              </w:rPr>
              <w:t>不得分</w:t>
            </w:r>
            <w:r>
              <w:rPr>
                <w:rFonts w:hint="eastAsia" w:cs="宋体"/>
                <w:sz w:val="21"/>
                <w:szCs w:val="21"/>
              </w:rPr>
              <w:t>）。</w:t>
            </w:r>
          </w:p>
        </w:tc>
        <w:tc>
          <w:tcPr>
            <w:tcW w:w="1134" w:type="dxa"/>
            <w:shd w:val="clear" w:color="auto" w:fill="auto"/>
            <w:vAlign w:val="center"/>
          </w:tcPr>
          <w:p w14:paraId="1945E980">
            <w:pPr>
              <w:spacing w:line="400" w:lineRule="exact"/>
              <w:jc w:val="center"/>
              <w:rPr>
                <w:rFonts w:ascii="Calibri" w:hAnsi="宋体" w:eastAsia="宋体" w:cs="宋体"/>
                <w:bCs/>
                <w:color w:val="FF0000"/>
                <w:sz w:val="21"/>
                <w:szCs w:val="21"/>
              </w:rPr>
            </w:pPr>
          </w:p>
        </w:tc>
      </w:tr>
      <w:tr w14:paraId="05051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509A0C7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40DC888B">
            <w:pPr>
              <w:spacing w:line="400" w:lineRule="exact"/>
              <w:jc w:val="center"/>
              <w:rPr>
                <w:rFonts w:ascii="Calibri" w:hAnsi="宋体" w:eastAsia="宋体" w:cs="宋体"/>
                <w:bCs/>
                <w:sz w:val="21"/>
                <w:szCs w:val="21"/>
              </w:rPr>
            </w:pPr>
          </w:p>
        </w:tc>
        <w:tc>
          <w:tcPr>
            <w:tcW w:w="860" w:type="dxa"/>
            <w:shd w:val="clear" w:color="auto" w:fill="auto"/>
            <w:vAlign w:val="center"/>
          </w:tcPr>
          <w:p w14:paraId="676F247F">
            <w:pPr>
              <w:spacing w:line="400" w:lineRule="exact"/>
              <w:jc w:val="center"/>
              <w:rPr>
                <w:rFonts w:ascii="Calibri" w:hAnsi="宋体" w:eastAsia="宋体" w:cs="宋体"/>
                <w:bCs/>
                <w:sz w:val="21"/>
                <w:szCs w:val="21"/>
              </w:rPr>
            </w:pPr>
            <w:r>
              <w:rPr>
                <w:rFonts w:hint="eastAsia" w:ascii="Calibri" w:hAnsi="宋体" w:eastAsia="宋体" w:cs="宋体"/>
                <w:bCs/>
                <w:sz w:val="21"/>
                <w:szCs w:val="21"/>
              </w:rPr>
              <w:t>4</w:t>
            </w:r>
          </w:p>
        </w:tc>
        <w:tc>
          <w:tcPr>
            <w:tcW w:w="6093" w:type="dxa"/>
            <w:shd w:val="clear" w:color="auto" w:fill="auto"/>
            <w:vAlign w:val="center"/>
          </w:tcPr>
          <w:p w14:paraId="7FF16773">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 xml:space="preserve">服务承诺： </w:t>
            </w:r>
          </w:p>
          <w:p w14:paraId="6B1AA448">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供应商每提供一项承诺得</w:t>
            </w:r>
            <w:r>
              <w:rPr>
                <w:rFonts w:ascii="Calibri" w:hAnsi="宋体" w:eastAsia="宋体" w:cs="仿宋"/>
                <w:sz w:val="21"/>
                <w:szCs w:val="21"/>
              </w:rPr>
              <w:t>1</w:t>
            </w:r>
            <w:r>
              <w:rPr>
                <w:rFonts w:hint="eastAsia" w:ascii="Calibri" w:hAnsi="宋体" w:eastAsia="宋体" w:cs="仿宋"/>
                <w:sz w:val="21"/>
                <w:szCs w:val="21"/>
              </w:rPr>
              <w:t>分，满分</w:t>
            </w:r>
            <w:r>
              <w:rPr>
                <w:rFonts w:ascii="Calibri" w:hAnsi="宋体" w:eastAsia="宋体" w:cs="仿宋"/>
                <w:sz w:val="21"/>
                <w:szCs w:val="21"/>
              </w:rPr>
              <w:t>4</w:t>
            </w:r>
            <w:r>
              <w:rPr>
                <w:rFonts w:hint="eastAsia" w:ascii="Calibri" w:hAnsi="宋体" w:eastAsia="宋体" w:cs="仿宋"/>
                <w:sz w:val="21"/>
                <w:szCs w:val="21"/>
              </w:rPr>
              <w:t>分</w:t>
            </w:r>
            <w:r>
              <w:rPr>
                <w:rFonts w:hint="eastAsia" w:ascii="MS Mincho" w:hAnsi="MS Mincho" w:eastAsia="MS Mincho" w:cs="MS Mincho"/>
                <w:sz w:val="21"/>
                <w:szCs w:val="21"/>
              </w:rPr>
              <w:t>｡</w:t>
            </w:r>
          </w:p>
          <w:p w14:paraId="781D4195">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1、供应商承诺发生紧急突发事件时，积极配合采购人工作，必要时增派人员。</w:t>
            </w:r>
          </w:p>
          <w:p w14:paraId="1569F2D5">
            <w:pPr>
              <w:tabs>
                <w:tab w:val="left" w:pos="547"/>
              </w:tabs>
              <w:spacing w:line="320" w:lineRule="exact"/>
              <w:ind w:firstLine="420" w:firstLineChars="200"/>
              <w:rPr>
                <w:rFonts w:ascii="Calibri" w:hAnsi="宋体" w:eastAsia="宋体" w:cs="仿宋"/>
                <w:sz w:val="21"/>
                <w:szCs w:val="21"/>
              </w:rPr>
            </w:pPr>
            <w:r>
              <w:rPr>
                <w:rFonts w:hint="eastAsia" w:ascii="Calibri" w:hAnsi="宋体" w:eastAsia="宋体" w:cs="仿宋"/>
                <w:sz w:val="21"/>
                <w:szCs w:val="21"/>
              </w:rPr>
              <w:t>2、供应商承诺人员调离时须征得采购人同意。</w:t>
            </w:r>
          </w:p>
          <w:p w14:paraId="321CEF4C">
            <w:pPr>
              <w:tabs>
                <w:tab w:val="left" w:pos="547"/>
              </w:tabs>
              <w:spacing w:line="320" w:lineRule="exact"/>
              <w:ind w:firstLine="420" w:firstLineChars="200"/>
              <w:rPr>
                <w:rFonts w:ascii="Calibri" w:hAnsi="宋体" w:eastAsia="宋体" w:cs="仿宋"/>
                <w:sz w:val="21"/>
                <w:szCs w:val="21"/>
              </w:rPr>
            </w:pPr>
            <w:r>
              <w:rPr>
                <w:rFonts w:ascii="Calibri" w:hAnsi="宋体" w:eastAsia="宋体" w:cs="仿宋"/>
                <w:sz w:val="21"/>
                <w:szCs w:val="21"/>
              </w:rPr>
              <w:t>3</w:t>
            </w:r>
            <w:r>
              <w:rPr>
                <w:rFonts w:hint="eastAsia" w:ascii="Calibri" w:hAnsi="宋体" w:eastAsia="宋体" w:cs="仿宋"/>
                <w:sz w:val="21"/>
                <w:szCs w:val="21"/>
              </w:rPr>
              <w:t>、供应商承诺服从采购人指挥和调度，遵守采购人的规章制度。</w:t>
            </w:r>
          </w:p>
          <w:p w14:paraId="2DD7FA79">
            <w:pPr>
              <w:tabs>
                <w:tab w:val="left" w:pos="547"/>
              </w:tabs>
              <w:spacing w:line="320" w:lineRule="exact"/>
              <w:ind w:firstLine="420" w:firstLineChars="200"/>
              <w:rPr>
                <w:rFonts w:ascii="Calibri" w:hAnsi="宋体" w:eastAsia="宋体" w:cs="仿宋"/>
                <w:b/>
                <w:color w:val="C00000"/>
                <w:sz w:val="21"/>
                <w:szCs w:val="21"/>
              </w:rPr>
            </w:pPr>
            <w:r>
              <w:rPr>
                <w:rFonts w:ascii="Calibri" w:hAnsi="宋体" w:eastAsia="宋体" w:cs="仿宋"/>
                <w:sz w:val="21"/>
                <w:szCs w:val="21"/>
              </w:rPr>
              <w:t>4</w:t>
            </w:r>
            <w:r>
              <w:rPr>
                <w:rFonts w:hint="eastAsia" w:ascii="Calibri" w:hAnsi="宋体" w:eastAsia="宋体" w:cs="仿宋"/>
                <w:sz w:val="21"/>
                <w:szCs w:val="21"/>
              </w:rPr>
              <w:t>、供应商承诺接受采购人对本项目服务的考核、监督及管理，定期调研采购人对服务质量的满意度并加以改进，确保服务工作的优质高效。</w:t>
            </w:r>
          </w:p>
        </w:tc>
        <w:tc>
          <w:tcPr>
            <w:tcW w:w="1134" w:type="dxa"/>
            <w:shd w:val="clear" w:color="auto" w:fill="auto"/>
            <w:vAlign w:val="center"/>
          </w:tcPr>
          <w:p w14:paraId="51B0C1BB">
            <w:pPr>
              <w:spacing w:line="400" w:lineRule="exact"/>
              <w:jc w:val="center"/>
              <w:rPr>
                <w:rFonts w:ascii="Calibri" w:hAnsi="宋体" w:eastAsia="宋体" w:cs="宋体"/>
                <w:bCs/>
                <w:color w:val="FF0000"/>
                <w:sz w:val="21"/>
                <w:szCs w:val="21"/>
              </w:rPr>
            </w:pPr>
          </w:p>
        </w:tc>
      </w:tr>
      <w:tr w14:paraId="1B94B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D46D44A">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214B214E">
            <w:pPr>
              <w:spacing w:line="400" w:lineRule="exact"/>
              <w:jc w:val="center"/>
              <w:rPr>
                <w:rFonts w:ascii="Calibri" w:hAnsi="宋体" w:eastAsia="宋体" w:cs="宋体"/>
                <w:bCs/>
                <w:sz w:val="21"/>
                <w:szCs w:val="21"/>
              </w:rPr>
            </w:pPr>
          </w:p>
        </w:tc>
        <w:tc>
          <w:tcPr>
            <w:tcW w:w="860" w:type="dxa"/>
            <w:shd w:val="clear" w:color="auto" w:fill="auto"/>
            <w:vAlign w:val="center"/>
          </w:tcPr>
          <w:p w14:paraId="5A498214">
            <w:pPr>
              <w:spacing w:line="400" w:lineRule="exact"/>
              <w:jc w:val="center"/>
              <w:rPr>
                <w:rFonts w:ascii="Calibri" w:hAnsi="宋体" w:eastAsia="宋体" w:cs="宋体"/>
                <w:bCs/>
                <w:sz w:val="21"/>
                <w:szCs w:val="21"/>
              </w:rPr>
            </w:pPr>
            <w:r>
              <w:rPr>
                <w:rFonts w:ascii="Calibri" w:hAnsi="宋体" w:eastAsia="宋体" w:cs="宋体"/>
                <w:bCs/>
                <w:sz w:val="21"/>
                <w:szCs w:val="21"/>
              </w:rPr>
              <w:t>4</w:t>
            </w:r>
          </w:p>
        </w:tc>
        <w:tc>
          <w:tcPr>
            <w:tcW w:w="6093" w:type="dxa"/>
            <w:shd w:val="clear" w:color="auto" w:fill="auto"/>
            <w:vAlign w:val="center"/>
          </w:tcPr>
          <w:p w14:paraId="511023D0">
            <w:pPr>
              <w:tabs>
                <w:tab w:val="left" w:pos="547"/>
              </w:tabs>
              <w:spacing w:line="320" w:lineRule="exact"/>
              <w:ind w:firstLine="420" w:firstLineChars="200"/>
              <w:rPr>
                <w:rFonts w:ascii="Calibri" w:hAnsi="宋体" w:eastAsia="宋体" w:cs="仿宋"/>
                <w:b/>
                <w:color w:val="C00000"/>
                <w:sz w:val="21"/>
                <w:szCs w:val="21"/>
              </w:rPr>
            </w:pPr>
            <w:r>
              <w:rPr>
                <w:rFonts w:hint="eastAsia" w:ascii="Calibri" w:hAnsi="宋体" w:eastAsia="宋体" w:cs="仿宋"/>
                <w:b/>
                <w:color w:val="C00000"/>
                <w:sz w:val="21"/>
                <w:szCs w:val="21"/>
              </w:rPr>
              <w:t>供应商资质要求</w:t>
            </w:r>
            <w:r>
              <w:rPr>
                <w:rFonts w:ascii="Calibri" w:hAnsi="宋体" w:eastAsia="宋体" w:cs="仿宋"/>
                <w:b/>
                <w:color w:val="C00000"/>
                <w:sz w:val="21"/>
                <w:szCs w:val="21"/>
              </w:rPr>
              <w:t>：</w:t>
            </w:r>
          </w:p>
          <w:p w14:paraId="733AC7A3">
            <w:pPr>
              <w:tabs>
                <w:tab w:val="left" w:pos="547"/>
              </w:tabs>
              <w:spacing w:line="320" w:lineRule="exact"/>
              <w:ind w:firstLine="420" w:firstLineChars="200"/>
              <w:jc w:val="both"/>
              <w:rPr>
                <w:rFonts w:ascii="Calibri" w:hAnsi="宋体" w:eastAsia="宋体"/>
                <w:sz w:val="21"/>
                <w:szCs w:val="21"/>
              </w:rPr>
            </w:pPr>
            <w:r>
              <w:rPr>
                <w:rFonts w:ascii="Calibri" w:hAnsi="宋体" w:eastAsia="宋体" w:cs="仿宋"/>
                <w:sz w:val="21"/>
                <w:szCs w:val="21"/>
              </w:rPr>
              <w:t>1、</w:t>
            </w:r>
            <w:r>
              <w:rPr>
                <w:rFonts w:hint="eastAsia" w:ascii="Calibri" w:hAnsi="宋体" w:eastAsia="宋体" w:cs="仿宋"/>
                <w:sz w:val="21"/>
                <w:szCs w:val="21"/>
              </w:rPr>
              <w:t>提供</w:t>
            </w:r>
            <w:r>
              <w:rPr>
                <w:rFonts w:hint="eastAsia" w:ascii="Calibri" w:hAnsi="宋体" w:eastAsia="宋体"/>
                <w:sz w:val="21"/>
                <w:szCs w:val="21"/>
              </w:rPr>
              <w:t>质量管理体系认证证书；</w:t>
            </w:r>
          </w:p>
          <w:p w14:paraId="3109B9B1">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sz w:val="21"/>
                <w:szCs w:val="21"/>
              </w:rPr>
              <w:t>2、提供信息安全管理体系认证证书</w:t>
            </w:r>
            <w:r>
              <w:rPr>
                <w:rFonts w:hint="eastAsia" w:ascii="Calibri" w:hAnsi="宋体" w:eastAsia="宋体" w:cs="仿宋"/>
                <w:sz w:val="21"/>
                <w:szCs w:val="21"/>
              </w:rPr>
              <w:t>；</w:t>
            </w:r>
          </w:p>
          <w:p w14:paraId="5D259058">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cs="仿宋"/>
                <w:sz w:val="21"/>
                <w:szCs w:val="21"/>
              </w:rPr>
              <w:t>3</w:t>
            </w:r>
            <w:r>
              <w:rPr>
                <w:rFonts w:ascii="Calibri" w:hAnsi="宋体" w:eastAsia="宋体" w:cs="仿宋"/>
                <w:sz w:val="21"/>
                <w:szCs w:val="21"/>
              </w:rPr>
              <w:t>、</w:t>
            </w:r>
            <w:r>
              <w:rPr>
                <w:rFonts w:hint="eastAsia" w:ascii="Calibri" w:hAnsi="宋体" w:eastAsia="宋体"/>
                <w:sz w:val="21"/>
                <w:szCs w:val="21"/>
              </w:rPr>
              <w:t>提供CMMI3及以上等级</w:t>
            </w:r>
            <w:r>
              <w:rPr>
                <w:rFonts w:ascii="Calibri" w:hAnsi="宋体" w:eastAsia="宋体" w:cs="仿宋"/>
                <w:sz w:val="21"/>
                <w:szCs w:val="21"/>
              </w:rPr>
              <w:t>证书</w:t>
            </w:r>
            <w:r>
              <w:rPr>
                <w:rFonts w:hint="eastAsia" w:ascii="Calibri" w:hAnsi="宋体" w:eastAsia="宋体" w:cs="仿宋"/>
                <w:sz w:val="21"/>
                <w:szCs w:val="21"/>
              </w:rPr>
              <w:t xml:space="preserve">；  </w:t>
            </w:r>
          </w:p>
          <w:p w14:paraId="051F6008">
            <w:pPr>
              <w:tabs>
                <w:tab w:val="left" w:pos="547"/>
              </w:tabs>
              <w:spacing w:line="320" w:lineRule="exact"/>
              <w:ind w:firstLine="420" w:firstLineChars="200"/>
              <w:jc w:val="both"/>
              <w:rPr>
                <w:rFonts w:ascii="Calibri" w:hAnsi="宋体" w:eastAsia="宋体" w:cs="仿宋"/>
                <w:sz w:val="21"/>
                <w:szCs w:val="21"/>
              </w:rPr>
            </w:pPr>
            <w:r>
              <w:rPr>
                <w:rFonts w:hint="eastAsia" w:ascii="Calibri" w:hAnsi="宋体" w:eastAsia="宋体" w:cs="仿宋"/>
                <w:sz w:val="21"/>
                <w:szCs w:val="21"/>
              </w:rPr>
              <w:t>4</w:t>
            </w:r>
            <w:r>
              <w:rPr>
                <w:rFonts w:ascii="Calibri" w:hAnsi="宋体" w:eastAsia="宋体" w:cs="仿宋"/>
                <w:sz w:val="21"/>
                <w:szCs w:val="21"/>
              </w:rPr>
              <w:t>、</w:t>
            </w:r>
            <w:r>
              <w:rPr>
                <w:rFonts w:hint="eastAsia" w:ascii="Calibri" w:hAnsi="宋体" w:eastAsia="宋体"/>
                <w:sz w:val="21"/>
                <w:szCs w:val="21"/>
              </w:rPr>
              <w:t>提供ITSS信息服务运行维护标准证书</w:t>
            </w:r>
            <w:r>
              <w:rPr>
                <w:rFonts w:hint="eastAsia" w:ascii="Calibri" w:hAnsi="宋体" w:eastAsia="宋体" w:cs="仿宋"/>
                <w:sz w:val="21"/>
                <w:szCs w:val="21"/>
              </w:rPr>
              <w:t>；</w:t>
            </w:r>
          </w:p>
          <w:p w14:paraId="4E053853">
            <w:pPr>
              <w:spacing w:line="320" w:lineRule="exact"/>
              <w:ind w:firstLine="420" w:firstLineChars="200"/>
              <w:jc w:val="both"/>
              <w:rPr>
                <w:rFonts w:ascii="Calibri" w:hAnsi="宋体" w:eastAsia="宋体"/>
                <w:sz w:val="21"/>
                <w:szCs w:val="21"/>
              </w:rPr>
            </w:pPr>
            <w:r>
              <w:rPr>
                <w:rFonts w:hint="eastAsia" w:ascii="Calibri" w:hAnsi="宋体" w:eastAsia="宋体" w:cs="宋体"/>
                <w:sz w:val="21"/>
                <w:szCs w:val="21"/>
              </w:rPr>
              <w:t>提供证书扫描件并加盖公章，每提供一个得1分，满分</w:t>
            </w:r>
            <w:r>
              <w:rPr>
                <w:rFonts w:ascii="Calibri" w:hAnsi="宋体" w:eastAsia="宋体" w:cs="宋体"/>
                <w:sz w:val="21"/>
                <w:szCs w:val="21"/>
              </w:rPr>
              <w:t>4</w:t>
            </w:r>
            <w:r>
              <w:rPr>
                <w:rFonts w:hint="eastAsia" w:ascii="Calibri" w:hAnsi="宋体" w:eastAsia="宋体" w:cs="宋体"/>
                <w:sz w:val="21"/>
                <w:szCs w:val="21"/>
              </w:rPr>
              <w:t>分。</w:t>
            </w:r>
          </w:p>
        </w:tc>
        <w:tc>
          <w:tcPr>
            <w:tcW w:w="1134" w:type="dxa"/>
            <w:shd w:val="clear" w:color="auto" w:fill="auto"/>
            <w:vAlign w:val="center"/>
          </w:tcPr>
          <w:p w14:paraId="394EB579">
            <w:pPr>
              <w:spacing w:line="400" w:lineRule="exact"/>
              <w:jc w:val="center"/>
              <w:rPr>
                <w:rFonts w:ascii="Calibri" w:hAnsi="宋体" w:eastAsia="宋体" w:cs="宋体"/>
                <w:bCs/>
                <w:color w:val="FF0000"/>
                <w:sz w:val="21"/>
                <w:szCs w:val="21"/>
              </w:rPr>
            </w:pPr>
          </w:p>
        </w:tc>
      </w:tr>
      <w:tr w14:paraId="4757E9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42FCEE1">
            <w:pPr>
              <w:spacing w:line="400" w:lineRule="exact"/>
              <w:jc w:val="center"/>
              <w:rPr>
                <w:rFonts w:ascii="Calibri" w:hAnsi="宋体" w:eastAsia="宋体" w:cs="宋体"/>
                <w:bCs/>
                <w:sz w:val="21"/>
                <w:szCs w:val="21"/>
              </w:rPr>
            </w:pPr>
          </w:p>
        </w:tc>
        <w:tc>
          <w:tcPr>
            <w:tcW w:w="640" w:type="dxa"/>
            <w:shd w:val="clear" w:color="auto" w:fill="auto"/>
            <w:vAlign w:val="center"/>
          </w:tcPr>
          <w:p w14:paraId="29204A48">
            <w:pPr>
              <w:spacing w:line="400" w:lineRule="exact"/>
              <w:jc w:val="center"/>
              <w:rPr>
                <w:rFonts w:ascii="Calibri" w:hAnsi="宋体" w:eastAsia="宋体" w:cs="宋体"/>
                <w:bCs/>
                <w:sz w:val="21"/>
                <w:szCs w:val="21"/>
              </w:rPr>
            </w:pPr>
          </w:p>
        </w:tc>
        <w:tc>
          <w:tcPr>
            <w:tcW w:w="860" w:type="dxa"/>
            <w:shd w:val="clear" w:color="auto" w:fill="auto"/>
            <w:vAlign w:val="center"/>
          </w:tcPr>
          <w:p w14:paraId="56CE7D01">
            <w:pPr>
              <w:spacing w:line="400" w:lineRule="exact"/>
              <w:jc w:val="center"/>
              <w:rPr>
                <w:rFonts w:ascii="Calibri" w:hAnsi="宋体" w:eastAsia="宋体" w:cs="宋体"/>
                <w:bCs/>
                <w:sz w:val="21"/>
                <w:szCs w:val="21"/>
              </w:rPr>
            </w:pPr>
            <w:r>
              <w:rPr>
                <w:rFonts w:hint="eastAsia" w:ascii="Calibri" w:hAnsi="宋体" w:eastAsia="宋体" w:cs="宋体"/>
                <w:bCs/>
                <w:szCs w:val="21"/>
              </w:rPr>
              <w:t>10</w:t>
            </w:r>
          </w:p>
        </w:tc>
        <w:tc>
          <w:tcPr>
            <w:tcW w:w="6093" w:type="dxa"/>
            <w:shd w:val="clear" w:color="auto" w:fill="auto"/>
            <w:vAlign w:val="center"/>
          </w:tcPr>
          <w:p w14:paraId="4A9E68D4">
            <w:pPr>
              <w:pStyle w:val="42"/>
              <w:wordWrap/>
              <w:spacing w:line="300" w:lineRule="exact"/>
              <w:ind w:firstLine="420" w:firstLineChars="200"/>
              <w:rPr>
                <w:rFonts w:cs="华文仿宋" w:asciiTheme="minorEastAsia" w:hAnsiTheme="minorEastAsia" w:eastAsiaTheme="minorEastAsia"/>
                <w:b/>
                <w:sz w:val="21"/>
                <w:szCs w:val="21"/>
              </w:rPr>
            </w:pPr>
            <w:r>
              <w:rPr>
                <w:rFonts w:cs="华文仿宋" w:asciiTheme="minorEastAsia" w:hAnsiTheme="minorEastAsia" w:eastAsiaTheme="minorEastAsia"/>
                <w:b/>
                <w:sz w:val="21"/>
                <w:szCs w:val="21"/>
              </w:rPr>
              <w:t>业绩：</w:t>
            </w:r>
          </w:p>
          <w:p w14:paraId="3A286236">
            <w:pPr>
              <w:spacing w:line="300" w:lineRule="exact"/>
              <w:ind w:firstLine="420" w:firstLineChars="200"/>
              <w:rPr>
                <w:rFonts w:asciiTheme="minorEastAsia" w:hAnsiTheme="minorEastAsia" w:cstheme="majorHAnsi"/>
                <w:sz w:val="21"/>
                <w:szCs w:val="21"/>
                <w:u w:val="single"/>
              </w:rPr>
            </w:pPr>
            <w:r>
              <w:rPr>
                <w:rFonts w:hint="eastAsia" w:asciiTheme="minorEastAsia" w:hAnsiTheme="minorEastAsia" w:cstheme="majorHAnsi"/>
                <w:sz w:val="21"/>
                <w:szCs w:val="21"/>
              </w:rPr>
              <w:t>提供2022年1月1日（以合同签订时间为准）起类似项目业绩证明文件（包括合同、履约验收文件，二者同时出具方为有效。）评审时以响应文件中的扫描件（加盖公章）为计分依据，每提供一份完整的业绩证明文件得2分，满分10分。</w:t>
            </w:r>
          </w:p>
          <w:p w14:paraId="3A4C7940">
            <w:pPr>
              <w:spacing w:line="320" w:lineRule="exact"/>
              <w:ind w:firstLine="420" w:firstLineChars="200"/>
              <w:jc w:val="both"/>
              <w:rPr>
                <w:rFonts w:ascii="Calibri" w:hAnsi="宋体" w:eastAsia="宋体"/>
                <w:sz w:val="21"/>
                <w:szCs w:val="21"/>
              </w:rPr>
            </w:pPr>
            <w:r>
              <w:rPr>
                <w:rFonts w:hint="eastAsia" w:asciiTheme="minorEastAsia" w:hAnsiTheme="minorEastAsia" w:cstheme="majorHAnsi"/>
                <w:sz w:val="21"/>
                <w:szCs w:val="21"/>
              </w:rPr>
              <w:t>备注：供应商需提供合同关键页扫描件（至少应包含合同首页、合同金额所在页、签字盖章页），并加盖公章</w:t>
            </w:r>
            <w:r>
              <w:rPr>
                <w:rFonts w:asciiTheme="minorEastAsia" w:hAnsiTheme="minorEastAsia" w:cstheme="majorHAnsi"/>
                <w:sz w:val="21"/>
                <w:szCs w:val="21"/>
              </w:rPr>
              <w:t>。</w:t>
            </w:r>
          </w:p>
        </w:tc>
        <w:tc>
          <w:tcPr>
            <w:tcW w:w="1134" w:type="dxa"/>
            <w:shd w:val="clear" w:color="auto" w:fill="auto"/>
            <w:vAlign w:val="center"/>
          </w:tcPr>
          <w:p w14:paraId="22D4589B">
            <w:pPr>
              <w:spacing w:line="400" w:lineRule="exact"/>
              <w:jc w:val="center"/>
              <w:rPr>
                <w:rFonts w:ascii="Calibri" w:hAnsi="宋体" w:eastAsia="宋体" w:cs="宋体"/>
                <w:bCs/>
                <w:color w:val="FF0000"/>
                <w:sz w:val="21"/>
                <w:szCs w:val="21"/>
              </w:rPr>
            </w:pPr>
          </w:p>
        </w:tc>
      </w:tr>
      <w:tr w14:paraId="52177A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129E3B9E">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5B61CD8D">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14:paraId="2F64511E">
      <w:pPr>
        <w:pStyle w:val="83"/>
        <w:ind w:firstLine="482"/>
        <w:rPr>
          <w:b/>
        </w:rPr>
      </w:pPr>
    </w:p>
    <w:p w14:paraId="5E16FD7D">
      <w:pPr>
        <w:pStyle w:val="83"/>
        <w:ind w:firstLine="482"/>
        <w:rPr>
          <w:b/>
        </w:rPr>
      </w:pPr>
      <w:r>
        <w:rPr>
          <w:b/>
        </w:rPr>
        <w:t>（七）推荐成交候选人并编写评审报告</w:t>
      </w:r>
    </w:p>
    <w:p w14:paraId="441B310C">
      <w:pPr>
        <w:pStyle w:val="83"/>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154C24D1">
      <w:pPr>
        <w:pStyle w:val="83"/>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pPr>
        <w:pStyle w:val="3"/>
      </w:pPr>
      <w:r>
        <w:t>七、成交</w:t>
      </w:r>
    </w:p>
    <w:p w14:paraId="5D87E9E5">
      <w:pPr>
        <w:pStyle w:val="83"/>
        <w:ind w:firstLine="480"/>
      </w:pPr>
      <w:r>
        <w:rPr>
          <w:rFonts w:hint="eastAsia"/>
        </w:rPr>
        <w:t>1</w:t>
      </w:r>
      <w:r>
        <w:rPr>
          <w:rFonts w:hint="eastAsia"/>
          <w:color w:val="auto"/>
        </w:rPr>
        <w:t>．</w:t>
      </w:r>
      <w:r>
        <w:t>采购代理机构在评审工作结束后2个工作日内，将评审报告送采购人确认。</w:t>
      </w:r>
    </w:p>
    <w:p w14:paraId="4224D80C">
      <w:pPr>
        <w:pStyle w:val="83"/>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pPr>
        <w:pStyle w:val="83"/>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3"/>
          <w:color w:val="auto"/>
        </w:rPr>
        <w:t>】</w:t>
      </w:r>
      <w:r>
        <w:t>（</w:t>
      </w:r>
      <w:r>
        <w:fldChar w:fldCharType="begin"/>
      </w:r>
      <w:r>
        <w:instrText xml:space="preserve"> HYPERLINK "http://www.ccgp-shaanxi.gov.cn/" </w:instrText>
      </w:r>
      <w:r>
        <w:fldChar w:fldCharType="separate"/>
      </w:r>
      <w:r>
        <w:rPr>
          <w:rStyle w:val="33"/>
          <w:color w:val="0070C0"/>
        </w:rPr>
        <w:t>http://www.ccgp-shaanxi.gov.cn</w:t>
      </w:r>
      <w:r>
        <w:rPr>
          <w:rStyle w:val="33"/>
          <w:rFonts w:hint="eastAsia"/>
          <w:color w:val="0070C0"/>
        </w:rPr>
        <w:t>/</w:t>
      </w:r>
      <w:r>
        <w:rPr>
          <w:rStyle w:val="33"/>
          <w:rFonts w:hint="eastAsia"/>
          <w:color w:val="0070C0"/>
        </w:rPr>
        <w:fldChar w:fldCharType="end"/>
      </w:r>
      <w:r>
        <w:t>）上公布成交结果。成交公告期限为1个工作日。</w:t>
      </w:r>
    </w:p>
    <w:p w14:paraId="67B80D74">
      <w:pPr>
        <w:pStyle w:val="83"/>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pPr>
        <w:pStyle w:val="83"/>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pPr>
        <w:pStyle w:val="3"/>
      </w:pPr>
      <w:r>
        <w:t>八、合同签订、履行及验收</w:t>
      </w:r>
    </w:p>
    <w:p w14:paraId="704629A0">
      <w:pPr>
        <w:pStyle w:val="83"/>
        <w:ind w:firstLine="480"/>
      </w:pPr>
      <w:r>
        <w:t>磋商文件、响应文件、澄清、补充合同等为政府采购合同的组成部分，具有同等法律效力。</w:t>
      </w:r>
    </w:p>
    <w:p w14:paraId="4EB7DCB4">
      <w:pPr>
        <w:pStyle w:val="4"/>
        <w:ind w:firstLine="482"/>
      </w:pPr>
      <w:r>
        <w:t>（一）签订政府采购合同</w:t>
      </w:r>
    </w:p>
    <w:p w14:paraId="5931A392">
      <w:pPr>
        <w:pStyle w:val="83"/>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pPr>
        <w:pStyle w:val="83"/>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CD42713">
      <w:pPr>
        <w:pStyle w:val="83"/>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pPr>
        <w:pStyle w:val="83"/>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pPr>
        <w:pStyle w:val="83"/>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pPr>
        <w:pStyle w:val="4"/>
        <w:ind w:firstLine="482"/>
      </w:pPr>
      <w:r>
        <w:t>（二）合同公示</w:t>
      </w:r>
    </w:p>
    <w:p w14:paraId="75105598">
      <w:pPr>
        <w:pStyle w:val="83"/>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3"/>
        </w:rPr>
        <w:t>http://www.ccgp-shaanxi.gov.cn/</w:t>
      </w:r>
      <w:r>
        <w:rPr>
          <w:rStyle w:val="33"/>
        </w:rPr>
        <w:fldChar w:fldCharType="end"/>
      </w:r>
      <w:r>
        <w:rPr>
          <w:rFonts w:hint="eastAsia"/>
        </w:rPr>
        <w:t>）对合同进行公示，但政府采购合同中涉及国家秘密、商业秘密的内容除外。</w:t>
      </w:r>
    </w:p>
    <w:p w14:paraId="0EB09D09">
      <w:pPr>
        <w:pStyle w:val="4"/>
        <w:ind w:firstLine="482"/>
      </w:pPr>
      <w:r>
        <w:t>（三）合同履行</w:t>
      </w:r>
    </w:p>
    <w:p w14:paraId="0D105C6D">
      <w:pPr>
        <w:pStyle w:val="83"/>
        <w:ind w:firstLine="480"/>
        <w:rPr>
          <w:color w:val="auto"/>
        </w:rPr>
      </w:pPr>
      <w:r>
        <w:rPr>
          <w:rFonts w:hint="eastAsia"/>
        </w:rPr>
        <w:t>1</w:t>
      </w:r>
      <w:r>
        <w:rPr>
          <w:rFonts w:hint="eastAsia"/>
          <w:color w:val="auto"/>
        </w:rPr>
        <w:t>．采购人与成交供应商应当根据合同的约定依法履行合同义务。</w:t>
      </w:r>
    </w:p>
    <w:p w14:paraId="29751297">
      <w:pPr>
        <w:pStyle w:val="83"/>
        <w:ind w:firstLine="480"/>
      </w:pPr>
      <w:r>
        <w:rPr>
          <w:rFonts w:hint="eastAsia"/>
          <w:color w:val="auto"/>
        </w:rPr>
        <w:t>2．政府采购合同的履行、违约责任和解决争议的方法等适用《中华人民共和国民法典》。</w:t>
      </w:r>
    </w:p>
    <w:p w14:paraId="7D2FB0C7">
      <w:pPr>
        <w:pStyle w:val="4"/>
        <w:ind w:firstLine="482"/>
      </w:pPr>
      <w:r>
        <w:t>（四）验收或考核</w:t>
      </w:r>
    </w:p>
    <w:p w14:paraId="299DB2FD">
      <w:pPr>
        <w:pStyle w:val="83"/>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pPr>
        <w:pStyle w:val="83"/>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九、其他</w:t>
      </w:r>
    </w:p>
    <w:p w14:paraId="7E2D661B">
      <w:pPr>
        <w:pStyle w:val="83"/>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pPr>
        <w:pStyle w:val="83"/>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pPr>
        <w:pStyle w:val="83"/>
        <w:ind w:firstLine="480"/>
      </w:pPr>
      <w:r>
        <w:t>3</w:t>
      </w:r>
      <w:r>
        <w:rPr>
          <w:rFonts w:hint="eastAsia"/>
        </w:rPr>
        <w:t>．出现下列情形之一的，采购人或者采购代理机构应当终止竞争性磋商采购活动，发布项目终止公告并说明原因，重新开展采购活动：</w:t>
      </w:r>
    </w:p>
    <w:p w14:paraId="5D68919C">
      <w:pPr>
        <w:pStyle w:val="83"/>
        <w:ind w:firstLine="480"/>
      </w:pPr>
      <w:r>
        <w:rPr>
          <w:rFonts w:hint="eastAsia"/>
        </w:rPr>
        <w:t>（1）因情况变化，不再符合规定的竞争性磋商采购方式适用情形的；</w:t>
      </w:r>
    </w:p>
    <w:p w14:paraId="0FA6E2DE">
      <w:pPr>
        <w:pStyle w:val="83"/>
        <w:ind w:firstLine="480"/>
      </w:pPr>
      <w:r>
        <w:rPr>
          <w:rFonts w:hint="eastAsia"/>
        </w:rPr>
        <w:t>（2）出现影响采购公正的违法、违规行为的；</w:t>
      </w:r>
    </w:p>
    <w:p w14:paraId="119AEF1E">
      <w:pPr>
        <w:pStyle w:val="83"/>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35A598FC">
      <w:pPr>
        <w:pStyle w:val="83"/>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pPr>
        <w:pStyle w:val="83"/>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FD9A5A8">
      <w:pPr>
        <w:pStyle w:val="83"/>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BB5030A">
      <w:pPr>
        <w:pStyle w:val="83"/>
        <w:ind w:firstLine="0" w:firstLineChars="0"/>
      </w:pPr>
    </w:p>
    <w:p w14:paraId="0A42446B">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14:paraId="3E5C702B">
      <w:pPr>
        <w:pStyle w:val="2"/>
        <w:spacing w:before="230" w:after="230"/>
      </w:pPr>
      <w:bookmarkStart w:id="12" w:name="_Toc100219614"/>
      <w:r>
        <w:rPr>
          <w:rFonts w:hint="eastAsia"/>
        </w:rPr>
        <w:t>第三章　磋商内容及要求</w:t>
      </w:r>
      <w:bookmarkEnd w:id="12"/>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3ED6C8B5">
      <w:pPr>
        <w:ind w:firstLine="480" w:firstLineChars="200"/>
        <w:jc w:val="both"/>
        <w:rPr>
          <w:b/>
        </w:rPr>
      </w:pPr>
      <w:r>
        <w:rPr>
          <w:rFonts w:hint="eastAsia"/>
          <w:b/>
        </w:rPr>
        <w:t>（一）项目背景</w:t>
      </w:r>
    </w:p>
    <w:p w14:paraId="32A2125D">
      <w:pPr>
        <w:ind w:firstLine="480" w:firstLineChars="200"/>
        <w:jc w:val="both"/>
      </w:pPr>
      <w:r>
        <w:rPr>
          <w:rFonts w:hint="eastAsia"/>
        </w:rPr>
        <w:t>当前西安市房产租赁业务量不断增加，租赁政策与用户需求不断更新调整，西安市住房租赁交易服务平台作为重要的民生系统，需7*24小时连续稳定运行，同时通过持续完善系统功能，及时适应快速变化的市场环境。因此，需在现有业务管理系统的基础上，以适应不断发展的租赁、保租房管理业务需求为导向，在保持原有系统架构不变的前提下对西安市住房租赁交易服务平台中的住房租赁交易服务平台、保障性租赁住房管理平台及住房租赁市场运行监测平台进行运维服务，保障系统的稳定性、安全性，提升系统性能，同时适应业务和技术的变化，确保系统在长期运行中持续发挥其功能和效益。</w:t>
      </w:r>
    </w:p>
    <w:p w14:paraId="07B3D59A">
      <w:pPr>
        <w:ind w:firstLine="480" w:firstLineChars="200"/>
        <w:jc w:val="both"/>
        <w:rPr>
          <w:b/>
        </w:rPr>
      </w:pPr>
      <w:r>
        <w:rPr>
          <w:rFonts w:hint="eastAsia"/>
          <w:b/>
        </w:rPr>
        <w:t>（二）西安市住房租赁交易服务平台建设情况</w:t>
      </w:r>
    </w:p>
    <w:p w14:paraId="1916243A">
      <w:pPr>
        <w:ind w:firstLine="480" w:firstLineChars="200"/>
        <w:jc w:val="both"/>
      </w:pPr>
      <w:r>
        <w:rPr>
          <w:rFonts w:hint="eastAsia"/>
        </w:rPr>
        <w:t>西安市住房租赁交易服务平台包含11个子系统，272个系统功能模块。覆盖市级、20个区/县及开发区住建管理部门，部分系统应用延伸至全市街道办及社区。现已注册长租企业532家、保障性租赁住房运营管理企业38家。西安市数据局、西安市公积金管理中心等单位已与该平台建立了各类业务接口，实现数据共享及业务协同。</w:t>
      </w:r>
    </w:p>
    <w:p w14:paraId="01789027">
      <w:pPr>
        <w:ind w:firstLine="480" w:firstLineChars="200"/>
        <w:jc w:val="both"/>
      </w:pPr>
      <w:r>
        <w:rPr>
          <w:rFonts w:hint="eastAsia"/>
        </w:rPr>
        <w:t>1、住房租赁交易服务平台</w:t>
      </w:r>
    </w:p>
    <w:p w14:paraId="093EDBCC">
      <w:pPr>
        <w:ind w:firstLine="480" w:firstLineChars="200"/>
        <w:jc w:val="both"/>
      </w:pPr>
      <w:r>
        <w:rPr>
          <w:rFonts w:hint="eastAsia"/>
        </w:rPr>
        <w:t>住房租赁交易服务平台主要完成长租企业管理、租赁项目管理、房源挂牌管理、租赁合同管理、租赁资金监管管理、租赁信用管理、租赁奖补管理以及租赁登记备案管理等。</w:t>
      </w:r>
    </w:p>
    <w:p w14:paraId="4B82DA5B">
      <w:pPr>
        <w:ind w:firstLine="480" w:firstLineChars="200"/>
        <w:jc w:val="both"/>
      </w:pPr>
      <w:r>
        <w:rPr>
          <w:rFonts w:hint="eastAsia"/>
        </w:rPr>
        <w:t>该平台包括5个子系统、2个接口服务以及193个功能模块。涉及租赁企业端、区县管理端、市局管理端、网站服务端、移动服务端；资金监管接口服务和政企通数据接口服务。</w:t>
      </w:r>
    </w:p>
    <w:p w14:paraId="75FFB1B4">
      <w:pPr>
        <w:ind w:firstLine="480" w:firstLineChars="200"/>
        <w:jc w:val="both"/>
      </w:pPr>
      <w:r>
        <w:rPr>
          <w:rFonts w:hint="eastAsia"/>
        </w:rPr>
        <w:t>2、保障性租赁住房管理平台</w:t>
      </w:r>
    </w:p>
    <w:p w14:paraId="6D514A69">
      <w:pPr>
        <w:ind w:firstLine="480" w:firstLineChars="200"/>
        <w:jc w:val="both"/>
      </w:pPr>
      <w:r>
        <w:rPr>
          <w:rFonts w:hint="eastAsia"/>
        </w:rPr>
        <w:t>保障性租赁住房管理平台主要完成保障性租赁住房项目管理、资格审核、分配管理、合同管理、续租管理、退租管理、个人房源收储等。</w:t>
      </w:r>
    </w:p>
    <w:p w14:paraId="62A0A071">
      <w:pPr>
        <w:ind w:firstLine="480" w:firstLineChars="200"/>
        <w:jc w:val="both"/>
      </w:pPr>
      <w:r>
        <w:rPr>
          <w:rFonts w:hint="eastAsia"/>
        </w:rPr>
        <w:t>该平台包括5个子系统以及67个功能模块。涉及市局管理端、区县端、运营管理企业端、网站服务端、移动服务端。</w:t>
      </w:r>
    </w:p>
    <w:p w14:paraId="47380A75">
      <w:pPr>
        <w:ind w:firstLine="480" w:firstLineChars="200"/>
        <w:jc w:val="both"/>
      </w:pPr>
      <w:r>
        <w:rPr>
          <w:rFonts w:hint="eastAsia"/>
        </w:rPr>
        <w:t>3、住房租赁市场运行监测平台</w:t>
      </w:r>
    </w:p>
    <w:p w14:paraId="4BF60A90">
      <w:pPr>
        <w:ind w:firstLine="480" w:firstLineChars="200"/>
        <w:jc w:val="both"/>
      </w:pPr>
      <w:r>
        <w:rPr>
          <w:rFonts w:hint="eastAsia"/>
        </w:rPr>
        <w:t>住房租赁市场运行监测平台主要包括租赁市场供应可视化监测模块、租赁市场价格可视化监测模块、租赁市场成交分析模块、租赁住房市场指数趋势分析模块、指标比对分析模块、主题分析模块、挂牌数据查询统计模块、租赁市场预警模块、租赁房源评分可视化模块、楼盘表可视化查询模块等。</w:t>
      </w:r>
    </w:p>
    <w:p w14:paraId="39000AE8">
      <w:pPr>
        <w:ind w:firstLine="480" w:firstLineChars="200"/>
        <w:jc w:val="both"/>
      </w:pPr>
      <w:r>
        <w:rPr>
          <w:rFonts w:hint="eastAsia"/>
        </w:rPr>
        <w:t>平台运维及数据采集更新主要是按月采集提供租赁挂牌房源数据，同时对小区租金参考价评估模型、租金指数测算模型、小区评分模型以及片区评分模型进行更新，从而为西安市住房租赁市场运行监测平台提供数据支撑。通过报表、图表等形式获得可视化的监测指标和分析结果，协助平台使用人员及时了解市场动态，制定合理的调控政策。</w:t>
      </w:r>
    </w:p>
    <w:p w14:paraId="51AF42E4">
      <w:pPr>
        <w:ind w:firstLine="480" w:firstLineChars="200"/>
        <w:jc w:val="both"/>
        <w:rPr>
          <w:b/>
        </w:rPr>
      </w:pPr>
      <w:r>
        <w:rPr>
          <w:rFonts w:hint="eastAsia"/>
          <w:b/>
        </w:rPr>
        <w:t>（三）系统开发及部署情况</w:t>
      </w:r>
    </w:p>
    <w:p w14:paraId="4BA61226">
      <w:pPr>
        <w:ind w:firstLine="480" w:firstLineChars="200"/>
        <w:jc w:val="both"/>
      </w:pPr>
      <w:r>
        <w:rPr>
          <w:rFonts w:hint="eastAsia"/>
        </w:rPr>
        <w:t>1、系统开发环境</w:t>
      </w:r>
    </w:p>
    <w:p w14:paraId="3D13162B">
      <w:pPr>
        <w:ind w:firstLine="480" w:firstLineChars="200"/>
        <w:jc w:val="both"/>
      </w:pPr>
      <w:r>
        <w:rPr>
          <w:rFonts w:hint="eastAsia"/>
        </w:rPr>
        <w:t>系统以Java作为主要开发语言，数据库采用符合信创要求的国产数据库，系统核心业务采用工作流技术实现系统内部工作流程的管理。</w:t>
      </w:r>
    </w:p>
    <w:p w14:paraId="20464BB6">
      <w:pPr>
        <w:ind w:firstLine="480" w:firstLineChars="200"/>
        <w:jc w:val="both"/>
      </w:pPr>
      <w:r>
        <w:rPr>
          <w:rFonts w:hint="eastAsia"/>
        </w:rPr>
        <w:t>2、系统部署环境</w:t>
      </w:r>
    </w:p>
    <w:p w14:paraId="43D341A9">
      <w:pPr>
        <w:ind w:firstLine="480" w:firstLineChars="200"/>
        <w:jc w:val="both"/>
      </w:pPr>
      <w:r>
        <w:rPr>
          <w:rFonts w:hint="eastAsia"/>
        </w:rPr>
        <w:t>本项目业务系统部署于西安市住房和城乡建设局核心数据机房，各个业务大厅及有条件的单位通过专线与核心数据机房实现互联互通，其他部门和单位通过Internet和住房租赁交易服务平台实现数据的实时处理与交换。</w:t>
      </w:r>
    </w:p>
    <w:p w14:paraId="1A8AC13F">
      <w:pPr>
        <w:ind w:firstLine="480" w:firstLineChars="200"/>
        <w:jc w:val="both"/>
      </w:pPr>
      <w:r>
        <w:rPr>
          <w:rFonts w:hint="eastAsia"/>
        </w:rPr>
        <w:t>3、系统运行平台环境</w:t>
      </w:r>
    </w:p>
    <w:p w14:paraId="231A5BC7">
      <w:pPr>
        <w:ind w:firstLine="480" w:firstLineChars="200"/>
        <w:jc w:val="both"/>
      </w:pPr>
      <w:r>
        <w:rPr>
          <w:rFonts w:hint="eastAsia"/>
        </w:rPr>
        <w:t>客户端用户支持国产浏览器进行业务系统的访问，服务器端支持使用国产化操作系统。</w:t>
      </w:r>
    </w:p>
    <w:p w14:paraId="7307D21B">
      <w:pPr>
        <w:pStyle w:val="3"/>
        <w:jc w:val="both"/>
      </w:pPr>
      <w:r>
        <w:rPr>
          <w:rFonts w:hint="eastAsia"/>
        </w:rPr>
        <w:t>二、磋商内容</w:t>
      </w:r>
    </w:p>
    <w:p w14:paraId="751C9430">
      <w:pPr>
        <w:ind w:firstLine="480" w:firstLineChars="200"/>
        <w:jc w:val="both"/>
        <w:outlineLvl w:val="2"/>
        <w:rPr>
          <w:b/>
        </w:rPr>
      </w:pPr>
      <w:r>
        <w:rPr>
          <w:rFonts w:hint="eastAsia"/>
          <w:b/>
        </w:rPr>
        <w:t>（一）运维目标</w:t>
      </w:r>
    </w:p>
    <w:p w14:paraId="2309800C">
      <w:pPr>
        <w:ind w:firstLine="480" w:firstLineChars="200"/>
        <w:jc w:val="both"/>
      </w:pPr>
      <w:r>
        <w:rPr>
          <w:rFonts w:hint="eastAsia"/>
        </w:rPr>
        <w:t>1、系统稳定可用</w:t>
      </w:r>
    </w:p>
    <w:p w14:paraId="3E821FC1">
      <w:pPr>
        <w:ind w:firstLine="480" w:firstLineChars="200"/>
        <w:jc w:val="both"/>
      </w:pPr>
      <w:r>
        <w:rPr>
          <w:rFonts w:hint="eastAsia"/>
        </w:rPr>
        <w:t>建立完善的异常监测和处理机制，及时发现系统异常情况，最大程度的减少系统故障和停机时间，保证系统的稳定性和可用性。</w:t>
      </w:r>
    </w:p>
    <w:p w14:paraId="21090F53">
      <w:pPr>
        <w:ind w:firstLine="480" w:firstLineChars="200"/>
        <w:jc w:val="both"/>
      </w:pPr>
      <w:r>
        <w:rPr>
          <w:rFonts w:hint="eastAsia"/>
        </w:rPr>
        <w:t>2、系统安全可靠</w:t>
      </w:r>
    </w:p>
    <w:p w14:paraId="739D9F51">
      <w:pPr>
        <w:ind w:firstLine="480" w:firstLineChars="200"/>
        <w:jc w:val="both"/>
      </w:pPr>
      <w:r>
        <w:rPr>
          <w:rFonts w:hint="eastAsia"/>
        </w:rPr>
        <w:t>制定科学的安全策略，加固系统防护，及时发现和应对安全事件，确保系统的安全性。</w:t>
      </w:r>
    </w:p>
    <w:p w14:paraId="00F5E12A">
      <w:pPr>
        <w:ind w:firstLine="480" w:firstLineChars="200"/>
        <w:jc w:val="both"/>
      </w:pPr>
      <w:r>
        <w:rPr>
          <w:rFonts w:hint="eastAsia"/>
        </w:rPr>
        <w:t>3、系统高效方便</w:t>
      </w:r>
    </w:p>
    <w:p w14:paraId="66AC8665">
      <w:pPr>
        <w:ind w:firstLine="480" w:firstLineChars="200"/>
        <w:jc w:val="both"/>
      </w:pPr>
      <w:r>
        <w:rPr>
          <w:rFonts w:hint="eastAsia"/>
        </w:rPr>
        <w:t>定期对系统进行性能分析和优化，包括对系统资源的使用情况进行监控和分析，提高系统的响应速度和吞吐量，提升用户体验和工作效率。</w:t>
      </w:r>
    </w:p>
    <w:p w14:paraId="03ACC9A1">
      <w:pPr>
        <w:ind w:firstLine="480" w:firstLineChars="200"/>
        <w:jc w:val="both"/>
        <w:outlineLvl w:val="2"/>
        <w:rPr>
          <w:b/>
        </w:rPr>
      </w:pPr>
      <w:r>
        <w:rPr>
          <w:rFonts w:hint="eastAsia"/>
          <w:b/>
        </w:rPr>
        <w:t>（二）运维原则</w:t>
      </w:r>
    </w:p>
    <w:p w14:paraId="252ECEA1">
      <w:pPr>
        <w:pStyle w:val="101"/>
        <w:ind w:firstLine="480"/>
        <w:jc w:val="both"/>
        <w:outlineLvl w:val="2"/>
        <w:rPr>
          <w:rFonts w:hint="default" w:cs="Times New Roman"/>
          <w:sz w:val="24"/>
          <w:szCs w:val="24"/>
          <w:lang w:eastAsia="zh-CN"/>
        </w:rPr>
      </w:pPr>
      <w:r>
        <w:rPr>
          <w:rFonts w:cs="Times New Roman"/>
          <w:sz w:val="24"/>
          <w:szCs w:val="24"/>
          <w:lang w:eastAsia="zh-CN"/>
        </w:rPr>
        <w:t>1、预防为主：系统运维工作要以预防为主，通过定期巡检和维护，及时发现并处理潜在问题，避免问题升级导致系统崩溃。</w:t>
      </w:r>
    </w:p>
    <w:p w14:paraId="0FB9B97A">
      <w:pPr>
        <w:pStyle w:val="101"/>
        <w:ind w:firstLine="480"/>
        <w:jc w:val="both"/>
        <w:outlineLvl w:val="2"/>
        <w:rPr>
          <w:rFonts w:hint="default" w:cs="Times New Roman"/>
          <w:sz w:val="24"/>
          <w:szCs w:val="24"/>
          <w:lang w:eastAsia="zh-CN"/>
        </w:rPr>
      </w:pPr>
      <w:r>
        <w:rPr>
          <w:rFonts w:cs="Times New Roman"/>
          <w:sz w:val="24"/>
          <w:szCs w:val="24"/>
          <w:lang w:eastAsia="zh-CN"/>
        </w:rPr>
        <w:t>2、灵活高效：系统运维要灵活高效，及时响应用户需求和故障处理，提高系统的响应速度和处理效率。</w:t>
      </w:r>
    </w:p>
    <w:p w14:paraId="630D3FA1">
      <w:pPr>
        <w:pStyle w:val="101"/>
        <w:ind w:firstLine="480"/>
        <w:jc w:val="both"/>
        <w:outlineLvl w:val="2"/>
        <w:rPr>
          <w:rFonts w:hint="default" w:cs="Times New Roman"/>
          <w:sz w:val="24"/>
          <w:szCs w:val="24"/>
          <w:lang w:eastAsia="zh-CN"/>
        </w:rPr>
      </w:pPr>
      <w:r>
        <w:rPr>
          <w:rFonts w:cs="Times New Roman"/>
          <w:sz w:val="24"/>
          <w:szCs w:val="24"/>
          <w:lang w:eastAsia="zh-CN"/>
        </w:rPr>
        <w:t>3、安全可靠：系统运维要保障系统的安全可靠，加强系统的安全防护，防范各类安全威胁和风险。</w:t>
      </w:r>
    </w:p>
    <w:p w14:paraId="0E4EFA2E">
      <w:pPr>
        <w:pStyle w:val="101"/>
        <w:ind w:firstLine="480"/>
        <w:jc w:val="both"/>
        <w:outlineLvl w:val="2"/>
        <w:rPr>
          <w:rFonts w:hint="default" w:cs="Times New Roman"/>
          <w:sz w:val="24"/>
          <w:szCs w:val="24"/>
          <w:lang w:eastAsia="zh-CN"/>
        </w:rPr>
      </w:pPr>
      <w:r>
        <w:rPr>
          <w:rFonts w:cs="Times New Roman"/>
          <w:sz w:val="24"/>
          <w:szCs w:val="24"/>
          <w:lang w:eastAsia="zh-CN"/>
        </w:rPr>
        <w:t>4、流程规范：制定和遵守标准化的运维流程和规范。</w:t>
      </w:r>
    </w:p>
    <w:p w14:paraId="06E05F67">
      <w:pPr>
        <w:pStyle w:val="101"/>
        <w:ind w:firstLine="480"/>
        <w:jc w:val="both"/>
        <w:outlineLvl w:val="2"/>
        <w:rPr>
          <w:rFonts w:hint="default" w:cs="Times New Roman"/>
          <w:sz w:val="24"/>
          <w:szCs w:val="24"/>
          <w:lang w:eastAsia="zh-CN"/>
        </w:rPr>
      </w:pPr>
      <w:r>
        <w:rPr>
          <w:rFonts w:cs="Times New Roman"/>
          <w:sz w:val="24"/>
          <w:szCs w:val="24"/>
          <w:lang w:eastAsia="zh-CN"/>
        </w:rPr>
        <w:t>5、易维护性：系统应能够方便的进行二次维护管理及快速开发、部署和升级。</w:t>
      </w:r>
    </w:p>
    <w:p w14:paraId="0CA1CC4F">
      <w:pPr>
        <w:pStyle w:val="101"/>
        <w:ind w:firstLine="480"/>
        <w:jc w:val="both"/>
        <w:outlineLvl w:val="2"/>
        <w:rPr>
          <w:rFonts w:hint="default" w:cs="Times New Roman"/>
          <w:sz w:val="24"/>
          <w:szCs w:val="24"/>
          <w:lang w:eastAsia="zh-CN"/>
        </w:rPr>
      </w:pPr>
      <w:r>
        <w:rPr>
          <w:rFonts w:cs="Times New Roman"/>
          <w:sz w:val="24"/>
          <w:szCs w:val="24"/>
          <w:lang w:eastAsia="zh-CN"/>
        </w:rPr>
        <w:t>6、系统建设适配人大金仓或采购人指定的国内主流的自主安全可控数据库，确保系统稳定性、安全性、扩展性与实用性，保障数据安全，实现自主安全、高效协同。</w:t>
      </w:r>
    </w:p>
    <w:p w14:paraId="5D4850B1">
      <w:pPr>
        <w:ind w:firstLine="480" w:firstLineChars="200"/>
        <w:jc w:val="both"/>
        <w:outlineLvl w:val="2"/>
        <w:rPr>
          <w:b/>
        </w:rPr>
      </w:pPr>
      <w:r>
        <w:rPr>
          <w:rFonts w:hint="eastAsia"/>
          <w:b/>
        </w:rPr>
        <w:t>（三）运维用户范围</w:t>
      </w:r>
    </w:p>
    <w:p w14:paraId="2BCB2AC0">
      <w:pPr>
        <w:pStyle w:val="83"/>
        <w:ind w:firstLine="480"/>
      </w:pPr>
      <w:r>
        <w:rPr>
          <w:rFonts w:hint="eastAsia"/>
        </w:rPr>
        <w:t>西安市住房租赁交易服务平台涉及市级、20个区/县及开发区，分别是新城区、碑林区、莲湖区、雁塔区、灞桥区、未央区、阎良区、临潼区、长安区、高陵区、鄠邑区、蓝田县、周至县、西咸新区、高新区、经开区、曲江新区、航空基地、航天基地、浐灞国际港。部分系统应用延伸至全市街道办及社区。</w:t>
      </w:r>
    </w:p>
    <w:p w14:paraId="1B29685F">
      <w:pPr>
        <w:ind w:firstLine="480" w:firstLineChars="200"/>
        <w:jc w:val="both"/>
        <w:outlineLvl w:val="2"/>
        <w:rPr>
          <w:b/>
        </w:rPr>
      </w:pPr>
      <w:r>
        <w:rPr>
          <w:rFonts w:hint="eastAsia"/>
          <w:b/>
        </w:rPr>
        <w:t>（四）运维内容</w:t>
      </w:r>
    </w:p>
    <w:p w14:paraId="33877872">
      <w:pPr>
        <w:pStyle w:val="83"/>
        <w:ind w:firstLine="480"/>
      </w:pPr>
      <w:r>
        <w:rPr>
          <w:rFonts w:hint="eastAsia"/>
        </w:rPr>
        <w:t>根据西安市住房租赁交易服务平台运维服务要求，投标供应商需提供模块日常运维、数据日常运维、数据采集及功能完善等服务，具体如下：</w:t>
      </w:r>
    </w:p>
    <w:p w14:paraId="6F2484B4">
      <w:pPr>
        <w:pStyle w:val="83"/>
        <w:ind w:firstLine="480"/>
      </w:pPr>
      <w:r>
        <w:rPr>
          <w:rFonts w:hint="eastAsia"/>
        </w:rPr>
        <w:t>1、模块日常运维</w:t>
      </w:r>
    </w:p>
    <w:p w14:paraId="6703DEAE">
      <w:pPr>
        <w:pStyle w:val="83"/>
        <w:ind w:firstLine="480"/>
      </w:pPr>
      <w:r>
        <w:rPr>
          <w:rFonts w:hint="eastAsia"/>
        </w:rPr>
        <w:t>模块日常运维是对西安市住房租赁交易服务平台的运行情况进行巡检、重点日期技术保障、故障排查、问题解答、系统培训、需求采集，通过常态化的监控、维护和管理，确保系统的高可用性、稳定性和安全性。</w:t>
      </w:r>
    </w:p>
    <w:p w14:paraId="1A82ABA1">
      <w:pPr>
        <w:pStyle w:val="83"/>
        <w:ind w:firstLine="480"/>
      </w:pPr>
      <w:r>
        <w:rPr>
          <w:rFonts w:hint="eastAsia"/>
        </w:rPr>
        <w:t>2、数据日常运维</w:t>
      </w:r>
    </w:p>
    <w:p w14:paraId="21FF00FA">
      <w:pPr>
        <w:pStyle w:val="83"/>
        <w:ind w:firstLine="480"/>
      </w:pPr>
      <w:r>
        <w:rPr>
          <w:rFonts w:hint="eastAsia"/>
        </w:rPr>
        <w:t>数据日常运维内容主要包括数据库服务器的资源监控、数据库运行状态监控、定期检查数据备份文件可用性、查看业务分表创建情况、数据查询性能调优、数据处理、定期清理业务备份临时表、数据备份与恢复、数据共享同步、安全审计检查等，确保系统数据的安全存储和使用。</w:t>
      </w:r>
    </w:p>
    <w:p w14:paraId="4ED54738">
      <w:pPr>
        <w:pStyle w:val="83"/>
        <w:ind w:firstLine="480"/>
      </w:pPr>
      <w:r>
        <w:rPr>
          <w:rFonts w:hint="eastAsia"/>
        </w:rPr>
        <w:t>3、数据采集</w:t>
      </w:r>
    </w:p>
    <w:p w14:paraId="671A055C">
      <w:pPr>
        <w:pStyle w:val="83"/>
        <w:ind w:firstLine="480"/>
      </w:pPr>
      <w:r>
        <w:rPr>
          <w:rFonts w:hint="eastAsia"/>
        </w:rPr>
        <w:t>对各类租赁挂牌网站数据进行采集，实时获取市场活力数据；监控各大门户网站以及地方网站所发布的租赁信息；制定统一的数据标准，建立数据清洗规则、数据异常处理规则、聚合规则等，对数据进行加工处理，筛选机构实际房源数据，用于市场监管、监测与分析、价格评估及价格指数计算；根据市数据局要求，梳理住房租赁市场监测平台产生的数据资源信息，完成公共数据目录编制等。</w:t>
      </w:r>
    </w:p>
    <w:p w14:paraId="6C4C8857">
      <w:pPr>
        <w:pStyle w:val="83"/>
        <w:ind w:firstLine="480"/>
      </w:pPr>
      <w:r>
        <w:rPr>
          <w:rFonts w:hint="eastAsia"/>
        </w:rPr>
        <w:t>4、功能完善</w:t>
      </w:r>
    </w:p>
    <w:p w14:paraId="67EEDEE1">
      <w:pPr>
        <w:pStyle w:val="83"/>
        <w:ind w:firstLine="480"/>
      </w:pPr>
      <w:r>
        <w:rPr>
          <w:rFonts w:hint="eastAsia"/>
        </w:rPr>
        <w:t>功能完善工作内容主要为在现有各子系统功能基础上，通过界面优化、功能优化、性能优化、新增业务需求、政策性变化（不包括新政发布）业务流程优化和数据模型更新等手段，不断进行迭代升级开发，提升系统效能，满足省市住房保障信息平台接口对接。</w:t>
      </w:r>
    </w:p>
    <w:p w14:paraId="26042384">
      <w:pPr>
        <w:pStyle w:val="3"/>
        <w:jc w:val="both"/>
      </w:pPr>
      <w:r>
        <w:t>三、</w:t>
      </w:r>
      <w:r>
        <w:rPr>
          <w:rFonts w:hint="eastAsia"/>
        </w:rPr>
        <w:t>技术要求</w:t>
      </w:r>
    </w:p>
    <w:p w14:paraId="67369E9E">
      <w:pPr>
        <w:pStyle w:val="101"/>
        <w:ind w:firstLine="482"/>
        <w:outlineLvl w:val="1"/>
        <w:rPr>
          <w:rFonts w:hint="default" w:cs="Times New Roman"/>
          <w:b/>
          <w:sz w:val="24"/>
          <w:szCs w:val="24"/>
          <w:lang w:eastAsia="zh-CN"/>
        </w:rPr>
      </w:pPr>
      <w:r>
        <w:rPr>
          <w:rFonts w:cs="Times New Roman"/>
          <w:b/>
          <w:sz w:val="24"/>
          <w:szCs w:val="24"/>
          <w:lang w:eastAsia="zh-CN"/>
        </w:rPr>
        <w:t>（一）基本要求</w:t>
      </w:r>
    </w:p>
    <w:p w14:paraId="6E300CAB">
      <w:pPr>
        <w:ind w:firstLine="480" w:firstLineChars="200"/>
        <w:rPr>
          <w:rFonts w:cs="仿宋" w:asciiTheme="minorEastAsia" w:hAnsiTheme="minorEastAsia"/>
        </w:rPr>
      </w:pPr>
      <w:r>
        <w:rPr>
          <w:rFonts w:hint="eastAsia" w:cs="仿宋" w:asciiTheme="minorEastAsia" w:hAnsiTheme="minorEastAsia"/>
        </w:rPr>
        <w:t>1、运行维护的方案应具有可扩展性。在满足现有需求的基础上，必须考虑到系统应当有充分的可扩展性，以适应住房租赁管理业务未来发展的需要；</w:t>
      </w:r>
    </w:p>
    <w:p w14:paraId="4462F881">
      <w:pPr>
        <w:ind w:firstLine="480" w:firstLineChars="200"/>
        <w:rPr>
          <w:rFonts w:cs="仿宋" w:asciiTheme="minorEastAsia" w:hAnsiTheme="minorEastAsia"/>
        </w:rPr>
      </w:pPr>
      <w:r>
        <w:rPr>
          <w:rFonts w:hint="eastAsia" w:cs="仿宋" w:asciiTheme="minorEastAsia" w:hAnsiTheme="minorEastAsia"/>
        </w:rPr>
        <w:t>2、运行维护方案应具有易维护性，运行维护后的系统应方便二次维护管理及快速开发、部署和优化；</w:t>
      </w:r>
    </w:p>
    <w:p w14:paraId="23E4346C">
      <w:pPr>
        <w:ind w:firstLine="480" w:firstLineChars="200"/>
        <w:rPr>
          <w:rFonts w:cs="仿宋" w:asciiTheme="minorEastAsia" w:hAnsiTheme="minorEastAsia"/>
        </w:rPr>
      </w:pPr>
      <w:r>
        <w:rPr>
          <w:rFonts w:hint="eastAsia" w:cs="仿宋" w:asciiTheme="minorEastAsia" w:hAnsiTheme="minorEastAsia"/>
        </w:rPr>
        <w:t>3、运行维护方案应有明确的服务内容、服务方式、服务标准、服务流程等；</w:t>
      </w:r>
    </w:p>
    <w:p w14:paraId="04BBD89F">
      <w:pPr>
        <w:ind w:firstLine="480" w:firstLineChars="200"/>
        <w:rPr>
          <w:rFonts w:cs="仿宋" w:asciiTheme="minorEastAsia" w:hAnsiTheme="minorEastAsia"/>
        </w:rPr>
      </w:pPr>
      <w:r>
        <w:rPr>
          <w:rFonts w:hint="eastAsia" w:cs="仿宋" w:asciiTheme="minorEastAsia" w:hAnsiTheme="minorEastAsia"/>
        </w:rPr>
        <w:t>4、系统运行维护时，需充分考虑现有各业务子系统的网络、数据处理、安全等设施，对现有资源（包括设备、应用、数据）进行有效合理地整合；</w:t>
      </w:r>
    </w:p>
    <w:p w14:paraId="357206E2">
      <w:pPr>
        <w:ind w:firstLine="480" w:firstLineChars="200"/>
        <w:rPr>
          <w:rFonts w:cs="仿宋" w:asciiTheme="minorEastAsia" w:hAnsiTheme="minorEastAsia"/>
        </w:rPr>
      </w:pPr>
      <w:r>
        <w:rPr>
          <w:rFonts w:hint="eastAsia" w:cs="仿宋" w:asciiTheme="minorEastAsia" w:hAnsiTheme="minorEastAsia"/>
        </w:rPr>
        <w:t>5、系统运行维护必须适应采购人现有技术环境，在不影响现有系统业务办理的前提下实现平台统一运行维护，运行维护应符合现有技术规范；</w:t>
      </w:r>
    </w:p>
    <w:p w14:paraId="727ECBA3">
      <w:pPr>
        <w:ind w:firstLine="480" w:firstLineChars="200"/>
        <w:rPr>
          <w:rFonts w:cs="仿宋" w:asciiTheme="minorEastAsia" w:hAnsiTheme="minorEastAsia"/>
        </w:rPr>
      </w:pPr>
      <w:r>
        <w:rPr>
          <w:rFonts w:hint="eastAsia" w:cs="仿宋" w:asciiTheme="minorEastAsia" w:hAnsiTheme="minorEastAsia"/>
        </w:rPr>
        <w:t>6、开发平台及语言：以Java作为主要开发语言，数据库采用符合信创要求的国产数据库。</w:t>
      </w:r>
    </w:p>
    <w:p w14:paraId="05572D9F">
      <w:pPr>
        <w:ind w:firstLine="480" w:firstLineChars="200"/>
        <w:rPr>
          <w:rFonts w:cs="仿宋" w:asciiTheme="minorEastAsia" w:hAnsiTheme="minorEastAsia"/>
        </w:rPr>
      </w:pPr>
      <w:r>
        <w:rPr>
          <w:rFonts w:hint="eastAsia" w:cs="仿宋" w:asciiTheme="minorEastAsia" w:hAnsiTheme="minorEastAsia"/>
        </w:rPr>
        <w:t>7、系统优化应采用B/S体系构架进行设计开发，无缝地与现有业务系统进行衔接；</w:t>
      </w:r>
    </w:p>
    <w:p w14:paraId="0E3703B9">
      <w:pPr>
        <w:ind w:firstLine="480" w:firstLineChars="200"/>
        <w:rPr>
          <w:rFonts w:cs="仿宋" w:asciiTheme="minorEastAsia" w:hAnsiTheme="minorEastAsia"/>
        </w:rPr>
      </w:pPr>
      <w:r>
        <w:rPr>
          <w:rFonts w:hint="eastAsia" w:cs="仿宋" w:asciiTheme="minorEastAsia" w:hAnsiTheme="minorEastAsia"/>
        </w:rPr>
        <w:t>8、进行系统运维时，应充分采用身份鉴别、访问控制、软件容错、数据完整性等安全措施，加强代码质量的管控，减少系统漏洞和安全缺陷</w:t>
      </w:r>
      <w:r>
        <w:rPr>
          <w:rFonts w:cs="仿宋" w:asciiTheme="minorEastAsia" w:hAnsiTheme="minorEastAsia"/>
        </w:rPr>
        <w:t>。</w:t>
      </w:r>
    </w:p>
    <w:p w14:paraId="6F969969">
      <w:pPr>
        <w:pStyle w:val="101"/>
        <w:ind w:firstLine="482"/>
        <w:outlineLvl w:val="1"/>
        <w:rPr>
          <w:rFonts w:hint="default" w:cs="Times New Roman"/>
          <w:b/>
          <w:sz w:val="24"/>
          <w:szCs w:val="24"/>
          <w:lang w:eastAsia="zh-CN"/>
        </w:rPr>
      </w:pPr>
      <w:r>
        <w:rPr>
          <w:rFonts w:cs="Times New Roman"/>
          <w:b/>
          <w:sz w:val="24"/>
          <w:szCs w:val="24"/>
          <w:lang w:eastAsia="zh-CN"/>
        </w:rPr>
        <w:t>（二）运维实施要求</w:t>
      </w:r>
    </w:p>
    <w:p w14:paraId="2E1B3166">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1、系统监控：通过日常系统巡检，对系统运行及数据库使用情况进行监控，包括系统运行状态、数据库使用情况、临时文件清理等。</w:t>
      </w:r>
    </w:p>
    <w:p w14:paraId="6442E8A0">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2、故障排查：建立故障响应机制，对发生的故障进行快速定位和解决，确保业务连续性。</w:t>
      </w:r>
    </w:p>
    <w:p w14:paraId="75E32268">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3、性能优化：定期对系统进行性能分析，找出瓶颈并进行优化，提升系统性能和用户体验，优化策略须经中心评定后实施。</w:t>
      </w:r>
    </w:p>
    <w:p w14:paraId="25ABD948">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4、功能完善：实时响应住房租赁相关政策调整及相关业务处室/单位的需求，经中心审批后完善系统功能。</w:t>
      </w:r>
    </w:p>
    <w:p w14:paraId="4CBB6F67">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5、更新管理：围绕系统代码更新部署，制定更新申请、审核、备份、部署、验证测试的申请、审批管理机制，管控定期的例行更新和紧急更新。</w:t>
      </w:r>
    </w:p>
    <w:p w14:paraId="4DADB0DD">
      <w:pPr>
        <w:pStyle w:val="101"/>
        <w:ind w:firstLine="482"/>
        <w:jc w:val="both"/>
        <w:rPr>
          <w:rFonts w:hint="default" w:cs="仿宋" w:asciiTheme="minorEastAsia" w:hAnsiTheme="minorEastAsia"/>
          <w:sz w:val="24"/>
          <w:szCs w:val="24"/>
          <w:lang w:eastAsia="zh-CN"/>
        </w:rPr>
      </w:pPr>
      <w:r>
        <w:rPr>
          <w:rFonts w:cs="仿宋" w:asciiTheme="minorEastAsia" w:hAnsiTheme="minorEastAsia"/>
          <w:sz w:val="24"/>
          <w:szCs w:val="24"/>
          <w:lang w:eastAsia="zh-CN"/>
        </w:rPr>
        <w:t>6、数据采集：明确数据需求并确保合法合规，通过自动化采集工具执行数据采集，同时进行实时监控和错误处理，对收集到的数据进行清洗、整理和分析以提取有价值的信息。</w:t>
      </w:r>
    </w:p>
    <w:p w14:paraId="4A9E69F0">
      <w:pPr>
        <w:pStyle w:val="101"/>
        <w:ind w:firstLine="482"/>
        <w:jc w:val="both"/>
        <w:rPr>
          <w:rFonts w:hint="default" w:cs="仿宋" w:asciiTheme="minorEastAsia" w:hAnsiTheme="minorEastAsia"/>
          <w:sz w:val="24"/>
          <w:lang w:eastAsia="zh-CN"/>
        </w:rPr>
      </w:pPr>
      <w:r>
        <w:rPr>
          <w:rFonts w:cs="仿宋" w:asciiTheme="minorEastAsia" w:hAnsiTheme="minorEastAsia"/>
          <w:sz w:val="24"/>
          <w:szCs w:val="24"/>
          <w:lang w:eastAsia="zh-CN"/>
        </w:rPr>
        <w:t>7、模型更新：围绕租金参考价评估模型、租金指数测算模型、小区评分模型以及片区评分模型，制定更新数据申请、同步、确认、模型监控、模型结果核验、模型结果入库、模型结果同步与核验等管理机制，管控定期的例行更新和紧急更新</w:t>
      </w:r>
      <w:r>
        <w:rPr>
          <w:rFonts w:cs="仿宋" w:asciiTheme="minorEastAsia" w:hAnsiTheme="minorEastAsia"/>
          <w:sz w:val="24"/>
          <w:lang w:eastAsia="zh-CN"/>
        </w:rPr>
        <w:t>。</w:t>
      </w:r>
    </w:p>
    <w:p w14:paraId="3A530B16">
      <w:pPr>
        <w:pStyle w:val="101"/>
        <w:ind w:firstLine="482"/>
        <w:outlineLvl w:val="1"/>
        <w:rPr>
          <w:rFonts w:hint="default" w:cs="Times New Roman"/>
          <w:b/>
          <w:sz w:val="24"/>
          <w:szCs w:val="24"/>
          <w:lang w:eastAsia="zh-CN"/>
        </w:rPr>
      </w:pPr>
      <w:r>
        <w:rPr>
          <w:rFonts w:cs="Times New Roman"/>
          <w:b/>
          <w:sz w:val="24"/>
          <w:szCs w:val="24"/>
          <w:lang w:eastAsia="zh-CN"/>
        </w:rPr>
        <w:t>（三）运维频次要求</w:t>
      </w:r>
    </w:p>
    <w:p w14:paraId="1EDD0EE1">
      <w:pPr>
        <w:pStyle w:val="101"/>
        <w:ind w:firstLine="482"/>
        <w:jc w:val="both"/>
        <w:rPr>
          <w:rFonts w:hint="default" w:cs="仿宋" w:asciiTheme="minorEastAsia" w:hAnsiTheme="minorEastAsia"/>
          <w:sz w:val="24"/>
          <w:lang w:eastAsia="zh-CN"/>
        </w:rPr>
      </w:pPr>
      <w:bookmarkStart w:id="13" w:name="OLE_LINK57"/>
      <w:r>
        <w:rPr>
          <w:rFonts w:cs="仿宋" w:asciiTheme="minorEastAsia" w:hAnsiTheme="minorEastAsia"/>
          <w:sz w:val="24"/>
          <w:lang w:eastAsia="zh-CN"/>
        </w:rPr>
        <w:t>供应商</w:t>
      </w:r>
      <w:bookmarkEnd w:id="13"/>
      <w:r>
        <w:rPr>
          <w:rFonts w:cs="仿宋" w:asciiTheme="minorEastAsia" w:hAnsiTheme="minorEastAsia"/>
          <w:sz w:val="24"/>
          <w:lang w:eastAsia="zh-CN"/>
        </w:rPr>
        <w:t>需承担的年度运维服务工作量如下：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568"/>
        <w:gridCol w:w="2379"/>
        <w:gridCol w:w="2381"/>
        <w:gridCol w:w="2152"/>
      </w:tblGrid>
      <w:tr w14:paraId="22D2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Align w:val="center"/>
          </w:tcPr>
          <w:p w14:paraId="01B0CA8C">
            <w:pPr>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844" w:type="pct"/>
            <w:vAlign w:val="center"/>
          </w:tcPr>
          <w:p w14:paraId="76571E92">
            <w:pPr>
              <w:jc w:val="center"/>
              <w:rPr>
                <w:rFonts w:ascii="仿宋" w:hAnsi="仿宋" w:eastAsia="仿宋" w:cs="仿宋"/>
                <w:b/>
                <w:bCs/>
                <w:sz w:val="21"/>
                <w:szCs w:val="21"/>
              </w:rPr>
            </w:pPr>
            <w:r>
              <w:rPr>
                <w:rFonts w:hint="eastAsia" w:ascii="仿宋" w:hAnsi="仿宋" w:eastAsia="仿宋" w:cs="仿宋"/>
                <w:b/>
                <w:bCs/>
                <w:sz w:val="21"/>
                <w:szCs w:val="21"/>
              </w:rPr>
              <w:t>服务项目</w:t>
            </w:r>
          </w:p>
        </w:tc>
        <w:tc>
          <w:tcPr>
            <w:tcW w:w="1280" w:type="pct"/>
            <w:vAlign w:val="center"/>
          </w:tcPr>
          <w:p w14:paraId="073CAC59">
            <w:pPr>
              <w:jc w:val="center"/>
              <w:rPr>
                <w:rFonts w:ascii="仿宋" w:hAnsi="仿宋" w:eastAsia="仿宋" w:cs="仿宋"/>
                <w:b/>
                <w:bCs/>
                <w:sz w:val="21"/>
                <w:szCs w:val="21"/>
              </w:rPr>
            </w:pPr>
            <w:r>
              <w:rPr>
                <w:rFonts w:hint="eastAsia" w:ascii="仿宋" w:hAnsi="仿宋" w:eastAsia="仿宋" w:cs="仿宋"/>
                <w:b/>
                <w:bCs/>
                <w:sz w:val="21"/>
                <w:szCs w:val="21"/>
              </w:rPr>
              <w:t>服务内容</w:t>
            </w:r>
          </w:p>
        </w:tc>
        <w:tc>
          <w:tcPr>
            <w:tcW w:w="1281" w:type="pct"/>
            <w:vAlign w:val="center"/>
          </w:tcPr>
          <w:p w14:paraId="3DAC8CB4">
            <w:pPr>
              <w:jc w:val="center"/>
              <w:rPr>
                <w:rFonts w:ascii="仿宋" w:hAnsi="仿宋" w:eastAsia="仿宋" w:cs="仿宋"/>
                <w:b/>
                <w:bCs/>
                <w:sz w:val="21"/>
                <w:szCs w:val="21"/>
              </w:rPr>
            </w:pPr>
            <w:r>
              <w:rPr>
                <w:rFonts w:hint="eastAsia" w:ascii="仿宋" w:hAnsi="仿宋" w:eastAsia="仿宋" w:cs="仿宋"/>
                <w:b/>
                <w:bCs/>
                <w:sz w:val="21"/>
                <w:szCs w:val="21"/>
              </w:rPr>
              <w:t>年度服务量</w:t>
            </w:r>
          </w:p>
        </w:tc>
        <w:tc>
          <w:tcPr>
            <w:tcW w:w="1158" w:type="pct"/>
            <w:vAlign w:val="center"/>
          </w:tcPr>
          <w:p w14:paraId="1F9E9BFA">
            <w:pPr>
              <w:jc w:val="center"/>
              <w:rPr>
                <w:rFonts w:ascii="仿宋" w:hAnsi="仿宋" w:eastAsia="仿宋" w:cs="仿宋"/>
                <w:b/>
                <w:bCs/>
                <w:sz w:val="21"/>
                <w:szCs w:val="21"/>
              </w:rPr>
            </w:pPr>
            <w:r>
              <w:rPr>
                <w:rFonts w:hint="eastAsia" w:ascii="仿宋" w:hAnsi="仿宋" w:eastAsia="仿宋" w:cs="仿宋"/>
                <w:b/>
                <w:bCs/>
                <w:sz w:val="21"/>
                <w:szCs w:val="21"/>
              </w:rPr>
              <w:t>备注</w:t>
            </w:r>
          </w:p>
        </w:tc>
      </w:tr>
      <w:tr w14:paraId="549A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restart"/>
            <w:vAlign w:val="center"/>
          </w:tcPr>
          <w:p w14:paraId="001F634D">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1</w:t>
            </w:r>
          </w:p>
        </w:tc>
        <w:tc>
          <w:tcPr>
            <w:tcW w:w="844" w:type="pct"/>
            <w:vMerge w:val="restart"/>
            <w:vAlign w:val="center"/>
          </w:tcPr>
          <w:p w14:paraId="4F313BA4">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模块日常运维</w:t>
            </w:r>
          </w:p>
        </w:tc>
        <w:tc>
          <w:tcPr>
            <w:tcW w:w="1280" w:type="pct"/>
            <w:vAlign w:val="center"/>
          </w:tcPr>
          <w:p w14:paraId="2EC9E509">
            <w:pPr>
              <w:ind w:left="15" w:hanging="14" w:hangingChars="7"/>
              <w:jc w:val="center"/>
              <w:rPr>
                <w:rFonts w:ascii="仿宋" w:hAnsi="仿宋" w:eastAsia="仿宋" w:cs="仿宋"/>
                <w:bCs/>
                <w:sz w:val="21"/>
                <w:szCs w:val="21"/>
              </w:rPr>
            </w:pPr>
            <w:r>
              <w:rPr>
                <w:rFonts w:hint="eastAsia" w:ascii="仿宋" w:hAnsi="仿宋" w:eastAsia="仿宋" w:cs="仿宋"/>
                <w:sz w:val="21"/>
                <w:szCs w:val="21"/>
              </w:rPr>
              <w:t>系统/服务器巡检</w:t>
            </w:r>
          </w:p>
        </w:tc>
        <w:tc>
          <w:tcPr>
            <w:tcW w:w="1281" w:type="pct"/>
            <w:vAlign w:val="center"/>
          </w:tcPr>
          <w:p w14:paraId="1264660F">
            <w:pPr>
              <w:ind w:left="15" w:hanging="14" w:hangingChars="7"/>
              <w:jc w:val="center"/>
              <w:rPr>
                <w:rFonts w:ascii="仿宋" w:hAnsi="仿宋" w:eastAsia="仿宋" w:cs="仿宋"/>
                <w:bCs/>
                <w:sz w:val="21"/>
                <w:szCs w:val="21"/>
              </w:rPr>
            </w:pPr>
            <w:r>
              <w:rPr>
                <w:rFonts w:hint="eastAsia" w:ascii="仿宋" w:hAnsi="仿宋" w:eastAsia="仿宋" w:cs="仿宋"/>
                <w:bCs/>
                <w:sz w:val="21"/>
                <w:szCs w:val="21"/>
              </w:rPr>
              <w:t>每个系统工作日及重大节假日每日一次</w:t>
            </w:r>
          </w:p>
        </w:tc>
        <w:tc>
          <w:tcPr>
            <w:tcW w:w="1158" w:type="pct"/>
            <w:vAlign w:val="center"/>
          </w:tcPr>
          <w:p w14:paraId="30AC147C">
            <w:pPr>
              <w:pStyle w:val="15"/>
              <w:spacing w:after="0"/>
              <w:ind w:left="15" w:hanging="14" w:hangingChars="7"/>
              <w:jc w:val="center"/>
              <w:rPr>
                <w:rFonts w:ascii="仿宋" w:hAnsi="仿宋" w:eastAsia="仿宋" w:cs="仿宋"/>
                <w:bCs/>
                <w:szCs w:val="21"/>
              </w:rPr>
            </w:pPr>
          </w:p>
        </w:tc>
      </w:tr>
      <w:tr w14:paraId="5ED0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492D356B">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66672D26">
            <w:pPr>
              <w:pStyle w:val="15"/>
              <w:spacing w:after="0"/>
              <w:ind w:left="15" w:hanging="14" w:hangingChars="7"/>
              <w:jc w:val="center"/>
              <w:rPr>
                <w:rFonts w:ascii="仿宋" w:hAnsi="仿宋" w:eastAsia="仿宋" w:cs="仿宋"/>
                <w:bCs/>
                <w:szCs w:val="21"/>
              </w:rPr>
            </w:pPr>
          </w:p>
        </w:tc>
        <w:tc>
          <w:tcPr>
            <w:tcW w:w="1280" w:type="pct"/>
            <w:vAlign w:val="center"/>
          </w:tcPr>
          <w:p w14:paraId="1F3BFE7F">
            <w:pPr>
              <w:ind w:left="15" w:hanging="14" w:hangingChars="7"/>
              <w:jc w:val="center"/>
              <w:rPr>
                <w:rFonts w:ascii="仿宋" w:hAnsi="仿宋" w:eastAsia="仿宋" w:cs="仿宋"/>
                <w:sz w:val="21"/>
                <w:szCs w:val="21"/>
              </w:rPr>
            </w:pPr>
            <w:r>
              <w:rPr>
                <w:rFonts w:hint="eastAsia" w:ascii="仿宋" w:hAnsi="仿宋" w:eastAsia="仿宋" w:cs="仿宋"/>
                <w:sz w:val="21"/>
                <w:szCs w:val="21"/>
              </w:rPr>
              <w:t>重点日期技术保障</w:t>
            </w:r>
          </w:p>
        </w:tc>
        <w:tc>
          <w:tcPr>
            <w:tcW w:w="1281" w:type="pct"/>
            <w:vAlign w:val="center"/>
          </w:tcPr>
          <w:p w14:paraId="5B9F12FF">
            <w:pPr>
              <w:ind w:left="15" w:hanging="14" w:hangingChars="7"/>
              <w:jc w:val="center"/>
              <w:rPr>
                <w:rFonts w:ascii="仿宋" w:hAnsi="仿宋" w:eastAsia="仿宋" w:cs="仿宋"/>
                <w:sz w:val="21"/>
                <w:szCs w:val="21"/>
              </w:rPr>
            </w:pPr>
            <w:r>
              <w:rPr>
                <w:rFonts w:hint="eastAsia" w:ascii="仿宋" w:hAnsi="仿宋" w:eastAsia="仿宋" w:cs="仿宋"/>
                <w:sz w:val="21"/>
                <w:szCs w:val="21"/>
              </w:rPr>
              <w:t>24次</w:t>
            </w:r>
          </w:p>
        </w:tc>
        <w:tc>
          <w:tcPr>
            <w:tcW w:w="1158" w:type="pct"/>
            <w:vAlign w:val="center"/>
          </w:tcPr>
          <w:p w14:paraId="00A897B5">
            <w:pPr>
              <w:ind w:left="15" w:hanging="14" w:hangingChars="7"/>
              <w:jc w:val="center"/>
              <w:rPr>
                <w:rFonts w:ascii="仿宋" w:hAnsi="仿宋" w:eastAsia="仿宋" w:cs="仿宋"/>
                <w:sz w:val="21"/>
                <w:szCs w:val="21"/>
              </w:rPr>
            </w:pPr>
            <w:r>
              <w:rPr>
                <w:rFonts w:hint="eastAsia" w:ascii="仿宋" w:hAnsi="仿宋" w:eastAsia="仿宋" w:cs="仿宋"/>
                <w:sz w:val="21"/>
                <w:szCs w:val="21"/>
              </w:rPr>
              <w:t>根据采购人安排</w:t>
            </w:r>
          </w:p>
        </w:tc>
      </w:tr>
      <w:tr w14:paraId="534D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071A9AB7">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22AE03F2">
            <w:pPr>
              <w:pStyle w:val="15"/>
              <w:spacing w:after="0"/>
              <w:ind w:left="15" w:hanging="14" w:hangingChars="7"/>
              <w:jc w:val="center"/>
              <w:rPr>
                <w:rFonts w:ascii="仿宋" w:hAnsi="仿宋" w:eastAsia="仿宋" w:cs="仿宋"/>
                <w:bCs/>
                <w:szCs w:val="21"/>
              </w:rPr>
            </w:pPr>
          </w:p>
        </w:tc>
        <w:tc>
          <w:tcPr>
            <w:tcW w:w="1280" w:type="pct"/>
            <w:vAlign w:val="center"/>
          </w:tcPr>
          <w:p w14:paraId="08DA2DDD">
            <w:pPr>
              <w:ind w:left="15" w:hanging="14" w:hangingChars="7"/>
              <w:jc w:val="center"/>
              <w:rPr>
                <w:rFonts w:ascii="仿宋" w:hAnsi="仿宋" w:eastAsia="仿宋" w:cs="仿宋"/>
                <w:bCs/>
                <w:sz w:val="21"/>
                <w:szCs w:val="21"/>
              </w:rPr>
            </w:pPr>
            <w:r>
              <w:rPr>
                <w:rFonts w:hint="eastAsia" w:ascii="仿宋" w:hAnsi="仿宋" w:eastAsia="仿宋" w:cs="仿宋"/>
                <w:bCs/>
                <w:sz w:val="21"/>
                <w:szCs w:val="21"/>
              </w:rPr>
              <w:t>故障排查</w:t>
            </w:r>
          </w:p>
        </w:tc>
        <w:tc>
          <w:tcPr>
            <w:tcW w:w="1281" w:type="pct"/>
            <w:vAlign w:val="center"/>
          </w:tcPr>
          <w:p w14:paraId="351E2DAF">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61CB6777">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7B0A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5485A151">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258A7C4A">
            <w:pPr>
              <w:pStyle w:val="15"/>
              <w:spacing w:after="0"/>
              <w:ind w:left="15" w:hanging="14" w:hangingChars="7"/>
              <w:jc w:val="center"/>
              <w:rPr>
                <w:rFonts w:ascii="仿宋" w:hAnsi="仿宋" w:eastAsia="仿宋" w:cs="仿宋"/>
                <w:bCs/>
                <w:szCs w:val="21"/>
              </w:rPr>
            </w:pPr>
          </w:p>
        </w:tc>
        <w:tc>
          <w:tcPr>
            <w:tcW w:w="1280" w:type="pct"/>
            <w:vAlign w:val="center"/>
          </w:tcPr>
          <w:p w14:paraId="4CCEF0E2">
            <w:pPr>
              <w:ind w:left="15" w:hanging="14" w:hangingChars="7"/>
              <w:jc w:val="center"/>
              <w:rPr>
                <w:rFonts w:ascii="仿宋" w:hAnsi="仿宋" w:eastAsia="仿宋" w:cs="仿宋"/>
                <w:bCs/>
                <w:sz w:val="21"/>
                <w:szCs w:val="21"/>
              </w:rPr>
            </w:pPr>
            <w:r>
              <w:rPr>
                <w:rFonts w:hint="eastAsia" w:ascii="仿宋" w:hAnsi="仿宋" w:eastAsia="仿宋" w:cs="仿宋"/>
                <w:sz w:val="21"/>
                <w:szCs w:val="21"/>
              </w:rPr>
              <w:t>电话咨询</w:t>
            </w:r>
          </w:p>
        </w:tc>
        <w:tc>
          <w:tcPr>
            <w:tcW w:w="1281" w:type="pct"/>
            <w:vAlign w:val="center"/>
          </w:tcPr>
          <w:p w14:paraId="39FBEB50">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107F3468">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实时响应</w:t>
            </w:r>
          </w:p>
        </w:tc>
      </w:tr>
      <w:tr w14:paraId="11E9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515A246E">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0A347D23">
            <w:pPr>
              <w:pStyle w:val="15"/>
              <w:spacing w:after="0"/>
              <w:ind w:left="15" w:hanging="14" w:hangingChars="7"/>
              <w:jc w:val="center"/>
              <w:rPr>
                <w:rFonts w:ascii="仿宋" w:hAnsi="仿宋" w:eastAsia="仿宋" w:cs="仿宋"/>
                <w:bCs/>
                <w:szCs w:val="21"/>
              </w:rPr>
            </w:pPr>
          </w:p>
        </w:tc>
        <w:tc>
          <w:tcPr>
            <w:tcW w:w="1280" w:type="pct"/>
            <w:vAlign w:val="center"/>
          </w:tcPr>
          <w:p w14:paraId="1AB14DC8">
            <w:pPr>
              <w:ind w:left="15" w:hanging="14" w:hangingChars="7"/>
              <w:jc w:val="center"/>
              <w:rPr>
                <w:rFonts w:ascii="仿宋" w:hAnsi="仿宋" w:eastAsia="仿宋" w:cs="仿宋"/>
                <w:bCs/>
                <w:sz w:val="21"/>
                <w:szCs w:val="21"/>
              </w:rPr>
            </w:pPr>
            <w:r>
              <w:rPr>
                <w:rFonts w:hint="eastAsia" w:ascii="仿宋" w:hAnsi="仿宋" w:eastAsia="仿宋" w:cs="仿宋"/>
                <w:sz w:val="21"/>
                <w:szCs w:val="21"/>
              </w:rPr>
              <w:t>需求采集</w:t>
            </w:r>
          </w:p>
        </w:tc>
        <w:tc>
          <w:tcPr>
            <w:tcW w:w="1281" w:type="pct"/>
            <w:vAlign w:val="center"/>
          </w:tcPr>
          <w:p w14:paraId="1F01AFA0">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1EBB48EC">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2B07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3AF9E1A7">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1F52951E">
            <w:pPr>
              <w:pStyle w:val="15"/>
              <w:spacing w:after="0"/>
              <w:ind w:left="15" w:hanging="14" w:hangingChars="7"/>
              <w:jc w:val="center"/>
              <w:rPr>
                <w:rFonts w:ascii="仿宋" w:hAnsi="仿宋" w:eastAsia="仿宋" w:cs="仿宋"/>
                <w:bCs/>
                <w:szCs w:val="21"/>
              </w:rPr>
            </w:pPr>
          </w:p>
        </w:tc>
        <w:tc>
          <w:tcPr>
            <w:tcW w:w="1280" w:type="pct"/>
            <w:vAlign w:val="center"/>
          </w:tcPr>
          <w:p w14:paraId="3E2F6462">
            <w:pPr>
              <w:ind w:left="15" w:hanging="14" w:hangingChars="7"/>
              <w:jc w:val="center"/>
              <w:rPr>
                <w:rFonts w:ascii="仿宋" w:hAnsi="仿宋" w:eastAsia="仿宋" w:cs="仿宋"/>
                <w:bCs/>
                <w:sz w:val="21"/>
                <w:szCs w:val="21"/>
              </w:rPr>
            </w:pPr>
            <w:r>
              <w:rPr>
                <w:rFonts w:hint="eastAsia" w:ascii="仿宋" w:hAnsi="仿宋" w:eastAsia="仿宋" w:cs="仿宋"/>
                <w:sz w:val="21"/>
                <w:szCs w:val="21"/>
              </w:rPr>
              <w:t>系统培训</w:t>
            </w:r>
          </w:p>
        </w:tc>
        <w:tc>
          <w:tcPr>
            <w:tcW w:w="1281" w:type="pct"/>
            <w:vAlign w:val="center"/>
          </w:tcPr>
          <w:p w14:paraId="3B2ADE31">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769AC86D">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2B06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6C21F8E8">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6E56D883">
            <w:pPr>
              <w:pStyle w:val="15"/>
              <w:spacing w:after="0"/>
              <w:ind w:left="15" w:hanging="14" w:hangingChars="7"/>
              <w:jc w:val="center"/>
              <w:rPr>
                <w:rFonts w:ascii="仿宋" w:hAnsi="仿宋" w:eastAsia="仿宋" w:cs="仿宋"/>
                <w:bCs/>
                <w:szCs w:val="21"/>
              </w:rPr>
            </w:pPr>
          </w:p>
        </w:tc>
        <w:tc>
          <w:tcPr>
            <w:tcW w:w="1280" w:type="pct"/>
            <w:vAlign w:val="center"/>
          </w:tcPr>
          <w:p w14:paraId="14BCF9BA">
            <w:pPr>
              <w:ind w:left="15" w:hanging="14" w:hangingChars="7"/>
              <w:jc w:val="center"/>
              <w:rPr>
                <w:rFonts w:ascii="仿宋" w:hAnsi="仿宋" w:eastAsia="仿宋" w:cs="仿宋"/>
                <w:bCs/>
                <w:sz w:val="21"/>
                <w:szCs w:val="21"/>
              </w:rPr>
            </w:pPr>
            <w:r>
              <w:rPr>
                <w:rFonts w:hint="eastAsia" w:ascii="仿宋" w:hAnsi="仿宋" w:eastAsia="仿宋" w:cs="仿宋"/>
                <w:sz w:val="21"/>
                <w:szCs w:val="21"/>
              </w:rPr>
              <w:t>现场服务</w:t>
            </w:r>
          </w:p>
        </w:tc>
        <w:tc>
          <w:tcPr>
            <w:tcW w:w="1281" w:type="pct"/>
            <w:vAlign w:val="center"/>
          </w:tcPr>
          <w:p w14:paraId="30C509D8">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121782EE">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3E2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34" w:type="pct"/>
            <w:vMerge w:val="restart"/>
            <w:vAlign w:val="center"/>
          </w:tcPr>
          <w:p w14:paraId="395B48B4">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2</w:t>
            </w:r>
          </w:p>
        </w:tc>
        <w:tc>
          <w:tcPr>
            <w:tcW w:w="844" w:type="pct"/>
            <w:vMerge w:val="restart"/>
            <w:vAlign w:val="center"/>
          </w:tcPr>
          <w:p w14:paraId="7E00E559">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数据日常运维</w:t>
            </w:r>
          </w:p>
        </w:tc>
        <w:tc>
          <w:tcPr>
            <w:tcW w:w="1280" w:type="pct"/>
            <w:vAlign w:val="center"/>
          </w:tcPr>
          <w:p w14:paraId="036B7DDF">
            <w:pPr>
              <w:ind w:left="15" w:hanging="14" w:hangingChars="7"/>
              <w:jc w:val="center"/>
              <w:rPr>
                <w:rFonts w:ascii="仿宋" w:hAnsi="仿宋" w:eastAsia="仿宋" w:cs="仿宋"/>
                <w:bCs/>
                <w:sz w:val="21"/>
                <w:szCs w:val="21"/>
              </w:rPr>
            </w:pPr>
            <w:r>
              <w:rPr>
                <w:rFonts w:hint="eastAsia" w:ascii="仿宋" w:hAnsi="仿宋" w:eastAsia="仿宋" w:cs="仿宋"/>
                <w:sz w:val="21"/>
                <w:szCs w:val="21"/>
              </w:rPr>
              <w:t>数据统计与查询</w:t>
            </w:r>
          </w:p>
        </w:tc>
        <w:tc>
          <w:tcPr>
            <w:tcW w:w="1281" w:type="pct"/>
            <w:vAlign w:val="center"/>
          </w:tcPr>
          <w:p w14:paraId="4DC89546">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2313804A">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3D46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4" w:type="pct"/>
            <w:vMerge w:val="continue"/>
            <w:vAlign w:val="center"/>
          </w:tcPr>
          <w:p w14:paraId="6BD22E59">
            <w:pPr>
              <w:pStyle w:val="15"/>
              <w:spacing w:after="0"/>
              <w:ind w:left="15" w:hanging="14" w:hangingChars="7"/>
              <w:jc w:val="center"/>
              <w:rPr>
                <w:rFonts w:ascii="仿宋" w:hAnsi="仿宋" w:eastAsia="仿宋" w:cs="仿宋"/>
                <w:bCs/>
                <w:szCs w:val="21"/>
              </w:rPr>
            </w:pPr>
          </w:p>
        </w:tc>
        <w:tc>
          <w:tcPr>
            <w:tcW w:w="844" w:type="pct"/>
            <w:vMerge w:val="continue"/>
            <w:vAlign w:val="center"/>
          </w:tcPr>
          <w:p w14:paraId="794902A4">
            <w:pPr>
              <w:pStyle w:val="15"/>
              <w:spacing w:after="0"/>
              <w:ind w:left="15" w:hanging="14" w:hangingChars="7"/>
              <w:jc w:val="center"/>
              <w:rPr>
                <w:rFonts w:ascii="仿宋" w:hAnsi="仿宋" w:eastAsia="仿宋" w:cs="仿宋"/>
                <w:bCs/>
                <w:szCs w:val="21"/>
              </w:rPr>
            </w:pPr>
          </w:p>
        </w:tc>
        <w:tc>
          <w:tcPr>
            <w:tcW w:w="1280" w:type="pct"/>
            <w:vAlign w:val="center"/>
          </w:tcPr>
          <w:p w14:paraId="00F74697">
            <w:pPr>
              <w:ind w:left="15" w:hanging="14" w:hangingChars="7"/>
              <w:jc w:val="center"/>
              <w:rPr>
                <w:rFonts w:ascii="仿宋" w:hAnsi="仿宋" w:eastAsia="仿宋" w:cs="仿宋"/>
                <w:bCs/>
                <w:sz w:val="21"/>
                <w:szCs w:val="21"/>
              </w:rPr>
            </w:pPr>
            <w:r>
              <w:rPr>
                <w:rFonts w:hint="eastAsia" w:ascii="仿宋" w:hAnsi="仿宋" w:eastAsia="仿宋" w:cs="仿宋"/>
                <w:sz w:val="21"/>
                <w:szCs w:val="21"/>
              </w:rPr>
              <w:t>安全审计检查</w:t>
            </w:r>
          </w:p>
        </w:tc>
        <w:tc>
          <w:tcPr>
            <w:tcW w:w="1281" w:type="pct"/>
            <w:vAlign w:val="center"/>
          </w:tcPr>
          <w:p w14:paraId="295BCFD2">
            <w:pPr>
              <w:ind w:left="15" w:hanging="14" w:hangingChars="7"/>
              <w:jc w:val="center"/>
              <w:rPr>
                <w:rFonts w:ascii="仿宋" w:hAnsi="仿宋" w:eastAsia="仿宋" w:cs="仿宋"/>
                <w:bCs/>
                <w:sz w:val="21"/>
                <w:szCs w:val="21"/>
              </w:rPr>
            </w:pPr>
            <w:r>
              <w:rPr>
                <w:rFonts w:hint="eastAsia" w:ascii="仿宋" w:hAnsi="仿宋" w:eastAsia="仿宋" w:cs="仿宋"/>
                <w:sz w:val="21"/>
                <w:szCs w:val="21"/>
              </w:rPr>
              <w:t>1次/季度</w:t>
            </w:r>
          </w:p>
        </w:tc>
        <w:tc>
          <w:tcPr>
            <w:tcW w:w="1158" w:type="pct"/>
            <w:vAlign w:val="center"/>
          </w:tcPr>
          <w:p w14:paraId="42407146">
            <w:pPr>
              <w:pStyle w:val="15"/>
              <w:spacing w:after="0"/>
              <w:ind w:left="15" w:hanging="14" w:hangingChars="7"/>
              <w:jc w:val="center"/>
              <w:rPr>
                <w:rFonts w:ascii="仿宋" w:hAnsi="仿宋" w:eastAsia="仿宋" w:cs="仿宋"/>
                <w:bCs/>
                <w:szCs w:val="21"/>
              </w:rPr>
            </w:pPr>
          </w:p>
        </w:tc>
      </w:tr>
      <w:tr w14:paraId="49BA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Align w:val="center"/>
          </w:tcPr>
          <w:p w14:paraId="503B0FF2">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3</w:t>
            </w:r>
          </w:p>
        </w:tc>
        <w:tc>
          <w:tcPr>
            <w:tcW w:w="844" w:type="pct"/>
            <w:vAlign w:val="center"/>
          </w:tcPr>
          <w:p w14:paraId="04DF85AB">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数据采集</w:t>
            </w:r>
          </w:p>
        </w:tc>
        <w:tc>
          <w:tcPr>
            <w:tcW w:w="1280" w:type="pct"/>
            <w:vAlign w:val="center"/>
          </w:tcPr>
          <w:p w14:paraId="0E17A0EE">
            <w:pPr>
              <w:ind w:left="15" w:hanging="14" w:hangingChars="7"/>
              <w:jc w:val="center"/>
              <w:rPr>
                <w:rFonts w:ascii="仿宋" w:hAnsi="仿宋" w:eastAsia="仿宋" w:cs="仿宋"/>
                <w:sz w:val="21"/>
                <w:szCs w:val="21"/>
              </w:rPr>
            </w:pPr>
            <w:r>
              <w:rPr>
                <w:rFonts w:hint="eastAsia" w:ascii="仿宋" w:hAnsi="仿宋" w:eastAsia="仿宋" w:cs="仿宋"/>
                <w:sz w:val="21"/>
                <w:szCs w:val="21"/>
              </w:rPr>
              <w:t>数据采集及处理</w:t>
            </w:r>
          </w:p>
        </w:tc>
        <w:tc>
          <w:tcPr>
            <w:tcW w:w="1281" w:type="pct"/>
            <w:vAlign w:val="center"/>
          </w:tcPr>
          <w:p w14:paraId="3B857997">
            <w:pPr>
              <w:ind w:left="15" w:hanging="14" w:hangingChars="7"/>
              <w:jc w:val="center"/>
              <w:rPr>
                <w:rFonts w:ascii="仿宋" w:hAnsi="仿宋" w:eastAsia="仿宋" w:cs="仿宋"/>
                <w:sz w:val="21"/>
                <w:szCs w:val="21"/>
              </w:rPr>
            </w:pPr>
            <w:r>
              <w:rPr>
                <w:rFonts w:hint="eastAsia" w:ascii="仿宋" w:hAnsi="仿宋" w:eastAsia="仿宋" w:cs="仿宋"/>
                <w:sz w:val="21"/>
                <w:szCs w:val="21"/>
              </w:rPr>
              <w:t>≥90万条</w:t>
            </w:r>
          </w:p>
        </w:tc>
        <w:tc>
          <w:tcPr>
            <w:tcW w:w="1158" w:type="pct"/>
            <w:vAlign w:val="center"/>
          </w:tcPr>
          <w:p w14:paraId="0A96795D">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年租赁挂牌量</w:t>
            </w:r>
          </w:p>
        </w:tc>
      </w:tr>
      <w:tr w14:paraId="52A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restart"/>
            <w:vAlign w:val="center"/>
          </w:tcPr>
          <w:p w14:paraId="17B20588">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4</w:t>
            </w:r>
          </w:p>
        </w:tc>
        <w:tc>
          <w:tcPr>
            <w:tcW w:w="844" w:type="pct"/>
            <w:vMerge w:val="restart"/>
            <w:vAlign w:val="center"/>
          </w:tcPr>
          <w:p w14:paraId="238AE43C">
            <w:pPr>
              <w:pStyle w:val="15"/>
              <w:spacing w:after="0"/>
              <w:ind w:left="15" w:hanging="14" w:hangingChars="7"/>
              <w:jc w:val="center"/>
              <w:rPr>
                <w:rFonts w:ascii="仿宋" w:hAnsi="仿宋" w:eastAsia="仿宋" w:cs="仿宋"/>
                <w:bCs/>
                <w:szCs w:val="21"/>
              </w:rPr>
            </w:pPr>
            <w:r>
              <w:rPr>
                <w:rFonts w:hint="eastAsia" w:ascii="仿宋" w:hAnsi="仿宋" w:eastAsia="仿宋" w:cs="仿宋"/>
                <w:bCs/>
                <w:szCs w:val="21"/>
              </w:rPr>
              <w:t>功能完善</w:t>
            </w:r>
          </w:p>
        </w:tc>
        <w:tc>
          <w:tcPr>
            <w:tcW w:w="1280" w:type="pct"/>
            <w:vAlign w:val="center"/>
          </w:tcPr>
          <w:p w14:paraId="2262A39F">
            <w:pPr>
              <w:ind w:left="15" w:hanging="14" w:hangingChars="7"/>
              <w:jc w:val="center"/>
              <w:rPr>
                <w:rFonts w:ascii="仿宋" w:hAnsi="仿宋" w:eastAsia="仿宋" w:cs="仿宋"/>
                <w:bCs/>
                <w:sz w:val="21"/>
                <w:szCs w:val="21"/>
              </w:rPr>
            </w:pPr>
            <w:r>
              <w:rPr>
                <w:rFonts w:hint="eastAsia" w:ascii="仿宋" w:hAnsi="仿宋" w:eastAsia="仿宋" w:cs="仿宋"/>
                <w:sz w:val="21"/>
                <w:szCs w:val="21"/>
              </w:rPr>
              <w:t>系统优化</w:t>
            </w:r>
          </w:p>
        </w:tc>
        <w:tc>
          <w:tcPr>
            <w:tcW w:w="1281" w:type="pct"/>
            <w:vAlign w:val="center"/>
          </w:tcPr>
          <w:p w14:paraId="3D2BCBBA">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5433648D">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r w14:paraId="532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4" w:type="pct"/>
            <w:vMerge w:val="continue"/>
            <w:vAlign w:val="center"/>
          </w:tcPr>
          <w:p w14:paraId="2E96FF4A">
            <w:pPr>
              <w:pStyle w:val="15"/>
              <w:ind w:left="15" w:hanging="14" w:hangingChars="7"/>
              <w:jc w:val="center"/>
              <w:rPr>
                <w:rFonts w:ascii="仿宋" w:hAnsi="仿宋" w:eastAsia="仿宋" w:cs="仿宋"/>
                <w:bCs/>
                <w:szCs w:val="21"/>
              </w:rPr>
            </w:pPr>
          </w:p>
        </w:tc>
        <w:tc>
          <w:tcPr>
            <w:tcW w:w="844" w:type="pct"/>
            <w:vMerge w:val="continue"/>
            <w:vAlign w:val="center"/>
          </w:tcPr>
          <w:p w14:paraId="71CC97EA">
            <w:pPr>
              <w:pStyle w:val="15"/>
              <w:ind w:left="15" w:hanging="14" w:hangingChars="7"/>
              <w:jc w:val="center"/>
              <w:rPr>
                <w:rFonts w:ascii="仿宋" w:hAnsi="仿宋" w:eastAsia="仿宋" w:cs="仿宋"/>
                <w:bCs/>
                <w:szCs w:val="21"/>
              </w:rPr>
            </w:pPr>
          </w:p>
        </w:tc>
        <w:tc>
          <w:tcPr>
            <w:tcW w:w="1280" w:type="pct"/>
            <w:vAlign w:val="center"/>
          </w:tcPr>
          <w:p w14:paraId="50ECEAA3">
            <w:pPr>
              <w:ind w:left="15" w:hanging="14" w:hangingChars="7"/>
              <w:jc w:val="center"/>
              <w:rPr>
                <w:rFonts w:ascii="仿宋" w:hAnsi="仿宋" w:eastAsia="仿宋" w:cs="仿宋"/>
                <w:bCs/>
                <w:sz w:val="21"/>
                <w:szCs w:val="21"/>
              </w:rPr>
            </w:pPr>
            <w:r>
              <w:rPr>
                <w:rFonts w:hint="eastAsia" w:ascii="仿宋" w:hAnsi="仿宋" w:eastAsia="仿宋" w:cs="仿宋"/>
                <w:sz w:val="21"/>
                <w:szCs w:val="21"/>
              </w:rPr>
              <w:t>需求及政策响应</w:t>
            </w:r>
          </w:p>
        </w:tc>
        <w:tc>
          <w:tcPr>
            <w:tcW w:w="1281" w:type="pct"/>
            <w:vAlign w:val="center"/>
          </w:tcPr>
          <w:p w14:paraId="2BF24828">
            <w:pPr>
              <w:ind w:left="15" w:hanging="14" w:hangingChars="7"/>
              <w:jc w:val="center"/>
              <w:rPr>
                <w:rFonts w:ascii="仿宋" w:hAnsi="仿宋" w:eastAsia="仿宋" w:cs="仿宋"/>
                <w:bCs/>
                <w:sz w:val="21"/>
                <w:szCs w:val="21"/>
              </w:rPr>
            </w:pPr>
            <w:r>
              <w:rPr>
                <w:rFonts w:hint="eastAsia" w:ascii="仿宋" w:hAnsi="仿宋" w:eastAsia="仿宋" w:cs="仿宋"/>
                <w:sz w:val="21"/>
                <w:szCs w:val="21"/>
              </w:rPr>
              <w:t>/</w:t>
            </w:r>
          </w:p>
        </w:tc>
        <w:tc>
          <w:tcPr>
            <w:tcW w:w="1158" w:type="pct"/>
            <w:vAlign w:val="center"/>
          </w:tcPr>
          <w:p w14:paraId="08C6F150">
            <w:pPr>
              <w:pStyle w:val="15"/>
              <w:spacing w:after="0"/>
              <w:ind w:left="15" w:hanging="14" w:hangingChars="7"/>
              <w:jc w:val="center"/>
              <w:rPr>
                <w:rFonts w:ascii="仿宋" w:hAnsi="仿宋" w:eastAsia="仿宋" w:cs="仿宋"/>
                <w:bCs/>
                <w:szCs w:val="21"/>
              </w:rPr>
            </w:pPr>
            <w:r>
              <w:rPr>
                <w:rFonts w:hint="eastAsia" w:ascii="仿宋" w:hAnsi="仿宋" w:eastAsia="仿宋" w:cs="仿宋"/>
                <w:szCs w:val="21"/>
              </w:rPr>
              <w:t>根据采购人需求</w:t>
            </w:r>
          </w:p>
        </w:tc>
      </w:tr>
    </w:tbl>
    <w:p w14:paraId="2EF46E9A">
      <w:pPr>
        <w:pStyle w:val="101"/>
        <w:ind w:firstLine="482"/>
        <w:jc w:val="both"/>
        <w:rPr>
          <w:rFonts w:hint="default" w:ascii="仿宋" w:hAnsi="仿宋" w:eastAsia="仿宋" w:cs="仿宋"/>
          <w:sz w:val="24"/>
          <w:lang w:eastAsia="zh-CN"/>
        </w:rPr>
      </w:pPr>
    </w:p>
    <w:p w14:paraId="7243E25C">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（四）运维服务方式要求</w:t>
      </w:r>
    </w:p>
    <w:p w14:paraId="17E66D43">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1、电话咨询服务</w:t>
      </w:r>
    </w:p>
    <w:p w14:paraId="7DFA6E1D">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开通服务热线，运维人员通过电话沟通为用户提供技术支持、问题解答和咨询建议等服务，帮助用户更好地理解和使用系统。</w:t>
      </w:r>
    </w:p>
    <w:p w14:paraId="0B5F5961">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2、驻场服务</w:t>
      </w:r>
    </w:p>
    <w:p w14:paraId="63F4A80A">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提供驻场服务，日常运维驻场人员对租赁业务平台运行情况进行巡检、故障排查及重点日期技术保障；同时保障系统存储数据安全可用；帮助用户提升整体技术能力，及时为用户提供系统需求采集及分析、系统培训、业务咨询、问题解答、故障诊断、故障排除等技术服务。原则上，要求在工作日提供驻场服务；非工作日发生应急时应在2小时内到现场解决故障。</w:t>
      </w:r>
    </w:p>
    <w:p w14:paraId="3BDF849D">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3、非驻场服务</w:t>
      </w:r>
    </w:p>
    <w:p w14:paraId="08EF53F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投标供应商根据资源安排，提供非驻场服务，完成功能完善、模型更新、数据采集和部分运维工作，通过建立完善的服务质量监控体系，确保服务的专业性和高效性。</w:t>
      </w:r>
    </w:p>
    <w:p w14:paraId="60756899">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4、回访服务</w:t>
      </w:r>
    </w:p>
    <w:p w14:paraId="133A9A10">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在每次现场服务结束后对用户进行回访，通过回访及时了解问题的解决情况、现场服务态度及效率情况、用户对此次现场服务的满意程度，以及用户对现场服务的意见和建议等。</w:t>
      </w:r>
    </w:p>
    <w:p w14:paraId="4A35218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5、巡检服务</w:t>
      </w:r>
    </w:p>
    <w:p w14:paraId="7354A124">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须制定具体的巡检计划，列出巡检重点、内容、要求，在巡检过程中，对用户提出的相关问题进行详细解答。</w:t>
      </w:r>
    </w:p>
    <w:p w14:paraId="10B6E581">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6、系统操作培训</w:t>
      </w:r>
    </w:p>
    <w:p w14:paraId="538F506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对平台使用过程中或更新后的系统，进行定期系统培训；配合相关单位进行随机的系统培训。</w:t>
      </w:r>
    </w:p>
    <w:p w14:paraId="3C0CE872">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7、网络在线咨询服务</w:t>
      </w:r>
    </w:p>
    <w:p w14:paraId="563E3381">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须提供在线服务方式。用户可在线联系技术支持人员解决所遇问题。</w:t>
      </w:r>
    </w:p>
    <w:p w14:paraId="2B4AD0C1">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8、数据采集</w:t>
      </w:r>
    </w:p>
    <w:p w14:paraId="5A5B3067">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根据监测平台的要求，实时对市场上租赁挂牌情况进行采集、清洗、统计分析等。最终将数据上传至住房监测分析平台，通过大数据、人工智能等技术建立数据分析模型，供有需要的部门使用。</w:t>
      </w:r>
    </w:p>
    <w:p w14:paraId="775CB91B">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（五）运维服务时效要求</w:t>
      </w:r>
    </w:p>
    <w:p w14:paraId="5A123B3F">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1、根据需求进行例行更新；</w:t>
      </w:r>
    </w:p>
    <w:p w14:paraId="0877C75E">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2、接到用户紧急优化需求起，24小时内提出系统优化方案，并按照采购人要求的时限完成系统开发及测试工作；</w:t>
      </w:r>
    </w:p>
    <w:p w14:paraId="76280EB4">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3、接到相关政策的变更起，48小时内提出系统优化方案，并按照采购人要求的时限完成变更内容的开发及测试工作；</w:t>
      </w:r>
    </w:p>
    <w:p w14:paraId="79C8FA03">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4、根据最新动态及技术，提交系统升级建议；</w:t>
      </w:r>
    </w:p>
    <w:p w14:paraId="5E85C97B">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5、每月对平台数据进行更新，如遇季末、年末则需更新季度、年度数据。</w:t>
      </w:r>
    </w:p>
    <w:p w14:paraId="4D8F6CD8">
      <w:pPr>
        <w:pStyle w:val="101"/>
        <w:ind w:firstLine="482"/>
        <w:outlineLvl w:val="1"/>
        <w:rPr>
          <w:rFonts w:hint="default" w:cs="仿宋" w:asciiTheme="minorEastAsia" w:hAnsiTheme="minorEastAsia"/>
          <w:b/>
          <w:bCs/>
          <w:sz w:val="24"/>
          <w:lang w:eastAsia="zh-CN"/>
        </w:rPr>
      </w:pPr>
      <w:r>
        <w:rPr>
          <w:rFonts w:cs="仿宋" w:asciiTheme="minorEastAsia" w:hAnsiTheme="minorEastAsia"/>
          <w:b/>
          <w:bCs/>
          <w:sz w:val="24"/>
          <w:lang w:eastAsia="zh-CN"/>
        </w:rPr>
        <w:t>（六）运维服务交付成果要求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222"/>
        <w:gridCol w:w="3451"/>
        <w:gridCol w:w="2825"/>
      </w:tblGrid>
      <w:tr w14:paraId="43A9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6206CDBA">
            <w:pPr>
              <w:jc w:val="center"/>
              <w:rPr>
                <w:rFonts w:ascii="仿宋" w:hAnsi="仿宋" w:eastAsia="仿宋" w:cs="仿宋"/>
                <w:sz w:val="21"/>
                <w:szCs w:val="21"/>
              </w:rPr>
            </w:pPr>
            <w:r>
              <w:rPr>
                <w:rFonts w:hint="eastAsia" w:ascii="仿宋" w:hAnsi="仿宋" w:eastAsia="仿宋" w:cs="仿宋"/>
                <w:sz w:val="21"/>
                <w:szCs w:val="21"/>
              </w:rPr>
              <w:t>序号</w:t>
            </w:r>
          </w:p>
        </w:tc>
        <w:tc>
          <w:tcPr>
            <w:tcW w:w="1196" w:type="pct"/>
            <w:vAlign w:val="center"/>
          </w:tcPr>
          <w:p w14:paraId="3A0F4392">
            <w:pPr>
              <w:jc w:val="center"/>
              <w:rPr>
                <w:rFonts w:ascii="仿宋" w:hAnsi="仿宋" w:eastAsia="仿宋" w:cs="仿宋"/>
                <w:sz w:val="21"/>
                <w:szCs w:val="21"/>
              </w:rPr>
            </w:pPr>
            <w:r>
              <w:rPr>
                <w:rFonts w:hint="eastAsia" w:ascii="仿宋" w:hAnsi="仿宋" w:eastAsia="仿宋" w:cs="仿宋"/>
                <w:sz w:val="21"/>
                <w:szCs w:val="21"/>
              </w:rPr>
              <w:t>服务类型</w:t>
            </w:r>
          </w:p>
        </w:tc>
        <w:tc>
          <w:tcPr>
            <w:tcW w:w="1858" w:type="pct"/>
            <w:vAlign w:val="center"/>
          </w:tcPr>
          <w:p w14:paraId="769FFA33">
            <w:pPr>
              <w:jc w:val="center"/>
              <w:rPr>
                <w:rFonts w:ascii="仿宋" w:hAnsi="仿宋" w:eastAsia="仿宋" w:cs="仿宋"/>
                <w:sz w:val="21"/>
                <w:szCs w:val="21"/>
              </w:rPr>
            </w:pPr>
            <w:r>
              <w:rPr>
                <w:rFonts w:hint="eastAsia" w:ascii="仿宋" w:hAnsi="仿宋" w:eastAsia="仿宋" w:cs="仿宋"/>
                <w:sz w:val="21"/>
                <w:szCs w:val="21"/>
              </w:rPr>
              <w:t>服务内容</w:t>
            </w:r>
          </w:p>
        </w:tc>
        <w:tc>
          <w:tcPr>
            <w:tcW w:w="1521" w:type="pct"/>
            <w:vAlign w:val="center"/>
          </w:tcPr>
          <w:p w14:paraId="724E5F46">
            <w:pPr>
              <w:jc w:val="center"/>
              <w:rPr>
                <w:rFonts w:ascii="仿宋" w:hAnsi="仿宋" w:eastAsia="仿宋" w:cs="仿宋"/>
                <w:sz w:val="21"/>
                <w:szCs w:val="21"/>
              </w:rPr>
            </w:pPr>
            <w:r>
              <w:rPr>
                <w:rFonts w:hint="eastAsia" w:ascii="仿宋" w:hAnsi="仿宋" w:eastAsia="仿宋" w:cs="仿宋"/>
                <w:sz w:val="21"/>
                <w:szCs w:val="21"/>
              </w:rPr>
              <w:t>交付物</w:t>
            </w:r>
          </w:p>
        </w:tc>
      </w:tr>
      <w:tr w14:paraId="40B6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vAlign w:val="center"/>
          </w:tcPr>
          <w:p w14:paraId="6B8B1CBC">
            <w:pPr>
              <w:jc w:val="center"/>
              <w:rPr>
                <w:rFonts w:ascii="仿宋" w:hAnsi="仿宋" w:eastAsia="仿宋" w:cs="仿宋"/>
                <w:sz w:val="21"/>
                <w:szCs w:val="21"/>
              </w:rPr>
            </w:pPr>
            <w:r>
              <w:rPr>
                <w:rFonts w:hint="eastAsia" w:ascii="仿宋" w:hAnsi="仿宋" w:eastAsia="仿宋" w:cs="仿宋"/>
                <w:sz w:val="21"/>
                <w:szCs w:val="21"/>
              </w:rPr>
              <w:t>1</w:t>
            </w:r>
          </w:p>
        </w:tc>
        <w:tc>
          <w:tcPr>
            <w:tcW w:w="1196" w:type="pct"/>
            <w:vMerge w:val="restart"/>
            <w:vAlign w:val="center"/>
          </w:tcPr>
          <w:p w14:paraId="52DA4970">
            <w:pPr>
              <w:jc w:val="center"/>
              <w:rPr>
                <w:rFonts w:ascii="仿宋" w:hAnsi="仿宋" w:eastAsia="仿宋" w:cs="仿宋"/>
                <w:sz w:val="21"/>
                <w:szCs w:val="21"/>
              </w:rPr>
            </w:pPr>
            <w:r>
              <w:rPr>
                <w:rFonts w:hint="eastAsia" w:ascii="仿宋" w:hAnsi="仿宋" w:eastAsia="仿宋" w:cs="仿宋"/>
                <w:sz w:val="21"/>
                <w:szCs w:val="21"/>
              </w:rPr>
              <w:t>系统日常运维</w:t>
            </w:r>
          </w:p>
        </w:tc>
        <w:tc>
          <w:tcPr>
            <w:tcW w:w="1858" w:type="pct"/>
            <w:vAlign w:val="center"/>
          </w:tcPr>
          <w:p w14:paraId="1B403252">
            <w:pPr>
              <w:pStyle w:val="103"/>
              <w:widowControl w:val="0"/>
              <w:pBdr>
                <w:right w:val="none" w:color="auto" w:sz="0" w:space="0"/>
              </w:pBdr>
              <w:spacing w:before="0" w:beforeAutospacing="0" w:after="0" w:afterAutospacing="0"/>
              <w:textAlignment w:val="auto"/>
              <w:rPr>
                <w:rFonts w:ascii="仿宋" w:hAnsi="仿宋" w:eastAsia="仿宋" w:cs="仿宋"/>
                <w:kern w:val="2"/>
                <w:sz w:val="21"/>
                <w:szCs w:val="21"/>
              </w:rPr>
            </w:pPr>
            <w:r>
              <w:rPr>
                <w:rFonts w:hint="eastAsia" w:ascii="仿宋" w:hAnsi="仿宋" w:eastAsia="仿宋" w:cs="仿宋"/>
                <w:kern w:val="2"/>
                <w:sz w:val="21"/>
                <w:szCs w:val="21"/>
              </w:rPr>
              <w:t>模块日常巡检</w:t>
            </w:r>
          </w:p>
        </w:tc>
        <w:tc>
          <w:tcPr>
            <w:tcW w:w="1521" w:type="pct"/>
            <w:vAlign w:val="center"/>
          </w:tcPr>
          <w:p w14:paraId="08D72518">
            <w:pPr>
              <w:jc w:val="center"/>
              <w:rPr>
                <w:rFonts w:ascii="仿宋" w:hAnsi="仿宋" w:eastAsia="仿宋" w:cs="仿宋"/>
                <w:sz w:val="21"/>
                <w:szCs w:val="21"/>
              </w:rPr>
            </w:pPr>
            <w:r>
              <w:rPr>
                <w:rFonts w:hint="eastAsia" w:ascii="仿宋" w:hAnsi="仿宋" w:eastAsia="仿宋" w:cs="仿宋"/>
                <w:sz w:val="21"/>
                <w:szCs w:val="21"/>
              </w:rPr>
              <w:t>巡检报告</w:t>
            </w:r>
          </w:p>
        </w:tc>
      </w:tr>
      <w:tr w14:paraId="7DB7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4081966F">
            <w:pPr>
              <w:jc w:val="center"/>
              <w:rPr>
                <w:rFonts w:ascii="仿宋" w:hAnsi="仿宋" w:eastAsia="仿宋" w:cs="仿宋"/>
                <w:sz w:val="21"/>
                <w:szCs w:val="21"/>
              </w:rPr>
            </w:pPr>
          </w:p>
        </w:tc>
        <w:tc>
          <w:tcPr>
            <w:tcW w:w="1196" w:type="pct"/>
            <w:vMerge w:val="continue"/>
            <w:vAlign w:val="center"/>
          </w:tcPr>
          <w:p w14:paraId="46750A0C">
            <w:pPr>
              <w:jc w:val="center"/>
              <w:rPr>
                <w:rFonts w:ascii="仿宋" w:hAnsi="仿宋" w:eastAsia="仿宋" w:cs="仿宋"/>
                <w:sz w:val="21"/>
                <w:szCs w:val="21"/>
              </w:rPr>
            </w:pPr>
          </w:p>
        </w:tc>
        <w:tc>
          <w:tcPr>
            <w:tcW w:w="1858" w:type="pct"/>
            <w:vAlign w:val="center"/>
          </w:tcPr>
          <w:p w14:paraId="130F5384">
            <w:pPr>
              <w:jc w:val="center"/>
              <w:rPr>
                <w:rFonts w:ascii="仿宋" w:hAnsi="仿宋" w:eastAsia="仿宋" w:cs="仿宋"/>
                <w:sz w:val="21"/>
                <w:szCs w:val="21"/>
              </w:rPr>
            </w:pPr>
            <w:r>
              <w:rPr>
                <w:rFonts w:hint="eastAsia" w:ascii="仿宋" w:hAnsi="仿宋" w:eastAsia="仿宋" w:cs="仿宋"/>
                <w:sz w:val="21"/>
                <w:szCs w:val="21"/>
              </w:rPr>
              <w:t>重点技术保障</w:t>
            </w:r>
          </w:p>
        </w:tc>
        <w:tc>
          <w:tcPr>
            <w:tcW w:w="1521" w:type="pct"/>
            <w:vAlign w:val="center"/>
          </w:tcPr>
          <w:p w14:paraId="4E03AAAC">
            <w:pPr>
              <w:jc w:val="center"/>
              <w:rPr>
                <w:rFonts w:ascii="仿宋" w:hAnsi="仿宋" w:eastAsia="仿宋" w:cs="仿宋"/>
                <w:sz w:val="21"/>
                <w:szCs w:val="21"/>
              </w:rPr>
            </w:pPr>
            <w:r>
              <w:rPr>
                <w:rFonts w:hint="eastAsia" w:ascii="仿宋" w:hAnsi="仿宋" w:eastAsia="仿宋" w:cs="仿宋"/>
                <w:sz w:val="21"/>
                <w:szCs w:val="21"/>
              </w:rPr>
              <w:t>系统运行情况表</w:t>
            </w:r>
          </w:p>
        </w:tc>
      </w:tr>
      <w:tr w14:paraId="1DCA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7DEDCB36">
            <w:pPr>
              <w:jc w:val="center"/>
              <w:rPr>
                <w:rFonts w:ascii="仿宋" w:hAnsi="仿宋" w:eastAsia="仿宋" w:cs="仿宋"/>
                <w:sz w:val="21"/>
                <w:szCs w:val="21"/>
              </w:rPr>
            </w:pPr>
          </w:p>
        </w:tc>
        <w:tc>
          <w:tcPr>
            <w:tcW w:w="1196" w:type="pct"/>
            <w:vMerge w:val="continue"/>
            <w:vAlign w:val="center"/>
          </w:tcPr>
          <w:p w14:paraId="2699CE21">
            <w:pPr>
              <w:jc w:val="center"/>
              <w:rPr>
                <w:rFonts w:ascii="仿宋" w:hAnsi="仿宋" w:eastAsia="仿宋" w:cs="仿宋"/>
                <w:sz w:val="21"/>
                <w:szCs w:val="21"/>
              </w:rPr>
            </w:pPr>
          </w:p>
        </w:tc>
        <w:tc>
          <w:tcPr>
            <w:tcW w:w="1858" w:type="pct"/>
            <w:vAlign w:val="center"/>
          </w:tcPr>
          <w:p w14:paraId="75859709">
            <w:pPr>
              <w:jc w:val="center"/>
              <w:rPr>
                <w:rFonts w:ascii="仿宋" w:hAnsi="仿宋" w:eastAsia="仿宋" w:cs="仿宋"/>
                <w:sz w:val="21"/>
                <w:szCs w:val="21"/>
              </w:rPr>
            </w:pPr>
            <w:r>
              <w:rPr>
                <w:rFonts w:hint="eastAsia" w:ascii="仿宋" w:hAnsi="仿宋" w:eastAsia="仿宋" w:cs="仿宋"/>
                <w:sz w:val="21"/>
                <w:szCs w:val="21"/>
              </w:rPr>
              <w:t>故障排查</w:t>
            </w:r>
          </w:p>
        </w:tc>
        <w:tc>
          <w:tcPr>
            <w:tcW w:w="1521" w:type="pct"/>
            <w:vAlign w:val="center"/>
          </w:tcPr>
          <w:p w14:paraId="21002650">
            <w:pPr>
              <w:jc w:val="center"/>
              <w:rPr>
                <w:rFonts w:ascii="仿宋" w:hAnsi="仿宋" w:eastAsia="仿宋" w:cs="仿宋"/>
                <w:sz w:val="21"/>
                <w:szCs w:val="21"/>
              </w:rPr>
            </w:pPr>
            <w:r>
              <w:rPr>
                <w:rFonts w:hint="eastAsia" w:ascii="仿宋" w:hAnsi="仿宋" w:eastAsia="仿宋" w:cs="仿宋"/>
                <w:sz w:val="21"/>
                <w:szCs w:val="21"/>
              </w:rPr>
              <w:t>故障排查单</w:t>
            </w:r>
          </w:p>
        </w:tc>
      </w:tr>
      <w:tr w14:paraId="5F1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7F0BA748">
            <w:pPr>
              <w:jc w:val="center"/>
              <w:rPr>
                <w:rFonts w:ascii="仿宋" w:hAnsi="仿宋" w:eastAsia="仿宋" w:cs="仿宋"/>
                <w:sz w:val="21"/>
                <w:szCs w:val="21"/>
              </w:rPr>
            </w:pPr>
          </w:p>
        </w:tc>
        <w:tc>
          <w:tcPr>
            <w:tcW w:w="1196" w:type="pct"/>
            <w:vMerge w:val="continue"/>
            <w:vAlign w:val="center"/>
          </w:tcPr>
          <w:p w14:paraId="7D1D676B">
            <w:pPr>
              <w:jc w:val="center"/>
              <w:rPr>
                <w:rFonts w:ascii="仿宋" w:hAnsi="仿宋" w:eastAsia="仿宋" w:cs="仿宋"/>
                <w:sz w:val="21"/>
                <w:szCs w:val="21"/>
              </w:rPr>
            </w:pPr>
          </w:p>
        </w:tc>
        <w:tc>
          <w:tcPr>
            <w:tcW w:w="1858" w:type="pct"/>
            <w:vAlign w:val="center"/>
          </w:tcPr>
          <w:p w14:paraId="6C157439">
            <w:pPr>
              <w:jc w:val="center"/>
              <w:rPr>
                <w:rFonts w:ascii="仿宋" w:hAnsi="仿宋" w:eastAsia="仿宋" w:cs="仿宋"/>
                <w:sz w:val="21"/>
                <w:szCs w:val="21"/>
              </w:rPr>
            </w:pPr>
            <w:r>
              <w:rPr>
                <w:rFonts w:hint="eastAsia" w:ascii="仿宋" w:hAnsi="仿宋" w:eastAsia="仿宋" w:cs="仿宋"/>
                <w:sz w:val="21"/>
                <w:szCs w:val="21"/>
              </w:rPr>
              <w:t>问题解答</w:t>
            </w:r>
          </w:p>
        </w:tc>
        <w:tc>
          <w:tcPr>
            <w:tcW w:w="1521" w:type="pct"/>
            <w:vAlign w:val="center"/>
          </w:tcPr>
          <w:p w14:paraId="0E188E65">
            <w:pPr>
              <w:jc w:val="center"/>
              <w:rPr>
                <w:rFonts w:ascii="仿宋" w:hAnsi="仿宋" w:eastAsia="仿宋" w:cs="仿宋"/>
                <w:sz w:val="21"/>
                <w:szCs w:val="21"/>
              </w:rPr>
            </w:pPr>
            <w:r>
              <w:rPr>
                <w:rFonts w:hint="eastAsia" w:ascii="仿宋" w:hAnsi="仿宋" w:eastAsia="仿宋" w:cs="仿宋"/>
                <w:sz w:val="21"/>
                <w:szCs w:val="21"/>
              </w:rPr>
              <w:t>服务记录</w:t>
            </w:r>
          </w:p>
        </w:tc>
      </w:tr>
      <w:tr w14:paraId="449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39D24224">
            <w:pPr>
              <w:jc w:val="center"/>
              <w:rPr>
                <w:rFonts w:ascii="仿宋" w:hAnsi="仿宋" w:eastAsia="仿宋" w:cs="仿宋"/>
                <w:sz w:val="21"/>
                <w:szCs w:val="21"/>
              </w:rPr>
            </w:pPr>
          </w:p>
        </w:tc>
        <w:tc>
          <w:tcPr>
            <w:tcW w:w="1196" w:type="pct"/>
            <w:vMerge w:val="continue"/>
            <w:vAlign w:val="center"/>
          </w:tcPr>
          <w:p w14:paraId="5240200A">
            <w:pPr>
              <w:jc w:val="center"/>
              <w:rPr>
                <w:rFonts w:ascii="仿宋" w:hAnsi="仿宋" w:eastAsia="仿宋" w:cs="仿宋"/>
                <w:sz w:val="21"/>
                <w:szCs w:val="21"/>
              </w:rPr>
            </w:pPr>
          </w:p>
        </w:tc>
        <w:tc>
          <w:tcPr>
            <w:tcW w:w="1858" w:type="pct"/>
            <w:vAlign w:val="center"/>
          </w:tcPr>
          <w:p w14:paraId="011A0BFC">
            <w:pPr>
              <w:jc w:val="center"/>
              <w:rPr>
                <w:rFonts w:ascii="仿宋" w:hAnsi="仿宋" w:eastAsia="仿宋" w:cs="仿宋"/>
                <w:sz w:val="21"/>
                <w:szCs w:val="21"/>
              </w:rPr>
            </w:pPr>
            <w:r>
              <w:rPr>
                <w:rFonts w:hint="eastAsia" w:ascii="仿宋" w:hAnsi="仿宋" w:eastAsia="仿宋" w:cs="仿宋"/>
                <w:sz w:val="21"/>
                <w:szCs w:val="21"/>
              </w:rPr>
              <w:t>系统培训</w:t>
            </w:r>
          </w:p>
        </w:tc>
        <w:tc>
          <w:tcPr>
            <w:tcW w:w="1521" w:type="pct"/>
            <w:vAlign w:val="center"/>
          </w:tcPr>
          <w:p w14:paraId="5F4A68AF">
            <w:pPr>
              <w:jc w:val="center"/>
              <w:rPr>
                <w:rFonts w:ascii="仿宋" w:hAnsi="仿宋" w:eastAsia="仿宋" w:cs="仿宋"/>
                <w:sz w:val="21"/>
                <w:szCs w:val="21"/>
              </w:rPr>
            </w:pPr>
            <w:r>
              <w:rPr>
                <w:rFonts w:hint="eastAsia" w:ascii="仿宋" w:hAnsi="仿宋" w:eastAsia="仿宋" w:cs="仿宋"/>
                <w:sz w:val="21"/>
                <w:szCs w:val="21"/>
              </w:rPr>
              <w:t>系统培训记录单</w:t>
            </w:r>
          </w:p>
        </w:tc>
      </w:tr>
      <w:tr w14:paraId="74C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1FF21083">
            <w:pPr>
              <w:jc w:val="center"/>
              <w:rPr>
                <w:rFonts w:ascii="仿宋" w:hAnsi="仿宋" w:eastAsia="仿宋" w:cs="仿宋"/>
                <w:sz w:val="21"/>
                <w:szCs w:val="21"/>
              </w:rPr>
            </w:pPr>
          </w:p>
        </w:tc>
        <w:tc>
          <w:tcPr>
            <w:tcW w:w="1196" w:type="pct"/>
            <w:vMerge w:val="continue"/>
            <w:vAlign w:val="center"/>
          </w:tcPr>
          <w:p w14:paraId="247041D7">
            <w:pPr>
              <w:jc w:val="center"/>
              <w:rPr>
                <w:rFonts w:ascii="仿宋" w:hAnsi="仿宋" w:eastAsia="仿宋" w:cs="仿宋"/>
                <w:sz w:val="21"/>
                <w:szCs w:val="21"/>
              </w:rPr>
            </w:pPr>
          </w:p>
        </w:tc>
        <w:tc>
          <w:tcPr>
            <w:tcW w:w="1858" w:type="pct"/>
            <w:vAlign w:val="center"/>
          </w:tcPr>
          <w:p w14:paraId="019A9D31">
            <w:pPr>
              <w:jc w:val="center"/>
              <w:rPr>
                <w:rFonts w:ascii="仿宋" w:hAnsi="仿宋" w:eastAsia="仿宋" w:cs="仿宋"/>
                <w:sz w:val="21"/>
                <w:szCs w:val="21"/>
              </w:rPr>
            </w:pPr>
            <w:r>
              <w:rPr>
                <w:rFonts w:hint="eastAsia" w:ascii="仿宋" w:hAnsi="仿宋" w:eastAsia="仿宋" w:cs="仿宋"/>
                <w:sz w:val="21"/>
                <w:szCs w:val="21"/>
              </w:rPr>
              <w:t>需求采集</w:t>
            </w:r>
          </w:p>
        </w:tc>
        <w:tc>
          <w:tcPr>
            <w:tcW w:w="1521" w:type="pct"/>
            <w:vAlign w:val="center"/>
          </w:tcPr>
          <w:p w14:paraId="238D0A3D">
            <w:pPr>
              <w:jc w:val="center"/>
              <w:rPr>
                <w:rFonts w:ascii="仿宋" w:hAnsi="仿宋" w:eastAsia="仿宋" w:cs="仿宋"/>
                <w:sz w:val="21"/>
                <w:szCs w:val="21"/>
              </w:rPr>
            </w:pPr>
            <w:r>
              <w:rPr>
                <w:rFonts w:hint="eastAsia" w:ascii="仿宋" w:hAnsi="仿宋" w:eastAsia="仿宋" w:cs="仿宋"/>
                <w:sz w:val="21"/>
                <w:szCs w:val="21"/>
              </w:rPr>
              <w:t>业务需求单</w:t>
            </w:r>
          </w:p>
        </w:tc>
      </w:tr>
      <w:tr w14:paraId="337D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vAlign w:val="center"/>
          </w:tcPr>
          <w:p w14:paraId="32AF81C6">
            <w:pPr>
              <w:jc w:val="center"/>
              <w:rPr>
                <w:rFonts w:ascii="仿宋" w:hAnsi="仿宋" w:eastAsia="仿宋" w:cs="仿宋"/>
                <w:sz w:val="21"/>
                <w:szCs w:val="21"/>
              </w:rPr>
            </w:pPr>
            <w:r>
              <w:rPr>
                <w:rFonts w:hint="eastAsia" w:ascii="仿宋" w:hAnsi="仿宋" w:eastAsia="仿宋" w:cs="仿宋"/>
                <w:sz w:val="21"/>
                <w:szCs w:val="21"/>
              </w:rPr>
              <w:t>2</w:t>
            </w:r>
          </w:p>
        </w:tc>
        <w:tc>
          <w:tcPr>
            <w:tcW w:w="1196" w:type="pct"/>
            <w:vMerge w:val="restart"/>
            <w:vAlign w:val="center"/>
          </w:tcPr>
          <w:p w14:paraId="12125A15">
            <w:pPr>
              <w:jc w:val="center"/>
              <w:rPr>
                <w:rFonts w:ascii="仿宋" w:hAnsi="仿宋" w:eastAsia="仿宋" w:cs="仿宋"/>
                <w:sz w:val="21"/>
                <w:szCs w:val="21"/>
              </w:rPr>
            </w:pPr>
            <w:r>
              <w:rPr>
                <w:rFonts w:hint="eastAsia" w:ascii="仿宋" w:hAnsi="仿宋" w:eastAsia="仿宋" w:cs="仿宋"/>
                <w:sz w:val="21"/>
                <w:szCs w:val="21"/>
              </w:rPr>
              <w:t>数据日常运维</w:t>
            </w:r>
          </w:p>
        </w:tc>
        <w:tc>
          <w:tcPr>
            <w:tcW w:w="1858" w:type="pct"/>
            <w:vAlign w:val="center"/>
          </w:tcPr>
          <w:p w14:paraId="6516803D">
            <w:pPr>
              <w:jc w:val="center"/>
              <w:rPr>
                <w:rFonts w:ascii="仿宋" w:hAnsi="仿宋" w:eastAsia="仿宋" w:cs="仿宋"/>
                <w:sz w:val="21"/>
                <w:szCs w:val="21"/>
              </w:rPr>
            </w:pPr>
            <w:r>
              <w:rPr>
                <w:rFonts w:hint="eastAsia" w:ascii="仿宋" w:hAnsi="仿宋" w:eastAsia="仿宋" w:cs="仿宋"/>
                <w:sz w:val="21"/>
                <w:szCs w:val="21"/>
              </w:rPr>
              <w:t>数据库资源及运行状态监控</w:t>
            </w:r>
          </w:p>
        </w:tc>
        <w:tc>
          <w:tcPr>
            <w:tcW w:w="1521" w:type="pct"/>
            <w:vMerge w:val="restart"/>
            <w:vAlign w:val="center"/>
          </w:tcPr>
          <w:p w14:paraId="2B428F3C">
            <w:pPr>
              <w:jc w:val="center"/>
              <w:rPr>
                <w:rFonts w:ascii="仿宋" w:hAnsi="仿宋" w:eastAsia="仿宋" w:cs="仿宋"/>
                <w:sz w:val="21"/>
                <w:szCs w:val="21"/>
              </w:rPr>
            </w:pPr>
            <w:r>
              <w:rPr>
                <w:rFonts w:hint="eastAsia" w:ascii="仿宋" w:hAnsi="仿宋" w:eastAsia="仿宋" w:cs="仿宋"/>
                <w:sz w:val="21"/>
                <w:szCs w:val="21"/>
              </w:rPr>
              <w:t>系统数据库巡检单</w:t>
            </w:r>
          </w:p>
        </w:tc>
      </w:tr>
      <w:tr w14:paraId="52E5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79529DB9">
            <w:pPr>
              <w:jc w:val="center"/>
              <w:rPr>
                <w:rFonts w:ascii="仿宋" w:hAnsi="仿宋" w:eastAsia="仿宋" w:cs="仿宋"/>
                <w:sz w:val="21"/>
                <w:szCs w:val="21"/>
              </w:rPr>
            </w:pPr>
          </w:p>
        </w:tc>
        <w:tc>
          <w:tcPr>
            <w:tcW w:w="1196" w:type="pct"/>
            <w:vMerge w:val="continue"/>
            <w:vAlign w:val="center"/>
          </w:tcPr>
          <w:p w14:paraId="7179C03C">
            <w:pPr>
              <w:jc w:val="center"/>
              <w:rPr>
                <w:rFonts w:ascii="仿宋" w:hAnsi="仿宋" w:eastAsia="仿宋" w:cs="仿宋"/>
                <w:sz w:val="21"/>
                <w:szCs w:val="21"/>
              </w:rPr>
            </w:pPr>
          </w:p>
        </w:tc>
        <w:tc>
          <w:tcPr>
            <w:tcW w:w="1858" w:type="pct"/>
            <w:vAlign w:val="center"/>
          </w:tcPr>
          <w:p w14:paraId="66D0ABB7">
            <w:pPr>
              <w:jc w:val="center"/>
              <w:rPr>
                <w:rFonts w:ascii="仿宋" w:hAnsi="仿宋" w:eastAsia="仿宋" w:cs="仿宋"/>
                <w:sz w:val="21"/>
                <w:szCs w:val="21"/>
              </w:rPr>
            </w:pPr>
            <w:r>
              <w:rPr>
                <w:rFonts w:hint="eastAsia" w:ascii="仿宋" w:hAnsi="仿宋" w:eastAsia="仿宋" w:cs="仿宋"/>
                <w:sz w:val="21"/>
                <w:szCs w:val="21"/>
              </w:rPr>
              <w:t>数据备份检查</w:t>
            </w:r>
          </w:p>
        </w:tc>
        <w:tc>
          <w:tcPr>
            <w:tcW w:w="1521" w:type="pct"/>
            <w:vMerge w:val="continue"/>
            <w:vAlign w:val="center"/>
          </w:tcPr>
          <w:p w14:paraId="6E58774D">
            <w:pPr>
              <w:jc w:val="center"/>
              <w:rPr>
                <w:rFonts w:ascii="仿宋" w:hAnsi="仿宋" w:eastAsia="仿宋" w:cs="仿宋"/>
                <w:sz w:val="21"/>
                <w:szCs w:val="21"/>
              </w:rPr>
            </w:pPr>
          </w:p>
        </w:tc>
      </w:tr>
      <w:tr w14:paraId="311A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503AEA2A">
            <w:pPr>
              <w:jc w:val="center"/>
              <w:rPr>
                <w:rFonts w:ascii="仿宋" w:hAnsi="仿宋" w:eastAsia="仿宋" w:cs="仿宋"/>
                <w:sz w:val="21"/>
                <w:szCs w:val="21"/>
              </w:rPr>
            </w:pPr>
          </w:p>
        </w:tc>
        <w:tc>
          <w:tcPr>
            <w:tcW w:w="1196" w:type="pct"/>
            <w:vMerge w:val="continue"/>
            <w:vAlign w:val="center"/>
          </w:tcPr>
          <w:p w14:paraId="7F36369A">
            <w:pPr>
              <w:jc w:val="center"/>
              <w:rPr>
                <w:rFonts w:ascii="仿宋" w:hAnsi="仿宋" w:eastAsia="仿宋" w:cs="仿宋"/>
                <w:sz w:val="21"/>
                <w:szCs w:val="21"/>
              </w:rPr>
            </w:pPr>
          </w:p>
        </w:tc>
        <w:tc>
          <w:tcPr>
            <w:tcW w:w="1858" w:type="pct"/>
            <w:vAlign w:val="center"/>
          </w:tcPr>
          <w:p w14:paraId="5DD9C0FB">
            <w:pPr>
              <w:jc w:val="center"/>
              <w:rPr>
                <w:rFonts w:ascii="仿宋" w:hAnsi="仿宋" w:eastAsia="仿宋" w:cs="仿宋"/>
                <w:sz w:val="21"/>
                <w:szCs w:val="21"/>
              </w:rPr>
            </w:pPr>
            <w:r>
              <w:rPr>
                <w:rFonts w:hint="eastAsia" w:ascii="仿宋" w:hAnsi="仿宋" w:eastAsia="仿宋" w:cs="仿宋"/>
                <w:sz w:val="21"/>
                <w:szCs w:val="21"/>
              </w:rPr>
              <w:t>优化数据表</w:t>
            </w:r>
          </w:p>
        </w:tc>
        <w:tc>
          <w:tcPr>
            <w:tcW w:w="1521" w:type="pct"/>
            <w:vMerge w:val="restart"/>
            <w:vAlign w:val="center"/>
          </w:tcPr>
          <w:p w14:paraId="05CD53F3">
            <w:pPr>
              <w:jc w:val="center"/>
              <w:rPr>
                <w:rFonts w:ascii="仿宋" w:hAnsi="仿宋" w:eastAsia="仿宋" w:cs="仿宋"/>
                <w:sz w:val="21"/>
                <w:szCs w:val="21"/>
              </w:rPr>
            </w:pPr>
            <w:r>
              <w:rPr>
                <w:rFonts w:hint="eastAsia" w:ascii="仿宋" w:hAnsi="仿宋" w:eastAsia="仿宋" w:cs="仿宋"/>
                <w:sz w:val="21"/>
                <w:szCs w:val="21"/>
              </w:rPr>
              <w:t>优化及清理记录单</w:t>
            </w:r>
          </w:p>
        </w:tc>
      </w:tr>
      <w:tr w14:paraId="6CFA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5739D861">
            <w:pPr>
              <w:jc w:val="center"/>
              <w:rPr>
                <w:rFonts w:ascii="仿宋" w:hAnsi="仿宋" w:eastAsia="仿宋" w:cs="仿宋"/>
                <w:sz w:val="21"/>
                <w:szCs w:val="21"/>
              </w:rPr>
            </w:pPr>
          </w:p>
        </w:tc>
        <w:tc>
          <w:tcPr>
            <w:tcW w:w="1196" w:type="pct"/>
            <w:vMerge w:val="continue"/>
            <w:vAlign w:val="center"/>
          </w:tcPr>
          <w:p w14:paraId="612EECFC">
            <w:pPr>
              <w:jc w:val="center"/>
              <w:rPr>
                <w:rFonts w:ascii="仿宋" w:hAnsi="仿宋" w:eastAsia="仿宋" w:cs="仿宋"/>
                <w:sz w:val="21"/>
                <w:szCs w:val="21"/>
              </w:rPr>
            </w:pPr>
          </w:p>
        </w:tc>
        <w:tc>
          <w:tcPr>
            <w:tcW w:w="1858" w:type="pct"/>
            <w:vAlign w:val="center"/>
          </w:tcPr>
          <w:p w14:paraId="60466107">
            <w:pPr>
              <w:jc w:val="center"/>
              <w:rPr>
                <w:rFonts w:ascii="仿宋" w:hAnsi="仿宋" w:eastAsia="仿宋" w:cs="仿宋"/>
                <w:sz w:val="21"/>
                <w:szCs w:val="21"/>
              </w:rPr>
            </w:pPr>
            <w:r>
              <w:rPr>
                <w:rFonts w:hint="eastAsia" w:ascii="仿宋" w:hAnsi="仿宋" w:eastAsia="仿宋" w:cs="仿宋"/>
                <w:sz w:val="21"/>
                <w:szCs w:val="21"/>
              </w:rPr>
              <w:t>优化数据查询性能</w:t>
            </w:r>
          </w:p>
        </w:tc>
        <w:tc>
          <w:tcPr>
            <w:tcW w:w="1521" w:type="pct"/>
            <w:vMerge w:val="continue"/>
            <w:vAlign w:val="center"/>
          </w:tcPr>
          <w:p w14:paraId="07052F73">
            <w:pPr>
              <w:jc w:val="center"/>
              <w:rPr>
                <w:rFonts w:ascii="仿宋" w:hAnsi="仿宋" w:eastAsia="仿宋" w:cs="仿宋"/>
                <w:sz w:val="21"/>
                <w:szCs w:val="21"/>
              </w:rPr>
            </w:pPr>
          </w:p>
        </w:tc>
      </w:tr>
      <w:tr w14:paraId="70A2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4E634737">
            <w:pPr>
              <w:jc w:val="center"/>
              <w:rPr>
                <w:rFonts w:ascii="仿宋" w:hAnsi="仿宋" w:eastAsia="仿宋" w:cs="仿宋"/>
                <w:sz w:val="21"/>
                <w:szCs w:val="21"/>
              </w:rPr>
            </w:pPr>
          </w:p>
        </w:tc>
        <w:tc>
          <w:tcPr>
            <w:tcW w:w="1196" w:type="pct"/>
            <w:vMerge w:val="continue"/>
            <w:vAlign w:val="center"/>
          </w:tcPr>
          <w:p w14:paraId="51AFED4F">
            <w:pPr>
              <w:jc w:val="center"/>
              <w:rPr>
                <w:rFonts w:ascii="仿宋" w:hAnsi="仿宋" w:eastAsia="仿宋" w:cs="仿宋"/>
                <w:sz w:val="21"/>
                <w:szCs w:val="21"/>
              </w:rPr>
            </w:pPr>
          </w:p>
        </w:tc>
        <w:tc>
          <w:tcPr>
            <w:tcW w:w="1858" w:type="pct"/>
            <w:vAlign w:val="center"/>
          </w:tcPr>
          <w:p w14:paraId="652FD1DA">
            <w:pPr>
              <w:jc w:val="center"/>
              <w:rPr>
                <w:rFonts w:ascii="仿宋" w:hAnsi="仿宋" w:eastAsia="仿宋" w:cs="仿宋"/>
                <w:sz w:val="21"/>
                <w:szCs w:val="21"/>
              </w:rPr>
            </w:pPr>
            <w:r>
              <w:rPr>
                <w:rFonts w:hint="eastAsia" w:ascii="仿宋" w:hAnsi="仿宋" w:eastAsia="仿宋" w:cs="仿宋"/>
                <w:sz w:val="21"/>
                <w:szCs w:val="21"/>
              </w:rPr>
              <w:t>清理临时表单</w:t>
            </w:r>
          </w:p>
        </w:tc>
        <w:tc>
          <w:tcPr>
            <w:tcW w:w="1521" w:type="pct"/>
            <w:vMerge w:val="continue"/>
            <w:vAlign w:val="center"/>
          </w:tcPr>
          <w:p w14:paraId="76929672">
            <w:pPr>
              <w:jc w:val="center"/>
              <w:rPr>
                <w:rFonts w:ascii="仿宋" w:hAnsi="仿宋" w:eastAsia="仿宋" w:cs="仿宋"/>
                <w:sz w:val="21"/>
                <w:szCs w:val="21"/>
              </w:rPr>
            </w:pPr>
          </w:p>
        </w:tc>
      </w:tr>
      <w:tr w14:paraId="542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2864C1CE">
            <w:pPr>
              <w:jc w:val="center"/>
              <w:rPr>
                <w:rFonts w:ascii="仿宋" w:hAnsi="仿宋" w:eastAsia="仿宋" w:cs="仿宋"/>
                <w:sz w:val="21"/>
                <w:szCs w:val="21"/>
              </w:rPr>
            </w:pPr>
          </w:p>
        </w:tc>
        <w:tc>
          <w:tcPr>
            <w:tcW w:w="1196" w:type="pct"/>
            <w:vMerge w:val="continue"/>
            <w:vAlign w:val="center"/>
          </w:tcPr>
          <w:p w14:paraId="3C6BC065">
            <w:pPr>
              <w:jc w:val="center"/>
              <w:rPr>
                <w:rFonts w:ascii="仿宋" w:hAnsi="仿宋" w:eastAsia="仿宋" w:cs="仿宋"/>
                <w:sz w:val="21"/>
                <w:szCs w:val="21"/>
              </w:rPr>
            </w:pPr>
          </w:p>
        </w:tc>
        <w:tc>
          <w:tcPr>
            <w:tcW w:w="1858" w:type="pct"/>
            <w:vAlign w:val="center"/>
          </w:tcPr>
          <w:p w14:paraId="0CC0C440">
            <w:pPr>
              <w:jc w:val="center"/>
              <w:rPr>
                <w:rFonts w:ascii="仿宋" w:hAnsi="仿宋" w:eastAsia="仿宋" w:cs="仿宋"/>
                <w:sz w:val="21"/>
                <w:szCs w:val="21"/>
              </w:rPr>
            </w:pPr>
            <w:r>
              <w:rPr>
                <w:rFonts w:hint="eastAsia" w:ascii="仿宋" w:hAnsi="仿宋" w:eastAsia="仿宋" w:cs="仿宋"/>
                <w:sz w:val="21"/>
                <w:szCs w:val="21"/>
              </w:rPr>
              <w:t>数据安全检查</w:t>
            </w:r>
          </w:p>
        </w:tc>
        <w:tc>
          <w:tcPr>
            <w:tcW w:w="1521" w:type="pct"/>
            <w:vMerge w:val="restart"/>
            <w:vAlign w:val="center"/>
          </w:tcPr>
          <w:p w14:paraId="5A3591C2">
            <w:pPr>
              <w:jc w:val="center"/>
              <w:rPr>
                <w:rFonts w:ascii="仿宋" w:hAnsi="仿宋" w:eastAsia="仿宋" w:cs="仿宋"/>
                <w:sz w:val="21"/>
                <w:szCs w:val="21"/>
              </w:rPr>
            </w:pPr>
            <w:r>
              <w:rPr>
                <w:rFonts w:hint="eastAsia" w:ascii="仿宋" w:hAnsi="仿宋" w:eastAsia="仿宋" w:cs="仿宋"/>
                <w:sz w:val="21"/>
                <w:szCs w:val="21"/>
              </w:rPr>
              <w:t>数据检查记录单</w:t>
            </w:r>
          </w:p>
        </w:tc>
      </w:tr>
      <w:tr w14:paraId="1F3C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41076F24">
            <w:pPr>
              <w:jc w:val="center"/>
              <w:rPr>
                <w:rFonts w:ascii="仿宋" w:hAnsi="仿宋" w:eastAsia="仿宋" w:cs="仿宋"/>
                <w:sz w:val="21"/>
                <w:szCs w:val="21"/>
              </w:rPr>
            </w:pPr>
          </w:p>
        </w:tc>
        <w:tc>
          <w:tcPr>
            <w:tcW w:w="1196" w:type="pct"/>
            <w:vMerge w:val="continue"/>
            <w:vAlign w:val="center"/>
          </w:tcPr>
          <w:p w14:paraId="553F98BC">
            <w:pPr>
              <w:jc w:val="center"/>
              <w:rPr>
                <w:rFonts w:ascii="仿宋" w:hAnsi="仿宋" w:eastAsia="仿宋" w:cs="仿宋"/>
                <w:sz w:val="21"/>
                <w:szCs w:val="21"/>
              </w:rPr>
            </w:pPr>
          </w:p>
        </w:tc>
        <w:tc>
          <w:tcPr>
            <w:tcW w:w="1858" w:type="pct"/>
            <w:vAlign w:val="center"/>
          </w:tcPr>
          <w:p w14:paraId="03D34A47">
            <w:pPr>
              <w:jc w:val="center"/>
              <w:rPr>
                <w:rFonts w:ascii="仿宋" w:hAnsi="仿宋" w:eastAsia="仿宋" w:cs="仿宋"/>
                <w:sz w:val="21"/>
                <w:szCs w:val="21"/>
              </w:rPr>
            </w:pPr>
            <w:r>
              <w:rPr>
                <w:rFonts w:hint="eastAsia" w:ascii="仿宋" w:hAnsi="仿宋" w:eastAsia="仿宋" w:cs="仿宋"/>
                <w:sz w:val="21"/>
                <w:szCs w:val="21"/>
              </w:rPr>
              <w:t>数据备份与恢复</w:t>
            </w:r>
          </w:p>
        </w:tc>
        <w:tc>
          <w:tcPr>
            <w:tcW w:w="1521" w:type="pct"/>
            <w:vMerge w:val="continue"/>
            <w:vAlign w:val="center"/>
          </w:tcPr>
          <w:p w14:paraId="5BD5416F">
            <w:pPr>
              <w:jc w:val="center"/>
              <w:rPr>
                <w:rFonts w:ascii="仿宋" w:hAnsi="仿宋" w:eastAsia="仿宋" w:cs="仿宋"/>
                <w:sz w:val="21"/>
                <w:szCs w:val="21"/>
              </w:rPr>
            </w:pPr>
          </w:p>
        </w:tc>
      </w:tr>
      <w:tr w14:paraId="06DC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bottom w:val="single" w:color="auto" w:sz="4" w:space="0"/>
            </w:tcBorders>
            <w:vAlign w:val="center"/>
          </w:tcPr>
          <w:p w14:paraId="62FC8B21">
            <w:pPr>
              <w:jc w:val="center"/>
              <w:rPr>
                <w:rFonts w:ascii="仿宋" w:hAnsi="仿宋" w:eastAsia="仿宋" w:cs="仿宋"/>
                <w:sz w:val="21"/>
                <w:szCs w:val="21"/>
              </w:rPr>
            </w:pPr>
          </w:p>
        </w:tc>
        <w:tc>
          <w:tcPr>
            <w:tcW w:w="1196" w:type="pct"/>
            <w:vMerge w:val="continue"/>
            <w:tcBorders>
              <w:bottom w:val="single" w:color="auto" w:sz="4" w:space="0"/>
            </w:tcBorders>
            <w:vAlign w:val="center"/>
          </w:tcPr>
          <w:p w14:paraId="0D72680E">
            <w:pPr>
              <w:jc w:val="center"/>
              <w:rPr>
                <w:rFonts w:ascii="仿宋" w:hAnsi="仿宋" w:eastAsia="仿宋" w:cs="仿宋"/>
                <w:sz w:val="21"/>
                <w:szCs w:val="21"/>
              </w:rPr>
            </w:pPr>
          </w:p>
        </w:tc>
        <w:tc>
          <w:tcPr>
            <w:tcW w:w="1858" w:type="pct"/>
            <w:tcBorders>
              <w:bottom w:val="single" w:color="auto" w:sz="4" w:space="0"/>
            </w:tcBorders>
            <w:vAlign w:val="center"/>
          </w:tcPr>
          <w:p w14:paraId="790E863F">
            <w:pPr>
              <w:jc w:val="center"/>
              <w:rPr>
                <w:rFonts w:ascii="仿宋" w:hAnsi="仿宋" w:eastAsia="仿宋" w:cs="仿宋"/>
                <w:sz w:val="21"/>
                <w:szCs w:val="21"/>
              </w:rPr>
            </w:pPr>
            <w:r>
              <w:rPr>
                <w:rFonts w:hint="eastAsia" w:ascii="仿宋" w:hAnsi="仿宋" w:eastAsia="仿宋" w:cs="仿宋"/>
                <w:sz w:val="21"/>
                <w:szCs w:val="21"/>
              </w:rPr>
              <w:t>数据共享同步</w:t>
            </w:r>
          </w:p>
        </w:tc>
        <w:tc>
          <w:tcPr>
            <w:tcW w:w="1521" w:type="pct"/>
            <w:vMerge w:val="continue"/>
            <w:tcBorders>
              <w:bottom w:val="single" w:color="auto" w:sz="4" w:space="0"/>
            </w:tcBorders>
            <w:vAlign w:val="center"/>
          </w:tcPr>
          <w:p w14:paraId="3D4122B0">
            <w:pPr>
              <w:jc w:val="center"/>
              <w:rPr>
                <w:rFonts w:ascii="仿宋" w:hAnsi="仿宋" w:eastAsia="仿宋" w:cs="仿宋"/>
                <w:sz w:val="21"/>
                <w:szCs w:val="21"/>
              </w:rPr>
            </w:pPr>
          </w:p>
        </w:tc>
      </w:tr>
      <w:tr w14:paraId="35BD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vAlign w:val="center"/>
          </w:tcPr>
          <w:p w14:paraId="5449AB8E">
            <w:pPr>
              <w:jc w:val="center"/>
              <w:rPr>
                <w:rFonts w:ascii="仿宋" w:hAnsi="仿宋" w:eastAsia="仿宋" w:cs="仿宋"/>
                <w:sz w:val="21"/>
                <w:szCs w:val="21"/>
              </w:rPr>
            </w:pPr>
            <w:r>
              <w:rPr>
                <w:rFonts w:hint="eastAsia" w:ascii="仿宋" w:hAnsi="仿宋" w:eastAsia="仿宋" w:cs="仿宋"/>
                <w:sz w:val="21"/>
                <w:szCs w:val="21"/>
              </w:rPr>
              <w:t>3</w:t>
            </w:r>
          </w:p>
        </w:tc>
        <w:tc>
          <w:tcPr>
            <w:tcW w:w="1196" w:type="pct"/>
            <w:vMerge w:val="restart"/>
            <w:vAlign w:val="center"/>
          </w:tcPr>
          <w:p w14:paraId="294742AD">
            <w:pPr>
              <w:jc w:val="center"/>
              <w:rPr>
                <w:rFonts w:ascii="仿宋" w:hAnsi="仿宋" w:eastAsia="仿宋" w:cs="仿宋"/>
                <w:sz w:val="21"/>
                <w:szCs w:val="21"/>
              </w:rPr>
            </w:pPr>
            <w:r>
              <w:rPr>
                <w:rFonts w:hint="eastAsia" w:ascii="仿宋" w:hAnsi="仿宋" w:eastAsia="仿宋" w:cs="仿宋"/>
                <w:sz w:val="21"/>
                <w:szCs w:val="21"/>
              </w:rPr>
              <w:t>功能完善</w:t>
            </w:r>
          </w:p>
        </w:tc>
        <w:tc>
          <w:tcPr>
            <w:tcW w:w="1858" w:type="pct"/>
            <w:vAlign w:val="center"/>
          </w:tcPr>
          <w:p w14:paraId="2DD5A364">
            <w:pPr>
              <w:jc w:val="center"/>
              <w:rPr>
                <w:rFonts w:ascii="仿宋" w:hAnsi="仿宋" w:eastAsia="仿宋" w:cs="仿宋"/>
                <w:sz w:val="21"/>
                <w:szCs w:val="21"/>
              </w:rPr>
            </w:pPr>
            <w:r>
              <w:rPr>
                <w:rFonts w:hint="eastAsia" w:ascii="仿宋" w:hAnsi="仿宋" w:eastAsia="仿宋" w:cs="仿宋"/>
                <w:sz w:val="21"/>
                <w:szCs w:val="21"/>
              </w:rPr>
              <w:t>新增需求</w:t>
            </w:r>
          </w:p>
        </w:tc>
        <w:tc>
          <w:tcPr>
            <w:tcW w:w="1521" w:type="pct"/>
            <w:vMerge w:val="restart"/>
            <w:vAlign w:val="center"/>
          </w:tcPr>
          <w:p w14:paraId="77EA042C">
            <w:pPr>
              <w:pStyle w:val="15"/>
              <w:spacing w:after="0"/>
              <w:jc w:val="center"/>
              <w:rPr>
                <w:rFonts w:ascii="仿宋" w:hAnsi="仿宋" w:eastAsia="仿宋" w:cs="仿宋"/>
                <w:szCs w:val="21"/>
              </w:rPr>
            </w:pPr>
            <w:r>
              <w:rPr>
                <w:rFonts w:hint="eastAsia" w:ascii="仿宋" w:hAnsi="仿宋" w:eastAsia="仿宋" w:cs="仿宋"/>
                <w:szCs w:val="21"/>
              </w:rPr>
              <w:t>需求设计方案</w:t>
            </w:r>
          </w:p>
          <w:p w14:paraId="67AF0BCF">
            <w:pPr>
              <w:pStyle w:val="15"/>
              <w:spacing w:after="0"/>
              <w:jc w:val="center"/>
              <w:rPr>
                <w:rFonts w:ascii="仿宋" w:hAnsi="仿宋" w:eastAsia="仿宋" w:cs="仿宋"/>
                <w:szCs w:val="21"/>
              </w:rPr>
            </w:pPr>
            <w:r>
              <w:rPr>
                <w:rFonts w:hint="eastAsia" w:ascii="仿宋" w:hAnsi="仿宋" w:eastAsia="仿宋" w:cs="仿宋"/>
                <w:szCs w:val="21"/>
              </w:rPr>
              <w:t>系统更新源代码</w:t>
            </w:r>
          </w:p>
          <w:p w14:paraId="4164FFE8">
            <w:pPr>
              <w:pStyle w:val="15"/>
              <w:spacing w:after="0"/>
              <w:jc w:val="center"/>
              <w:rPr>
                <w:rFonts w:ascii="仿宋" w:hAnsi="仿宋" w:eastAsia="仿宋" w:cs="仿宋"/>
                <w:szCs w:val="21"/>
              </w:rPr>
            </w:pPr>
            <w:r>
              <w:rPr>
                <w:rFonts w:hint="eastAsia" w:ascii="仿宋" w:hAnsi="仿宋" w:eastAsia="仿宋" w:cs="仿宋"/>
                <w:szCs w:val="21"/>
              </w:rPr>
              <w:t>测试分析报告</w:t>
            </w:r>
          </w:p>
          <w:p w14:paraId="5ABA3CD9">
            <w:pPr>
              <w:pStyle w:val="15"/>
              <w:spacing w:after="0"/>
              <w:jc w:val="center"/>
              <w:rPr>
                <w:rFonts w:ascii="仿宋" w:hAnsi="仿宋" w:eastAsia="仿宋" w:cs="仿宋"/>
                <w:szCs w:val="21"/>
              </w:rPr>
            </w:pPr>
            <w:r>
              <w:rPr>
                <w:rFonts w:hint="eastAsia" w:ascii="仿宋" w:hAnsi="仿宋" w:eastAsia="仿宋" w:cs="仿宋"/>
                <w:szCs w:val="21"/>
              </w:rPr>
              <w:t>更新上线报告</w:t>
            </w:r>
          </w:p>
        </w:tc>
      </w:tr>
      <w:tr w14:paraId="7E68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3798FD72">
            <w:pPr>
              <w:jc w:val="center"/>
              <w:rPr>
                <w:rFonts w:ascii="仿宋" w:hAnsi="仿宋" w:eastAsia="仿宋" w:cs="仿宋"/>
                <w:sz w:val="21"/>
                <w:szCs w:val="21"/>
              </w:rPr>
            </w:pPr>
          </w:p>
        </w:tc>
        <w:tc>
          <w:tcPr>
            <w:tcW w:w="1196" w:type="pct"/>
            <w:vMerge w:val="continue"/>
            <w:vAlign w:val="center"/>
          </w:tcPr>
          <w:p w14:paraId="033FDDA7">
            <w:pPr>
              <w:jc w:val="center"/>
              <w:rPr>
                <w:rFonts w:ascii="仿宋" w:hAnsi="仿宋" w:eastAsia="仿宋" w:cs="仿宋"/>
                <w:sz w:val="21"/>
                <w:szCs w:val="21"/>
              </w:rPr>
            </w:pPr>
          </w:p>
        </w:tc>
        <w:tc>
          <w:tcPr>
            <w:tcW w:w="1858" w:type="pct"/>
            <w:vAlign w:val="center"/>
          </w:tcPr>
          <w:p w14:paraId="4426FDF9">
            <w:pPr>
              <w:jc w:val="center"/>
              <w:rPr>
                <w:rFonts w:ascii="仿宋" w:hAnsi="仿宋" w:eastAsia="仿宋" w:cs="仿宋"/>
                <w:sz w:val="21"/>
                <w:szCs w:val="21"/>
              </w:rPr>
            </w:pPr>
            <w:r>
              <w:rPr>
                <w:rFonts w:hint="eastAsia" w:ascii="仿宋" w:hAnsi="仿宋" w:eastAsia="仿宋" w:cs="仿宋"/>
                <w:sz w:val="21"/>
                <w:szCs w:val="21"/>
              </w:rPr>
              <w:t>模块优化</w:t>
            </w:r>
          </w:p>
        </w:tc>
        <w:tc>
          <w:tcPr>
            <w:tcW w:w="1521" w:type="pct"/>
            <w:vMerge w:val="continue"/>
            <w:vAlign w:val="center"/>
          </w:tcPr>
          <w:p w14:paraId="26EA1D0A">
            <w:pPr>
              <w:jc w:val="center"/>
              <w:rPr>
                <w:rFonts w:ascii="仿宋" w:hAnsi="仿宋" w:eastAsia="仿宋" w:cs="仿宋"/>
                <w:sz w:val="21"/>
                <w:szCs w:val="21"/>
              </w:rPr>
            </w:pPr>
          </w:p>
        </w:tc>
      </w:tr>
      <w:tr w14:paraId="189D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vAlign w:val="center"/>
          </w:tcPr>
          <w:p w14:paraId="18C50DA2">
            <w:pPr>
              <w:jc w:val="center"/>
              <w:rPr>
                <w:rFonts w:ascii="仿宋" w:hAnsi="仿宋" w:eastAsia="仿宋" w:cs="仿宋"/>
                <w:sz w:val="21"/>
                <w:szCs w:val="21"/>
              </w:rPr>
            </w:pPr>
          </w:p>
        </w:tc>
        <w:tc>
          <w:tcPr>
            <w:tcW w:w="1196" w:type="pct"/>
            <w:vMerge w:val="continue"/>
            <w:vAlign w:val="center"/>
          </w:tcPr>
          <w:p w14:paraId="5AA8B307">
            <w:pPr>
              <w:jc w:val="center"/>
              <w:rPr>
                <w:rFonts w:ascii="仿宋" w:hAnsi="仿宋" w:eastAsia="仿宋" w:cs="仿宋"/>
                <w:sz w:val="21"/>
                <w:szCs w:val="21"/>
              </w:rPr>
            </w:pPr>
          </w:p>
        </w:tc>
        <w:tc>
          <w:tcPr>
            <w:tcW w:w="1858" w:type="pct"/>
            <w:vAlign w:val="center"/>
          </w:tcPr>
          <w:p w14:paraId="14E8EFB5">
            <w:pPr>
              <w:jc w:val="center"/>
              <w:rPr>
                <w:rFonts w:ascii="仿宋" w:hAnsi="仿宋" w:eastAsia="仿宋" w:cs="仿宋"/>
                <w:sz w:val="21"/>
                <w:szCs w:val="21"/>
              </w:rPr>
            </w:pPr>
            <w:r>
              <w:rPr>
                <w:rFonts w:hint="eastAsia" w:ascii="仿宋" w:hAnsi="仿宋" w:eastAsia="仿宋" w:cs="仿宋"/>
                <w:sz w:val="21"/>
                <w:szCs w:val="21"/>
              </w:rPr>
              <w:t>政策响应</w:t>
            </w:r>
          </w:p>
        </w:tc>
        <w:tc>
          <w:tcPr>
            <w:tcW w:w="1521" w:type="pct"/>
            <w:vMerge w:val="continue"/>
            <w:vAlign w:val="center"/>
          </w:tcPr>
          <w:p w14:paraId="4740B644">
            <w:pPr>
              <w:jc w:val="center"/>
              <w:rPr>
                <w:rFonts w:ascii="仿宋" w:hAnsi="仿宋" w:eastAsia="仿宋" w:cs="仿宋"/>
                <w:sz w:val="21"/>
                <w:szCs w:val="21"/>
              </w:rPr>
            </w:pPr>
          </w:p>
        </w:tc>
      </w:tr>
      <w:tr w14:paraId="6C3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5E3224CC">
            <w:pPr>
              <w:jc w:val="center"/>
              <w:rPr>
                <w:rFonts w:ascii="仿宋" w:hAnsi="仿宋" w:eastAsia="仿宋" w:cs="仿宋"/>
                <w:sz w:val="21"/>
                <w:szCs w:val="21"/>
              </w:rPr>
            </w:pPr>
            <w:r>
              <w:rPr>
                <w:rFonts w:hint="eastAsia" w:ascii="仿宋" w:hAnsi="仿宋" w:eastAsia="仿宋" w:cs="仿宋"/>
                <w:sz w:val="21"/>
                <w:szCs w:val="21"/>
              </w:rPr>
              <w:t>4</w:t>
            </w:r>
          </w:p>
        </w:tc>
        <w:tc>
          <w:tcPr>
            <w:tcW w:w="1196" w:type="pct"/>
            <w:vAlign w:val="center"/>
          </w:tcPr>
          <w:p w14:paraId="44BA9E25">
            <w:pPr>
              <w:jc w:val="center"/>
              <w:rPr>
                <w:rFonts w:ascii="仿宋" w:hAnsi="仿宋" w:eastAsia="仿宋" w:cs="仿宋"/>
                <w:sz w:val="21"/>
                <w:szCs w:val="21"/>
              </w:rPr>
            </w:pPr>
            <w:r>
              <w:rPr>
                <w:rFonts w:hint="eastAsia" w:ascii="仿宋" w:hAnsi="仿宋" w:eastAsia="仿宋" w:cs="仿宋"/>
                <w:sz w:val="21"/>
                <w:szCs w:val="21"/>
              </w:rPr>
              <w:t>数据采集</w:t>
            </w:r>
          </w:p>
        </w:tc>
        <w:tc>
          <w:tcPr>
            <w:tcW w:w="1858" w:type="pct"/>
            <w:vAlign w:val="center"/>
          </w:tcPr>
          <w:p w14:paraId="4651CAD5">
            <w:pPr>
              <w:jc w:val="center"/>
              <w:rPr>
                <w:rFonts w:ascii="仿宋" w:hAnsi="仿宋" w:eastAsia="仿宋" w:cs="仿宋"/>
                <w:sz w:val="21"/>
                <w:szCs w:val="21"/>
              </w:rPr>
            </w:pPr>
            <w:r>
              <w:rPr>
                <w:rFonts w:hint="eastAsia" w:ascii="仿宋" w:hAnsi="仿宋" w:eastAsia="仿宋" w:cs="仿宋"/>
                <w:sz w:val="21"/>
                <w:szCs w:val="21"/>
              </w:rPr>
              <w:t>数据采集及处理</w:t>
            </w:r>
          </w:p>
        </w:tc>
        <w:tc>
          <w:tcPr>
            <w:tcW w:w="1521" w:type="pct"/>
            <w:vAlign w:val="center"/>
          </w:tcPr>
          <w:p w14:paraId="4ADF1B9B">
            <w:pPr>
              <w:jc w:val="center"/>
              <w:rPr>
                <w:rFonts w:ascii="仿宋" w:hAnsi="仿宋" w:eastAsia="仿宋" w:cs="仿宋"/>
                <w:sz w:val="21"/>
                <w:szCs w:val="21"/>
              </w:rPr>
            </w:pPr>
            <w:r>
              <w:rPr>
                <w:rFonts w:hint="eastAsia" w:ascii="仿宋" w:hAnsi="仿宋" w:eastAsia="仿宋" w:cs="仿宋"/>
                <w:sz w:val="21"/>
                <w:szCs w:val="21"/>
              </w:rPr>
              <w:t>数据采集表（excel表格或csv文件）</w:t>
            </w:r>
          </w:p>
        </w:tc>
      </w:tr>
    </w:tbl>
    <w:p w14:paraId="68B4ED16">
      <w:pPr>
        <w:jc w:val="both"/>
      </w:pPr>
    </w:p>
    <w:p w14:paraId="1C8888A0">
      <w:pPr>
        <w:pStyle w:val="3"/>
        <w:jc w:val="both"/>
      </w:pPr>
      <w:r>
        <w:rPr>
          <w:rFonts w:hint="eastAsia"/>
        </w:rPr>
        <w:t>四、服务要求</w:t>
      </w:r>
    </w:p>
    <w:p w14:paraId="2B05FB43">
      <w:pPr>
        <w:pStyle w:val="101"/>
        <w:ind w:firstLine="482"/>
        <w:outlineLvl w:val="1"/>
        <w:rPr>
          <w:rFonts w:hint="default" w:cs="仿宋" w:asciiTheme="minorEastAsia" w:hAnsiTheme="minorEastAsia"/>
          <w:b/>
          <w:bCs/>
          <w:sz w:val="24"/>
        </w:rPr>
      </w:pPr>
      <w:r>
        <w:rPr>
          <w:rFonts w:cs="仿宋" w:asciiTheme="minorEastAsia" w:hAnsiTheme="minorEastAsia"/>
          <w:b/>
          <w:bCs/>
          <w:sz w:val="24"/>
        </w:rPr>
        <w:t>（一）基本要求</w:t>
      </w:r>
    </w:p>
    <w:p w14:paraId="5E70D93B">
      <w:pPr>
        <w:ind w:firstLine="480" w:firstLineChars="200"/>
        <w:rPr>
          <w:rFonts w:cs="仿宋" w:asciiTheme="minorEastAsia" w:hAnsiTheme="minorEastAsia"/>
          <w:szCs w:val="20"/>
          <w:lang w:eastAsia="zh-Hans"/>
        </w:rPr>
      </w:pPr>
      <w:r>
        <w:rPr>
          <w:rFonts w:hint="eastAsia" w:cs="仿宋" w:asciiTheme="minorEastAsia" w:hAnsiTheme="minorEastAsia"/>
          <w:szCs w:val="20"/>
          <w:lang w:eastAsia="zh-Hans"/>
        </w:rPr>
        <w:t>★1、本项目采购人享有系统软件的全部版权，要求中标供应商提供本项目所涉及到的新增或修改的源代码及相关文档，并在与采购人签订的书面合同中明确约定中标供应商将项目软件所有的源代码及文档在项目完结时整体移交给采购人，对所涉及到的采购人所有源代码及相关文档需保密。供应商应提供承诺书，内容及格式自拟。</w:t>
      </w:r>
    </w:p>
    <w:p w14:paraId="2A4A8F31">
      <w:pPr>
        <w:ind w:firstLine="480" w:firstLineChars="200"/>
        <w:rPr>
          <w:rFonts w:cs="仿宋" w:asciiTheme="minorEastAsia" w:hAnsiTheme="minorEastAsia"/>
          <w:szCs w:val="20"/>
          <w:lang w:eastAsia="zh-Hans"/>
        </w:rPr>
      </w:pPr>
      <w:r>
        <w:rPr>
          <w:rFonts w:hint="eastAsia" w:cs="仿宋" w:asciiTheme="minorEastAsia" w:hAnsiTheme="minorEastAsia"/>
          <w:szCs w:val="20"/>
          <w:lang w:eastAsia="zh-Hans"/>
        </w:rPr>
        <w:t>★2、中标供应商负责在采购人提供的软件源代码的基础上进行系统运行维护，确保软件质量；确保系统运行可靠、数据准确、实用、简洁、界面友好。为保证源代码的安全，中标供应商须在采购人指定的地点进行驻场服务，同时负责软件优化、系统维护、系统测试所需的房屋场地、软硬件设备、通信线路等运行维护所依赖的环境。供应商应提供承诺书，内容及格式自拟。</w:t>
      </w:r>
    </w:p>
    <w:p w14:paraId="3D308D5D">
      <w:pPr>
        <w:ind w:firstLine="480" w:firstLineChars="200"/>
        <w:rPr>
          <w:rFonts w:cs="仿宋" w:asciiTheme="minorEastAsia" w:hAnsiTheme="minorEastAsia"/>
        </w:rPr>
      </w:pPr>
      <w:r>
        <w:rPr>
          <w:rFonts w:hint="eastAsia" w:cs="仿宋" w:asciiTheme="minorEastAsia" w:hAnsiTheme="minorEastAsia"/>
          <w:szCs w:val="20"/>
          <w:lang w:eastAsia="zh-Hans"/>
        </w:rPr>
        <w:t>3、供应商中标后，应在合同中承诺为采购人提供的服务期满后，如有需要，能够提供延续为期一个月的服务作为过渡，保证采购人住房租赁交易服务平台的平稳运行。</w:t>
      </w:r>
    </w:p>
    <w:p w14:paraId="0AABF66A">
      <w:pPr>
        <w:pStyle w:val="101"/>
        <w:ind w:firstLine="482"/>
        <w:outlineLvl w:val="1"/>
        <w:rPr>
          <w:rFonts w:hint="default" w:cs="仿宋" w:asciiTheme="minorEastAsia" w:hAnsiTheme="minorEastAsia"/>
          <w:b/>
          <w:bCs/>
          <w:sz w:val="24"/>
        </w:rPr>
      </w:pPr>
      <w:r>
        <w:rPr>
          <w:rFonts w:cs="仿宋" w:asciiTheme="minorEastAsia" w:hAnsiTheme="minorEastAsia"/>
          <w:b/>
          <w:bCs/>
          <w:sz w:val="24"/>
          <w:lang w:eastAsia="zh-CN"/>
        </w:rPr>
        <w:t>（二）运维</w:t>
      </w:r>
      <w:r>
        <w:rPr>
          <w:rFonts w:cs="仿宋" w:asciiTheme="minorEastAsia" w:hAnsiTheme="minorEastAsia"/>
          <w:b/>
          <w:bCs/>
          <w:sz w:val="24"/>
        </w:rPr>
        <w:t>人员</w:t>
      </w:r>
      <w:r>
        <w:rPr>
          <w:rFonts w:hint="default" w:cs="仿宋" w:asciiTheme="minorEastAsia" w:hAnsiTheme="minorEastAsia"/>
          <w:b/>
          <w:bCs/>
          <w:sz w:val="24"/>
          <w:lang w:eastAsia="zh-CN"/>
        </w:rPr>
        <w:t>数量</w:t>
      </w:r>
      <w:r>
        <w:rPr>
          <w:rFonts w:cs="仿宋" w:asciiTheme="minorEastAsia" w:hAnsiTheme="minorEastAsia"/>
          <w:b/>
          <w:bCs/>
          <w:sz w:val="24"/>
          <w:lang w:eastAsia="zh-CN"/>
        </w:rPr>
        <w:t>及</w:t>
      </w:r>
      <w:r>
        <w:rPr>
          <w:rFonts w:cs="仿宋" w:asciiTheme="minorEastAsia" w:hAnsiTheme="minorEastAsia"/>
          <w:b/>
          <w:bCs/>
          <w:sz w:val="24"/>
        </w:rPr>
        <w:t>要求</w:t>
      </w:r>
    </w:p>
    <w:p w14:paraId="16AAC42C">
      <w:pPr>
        <w:ind w:firstLine="480" w:firstLineChars="200"/>
        <w:rPr>
          <w:rFonts w:cs="仿宋" w:asciiTheme="minorEastAsia" w:hAnsiTheme="minorEastAsia"/>
        </w:rPr>
      </w:pPr>
      <w:r>
        <w:rPr>
          <w:rFonts w:hint="eastAsia" w:cs="仿宋" w:asciiTheme="minorEastAsia" w:hAnsiTheme="minorEastAsia"/>
        </w:rPr>
        <w:t>供应商应为本项目提供不少于18人的服务团队，其中需提供日常运维驻场人员不少于4人（同一人不能兼任两个岗位）。</w:t>
      </w:r>
    </w:p>
    <w:p w14:paraId="135D5053">
      <w:pPr>
        <w:ind w:firstLine="480" w:firstLineChars="200"/>
        <w:rPr>
          <w:rFonts w:cs="仿宋" w:asciiTheme="minorEastAsia" w:hAnsiTheme="minorEastAsia"/>
        </w:rPr>
      </w:pPr>
      <w:r>
        <w:rPr>
          <w:rFonts w:hint="eastAsia" w:cs="仿宋" w:asciiTheme="minorEastAsia" w:hAnsiTheme="minorEastAsia"/>
        </w:rPr>
        <w:t>驻场运维人员技术能力、数量及资质要求见下表：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1586"/>
        <w:gridCol w:w="5642"/>
      </w:tblGrid>
      <w:tr w14:paraId="7D1C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8" w:type="pct"/>
            <w:vAlign w:val="center"/>
          </w:tcPr>
          <w:p w14:paraId="3491DC84">
            <w:pPr>
              <w:jc w:val="center"/>
              <w:rPr>
                <w:rFonts w:ascii="仿宋" w:hAnsi="仿宋" w:eastAsia="仿宋" w:cs="仿宋"/>
                <w:b/>
                <w:bCs/>
                <w:sz w:val="21"/>
                <w:szCs w:val="21"/>
              </w:rPr>
            </w:pPr>
            <w:r>
              <w:rPr>
                <w:rFonts w:hint="eastAsia" w:ascii="仿宋" w:hAnsi="仿宋" w:eastAsia="仿宋" w:cs="仿宋"/>
                <w:b/>
                <w:bCs/>
                <w:sz w:val="21"/>
                <w:szCs w:val="21"/>
              </w:rPr>
              <w:t>人员类别</w:t>
            </w:r>
          </w:p>
        </w:tc>
        <w:tc>
          <w:tcPr>
            <w:tcW w:w="854" w:type="pct"/>
            <w:vAlign w:val="center"/>
          </w:tcPr>
          <w:p w14:paraId="5AC5749E">
            <w:pPr>
              <w:jc w:val="center"/>
              <w:rPr>
                <w:rFonts w:ascii="仿宋" w:hAnsi="仿宋" w:eastAsia="仿宋" w:cs="仿宋"/>
                <w:b/>
                <w:bCs/>
                <w:sz w:val="21"/>
                <w:szCs w:val="21"/>
              </w:rPr>
            </w:pPr>
            <w:r>
              <w:rPr>
                <w:rFonts w:hint="eastAsia" w:ascii="仿宋" w:hAnsi="仿宋" w:eastAsia="仿宋" w:cs="仿宋"/>
                <w:b/>
                <w:bCs/>
                <w:sz w:val="21"/>
                <w:szCs w:val="21"/>
              </w:rPr>
              <w:t>人员数量</w:t>
            </w:r>
          </w:p>
        </w:tc>
        <w:tc>
          <w:tcPr>
            <w:tcW w:w="3038" w:type="pct"/>
            <w:vAlign w:val="center"/>
          </w:tcPr>
          <w:p w14:paraId="6417B8DF">
            <w:pPr>
              <w:jc w:val="center"/>
              <w:rPr>
                <w:rFonts w:ascii="仿宋" w:hAnsi="仿宋" w:eastAsia="仿宋" w:cs="仿宋"/>
                <w:b/>
                <w:bCs/>
                <w:sz w:val="21"/>
                <w:szCs w:val="21"/>
              </w:rPr>
            </w:pPr>
            <w:r>
              <w:rPr>
                <w:rFonts w:hint="eastAsia" w:ascii="仿宋" w:hAnsi="仿宋" w:eastAsia="仿宋" w:cs="仿宋"/>
                <w:b/>
                <w:bCs/>
                <w:sz w:val="21"/>
                <w:szCs w:val="21"/>
              </w:rPr>
              <w:t>人员要求标准</w:t>
            </w:r>
          </w:p>
        </w:tc>
      </w:tr>
      <w:tr w14:paraId="4402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08" w:type="pct"/>
            <w:vAlign w:val="center"/>
          </w:tcPr>
          <w:p w14:paraId="3F6850DF">
            <w:pPr>
              <w:jc w:val="center"/>
              <w:rPr>
                <w:rFonts w:ascii="仿宋" w:hAnsi="仿宋" w:eastAsia="仿宋" w:cs="仿宋"/>
                <w:sz w:val="21"/>
                <w:szCs w:val="21"/>
              </w:rPr>
            </w:pPr>
            <w:r>
              <w:rPr>
                <w:rFonts w:hint="eastAsia" w:ascii="仿宋" w:hAnsi="仿宋" w:eastAsia="仿宋" w:cs="仿宋"/>
                <w:sz w:val="21"/>
                <w:szCs w:val="21"/>
              </w:rPr>
              <w:t>系统维护工程师</w:t>
            </w:r>
          </w:p>
        </w:tc>
        <w:tc>
          <w:tcPr>
            <w:tcW w:w="854" w:type="pct"/>
            <w:vAlign w:val="center"/>
          </w:tcPr>
          <w:p w14:paraId="1FF340C6">
            <w:pPr>
              <w:jc w:val="center"/>
              <w:rPr>
                <w:rFonts w:ascii="仿宋" w:hAnsi="仿宋" w:eastAsia="仿宋" w:cs="仿宋"/>
                <w:sz w:val="21"/>
                <w:szCs w:val="21"/>
              </w:rPr>
            </w:pPr>
            <w:r>
              <w:rPr>
                <w:rFonts w:hint="eastAsia" w:ascii="仿宋" w:hAnsi="仿宋" w:eastAsia="仿宋" w:cs="仿宋"/>
                <w:sz w:val="21"/>
                <w:szCs w:val="21"/>
              </w:rPr>
              <w:t>4</w:t>
            </w:r>
          </w:p>
        </w:tc>
        <w:tc>
          <w:tcPr>
            <w:tcW w:w="3038" w:type="pct"/>
            <w:vAlign w:val="center"/>
          </w:tcPr>
          <w:p w14:paraId="5208A387">
            <w:pPr>
              <w:rPr>
                <w:rFonts w:ascii="仿宋" w:hAnsi="仿宋" w:eastAsia="仿宋" w:cs="仿宋"/>
                <w:sz w:val="21"/>
                <w:szCs w:val="21"/>
              </w:rPr>
            </w:pPr>
            <w:r>
              <w:rPr>
                <w:rFonts w:hint="eastAsia" w:ascii="仿宋" w:hAnsi="仿宋" w:eastAsia="仿宋" w:cs="仿宋"/>
                <w:sz w:val="21"/>
                <w:szCs w:val="21"/>
              </w:rPr>
              <w:t>1.具备2年及以上本行业系统维护工作经验；</w:t>
            </w:r>
          </w:p>
          <w:p w14:paraId="30764357">
            <w:pPr>
              <w:rPr>
                <w:rFonts w:ascii="仿宋" w:hAnsi="仿宋" w:eastAsia="仿宋" w:cs="仿宋"/>
                <w:sz w:val="21"/>
                <w:szCs w:val="21"/>
              </w:rPr>
            </w:pPr>
            <w:r>
              <w:rPr>
                <w:rFonts w:hint="eastAsia" w:ascii="仿宋" w:hAnsi="仿宋" w:eastAsia="仿宋" w:cs="仿宋"/>
                <w:sz w:val="21"/>
                <w:szCs w:val="21"/>
              </w:rPr>
              <w:t>2.大专及以上学历。</w:t>
            </w:r>
          </w:p>
        </w:tc>
      </w:tr>
    </w:tbl>
    <w:p w14:paraId="498623C1">
      <w:pPr>
        <w:pStyle w:val="3"/>
        <w:jc w:val="both"/>
      </w:pPr>
      <w:bookmarkStart w:id="14" w:name="_Toc148453731"/>
      <w:r>
        <w:rPr>
          <w:rFonts w:hint="eastAsia"/>
        </w:rPr>
        <w:t>五、商务要求</w:t>
      </w:r>
    </w:p>
    <w:p w14:paraId="0C15B926">
      <w:pPr>
        <w:pStyle w:val="101"/>
        <w:ind w:firstLine="482"/>
        <w:outlineLvl w:val="1"/>
        <w:rPr>
          <w:rFonts w:hint="default" w:cs="仿宋" w:asciiTheme="minorEastAsia" w:hAnsiTheme="minorEastAsia"/>
          <w:b/>
          <w:bCs/>
          <w:sz w:val="24"/>
        </w:rPr>
      </w:pPr>
      <w:r>
        <w:rPr>
          <w:rFonts w:cs="仿宋" w:asciiTheme="minorEastAsia" w:hAnsiTheme="minorEastAsia"/>
          <w:b/>
          <w:bCs/>
          <w:sz w:val="24"/>
        </w:rPr>
        <w:t>（一）服务期限</w:t>
      </w:r>
    </w:p>
    <w:p w14:paraId="386CA2E6">
      <w:pPr>
        <w:pStyle w:val="101"/>
        <w:ind w:firstLine="482"/>
        <w:jc w:val="both"/>
        <w:rPr>
          <w:rFonts w:hint="default" w:cs="仿宋" w:asciiTheme="minorEastAsia" w:hAnsiTheme="minorEastAsia"/>
          <w:sz w:val="24"/>
          <w:lang w:eastAsia="zh-CN"/>
        </w:rPr>
      </w:pPr>
      <w:r>
        <w:rPr>
          <w:rFonts w:cs="仿宋" w:asciiTheme="minorEastAsia" w:hAnsiTheme="minorEastAsia"/>
          <w:sz w:val="24"/>
          <w:lang w:eastAsia="zh-CN"/>
        </w:rPr>
        <w:t>自合同签订之日起一年。</w:t>
      </w:r>
    </w:p>
    <w:p w14:paraId="3AB21EF5">
      <w:pPr>
        <w:pStyle w:val="101"/>
        <w:ind w:firstLine="482"/>
        <w:outlineLvl w:val="1"/>
        <w:rPr>
          <w:rFonts w:hint="default" w:cs="仿宋" w:asciiTheme="minorEastAsia" w:hAnsiTheme="minorEastAsia"/>
          <w:b/>
          <w:bCs/>
          <w:sz w:val="24"/>
        </w:rPr>
      </w:pPr>
      <w:r>
        <w:rPr>
          <w:rFonts w:cs="仿宋" w:asciiTheme="minorEastAsia" w:hAnsiTheme="minorEastAsia"/>
          <w:b/>
          <w:bCs/>
          <w:sz w:val="24"/>
        </w:rPr>
        <w:t>（二）款项结算</w:t>
      </w:r>
    </w:p>
    <w:p w14:paraId="1D0A3F01">
      <w:pPr>
        <w:pStyle w:val="101"/>
        <w:ind w:firstLine="482"/>
        <w:jc w:val="both"/>
        <w:rPr>
          <w:rFonts w:hint="default" w:cs="仿宋" w:asciiTheme="minorEastAsia" w:hAnsiTheme="minorEastAsia"/>
          <w:sz w:val="24"/>
        </w:rPr>
      </w:pPr>
      <w:r>
        <w:rPr>
          <w:rFonts w:cs="仿宋" w:asciiTheme="minorEastAsia" w:hAnsiTheme="minorEastAsia"/>
          <w:sz w:val="24"/>
        </w:rPr>
        <w:t>1、合同签订之日起10个工作日内，供应商持中标通知书、合同、当期付款金额的普通增值税发票，与采购人结算合同总价款的40%。</w:t>
      </w:r>
    </w:p>
    <w:p w14:paraId="2D1FD784">
      <w:pPr>
        <w:pStyle w:val="101"/>
        <w:ind w:firstLine="482"/>
        <w:jc w:val="both"/>
        <w:rPr>
          <w:rFonts w:hint="default" w:cs="仿宋" w:asciiTheme="minorEastAsia" w:hAnsiTheme="minorEastAsia"/>
          <w:sz w:val="24"/>
        </w:rPr>
      </w:pPr>
      <w:r>
        <w:rPr>
          <w:rFonts w:cs="仿宋" w:asciiTheme="minorEastAsia" w:hAnsiTheme="minorEastAsia"/>
          <w:sz w:val="24"/>
        </w:rPr>
        <w:t>2、供应商正常提供运维服务，达到服务标准且经采购人组织专家验收（或评估）书面确认后，于2025年11月供应商持当期付款金额的增值税普通发票，与采购人结算合同总价款的40%。</w:t>
      </w:r>
    </w:p>
    <w:p w14:paraId="0A51FAEB">
      <w:pPr>
        <w:pStyle w:val="101"/>
        <w:ind w:firstLine="482"/>
        <w:jc w:val="both"/>
        <w:rPr>
          <w:rFonts w:hint="default" w:asciiTheme="minorEastAsia" w:hAnsiTheme="minorEastAsia"/>
        </w:rPr>
      </w:pPr>
      <w:r>
        <w:rPr>
          <w:rFonts w:cs="仿宋" w:asciiTheme="minorEastAsia" w:hAnsiTheme="minorEastAsia"/>
          <w:sz w:val="24"/>
        </w:rPr>
        <w:t>3、服务期满并经采购人验收合格后，填写项目验收意见书（一式三份），验收通过之日起一个月内，供应商持项目验收意见书、当期付款金额的增值税普通发票，与采购人结算合同当期应付款。当期付款金额=合同总价款的20%-扣款总金额（采购人参照“合同附件：服务考核标准”进行扣款金额核算）</w:t>
      </w:r>
      <w:r>
        <w:rPr>
          <w:rFonts w:cs="仿宋" w:asciiTheme="minorEastAsia" w:hAnsiTheme="minorEastAsia"/>
          <w:sz w:val="24"/>
          <w:lang w:eastAsia="zh-CN"/>
        </w:rPr>
        <w:t>。</w:t>
      </w:r>
    </w:p>
    <w:p w14:paraId="0613B7E8">
      <w:pPr>
        <w:pStyle w:val="101"/>
        <w:ind w:firstLine="482"/>
        <w:jc w:val="both"/>
        <w:rPr>
          <w:rFonts w:hint="default" w:asciiTheme="minorEastAsia" w:hAnsiTheme="minorEastAsia"/>
        </w:rPr>
      </w:pPr>
      <w:r>
        <w:rPr>
          <w:rFonts w:cs="仿宋" w:asciiTheme="minorEastAsia" w:hAnsiTheme="minorEastAsia"/>
          <w:sz w:val="24"/>
        </w:rPr>
        <w:t>4、支付方式：银行转账。</w:t>
      </w:r>
    </w:p>
    <w:p w14:paraId="3D82EB0A">
      <w:pPr>
        <w:pStyle w:val="101"/>
        <w:ind w:firstLine="482"/>
        <w:jc w:val="both"/>
        <w:rPr>
          <w:rFonts w:hint="default" w:asciiTheme="minorEastAsia" w:hAnsiTheme="minorEastAsia"/>
        </w:rPr>
      </w:pPr>
      <w:r>
        <w:rPr>
          <w:rFonts w:cs="仿宋" w:asciiTheme="minorEastAsia" w:hAnsiTheme="minorEastAsia"/>
          <w:sz w:val="24"/>
        </w:rPr>
        <w:t>5、上述正常提供维保服务是指由采购人指定的项目负责人对供应商正常服务状态进行签字确认。</w:t>
      </w:r>
    </w:p>
    <w:p w14:paraId="627FBB78">
      <w:pPr>
        <w:pStyle w:val="101"/>
        <w:ind w:firstLine="482"/>
        <w:outlineLvl w:val="0"/>
        <w:rPr>
          <w:rFonts w:hint="default" w:ascii="Calibri" w:hAnsi="Calibri" w:eastAsia="黑体" w:cstheme="majorBidi"/>
          <w:bCs/>
          <w:iCs/>
          <w:kern w:val="32"/>
          <w:sz w:val="28"/>
          <w:szCs w:val="28"/>
          <w:lang w:eastAsia="zh-CN"/>
        </w:rPr>
      </w:pPr>
      <w:r>
        <w:rPr>
          <w:rFonts w:ascii="Calibri" w:hAnsi="Calibri" w:eastAsia="黑体" w:cstheme="majorBidi"/>
          <w:bCs/>
          <w:iCs/>
          <w:kern w:val="32"/>
          <w:sz w:val="28"/>
          <w:szCs w:val="28"/>
          <w:lang w:eastAsia="zh-CN"/>
        </w:rPr>
        <w:t>六、其他</w:t>
      </w:r>
    </w:p>
    <w:p w14:paraId="4671E613">
      <w:pPr>
        <w:pStyle w:val="101"/>
        <w:ind w:firstLine="482"/>
        <w:outlineLvl w:val="1"/>
        <w:rPr>
          <w:rFonts w:hint="default" w:cs="仿宋" w:asciiTheme="minorEastAsia" w:hAnsiTheme="minorEastAsia"/>
          <w:b/>
          <w:bCs/>
          <w:sz w:val="24"/>
        </w:rPr>
      </w:pPr>
      <w:r>
        <w:rPr>
          <w:rFonts w:cs="仿宋" w:asciiTheme="minorEastAsia" w:hAnsiTheme="minorEastAsia"/>
          <w:b/>
          <w:bCs/>
          <w:sz w:val="24"/>
        </w:rPr>
        <w:t>（</w:t>
      </w:r>
      <w:r>
        <w:rPr>
          <w:rFonts w:cs="仿宋" w:asciiTheme="minorEastAsia" w:hAnsiTheme="minorEastAsia"/>
          <w:b/>
          <w:bCs/>
          <w:sz w:val="24"/>
          <w:lang w:eastAsia="zh-CN"/>
        </w:rPr>
        <w:t>一</w:t>
      </w:r>
      <w:r>
        <w:rPr>
          <w:rFonts w:cs="仿宋" w:asciiTheme="minorEastAsia" w:hAnsiTheme="minorEastAsia"/>
          <w:b/>
          <w:bCs/>
          <w:sz w:val="24"/>
        </w:rPr>
        <w:t>）进度要求</w:t>
      </w:r>
    </w:p>
    <w:p w14:paraId="1A943F3F">
      <w:pPr>
        <w:pStyle w:val="101"/>
        <w:ind w:firstLine="482"/>
        <w:jc w:val="both"/>
        <w:rPr>
          <w:rFonts w:hint="default" w:asciiTheme="minorEastAsia" w:hAnsiTheme="minorEastAsia" w:cstheme="minorHAnsi"/>
          <w:color w:val="000000"/>
          <w:kern w:val="24"/>
          <w:sz w:val="24"/>
          <w:szCs w:val="24"/>
          <w:lang w:eastAsia="zh-CN"/>
        </w:rPr>
      </w:pPr>
      <w:r>
        <w:rPr>
          <w:rFonts w:asciiTheme="minorEastAsia" w:hAnsiTheme="minorEastAsia" w:cstheme="minorHAnsi"/>
          <w:color w:val="000000"/>
          <w:kern w:val="24"/>
          <w:sz w:val="24"/>
          <w:szCs w:val="24"/>
          <w:lang w:eastAsia="zh-CN"/>
        </w:rPr>
        <w:t>在服务期内，根据采购人要求和相关技术规范，持续进行服务。</w:t>
      </w:r>
    </w:p>
    <w:p w14:paraId="444B0D48">
      <w:pPr>
        <w:pStyle w:val="101"/>
        <w:ind w:firstLine="482"/>
        <w:outlineLvl w:val="1"/>
        <w:rPr>
          <w:rFonts w:hint="default" w:cs="仿宋" w:asciiTheme="minorEastAsia" w:hAnsiTheme="minorEastAsia"/>
          <w:b/>
          <w:bCs/>
          <w:sz w:val="24"/>
        </w:rPr>
      </w:pPr>
      <w:r>
        <w:rPr>
          <w:rFonts w:cs="仿宋" w:asciiTheme="minorEastAsia" w:hAnsiTheme="minorEastAsia"/>
          <w:b/>
          <w:bCs/>
          <w:sz w:val="24"/>
        </w:rPr>
        <w:t>（</w:t>
      </w:r>
      <w:r>
        <w:rPr>
          <w:rFonts w:cs="仿宋" w:asciiTheme="minorEastAsia" w:hAnsiTheme="minorEastAsia"/>
          <w:b/>
          <w:bCs/>
          <w:sz w:val="24"/>
          <w:lang w:eastAsia="zh-CN"/>
        </w:rPr>
        <w:t>二</w:t>
      </w:r>
      <w:r>
        <w:rPr>
          <w:rFonts w:cs="仿宋" w:asciiTheme="minorEastAsia" w:hAnsiTheme="minorEastAsia"/>
          <w:b/>
          <w:bCs/>
          <w:sz w:val="24"/>
        </w:rPr>
        <w:t>）成果交付要求</w:t>
      </w:r>
    </w:p>
    <w:p w14:paraId="0E49623E">
      <w:pPr>
        <w:pStyle w:val="83"/>
        <w:ind w:firstLine="480"/>
        <w:rPr>
          <w:rFonts w:asciiTheme="minorEastAsia" w:hAnsiTheme="minorEastAsia" w:eastAsiaTheme="minorEastAsia"/>
        </w:rPr>
      </w:pPr>
      <w:r>
        <w:rPr>
          <w:rFonts w:asciiTheme="minorEastAsia" w:hAnsiTheme="minorEastAsia" w:eastAsiaTheme="minorEastAsia"/>
        </w:rPr>
        <w:t>1、根据合同内容，提供相应服务或采购产品；</w:t>
      </w:r>
    </w:p>
    <w:p w14:paraId="304AAB42">
      <w:pPr>
        <w:pStyle w:val="83"/>
        <w:ind w:firstLine="480"/>
        <w:rPr>
          <w:rFonts w:asciiTheme="minorEastAsia" w:hAnsiTheme="minorEastAsia" w:eastAsiaTheme="minorEastAsia"/>
        </w:rPr>
      </w:pPr>
      <w:r>
        <w:rPr>
          <w:rFonts w:asciiTheme="minorEastAsia" w:hAnsiTheme="minorEastAsia" w:eastAsiaTheme="minorEastAsia"/>
        </w:rPr>
        <w:t>2、提供验收报告及相关验收资料。</w:t>
      </w:r>
    </w:p>
    <w:p w14:paraId="3B98C870">
      <w:pPr>
        <w:pStyle w:val="83"/>
        <w:ind w:firstLine="480"/>
        <w:rPr>
          <w:rFonts w:asciiTheme="minorEastAsia" w:hAnsiTheme="minorEastAsia" w:eastAsiaTheme="minorEastAsia"/>
        </w:rPr>
      </w:pPr>
      <w:r>
        <w:rPr>
          <w:rFonts w:asciiTheme="minorEastAsia" w:hAnsiTheme="minorEastAsia" w:eastAsiaTheme="minorEastAsia"/>
        </w:rPr>
        <w:t>（1）系统运行维护工作结束后，采购人根据磋商文件、响应文件及相关文件资料，进行考核验收，确认服务标准和服务方式是否达到采购要求。验收资料包括但不限于服务方案、运维记录、培训记录、运维总结报告等资料。</w:t>
      </w:r>
    </w:p>
    <w:p w14:paraId="6F4E32C6">
      <w:pPr>
        <w:pStyle w:val="83"/>
        <w:ind w:firstLine="480"/>
        <w:rPr>
          <w:rFonts w:asciiTheme="minorEastAsia" w:hAnsiTheme="minorEastAsia" w:eastAsiaTheme="minorEastAsia"/>
        </w:rPr>
      </w:pPr>
      <w:r>
        <w:rPr>
          <w:rFonts w:asciiTheme="minorEastAsia" w:hAnsiTheme="minorEastAsia" w:eastAsiaTheme="minorEastAsia"/>
        </w:rPr>
        <w:t>（2）采购人组织供应商,必要时请有关专家进行考核验收，验收合格后，填写项目验收意见书（一式三份）作为对系统运行维护服务的最终认可。</w:t>
      </w:r>
    </w:p>
    <w:p w14:paraId="66B1AA98">
      <w:pPr>
        <w:pStyle w:val="83"/>
        <w:ind w:firstLine="480"/>
        <w:rPr>
          <w:rFonts w:asciiTheme="minorEastAsia" w:hAnsiTheme="minorEastAsia" w:eastAsiaTheme="minorEastAsia"/>
        </w:rPr>
      </w:pPr>
      <w:r>
        <w:rPr>
          <w:rFonts w:asciiTheme="minorEastAsia" w:hAnsiTheme="minorEastAsia" w:eastAsiaTheme="minorEastAsia"/>
        </w:rPr>
        <w:t>（3）供应商向采购人提供服务过程中的所有资料,以便采购人日后管理和维护。</w:t>
      </w:r>
      <w:r>
        <w:br w:type="page"/>
      </w:r>
    </w:p>
    <w:p w14:paraId="2DA58542">
      <w:pPr>
        <w:pStyle w:val="2"/>
        <w:spacing w:before="230" w:after="230"/>
      </w:pPr>
      <w:r>
        <w:rPr>
          <w:rFonts w:hint="eastAsia"/>
        </w:rPr>
        <w:t>第四章　合同</w:t>
      </w:r>
      <w:bookmarkEnd w:id="14"/>
      <w:r>
        <w:rPr>
          <w:rFonts w:hint="eastAsia"/>
        </w:rPr>
        <w:t>草案条款</w:t>
      </w:r>
    </w:p>
    <w:p w14:paraId="4AAB1EFA">
      <w:pPr>
        <w:jc w:val="center"/>
        <w:rPr>
          <w:color w:val="C00000"/>
        </w:rPr>
      </w:pPr>
      <w:r>
        <w:rPr>
          <w:color w:val="C00000"/>
        </w:rPr>
        <w:t>（本合同为中小企业预留合同）</w:t>
      </w:r>
    </w:p>
    <w:p w14:paraId="16DA02A7">
      <w:pPr>
        <w:spacing w:before="230" w:beforeLines="50"/>
        <w:ind w:firstLine="480" w:firstLineChars="200"/>
        <w:jc w:val="both"/>
        <w:rPr>
          <w:b/>
        </w:rPr>
      </w:pPr>
      <w:r>
        <w:rPr>
          <w:b/>
        </w:rPr>
        <w:t>甲方（采购人）：</w:t>
      </w:r>
      <w:r>
        <w:rPr>
          <w:rFonts w:hint="eastAsia"/>
          <w:b/>
          <w:color w:val="C00000"/>
          <w:u w:val="single"/>
        </w:rPr>
        <w:t xml:space="preserve">  </w:t>
      </w:r>
      <w:r>
        <w:rPr>
          <w:b/>
          <w:color w:val="C00000"/>
          <w:u w:val="single"/>
        </w:rPr>
        <w:t xml:space="preserve">          </w:t>
      </w:r>
      <w:r>
        <w:rPr>
          <w:rFonts w:hint="eastAsia"/>
          <w:b/>
          <w:color w:val="C00000"/>
          <w:u w:val="single"/>
        </w:rPr>
        <w:t xml:space="preserve">      </w:t>
      </w:r>
    </w:p>
    <w:p w14:paraId="44A487A0">
      <w:pPr>
        <w:ind w:firstLine="480" w:firstLineChars="200"/>
        <w:jc w:val="both"/>
        <w:rPr>
          <w:b/>
        </w:rPr>
      </w:pPr>
      <w:r>
        <w:rPr>
          <w:b/>
        </w:rPr>
        <w:t>乙方（成交供应商）：</w:t>
      </w:r>
      <w:r>
        <w:rPr>
          <w:color w:val="C00000"/>
        </w:rPr>
        <w:t>_________________</w:t>
      </w:r>
    </w:p>
    <w:p w14:paraId="76F3DF7C">
      <w:pPr>
        <w:spacing w:before="230" w:beforeLines="50"/>
        <w:jc w:val="both"/>
        <w:rPr>
          <w:rFonts w:cs="Calibri Light"/>
          <w:b/>
        </w:rPr>
      </w:pPr>
      <w:r>
        <w:rPr>
          <w:rFonts w:cs="Calibri Light"/>
          <w:b/>
        </w:rPr>
        <w:t>一、服务条件：</w:t>
      </w:r>
    </w:p>
    <w:p w14:paraId="04D19A8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7820DD1D">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14:paraId="1FCF9FB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（三）服务期：_______________</w:t>
      </w:r>
    </w:p>
    <w:p w14:paraId="7B2F04D2">
      <w:pPr>
        <w:spacing w:before="230" w:beforeLines="50"/>
        <w:jc w:val="both"/>
        <w:rPr>
          <w:rFonts w:cs="Calibri Light"/>
          <w:b/>
        </w:rPr>
      </w:pPr>
      <w:r>
        <w:rPr>
          <w:rFonts w:cs="Calibri Light"/>
          <w:b/>
        </w:rPr>
        <w:t>二、合同价款</w:t>
      </w:r>
    </w:p>
    <w:p w14:paraId="55D8E838">
      <w:pPr>
        <w:ind w:firstLine="480" w:firstLineChars="200"/>
        <w:jc w:val="both"/>
      </w:pPr>
      <w:r>
        <w:t>（一）本合同项下总价款为人民币_________元（小写，精确到小数点后两位），即__________（大写）。合同履行期间，合同总价固定不变，不受市场价格变化因素的影响。</w:t>
      </w:r>
    </w:p>
    <w:p w14:paraId="7D5196F7">
      <w:pPr>
        <w:ind w:firstLine="480" w:firstLineChars="200"/>
        <w:jc w:val="both"/>
      </w:pPr>
      <w:r>
        <w:t>（二）总报价包括完成本项目所需的人员工资、社会保险及按规定提取的福利费、行政办公费用、企业固定资产折旧、临时性加班的加班费用、法定税费及合理利润等全部费用。甲方不再额外承担其他任何费用。</w:t>
      </w:r>
    </w:p>
    <w:p w14:paraId="3E196DC7">
      <w:pPr>
        <w:spacing w:before="230" w:beforeLines="50"/>
        <w:jc w:val="both"/>
        <w:rPr>
          <w:rFonts w:cs="Calibri Light"/>
          <w:b/>
        </w:rPr>
      </w:pPr>
      <w:r>
        <w:rPr>
          <w:rFonts w:cs="Calibri Light"/>
          <w:b/>
        </w:rPr>
        <w:t>三、款项结算</w:t>
      </w:r>
    </w:p>
    <w:p w14:paraId="7095426F">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w:t>
      </w:r>
      <w:r>
        <w:rPr>
          <w:rFonts w:hint="eastAsia" w:asciiTheme="minorHAnsi" w:hAnsiTheme="minorHAnsi" w:eastAsiaTheme="minorEastAsia"/>
          <w:sz w:val="24"/>
          <w:szCs w:val="24"/>
        </w:rPr>
        <w:t>方式</w:t>
      </w:r>
      <w:r>
        <w:rPr>
          <w:rFonts w:asciiTheme="minorHAnsi" w:hAnsiTheme="minorHAnsi" w:eastAsiaTheme="minorEastAsia"/>
          <w:sz w:val="24"/>
          <w:szCs w:val="24"/>
        </w:rPr>
        <w:t>：</w:t>
      </w:r>
    </w:p>
    <w:p w14:paraId="75A0081F">
      <w:pPr>
        <w:pStyle w:val="101"/>
        <w:ind w:firstLine="482"/>
        <w:jc w:val="both"/>
        <w:rPr>
          <w:rFonts w:hint="default" w:cs="仿宋" w:asciiTheme="minorEastAsia" w:hAnsiTheme="minorEastAsia"/>
          <w:sz w:val="24"/>
        </w:rPr>
      </w:pPr>
      <w:r>
        <w:rPr>
          <w:rFonts w:cs="仿宋" w:asciiTheme="minorEastAsia" w:hAnsiTheme="minorEastAsia"/>
          <w:sz w:val="24"/>
        </w:rPr>
        <w:t>1、合同签订之日起10个工作日内，供应商持中标通知书、合同、当期付款金额的普通增值税发票，与甲方结算合同总价款的40%。</w:t>
      </w:r>
    </w:p>
    <w:p w14:paraId="176496FC">
      <w:pPr>
        <w:pStyle w:val="101"/>
        <w:ind w:firstLine="482"/>
        <w:jc w:val="both"/>
        <w:rPr>
          <w:rFonts w:hint="default" w:cs="仿宋" w:asciiTheme="minorEastAsia" w:hAnsiTheme="minorEastAsia"/>
          <w:sz w:val="24"/>
        </w:rPr>
      </w:pPr>
      <w:r>
        <w:rPr>
          <w:rFonts w:cs="仿宋" w:asciiTheme="minorEastAsia" w:hAnsiTheme="minorEastAsia"/>
          <w:sz w:val="24"/>
        </w:rPr>
        <w:t>2、供应商正常提供运维服务，达到服务标准且经甲方组织专家验收（或评估）书面确认后，于2025年11月供应商持当期付款金额的增值税普通发票，与甲方结算合同总价款的40%。</w:t>
      </w:r>
    </w:p>
    <w:p w14:paraId="3DA21DDB">
      <w:pPr>
        <w:pStyle w:val="101"/>
        <w:ind w:firstLine="482"/>
        <w:jc w:val="both"/>
        <w:rPr>
          <w:rFonts w:hint="default" w:cs="仿宋" w:asciiTheme="minorEastAsia" w:hAnsiTheme="minorEastAsia"/>
          <w:sz w:val="24"/>
          <w:lang w:eastAsia="zh-CN"/>
        </w:rPr>
      </w:pPr>
      <w:r>
        <w:rPr>
          <w:rFonts w:cs="仿宋" w:asciiTheme="minorEastAsia" w:hAnsiTheme="minorEastAsia"/>
          <w:sz w:val="24"/>
        </w:rPr>
        <w:t>3、服务期满并经甲方验收合格后，填写项目验收意见书（一式三份），验收通过之日起一个月内，供应商持项目验收意见书、当期付款金额的增值税普通发票，与甲方结算合同当期应付款。当期付款金额=合同总价款的20%-扣款总金额（甲方参照“附件：服务考核标准”进行扣款金额核算）</w:t>
      </w:r>
      <w:r>
        <w:rPr>
          <w:rFonts w:cs="仿宋" w:asciiTheme="minorEastAsia" w:hAnsiTheme="minorEastAsia"/>
          <w:sz w:val="24"/>
          <w:lang w:eastAsia="zh-CN"/>
        </w:rPr>
        <w:t>。</w:t>
      </w:r>
    </w:p>
    <w:p w14:paraId="753D8776">
      <w:pPr>
        <w:pStyle w:val="101"/>
        <w:ind w:firstLine="482"/>
        <w:jc w:val="both"/>
        <w:rPr>
          <w:rFonts w:hint="default" w:asciiTheme="minorEastAsia" w:hAnsiTheme="minorEastAsia"/>
        </w:rPr>
      </w:pPr>
      <w:r>
        <w:rPr>
          <w:rFonts w:cs="仿宋" w:asciiTheme="minorEastAsia" w:hAnsiTheme="minorEastAsia"/>
          <w:sz w:val="24"/>
          <w:lang w:eastAsia="zh-CN"/>
        </w:rPr>
        <w:t>备注</w:t>
      </w:r>
      <w:r>
        <w:rPr>
          <w:rFonts w:hint="default" w:cs="仿宋" w:asciiTheme="minorEastAsia" w:hAnsiTheme="minorEastAsia"/>
          <w:sz w:val="24"/>
          <w:lang w:eastAsia="zh-CN"/>
        </w:rPr>
        <w:t>：</w:t>
      </w:r>
      <w:r>
        <w:rPr>
          <w:rFonts w:cs="仿宋" w:asciiTheme="minorEastAsia" w:hAnsiTheme="minorEastAsia"/>
          <w:sz w:val="24"/>
        </w:rPr>
        <w:t>上述正常提供维保服务是指由甲方指定的项目负责人对供应商正常服务状态进行签字确认。</w:t>
      </w:r>
    </w:p>
    <w:p w14:paraId="2B890AA8">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14:paraId="436A9DB5">
      <w:pPr>
        <w:wordWrap w:val="0"/>
        <w:ind w:firstLine="480" w:firstLineChars="200"/>
        <w:jc w:val="both"/>
      </w:pPr>
      <w:r>
        <w:t>名  称：_____________________</w:t>
      </w:r>
    </w:p>
    <w:p w14:paraId="6C30F7F3">
      <w:pPr>
        <w:wordWrap w:val="0"/>
        <w:ind w:firstLine="480" w:firstLineChars="200"/>
        <w:jc w:val="both"/>
      </w:pPr>
      <w:r>
        <w:t>开户行：_____________________</w:t>
      </w:r>
    </w:p>
    <w:p w14:paraId="2DA52542">
      <w:pPr>
        <w:wordWrap w:val="0"/>
        <w:ind w:firstLine="480" w:firstLineChars="200"/>
        <w:jc w:val="both"/>
      </w:pPr>
      <w:r>
        <w:t>账  号：_____________________</w:t>
      </w:r>
    </w:p>
    <w:p w14:paraId="339311BF">
      <w:pPr>
        <w:wordWrap w:val="0"/>
        <w:ind w:firstLine="480" w:firstLineChars="200"/>
        <w:jc w:val="both"/>
      </w:pPr>
      <w:r>
        <w:t>甲方仅认可上述指定账户并向该账户付款。否则甲方有权拒绝向指定账户之外的任何账户付款，并且由此导致的付款延迟责任由乙方承担。</w:t>
      </w:r>
    </w:p>
    <w:p w14:paraId="3739DF02">
      <w:pPr>
        <w:spacing w:before="230" w:beforeLines="50"/>
        <w:jc w:val="both"/>
        <w:rPr>
          <w:rFonts w:cs="Calibri Light"/>
          <w:b/>
        </w:rPr>
      </w:pPr>
      <w:r>
        <w:rPr>
          <w:rFonts w:cs="Calibri Light"/>
          <w:b/>
        </w:rPr>
        <w:t>四、双方的权利和义务</w:t>
      </w:r>
    </w:p>
    <w:p w14:paraId="422D3328">
      <w:pPr>
        <w:wordWrap w:val="0"/>
        <w:ind w:firstLine="480" w:firstLineChars="200"/>
        <w:jc w:val="both"/>
      </w:pPr>
      <w:r>
        <w:t>（一）甲方的权利和义务</w:t>
      </w:r>
    </w:p>
    <w:p w14:paraId="09E9130E">
      <w:pPr>
        <w:wordWrap w:val="0"/>
        <w:ind w:firstLine="480" w:firstLineChars="200"/>
        <w:jc w:val="both"/>
      </w:pPr>
      <w:r>
        <w:rPr>
          <w:rFonts w:hint="eastAsia"/>
        </w:rPr>
        <w:t>1、为了保证甲方系统安全和保密要求，在项目服务期间，甲方指定服务地点和环境。</w:t>
      </w:r>
    </w:p>
    <w:p w14:paraId="4D8CB4FC">
      <w:pPr>
        <w:wordWrap w:val="0"/>
        <w:ind w:firstLine="480" w:firstLineChars="200"/>
        <w:jc w:val="both"/>
      </w:pPr>
      <w:r>
        <w:rPr>
          <w:rFonts w:hint="eastAsia"/>
        </w:rPr>
        <w:t>2、在乙方进行现场运行维护时，甲方应按乙方的要求提供相应的软件、硬件及网络环境，保证项目的顺利实施。</w:t>
      </w:r>
    </w:p>
    <w:p w14:paraId="2A080A87">
      <w:pPr>
        <w:wordWrap w:val="0"/>
        <w:ind w:firstLine="480" w:firstLineChars="200"/>
        <w:jc w:val="both"/>
      </w:pPr>
      <w:r>
        <w:rPr>
          <w:rFonts w:hint="eastAsia"/>
        </w:rPr>
        <w:t>3、在甲方安全规定允许的前提下，为乙方的人员进入运维现场提供方便。</w:t>
      </w:r>
    </w:p>
    <w:p w14:paraId="1188B4DD">
      <w:pPr>
        <w:wordWrap w:val="0"/>
        <w:ind w:firstLine="480" w:firstLineChars="200"/>
        <w:jc w:val="both"/>
      </w:pPr>
      <w:r>
        <w:rPr>
          <w:rFonts w:hint="eastAsia"/>
        </w:rPr>
        <w:t>4、在条件允许的情况下，甲方可按照乙方的指导进行非现场运行维护操作。</w:t>
      </w:r>
    </w:p>
    <w:p w14:paraId="448F3144">
      <w:pPr>
        <w:wordWrap w:val="0"/>
        <w:ind w:firstLine="480" w:firstLineChars="200"/>
        <w:jc w:val="both"/>
      </w:pPr>
      <w:r>
        <w:rPr>
          <w:rFonts w:hint="eastAsia"/>
        </w:rPr>
        <w:t>5、甲方及时将本合同下维护范围内出现的故障情况通知乙方，乙方在指定期限内响应并作出故障处理方案。乙方应负责做好故障有关资料的记录工作。</w:t>
      </w:r>
    </w:p>
    <w:p w14:paraId="4461D345">
      <w:pPr>
        <w:wordWrap w:val="0"/>
        <w:ind w:firstLine="480" w:firstLineChars="200"/>
        <w:jc w:val="both"/>
      </w:pPr>
      <w:r>
        <w:rPr>
          <w:rFonts w:hint="eastAsia"/>
        </w:rPr>
        <w:t>6、如不能证明甲方为故意，甲方对乙方工作人员的人身及财产的安全不负任何责任。因乙方或其工作人员的行为造成第三人损害的，与甲方无关，由乙方承担全部责任。</w:t>
      </w:r>
    </w:p>
    <w:p w14:paraId="77F2E889">
      <w:pPr>
        <w:wordWrap w:val="0"/>
        <w:ind w:firstLine="480" w:firstLineChars="200"/>
        <w:jc w:val="both"/>
      </w:pPr>
      <w:r>
        <w:rPr>
          <w:rFonts w:hint="eastAsia"/>
        </w:rPr>
        <w:t>7、甲方有权对乙方工程师的工作态度、技术水平进行监督和评判并提出相应的要求，乙方也会由独立的服务质量监督人员对甲方予以不定期的回访。</w:t>
      </w:r>
    </w:p>
    <w:p w14:paraId="7C799526">
      <w:pPr>
        <w:wordWrap w:val="0"/>
        <w:ind w:firstLine="480" w:firstLineChars="200"/>
        <w:jc w:val="both"/>
      </w:pPr>
      <w:r>
        <w:rPr>
          <w:rFonts w:hint="eastAsia"/>
        </w:rPr>
        <w:t>8、甲方负责提供故障发生前后相关的系统或设备资料、数据和原始记录。</w:t>
      </w:r>
    </w:p>
    <w:p w14:paraId="10616045">
      <w:pPr>
        <w:wordWrap w:val="0"/>
        <w:ind w:firstLine="480" w:firstLineChars="200"/>
        <w:jc w:val="both"/>
      </w:pPr>
      <w:r>
        <w:t>（二）乙方的权利和义务</w:t>
      </w:r>
    </w:p>
    <w:p w14:paraId="19E77735">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1、乙方确保提供运维服务的系统能够稳定安全的运行。保证系统的技术指标先进、质量性能可靠、配置合理，全面满足招标文件要求。</w:t>
      </w:r>
    </w:p>
    <w:p w14:paraId="5FD4DEAE">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2、按照合同要求在规定时间内提供专业化技术人员在甲方现场驻守，确保系统正常运行。</w:t>
      </w:r>
    </w:p>
    <w:p w14:paraId="046F9C6C">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3、乙方为甲方提供定期巡检，做好预防性维护。</w:t>
      </w:r>
    </w:p>
    <w:p w14:paraId="48D07B3B">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4、乙方进入甲方机房，必须经甲方同意后，并由甲方或项目监理人员陪同，同时遵守机房的各种规定。</w:t>
      </w:r>
    </w:p>
    <w:p w14:paraId="01144F6B">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5、乙方在甲方机房操作期间必须由甲方或项目监理人员进行现场监督，所进行的操作必须经过甲方同意；工作结束后，需经甲方、乙方双方现场人员检查系统，书面确认操作内容和操作达到目的，且系统运行正常后方可离开现场。</w:t>
      </w:r>
    </w:p>
    <w:p w14:paraId="03376C34">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6、乙方保证在甲方现场的工作人员严格按照甲方现场管理要求和工作纪律行事。</w:t>
      </w:r>
    </w:p>
    <w:p w14:paraId="003EC071">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7、乙方在接到甲方紧急事故报告后，必须赶乘最快交通工具，在2小时内到达现场并进行事故处理。</w:t>
      </w:r>
    </w:p>
    <w:p w14:paraId="02695AD9">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8、乙方应按甲方要求如期向甲方交付相关文档，如定期的巡检报告、服务报告、现场服务单等。</w:t>
      </w:r>
    </w:p>
    <w:p w14:paraId="1ECEECFB">
      <w:pPr>
        <w:pStyle w:val="42"/>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9、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本合同约定服务范围内软件的运行维护服务。</w:t>
      </w:r>
    </w:p>
    <w:p w14:paraId="51D4F364">
      <w:pPr>
        <w:pStyle w:val="42"/>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10、乙方提供运行维护服务期间，应当保证甲方设备、网络、应用系统及数据的安全，并对甲方的所有相关数据及技术信息进行保密，不得外泄。</w:t>
      </w:r>
    </w:p>
    <w:p w14:paraId="27812B5C">
      <w:pPr>
        <w:spacing w:before="230" w:beforeLines="50"/>
        <w:jc w:val="both"/>
        <w:rPr>
          <w:rFonts w:cs="Calibri Light"/>
          <w:b/>
        </w:rPr>
      </w:pPr>
      <w:r>
        <w:rPr>
          <w:rFonts w:cs="Calibri Light"/>
          <w:b/>
        </w:rPr>
        <w:t>五、</w:t>
      </w:r>
      <w:r>
        <w:rPr>
          <w:rFonts w:hint="eastAsia" w:cs="Calibri Light"/>
          <w:b/>
        </w:rPr>
        <w:t>质量保证</w:t>
      </w:r>
    </w:p>
    <w:p w14:paraId="308F87EF">
      <w:pPr>
        <w:ind w:firstLine="567"/>
      </w:pPr>
      <w:r>
        <w:rPr>
          <w:rFonts w:hint="eastAsia"/>
        </w:rPr>
        <w:t>（一）保证提供的系统运维方案科学、可行，人员配置合理，全面满足各项服务要求。系统运维符合国家有关服务规范要求，确保系统达到最佳运行状态。</w:t>
      </w:r>
    </w:p>
    <w:p w14:paraId="0D5EB78A">
      <w:pPr>
        <w:ind w:firstLine="567"/>
      </w:pPr>
      <w:r>
        <w:rPr>
          <w:rFonts w:hint="eastAsia"/>
        </w:rPr>
        <w:t>（二）有专门的运维小组，分工明确（应有具体成员名单，包括姓名、所在公司、职务、职称、工作职责、联系方式等）。乙方必须提供投标文件中承诺的技术服务团队，该团队在服务期间未经甲方书面同意不得从事其他任何工作。</w:t>
      </w:r>
    </w:p>
    <w:p w14:paraId="05B3E933">
      <w:pPr>
        <w:ind w:firstLine="567"/>
      </w:pPr>
      <w:r>
        <w:rPr>
          <w:rFonts w:hint="eastAsia"/>
        </w:rPr>
        <w:t>（三）有各类突发事件的应急预案，且具有可操作性，并提交甲方审核通过。</w:t>
      </w:r>
    </w:p>
    <w:p w14:paraId="6206089D">
      <w:pPr>
        <w:ind w:firstLine="567"/>
      </w:pPr>
      <w:r>
        <w:rPr>
          <w:rFonts w:hint="eastAsia"/>
        </w:rPr>
        <w:t>（四）运维服务人员能满足要求并完成服务任务。乙方运维服务过程中使用的软件系统，若发生侵权而产生的一切后果，由乙方负责，甲方保留索赔权力。</w:t>
      </w:r>
    </w:p>
    <w:p w14:paraId="1C856CFE">
      <w:pPr>
        <w:ind w:firstLine="567"/>
      </w:pPr>
      <w:r>
        <w:rPr>
          <w:rFonts w:hint="eastAsia"/>
        </w:rPr>
        <w:t>（五）乙方承诺，因乙方原因造成的服务期内本项目涉及的所有人员伤亡、财产损失等安全责任均由乙方承担。</w:t>
      </w:r>
    </w:p>
    <w:p w14:paraId="45B30CB6">
      <w:pPr>
        <w:ind w:firstLine="567"/>
      </w:pPr>
      <w:r>
        <w:rPr>
          <w:rFonts w:hint="eastAsia"/>
        </w:rPr>
        <w:t>（六）运行维护的系统软件技术成果的知识产权归甲方所有。</w:t>
      </w:r>
    </w:p>
    <w:p w14:paraId="1D5F0E63">
      <w:pPr>
        <w:ind w:firstLine="567"/>
      </w:pPr>
      <w:r>
        <w:rPr>
          <w:rFonts w:hint="eastAsia"/>
        </w:rPr>
        <w:t>（七）乙方在甲方提供的软件源代码的基础上进行运行维护，确保软件质量，并负责软件运行维护、测试所需的房屋场地、软硬件设备、通信线路等运行所依赖的环境。</w:t>
      </w:r>
    </w:p>
    <w:p w14:paraId="718A2D59">
      <w:pPr>
        <w:spacing w:before="230" w:beforeLines="50"/>
        <w:jc w:val="both"/>
        <w:rPr>
          <w:rFonts w:cs="Calibri Light"/>
          <w:b/>
        </w:rPr>
      </w:pPr>
      <w:r>
        <w:rPr>
          <w:rFonts w:hint="eastAsia" w:cs="Calibri Light"/>
          <w:b/>
        </w:rPr>
        <w:t>六</w:t>
      </w:r>
      <w:r>
        <w:rPr>
          <w:rFonts w:cs="Calibri Light"/>
          <w:b/>
        </w:rPr>
        <w:t>、知识产权及承诺</w:t>
      </w:r>
    </w:p>
    <w:p w14:paraId="5CFAB05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14:paraId="184C8B2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4B83D0FA">
      <w:pPr>
        <w:spacing w:before="230" w:beforeLines="50"/>
        <w:jc w:val="both"/>
        <w:rPr>
          <w:rFonts w:cs="Calibri Light"/>
          <w:b/>
        </w:rPr>
      </w:pPr>
      <w:r>
        <w:rPr>
          <w:rFonts w:hint="eastAsia" w:cs="Calibri Light"/>
          <w:b/>
        </w:rPr>
        <w:t>七</w:t>
      </w:r>
      <w:r>
        <w:rPr>
          <w:rFonts w:cs="Calibri Light"/>
          <w:b/>
        </w:rPr>
        <w:t>、验收</w:t>
      </w:r>
    </w:p>
    <w:p w14:paraId="1AF4F74A">
      <w:pPr>
        <w:wordWrap w:val="0"/>
        <w:ind w:firstLine="480" w:firstLineChars="200"/>
        <w:jc w:val="both"/>
      </w:pPr>
      <w:r>
        <w:t>（一）服务期满后，甲方根据磋商文件和响应文件及相关文件，进行验收，确认服务标准和服务方式是否达到采购要求。</w:t>
      </w:r>
    </w:p>
    <w:p w14:paraId="42BF9E03">
      <w:pPr>
        <w:wordWrap w:val="0"/>
        <w:ind w:firstLine="480" w:firstLineChars="200"/>
        <w:jc w:val="both"/>
      </w:pPr>
      <w:r>
        <w:t>（二）甲方组织乙方（必要时请有关专家）进行验收，验收合格后，填写政府采购项目验收单（一式</w:t>
      </w:r>
      <w:r>
        <w:rPr>
          <w:rFonts w:hint="eastAsia"/>
        </w:rPr>
        <w:t>三</w:t>
      </w:r>
      <w:r>
        <w:t>份）作为对</w:t>
      </w:r>
      <w:r>
        <w:rPr>
          <w:rFonts w:hint="eastAsia"/>
        </w:rPr>
        <w:t>运维服务的</w:t>
      </w:r>
      <w:r>
        <w:t>最终认可</w:t>
      </w:r>
      <w:r>
        <w:rPr>
          <w:rFonts w:hint="eastAsia"/>
        </w:rPr>
        <w:t>，乙方未在甲方指定的时间参与验收的，视为认可甲方的验收结果。</w:t>
      </w:r>
    </w:p>
    <w:p w14:paraId="4C1DA18C">
      <w:pPr>
        <w:wordWrap w:val="0"/>
        <w:ind w:firstLine="480" w:firstLineChars="200"/>
        <w:jc w:val="both"/>
      </w:pPr>
      <w:r>
        <w:t>（三）乙方向甲方提供服务过程中的所有资料，以便甲方日后管理。</w:t>
      </w:r>
    </w:p>
    <w:p w14:paraId="27CB4423">
      <w:pPr>
        <w:wordWrap w:val="0"/>
        <w:ind w:firstLine="480" w:firstLineChars="200"/>
        <w:jc w:val="both"/>
      </w:pPr>
      <w:r>
        <w:t>（四）验收依据：</w:t>
      </w:r>
    </w:p>
    <w:p w14:paraId="3C01C91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14:paraId="2B8CFB35">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14:paraId="5A8DF765">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合同签订时国家及行业现行的标准和技术规范，合同履行过程中相关标准和规范发生变化的，按照最新的标准及规范执行</w:t>
      </w:r>
      <w:r>
        <w:rPr>
          <w:rFonts w:asciiTheme="minorHAnsi" w:hAnsiTheme="minorHAnsi" w:eastAsiaTheme="minorEastAsia"/>
          <w:sz w:val="24"/>
          <w:szCs w:val="24"/>
        </w:rPr>
        <w:t>。</w:t>
      </w:r>
    </w:p>
    <w:p w14:paraId="1358C10D">
      <w:pPr>
        <w:spacing w:before="230" w:beforeLines="50"/>
        <w:jc w:val="both"/>
        <w:rPr>
          <w:rFonts w:cs="Calibri Light"/>
          <w:b/>
        </w:rPr>
      </w:pPr>
      <w:r>
        <w:rPr>
          <w:rFonts w:hint="eastAsia" w:cs="Calibri Light"/>
          <w:b/>
        </w:rPr>
        <w:t>八</w:t>
      </w:r>
      <w:r>
        <w:rPr>
          <w:rFonts w:cs="Calibri Light"/>
          <w:b/>
        </w:rPr>
        <w:t>、违约责任</w:t>
      </w:r>
    </w:p>
    <w:p w14:paraId="4EF2BDA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305ACD3">
      <w:pPr>
        <w:ind w:firstLine="567"/>
        <w:jc w:val="both"/>
      </w:pPr>
      <w:r>
        <w:t>（二）</w:t>
      </w:r>
      <w:r>
        <w:rPr>
          <w:rFonts w:hint="eastAsia"/>
        </w:rPr>
        <w:t>出现下列情形之一的，甲方有权要求中标乙方按照合同总价款的20%承担违约责任，如造成甲方的损失大于违约金的，还应承担赔偿责任：</w:t>
      </w:r>
    </w:p>
    <w:p w14:paraId="1BC400EF">
      <w:pPr>
        <w:ind w:firstLine="480" w:firstLineChars="200"/>
        <w:jc w:val="both"/>
      </w:pPr>
      <w:r>
        <w:rPr>
          <w:rFonts w:hint="eastAsia"/>
        </w:rPr>
        <w:t>1、乙方逾期不实施项目工作计划，但逾期不足10天的；</w:t>
      </w:r>
    </w:p>
    <w:p w14:paraId="496481FA">
      <w:pPr>
        <w:ind w:firstLine="480" w:firstLineChars="200"/>
        <w:jc w:val="both"/>
      </w:pPr>
      <w:r>
        <w:rPr>
          <w:rFonts w:hint="eastAsia"/>
        </w:rPr>
        <w:t>2、乙方未按照投标文件配置设施人员的；</w:t>
      </w:r>
    </w:p>
    <w:p w14:paraId="2FDB33A8">
      <w:pPr>
        <w:ind w:firstLine="480" w:firstLineChars="200"/>
        <w:jc w:val="both"/>
      </w:pPr>
      <w:r>
        <w:rPr>
          <w:rFonts w:hint="eastAsia"/>
        </w:rPr>
        <w:t>3、乙方没有按照合同约定或甲方要求时间完成项目的；</w:t>
      </w:r>
    </w:p>
    <w:p w14:paraId="075973B9">
      <w:pPr>
        <w:ind w:firstLine="480" w:firstLineChars="200"/>
        <w:jc w:val="both"/>
      </w:pPr>
      <w:r>
        <w:rPr>
          <w:rFonts w:hint="eastAsia"/>
        </w:rPr>
        <w:t>4、乙方完成并向甲方提交的项目成果未能通过验收的；</w:t>
      </w:r>
    </w:p>
    <w:p w14:paraId="0DB942D2">
      <w:pPr>
        <w:ind w:firstLine="480" w:firstLineChars="200"/>
        <w:jc w:val="both"/>
      </w:pPr>
      <w:r>
        <w:rPr>
          <w:rFonts w:hint="eastAsia"/>
        </w:rPr>
        <w:t>5、乙方或乙方的工作人员违反保密义务的；</w:t>
      </w:r>
    </w:p>
    <w:p w14:paraId="17453820">
      <w:pPr>
        <w:ind w:firstLine="480" w:firstLineChars="200"/>
        <w:jc w:val="both"/>
      </w:pPr>
      <w:r>
        <w:rPr>
          <w:rFonts w:hint="eastAsia"/>
        </w:rPr>
        <w:t>6、乙方提供的技术侵犯他人合法权益的；</w:t>
      </w:r>
    </w:p>
    <w:p w14:paraId="5586E230">
      <w:pPr>
        <w:ind w:firstLine="480" w:firstLineChars="200"/>
        <w:jc w:val="both"/>
      </w:pPr>
      <w:r>
        <w:rPr>
          <w:rFonts w:hint="eastAsia"/>
        </w:rPr>
        <w:t>7、乙方未能在合同约定的时间内达到现场处理故障，次数超过3次的；</w:t>
      </w:r>
    </w:p>
    <w:p w14:paraId="32A03EFA">
      <w:pPr>
        <w:ind w:firstLine="480" w:firstLineChars="200"/>
        <w:jc w:val="both"/>
      </w:pPr>
      <w:r>
        <w:rPr>
          <w:rFonts w:hint="eastAsia"/>
        </w:rPr>
        <w:t>8、违反甲方相关管理规定，经甲方提出整改要求且拒不整改的；</w:t>
      </w:r>
    </w:p>
    <w:p w14:paraId="489CDA1B">
      <w:pPr>
        <w:ind w:firstLine="480" w:firstLineChars="200"/>
        <w:jc w:val="both"/>
      </w:pPr>
      <w:r>
        <w:rPr>
          <w:rFonts w:hint="eastAsia"/>
        </w:rPr>
        <w:t>9、乙方在服务过程中未发现问题或未按照合同及附件要求进行服务，直接或间接造成系统或设备故障的；</w:t>
      </w:r>
    </w:p>
    <w:p w14:paraId="516296C5">
      <w:pPr>
        <w:ind w:firstLine="480" w:firstLineChars="200"/>
        <w:jc w:val="both"/>
      </w:pPr>
      <w:r>
        <w:rPr>
          <w:rFonts w:hint="eastAsia"/>
        </w:rPr>
        <w:t>10、乙方违反的合同义务的其他行为的。</w:t>
      </w:r>
    </w:p>
    <w:p w14:paraId="4E3EDB02">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w:t>
      </w:r>
      <w:r>
        <w:rPr>
          <w:rFonts w:hint="eastAsia" w:asciiTheme="minorHAnsi" w:hAnsiTheme="minorHAnsi" w:eastAsiaTheme="minorEastAsia"/>
          <w:sz w:val="24"/>
          <w:szCs w:val="24"/>
        </w:rPr>
        <w:t>甲方逾期付款的，中标乙方有权要求甲方以当期应付未付款项为基数，每逾期一日按照日万分之五支付违约金，但不得超过当期应付未付款项的10%。</w:t>
      </w:r>
    </w:p>
    <w:p w14:paraId="56BF27A5">
      <w:pPr>
        <w:ind w:firstLine="480" w:firstLineChars="200"/>
      </w:pPr>
      <w:r>
        <w:rPr>
          <w:rFonts w:hint="eastAsia"/>
        </w:rPr>
        <w:t>（四）乙方出现下列情形之一的，甲方有权解除合同，乙方除应返还甲方已支付的全部价款外，还应按照合同总金额30%的向甲方承担违约责任，如造成甲方的损失大于违约金的，还应承担赔偿责任：</w:t>
      </w:r>
    </w:p>
    <w:p w14:paraId="7E60B9FB">
      <w:pPr>
        <w:ind w:firstLine="480" w:firstLineChars="200"/>
      </w:pPr>
      <w:r>
        <w:rPr>
          <w:rFonts w:hint="eastAsia"/>
        </w:rPr>
        <w:t>1、未经甲方书面同意，擅自将合同项下全部或部分义务转包或分包第三人的；</w:t>
      </w:r>
    </w:p>
    <w:p w14:paraId="5FCBD89A">
      <w:pPr>
        <w:ind w:firstLine="480" w:firstLineChars="200"/>
      </w:pPr>
      <w:r>
        <w:rPr>
          <w:rFonts w:hint="eastAsia"/>
        </w:rPr>
        <w:t>2、乙方提供的技术服务致使甲方设备、系统损坏的；</w:t>
      </w:r>
    </w:p>
    <w:p w14:paraId="2A41870E">
      <w:pPr>
        <w:ind w:firstLine="480" w:firstLineChars="200"/>
      </w:pPr>
      <w:r>
        <w:rPr>
          <w:rFonts w:hint="eastAsia"/>
        </w:rPr>
        <w:t>3、乙方未按相关条款及附件约定的时间或条件对软件进行修改、升级的，或进行修改、升级的软件经测试验收不合格，又未在甲方指定的时间内负责修改或测试的；</w:t>
      </w:r>
    </w:p>
    <w:p w14:paraId="2EE6E846">
      <w:pPr>
        <w:ind w:firstLine="480" w:firstLineChars="200"/>
      </w:pPr>
      <w:r>
        <w:rPr>
          <w:rFonts w:hint="eastAsia"/>
        </w:rPr>
        <w:t>4、乙方提供的技术服务侵犯第三人权益的，且未能在甲方指定的时间内解决的；</w:t>
      </w:r>
    </w:p>
    <w:p w14:paraId="6B698424">
      <w:pPr>
        <w:ind w:firstLine="480" w:firstLineChars="200"/>
      </w:pPr>
      <w:r>
        <w:rPr>
          <w:rFonts w:hint="eastAsia"/>
        </w:rPr>
        <w:t>5、乙方未按照投标文件配置设施人员或者未经甲方书面许可擅自变更人员或开发团队的，且未在甲方指定的时间内改正的；</w:t>
      </w:r>
    </w:p>
    <w:p w14:paraId="49FF5A8E">
      <w:pPr>
        <w:ind w:firstLine="480" w:firstLineChars="200"/>
      </w:pPr>
      <w:r>
        <w:rPr>
          <w:rFonts w:hint="eastAsia"/>
        </w:rPr>
        <w:t>6、乙方逾期不实施项目工作计划，且逾期超过10天；</w:t>
      </w:r>
    </w:p>
    <w:p w14:paraId="6441CEA1">
      <w:pPr>
        <w:ind w:firstLine="480" w:firstLineChars="200"/>
      </w:pPr>
      <w:r>
        <w:rPr>
          <w:rFonts w:hint="eastAsia"/>
        </w:rPr>
        <w:t>7、违反甲方相关管理规定，经甲方提出整改要求且拒不整改，并造成具体的损害后果的；</w:t>
      </w:r>
    </w:p>
    <w:p w14:paraId="4BA0D68C">
      <w:pPr>
        <w:ind w:firstLine="480" w:firstLineChars="200"/>
      </w:pPr>
      <w:r>
        <w:rPr>
          <w:rFonts w:hint="eastAsia"/>
        </w:rPr>
        <w:t>8、乙方在服务过程中未发现问题或未按照合同及附件要求进行服务，直接或间接造成系统或设备故障，且未及时采取必要措施或未及时报备的；</w:t>
      </w:r>
    </w:p>
    <w:p w14:paraId="74538D73">
      <w:pPr>
        <w:ind w:firstLine="480" w:firstLineChars="200"/>
      </w:pPr>
      <w:r>
        <w:rPr>
          <w:rFonts w:hint="eastAsia"/>
        </w:rPr>
        <w:t>9、其他严重违反本合同约定的行为。</w:t>
      </w:r>
    </w:p>
    <w:p w14:paraId="446677C1">
      <w:pPr>
        <w:ind w:firstLine="480" w:firstLineChars="200"/>
      </w:pPr>
      <w:r>
        <w:rPr>
          <w:rFonts w:hint="eastAsia"/>
        </w:rPr>
        <w:t>合同解除异议期为一个月，自收到解除通知之日起计算。</w:t>
      </w:r>
    </w:p>
    <w:p w14:paraId="21D6C201">
      <w:pPr>
        <w:ind w:firstLine="480" w:firstLineChars="200"/>
      </w:pPr>
      <w:r>
        <w:rPr>
          <w:rFonts w:hint="eastAsia"/>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5C64B497">
      <w:pPr>
        <w:spacing w:before="230" w:beforeLines="50"/>
        <w:jc w:val="both"/>
        <w:rPr>
          <w:rFonts w:cs="Calibri Light"/>
          <w:b/>
        </w:rPr>
      </w:pPr>
      <w:r>
        <w:rPr>
          <w:rFonts w:hint="eastAsia" w:cs="Calibri Light"/>
          <w:b/>
        </w:rPr>
        <w:t>九</w:t>
      </w:r>
      <w:r>
        <w:rPr>
          <w:rFonts w:cs="Calibri Light"/>
          <w:b/>
        </w:rPr>
        <w:t>、合同的变更和修改、中止和终止</w:t>
      </w:r>
    </w:p>
    <w:p w14:paraId="1E70EF08">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D8EC82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19A0FCCD">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500EF15B">
      <w:pPr>
        <w:spacing w:before="230" w:beforeLines="50"/>
        <w:jc w:val="both"/>
        <w:rPr>
          <w:rFonts w:cs="Calibri Light"/>
          <w:b/>
        </w:rPr>
      </w:pPr>
      <w:r>
        <w:rPr>
          <w:rFonts w:hint="eastAsia" w:cs="Calibri Light"/>
          <w:b/>
        </w:rPr>
        <w:t>十</w:t>
      </w:r>
      <w:r>
        <w:rPr>
          <w:rFonts w:cs="Calibri Light"/>
          <w:b/>
        </w:rPr>
        <w:t>、保密条款</w:t>
      </w:r>
    </w:p>
    <w:p w14:paraId="684E025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w:t>
      </w:r>
      <w:r>
        <w:rPr>
          <w:rFonts w:hint="eastAsia" w:asciiTheme="minorHAnsi" w:hAnsiTheme="minorHAnsi" w:eastAsiaTheme="minorEastAsia"/>
          <w:sz w:val="24"/>
          <w:szCs w:val="24"/>
        </w:rPr>
        <w:t>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r>
        <w:rPr>
          <w:rFonts w:asciiTheme="minorHAnsi" w:hAnsiTheme="minorHAnsi" w:eastAsiaTheme="minorEastAsia"/>
          <w:sz w:val="24"/>
          <w:szCs w:val="24"/>
        </w:rPr>
        <w:t>。</w:t>
      </w:r>
    </w:p>
    <w:p w14:paraId="13BC3B4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r>
        <w:rPr>
          <w:rFonts w:asciiTheme="minorHAnsi" w:hAnsiTheme="minorHAnsi" w:eastAsiaTheme="minorEastAsia"/>
          <w:sz w:val="24"/>
          <w:szCs w:val="24"/>
        </w:rPr>
        <w:t>。</w:t>
      </w:r>
    </w:p>
    <w:p w14:paraId="791101E4">
      <w:pPr>
        <w:ind w:firstLine="480" w:firstLineChars="200"/>
      </w:pPr>
      <w:r>
        <w:rPr>
          <w:rFonts w:hint="eastAsia"/>
        </w:rPr>
        <w:t>（三）本条款为独立条款，本合同的无效、变更、解除和终止均不影响本条款的效力。</w:t>
      </w:r>
    </w:p>
    <w:p w14:paraId="1C828D6E">
      <w:pPr>
        <w:ind w:firstLine="480" w:firstLineChars="200"/>
      </w:pPr>
      <w:r>
        <w:rPr>
          <w:rFonts w:hint="eastAsia"/>
        </w:rPr>
        <w:t>（四）保密期限：长期。</w:t>
      </w:r>
    </w:p>
    <w:p w14:paraId="3660BCF1">
      <w:pPr>
        <w:ind w:firstLine="480" w:firstLineChars="200"/>
      </w:pPr>
      <w:r>
        <w:rPr>
          <w:rFonts w:hint="eastAsia"/>
        </w:rPr>
        <w:t>（五）保密费用已包含本合同总价款内，甲方不再另行向乙方支付保密费用。</w:t>
      </w:r>
    </w:p>
    <w:p w14:paraId="4087EB27">
      <w:pPr>
        <w:spacing w:before="230" w:beforeLines="50"/>
        <w:jc w:val="both"/>
        <w:rPr>
          <w:rFonts w:cs="Calibri Light"/>
          <w:b/>
        </w:rPr>
      </w:pPr>
      <w:r>
        <w:rPr>
          <w:rFonts w:cs="Calibri Light"/>
          <w:b/>
        </w:rPr>
        <w:t>十</w:t>
      </w:r>
      <w:r>
        <w:rPr>
          <w:rFonts w:hint="eastAsia" w:cs="Calibri Light"/>
          <w:b/>
        </w:rPr>
        <w:t>一</w:t>
      </w:r>
      <w:r>
        <w:rPr>
          <w:rFonts w:cs="Calibri Light"/>
          <w:b/>
        </w:rPr>
        <w:t>、</w:t>
      </w:r>
      <w:r>
        <w:rPr>
          <w:rFonts w:hint="eastAsia" w:cs="Calibri Light"/>
          <w:b/>
        </w:rPr>
        <w:t>送达</w:t>
      </w:r>
    </w:p>
    <w:p w14:paraId="19300EE0">
      <w:pPr>
        <w:ind w:firstLine="567"/>
      </w:pPr>
      <w:r>
        <w:rPr>
          <w:rFonts w:hint="eastAsia"/>
        </w:rPr>
        <w:t>（一）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63B755FB">
      <w:pPr>
        <w:ind w:firstLine="480" w:firstLineChars="200"/>
      </w:pPr>
      <w:r>
        <w:rPr>
          <w:rFonts w:hint="eastAsia"/>
        </w:rPr>
        <w:t>（二）甲方指定联系人为：      ，联系电话为：            ，电子邮箱为：               ，邮寄地址为：                  。</w:t>
      </w:r>
    </w:p>
    <w:p w14:paraId="7EED6D0A">
      <w:pPr>
        <w:ind w:firstLine="567"/>
      </w:pPr>
      <w:r>
        <w:rPr>
          <w:rFonts w:hint="eastAsia"/>
        </w:rPr>
        <w:t>（三）乙方指定联系人为：   ，联系电话为：            ，电子邮箱为：            ，邮寄地址为：            。</w:t>
      </w:r>
    </w:p>
    <w:p w14:paraId="373B5981">
      <w:pPr>
        <w:spacing w:before="230" w:beforeLines="50"/>
        <w:jc w:val="both"/>
        <w:rPr>
          <w:rFonts w:cs="Calibri Light"/>
          <w:b/>
        </w:rPr>
      </w:pPr>
      <w:r>
        <w:rPr>
          <w:rFonts w:hint="eastAsia" w:cs="Calibri Light"/>
          <w:b/>
        </w:rPr>
        <w:t>十二</w:t>
      </w:r>
      <w:r>
        <w:rPr>
          <w:rFonts w:cs="Calibri Light"/>
          <w:b/>
        </w:rPr>
        <w:t>、争议解决</w:t>
      </w:r>
    </w:p>
    <w:p w14:paraId="7AE5789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5050F534">
      <w:pPr>
        <w:wordWrap w:val="0"/>
        <w:ind w:firstLine="480" w:firstLineChars="200"/>
        <w:jc w:val="both"/>
      </w:pPr>
      <w:r>
        <w:t>（二）凡与本合同有关的一切争议，双方应通过友好协商解决。如协商后仍不能达成协议时，按下列第2种方式解决。</w:t>
      </w:r>
    </w:p>
    <w:p w14:paraId="4CDBA189">
      <w:pPr>
        <w:wordWrap w:val="0"/>
        <w:ind w:firstLine="480" w:firstLineChars="200"/>
        <w:jc w:val="both"/>
      </w:pPr>
      <w:r>
        <w:t>1．提交西安仲裁委员会。</w:t>
      </w:r>
    </w:p>
    <w:p w14:paraId="20D0CFDA">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14:paraId="7D8672B7">
      <w:pPr>
        <w:ind w:firstLine="480" w:firstLineChars="200"/>
      </w:pPr>
      <w:r>
        <w:rPr>
          <w:rFonts w:hint="eastAsia"/>
        </w:rPr>
        <w:t>（三）本条款为独立条款，本合同的无效、变更、解除和终止均不影响本条款的效力。</w:t>
      </w:r>
    </w:p>
    <w:p w14:paraId="591371A1">
      <w:pPr>
        <w:ind w:firstLine="480" w:firstLineChars="200"/>
      </w:pPr>
      <w:r>
        <w:rPr>
          <w:rFonts w:hint="eastAsia"/>
        </w:rPr>
        <w:t>（四）本合同履行过程中，文件解释顺序为正式合同、招标文件、澄清函、投标文件、国家或行业标准。</w:t>
      </w:r>
    </w:p>
    <w:p w14:paraId="5AFDDAC6">
      <w:pPr>
        <w:spacing w:before="230" w:beforeLines="50"/>
        <w:jc w:val="both"/>
        <w:rPr>
          <w:rFonts w:cs="Calibri Light"/>
          <w:b/>
        </w:rPr>
      </w:pPr>
      <w:r>
        <w:rPr>
          <w:rFonts w:cs="Calibri Light"/>
          <w:b/>
        </w:rPr>
        <w:t>十</w:t>
      </w:r>
      <w:r>
        <w:rPr>
          <w:rFonts w:hint="eastAsia" w:cs="Calibri Light"/>
          <w:b/>
        </w:rPr>
        <w:t>三</w:t>
      </w:r>
      <w:r>
        <w:rPr>
          <w:rFonts w:cs="Calibri Light"/>
          <w:b/>
        </w:rPr>
        <w:t>、</w:t>
      </w:r>
      <w:r>
        <w:rPr>
          <w:rFonts w:hint="eastAsia" w:cs="Calibri Light"/>
          <w:b/>
        </w:rPr>
        <w:t>合同变更</w:t>
      </w:r>
    </w:p>
    <w:p w14:paraId="15A2DD13">
      <w:pPr>
        <w:ind w:firstLine="567"/>
      </w:pPr>
      <w:r>
        <w:rPr>
          <w:rFonts w:hint="eastAsia"/>
        </w:rPr>
        <w:t>在合同的执行期内，双方均不得随意变更或解除合同。如因项目需求情况发生变化，需要项目变更的，应双方协商后签订项目变更协议，并经鉴证方书面确认后生效（如双方变更事项不能达成一致的，仍按原合同履行，否则视为违约）。</w:t>
      </w:r>
    </w:p>
    <w:p w14:paraId="2407DD2C">
      <w:pPr>
        <w:rPr>
          <w:rFonts w:cs="Calibri Light"/>
          <w:b/>
        </w:rPr>
      </w:pPr>
      <w:r>
        <w:rPr>
          <w:rFonts w:hint="eastAsia" w:cs="Calibri Light"/>
          <w:b/>
        </w:rPr>
        <w:t>十四、合同生效及其他</w:t>
      </w:r>
    </w:p>
    <w:p w14:paraId="5CBCAE75">
      <w:pPr>
        <w:ind w:firstLine="567"/>
      </w:pPr>
      <w:r>
        <w:rPr>
          <w:rFonts w:hint="eastAsia"/>
        </w:rPr>
        <w:t>1、本合同壹式陆份，甲方肆份，乙方贰份，合同自甲方、乙方双方签字盖章后生效。</w:t>
      </w:r>
    </w:p>
    <w:p w14:paraId="4D7DB7AA">
      <w:pPr>
        <w:pStyle w:val="15"/>
        <w:ind w:firstLine="600" w:firstLineChars="250"/>
        <w:rPr>
          <w:rFonts w:asciiTheme="minorHAnsi" w:hAnsiTheme="minorHAnsi" w:eastAsiaTheme="minorEastAsia"/>
          <w:kern w:val="0"/>
          <w:sz w:val="24"/>
          <w:szCs w:val="24"/>
        </w:rPr>
      </w:pPr>
      <w:r>
        <w:rPr>
          <w:rFonts w:hint="eastAsia" w:asciiTheme="minorHAnsi" w:hAnsiTheme="minorHAnsi" w:eastAsiaTheme="minorEastAsia"/>
          <w:kern w:val="0"/>
          <w:sz w:val="24"/>
          <w:szCs w:val="24"/>
        </w:rPr>
        <w:t>2、合同附件是本合同的组成部分，具有与本合同同等的法律效力。</w:t>
      </w:r>
    </w:p>
    <w:p w14:paraId="6AFBC395">
      <w:pPr>
        <w:pStyle w:val="11"/>
        <w:widowControl/>
        <w:ind w:firstLine="480" w:firstLineChars="200"/>
        <w:rPr>
          <w:rFonts w:asciiTheme="minorHAnsi" w:hAnsiTheme="minorHAnsi" w:eastAsiaTheme="minorEastAsia"/>
          <w:kern w:val="0"/>
          <w:sz w:val="24"/>
          <w:szCs w:val="24"/>
        </w:rPr>
      </w:pPr>
      <w:r>
        <w:rPr>
          <w:rFonts w:hint="eastAsia" w:asciiTheme="minorHAnsi" w:hAnsiTheme="minorHAnsi" w:eastAsiaTheme="minorEastAsia"/>
          <w:kern w:val="0"/>
          <w:sz w:val="24"/>
          <w:szCs w:val="24"/>
        </w:rPr>
        <w:t>3、甲方与乙方就双方的权利义务有不同解释的，双方同意采用以下顺序解释：（1）双方签订的补充协议；（2）本合同；（3）招标文件；（4）澄清表（函）；（5）投标文件。</w:t>
      </w:r>
    </w:p>
    <w:p w14:paraId="578B0843">
      <w:pPr>
        <w:ind w:firstLine="567"/>
      </w:pPr>
      <w:r>
        <w:rPr>
          <w:rFonts w:hint="eastAsia"/>
        </w:rPr>
        <w:t>4、如本合同有未尽事宜，以招标文件为准，招标文件未做要求的，由双方依法订立补充合同。</w:t>
      </w:r>
    </w:p>
    <w:p w14:paraId="0BC8EA27">
      <w:pPr>
        <w:ind w:right="600"/>
      </w:pPr>
      <w:r>
        <w:rPr>
          <w:rFonts w:hint="eastAsia"/>
        </w:rPr>
        <w:t>附件：服务考核标准</w:t>
      </w:r>
    </w:p>
    <w:tbl>
      <w:tblPr>
        <w:tblStyle w:val="2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712"/>
        <w:gridCol w:w="826"/>
        <w:gridCol w:w="1960"/>
      </w:tblGrid>
      <w:tr w14:paraId="513F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35CB9EA7">
            <w:pPr>
              <w:jc w:val="center"/>
              <w:rPr>
                <w:rFonts w:ascii="仿宋" w:hAnsi="仿宋" w:eastAsia="仿宋" w:cs="仿宋"/>
                <w:sz w:val="21"/>
                <w:szCs w:val="21"/>
              </w:rPr>
            </w:pPr>
            <w:r>
              <w:rPr>
                <w:rFonts w:hint="eastAsia" w:ascii="仿宋" w:hAnsi="仿宋" w:eastAsia="仿宋" w:cs="仿宋"/>
                <w:sz w:val="21"/>
                <w:szCs w:val="21"/>
              </w:rPr>
              <w:t>序号</w:t>
            </w:r>
          </w:p>
        </w:tc>
        <w:tc>
          <w:tcPr>
            <w:tcW w:w="5103" w:type="dxa"/>
            <w:tcBorders>
              <w:top w:val="single" w:color="auto" w:sz="4" w:space="0"/>
              <w:left w:val="single" w:color="auto" w:sz="4" w:space="0"/>
              <w:bottom w:val="single" w:color="auto" w:sz="4" w:space="0"/>
              <w:right w:val="single" w:color="auto" w:sz="4" w:space="0"/>
            </w:tcBorders>
            <w:vAlign w:val="center"/>
          </w:tcPr>
          <w:p w14:paraId="5F924741">
            <w:pPr>
              <w:jc w:val="center"/>
              <w:rPr>
                <w:rFonts w:ascii="仿宋" w:hAnsi="仿宋" w:eastAsia="仿宋" w:cs="仿宋"/>
                <w:sz w:val="21"/>
                <w:szCs w:val="21"/>
              </w:rPr>
            </w:pPr>
            <w:r>
              <w:rPr>
                <w:rFonts w:hint="eastAsia" w:ascii="仿宋" w:hAnsi="仿宋" w:eastAsia="仿宋" w:cs="仿宋"/>
                <w:sz w:val="21"/>
                <w:szCs w:val="21"/>
              </w:rPr>
              <w:t>主要问题</w:t>
            </w:r>
          </w:p>
        </w:tc>
        <w:tc>
          <w:tcPr>
            <w:tcW w:w="738" w:type="dxa"/>
            <w:tcBorders>
              <w:top w:val="single" w:color="auto" w:sz="4" w:space="0"/>
              <w:left w:val="single" w:color="auto" w:sz="4" w:space="0"/>
              <w:bottom w:val="single" w:color="auto" w:sz="4" w:space="0"/>
              <w:right w:val="single" w:color="auto" w:sz="4" w:space="0"/>
            </w:tcBorders>
            <w:vAlign w:val="center"/>
          </w:tcPr>
          <w:p w14:paraId="09C4799C">
            <w:pPr>
              <w:jc w:val="center"/>
              <w:rPr>
                <w:rFonts w:ascii="仿宋" w:hAnsi="仿宋" w:eastAsia="仿宋" w:cs="仿宋"/>
                <w:sz w:val="21"/>
                <w:szCs w:val="21"/>
              </w:rPr>
            </w:pPr>
            <w:r>
              <w:rPr>
                <w:rFonts w:hint="eastAsia" w:ascii="仿宋" w:hAnsi="仿宋" w:eastAsia="仿宋" w:cs="仿宋"/>
                <w:sz w:val="21"/>
                <w:szCs w:val="21"/>
              </w:rPr>
              <w:t>频次</w:t>
            </w:r>
          </w:p>
        </w:tc>
        <w:tc>
          <w:tcPr>
            <w:tcW w:w="1751" w:type="dxa"/>
            <w:tcBorders>
              <w:top w:val="single" w:color="auto" w:sz="4" w:space="0"/>
              <w:left w:val="single" w:color="auto" w:sz="4" w:space="0"/>
              <w:bottom w:val="single" w:color="auto" w:sz="4" w:space="0"/>
              <w:right w:val="single" w:color="auto" w:sz="4" w:space="0"/>
            </w:tcBorders>
            <w:vAlign w:val="center"/>
          </w:tcPr>
          <w:p w14:paraId="517A05DA">
            <w:pPr>
              <w:jc w:val="center"/>
              <w:rPr>
                <w:rFonts w:ascii="仿宋" w:hAnsi="仿宋" w:eastAsia="仿宋" w:cs="仿宋"/>
                <w:sz w:val="21"/>
                <w:szCs w:val="21"/>
              </w:rPr>
            </w:pPr>
            <w:r>
              <w:rPr>
                <w:rFonts w:hint="eastAsia" w:ascii="仿宋" w:hAnsi="仿宋" w:eastAsia="仿宋" w:cs="仿宋"/>
                <w:sz w:val="21"/>
                <w:szCs w:val="21"/>
              </w:rPr>
              <w:t>扣款（万元）</w:t>
            </w:r>
          </w:p>
        </w:tc>
      </w:tr>
      <w:tr w14:paraId="295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14:paraId="04A69686">
            <w:pPr>
              <w:jc w:val="center"/>
              <w:rPr>
                <w:rFonts w:ascii="仿宋" w:hAnsi="仿宋" w:eastAsia="仿宋" w:cs="仿宋"/>
                <w:sz w:val="21"/>
                <w:szCs w:val="21"/>
              </w:rPr>
            </w:pPr>
            <w:r>
              <w:rPr>
                <w:rFonts w:hint="eastAsia" w:ascii="仿宋" w:hAnsi="仿宋" w:eastAsia="仿宋" w:cs="仿宋"/>
                <w:sz w:val="21"/>
                <w:szCs w:val="21"/>
              </w:rPr>
              <w:t>1</w:t>
            </w:r>
          </w:p>
        </w:tc>
        <w:tc>
          <w:tcPr>
            <w:tcW w:w="5103" w:type="dxa"/>
            <w:tcBorders>
              <w:top w:val="single" w:color="auto" w:sz="4" w:space="0"/>
              <w:left w:val="single" w:color="auto" w:sz="4" w:space="0"/>
              <w:bottom w:val="single" w:color="auto" w:sz="4" w:space="0"/>
              <w:right w:val="single" w:color="auto" w:sz="4" w:space="0"/>
            </w:tcBorders>
            <w:vAlign w:val="center"/>
          </w:tcPr>
          <w:p w14:paraId="05E9506D">
            <w:pPr>
              <w:rPr>
                <w:rFonts w:ascii="仿宋" w:hAnsi="仿宋" w:eastAsia="仿宋" w:cs="仿宋"/>
                <w:sz w:val="21"/>
                <w:szCs w:val="21"/>
              </w:rPr>
            </w:pPr>
            <w:r>
              <w:rPr>
                <w:rFonts w:hint="eastAsia" w:ascii="仿宋" w:hAnsi="仿宋" w:eastAsia="仿宋" w:cs="仿宋"/>
                <w:sz w:val="21"/>
                <w:szCs w:val="21"/>
              </w:rPr>
              <w:t>在日常运维过程中出现故障，超出一天未给予回复</w:t>
            </w:r>
          </w:p>
        </w:tc>
        <w:tc>
          <w:tcPr>
            <w:tcW w:w="738" w:type="dxa"/>
            <w:tcBorders>
              <w:top w:val="single" w:color="auto" w:sz="4" w:space="0"/>
              <w:left w:val="single" w:color="auto" w:sz="4" w:space="0"/>
              <w:bottom w:val="single" w:color="auto" w:sz="4" w:space="0"/>
              <w:right w:val="single" w:color="auto" w:sz="4" w:space="0"/>
            </w:tcBorders>
            <w:vAlign w:val="center"/>
          </w:tcPr>
          <w:p w14:paraId="62BF0C7C">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564ED54D">
            <w:pPr>
              <w:jc w:val="center"/>
              <w:rPr>
                <w:rFonts w:ascii="仿宋" w:hAnsi="仿宋" w:eastAsia="仿宋" w:cs="仿宋"/>
                <w:sz w:val="21"/>
                <w:szCs w:val="21"/>
              </w:rPr>
            </w:pPr>
            <w:r>
              <w:rPr>
                <w:rFonts w:hint="eastAsia" w:ascii="仿宋" w:hAnsi="仿宋" w:eastAsia="仿宋" w:cs="仿宋"/>
                <w:sz w:val="21"/>
                <w:szCs w:val="21"/>
              </w:rPr>
              <w:t>0.5</w:t>
            </w:r>
          </w:p>
        </w:tc>
      </w:tr>
      <w:tr w14:paraId="2CD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7413EEE7">
            <w:pPr>
              <w:jc w:val="center"/>
              <w:rPr>
                <w:rFonts w:ascii="仿宋" w:hAnsi="仿宋" w:eastAsia="仿宋" w:cs="仿宋"/>
                <w:sz w:val="21"/>
                <w:szCs w:val="21"/>
              </w:rPr>
            </w:pPr>
            <w:r>
              <w:rPr>
                <w:rFonts w:hint="eastAsia" w:ascii="仿宋" w:hAnsi="仿宋" w:eastAsia="仿宋" w:cs="仿宋"/>
                <w:sz w:val="21"/>
                <w:szCs w:val="21"/>
              </w:rPr>
              <w:t>2</w:t>
            </w:r>
          </w:p>
        </w:tc>
        <w:tc>
          <w:tcPr>
            <w:tcW w:w="5103" w:type="dxa"/>
            <w:tcBorders>
              <w:top w:val="single" w:color="auto" w:sz="4" w:space="0"/>
              <w:left w:val="single" w:color="auto" w:sz="4" w:space="0"/>
              <w:bottom w:val="single" w:color="auto" w:sz="4" w:space="0"/>
              <w:right w:val="single" w:color="auto" w:sz="4" w:space="0"/>
            </w:tcBorders>
            <w:vAlign w:val="center"/>
          </w:tcPr>
          <w:p w14:paraId="3BC11638">
            <w:pPr>
              <w:rPr>
                <w:rFonts w:ascii="仿宋" w:hAnsi="仿宋" w:eastAsia="仿宋" w:cs="仿宋"/>
                <w:sz w:val="21"/>
                <w:szCs w:val="21"/>
              </w:rPr>
            </w:pPr>
            <w:r>
              <w:rPr>
                <w:rFonts w:hint="eastAsia" w:ascii="仿宋" w:hAnsi="仿宋" w:eastAsia="仿宋" w:cs="仿宋"/>
                <w:sz w:val="21"/>
                <w:szCs w:val="21"/>
              </w:rPr>
              <w:t>未按业务部门需求提供系统培训服务</w:t>
            </w:r>
          </w:p>
        </w:tc>
        <w:tc>
          <w:tcPr>
            <w:tcW w:w="738" w:type="dxa"/>
            <w:tcBorders>
              <w:top w:val="single" w:color="auto" w:sz="4" w:space="0"/>
              <w:left w:val="single" w:color="auto" w:sz="4" w:space="0"/>
              <w:bottom w:val="single" w:color="auto" w:sz="4" w:space="0"/>
              <w:right w:val="single" w:color="auto" w:sz="4" w:space="0"/>
            </w:tcBorders>
            <w:vAlign w:val="center"/>
          </w:tcPr>
          <w:p w14:paraId="797E3762">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7A1FB105">
            <w:pPr>
              <w:jc w:val="center"/>
              <w:rPr>
                <w:rFonts w:ascii="仿宋" w:hAnsi="仿宋" w:eastAsia="仿宋" w:cs="仿宋"/>
                <w:sz w:val="21"/>
                <w:szCs w:val="21"/>
              </w:rPr>
            </w:pPr>
            <w:r>
              <w:rPr>
                <w:rFonts w:hint="eastAsia" w:ascii="仿宋" w:hAnsi="仿宋" w:eastAsia="仿宋" w:cs="仿宋"/>
                <w:sz w:val="21"/>
                <w:szCs w:val="21"/>
              </w:rPr>
              <w:t>0.5</w:t>
            </w:r>
          </w:p>
        </w:tc>
      </w:tr>
      <w:tr w14:paraId="37DF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5057D35B">
            <w:pPr>
              <w:jc w:val="center"/>
              <w:rPr>
                <w:rFonts w:ascii="仿宋" w:hAnsi="仿宋" w:eastAsia="仿宋" w:cs="仿宋"/>
                <w:sz w:val="21"/>
                <w:szCs w:val="21"/>
              </w:rPr>
            </w:pPr>
            <w:r>
              <w:rPr>
                <w:rFonts w:hint="eastAsia" w:ascii="仿宋" w:hAnsi="仿宋" w:eastAsia="仿宋" w:cs="仿宋"/>
                <w:sz w:val="21"/>
                <w:szCs w:val="21"/>
              </w:rPr>
              <w:t>3</w:t>
            </w:r>
          </w:p>
        </w:tc>
        <w:tc>
          <w:tcPr>
            <w:tcW w:w="5103" w:type="dxa"/>
            <w:tcBorders>
              <w:top w:val="single" w:color="auto" w:sz="4" w:space="0"/>
              <w:left w:val="single" w:color="auto" w:sz="4" w:space="0"/>
              <w:bottom w:val="single" w:color="auto" w:sz="4" w:space="0"/>
              <w:right w:val="single" w:color="auto" w:sz="4" w:space="0"/>
            </w:tcBorders>
            <w:vAlign w:val="center"/>
          </w:tcPr>
          <w:p w14:paraId="5454361B">
            <w:pPr>
              <w:rPr>
                <w:rFonts w:ascii="仿宋" w:hAnsi="仿宋" w:eastAsia="仿宋" w:cs="仿宋"/>
                <w:sz w:val="21"/>
                <w:szCs w:val="21"/>
              </w:rPr>
            </w:pPr>
            <w:r>
              <w:rPr>
                <w:rFonts w:hint="eastAsia" w:ascii="仿宋" w:hAnsi="仿宋" w:eastAsia="仿宋" w:cs="仿宋"/>
                <w:sz w:val="21"/>
                <w:szCs w:val="21"/>
              </w:rPr>
              <w:t>系统故障发生后未在规定时间内处理完毕并恢复正常，超出时长&gt;8小时</w:t>
            </w:r>
          </w:p>
        </w:tc>
        <w:tc>
          <w:tcPr>
            <w:tcW w:w="738" w:type="dxa"/>
            <w:tcBorders>
              <w:top w:val="single" w:color="auto" w:sz="4" w:space="0"/>
              <w:left w:val="single" w:color="auto" w:sz="4" w:space="0"/>
              <w:bottom w:val="single" w:color="auto" w:sz="4" w:space="0"/>
              <w:right w:val="single" w:color="auto" w:sz="4" w:space="0"/>
            </w:tcBorders>
            <w:vAlign w:val="center"/>
          </w:tcPr>
          <w:p w14:paraId="3DAC80CD">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1DD60DE5">
            <w:pPr>
              <w:jc w:val="center"/>
              <w:rPr>
                <w:rFonts w:ascii="仿宋" w:hAnsi="仿宋" w:eastAsia="仿宋" w:cs="仿宋"/>
                <w:sz w:val="21"/>
                <w:szCs w:val="21"/>
              </w:rPr>
            </w:pPr>
            <w:r>
              <w:rPr>
                <w:rFonts w:hint="eastAsia" w:ascii="仿宋" w:hAnsi="仿宋" w:eastAsia="仿宋" w:cs="仿宋"/>
                <w:sz w:val="21"/>
                <w:szCs w:val="21"/>
              </w:rPr>
              <w:t>3</w:t>
            </w:r>
          </w:p>
        </w:tc>
      </w:tr>
      <w:tr w14:paraId="6A63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1DE39624">
            <w:pPr>
              <w:jc w:val="center"/>
              <w:rPr>
                <w:rFonts w:ascii="仿宋" w:hAnsi="仿宋" w:eastAsia="仿宋" w:cs="仿宋"/>
                <w:sz w:val="21"/>
                <w:szCs w:val="21"/>
              </w:rPr>
            </w:pPr>
            <w:r>
              <w:rPr>
                <w:rFonts w:hint="eastAsia" w:ascii="仿宋" w:hAnsi="仿宋" w:eastAsia="仿宋" w:cs="仿宋"/>
                <w:sz w:val="21"/>
                <w:szCs w:val="21"/>
              </w:rPr>
              <w:t>4</w:t>
            </w:r>
          </w:p>
        </w:tc>
        <w:tc>
          <w:tcPr>
            <w:tcW w:w="5103" w:type="dxa"/>
            <w:tcBorders>
              <w:top w:val="single" w:color="auto" w:sz="4" w:space="0"/>
              <w:left w:val="single" w:color="auto" w:sz="4" w:space="0"/>
              <w:bottom w:val="single" w:color="auto" w:sz="4" w:space="0"/>
              <w:right w:val="single" w:color="auto" w:sz="4" w:space="0"/>
            </w:tcBorders>
            <w:vAlign w:val="center"/>
          </w:tcPr>
          <w:p w14:paraId="3F039B33">
            <w:pPr>
              <w:rPr>
                <w:rFonts w:ascii="仿宋" w:hAnsi="仿宋" w:eastAsia="仿宋" w:cs="仿宋"/>
                <w:sz w:val="21"/>
                <w:szCs w:val="21"/>
              </w:rPr>
            </w:pPr>
            <w:r>
              <w:rPr>
                <w:rFonts w:hint="eastAsia" w:ascii="仿宋" w:hAnsi="仿宋" w:eastAsia="仿宋" w:cs="仿宋"/>
                <w:sz w:val="21"/>
                <w:szCs w:val="21"/>
              </w:rPr>
              <w:t>未按时提供《更新报告》</w:t>
            </w:r>
          </w:p>
        </w:tc>
        <w:tc>
          <w:tcPr>
            <w:tcW w:w="738" w:type="dxa"/>
            <w:tcBorders>
              <w:top w:val="single" w:color="auto" w:sz="4" w:space="0"/>
              <w:left w:val="single" w:color="auto" w:sz="4" w:space="0"/>
              <w:bottom w:val="single" w:color="auto" w:sz="4" w:space="0"/>
              <w:right w:val="single" w:color="auto" w:sz="4" w:space="0"/>
            </w:tcBorders>
            <w:vAlign w:val="center"/>
          </w:tcPr>
          <w:p w14:paraId="0865CF3E">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44CC3D96">
            <w:pPr>
              <w:jc w:val="center"/>
              <w:rPr>
                <w:rFonts w:ascii="仿宋" w:hAnsi="仿宋" w:eastAsia="仿宋" w:cs="仿宋"/>
                <w:sz w:val="21"/>
                <w:szCs w:val="21"/>
              </w:rPr>
            </w:pPr>
            <w:r>
              <w:rPr>
                <w:rFonts w:hint="eastAsia" w:ascii="仿宋" w:hAnsi="仿宋" w:eastAsia="仿宋" w:cs="仿宋"/>
                <w:sz w:val="21"/>
                <w:szCs w:val="21"/>
              </w:rPr>
              <w:t>0.2</w:t>
            </w:r>
          </w:p>
        </w:tc>
      </w:tr>
      <w:tr w14:paraId="0631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07898382">
            <w:pPr>
              <w:jc w:val="center"/>
              <w:rPr>
                <w:rFonts w:ascii="仿宋" w:hAnsi="仿宋" w:eastAsia="仿宋" w:cs="仿宋"/>
                <w:sz w:val="21"/>
                <w:szCs w:val="21"/>
              </w:rPr>
            </w:pPr>
            <w:r>
              <w:rPr>
                <w:rFonts w:hint="eastAsia" w:ascii="仿宋" w:hAnsi="仿宋" w:eastAsia="仿宋" w:cs="仿宋"/>
                <w:sz w:val="21"/>
                <w:szCs w:val="21"/>
              </w:rPr>
              <w:t>5</w:t>
            </w:r>
          </w:p>
        </w:tc>
        <w:tc>
          <w:tcPr>
            <w:tcW w:w="5103" w:type="dxa"/>
            <w:tcBorders>
              <w:top w:val="single" w:color="auto" w:sz="4" w:space="0"/>
              <w:left w:val="single" w:color="auto" w:sz="4" w:space="0"/>
              <w:bottom w:val="single" w:color="auto" w:sz="4" w:space="0"/>
              <w:right w:val="single" w:color="auto" w:sz="4" w:space="0"/>
            </w:tcBorders>
            <w:vAlign w:val="center"/>
          </w:tcPr>
          <w:p w14:paraId="4186D2AA">
            <w:pPr>
              <w:pStyle w:val="104"/>
              <w:spacing w:line="240" w:lineRule="auto"/>
              <w:ind w:left="2280" w:right="720" w:hanging="1800"/>
              <w:jc w:val="left"/>
              <w:rPr>
                <w:rFonts w:ascii="仿宋" w:hAnsi="仿宋" w:eastAsia="仿宋" w:cs="仿宋"/>
                <w:sz w:val="21"/>
                <w:szCs w:val="21"/>
              </w:rPr>
            </w:pPr>
            <w:r>
              <w:rPr>
                <w:rFonts w:hint="eastAsia" w:ascii="仿宋" w:hAnsi="仿宋" w:eastAsia="仿宋" w:cs="仿宋"/>
                <w:sz w:val="21"/>
                <w:szCs w:val="21"/>
              </w:rPr>
              <w:t>未同步备份应用程序</w:t>
            </w:r>
          </w:p>
        </w:tc>
        <w:tc>
          <w:tcPr>
            <w:tcW w:w="738" w:type="dxa"/>
            <w:tcBorders>
              <w:top w:val="single" w:color="auto" w:sz="4" w:space="0"/>
              <w:left w:val="single" w:color="auto" w:sz="4" w:space="0"/>
              <w:bottom w:val="single" w:color="auto" w:sz="4" w:space="0"/>
              <w:right w:val="single" w:color="auto" w:sz="4" w:space="0"/>
            </w:tcBorders>
            <w:vAlign w:val="center"/>
          </w:tcPr>
          <w:p w14:paraId="6C4CA5B0">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537D3A49">
            <w:pPr>
              <w:jc w:val="center"/>
              <w:rPr>
                <w:rFonts w:ascii="仿宋" w:hAnsi="仿宋" w:eastAsia="仿宋" w:cs="仿宋"/>
                <w:sz w:val="21"/>
                <w:szCs w:val="21"/>
              </w:rPr>
            </w:pPr>
            <w:r>
              <w:rPr>
                <w:rFonts w:hint="eastAsia" w:ascii="仿宋" w:hAnsi="仿宋" w:eastAsia="仿宋" w:cs="仿宋"/>
                <w:sz w:val="21"/>
                <w:szCs w:val="21"/>
              </w:rPr>
              <w:t>1</w:t>
            </w:r>
          </w:p>
        </w:tc>
      </w:tr>
      <w:tr w14:paraId="69C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441E6D3B">
            <w:pPr>
              <w:jc w:val="center"/>
              <w:rPr>
                <w:rFonts w:ascii="仿宋" w:hAnsi="仿宋" w:eastAsia="仿宋" w:cs="仿宋"/>
                <w:sz w:val="21"/>
                <w:szCs w:val="21"/>
              </w:rPr>
            </w:pPr>
            <w:r>
              <w:rPr>
                <w:rFonts w:hint="eastAsia" w:ascii="仿宋" w:hAnsi="仿宋" w:eastAsia="仿宋" w:cs="仿宋"/>
                <w:sz w:val="21"/>
                <w:szCs w:val="21"/>
              </w:rPr>
              <w:t>6</w:t>
            </w:r>
          </w:p>
        </w:tc>
        <w:tc>
          <w:tcPr>
            <w:tcW w:w="5103" w:type="dxa"/>
            <w:tcBorders>
              <w:top w:val="single" w:color="auto" w:sz="4" w:space="0"/>
              <w:left w:val="single" w:color="auto" w:sz="4" w:space="0"/>
              <w:bottom w:val="single" w:color="auto" w:sz="4" w:space="0"/>
              <w:right w:val="single" w:color="auto" w:sz="4" w:space="0"/>
            </w:tcBorders>
            <w:vAlign w:val="center"/>
          </w:tcPr>
          <w:p w14:paraId="5E51373D">
            <w:pPr>
              <w:rPr>
                <w:rFonts w:ascii="仿宋" w:hAnsi="仿宋" w:eastAsia="仿宋" w:cs="仿宋"/>
                <w:sz w:val="21"/>
                <w:szCs w:val="21"/>
              </w:rPr>
            </w:pPr>
            <w:r>
              <w:rPr>
                <w:rFonts w:hint="eastAsia" w:ascii="仿宋" w:hAnsi="仿宋" w:eastAsia="仿宋" w:cs="仿宋"/>
                <w:sz w:val="21"/>
                <w:szCs w:val="21"/>
              </w:rPr>
              <w:t>系统运维过程中造成系统数据丢失</w:t>
            </w:r>
          </w:p>
        </w:tc>
        <w:tc>
          <w:tcPr>
            <w:tcW w:w="738" w:type="dxa"/>
            <w:tcBorders>
              <w:top w:val="single" w:color="auto" w:sz="4" w:space="0"/>
              <w:left w:val="single" w:color="auto" w:sz="4" w:space="0"/>
              <w:bottom w:val="single" w:color="auto" w:sz="4" w:space="0"/>
              <w:right w:val="single" w:color="auto" w:sz="4" w:space="0"/>
            </w:tcBorders>
            <w:vAlign w:val="center"/>
          </w:tcPr>
          <w:p w14:paraId="6CC111F3">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45DA7B9B">
            <w:pPr>
              <w:jc w:val="center"/>
              <w:rPr>
                <w:rFonts w:ascii="仿宋" w:hAnsi="仿宋" w:eastAsia="仿宋" w:cs="仿宋"/>
                <w:sz w:val="21"/>
                <w:szCs w:val="21"/>
              </w:rPr>
            </w:pPr>
            <w:r>
              <w:rPr>
                <w:rFonts w:hint="eastAsia" w:ascii="仿宋" w:hAnsi="仿宋" w:eastAsia="仿宋" w:cs="仿宋"/>
                <w:sz w:val="21"/>
                <w:szCs w:val="21"/>
              </w:rPr>
              <w:t>5</w:t>
            </w:r>
          </w:p>
        </w:tc>
      </w:tr>
      <w:tr w14:paraId="3E65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3DC14BFE">
            <w:pPr>
              <w:jc w:val="center"/>
              <w:rPr>
                <w:rFonts w:ascii="仿宋" w:hAnsi="仿宋" w:eastAsia="仿宋" w:cs="仿宋"/>
                <w:sz w:val="21"/>
                <w:szCs w:val="21"/>
              </w:rPr>
            </w:pPr>
            <w:r>
              <w:rPr>
                <w:rFonts w:hint="eastAsia" w:ascii="仿宋" w:hAnsi="仿宋" w:eastAsia="仿宋" w:cs="仿宋"/>
                <w:sz w:val="21"/>
                <w:szCs w:val="21"/>
              </w:rPr>
              <w:t>7</w:t>
            </w:r>
          </w:p>
        </w:tc>
        <w:tc>
          <w:tcPr>
            <w:tcW w:w="5103" w:type="dxa"/>
            <w:tcBorders>
              <w:top w:val="single" w:color="auto" w:sz="4" w:space="0"/>
              <w:left w:val="single" w:color="auto" w:sz="4" w:space="0"/>
              <w:bottom w:val="single" w:color="auto" w:sz="4" w:space="0"/>
              <w:right w:val="single" w:color="auto" w:sz="4" w:space="0"/>
            </w:tcBorders>
            <w:vAlign w:val="center"/>
          </w:tcPr>
          <w:p w14:paraId="3B8D2777">
            <w:pPr>
              <w:rPr>
                <w:rFonts w:ascii="仿宋" w:hAnsi="仿宋" w:eastAsia="仿宋" w:cs="仿宋"/>
                <w:sz w:val="21"/>
                <w:szCs w:val="21"/>
              </w:rPr>
            </w:pPr>
            <w:r>
              <w:rPr>
                <w:rFonts w:hint="eastAsia" w:ascii="仿宋" w:hAnsi="仿宋" w:eastAsia="仿宋" w:cs="仿宋"/>
                <w:sz w:val="21"/>
                <w:szCs w:val="21"/>
              </w:rPr>
              <w:t>驻场人员无故离开值班岗超过2小时</w:t>
            </w:r>
          </w:p>
        </w:tc>
        <w:tc>
          <w:tcPr>
            <w:tcW w:w="738" w:type="dxa"/>
            <w:tcBorders>
              <w:top w:val="single" w:color="auto" w:sz="4" w:space="0"/>
              <w:left w:val="single" w:color="auto" w:sz="4" w:space="0"/>
              <w:bottom w:val="single" w:color="auto" w:sz="4" w:space="0"/>
              <w:right w:val="single" w:color="auto" w:sz="4" w:space="0"/>
            </w:tcBorders>
            <w:vAlign w:val="center"/>
          </w:tcPr>
          <w:p w14:paraId="312FD20E">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129A240D">
            <w:pPr>
              <w:jc w:val="center"/>
              <w:rPr>
                <w:rFonts w:ascii="仿宋" w:hAnsi="仿宋" w:eastAsia="仿宋" w:cs="仿宋"/>
                <w:sz w:val="21"/>
                <w:szCs w:val="21"/>
              </w:rPr>
            </w:pPr>
            <w:r>
              <w:rPr>
                <w:rFonts w:hint="eastAsia" w:ascii="仿宋" w:hAnsi="仿宋" w:eastAsia="仿宋" w:cs="仿宋"/>
                <w:sz w:val="21"/>
                <w:szCs w:val="21"/>
              </w:rPr>
              <w:t>0.1</w:t>
            </w:r>
          </w:p>
        </w:tc>
      </w:tr>
      <w:tr w14:paraId="329B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626B0841">
            <w:pPr>
              <w:jc w:val="center"/>
              <w:rPr>
                <w:rFonts w:ascii="仿宋" w:hAnsi="仿宋" w:eastAsia="仿宋" w:cs="仿宋"/>
                <w:sz w:val="21"/>
                <w:szCs w:val="21"/>
              </w:rPr>
            </w:pPr>
            <w:r>
              <w:rPr>
                <w:rFonts w:hint="eastAsia" w:ascii="仿宋" w:hAnsi="仿宋" w:eastAsia="仿宋" w:cs="仿宋"/>
                <w:sz w:val="21"/>
                <w:szCs w:val="21"/>
              </w:rPr>
              <w:t>8</w:t>
            </w:r>
          </w:p>
        </w:tc>
        <w:tc>
          <w:tcPr>
            <w:tcW w:w="5103" w:type="dxa"/>
            <w:tcBorders>
              <w:top w:val="single" w:color="auto" w:sz="4" w:space="0"/>
              <w:left w:val="single" w:color="auto" w:sz="4" w:space="0"/>
              <w:bottom w:val="single" w:color="auto" w:sz="4" w:space="0"/>
              <w:right w:val="single" w:color="auto" w:sz="4" w:space="0"/>
            </w:tcBorders>
            <w:vAlign w:val="center"/>
          </w:tcPr>
          <w:p w14:paraId="3F2890E9">
            <w:pPr>
              <w:rPr>
                <w:rFonts w:ascii="仿宋" w:hAnsi="仿宋" w:eastAsia="仿宋" w:cs="仿宋"/>
                <w:sz w:val="21"/>
                <w:szCs w:val="21"/>
              </w:rPr>
            </w:pPr>
            <w:r>
              <w:rPr>
                <w:rFonts w:hint="eastAsia" w:ascii="仿宋" w:hAnsi="仿宋" w:eastAsia="仿宋" w:cs="仿宋"/>
                <w:sz w:val="21"/>
                <w:szCs w:val="21"/>
              </w:rPr>
              <w:t>驻场人员不服从管理，违反日常办公制度</w:t>
            </w:r>
          </w:p>
        </w:tc>
        <w:tc>
          <w:tcPr>
            <w:tcW w:w="738" w:type="dxa"/>
            <w:tcBorders>
              <w:top w:val="single" w:color="auto" w:sz="4" w:space="0"/>
              <w:left w:val="single" w:color="auto" w:sz="4" w:space="0"/>
              <w:bottom w:val="single" w:color="auto" w:sz="4" w:space="0"/>
              <w:right w:val="single" w:color="auto" w:sz="4" w:space="0"/>
            </w:tcBorders>
            <w:vAlign w:val="center"/>
          </w:tcPr>
          <w:p w14:paraId="124C18AF">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0C5BA37B">
            <w:pPr>
              <w:jc w:val="center"/>
              <w:rPr>
                <w:rFonts w:ascii="仿宋" w:hAnsi="仿宋" w:eastAsia="仿宋" w:cs="仿宋"/>
                <w:sz w:val="21"/>
                <w:szCs w:val="21"/>
              </w:rPr>
            </w:pPr>
            <w:r>
              <w:rPr>
                <w:rFonts w:hint="eastAsia" w:ascii="仿宋" w:hAnsi="仿宋" w:eastAsia="仿宋" w:cs="仿宋"/>
                <w:sz w:val="21"/>
                <w:szCs w:val="21"/>
              </w:rPr>
              <w:t>0.2</w:t>
            </w:r>
          </w:p>
        </w:tc>
      </w:tr>
      <w:tr w14:paraId="59ED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0C900D61">
            <w:pPr>
              <w:jc w:val="center"/>
              <w:rPr>
                <w:rFonts w:ascii="仿宋" w:hAnsi="仿宋" w:eastAsia="仿宋" w:cs="仿宋"/>
                <w:sz w:val="21"/>
                <w:szCs w:val="21"/>
              </w:rPr>
            </w:pPr>
            <w:r>
              <w:rPr>
                <w:rFonts w:hint="eastAsia" w:ascii="仿宋" w:hAnsi="仿宋" w:eastAsia="仿宋" w:cs="仿宋"/>
                <w:sz w:val="21"/>
                <w:szCs w:val="21"/>
              </w:rPr>
              <w:t>9</w:t>
            </w:r>
          </w:p>
        </w:tc>
        <w:tc>
          <w:tcPr>
            <w:tcW w:w="5103" w:type="dxa"/>
            <w:tcBorders>
              <w:top w:val="single" w:color="auto" w:sz="4" w:space="0"/>
              <w:left w:val="single" w:color="auto" w:sz="4" w:space="0"/>
              <w:bottom w:val="single" w:color="auto" w:sz="4" w:space="0"/>
              <w:right w:val="single" w:color="auto" w:sz="4" w:space="0"/>
            </w:tcBorders>
            <w:vAlign w:val="center"/>
          </w:tcPr>
          <w:p w14:paraId="0D5E0899">
            <w:pPr>
              <w:rPr>
                <w:rFonts w:ascii="仿宋" w:hAnsi="仿宋" w:eastAsia="仿宋" w:cs="仿宋"/>
                <w:sz w:val="21"/>
                <w:szCs w:val="21"/>
              </w:rPr>
            </w:pPr>
            <w:r>
              <w:rPr>
                <w:rFonts w:hint="eastAsia" w:ascii="仿宋" w:hAnsi="仿宋" w:eastAsia="仿宋" w:cs="仿宋"/>
                <w:sz w:val="21"/>
                <w:szCs w:val="21"/>
              </w:rPr>
              <w:t>服务期间,运维系统发生故障超2小时未及时报告</w:t>
            </w:r>
          </w:p>
        </w:tc>
        <w:tc>
          <w:tcPr>
            <w:tcW w:w="738" w:type="dxa"/>
            <w:tcBorders>
              <w:top w:val="single" w:color="auto" w:sz="4" w:space="0"/>
              <w:left w:val="single" w:color="auto" w:sz="4" w:space="0"/>
              <w:bottom w:val="single" w:color="auto" w:sz="4" w:space="0"/>
              <w:right w:val="single" w:color="auto" w:sz="4" w:space="0"/>
            </w:tcBorders>
            <w:vAlign w:val="center"/>
          </w:tcPr>
          <w:p w14:paraId="6B7C9E8F">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26DBD102">
            <w:pPr>
              <w:jc w:val="center"/>
              <w:rPr>
                <w:rFonts w:ascii="仿宋" w:hAnsi="仿宋" w:eastAsia="仿宋" w:cs="仿宋"/>
                <w:sz w:val="21"/>
                <w:szCs w:val="21"/>
              </w:rPr>
            </w:pPr>
            <w:r>
              <w:rPr>
                <w:rFonts w:hint="eastAsia" w:ascii="仿宋" w:hAnsi="仿宋" w:eastAsia="仿宋" w:cs="仿宋"/>
                <w:sz w:val="21"/>
                <w:szCs w:val="21"/>
              </w:rPr>
              <w:t>0.5</w:t>
            </w:r>
          </w:p>
        </w:tc>
      </w:tr>
      <w:tr w14:paraId="76EC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189D6AF6">
            <w:pPr>
              <w:jc w:val="center"/>
              <w:rPr>
                <w:rFonts w:ascii="仿宋" w:hAnsi="仿宋" w:eastAsia="仿宋" w:cs="仿宋"/>
                <w:sz w:val="21"/>
                <w:szCs w:val="21"/>
              </w:rPr>
            </w:pPr>
            <w:r>
              <w:rPr>
                <w:rFonts w:hint="eastAsia" w:ascii="仿宋" w:hAnsi="仿宋" w:eastAsia="仿宋" w:cs="仿宋"/>
                <w:sz w:val="21"/>
                <w:szCs w:val="21"/>
              </w:rPr>
              <w:t>10</w:t>
            </w:r>
          </w:p>
        </w:tc>
        <w:tc>
          <w:tcPr>
            <w:tcW w:w="5103" w:type="dxa"/>
            <w:tcBorders>
              <w:top w:val="single" w:color="auto" w:sz="4" w:space="0"/>
              <w:left w:val="single" w:color="auto" w:sz="4" w:space="0"/>
              <w:bottom w:val="single" w:color="auto" w:sz="4" w:space="0"/>
              <w:right w:val="single" w:color="auto" w:sz="4" w:space="0"/>
            </w:tcBorders>
            <w:vAlign w:val="center"/>
          </w:tcPr>
          <w:p w14:paraId="6A1D19BC">
            <w:pPr>
              <w:rPr>
                <w:rFonts w:ascii="仿宋" w:hAnsi="仿宋" w:eastAsia="仿宋" w:cs="仿宋"/>
                <w:sz w:val="21"/>
                <w:szCs w:val="21"/>
              </w:rPr>
            </w:pPr>
            <w:r>
              <w:rPr>
                <w:rFonts w:hint="eastAsia" w:ascii="仿宋" w:hAnsi="仿宋" w:eastAsia="仿宋" w:cs="仿宋"/>
                <w:sz w:val="21"/>
                <w:szCs w:val="21"/>
              </w:rPr>
              <w:t>未按要求定时巡检（工作日巡检）</w:t>
            </w:r>
          </w:p>
        </w:tc>
        <w:tc>
          <w:tcPr>
            <w:tcW w:w="738" w:type="dxa"/>
            <w:tcBorders>
              <w:top w:val="single" w:color="auto" w:sz="4" w:space="0"/>
              <w:left w:val="single" w:color="auto" w:sz="4" w:space="0"/>
              <w:bottom w:val="single" w:color="auto" w:sz="4" w:space="0"/>
              <w:right w:val="single" w:color="auto" w:sz="4" w:space="0"/>
            </w:tcBorders>
            <w:vAlign w:val="center"/>
          </w:tcPr>
          <w:p w14:paraId="79712E3D">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0607DE6A">
            <w:pPr>
              <w:jc w:val="center"/>
              <w:rPr>
                <w:rFonts w:ascii="仿宋" w:hAnsi="仿宋" w:eastAsia="仿宋" w:cs="仿宋"/>
                <w:sz w:val="21"/>
                <w:szCs w:val="21"/>
              </w:rPr>
            </w:pPr>
            <w:r>
              <w:rPr>
                <w:rFonts w:hint="eastAsia" w:ascii="仿宋" w:hAnsi="仿宋" w:eastAsia="仿宋" w:cs="仿宋"/>
                <w:sz w:val="21"/>
                <w:szCs w:val="21"/>
              </w:rPr>
              <w:t>0.2</w:t>
            </w:r>
          </w:p>
        </w:tc>
      </w:tr>
      <w:tr w14:paraId="711A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14:paraId="5D75DEDC">
            <w:pPr>
              <w:jc w:val="center"/>
              <w:rPr>
                <w:rFonts w:ascii="仿宋" w:hAnsi="仿宋" w:eastAsia="仿宋" w:cs="仿宋"/>
                <w:sz w:val="21"/>
                <w:szCs w:val="21"/>
              </w:rPr>
            </w:pPr>
            <w:r>
              <w:rPr>
                <w:rFonts w:hint="eastAsia" w:ascii="仿宋" w:hAnsi="仿宋" w:eastAsia="仿宋" w:cs="仿宋"/>
                <w:sz w:val="21"/>
                <w:szCs w:val="21"/>
              </w:rPr>
              <w:t>11</w:t>
            </w:r>
          </w:p>
        </w:tc>
        <w:tc>
          <w:tcPr>
            <w:tcW w:w="5103" w:type="dxa"/>
            <w:tcBorders>
              <w:top w:val="single" w:color="auto" w:sz="4" w:space="0"/>
              <w:left w:val="single" w:color="auto" w:sz="4" w:space="0"/>
              <w:bottom w:val="single" w:color="auto" w:sz="4" w:space="0"/>
              <w:right w:val="single" w:color="auto" w:sz="4" w:space="0"/>
            </w:tcBorders>
            <w:vAlign w:val="center"/>
          </w:tcPr>
          <w:p w14:paraId="0DF37C43">
            <w:pPr>
              <w:rPr>
                <w:rFonts w:ascii="仿宋" w:hAnsi="仿宋" w:eastAsia="仿宋" w:cs="仿宋"/>
                <w:sz w:val="21"/>
                <w:szCs w:val="21"/>
              </w:rPr>
            </w:pPr>
            <w:r>
              <w:rPr>
                <w:rFonts w:hint="eastAsia" w:ascii="仿宋" w:hAnsi="仿宋" w:eastAsia="仿宋" w:cs="仿宋"/>
                <w:sz w:val="21"/>
                <w:szCs w:val="21"/>
              </w:rPr>
              <w:t>在巡检中发现故障隐瞒不报</w:t>
            </w:r>
          </w:p>
        </w:tc>
        <w:tc>
          <w:tcPr>
            <w:tcW w:w="738" w:type="dxa"/>
            <w:tcBorders>
              <w:top w:val="single" w:color="auto" w:sz="4" w:space="0"/>
              <w:left w:val="single" w:color="auto" w:sz="4" w:space="0"/>
              <w:bottom w:val="single" w:color="auto" w:sz="4" w:space="0"/>
              <w:right w:val="single" w:color="auto" w:sz="4" w:space="0"/>
            </w:tcBorders>
            <w:vAlign w:val="center"/>
          </w:tcPr>
          <w:p w14:paraId="50F2BDC0">
            <w:pPr>
              <w:jc w:val="center"/>
              <w:rPr>
                <w:rFonts w:ascii="仿宋" w:hAnsi="仿宋" w:eastAsia="仿宋" w:cs="仿宋"/>
                <w:sz w:val="21"/>
                <w:szCs w:val="21"/>
              </w:rPr>
            </w:pPr>
            <w:r>
              <w:rPr>
                <w:rFonts w:hint="eastAsia" w:ascii="仿宋" w:hAnsi="仿宋" w:eastAsia="仿宋" w:cs="仿宋"/>
                <w:sz w:val="21"/>
                <w:szCs w:val="21"/>
              </w:rPr>
              <w:t>次</w:t>
            </w:r>
          </w:p>
        </w:tc>
        <w:tc>
          <w:tcPr>
            <w:tcW w:w="1751" w:type="dxa"/>
            <w:tcBorders>
              <w:top w:val="single" w:color="auto" w:sz="4" w:space="0"/>
              <w:left w:val="single" w:color="auto" w:sz="4" w:space="0"/>
              <w:bottom w:val="single" w:color="auto" w:sz="4" w:space="0"/>
              <w:right w:val="single" w:color="auto" w:sz="4" w:space="0"/>
            </w:tcBorders>
            <w:vAlign w:val="center"/>
          </w:tcPr>
          <w:p w14:paraId="0B665D6C">
            <w:pPr>
              <w:jc w:val="center"/>
              <w:rPr>
                <w:rFonts w:ascii="仿宋" w:hAnsi="仿宋" w:eastAsia="仿宋" w:cs="仿宋"/>
                <w:sz w:val="21"/>
                <w:szCs w:val="21"/>
              </w:rPr>
            </w:pPr>
            <w:r>
              <w:rPr>
                <w:rFonts w:hint="eastAsia" w:ascii="仿宋" w:hAnsi="仿宋" w:eastAsia="仿宋" w:cs="仿宋"/>
                <w:sz w:val="21"/>
                <w:szCs w:val="21"/>
              </w:rPr>
              <w:t>0.5</w:t>
            </w:r>
          </w:p>
        </w:tc>
      </w:tr>
    </w:tbl>
    <w:p w14:paraId="39DCF337">
      <w:pPr>
        <w:spacing w:before="230" w:beforeLines="50"/>
        <w:jc w:val="both"/>
        <w:rPr>
          <w:rFonts w:cs="Calibri Light"/>
          <w:b/>
        </w:rPr>
      </w:pPr>
    </w:p>
    <w:p w14:paraId="312BF352">
      <w:pPr>
        <w:rPr>
          <w:rFonts w:ascii="Calibri" w:hAnsi="Calibri" w:eastAsia="黑体"/>
          <w:bCs/>
          <w:kern w:val="36"/>
          <w:sz w:val="32"/>
          <w:szCs w:val="32"/>
        </w:rPr>
      </w:pPr>
      <w:bookmarkStart w:id="15" w:name="_Toc100219616"/>
      <w:r>
        <w:br w:type="page"/>
      </w:r>
    </w:p>
    <w:p w14:paraId="066AACEE">
      <w:pPr>
        <w:pStyle w:val="2"/>
        <w:spacing w:before="230" w:after="230"/>
      </w:pPr>
      <w:r>
        <w:rPr>
          <w:rFonts w:hint="eastAsia"/>
        </w:rPr>
        <w:t>第五章　响应文件构成及格式</w:t>
      </w:r>
      <w:bookmarkEnd w:id="15"/>
    </w:p>
    <w:p w14:paraId="4578CFAC">
      <w:pPr>
        <w:jc w:val="center"/>
        <w:rPr>
          <w:rFonts w:cstheme="minorHAnsi"/>
          <w:sz w:val="36"/>
          <w:szCs w:val="36"/>
        </w:rPr>
      </w:pPr>
    </w:p>
    <w:p w14:paraId="46C3CF94">
      <w:pPr>
        <w:jc w:val="center"/>
        <w:rPr>
          <w:rFonts w:cstheme="minorHAnsi"/>
          <w:sz w:val="36"/>
          <w:szCs w:val="36"/>
        </w:rPr>
      </w:pPr>
    </w:p>
    <w:p w14:paraId="60FF2F4A">
      <w:pPr>
        <w:jc w:val="center"/>
        <w:rPr>
          <w:rFonts w:cstheme="minorHAnsi"/>
          <w:sz w:val="36"/>
          <w:szCs w:val="36"/>
        </w:rPr>
      </w:pPr>
    </w:p>
    <w:p w14:paraId="38C61182">
      <w:pPr>
        <w:jc w:val="center"/>
        <w:rPr>
          <w:rFonts w:cstheme="minorHAnsi"/>
          <w:b/>
          <w:color w:val="C00000"/>
          <w:sz w:val="44"/>
          <w:szCs w:val="44"/>
        </w:rPr>
      </w:pPr>
      <w:r>
        <w:rPr>
          <w:rFonts w:cstheme="minorHAnsi"/>
          <w:b/>
          <w:color w:val="C00000"/>
          <w:sz w:val="36"/>
          <w:szCs w:val="36"/>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63B1F57B">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5A4E611A">
      <w:pPr>
        <w:jc w:val="both"/>
        <w:rPr>
          <w:rFonts w:cstheme="minorHAnsi"/>
          <w:color w:val="000000"/>
        </w:rPr>
      </w:pPr>
      <w:r>
        <w:rPr>
          <w:rFonts w:hint="eastAsia"/>
        </w:rPr>
        <w:t>西安市市级单位政府采购中心</w:t>
      </w:r>
      <w:r>
        <w:rPr>
          <w:rFonts w:hint="eastAsia" w:cstheme="minorHAnsi"/>
          <w:color w:val="000000"/>
        </w:rPr>
        <w:t>：</w:t>
      </w:r>
    </w:p>
    <w:p w14:paraId="0BF01936">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1503DC46">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502630FC">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64321F4B">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1E761BA">
      <w:pPr>
        <w:ind w:firstLine="567"/>
        <w:jc w:val="both"/>
        <w:rPr>
          <w:rFonts w:cstheme="minorHAnsi"/>
          <w:color w:val="000000"/>
        </w:rPr>
      </w:pPr>
      <w:r>
        <w:rPr>
          <w:rFonts w:hint="eastAsia" w:cstheme="minorHAnsi"/>
          <w:color w:val="000000"/>
        </w:rPr>
        <w:t>4．我方理解最低价不是成交的唯一条件，并尊重磋商小组的评审结果。</w:t>
      </w:r>
    </w:p>
    <w:p w14:paraId="2D5BA30B">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068EBFA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49D0279">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2674B6FF">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669D22B6">
      <w:pPr>
        <w:ind w:firstLine="567"/>
        <w:jc w:val="both"/>
        <w:rPr>
          <w:rFonts w:cstheme="minorHAnsi"/>
          <w:color w:val="000000"/>
        </w:rPr>
      </w:pPr>
      <w:r>
        <w:rPr>
          <w:rFonts w:hint="eastAsia" w:cstheme="minorHAnsi"/>
          <w:color w:val="000000"/>
        </w:rPr>
        <w:t>（1）将成交文件有效期延长至合同执行完毕；</w:t>
      </w:r>
    </w:p>
    <w:p w14:paraId="3549844C">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60652BD4">
      <w:pPr>
        <w:ind w:firstLine="567"/>
        <w:jc w:val="both"/>
        <w:rPr>
          <w:rFonts w:cstheme="minorHAnsi"/>
          <w:color w:val="000000"/>
        </w:rPr>
      </w:pPr>
      <w:r>
        <w:rPr>
          <w:rFonts w:hint="eastAsia" w:cstheme="minorHAnsi"/>
          <w:color w:val="000000"/>
        </w:rPr>
        <w:t>（3）遵照磋商文件中的要求，完成本项目的合同责任和义务。</w:t>
      </w:r>
    </w:p>
    <w:p w14:paraId="244F4427">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75368B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pPr>
        <w:ind w:firstLine="567"/>
        <w:jc w:val="both"/>
        <w:rPr>
          <w:color w:val="000000"/>
        </w:rPr>
      </w:pPr>
      <w:r>
        <w:rPr>
          <w:rFonts w:hint="eastAsia"/>
          <w:color w:val="000000"/>
        </w:rPr>
        <w:t>（2）联系</w:t>
      </w:r>
      <w:r>
        <w:rPr>
          <w:color w:val="000000"/>
        </w:rPr>
        <w:t>电话：</w:t>
      </w:r>
    </w:p>
    <w:p w14:paraId="048F967E">
      <w:pPr>
        <w:ind w:firstLine="567"/>
        <w:jc w:val="both"/>
        <w:rPr>
          <w:color w:val="000000"/>
        </w:rPr>
      </w:pPr>
      <w:r>
        <w:rPr>
          <w:color w:val="000000"/>
        </w:rPr>
        <w:t>（</w:t>
      </w:r>
      <w:r>
        <w:rPr>
          <w:rFonts w:hint="eastAsia"/>
          <w:color w:val="000000"/>
        </w:rPr>
        <w:t>3</w:t>
      </w:r>
      <w:r>
        <w:rPr>
          <w:color w:val="000000"/>
        </w:rPr>
        <w:t>）通讯地址：</w:t>
      </w:r>
    </w:p>
    <w:p w14:paraId="138D00E5">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5D405F22">
      <w:pPr>
        <w:ind w:firstLine="567"/>
        <w:jc w:val="both"/>
      </w:pPr>
      <w:r>
        <w:t>（</w:t>
      </w:r>
      <w:r>
        <w:rPr>
          <w:rFonts w:hint="eastAsia"/>
        </w:rPr>
        <w:t>5</w:t>
      </w:r>
      <w:r>
        <w:t>）电子邮箱：</w:t>
      </w:r>
    </w:p>
    <w:p w14:paraId="6BFF3E77">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9AB650B">
      <w:pPr>
        <w:ind w:firstLine="567"/>
        <w:jc w:val="both"/>
        <w:sectPr>
          <w:footerReference r:id="rId15" w:type="default"/>
          <w:footerReference r:id="rId16"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5D6A6AE5">
      <w:pPr>
        <w:keepNext/>
        <w:spacing w:before="230" w:beforeLines="50" w:after="230" w:afterLines="50"/>
        <w:jc w:val="center"/>
        <w:outlineLvl w:val="1"/>
        <w:rPr>
          <w:rFonts w:ascii="Calibri" w:hAnsi="Calibri" w:eastAsia="宋体"/>
          <w:kern w:val="24"/>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第一次报价表</w:t>
      </w:r>
    </w:p>
    <w:p w14:paraId="3004DCD5">
      <w:pPr>
        <w:jc w:val="center"/>
        <w:rPr>
          <w:kern w:val="24"/>
        </w:rPr>
      </w:pPr>
    </w:p>
    <w:tbl>
      <w:tblPr>
        <w:tblStyle w:val="2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w:t>
            </w:r>
            <w:r>
              <w:rPr>
                <w:b/>
              </w:rPr>
              <w:t>期</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〖注〗以下情况按无效响应处理：</w:t>
      </w:r>
    </w:p>
    <w:p w14:paraId="46A071C3">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14:paraId="6F198107">
      <w:pPr>
        <w:ind w:firstLine="480" w:firstLineChars="200"/>
        <w:jc w:val="both"/>
        <w:rPr>
          <w:kern w:val="24"/>
        </w:rPr>
      </w:pPr>
      <w:r>
        <w:rPr>
          <w:kern w:val="24"/>
        </w:rPr>
        <w:t>2．本表A栏值与报价</w:t>
      </w:r>
      <w:r>
        <w:rPr>
          <w:rFonts w:hint="eastAsia"/>
          <w:kern w:val="24"/>
        </w:rPr>
        <w:t>明细</w:t>
      </w:r>
      <w:r>
        <w:rPr>
          <w:kern w:val="24"/>
        </w:rPr>
        <w:t>表中的“合计”值不一致的。</w:t>
      </w:r>
    </w:p>
    <w:p w14:paraId="4077CEB2">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采购包/项目</w:t>
      </w:r>
      <w:r>
        <w:rPr>
          <w:kern w:val="24"/>
        </w:rPr>
        <w:t>预算的。</w:t>
      </w:r>
    </w:p>
    <w:p w14:paraId="1FD46F10">
      <w:pPr>
        <w:pStyle w:val="42"/>
        <w:jc w:val="both"/>
        <w:rPr>
          <w:rFonts w:hAnsi="华文仿宋"/>
        </w:rPr>
      </w:pPr>
    </w:p>
    <w:p w14:paraId="60CE0BFD">
      <w:pPr>
        <w:pStyle w:val="42"/>
        <w:ind w:firstLine="560" w:firstLineChars="200"/>
        <w:jc w:val="both"/>
        <w:rPr>
          <w:rFonts w:hAnsi="华文仿宋"/>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14:paraId="5C1980AD">
      <w:pPr>
        <w:pStyle w:val="42"/>
        <w:tabs>
          <w:tab w:val="right" w:pos="13892"/>
        </w:tabs>
        <w:jc w:val="both"/>
        <w:rPr>
          <w:rFonts w:asciiTheme="minorHAnsi" w:hAnsiTheme="minorHAnsi" w:eastAsiaTheme="minorEastAsia"/>
          <w:vanish/>
          <w:color w:val="00B050"/>
          <w:sz w:val="24"/>
          <w:szCs w:val="24"/>
        </w:rPr>
      </w:pP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p>
    <w:tbl>
      <w:tblPr>
        <w:tblStyle w:val="26"/>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说明：1．此表各项费用由供应商自行列支，仅供参考；</w:t>
      </w:r>
    </w:p>
    <w:p w14:paraId="0B69B6ED">
      <w:pPr>
        <w:tabs>
          <w:tab w:val="right" w:pos="9070"/>
        </w:tabs>
        <w:spacing w:line="440" w:lineRule="exact"/>
        <w:ind w:firstLine="720" w:firstLineChars="300"/>
      </w:pPr>
      <w:r>
        <w:t>2．表格空间不足时，可以自行扩展。</w:t>
      </w:r>
    </w:p>
    <w:p w14:paraId="2D4F2EEF">
      <w:pPr>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74837B2F">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6"/>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2249DF91">
      <w:pPr>
        <w:widowControl w:val="0"/>
        <w:spacing w:before="120" w:after="60"/>
      </w:pPr>
      <w:r>
        <w:br w:type="page"/>
      </w:r>
    </w:p>
    <w:p w14:paraId="08DDC246">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3E729B78">
      <w:pPr>
        <w:ind w:firstLine="480" w:firstLineChars="20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39BF485D">
      <w:pPr>
        <w:ind w:firstLine="480" w:firstLineChars="200"/>
        <w:jc w:val="both"/>
      </w:pPr>
      <w:r>
        <w:t>成交供应商的声明函\证明函将随成交结果一同公布，接受社会监督。</w:t>
      </w:r>
    </w:p>
    <w:p w14:paraId="7A47E016">
      <w:pPr>
        <w:keepNext/>
        <w:spacing w:before="120" w:after="60"/>
        <w:jc w:val="both"/>
        <w:outlineLvl w:val="3"/>
        <w:rPr>
          <w:b/>
          <w:kern w:val="28"/>
        </w:rPr>
      </w:pPr>
      <w:r>
        <w:rPr>
          <w:rFonts w:hint="eastAsia"/>
          <w:b/>
          <w:kern w:val="28"/>
        </w:rPr>
        <w:t>1．中小企业声明函</w:t>
      </w:r>
    </w:p>
    <w:p w14:paraId="326CB70F">
      <w:pPr>
        <w:pStyle w:val="42"/>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0FB79916">
      <w:pPr>
        <w:pStyle w:val="42"/>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1178A448">
      <w:pPr>
        <w:pStyle w:val="42"/>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5C4315FA">
      <w:pPr>
        <w:pStyle w:val="42"/>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7738322A">
      <w:pPr>
        <w:tabs>
          <w:tab w:val="left" w:pos="5670"/>
        </w:tabs>
        <w:ind w:firstLine="480" w:firstLineChars="200"/>
        <w:jc w:val="both"/>
        <w:rPr>
          <w:rFonts w:asciiTheme="minorEastAsia" w:hAnsiTheme="minorEastAsia" w:cstheme="minorHAnsi"/>
          <w:b/>
          <w:color w:val="C00000"/>
        </w:rPr>
      </w:pPr>
    </w:p>
    <w:p w14:paraId="41E96520">
      <w:pPr>
        <w:tabs>
          <w:tab w:val="left" w:pos="5670"/>
        </w:tabs>
        <w:jc w:val="center"/>
        <w:rPr>
          <w:rFonts w:cs="Calibri Light"/>
          <w:b/>
          <w:color w:val="1F4E79"/>
          <w:sz w:val="28"/>
        </w:rPr>
      </w:pPr>
      <w:r>
        <w:rPr>
          <w:rFonts w:cs="Calibri Light"/>
          <w:b/>
          <w:color w:val="1F4E79"/>
          <w:sz w:val="28"/>
        </w:rPr>
        <w:t>『中小企业声明函』（服务类格式）</w:t>
      </w:r>
    </w:p>
    <w:p w14:paraId="31D95DCF">
      <w:pPr>
        <w:pStyle w:val="42"/>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7AF0983A">
      <w:pPr>
        <w:pStyle w:val="42"/>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7B0CD497">
      <w:pPr>
        <w:pStyle w:val="42"/>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364497DF">
      <w:pPr>
        <w:pStyle w:val="42"/>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008318F6">
      <w:pPr>
        <w:ind w:firstLine="480" w:firstLineChars="200"/>
        <w:jc w:val="both"/>
      </w:pPr>
      <w:r>
        <w:t>以上企业，不属于大企业的分支机构，不存在控股股东为大企业的情形，也不存在与大企业的负责人为同一人的情形。</w:t>
      </w:r>
    </w:p>
    <w:p w14:paraId="40614BC4">
      <w:pPr>
        <w:ind w:firstLine="480" w:firstLineChars="200"/>
        <w:jc w:val="both"/>
      </w:pPr>
      <w:r>
        <w:t>本企业对上述声明内容的真实性负责。如有虚假，将依法承担相应责任。</w:t>
      </w:r>
    </w:p>
    <w:p w14:paraId="6FA47318">
      <w:pPr>
        <w:ind w:firstLine="480" w:firstLineChars="200"/>
        <w:jc w:val="both"/>
      </w:pPr>
    </w:p>
    <w:p w14:paraId="12E063AC">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455C6C04">
      <w:pPr>
        <w:tabs>
          <w:tab w:val="left" w:pos="5670"/>
        </w:tabs>
        <w:ind w:firstLine="480" w:firstLineChars="200"/>
        <w:jc w:val="both"/>
        <w:rPr>
          <w:rFonts w:cs="Calibri Light"/>
          <w:color w:val="000000"/>
        </w:rPr>
      </w:pPr>
      <w:r>
        <w:rPr>
          <w:rFonts w:cs="Calibri Light"/>
          <w:color w:val="000000"/>
        </w:rPr>
        <w:t>日　期：　　年　月　日</w:t>
      </w:r>
    </w:p>
    <w:p w14:paraId="05A8A794">
      <w:pPr>
        <w:tabs>
          <w:tab w:val="left" w:pos="5670"/>
        </w:tabs>
        <w:ind w:firstLine="480" w:firstLineChars="200"/>
        <w:jc w:val="both"/>
        <w:rPr>
          <w:rFonts w:cs="Calibri Light"/>
          <w:color w:val="000000"/>
        </w:rPr>
      </w:pPr>
    </w:p>
    <w:p w14:paraId="31EA9283">
      <w:pPr>
        <w:tabs>
          <w:tab w:val="left" w:pos="5670"/>
        </w:tabs>
        <w:ind w:firstLine="480" w:firstLineChars="200"/>
        <w:jc w:val="both"/>
        <w:rPr>
          <w:rFonts w:cs="Calibri Light"/>
          <w:color w:val="000000"/>
        </w:rPr>
      </w:pPr>
    </w:p>
    <w:p w14:paraId="0F038701">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55EFBEB">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77F335F1">
      <w:pPr>
        <w:jc w:val="center"/>
        <w:rPr>
          <w:rFonts w:cs="Calibri Light"/>
          <w:b/>
          <w:color w:val="1F4E79"/>
          <w:sz w:val="28"/>
          <w:szCs w:val="36"/>
        </w:rPr>
      </w:pPr>
      <w:r>
        <w:rPr>
          <w:rFonts w:cs="Calibri Light"/>
          <w:b/>
          <w:color w:val="1F4E79"/>
          <w:sz w:val="28"/>
          <w:szCs w:val="36"/>
        </w:rPr>
        <w:t>『残疾人福利性单位声明函』（格式）</w:t>
      </w:r>
    </w:p>
    <w:p w14:paraId="48695B02">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0CD52A54">
      <w:pPr>
        <w:ind w:firstLine="480" w:firstLineChars="200"/>
        <w:jc w:val="both"/>
        <w:rPr>
          <w:rFonts w:cstheme="minorHAnsi"/>
          <w:color w:val="000000"/>
        </w:rPr>
      </w:pPr>
      <w:r>
        <w:rPr>
          <w:rFonts w:cstheme="minorHAnsi"/>
          <w:color w:val="000000"/>
        </w:rPr>
        <w:t>本单位对上述声明的真实性负责。如有虚假，将依法承担相应责任。</w:t>
      </w:r>
    </w:p>
    <w:p w14:paraId="68C5A0BF">
      <w:pPr>
        <w:ind w:firstLine="480" w:firstLineChars="200"/>
        <w:jc w:val="both"/>
        <w:rPr>
          <w:rFonts w:cstheme="minorHAnsi"/>
          <w:color w:val="000000"/>
        </w:rPr>
      </w:pPr>
    </w:p>
    <w:p w14:paraId="00B49D20">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BFC9105">
      <w:pPr>
        <w:tabs>
          <w:tab w:val="left" w:pos="5670"/>
        </w:tabs>
        <w:ind w:firstLine="480" w:firstLineChars="200"/>
        <w:jc w:val="both"/>
        <w:rPr>
          <w:rFonts w:cstheme="minorHAnsi"/>
          <w:color w:val="000000"/>
        </w:rPr>
      </w:pPr>
      <w:r>
        <w:rPr>
          <w:rFonts w:cstheme="minorHAnsi"/>
          <w:color w:val="000000"/>
        </w:rPr>
        <w:t>日　期：　　年　月　日</w:t>
      </w:r>
    </w:p>
    <w:p w14:paraId="13542FBB">
      <w:pPr>
        <w:tabs>
          <w:tab w:val="left" w:pos="5670"/>
        </w:tabs>
        <w:jc w:val="both"/>
        <w:rPr>
          <w:rFonts w:cstheme="minorHAnsi"/>
          <w:color w:val="000000"/>
        </w:rPr>
      </w:pPr>
    </w:p>
    <w:p w14:paraId="1FB7DFC8">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6C10B862">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587E7D0D">
      <w:pPr>
        <w:jc w:val="center"/>
        <w:rPr>
          <w:rFonts w:cs="Calibri Light"/>
          <w:b/>
          <w:color w:val="1F4E79"/>
          <w:sz w:val="28"/>
          <w:szCs w:val="36"/>
        </w:rPr>
      </w:pPr>
      <w:r>
        <w:rPr>
          <w:rFonts w:cs="Calibri Light"/>
          <w:b/>
          <w:color w:val="1F4E79"/>
          <w:sz w:val="28"/>
          <w:szCs w:val="36"/>
        </w:rPr>
        <w:t>『监狱企业证明函』</w:t>
      </w:r>
    </w:p>
    <w:p w14:paraId="07903E1B">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AB583E">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1F651279">
      <w:pPr>
        <w:jc w:val="both"/>
        <w:rPr>
          <w:rFonts w:ascii="Calibri" w:hAnsi="Calibri" w:eastAsia="黑体"/>
          <w:kern w:val="28"/>
          <w:sz w:val="28"/>
        </w:rPr>
      </w:pPr>
    </w:p>
    <w:p w14:paraId="68808892">
      <w:pPr>
        <w:rPr>
          <w:rFonts w:ascii="Calibri" w:hAnsi="Calibri" w:eastAsia="黑体"/>
          <w:kern w:val="28"/>
          <w:sz w:val="28"/>
        </w:rPr>
      </w:pPr>
      <w:r>
        <w:rPr>
          <w:rFonts w:ascii="Calibri" w:hAnsi="Calibri" w:eastAsia="黑体"/>
          <w:kern w:val="28"/>
          <w:sz w:val="28"/>
        </w:rPr>
        <w:br w:type="page"/>
      </w:r>
    </w:p>
    <w:p w14:paraId="793BBEE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770AED3A">
      <w:pPr>
        <w:jc w:val="both"/>
        <w:rPr>
          <w:rFonts w:ascii="Calibri" w:hAnsi="Calibri" w:eastAsia="黑体"/>
          <w:kern w:val="28"/>
          <w:sz w:val="28"/>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6E135A1">
      <w:pPr>
        <w:outlineLvl w:val="2"/>
        <w:rPr>
          <w:rFonts w:ascii="黑体" w:hAnsi="黑体" w:eastAsia="黑体"/>
          <w:kern w:val="28"/>
          <w:sz w:val="28"/>
          <w:szCs w:val="28"/>
        </w:rPr>
      </w:pPr>
      <w:r>
        <w:rPr>
          <w:rFonts w:ascii="黑体" w:hAnsi="黑体" w:eastAsia="黑体"/>
          <w:kern w:val="28"/>
          <w:sz w:val="28"/>
          <w:szCs w:val="28"/>
        </w:rPr>
        <w:t>（一）技术（服务）条款响应</w:t>
      </w:r>
    </w:p>
    <w:p w14:paraId="6A34FB30">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3C7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D9559D3">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pPr>
              <w:jc w:val="center"/>
              <w:rPr>
                <w:rFonts w:asciiTheme="minorEastAsia" w:hAnsiTheme="minorEastAsia"/>
                <w:sz w:val="21"/>
                <w:szCs w:val="21"/>
              </w:rPr>
            </w:pPr>
            <w:r>
              <w:rPr>
                <w:rFonts w:asciiTheme="minorEastAsia" w:hAnsiTheme="minorEastAsia"/>
                <w:sz w:val="21"/>
                <w:szCs w:val="21"/>
              </w:rPr>
              <w:t>响应说明</w:t>
            </w:r>
          </w:p>
        </w:tc>
      </w:tr>
      <w:tr w14:paraId="685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3ABD1459">
            <w:pPr>
              <w:rPr>
                <w:rFonts w:asciiTheme="minorEastAsia" w:hAnsiTheme="minorEastAsia"/>
                <w:sz w:val="21"/>
                <w:szCs w:val="21"/>
              </w:rPr>
            </w:pPr>
          </w:p>
        </w:tc>
        <w:tc>
          <w:tcPr>
            <w:tcW w:w="3207" w:type="dxa"/>
            <w:shd w:val="clear" w:color="auto" w:fill="auto"/>
            <w:vAlign w:val="center"/>
          </w:tcPr>
          <w:p w14:paraId="02C26A36">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E853BF7">
            <w:pPr>
              <w:rPr>
                <w:rFonts w:asciiTheme="minorEastAsia" w:hAnsiTheme="minorEastAsia"/>
                <w:sz w:val="21"/>
                <w:szCs w:val="21"/>
              </w:rPr>
            </w:pPr>
          </w:p>
        </w:tc>
      </w:tr>
      <w:tr w14:paraId="54B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B384EB5">
            <w:pPr>
              <w:jc w:val="center"/>
              <w:rPr>
                <w:rFonts w:asciiTheme="minorEastAsia" w:hAnsiTheme="minorEastAsia"/>
                <w:sz w:val="21"/>
                <w:szCs w:val="21"/>
              </w:rPr>
            </w:pPr>
          </w:p>
        </w:tc>
        <w:tc>
          <w:tcPr>
            <w:tcW w:w="3207" w:type="dxa"/>
            <w:shd w:val="clear" w:color="auto" w:fill="auto"/>
            <w:vAlign w:val="center"/>
          </w:tcPr>
          <w:p w14:paraId="6A307581">
            <w:pPr>
              <w:rPr>
                <w:rFonts w:asciiTheme="minorEastAsia" w:hAnsiTheme="minorEastAsia"/>
                <w:sz w:val="21"/>
                <w:szCs w:val="21"/>
              </w:rPr>
            </w:pPr>
          </w:p>
        </w:tc>
        <w:tc>
          <w:tcPr>
            <w:tcW w:w="3351" w:type="dxa"/>
            <w:shd w:val="clear" w:color="auto" w:fill="auto"/>
            <w:vAlign w:val="center"/>
          </w:tcPr>
          <w:p w14:paraId="6018CA86">
            <w:pPr>
              <w:rPr>
                <w:rFonts w:asciiTheme="minorEastAsia" w:hAnsiTheme="minorEastAsia"/>
                <w:sz w:val="21"/>
                <w:szCs w:val="21"/>
              </w:rPr>
            </w:pPr>
          </w:p>
        </w:tc>
        <w:tc>
          <w:tcPr>
            <w:tcW w:w="1798" w:type="dxa"/>
            <w:shd w:val="clear" w:color="auto" w:fill="auto"/>
            <w:vAlign w:val="center"/>
          </w:tcPr>
          <w:p w14:paraId="321E6FC4">
            <w:pPr>
              <w:rPr>
                <w:rFonts w:asciiTheme="minorEastAsia" w:hAnsiTheme="minorEastAsia"/>
                <w:sz w:val="21"/>
                <w:szCs w:val="21"/>
              </w:rPr>
            </w:pPr>
          </w:p>
        </w:tc>
      </w:tr>
      <w:tr w14:paraId="254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0172B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pPr>
              <w:rPr>
                <w:rFonts w:asciiTheme="minorEastAsia" w:hAnsiTheme="minorEastAsia"/>
                <w:sz w:val="21"/>
                <w:szCs w:val="21"/>
              </w:rPr>
            </w:pPr>
            <w:r>
              <w:rPr>
                <w:rFonts w:asciiTheme="minorEastAsia" w:hAnsiTheme="minorEastAsia"/>
                <w:sz w:val="21"/>
                <w:szCs w:val="21"/>
              </w:rPr>
              <w:t>1、黑色，打印量1500页……</w:t>
            </w:r>
          </w:p>
          <w:p w14:paraId="7487281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pPr>
              <w:jc w:val="center"/>
              <w:rPr>
                <w:rFonts w:asciiTheme="minorEastAsia" w:hAnsiTheme="minorEastAsia"/>
                <w:sz w:val="21"/>
                <w:szCs w:val="21"/>
              </w:rPr>
            </w:pPr>
            <w:r>
              <w:rPr>
                <w:rFonts w:asciiTheme="minorEastAsia" w:hAnsiTheme="minorEastAsia"/>
                <w:sz w:val="21"/>
                <w:szCs w:val="21"/>
              </w:rPr>
              <w:t>符合</w:t>
            </w:r>
          </w:p>
        </w:tc>
      </w:tr>
      <w:tr w14:paraId="10E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A0B181">
            <w:pPr>
              <w:jc w:val="center"/>
              <w:rPr>
                <w:rFonts w:asciiTheme="minorEastAsia" w:hAnsiTheme="minorEastAsia"/>
                <w:sz w:val="21"/>
                <w:szCs w:val="21"/>
              </w:rPr>
            </w:pPr>
          </w:p>
        </w:tc>
        <w:tc>
          <w:tcPr>
            <w:tcW w:w="3207" w:type="dxa"/>
            <w:shd w:val="clear" w:color="auto" w:fill="auto"/>
            <w:vAlign w:val="center"/>
          </w:tcPr>
          <w:p w14:paraId="62C69207">
            <w:pPr>
              <w:rPr>
                <w:rFonts w:asciiTheme="minorEastAsia" w:hAnsiTheme="minorEastAsia"/>
                <w:sz w:val="21"/>
                <w:szCs w:val="21"/>
              </w:rPr>
            </w:pPr>
          </w:p>
        </w:tc>
        <w:tc>
          <w:tcPr>
            <w:tcW w:w="3351" w:type="dxa"/>
            <w:shd w:val="clear" w:color="auto" w:fill="auto"/>
            <w:vAlign w:val="center"/>
          </w:tcPr>
          <w:p w14:paraId="76DD1385">
            <w:pPr>
              <w:rPr>
                <w:rFonts w:asciiTheme="minorEastAsia" w:hAnsiTheme="minorEastAsia"/>
                <w:sz w:val="21"/>
                <w:szCs w:val="21"/>
              </w:rPr>
            </w:pPr>
          </w:p>
        </w:tc>
        <w:tc>
          <w:tcPr>
            <w:tcW w:w="1798" w:type="dxa"/>
            <w:shd w:val="clear" w:color="auto" w:fill="auto"/>
            <w:vAlign w:val="center"/>
          </w:tcPr>
          <w:p w14:paraId="1A42D49F">
            <w:pPr>
              <w:rPr>
                <w:rFonts w:asciiTheme="minorEastAsia" w:hAnsiTheme="minorEastAsia"/>
                <w:sz w:val="21"/>
                <w:szCs w:val="21"/>
              </w:rPr>
            </w:pPr>
          </w:p>
        </w:tc>
      </w:tr>
      <w:tr w14:paraId="775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7E24C7C">
            <w:pPr>
              <w:jc w:val="center"/>
              <w:rPr>
                <w:rFonts w:asciiTheme="minorEastAsia" w:hAnsiTheme="minorEastAsia"/>
                <w:sz w:val="21"/>
                <w:szCs w:val="21"/>
              </w:rPr>
            </w:pPr>
          </w:p>
        </w:tc>
        <w:tc>
          <w:tcPr>
            <w:tcW w:w="3207" w:type="dxa"/>
            <w:shd w:val="clear" w:color="auto" w:fill="auto"/>
            <w:vAlign w:val="center"/>
          </w:tcPr>
          <w:p w14:paraId="0F9CF6A9">
            <w:pPr>
              <w:rPr>
                <w:rFonts w:asciiTheme="minorEastAsia" w:hAnsiTheme="minorEastAsia"/>
                <w:sz w:val="21"/>
                <w:szCs w:val="21"/>
              </w:rPr>
            </w:pPr>
          </w:p>
        </w:tc>
        <w:tc>
          <w:tcPr>
            <w:tcW w:w="3351" w:type="dxa"/>
            <w:shd w:val="clear" w:color="auto" w:fill="auto"/>
            <w:vAlign w:val="center"/>
          </w:tcPr>
          <w:p w14:paraId="13AF5B0F">
            <w:pPr>
              <w:rPr>
                <w:rFonts w:asciiTheme="minorEastAsia" w:hAnsiTheme="minorEastAsia"/>
                <w:sz w:val="21"/>
                <w:szCs w:val="21"/>
              </w:rPr>
            </w:pPr>
          </w:p>
        </w:tc>
        <w:tc>
          <w:tcPr>
            <w:tcW w:w="1798" w:type="dxa"/>
            <w:shd w:val="clear" w:color="auto" w:fill="auto"/>
            <w:vAlign w:val="center"/>
          </w:tcPr>
          <w:p w14:paraId="494501A0">
            <w:pPr>
              <w:rPr>
                <w:rFonts w:asciiTheme="minorEastAsia" w:hAnsiTheme="minorEastAsia"/>
                <w:sz w:val="21"/>
                <w:szCs w:val="21"/>
              </w:rPr>
            </w:pPr>
          </w:p>
        </w:tc>
      </w:tr>
      <w:tr w14:paraId="583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7286165">
            <w:pPr>
              <w:jc w:val="center"/>
              <w:rPr>
                <w:rFonts w:asciiTheme="minorEastAsia" w:hAnsiTheme="minorEastAsia"/>
                <w:sz w:val="21"/>
                <w:szCs w:val="21"/>
              </w:rPr>
            </w:pPr>
          </w:p>
        </w:tc>
        <w:tc>
          <w:tcPr>
            <w:tcW w:w="3207" w:type="dxa"/>
            <w:shd w:val="clear" w:color="auto" w:fill="auto"/>
            <w:vAlign w:val="center"/>
          </w:tcPr>
          <w:p w14:paraId="532D2C7E">
            <w:pPr>
              <w:rPr>
                <w:rFonts w:asciiTheme="minorEastAsia" w:hAnsiTheme="minorEastAsia"/>
                <w:sz w:val="21"/>
                <w:szCs w:val="21"/>
              </w:rPr>
            </w:pPr>
          </w:p>
        </w:tc>
        <w:tc>
          <w:tcPr>
            <w:tcW w:w="3351" w:type="dxa"/>
            <w:shd w:val="clear" w:color="auto" w:fill="auto"/>
            <w:vAlign w:val="center"/>
          </w:tcPr>
          <w:p w14:paraId="0710BE96">
            <w:pPr>
              <w:rPr>
                <w:rFonts w:asciiTheme="minorEastAsia" w:hAnsiTheme="minorEastAsia"/>
                <w:sz w:val="21"/>
                <w:szCs w:val="21"/>
              </w:rPr>
            </w:pPr>
          </w:p>
        </w:tc>
        <w:tc>
          <w:tcPr>
            <w:tcW w:w="1798" w:type="dxa"/>
            <w:shd w:val="clear" w:color="auto" w:fill="auto"/>
            <w:vAlign w:val="center"/>
          </w:tcPr>
          <w:p w14:paraId="286C27AE">
            <w:pPr>
              <w:rPr>
                <w:rFonts w:asciiTheme="minorEastAsia" w:hAnsiTheme="minorEastAsia"/>
                <w:sz w:val="21"/>
                <w:szCs w:val="21"/>
              </w:rPr>
            </w:pPr>
          </w:p>
        </w:tc>
      </w:tr>
      <w:tr w14:paraId="4F2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E139C85">
            <w:pPr>
              <w:jc w:val="center"/>
              <w:rPr>
                <w:rFonts w:asciiTheme="minorEastAsia" w:hAnsiTheme="minorEastAsia"/>
                <w:sz w:val="21"/>
                <w:szCs w:val="21"/>
              </w:rPr>
            </w:pPr>
          </w:p>
        </w:tc>
        <w:tc>
          <w:tcPr>
            <w:tcW w:w="3207" w:type="dxa"/>
            <w:shd w:val="clear" w:color="auto" w:fill="auto"/>
            <w:vAlign w:val="center"/>
          </w:tcPr>
          <w:p w14:paraId="01689E32">
            <w:pPr>
              <w:rPr>
                <w:rFonts w:asciiTheme="minorEastAsia" w:hAnsiTheme="minorEastAsia"/>
                <w:sz w:val="21"/>
                <w:szCs w:val="21"/>
              </w:rPr>
            </w:pPr>
          </w:p>
        </w:tc>
        <w:tc>
          <w:tcPr>
            <w:tcW w:w="3351" w:type="dxa"/>
            <w:shd w:val="clear" w:color="auto" w:fill="auto"/>
            <w:vAlign w:val="center"/>
          </w:tcPr>
          <w:p w14:paraId="25898BA7">
            <w:pPr>
              <w:rPr>
                <w:rFonts w:asciiTheme="minorEastAsia" w:hAnsiTheme="minorEastAsia"/>
                <w:sz w:val="21"/>
                <w:szCs w:val="21"/>
              </w:rPr>
            </w:pPr>
          </w:p>
        </w:tc>
        <w:tc>
          <w:tcPr>
            <w:tcW w:w="1798" w:type="dxa"/>
            <w:shd w:val="clear" w:color="auto" w:fill="auto"/>
            <w:vAlign w:val="center"/>
          </w:tcPr>
          <w:p w14:paraId="28BF54F2">
            <w:pPr>
              <w:rPr>
                <w:rFonts w:asciiTheme="minorEastAsia" w:hAnsiTheme="minorEastAsia"/>
                <w:sz w:val="21"/>
                <w:szCs w:val="21"/>
              </w:rPr>
            </w:pPr>
          </w:p>
        </w:tc>
      </w:tr>
      <w:tr w14:paraId="37E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E886D83">
            <w:pPr>
              <w:jc w:val="center"/>
              <w:rPr>
                <w:rFonts w:asciiTheme="minorEastAsia" w:hAnsiTheme="minorEastAsia"/>
                <w:sz w:val="21"/>
                <w:szCs w:val="21"/>
              </w:rPr>
            </w:pPr>
          </w:p>
        </w:tc>
        <w:tc>
          <w:tcPr>
            <w:tcW w:w="3207" w:type="dxa"/>
            <w:shd w:val="clear" w:color="auto" w:fill="auto"/>
            <w:vAlign w:val="center"/>
          </w:tcPr>
          <w:p w14:paraId="42DDFABB">
            <w:pPr>
              <w:rPr>
                <w:rFonts w:asciiTheme="minorEastAsia" w:hAnsiTheme="minorEastAsia"/>
                <w:sz w:val="21"/>
                <w:szCs w:val="21"/>
              </w:rPr>
            </w:pPr>
          </w:p>
        </w:tc>
        <w:tc>
          <w:tcPr>
            <w:tcW w:w="3351" w:type="dxa"/>
            <w:shd w:val="clear" w:color="auto" w:fill="auto"/>
            <w:vAlign w:val="center"/>
          </w:tcPr>
          <w:p w14:paraId="58E89DFE">
            <w:pPr>
              <w:rPr>
                <w:rFonts w:asciiTheme="minorEastAsia" w:hAnsiTheme="minorEastAsia"/>
                <w:sz w:val="21"/>
                <w:szCs w:val="21"/>
              </w:rPr>
            </w:pPr>
          </w:p>
        </w:tc>
        <w:tc>
          <w:tcPr>
            <w:tcW w:w="1798" w:type="dxa"/>
            <w:shd w:val="clear" w:color="auto" w:fill="auto"/>
            <w:vAlign w:val="center"/>
          </w:tcPr>
          <w:p w14:paraId="6F01ECBE">
            <w:pPr>
              <w:rPr>
                <w:rFonts w:asciiTheme="minorEastAsia" w:hAnsiTheme="minorEastAsia"/>
                <w:sz w:val="21"/>
                <w:szCs w:val="21"/>
              </w:rPr>
            </w:pPr>
          </w:p>
        </w:tc>
      </w:tr>
      <w:tr w14:paraId="1ED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51AAF03">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6EBB5BE6">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pPr>
        <w:rPr>
          <w:rFonts w:asciiTheme="minorEastAsia" w:hAnsiTheme="minorEastAsia"/>
        </w:rPr>
      </w:pPr>
    </w:p>
    <w:p w14:paraId="77EAE1D6">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14:paraId="3309612C">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0BBB017D">
      <w:pPr>
        <w:rPr>
          <w:rFonts w:asciiTheme="minorEastAsia" w:hAnsiTheme="minorEastAsia"/>
        </w:rPr>
      </w:pPr>
      <w:r>
        <w:rPr>
          <w:rFonts w:hint="eastAsia" w:asciiTheme="minorEastAsia" w:hAnsiTheme="minorEastAsia"/>
        </w:rPr>
        <w:t>1．需求分析</w:t>
      </w:r>
    </w:p>
    <w:p w14:paraId="2034BE8D">
      <w:pPr>
        <w:rPr>
          <w:rFonts w:asciiTheme="minorEastAsia" w:hAnsiTheme="minorEastAsia"/>
        </w:rPr>
      </w:pPr>
      <w:r>
        <w:rPr>
          <w:rFonts w:asciiTheme="minorEastAsia" w:hAnsiTheme="minorEastAsia"/>
        </w:rPr>
        <w:t>2</w:t>
      </w:r>
      <w:r>
        <w:rPr>
          <w:rFonts w:hint="eastAsia" w:asciiTheme="minorEastAsia" w:hAnsiTheme="minorEastAsia"/>
        </w:rPr>
        <w:t>．技术方案</w:t>
      </w:r>
    </w:p>
    <w:p w14:paraId="227EEC29">
      <w:pPr>
        <w:rPr>
          <w:rFonts w:asciiTheme="minorEastAsia" w:hAnsiTheme="minorEastAsia"/>
        </w:rPr>
      </w:pPr>
      <w:r>
        <w:rPr>
          <w:rFonts w:hint="eastAsia" w:asciiTheme="minorEastAsia" w:hAnsiTheme="minorEastAsia"/>
        </w:rPr>
        <w:t>3. ……</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sz w:val="21"/>
                <w:szCs w:val="21"/>
              </w:rPr>
              <w:t>磋商文件</w:t>
            </w:r>
          </w:p>
        </w:tc>
        <w:tc>
          <w:tcPr>
            <w:tcW w:w="3432" w:type="dxa"/>
            <w:shd w:val="clear" w:color="auto" w:fill="F1F1F1" w:themeFill="background1" w:themeFillShade="F2"/>
            <w:vAlign w:val="center"/>
          </w:tcPr>
          <w:p w14:paraId="75A1598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7CA100E9">
      <w:pPr>
        <w:rPr>
          <w:i/>
          <w:color w:val="C00000"/>
        </w:rPr>
      </w:pPr>
    </w:p>
    <w:p w14:paraId="47ACE9F3">
      <w:pPr>
        <w:jc w:val="center"/>
        <w:rPr>
          <w:rFonts w:cstheme="minorHAnsi"/>
          <w:b/>
        </w:rPr>
      </w:pPr>
      <w:r>
        <w:rPr>
          <w:rFonts w:cstheme="minorHAnsi"/>
          <w:b/>
        </w:rPr>
        <w:t>2</w:t>
      </w:r>
      <w:r>
        <w:rPr>
          <w:rFonts w:hint="eastAsia" w:cstheme="minorHAnsi"/>
          <w:b/>
        </w:rPr>
        <w:t>.商务评审部分方案</w:t>
      </w:r>
    </w:p>
    <w:p w14:paraId="32EFF2EE">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58D07D24">
      <w:pPr>
        <w:rPr>
          <w:rFonts w:asciiTheme="minorEastAsia" w:hAnsiTheme="minorEastAsia" w:cstheme="minorHAnsi"/>
          <w:color w:val="000000"/>
          <w:kern w:val="24"/>
        </w:rPr>
      </w:pPr>
      <w:r>
        <w:rPr>
          <w:rFonts w:hint="eastAsia" w:asciiTheme="minorEastAsia" w:hAnsiTheme="minorEastAsia" w:cstheme="minorHAnsi"/>
          <w:color w:val="000000"/>
          <w:kern w:val="24"/>
        </w:rPr>
        <w:t>1.</w:t>
      </w:r>
      <w:r>
        <w:rPr>
          <w:rFonts w:asciiTheme="minorEastAsia" w:hAnsiTheme="minorEastAsia" w:cstheme="minorHAnsi"/>
          <w:color w:val="000000"/>
          <w:kern w:val="24"/>
        </w:rPr>
        <w:t xml:space="preserve"> </w:t>
      </w:r>
      <w:r>
        <w:rPr>
          <w:rFonts w:hint="eastAsia" w:asciiTheme="minorEastAsia" w:hAnsiTheme="minorEastAsia" w:cstheme="minorHAnsi"/>
          <w:color w:val="000000"/>
          <w:kern w:val="24"/>
        </w:rPr>
        <w:t>服务承诺</w:t>
      </w:r>
    </w:p>
    <w:p w14:paraId="4381587E">
      <w:pPr>
        <w:rPr>
          <w:rFonts w:asciiTheme="minorEastAsia" w:hAnsiTheme="minorEastAsia" w:cstheme="minorHAnsi"/>
          <w:color w:val="000000"/>
          <w:kern w:val="24"/>
        </w:rPr>
      </w:pPr>
      <w:r>
        <w:rPr>
          <w:rFonts w:asciiTheme="minorEastAsia" w:hAnsiTheme="minorEastAsia" w:cstheme="minorHAnsi"/>
          <w:color w:val="000000"/>
          <w:kern w:val="24"/>
        </w:rPr>
        <w:t>2</w:t>
      </w:r>
      <w:r>
        <w:rPr>
          <w:rFonts w:hint="eastAsia" w:asciiTheme="minorEastAsia" w:hAnsiTheme="minorEastAsia" w:cstheme="minorHAnsi"/>
          <w:color w:val="000000"/>
          <w:kern w:val="24"/>
        </w:rPr>
        <w:t>．资质要求</w:t>
      </w:r>
    </w:p>
    <w:p w14:paraId="6F53AD8B">
      <w:pPr>
        <w:rPr>
          <w:rFonts w:asciiTheme="minorEastAsia" w:hAnsiTheme="minorEastAsia" w:cstheme="minorHAnsi"/>
          <w:color w:val="000000"/>
          <w:kern w:val="24"/>
        </w:rPr>
      </w:pPr>
      <w:r>
        <w:rPr>
          <w:rFonts w:asciiTheme="minorEastAsia" w:hAnsiTheme="minorEastAsia" w:cstheme="minorHAnsi"/>
          <w:color w:val="000000"/>
          <w:kern w:val="24"/>
        </w:rPr>
        <w:t>3</w:t>
      </w:r>
      <w:r>
        <w:rPr>
          <w:rFonts w:hint="eastAsia" w:asciiTheme="minorEastAsia" w:hAnsiTheme="minorEastAsia" w:cstheme="minorHAnsi"/>
          <w:color w:val="000000"/>
          <w:kern w:val="24"/>
        </w:rPr>
        <w:t>．</w:t>
      </w:r>
      <w:r>
        <w:rPr>
          <w:rFonts w:asciiTheme="minorEastAsia" w:hAnsiTheme="minorEastAsia" w:cstheme="minorHAnsi"/>
          <w:color w:val="000000"/>
          <w:kern w:val="24"/>
        </w:rPr>
        <w:t>拟派项目团队人员情况表</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071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0B4CD97F">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1E4090EA">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E04283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7086A8B4">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7902F779">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12A42E0E">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4FE1B1DF">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6E0C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F822F0A">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053776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18DCC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DD970EA">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9CDADF3">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297478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09FD072">
            <w:pPr>
              <w:jc w:val="center"/>
              <w:rPr>
                <w:rFonts w:asciiTheme="minorEastAsia" w:hAnsiTheme="minorEastAsia" w:cstheme="minorHAnsi"/>
                <w:color w:val="000000"/>
                <w:sz w:val="21"/>
                <w:szCs w:val="21"/>
              </w:rPr>
            </w:pPr>
          </w:p>
        </w:tc>
      </w:tr>
      <w:tr w14:paraId="05DC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EC3D6ED">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A1903D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CB4018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0AA7B85">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7516612">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8C5A8B1">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1E55435">
            <w:pPr>
              <w:jc w:val="center"/>
              <w:rPr>
                <w:rFonts w:asciiTheme="minorEastAsia" w:hAnsiTheme="minorEastAsia" w:cstheme="minorHAnsi"/>
                <w:color w:val="000000"/>
                <w:sz w:val="21"/>
                <w:szCs w:val="21"/>
              </w:rPr>
            </w:pPr>
          </w:p>
        </w:tc>
      </w:tr>
      <w:tr w14:paraId="212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08F027C">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95F1BD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0BC34A3">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F3C4521">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634DCC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505A2D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444096F">
            <w:pPr>
              <w:jc w:val="center"/>
              <w:rPr>
                <w:rFonts w:asciiTheme="minorEastAsia" w:hAnsiTheme="minorEastAsia" w:cstheme="minorHAnsi"/>
                <w:color w:val="000000"/>
                <w:sz w:val="21"/>
                <w:szCs w:val="21"/>
              </w:rPr>
            </w:pPr>
          </w:p>
        </w:tc>
      </w:tr>
      <w:tr w14:paraId="7B87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2D0D164">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FFDAE0B">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20A95C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202DC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2C88561A">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55BE92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20B6DFB">
            <w:pPr>
              <w:jc w:val="center"/>
              <w:rPr>
                <w:rFonts w:asciiTheme="minorEastAsia" w:hAnsiTheme="minorEastAsia" w:cstheme="minorHAnsi"/>
                <w:color w:val="000000"/>
                <w:sz w:val="21"/>
                <w:szCs w:val="21"/>
              </w:rPr>
            </w:pPr>
          </w:p>
        </w:tc>
      </w:tr>
      <w:tr w14:paraId="7A3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299F9D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812A15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DC3962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363A443">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0A19F9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3744A6E">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F585159">
            <w:pPr>
              <w:jc w:val="center"/>
              <w:rPr>
                <w:rFonts w:asciiTheme="minorEastAsia" w:hAnsiTheme="minorEastAsia" w:cstheme="minorHAnsi"/>
                <w:color w:val="000000"/>
                <w:sz w:val="21"/>
                <w:szCs w:val="21"/>
              </w:rPr>
            </w:pPr>
          </w:p>
        </w:tc>
      </w:tr>
      <w:tr w14:paraId="106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0088E3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7345B677">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475DA2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4006BB">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B4EFC9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03DF439">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3CED25F">
            <w:pPr>
              <w:jc w:val="center"/>
              <w:rPr>
                <w:rFonts w:asciiTheme="minorEastAsia" w:hAnsiTheme="minorEastAsia" w:cstheme="minorHAnsi"/>
                <w:color w:val="000000"/>
                <w:sz w:val="21"/>
                <w:szCs w:val="21"/>
              </w:rPr>
            </w:pPr>
          </w:p>
        </w:tc>
      </w:tr>
      <w:tr w14:paraId="371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0428622">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320C89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BBBA3E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88C332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59355A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048E1FF">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712CBAD">
            <w:pPr>
              <w:jc w:val="center"/>
              <w:rPr>
                <w:rFonts w:asciiTheme="minorEastAsia" w:hAnsiTheme="minorEastAsia" w:cstheme="minorHAnsi"/>
                <w:color w:val="000000"/>
                <w:sz w:val="21"/>
                <w:szCs w:val="21"/>
              </w:rPr>
            </w:pPr>
          </w:p>
        </w:tc>
      </w:tr>
      <w:tr w14:paraId="4AD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9246C86">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05643C6E">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716F033A">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3CD1E5E1">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3F3B7B0D">
      <w:pPr>
        <w:rPr>
          <w:rFonts w:asciiTheme="minorEastAsia" w:hAnsiTheme="minorEastAsia" w:cstheme="minorHAnsi"/>
          <w:color w:val="000000"/>
          <w:kern w:val="24"/>
        </w:rPr>
      </w:pPr>
      <w:r>
        <w:rPr>
          <w:rFonts w:asciiTheme="minorEastAsia" w:hAnsiTheme="minorEastAsia" w:cstheme="minorHAnsi"/>
          <w:color w:val="000000"/>
          <w:kern w:val="24"/>
        </w:rPr>
        <w:t>4</w:t>
      </w:r>
      <w:r>
        <w:rPr>
          <w:rFonts w:hint="eastAsia" w:asciiTheme="minorEastAsia" w:hAnsiTheme="minorEastAsia" w:cstheme="minorHAnsi"/>
          <w:color w:val="000000"/>
          <w:kern w:val="24"/>
        </w:rPr>
        <w:t>．业绩</w:t>
      </w:r>
    </w:p>
    <w:p w14:paraId="67EC89DF">
      <w:pPr>
        <w:rPr>
          <w:rFonts w:asciiTheme="minorEastAsia" w:hAnsiTheme="minorEastAsia" w:cstheme="minorHAnsi"/>
          <w:color w:val="000000"/>
          <w:kern w:val="24"/>
        </w:rPr>
      </w:pPr>
      <w:r>
        <w:rPr>
          <w:rFonts w:hint="eastAsia" w:asciiTheme="minorEastAsia" w:hAnsiTheme="minorEastAsia" w:cstheme="minorHAnsi"/>
          <w:color w:val="000000"/>
          <w:kern w:val="24"/>
        </w:rPr>
        <w:t>5.……</w:t>
      </w:r>
    </w:p>
    <w:p w14:paraId="6F94045C">
      <w:pPr>
        <w:rPr>
          <w:rFonts w:asciiTheme="minorEastAsia" w:hAnsiTheme="minorEastAsia" w:cstheme="minorHAnsi"/>
          <w:b/>
        </w:rPr>
      </w:pPr>
    </w:p>
    <w:p w14:paraId="1C782DD1">
      <w:pPr>
        <w:rPr>
          <w:rFonts w:asciiTheme="minorEastAsia" w:hAnsiTheme="minorEastAsia" w:cstheme="minorHAnsi"/>
          <w:b/>
        </w:rPr>
      </w:pPr>
    </w:p>
    <w:p w14:paraId="49827016">
      <w:pPr>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6"/>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6"/>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3"/>
        <w:ind w:firstLine="480"/>
        <w:rPr>
          <w:i/>
          <w:color w:val="7030A0"/>
        </w:rPr>
      </w:pPr>
      <w:r>
        <w:rPr>
          <w:i/>
          <w:color w:val="7030A0"/>
        </w:rPr>
        <w:t>未签署下列承诺书的，将被视为无效响应，其责任由供应商自行承担。</w:t>
      </w:r>
    </w:p>
    <w:p w14:paraId="409E63E0">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76A5D0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668052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63ECBA9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CB8922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5FCB3D60">
      <w:pPr>
        <w:ind w:firstLine="480" w:firstLineChars="200"/>
        <w:jc w:val="both"/>
        <w:rPr>
          <w:rFonts w:ascii="Calibri" w:hAnsi="Calibri" w:eastAsia="宋体" w:cstheme="minorHAnsi"/>
          <w:color w:val="000000"/>
          <w:kern w:val="24"/>
        </w:rPr>
      </w:pPr>
    </w:p>
    <w:p w14:paraId="12FE84F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493F993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48D38801">
      <w:pPr>
        <w:ind w:firstLine="480" w:firstLineChars="200"/>
        <w:jc w:val="both"/>
        <w:rPr>
          <w:rFonts w:ascii="Calibri Light" w:hAnsi="Calibri Light" w:eastAsia="华文仿宋" w:cs="Calibri Light"/>
          <w:color w:val="000000"/>
          <w:sz w:val="28"/>
          <w:szCs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7880822C">
      <w:pPr>
        <w:pStyle w:val="83"/>
        <w:ind w:firstLine="0" w:firstLineChars="0"/>
      </w:pPr>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9"/>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C79E">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061E">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F300">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3965">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4AE0">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A644">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22FD">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9F50">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2868">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95E0">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9"/>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7CCA">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713A">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90E4">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8E74">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E883">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4A67">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CE0E">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D3FA">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14A4">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EF21">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20"/>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2025年西安市住建局住房租赁交易服务平台新运维项目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20"/>
      <w:pBdr>
        <w:bottom w:val="single" w:color="auto" w:sz="4" w:space="1"/>
      </w:pBdr>
      <w:tabs>
        <w:tab w:val="clear" w:pos="4153"/>
        <w:tab w:val="clear" w:pos="8306"/>
      </w:tabs>
      <w:jc w:val="right"/>
      <w:rPr>
        <w:rFonts w:ascii="宋体" w:hAnsi="宋体" w:eastAsia="宋体"/>
      </w:rPr>
    </w:pPr>
    <w:r>
      <w:rPr>
        <w:rFonts w:ascii="宋体" w:hAnsi="宋体" w:eastAsia="宋体"/>
      </w:rPr>
      <w:t>2025年西安市住建局住房租赁交易服务平台新运维项目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2025年西安市住建局住房租赁交易服务平台新运维项目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100"/>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4EF"/>
    <w:rsid w:val="0017054A"/>
    <w:rsid w:val="00171A61"/>
    <w:rsid w:val="00173749"/>
    <w:rsid w:val="00173A35"/>
    <w:rsid w:val="0017410F"/>
    <w:rsid w:val="00174285"/>
    <w:rsid w:val="00175756"/>
    <w:rsid w:val="00176CF3"/>
    <w:rsid w:val="00176F0E"/>
    <w:rsid w:val="00177B9C"/>
    <w:rsid w:val="00182C33"/>
    <w:rsid w:val="0018316D"/>
    <w:rsid w:val="00184A1D"/>
    <w:rsid w:val="00184DE0"/>
    <w:rsid w:val="00184F72"/>
    <w:rsid w:val="00187440"/>
    <w:rsid w:val="00187846"/>
    <w:rsid w:val="00191693"/>
    <w:rsid w:val="00191834"/>
    <w:rsid w:val="00191A7E"/>
    <w:rsid w:val="00191DD9"/>
    <w:rsid w:val="001925F4"/>
    <w:rsid w:val="00193B5F"/>
    <w:rsid w:val="001944E1"/>
    <w:rsid w:val="001947E8"/>
    <w:rsid w:val="00194890"/>
    <w:rsid w:val="0019511C"/>
    <w:rsid w:val="0019564E"/>
    <w:rsid w:val="00196A1C"/>
    <w:rsid w:val="00196DD9"/>
    <w:rsid w:val="00197C5C"/>
    <w:rsid w:val="001A0376"/>
    <w:rsid w:val="001A08AC"/>
    <w:rsid w:val="001A0C97"/>
    <w:rsid w:val="001A127F"/>
    <w:rsid w:val="001A2103"/>
    <w:rsid w:val="001A5309"/>
    <w:rsid w:val="001A5764"/>
    <w:rsid w:val="001A7BDA"/>
    <w:rsid w:val="001B0699"/>
    <w:rsid w:val="001B0878"/>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4AD2"/>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121"/>
    <w:rsid w:val="0023021B"/>
    <w:rsid w:val="0023070C"/>
    <w:rsid w:val="00230C6A"/>
    <w:rsid w:val="00232797"/>
    <w:rsid w:val="00232D64"/>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4BB"/>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6DE5"/>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321"/>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6C47"/>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1B27"/>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3DF2"/>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2E73"/>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4792"/>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0CD"/>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42C8"/>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0715E"/>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4A2A"/>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5D7"/>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145"/>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1E95"/>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407"/>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2E35"/>
    <w:rsid w:val="00BA316F"/>
    <w:rsid w:val="00BA38E0"/>
    <w:rsid w:val="00BA4649"/>
    <w:rsid w:val="00BA51C2"/>
    <w:rsid w:val="00BA5A55"/>
    <w:rsid w:val="00BA619F"/>
    <w:rsid w:val="00BA7D43"/>
    <w:rsid w:val="00BB02EB"/>
    <w:rsid w:val="00BB08FA"/>
    <w:rsid w:val="00BB0940"/>
    <w:rsid w:val="00BB0A6C"/>
    <w:rsid w:val="00BB17F3"/>
    <w:rsid w:val="00BB2AF2"/>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6CCE"/>
    <w:rsid w:val="00C074A8"/>
    <w:rsid w:val="00C076EF"/>
    <w:rsid w:val="00C1158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10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9A"/>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9E3"/>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3456"/>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6C60"/>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38CF"/>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4FF64EEB"/>
    <w:rsid w:val="5DC5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9"/>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0"/>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2"/>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3"/>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4"/>
    <w:semiHidden/>
    <w:unhideWhenUsed/>
    <w:qFormat/>
    <w:uiPriority w:val="9"/>
    <w:pPr>
      <w:numPr>
        <w:ilvl w:val="6"/>
        <w:numId w:val="1"/>
      </w:numPr>
      <w:spacing w:before="240" w:after="60"/>
      <w:outlineLvl w:val="6"/>
    </w:pPr>
  </w:style>
  <w:style w:type="paragraph" w:styleId="9">
    <w:name w:val="heading 8"/>
    <w:basedOn w:val="1"/>
    <w:next w:val="1"/>
    <w:link w:val="65"/>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ind w:firstLine="420"/>
      <w:jc w:val="both"/>
    </w:pPr>
    <w:rPr>
      <w:rFonts w:ascii="Times New Roman" w:hAnsi="Times New Roman" w:eastAsia="宋体"/>
      <w:kern w:val="2"/>
      <w:sz w:val="21"/>
      <w:szCs w:val="20"/>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0"/>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2"/>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link w:val="102"/>
    <w:qFormat/>
    <w:uiPriority w:val="0"/>
    <w:pPr>
      <w:widowControl w:val="0"/>
      <w:spacing w:after="120"/>
      <w:jc w:val="both"/>
    </w:pPr>
    <w:rPr>
      <w:rFonts w:ascii="Times New Roman" w:hAnsi="Times New Roman" w:eastAsia="宋体"/>
      <w:kern w:val="2"/>
      <w:sz w:val="21"/>
      <w:szCs w:val="20"/>
    </w:rPr>
  </w:style>
  <w:style w:type="paragraph" w:styleId="16">
    <w:name w:val="Plain Text"/>
    <w:basedOn w:val="1"/>
    <w:link w:val="94"/>
    <w:unhideWhenUsed/>
    <w:qFormat/>
    <w:uiPriority w:val="0"/>
    <w:rPr>
      <w:rFonts w:ascii="宋体" w:hAnsi="Courier New" w:eastAsia="宋体" w:cs="Courier New"/>
      <w:sz w:val="21"/>
      <w:szCs w:val="21"/>
    </w:rPr>
  </w:style>
  <w:style w:type="paragraph" w:styleId="17">
    <w:name w:val="Date"/>
    <w:basedOn w:val="1"/>
    <w:next w:val="1"/>
    <w:link w:val="55"/>
    <w:semiHidden/>
    <w:unhideWhenUsed/>
    <w:qFormat/>
    <w:uiPriority w:val="99"/>
    <w:pPr>
      <w:ind w:left="100" w:leftChars="2500"/>
    </w:pPr>
  </w:style>
  <w:style w:type="paragraph" w:styleId="18">
    <w:name w:val="Balloon Text"/>
    <w:basedOn w:val="1"/>
    <w:link w:val="81"/>
    <w:semiHidden/>
    <w:unhideWhenUsed/>
    <w:qFormat/>
    <w:uiPriority w:val="99"/>
    <w:rPr>
      <w:sz w:val="18"/>
      <w:szCs w:val="18"/>
    </w:rPr>
  </w:style>
  <w:style w:type="paragraph" w:styleId="19">
    <w:name w:val="footer"/>
    <w:basedOn w:val="1"/>
    <w:link w:val="57"/>
    <w:unhideWhenUsed/>
    <w:qFormat/>
    <w:uiPriority w:val="99"/>
    <w:pPr>
      <w:tabs>
        <w:tab w:val="center" w:pos="4153"/>
        <w:tab w:val="right" w:pos="8306"/>
      </w:tabs>
      <w:snapToGrid w:val="0"/>
      <w:spacing w:line="240" w:lineRule="atLeast"/>
    </w:pPr>
    <w:rPr>
      <w:sz w:val="18"/>
      <w:szCs w:val="18"/>
    </w:rPr>
  </w:style>
  <w:style w:type="paragraph" w:styleId="20">
    <w:name w:val="header"/>
    <w:basedOn w:val="1"/>
    <w:link w:val="5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68"/>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0"/>
  </w:style>
  <w:style w:type="paragraph" w:styleId="24">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4"/>
    <w:next w:val="14"/>
    <w:link w:val="89"/>
    <w:semiHidden/>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qFormat/>
    <w:uiPriority w:val="0"/>
    <w:rPr>
      <w:rFonts w:ascii="Times New Roman" w:hAnsi="Times New Roman" w:eastAsia="宋体" w:cs="Times New Roman"/>
    </w:rPr>
  </w:style>
  <w:style w:type="character" w:styleId="31">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2">
    <w:name w:val="Emphasis"/>
    <w:basedOn w:val="28"/>
    <w:qFormat/>
    <w:uiPriority w:val="20"/>
    <w:rPr>
      <w:rFonts w:asciiTheme="minorHAnsi" w:hAnsiTheme="minorHAnsi"/>
      <w:b/>
      <w:i/>
      <w:iCs/>
    </w:rPr>
  </w:style>
  <w:style w:type="character" w:styleId="33">
    <w:name w:val="Hyperlink"/>
    <w:basedOn w:val="28"/>
    <w:unhideWhenUsed/>
    <w:qFormat/>
    <w:uiPriority w:val="99"/>
    <w:rPr>
      <w:color w:val="0563C1" w:themeColor="hyperlink"/>
      <w:u w:val="single"/>
      <w14:textFill>
        <w14:solidFill>
          <w14:schemeClr w14:val="hlink"/>
        </w14:solidFill>
      </w14:textFill>
    </w:rPr>
  </w:style>
  <w:style w:type="character" w:styleId="34">
    <w:name w:val="annotation reference"/>
    <w:basedOn w:val="28"/>
    <w:semiHidden/>
    <w:unhideWhenUsed/>
    <w:qFormat/>
    <w:uiPriority w:val="99"/>
    <w:rPr>
      <w:sz w:val="21"/>
      <w:szCs w:val="21"/>
    </w:rPr>
  </w:style>
  <w:style w:type="paragraph" w:customStyle="1" w:styleId="35">
    <w:name w:val="※封面大标题"/>
    <w:basedOn w:val="1"/>
    <w:next w:val="1"/>
    <w:qFormat/>
    <w:uiPriority w:val="0"/>
    <w:pPr>
      <w:jc w:val="center"/>
    </w:pPr>
    <w:rPr>
      <w:rFonts w:ascii="华文中宋" w:hAnsi="华文中宋" w:eastAsia="华文中宋"/>
      <w:sz w:val="96"/>
      <w:szCs w:val="96"/>
    </w:rPr>
  </w:style>
  <w:style w:type="paragraph" w:customStyle="1" w:styleId="36">
    <w:name w:val="※封面题颌"/>
    <w:basedOn w:val="1"/>
    <w:next w:val="1"/>
    <w:qFormat/>
    <w:uiPriority w:val="0"/>
    <w:pPr>
      <w:jc w:val="center"/>
    </w:pPr>
    <w:rPr>
      <w:rFonts w:ascii="Calibri Light" w:hAnsi="Calibri Light" w:eastAsia="华文仿宋"/>
      <w:sz w:val="36"/>
      <w:szCs w:val="36"/>
    </w:rPr>
  </w:style>
  <w:style w:type="paragraph" w:customStyle="1" w:styleId="37">
    <w:name w:val="※封面题眉"/>
    <w:basedOn w:val="1"/>
    <w:next w:val="35"/>
    <w:qFormat/>
    <w:uiPriority w:val="0"/>
    <w:pPr>
      <w:jc w:val="center"/>
    </w:pPr>
    <w:rPr>
      <w:rFonts w:ascii="华文仿宋" w:hAnsi="华文仿宋" w:eastAsia="华文仿宋"/>
      <w:sz w:val="52"/>
      <w:szCs w:val="28"/>
    </w:rPr>
  </w:style>
  <w:style w:type="paragraph" w:customStyle="1" w:styleId="38">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3">
    <w:name w:val="※小标题 一"/>
    <w:basedOn w:val="42"/>
    <w:next w:val="42"/>
    <w:qFormat/>
    <w:uiPriority w:val="0"/>
    <w:pPr>
      <w:spacing w:before="120" w:line="240" w:lineRule="auto"/>
      <w:outlineLvl w:val="2"/>
    </w:pPr>
    <w:rPr>
      <w:b/>
      <w:color w:val="203864" w:themeColor="accent5" w:themeShade="80"/>
      <w:sz w:val="32"/>
    </w:rPr>
  </w:style>
  <w:style w:type="paragraph" w:customStyle="1" w:styleId="44">
    <w:name w:val="※小标题（1）"/>
    <w:basedOn w:val="1"/>
    <w:next w:val="4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5">
    <w:name w:val="※小标题（一）"/>
    <w:basedOn w:val="1"/>
    <w:next w:val="4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6">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7">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8">
    <w:name w:val="※页眉"/>
    <w:basedOn w:val="42"/>
    <w:qFormat/>
    <w:uiPriority w:val="0"/>
    <w:pPr>
      <w:pBdr>
        <w:bottom w:val="single" w:color="auto" w:sz="4" w:space="1"/>
      </w:pBdr>
      <w:spacing w:line="240" w:lineRule="atLeast"/>
      <w:jc w:val="right"/>
    </w:pPr>
    <w:rPr>
      <w:rFonts w:ascii="宋体" w:hAnsi="宋体" w:eastAsia="宋体"/>
      <w:sz w:val="18"/>
    </w:rPr>
  </w:style>
  <w:style w:type="paragraph" w:customStyle="1" w:styleId="49">
    <w:name w:val="※章节标题（第X章）"/>
    <w:basedOn w:val="1"/>
    <w:qFormat/>
    <w:uiPriority w:val="0"/>
    <w:pPr>
      <w:jc w:val="center"/>
      <w:outlineLvl w:val="0"/>
    </w:pPr>
    <w:rPr>
      <w:rFonts w:ascii="Calibri Light" w:hAnsi="Calibri Light" w:eastAsia="黑体"/>
      <w:sz w:val="36"/>
      <w:szCs w:val="28"/>
    </w:rPr>
  </w:style>
  <w:style w:type="paragraph" w:customStyle="1" w:styleId="5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1">
    <w:name w:val="※章节标题（第Z部分分项）"/>
    <w:basedOn w:val="50"/>
    <w:qFormat/>
    <w:uiPriority w:val="0"/>
    <w:pPr>
      <w:outlineLvl w:val="2"/>
    </w:pPr>
  </w:style>
  <w:style w:type="paragraph" w:customStyle="1" w:styleId="5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3">
    <w:name w:val="※正文（缩进2）"/>
    <w:basedOn w:val="42"/>
    <w:qFormat/>
    <w:uiPriority w:val="0"/>
    <w:pPr>
      <w:ind w:firstLine="200" w:firstLineChars="200"/>
    </w:pPr>
  </w:style>
  <w:style w:type="paragraph" w:customStyle="1" w:styleId="54">
    <w:name w:val="※正文（缩进4）"/>
    <w:basedOn w:val="42"/>
    <w:qFormat/>
    <w:uiPriority w:val="0"/>
    <w:pPr>
      <w:ind w:firstLine="400" w:firstLineChars="400"/>
    </w:pPr>
  </w:style>
  <w:style w:type="character" w:customStyle="1" w:styleId="55">
    <w:name w:val="日期 Char"/>
    <w:basedOn w:val="28"/>
    <w:link w:val="17"/>
    <w:semiHidden/>
    <w:qFormat/>
    <w:uiPriority w:val="99"/>
    <w:rPr>
      <w:rFonts w:ascii="华文仿宋" w:hAnsi="华文仿宋" w:eastAsia="华文仿宋"/>
      <w:sz w:val="28"/>
      <w:szCs w:val="28"/>
    </w:rPr>
  </w:style>
  <w:style w:type="character" w:customStyle="1" w:styleId="56">
    <w:name w:val="页眉 Char"/>
    <w:basedOn w:val="28"/>
    <w:link w:val="20"/>
    <w:qFormat/>
    <w:uiPriority w:val="0"/>
    <w:rPr>
      <w:rFonts w:ascii="华文仿宋" w:hAnsi="华文仿宋" w:eastAsia="华文仿宋"/>
      <w:sz w:val="18"/>
      <w:szCs w:val="18"/>
    </w:rPr>
  </w:style>
  <w:style w:type="character" w:customStyle="1" w:styleId="57">
    <w:name w:val="页脚 Char"/>
    <w:basedOn w:val="28"/>
    <w:link w:val="19"/>
    <w:qFormat/>
    <w:uiPriority w:val="99"/>
    <w:rPr>
      <w:rFonts w:ascii="华文仿宋" w:hAnsi="华文仿宋" w:eastAsia="华文仿宋"/>
      <w:sz w:val="18"/>
      <w:szCs w:val="18"/>
    </w:rPr>
  </w:style>
  <w:style w:type="character" w:customStyle="1" w:styleId="58">
    <w:name w:val="标题 1 Char"/>
    <w:basedOn w:val="28"/>
    <w:link w:val="2"/>
    <w:qFormat/>
    <w:uiPriority w:val="9"/>
    <w:rPr>
      <w:rFonts w:ascii="Calibri" w:hAnsi="Calibri" w:eastAsia="黑体"/>
      <w:bCs/>
      <w:kern w:val="36"/>
      <w:sz w:val="32"/>
      <w:szCs w:val="32"/>
    </w:rPr>
  </w:style>
  <w:style w:type="character" w:customStyle="1" w:styleId="59">
    <w:name w:val="标题 2 Char"/>
    <w:basedOn w:val="28"/>
    <w:link w:val="3"/>
    <w:qFormat/>
    <w:uiPriority w:val="9"/>
    <w:rPr>
      <w:rFonts w:ascii="Calibri" w:hAnsi="Calibri" w:eastAsia="黑体" w:cstheme="majorBidi"/>
      <w:bCs/>
      <w:iCs/>
      <w:kern w:val="32"/>
      <w:sz w:val="28"/>
      <w:szCs w:val="28"/>
    </w:rPr>
  </w:style>
  <w:style w:type="character" w:customStyle="1" w:styleId="60">
    <w:name w:val="标题 3 Char"/>
    <w:basedOn w:val="28"/>
    <w:link w:val="4"/>
    <w:qFormat/>
    <w:uiPriority w:val="9"/>
    <w:rPr>
      <w:rFonts w:ascii="Calibri Light" w:hAnsi="Calibri Light" w:eastAsia="宋体"/>
      <w:b/>
      <w:bCs/>
      <w:kern w:val="30"/>
      <w:sz w:val="24"/>
      <w:szCs w:val="26"/>
    </w:rPr>
  </w:style>
  <w:style w:type="character" w:customStyle="1" w:styleId="61">
    <w:name w:val="标题 4 Char"/>
    <w:basedOn w:val="28"/>
    <w:link w:val="5"/>
    <w:semiHidden/>
    <w:qFormat/>
    <w:uiPriority w:val="9"/>
    <w:rPr>
      <w:rFonts w:cstheme="majorBidi"/>
      <w:b/>
      <w:bCs/>
      <w:sz w:val="28"/>
      <w:szCs w:val="28"/>
    </w:rPr>
  </w:style>
  <w:style w:type="character" w:customStyle="1" w:styleId="62">
    <w:name w:val="标题 5 Char"/>
    <w:basedOn w:val="28"/>
    <w:link w:val="6"/>
    <w:semiHidden/>
    <w:qFormat/>
    <w:uiPriority w:val="9"/>
    <w:rPr>
      <w:b/>
      <w:bCs/>
      <w:i/>
      <w:iCs/>
      <w:sz w:val="26"/>
      <w:szCs w:val="26"/>
    </w:rPr>
  </w:style>
  <w:style w:type="character" w:customStyle="1" w:styleId="63">
    <w:name w:val="标题 6 Char"/>
    <w:basedOn w:val="28"/>
    <w:link w:val="7"/>
    <w:semiHidden/>
    <w:qFormat/>
    <w:uiPriority w:val="9"/>
    <w:rPr>
      <w:rFonts w:cstheme="majorBidi"/>
      <w:b/>
      <w:bCs/>
    </w:rPr>
  </w:style>
  <w:style w:type="character" w:customStyle="1" w:styleId="64">
    <w:name w:val="标题 7 Char"/>
    <w:basedOn w:val="28"/>
    <w:link w:val="8"/>
    <w:semiHidden/>
    <w:qFormat/>
    <w:uiPriority w:val="9"/>
    <w:rPr>
      <w:sz w:val="24"/>
      <w:szCs w:val="24"/>
    </w:rPr>
  </w:style>
  <w:style w:type="character" w:customStyle="1" w:styleId="65">
    <w:name w:val="标题 8 Char"/>
    <w:basedOn w:val="28"/>
    <w:link w:val="9"/>
    <w:semiHidden/>
    <w:qFormat/>
    <w:uiPriority w:val="9"/>
    <w:rPr>
      <w:rFonts w:cstheme="majorBidi"/>
      <w:i/>
      <w:iCs/>
      <w:sz w:val="24"/>
      <w:szCs w:val="24"/>
    </w:rPr>
  </w:style>
  <w:style w:type="character" w:customStyle="1" w:styleId="66">
    <w:name w:val="标题 9 Char"/>
    <w:basedOn w:val="28"/>
    <w:link w:val="10"/>
    <w:semiHidden/>
    <w:qFormat/>
    <w:uiPriority w:val="9"/>
    <w:rPr>
      <w:rFonts w:asciiTheme="majorHAnsi" w:hAnsiTheme="majorHAnsi" w:eastAsiaTheme="majorEastAsia" w:cstheme="majorBidi"/>
    </w:rPr>
  </w:style>
  <w:style w:type="character" w:customStyle="1" w:styleId="67">
    <w:name w:val="标题 Char"/>
    <w:basedOn w:val="28"/>
    <w:link w:val="24"/>
    <w:qFormat/>
    <w:uiPriority w:val="10"/>
    <w:rPr>
      <w:rFonts w:asciiTheme="majorHAnsi" w:hAnsiTheme="majorHAnsi" w:eastAsiaTheme="majorEastAsia" w:cstheme="majorBidi"/>
      <w:b/>
      <w:bCs/>
      <w:kern w:val="28"/>
      <w:sz w:val="32"/>
      <w:szCs w:val="32"/>
    </w:rPr>
  </w:style>
  <w:style w:type="character" w:customStyle="1" w:styleId="68">
    <w:name w:val="副标题 Char"/>
    <w:basedOn w:val="28"/>
    <w:link w:val="22"/>
    <w:qFormat/>
    <w:uiPriority w:val="11"/>
    <w:rPr>
      <w:rFonts w:ascii="Calibri" w:hAnsi="Calibri" w:eastAsia="黑体" w:cstheme="majorBidi"/>
      <w:sz w:val="32"/>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Char"/>
    <w:basedOn w:val="28"/>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Char"/>
    <w:basedOn w:val="28"/>
    <w:link w:val="73"/>
    <w:qFormat/>
    <w:uiPriority w:val="30"/>
    <w:rPr>
      <w:b/>
      <w:i/>
      <w:sz w:val="24"/>
    </w:rPr>
  </w:style>
  <w:style w:type="character" w:customStyle="1" w:styleId="7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Intense Emphasis"/>
    <w:basedOn w:val="28"/>
    <w:qFormat/>
    <w:uiPriority w:val="21"/>
    <w:rPr>
      <w:b/>
      <w:i/>
      <w:sz w:val="24"/>
      <w:szCs w:val="24"/>
      <w:u w:val="single"/>
    </w:rPr>
  </w:style>
  <w:style w:type="character" w:customStyle="1" w:styleId="77">
    <w:name w:val="Subtle Reference"/>
    <w:basedOn w:val="28"/>
    <w:qFormat/>
    <w:uiPriority w:val="31"/>
    <w:rPr>
      <w:sz w:val="24"/>
      <w:szCs w:val="24"/>
      <w:u w:val="single"/>
    </w:rPr>
  </w:style>
  <w:style w:type="character" w:customStyle="1" w:styleId="78">
    <w:name w:val="Intense Reference"/>
    <w:basedOn w:val="28"/>
    <w:qFormat/>
    <w:uiPriority w:val="32"/>
    <w:rPr>
      <w:b/>
      <w:sz w:val="24"/>
      <w:u w:val="single"/>
    </w:rPr>
  </w:style>
  <w:style w:type="character" w:customStyle="1" w:styleId="79">
    <w:name w:val="Book Title"/>
    <w:basedOn w:val="28"/>
    <w:qFormat/>
    <w:uiPriority w:val="33"/>
    <w:rPr>
      <w:rFonts w:asciiTheme="majorHAnsi" w:hAnsiTheme="majorHAnsi" w:eastAsiaTheme="majorEastAsia"/>
      <w:b/>
      <w:i/>
      <w:sz w:val="24"/>
      <w:szCs w:val="24"/>
    </w:rPr>
  </w:style>
  <w:style w:type="paragraph" w:customStyle="1" w:styleId="80">
    <w:name w:val="TOC Heading"/>
    <w:basedOn w:val="2"/>
    <w:next w:val="1"/>
    <w:semiHidden/>
    <w:unhideWhenUsed/>
    <w:qFormat/>
    <w:uiPriority w:val="39"/>
    <w:pPr>
      <w:outlineLvl w:val="9"/>
    </w:pPr>
  </w:style>
  <w:style w:type="character" w:customStyle="1" w:styleId="81">
    <w:name w:val="批注框文本 Char"/>
    <w:basedOn w:val="28"/>
    <w:link w:val="18"/>
    <w:semiHidden/>
    <w:qFormat/>
    <w:uiPriority w:val="99"/>
    <w:rPr>
      <w:sz w:val="18"/>
      <w:szCs w:val="18"/>
    </w:rPr>
  </w:style>
  <w:style w:type="character" w:customStyle="1" w:styleId="82">
    <w:name w:val="批注文字 Char"/>
    <w:basedOn w:val="28"/>
    <w:link w:val="14"/>
    <w:qFormat/>
    <w:uiPriority w:val="99"/>
    <w:rPr>
      <w:rFonts w:ascii="Calibri Light" w:hAnsi="Calibri Light" w:eastAsia="华文仿宋" w:cs="Calibri Light"/>
      <w:kern w:val="2"/>
      <w:sz w:val="28"/>
      <w:szCs w:val="28"/>
    </w:rPr>
  </w:style>
  <w:style w:type="paragraph" w:customStyle="1" w:styleId="83">
    <w:name w:val="@正文"/>
    <w:basedOn w:val="4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4">
    <w:name w:val="@一级小标题"/>
    <w:basedOn w:val="1"/>
    <w:next w:val="83"/>
    <w:qFormat/>
    <w:uiPriority w:val="0"/>
    <w:pPr>
      <w:keepNext/>
      <w:spacing w:before="120" w:after="60"/>
      <w:outlineLvl w:val="2"/>
    </w:pPr>
    <w:rPr>
      <w:rFonts w:ascii="Calibri" w:hAnsi="Calibri" w:eastAsia="黑体"/>
      <w:kern w:val="28"/>
      <w:sz w:val="28"/>
    </w:rPr>
  </w:style>
  <w:style w:type="paragraph" w:customStyle="1" w:styleId="85">
    <w:name w:val="@标题"/>
    <w:basedOn w:val="1"/>
    <w:next w:val="83"/>
    <w:qFormat/>
    <w:uiPriority w:val="0"/>
    <w:pPr>
      <w:keepNext/>
      <w:spacing w:before="50" w:beforeLines="50" w:after="50" w:afterLines="50"/>
      <w:jc w:val="center"/>
      <w:outlineLvl w:val="1"/>
    </w:pPr>
    <w:rPr>
      <w:rFonts w:ascii="Calibri" w:hAnsi="Calibri" w:eastAsia="黑体"/>
      <w:kern w:val="32"/>
      <w:sz w:val="32"/>
    </w:rPr>
  </w:style>
  <w:style w:type="table" w:customStyle="1" w:styleId="86">
    <w:name w:val="网格型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页眉 Char1"/>
    <w:basedOn w:val="28"/>
    <w:semiHidden/>
    <w:qFormat/>
    <w:uiPriority w:val="99"/>
    <w:rPr>
      <w:rFonts w:cs="Calibri Light"/>
      <w:sz w:val="18"/>
      <w:szCs w:val="18"/>
    </w:rPr>
  </w:style>
  <w:style w:type="character" w:customStyle="1" w:styleId="88">
    <w:name w:val="页脚 Char1"/>
    <w:basedOn w:val="28"/>
    <w:semiHidden/>
    <w:qFormat/>
    <w:uiPriority w:val="99"/>
    <w:rPr>
      <w:rFonts w:cs="Calibri Light"/>
      <w:sz w:val="18"/>
      <w:szCs w:val="18"/>
    </w:rPr>
  </w:style>
  <w:style w:type="character" w:customStyle="1" w:styleId="89">
    <w:name w:val="批注主题 Char"/>
    <w:basedOn w:val="82"/>
    <w:link w:val="25"/>
    <w:semiHidden/>
    <w:qFormat/>
    <w:uiPriority w:val="99"/>
    <w:rPr>
      <w:rFonts w:ascii="Calibri Light" w:hAnsi="Calibri Light" w:eastAsia="华文仿宋" w:cs="Calibri Light"/>
      <w:b/>
      <w:bCs/>
      <w:kern w:val="2"/>
      <w:sz w:val="28"/>
      <w:szCs w:val="28"/>
    </w:rPr>
  </w:style>
  <w:style w:type="character" w:customStyle="1" w:styleId="90">
    <w:name w:val="文档结构图 Char"/>
    <w:basedOn w:val="28"/>
    <w:link w:val="13"/>
    <w:semiHidden/>
    <w:qFormat/>
    <w:uiPriority w:val="99"/>
    <w:rPr>
      <w:rFonts w:ascii="宋体" w:hAnsi="Calibri Light" w:eastAsia="宋体" w:cs="Calibri Light"/>
      <w:kern w:val="2"/>
      <w:sz w:val="18"/>
      <w:szCs w:val="18"/>
    </w:rPr>
  </w:style>
  <w:style w:type="character" w:styleId="91">
    <w:name w:val="Placeholder Text"/>
    <w:basedOn w:val="28"/>
    <w:semiHidden/>
    <w:qFormat/>
    <w:uiPriority w:val="99"/>
    <w:rPr>
      <w:color w:val="808080"/>
    </w:rPr>
  </w:style>
  <w:style w:type="table" w:customStyle="1" w:styleId="92">
    <w:name w:val="网格型1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纯文本 Char"/>
    <w:basedOn w:val="28"/>
    <w:link w:val="16"/>
    <w:qFormat/>
    <w:uiPriority w:val="0"/>
    <w:rPr>
      <w:rFonts w:ascii="宋体" w:hAnsi="Courier New" w:eastAsia="宋体" w:cs="Courier New"/>
      <w:sz w:val="21"/>
      <w:szCs w:val="21"/>
    </w:rPr>
  </w:style>
  <w:style w:type="character" w:customStyle="1" w:styleId="9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6">
    <w:name w:val="明显强调1"/>
    <w:basedOn w:val="28"/>
    <w:qFormat/>
    <w:uiPriority w:val="21"/>
    <w:rPr>
      <w:b/>
      <w:i/>
      <w:sz w:val="24"/>
      <w:szCs w:val="24"/>
      <w:u w:val="single"/>
    </w:rPr>
  </w:style>
  <w:style w:type="character" w:customStyle="1" w:styleId="97">
    <w:name w:val="不明显参考1"/>
    <w:basedOn w:val="28"/>
    <w:qFormat/>
    <w:uiPriority w:val="31"/>
    <w:rPr>
      <w:sz w:val="24"/>
      <w:szCs w:val="24"/>
      <w:u w:val="single"/>
    </w:rPr>
  </w:style>
  <w:style w:type="character" w:customStyle="1" w:styleId="98">
    <w:name w:val="明显参考1"/>
    <w:basedOn w:val="28"/>
    <w:qFormat/>
    <w:uiPriority w:val="32"/>
    <w:rPr>
      <w:b/>
      <w:sz w:val="24"/>
      <w:u w:val="single"/>
    </w:rPr>
  </w:style>
  <w:style w:type="character" w:customStyle="1" w:styleId="99">
    <w:name w:val="书籍标题1"/>
    <w:basedOn w:val="28"/>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numPr>
        <w:numId w:val="2"/>
      </w:numPr>
      <w:outlineLvl w:val="9"/>
    </w:pPr>
  </w:style>
  <w:style w:type="paragraph" w:customStyle="1" w:styleId="101">
    <w:name w:val="null3"/>
    <w:hidden/>
    <w:qFormat/>
    <w:uiPriority w:val="0"/>
    <w:rPr>
      <w:rFonts w:hint="eastAsia" w:asciiTheme="minorHAnsi" w:hAnsiTheme="minorHAnsi" w:eastAsiaTheme="minorEastAsia" w:cstheme="minorBidi"/>
      <w:sz w:val="20"/>
      <w:szCs w:val="20"/>
      <w:lang w:val="en-US" w:eastAsia="zh-Hans" w:bidi="ar-SA"/>
    </w:rPr>
  </w:style>
  <w:style w:type="character" w:customStyle="1" w:styleId="102">
    <w:name w:val="正文文本 Char"/>
    <w:basedOn w:val="28"/>
    <w:link w:val="15"/>
    <w:qFormat/>
    <w:uiPriority w:val="0"/>
    <w:rPr>
      <w:rFonts w:ascii="Times New Roman" w:hAnsi="Times New Roman" w:eastAsia="宋体"/>
      <w:kern w:val="2"/>
      <w:sz w:val="21"/>
      <w:szCs w:val="20"/>
    </w:rPr>
  </w:style>
  <w:style w:type="paragraph" w:customStyle="1" w:styleId="103">
    <w:name w:val="xl83"/>
    <w:basedOn w:val="1"/>
    <w:qFormat/>
    <w:uiPriority w:val="0"/>
    <w:pPr>
      <w:pBdr>
        <w:right w:val="single" w:color="auto" w:sz="4" w:space="0"/>
      </w:pBdr>
      <w:spacing w:before="100" w:beforeAutospacing="1" w:after="100" w:afterAutospacing="1"/>
      <w:jc w:val="center"/>
      <w:textAlignment w:val="center"/>
    </w:pPr>
    <w:rPr>
      <w:rFonts w:ascii="宋体" w:hAnsi="宋体" w:eastAsia="宋体" w:cs="宋体"/>
    </w:rPr>
  </w:style>
  <w:style w:type="paragraph" w:customStyle="1" w:styleId="104">
    <w:name w:val="1 Char Char Char Char"/>
    <w:basedOn w:val="1"/>
    <w:qFormat/>
    <w:uiPriority w:val="0"/>
    <w:pPr>
      <w:widowControl w:val="0"/>
      <w:spacing w:line="360" w:lineRule="auto"/>
      <w:jc w:val="both"/>
    </w:pPr>
    <w:rPr>
      <w:rFonts w:ascii="Tahoma" w:hAnsi="Tahoma" w:eastAsia="宋体"/>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F4B1-9B3E-4B2F-89E7-9A2296E71C55}">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48</Pages>
  <Words>10999</Words>
  <Characters>11935</Characters>
  <Lines>2422</Lines>
  <Paragraphs>1304</Paragraphs>
  <TotalTime>498</TotalTime>
  <ScaleCrop>false</ScaleCrop>
  <LinksUpToDate>false</LinksUpToDate>
  <CharactersWithSpaces>12034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2025-07-14T03:02:00Z</dcterms:created>
  <dc:creator>admin</dc:creator>
  <cp:lastModifiedBy>常巧利</cp:lastModifiedBy>
  <cp:lastPrinted>2025-08-11T01:54:00Z</cp:lastPrinted>
  <dcterms:modified xsi:type="dcterms:W3CDTF">2025-08-13T09:07:37Z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eyJoZGlkIjoiMTY0Y2ZjNTgwMDJlM2E2ZmNhMjdhMDA5MDUzOGZjZGUiLCJ1c2VySWQiOiIxOTMwNzk2ODgifQ==</vt:lpwstr>
  </property>
  <property fmtid="{D5CDD505-2E9C-101B-9397-08002B2CF9AE}" pid="3" name="KSOProductBuildVer">
    <vt:lpwstr>2052-12.1.0.22483</vt:lpwstr>
  </property>
  <property fmtid="{D5CDD505-2E9C-101B-9397-08002B2CF9AE}" pid="4" name="ICV">
    <vt:lpwstr>F6052DFE72374B6B888A52868B0BA61A_13</vt:lpwstr>
  </property>
</Properties>
</file>