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A546">
      <w:pPr>
        <w:widowControl w:val="0"/>
        <w:topLinePunct/>
        <w:jc w:val="center"/>
        <w:rPr>
          <w:rFonts w:hint="eastAsia" w:eastAsia="宋体" w:cs="Tahoma"/>
          <w:sz w:val="44"/>
          <w:szCs w:val="44"/>
        </w:rPr>
      </w:pPr>
      <w:bookmarkStart w:id="18" w:name="_GoBack"/>
      <w:bookmarkEnd w:id="18"/>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p>
    <w:p w14:paraId="640601C8">
      <w:pPr>
        <w:pStyle w:val="37"/>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5"/>
        <w:widowControl w:val="0"/>
        <w:topLinePunct/>
        <w:rPr>
          <w:rFonts w:cstheme="minorHAnsi"/>
        </w:rPr>
      </w:pPr>
      <w:r>
        <w:rPr>
          <w:rFonts w:hint="eastAsia" w:cstheme="minorHAnsi"/>
        </w:rPr>
        <w:t>竞争性磋商</w:t>
      </w:r>
      <w:r>
        <w:rPr>
          <w:rFonts w:cstheme="minorHAnsi"/>
        </w:rPr>
        <w:t>文件</w:t>
      </w:r>
    </w:p>
    <w:p w14:paraId="0BF7852F">
      <w:pPr>
        <w:widowControl w:val="0"/>
        <w:topLinePunct/>
        <w:spacing w:line="360" w:lineRule="auto"/>
        <w:jc w:val="center"/>
        <w:rPr>
          <w:rFonts w:eastAsia="宋体" w:cs="Tahoma"/>
          <w:sz w:val="36"/>
          <w:szCs w:val="36"/>
        </w:rPr>
      </w:pPr>
    </w:p>
    <w:p w14:paraId="31BD0224">
      <w:pPr>
        <w:pStyle w:val="38"/>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2025年西安市住建局诚信建设及监管多维分析综合系统延续运维项目</w:t>
      </w:r>
    </w:p>
    <w:p w14:paraId="3B07DD0B">
      <w:pPr>
        <w:pStyle w:val="38"/>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XCZX2025-0107</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00241E4B">
      <w:pPr>
        <w:widowControl w:val="0"/>
        <w:topLinePunct/>
        <w:spacing w:line="360" w:lineRule="auto"/>
        <w:rPr>
          <w:rFonts w:eastAsia="宋体" w:cs="Tahoma"/>
          <w:sz w:val="36"/>
          <w:szCs w:val="36"/>
        </w:rPr>
      </w:pPr>
    </w:p>
    <w:p w14:paraId="04AAC15F">
      <w:pPr>
        <w:widowControl w:val="0"/>
        <w:topLinePunct/>
        <w:spacing w:line="360" w:lineRule="auto"/>
        <w:jc w:val="center"/>
        <w:rPr>
          <w:rFonts w:eastAsia="宋体" w:cs="Tahoma"/>
          <w:sz w:val="36"/>
          <w:szCs w:val="36"/>
        </w:rPr>
      </w:pPr>
    </w:p>
    <w:p w14:paraId="2D20E4AA">
      <w:pPr>
        <w:pStyle w:val="36"/>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r>
        <w:rPr>
          <w:rFonts w:eastAsia="宋体" w:cstheme="minorHAnsi"/>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622B6DAE">
      <w:pPr>
        <w:pStyle w:val="21"/>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3"/>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14:paraId="371B8779">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3"/>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14:paraId="36290FF0">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3"/>
          <w:rFonts w:hint="eastAsia"/>
        </w:rPr>
        <w:t>第三章　磋商内容及要求</w:t>
      </w:r>
      <w:r>
        <w:tab/>
      </w:r>
      <w:r>
        <w:fldChar w:fldCharType="begin"/>
      </w:r>
      <w:r>
        <w:instrText xml:space="preserve"> PAGEREF _Toc100219614 \h </w:instrText>
      </w:r>
      <w:r>
        <w:fldChar w:fldCharType="separate"/>
      </w:r>
      <w:r>
        <w:t>31</w:t>
      </w:r>
      <w:r>
        <w:fldChar w:fldCharType="end"/>
      </w:r>
      <w:r>
        <w:fldChar w:fldCharType="end"/>
      </w:r>
    </w:p>
    <w:p w14:paraId="60554200">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3"/>
          <w:rFonts w:hint="eastAsia"/>
        </w:rPr>
        <w:t>第四章　合同草案条款</w:t>
      </w:r>
      <w:r>
        <w:tab/>
      </w:r>
      <w:r>
        <w:fldChar w:fldCharType="end"/>
      </w:r>
      <w:r>
        <w:t>32</w:t>
      </w:r>
    </w:p>
    <w:p w14:paraId="41D1F5B5">
      <w:pPr>
        <w:pStyle w:val="21"/>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3"/>
          <w:rFonts w:hint="eastAsia"/>
        </w:rPr>
        <w:t>第五章　响应文件构成及格式</w:t>
      </w:r>
      <w:r>
        <w:tab/>
      </w:r>
      <w:r>
        <w:fldChar w:fldCharType="begin"/>
      </w:r>
      <w:r>
        <w:instrText xml:space="preserve"> PAGEREF _Toc100219616 \h </w:instrText>
      </w:r>
      <w:r>
        <w:fldChar w:fldCharType="separate"/>
      </w:r>
      <w:r>
        <w:t>57</w:t>
      </w:r>
      <w:r>
        <w:fldChar w:fldCharType="end"/>
      </w:r>
      <w:r>
        <w:fldChar w:fldCharType="end"/>
      </w:r>
      <w:r>
        <w:rPr>
          <w:rFonts w:cstheme="minorHAnsi"/>
          <w:szCs w:val="30"/>
        </w:rPr>
        <w:fldChar w:fldCharType="end"/>
      </w:r>
    </w:p>
    <w:p w14:paraId="2ECBF653">
      <w:pPr>
        <w:widowControl w:val="0"/>
        <w:topLinePunct/>
        <w:jc w:val="both"/>
        <w:rPr>
          <w:rFonts w:eastAsia="宋体" w:cstheme="minorHAnsi"/>
          <w:sz w:val="36"/>
          <w:szCs w:val="36"/>
        </w:rPr>
      </w:pPr>
    </w:p>
    <w:p w14:paraId="61B59243">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14:paraId="0DB8F274">
      <w:pPr>
        <w:pStyle w:val="2"/>
        <w:spacing w:beforeLines="0" w:afterLines="0"/>
      </w:pPr>
      <w:bookmarkStart w:id="0" w:name="_Toc100219612"/>
      <w:r>
        <w:rPr>
          <w:rFonts w:hint="eastAsia"/>
        </w:rPr>
        <w:t>第一章　磋商邀请函</w:t>
      </w:r>
      <w:bookmarkEnd w:id="0"/>
    </w:p>
    <w:p w14:paraId="0B3A0504">
      <w:pPr>
        <w:widowControl w:val="0"/>
        <w:topLinePunct/>
        <w:ind w:firstLine="480" w:firstLineChars="200"/>
        <w:jc w:val="both"/>
      </w:pPr>
      <w:r>
        <w:rPr>
          <w:rFonts w:hint="eastAsia"/>
        </w:rPr>
        <w:t>西安市市级单位政府采购中心受</w:t>
      </w:r>
      <w:r>
        <w:rPr>
          <w:rFonts w:hint="eastAsia"/>
          <w:color w:val="C00000"/>
        </w:rPr>
        <w:t>西安市住房和城乡建设信息中心</w:t>
      </w:r>
      <w:r>
        <w:rPr>
          <w:rFonts w:hint="eastAsia"/>
        </w:rPr>
        <w:t>的委托，经政府采购监管部门批准，按照政府采购程序，对</w:t>
      </w:r>
      <w:r>
        <w:rPr>
          <w:rFonts w:hint="eastAsia"/>
          <w:color w:val="C00000"/>
        </w:rPr>
        <w:t>2025年西安市住建局诚信建设及监管多维分析综合系统延续运维</w:t>
      </w:r>
      <w:r>
        <w:rPr>
          <w:rFonts w:hint="eastAsia"/>
        </w:rPr>
        <w:t>项目进行竞争性磋商，欢迎符合资格条件的、有能力提供本项目所需货物和服务的供应商参加磋商。</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w:t>
      </w:r>
      <w:r>
        <w:rPr>
          <w:rFonts w:hint="eastAsia"/>
          <w:color w:val="C00000"/>
        </w:rPr>
        <w:t>2025年西安市住建局诚信建设及监管多维分析综合系统延续运维项目</w:t>
      </w:r>
    </w:p>
    <w:p w14:paraId="62B33849">
      <w:pPr>
        <w:widowControl w:val="0"/>
        <w:topLinePunct/>
        <w:ind w:firstLine="480" w:firstLineChars="200"/>
        <w:jc w:val="both"/>
      </w:pPr>
      <w:r>
        <w:rPr>
          <w:rFonts w:hint="eastAsia"/>
        </w:rPr>
        <w:t>项目编号：</w:t>
      </w:r>
      <w:r>
        <w:rPr>
          <w:rFonts w:hint="eastAsia"/>
          <w:color w:val="C00000"/>
        </w:rPr>
        <w:t>XCZX2025-0107</w:t>
      </w:r>
    </w:p>
    <w:p w14:paraId="3201ECCD">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3350</w:t>
      </w:r>
    </w:p>
    <w:p w14:paraId="11EC738C">
      <w:pPr>
        <w:widowControl w:val="0"/>
        <w:topLinePunct/>
        <w:ind w:firstLine="480" w:firstLineChars="200"/>
        <w:jc w:val="both"/>
      </w:pPr>
      <w:r>
        <w:rPr>
          <w:rFonts w:hint="eastAsia"/>
          <w:b/>
        </w:rPr>
        <w:t>二、项目性质：</w:t>
      </w:r>
      <w:r>
        <w:rPr>
          <w:rFonts w:hint="eastAsia"/>
          <w:color w:val="C00000"/>
        </w:rPr>
        <w:t>非专门面向中小企业的采购项目</w:t>
      </w:r>
    </w:p>
    <w:p w14:paraId="143219DA">
      <w:pPr>
        <w:widowControl w:val="0"/>
        <w:topLinePunct/>
        <w:ind w:firstLine="480" w:firstLineChars="200"/>
        <w:jc w:val="both"/>
        <w:rPr>
          <w:color w:val="C00000"/>
        </w:rPr>
      </w:pPr>
      <w:r>
        <w:rPr>
          <w:rFonts w:hint="eastAsia"/>
          <w:b/>
        </w:rPr>
        <w:t>三、采购预算：</w:t>
      </w:r>
      <w:r>
        <w:rPr>
          <w:rFonts w:hint="eastAsia"/>
          <w:color w:val="C00000"/>
        </w:rPr>
        <w:t>〈1023440元〉（最高限价〈1023440元〉）</w:t>
      </w:r>
    </w:p>
    <w:p w14:paraId="22CDC1C3">
      <w:pPr>
        <w:widowControl w:val="0"/>
        <w:topLinePunct/>
        <w:ind w:firstLine="480" w:firstLineChars="200"/>
        <w:jc w:val="both"/>
        <w:rPr>
          <w:b/>
        </w:rPr>
      </w:pPr>
      <w:r>
        <w:rPr>
          <w:b/>
        </w:rPr>
        <w:t>四、采购</w:t>
      </w:r>
      <w:r>
        <w:rPr>
          <w:rFonts w:hint="eastAsia"/>
          <w:b/>
        </w:rPr>
        <w:t>内容和要求：</w:t>
      </w:r>
    </w:p>
    <w:p w14:paraId="64FC89D4">
      <w:pPr>
        <w:widowControl w:val="0"/>
        <w:topLinePunct/>
        <w:ind w:firstLine="480" w:firstLineChars="200"/>
        <w:jc w:val="both"/>
      </w:pPr>
      <w:r>
        <w:rPr>
          <w:rFonts w:hint="eastAsia"/>
        </w:rPr>
        <w:t>详见第三章「磋商内容及要求」。</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39B3C26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4036FEA1">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18D34C52">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58DE4155">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68A5394C">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七、获取磋商文件的时间及方式：</w:t>
      </w:r>
    </w:p>
    <w:p w14:paraId="00291F81">
      <w:pPr>
        <w:widowControl w:val="0"/>
        <w:topLinePunct/>
        <w:ind w:firstLine="480" w:firstLineChars="200"/>
        <w:jc w:val="both"/>
      </w:pPr>
      <w:r>
        <w:rPr>
          <w:rFonts w:hint="eastAsia"/>
        </w:rPr>
        <w:t>1．获取时间：自磋商公告发布之日起5个工作日内。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3"/>
          <w:rFonts w:hint="eastAsia"/>
        </w:rPr>
        <w:t>http://sxggzyjy.xa.gov.cn/</w:t>
      </w:r>
      <w:r>
        <w:rPr>
          <w:rStyle w:val="33"/>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14:paraId="089EDA29">
      <w:pPr>
        <w:widowControl w:val="0"/>
        <w:topLinePunct/>
        <w:ind w:firstLine="480" w:firstLineChars="200"/>
        <w:jc w:val="both"/>
        <w:rPr>
          <w:b/>
        </w:rPr>
      </w:pPr>
      <w:r>
        <w:rPr>
          <w:rFonts w:hint="eastAsia"/>
          <w:b/>
        </w:rPr>
        <w:t>八、提交首次响应文件截止时间及方式：</w:t>
      </w:r>
    </w:p>
    <w:p w14:paraId="51241B74">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年_</w:t>
      </w:r>
      <w:r>
        <w:rPr>
          <w:u w:val="single"/>
        </w:rPr>
        <w:t>8</w:t>
      </w:r>
      <w:r>
        <w:rPr>
          <w:rFonts w:hint="eastAsia"/>
          <w:u w:val="single"/>
        </w:rPr>
        <w:t>_</w:t>
      </w:r>
      <w:r>
        <w:rPr>
          <w:rFonts w:hint="eastAsia"/>
        </w:rPr>
        <w:t>月_</w:t>
      </w:r>
      <w:r>
        <w:rPr>
          <w:u w:val="single"/>
        </w:rPr>
        <w:t>_8_</w:t>
      </w:r>
      <w:r>
        <w:rPr>
          <w:rFonts w:hint="eastAsia"/>
        </w:rPr>
        <w:t>日10:30，逾期提交的，系统将拒绝接收。</w:t>
      </w:r>
    </w:p>
    <w:p w14:paraId="713E12B2">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14:paraId="002298FE">
      <w:pPr>
        <w:widowControl w:val="0"/>
        <w:topLinePunct/>
        <w:ind w:firstLine="480" w:firstLineChars="200"/>
        <w:jc w:val="both"/>
      </w:pPr>
      <w:r>
        <w:rPr>
          <w:rFonts w:hint="eastAsia"/>
          <w:b/>
        </w:rPr>
        <w:t>九、开启时间、地点及开标形式：</w:t>
      </w:r>
    </w:p>
    <w:p w14:paraId="1CB81DA3">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__8_</w:t>
      </w:r>
      <w:r>
        <w:rPr>
          <w:rFonts w:hint="eastAsia"/>
        </w:rPr>
        <w:t>月_</w:t>
      </w:r>
      <w:r>
        <w:rPr>
          <w:u w:val="single"/>
        </w:rPr>
        <w:t>_8_</w:t>
      </w:r>
      <w:r>
        <w:rPr>
          <w:rFonts w:hint="eastAsia"/>
        </w:rPr>
        <w:t>日10:30</w:t>
      </w:r>
    </w:p>
    <w:p w14:paraId="75602388">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__7_</w:t>
      </w:r>
      <w:r>
        <w:rPr>
          <w:rFonts w:hint="eastAsia"/>
        </w:rPr>
        <w:t>。</w:t>
      </w:r>
    </w:p>
    <w:p w14:paraId="044015C4">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1．采购人：西安市住房和城乡建设信息中心</w:t>
      </w:r>
    </w:p>
    <w:p w14:paraId="07A194B0">
      <w:pPr>
        <w:widowControl w:val="0"/>
        <w:topLinePunct/>
        <w:ind w:firstLine="480" w:firstLineChars="200"/>
        <w:jc w:val="both"/>
      </w:pPr>
      <w:r>
        <w:rPr>
          <w:rFonts w:hint="eastAsia"/>
        </w:rPr>
        <w:t>地址：西安市莲湖区</w:t>
      </w:r>
      <w:r>
        <w:t>西大街</w:t>
      </w:r>
      <w:r>
        <w:rPr>
          <w:rFonts w:hint="eastAsia"/>
        </w:rPr>
        <w:t>116号房产</w:t>
      </w:r>
      <w:r>
        <w:t>交易大厦</w:t>
      </w:r>
    </w:p>
    <w:p w14:paraId="5CD1CE1F">
      <w:pPr>
        <w:widowControl w:val="0"/>
        <w:topLinePunct/>
        <w:ind w:firstLine="480" w:firstLineChars="200"/>
        <w:jc w:val="both"/>
      </w:pPr>
      <w:r>
        <w:rPr>
          <w:rFonts w:hint="eastAsia"/>
        </w:rPr>
        <w:t>联系人：卫老师</w:t>
      </w:r>
      <w:r>
        <w:t xml:space="preserve"> </w:t>
      </w:r>
    </w:p>
    <w:p w14:paraId="7C403659">
      <w:pPr>
        <w:widowControl w:val="0"/>
        <w:topLinePunct/>
        <w:ind w:firstLine="480" w:firstLineChars="200"/>
        <w:jc w:val="both"/>
      </w:pPr>
      <w:r>
        <w:rPr>
          <w:rFonts w:hint="eastAsia"/>
        </w:rPr>
        <w:t>联系电话：0</w:t>
      </w:r>
      <w:r>
        <w:t>29-87619444</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　廖老师（</w:t>
      </w:r>
      <w:r>
        <w:t>80859</w:t>
      </w:r>
      <w:r>
        <w:rPr>
          <w:rFonts w:hint="eastAsia"/>
        </w:rPr>
        <w:t>）</w:t>
      </w:r>
    </w:p>
    <w:p w14:paraId="6F1334A2">
      <w:pPr>
        <w:widowControl w:val="0"/>
        <w:topLinePunct/>
        <w:ind w:firstLine="480" w:firstLineChars="200"/>
        <w:jc w:val="both"/>
      </w:pPr>
      <w:r>
        <w:rPr>
          <w:rFonts w:hint="eastAsia"/>
        </w:rPr>
        <w:t>开标联系人及分机号：　王老师（</w:t>
      </w:r>
      <w:r>
        <w:t>80807</w:t>
      </w:r>
      <w:r>
        <w:rPr>
          <w:rFonts w:hint="eastAsia"/>
        </w:rPr>
        <w:t>）</w:t>
      </w:r>
    </w:p>
    <w:p w14:paraId="4ED7171F">
      <w:pPr>
        <w:widowControl w:val="0"/>
        <w:topLinePunct/>
        <w:jc w:val="both"/>
      </w:pPr>
    </w:p>
    <w:p w14:paraId="2C9EEC3C">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1" w:name="_Toc498349068"/>
      <w:bookmarkStart w:id="2" w:name="_Toc97563329"/>
      <w:bookmarkStart w:id="3" w:name="_Toc533363235"/>
      <w:bookmarkStart w:id="4" w:name="_Toc445407251"/>
      <w:bookmarkStart w:id="5" w:name="_Toc533363262"/>
      <w:bookmarkStart w:id="6" w:name="_Toc100219613"/>
      <w:bookmarkStart w:id="7" w:name="_Toc534656409"/>
      <w:bookmarkStart w:id="8" w:name="_Toc534656414"/>
      <w:r>
        <w:t>第二章</w:t>
      </w:r>
      <w:r>
        <w:rPr>
          <w:rFonts w:hint="eastAsia"/>
        </w:rPr>
        <w:t>　</w:t>
      </w:r>
      <w:r>
        <w:t>供应商须知</w:t>
      </w:r>
      <w:bookmarkEnd w:id="1"/>
      <w:bookmarkEnd w:id="2"/>
      <w:bookmarkEnd w:id="3"/>
      <w:bookmarkEnd w:id="4"/>
      <w:bookmarkEnd w:id="5"/>
      <w:bookmarkEnd w:id="6"/>
      <w:bookmarkEnd w:id="7"/>
      <w:bookmarkEnd w:id="8"/>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70"/>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2025年西安市住建局诚信建设及监管多维分析综合系统延续运维项目</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XCZX2025-0107</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43C5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D74D8F0">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B35BD6">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9D6E2C0">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hint="eastAsia"/>
              </w:rPr>
              <w:t>1023440</w:t>
            </w:r>
            <w:r>
              <w:rPr>
                <w:rFonts w:hint="eastAsia" w:ascii="Calibri" w:hAnsi="宋体" w:eastAsia="宋体" w:cstheme="minorHAnsi"/>
                <w:sz w:val="21"/>
              </w:rPr>
              <w:t>元〉（最高限价</w:t>
            </w:r>
            <w:r>
              <w:rPr>
                <w:rFonts w:hint="eastAsia"/>
              </w:rPr>
              <w:t>1023440</w:t>
            </w:r>
            <w:r>
              <w:rPr>
                <w:rFonts w:hint="eastAsia" w:ascii="Calibri" w:hAnsi="宋体" w:eastAsia="宋体" w:cstheme="minorHAnsi"/>
                <w:sz w:val="21"/>
              </w:rPr>
              <w:t>元）</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5713A06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1D0D8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710653">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40C658F">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3DC1D910">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50B106DD">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32613423">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4AA0FCC2">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14:paraId="3A61785F">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163474F9">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14:paraId="75783617">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软件和信息技术服务业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14:paraId="3669E3A3">
      <w:pPr>
        <w:pStyle w:val="3"/>
        <w:jc w:val="both"/>
      </w:pPr>
      <w:r>
        <w:t>一、有关定义</w:t>
      </w:r>
    </w:p>
    <w:p w14:paraId="174EA960">
      <w:pPr>
        <w:ind w:firstLine="480" w:firstLineChars="200"/>
        <w:jc w:val="both"/>
        <w:rPr>
          <w:rFonts w:cstheme="minorHAnsi"/>
        </w:rPr>
      </w:pPr>
      <w:r>
        <w:rPr>
          <w:rFonts w:hint="eastAsia" w:cstheme="minorHAnsi"/>
        </w:rPr>
        <w:t>1．采购人：依法进行政府采购的西安市市级机关、事业单位或团体组织。</w:t>
      </w:r>
    </w:p>
    <w:p w14:paraId="7DF98CC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C49474">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039F545">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E7569EA">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3"/>
          <w:rFonts w:hint="eastAsia" w:cstheme="minorHAnsi"/>
        </w:rPr>
        <w:t>http</w:t>
      </w:r>
      <w:r>
        <w:rPr>
          <w:rStyle w:val="33"/>
          <w:rFonts w:cstheme="minorHAnsi"/>
        </w:rPr>
        <w:t>://sxggzyjy.xa.gov.cn</w:t>
      </w:r>
      <w:r>
        <w:rPr>
          <w:rStyle w:val="33"/>
          <w:rFonts w:hint="eastAsia" w:cstheme="minorHAnsi"/>
        </w:rPr>
        <w:t>/</w:t>
      </w:r>
      <w:r>
        <w:rPr>
          <w:rStyle w:val="33"/>
          <w:rFonts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3"/>
          <w:rFonts w:cstheme="minorHAnsi"/>
        </w:rPr>
        <w:t>http://www.sxggzyjy.cn:9002/TPBidder/memberLogin</w:t>
      </w:r>
      <w:r>
        <w:rPr>
          <w:rStyle w:val="33"/>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0C993A48">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199EEC6">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7969DF98">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6DB3B6DD">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4068C746">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14:paraId="69400206">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14:paraId="579A7E70">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9" w:name="OLE_LINK9"/>
      <w:bookmarkStart w:id="10" w:name="OLE_LINK10"/>
      <w:r>
        <w:rPr>
          <w:rFonts w:hint="eastAsia"/>
          <w:color w:val="C00000"/>
        </w:rPr>
        <w:t>采购文件公告期限届满之日</w:t>
      </w:r>
      <w:bookmarkEnd w:id="9"/>
      <w:bookmarkEnd w:id="10"/>
      <w:r>
        <w:rPr>
          <w:rFonts w:hint="eastAsia"/>
          <w:color w:val="C00000"/>
        </w:rPr>
        <w:t>。</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3"/>
        </w:rPr>
        <w:t>http://download.ccgp.gov.cn/2018/zhiyihanfanben.zip</w:t>
      </w:r>
      <w:r>
        <w:rPr>
          <w:rStyle w:val="33"/>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3"/>
          <w:rFonts w:cstheme="minorHAnsi"/>
          <w:color w:val="0070C0"/>
        </w:rPr>
        <w:t>http://download.ccgp.gov.cn/2018/tousushufanben.zip</w:t>
      </w:r>
      <w:r>
        <w:rPr>
          <w:rStyle w:val="33"/>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14:paraId="0757EB72">
      <w:pPr>
        <w:pStyle w:val="4"/>
        <w:ind w:firstLine="482"/>
      </w:pPr>
      <w:r>
        <w:t>（五）</w:t>
      </w:r>
      <w:r>
        <w:rPr>
          <w:rFonts w:hint="eastAsia"/>
        </w:rPr>
        <w:t>关于政府采购</w:t>
      </w:r>
      <w:r>
        <w:t>政策</w:t>
      </w:r>
    </w:p>
    <w:p w14:paraId="45D8A6C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238383B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07604E96">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4B37AD4">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447BE28B">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5FAECBEE">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53553126">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1488D8A0">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60EB2021">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373C800F">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14:paraId="270992C5">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14:paraId="355068CF">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7A1308D2">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14:paraId="47466523">
      <w:pPr>
        <w:ind w:firstLine="480" w:firstLineChars="200"/>
        <w:jc w:val="both"/>
        <w:rPr>
          <w:rFonts w:cstheme="minorHAnsi"/>
          <w:b/>
        </w:rPr>
      </w:pPr>
      <w:r>
        <w:rPr>
          <w:rFonts w:hint="eastAsia" w:cstheme="minorHAnsi"/>
          <w:b/>
        </w:rPr>
        <w:t>（1）陕西省中小企业政府采购信用融资办法</w:t>
      </w:r>
    </w:p>
    <w:p w14:paraId="72A2CB80">
      <w:pPr>
        <w:wordWrap w:val="0"/>
        <w:ind w:firstLine="480" w:firstLineChars="200"/>
        <w:jc w:val="both"/>
        <w:rPr>
          <w:rStyle w:val="33"/>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3"/>
          <w:rFonts w:hint="eastAsia" w:cstheme="minorHAnsi"/>
          <w:color w:val="0070C0"/>
        </w:rPr>
        <w:t>http://www.ccgp-shaanxi.gov.cn/zcdservice/zcd/shanxi/</w:t>
      </w:r>
    </w:p>
    <w:p w14:paraId="6A65DAE5">
      <w:pPr>
        <w:ind w:firstLine="480" w:firstLineChars="200"/>
        <w:jc w:val="both"/>
        <w:rPr>
          <w:b/>
        </w:rPr>
      </w:pPr>
      <w:r>
        <w:rPr>
          <w:rFonts w:hint="eastAsia" w:cstheme="minorHAnsi"/>
          <w:b/>
        </w:rPr>
        <w:t>（2）</w:t>
      </w:r>
      <w:r>
        <w:rPr>
          <w:b/>
        </w:rPr>
        <w:t>西安市政府采购信用担保及信用融资政策</w:t>
      </w:r>
    </w:p>
    <w:p w14:paraId="43FA72CD">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3"/>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4FAF62E3">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8ABBE46">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791E16B">
      <w:pPr>
        <w:pStyle w:val="4"/>
        <w:ind w:firstLine="482"/>
      </w:pPr>
      <w:r>
        <w:rPr>
          <w:rFonts w:hint="eastAsia"/>
        </w:rPr>
        <w:t>（六）</w:t>
      </w:r>
      <w:r>
        <w:t>关于同一品牌产品的处理</w:t>
      </w:r>
    </w:p>
    <w:p w14:paraId="4317014E">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3"/>
          <w:rFonts w:eastAsiaTheme="majorEastAsia" w:cstheme="minorHAnsi"/>
          <w:color w:val="0070C0"/>
        </w:rPr>
        <w:t>https://www.creditchina.gov.cn</w:t>
      </w:r>
      <w:r>
        <w:rPr>
          <w:rStyle w:val="33"/>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3"/>
          <w:rFonts w:eastAsiaTheme="majorEastAsia" w:cstheme="minorHAnsi"/>
          <w:color w:val="0070C0"/>
        </w:rPr>
        <w:t>http://www.ccgp.gov.cn/</w:t>
      </w:r>
      <w:r>
        <w:rPr>
          <w:rStyle w:val="33"/>
          <w:rFonts w:eastAsiaTheme="majorEastAsia" w:cstheme="minorHAnsi"/>
        </w:rPr>
        <w:t>）</w:t>
      </w:r>
      <w:r>
        <w:rPr>
          <w:rStyle w:val="33"/>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7EFE53F7">
      <w:pPr>
        <w:pStyle w:val="4"/>
      </w:pPr>
      <w:r>
        <w:t>（十）关于联合体</w:t>
      </w:r>
    </w:p>
    <w:p w14:paraId="5CDDB123">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14:paraId="3FE1621C">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447D9035">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0121866">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713EBE0B">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14:paraId="0F0DA6A8">
      <w:pPr>
        <w:ind w:firstLine="480" w:firstLineChars="200"/>
        <w:jc w:val="both"/>
      </w:pPr>
      <w:r>
        <w:rPr>
          <w:rFonts w:hint="eastAsia"/>
        </w:rPr>
        <w:t>6．联合体可享受的中小企业优惠政策：</w:t>
      </w:r>
    </w:p>
    <w:p w14:paraId="19BF3BD9">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14:paraId="5867ABE1">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1C39AB7C">
      <w:pPr>
        <w:ind w:firstLine="480" w:firstLineChars="200"/>
        <w:jc w:val="both"/>
      </w:pPr>
      <w:r>
        <w:rPr>
          <w:rFonts w:hint="eastAsia"/>
        </w:rPr>
        <w:t>7．联合体出现下列情形之一的，响</w:t>
      </w:r>
      <w:r>
        <w:rPr>
          <w:rFonts w:hint="eastAsia"/>
          <w:w w:val="1"/>
        </w:rPr>
        <w:t>　</w:t>
      </w:r>
      <w:r>
        <w:rPr>
          <w:rFonts w:hint="eastAsia"/>
        </w:rPr>
        <w:t>应无效：</w:t>
      </w:r>
    </w:p>
    <w:p w14:paraId="6B74783B">
      <w:pPr>
        <w:ind w:firstLine="480" w:firstLineChars="200"/>
        <w:jc w:val="both"/>
      </w:pPr>
      <w:r>
        <w:rPr>
          <w:rFonts w:hint="eastAsia"/>
        </w:rPr>
        <w:t>（1）联合体没有提交有效的联合协议的；</w:t>
      </w:r>
    </w:p>
    <w:p w14:paraId="6E355482">
      <w:pPr>
        <w:ind w:firstLine="480" w:firstLineChars="200"/>
        <w:jc w:val="both"/>
      </w:pPr>
      <w:r>
        <w:rPr>
          <w:rFonts w:hint="eastAsia"/>
        </w:rPr>
        <w:t xml:space="preserve">（2）进行资格预审的项目，资格预审后联合体增减、更换成员的； </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三、磋商文件</w:t>
      </w:r>
    </w:p>
    <w:p w14:paraId="57027355">
      <w:pPr>
        <w:pStyle w:val="4"/>
        <w:ind w:firstLine="482"/>
      </w:pPr>
      <w:r>
        <w:t>（一）磋商</w:t>
      </w:r>
      <w:r>
        <w:rPr>
          <w:rFonts w:hint="eastAsia"/>
        </w:rPr>
        <w:t>文件的解释权</w:t>
      </w:r>
    </w:p>
    <w:p w14:paraId="140F6F8E">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14:paraId="2F374EBD">
      <w:pPr>
        <w:pStyle w:val="4"/>
        <w:ind w:firstLine="482"/>
      </w:pPr>
      <w:r>
        <w:t>（二）磋商文件主要内容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14:paraId="604A09AD">
      <w:pPr>
        <w:pStyle w:val="4"/>
        <w:ind w:firstLine="482"/>
      </w:pPr>
      <w:r>
        <w:t>（三）磋商文件的检查及阅读</w:t>
      </w:r>
    </w:p>
    <w:p w14:paraId="136227A3">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3797605F">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4558F347">
      <w:pPr>
        <w:pStyle w:val="4"/>
        <w:ind w:firstLine="482"/>
      </w:pPr>
      <w:r>
        <w:t>（四）磋商文件的修改、澄清</w:t>
      </w:r>
    </w:p>
    <w:p w14:paraId="0079D1AC">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14:paraId="5C6D7605">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14:paraId="6E55830B">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3"/>
          <w:color w:val="0070C0"/>
        </w:rPr>
        <w:t>http://www.ccgp-shaanxi.gov.cn/</w:t>
      </w:r>
      <w:r>
        <w:rPr>
          <w:rStyle w:val="33"/>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3"/>
          <w:rFonts w:hint="eastAsia"/>
          <w:color w:val="0070C0"/>
        </w:rPr>
        <w:t>http://</w:t>
      </w:r>
      <w:r>
        <w:rPr>
          <w:rStyle w:val="33"/>
          <w:color w:val="0070C0"/>
        </w:rPr>
        <w:t>sxggzyjy.xa.gov.cn/</w:t>
      </w:r>
      <w:r>
        <w:rPr>
          <w:rStyle w:val="33"/>
          <w:color w:val="0070C0"/>
        </w:rPr>
        <w:fldChar w:fldCharType="end"/>
      </w:r>
      <w:r>
        <w:t>）中的〖首页·〉交易大厅·〉政府采购〗。</w:t>
      </w:r>
    </w:p>
    <w:p w14:paraId="76A1CFDA">
      <w:pPr>
        <w:pStyle w:val="3"/>
      </w:pPr>
      <w:r>
        <w:t>四、响应文件</w:t>
      </w:r>
    </w:p>
    <w:p w14:paraId="38AFDCFA">
      <w:pPr>
        <w:pStyle w:val="4"/>
        <w:ind w:firstLine="482"/>
      </w:pPr>
      <w:r>
        <w:rPr>
          <w:rFonts w:hint="eastAsia"/>
        </w:rPr>
        <w:t>（一）响应文件</w:t>
      </w:r>
      <w:r>
        <w:t>的式样</w:t>
      </w:r>
    </w:p>
    <w:p w14:paraId="4DBD232F">
      <w:pPr>
        <w:pStyle w:val="83"/>
        <w:ind w:firstLine="480"/>
      </w:pPr>
      <w:r>
        <w:t>1</w:t>
      </w:r>
      <w:r>
        <w:rPr>
          <w:rFonts w:hint="eastAsia"/>
          <w:color w:val="auto"/>
        </w:rPr>
        <w:t>．</w:t>
      </w:r>
      <w:r>
        <w:rPr>
          <w:rFonts w:hint="eastAsia"/>
        </w:rPr>
        <w:t>组成</w:t>
      </w:r>
      <w:r>
        <w:t>及格式</w:t>
      </w:r>
    </w:p>
    <w:p w14:paraId="6BFB9D09">
      <w:pPr>
        <w:pStyle w:val="83"/>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2EC44FBE">
      <w:pPr>
        <w:pStyle w:val="83"/>
        <w:ind w:firstLine="480"/>
      </w:pPr>
      <w:r>
        <w:rPr>
          <w:rFonts w:hint="eastAsia"/>
        </w:rPr>
        <w:t>2</w:t>
      </w:r>
      <w:r>
        <w:rPr>
          <w:rFonts w:hint="eastAsia"/>
          <w:color w:val="auto"/>
        </w:rPr>
        <w:t>．</w:t>
      </w:r>
      <w:r>
        <w:rPr>
          <w:rFonts w:hint="eastAsia"/>
        </w:rPr>
        <w:t>语言</w:t>
      </w:r>
    </w:p>
    <w:p w14:paraId="3C33EE09">
      <w:pPr>
        <w:pStyle w:val="83"/>
        <w:ind w:firstLine="480"/>
      </w:pPr>
      <w:r>
        <w:rPr>
          <w:rFonts w:hint="eastAsia"/>
        </w:rPr>
        <w:t>磋商活动的所有文件、资料、函电文字均使用简体中文，确需提交用其他语言形成的资料，必须翻译成简体中文，如有差异，以简体中文为准。</w:t>
      </w:r>
    </w:p>
    <w:p w14:paraId="2F3FAA15">
      <w:pPr>
        <w:pStyle w:val="83"/>
        <w:ind w:firstLine="480"/>
      </w:pPr>
      <w:r>
        <w:rPr>
          <w:rFonts w:hint="eastAsia"/>
        </w:rPr>
        <w:t>3</w:t>
      </w:r>
      <w:r>
        <w:rPr>
          <w:rFonts w:hint="eastAsia"/>
          <w:color w:val="auto"/>
        </w:rPr>
        <w:t>．</w:t>
      </w:r>
      <w:r>
        <w:t>计量单位</w:t>
      </w:r>
    </w:p>
    <w:p w14:paraId="386CC72A">
      <w:pPr>
        <w:pStyle w:val="83"/>
        <w:ind w:firstLine="480"/>
      </w:pPr>
      <w:r>
        <w:rPr>
          <w:rFonts w:hint="eastAsia"/>
        </w:rPr>
        <w:t>响应文件的计量单位应使用中华人民共和国法定计量单位，但磋商文件另有规定的除外。</w:t>
      </w:r>
    </w:p>
    <w:p w14:paraId="40216070">
      <w:pPr>
        <w:pStyle w:val="4"/>
        <w:ind w:firstLine="482"/>
      </w:pPr>
      <w:r>
        <w:rPr>
          <w:rFonts w:hint="eastAsia"/>
        </w:rPr>
        <w:t>（二）响应文件</w:t>
      </w:r>
      <w:r>
        <w:t>的有效期</w:t>
      </w:r>
    </w:p>
    <w:p w14:paraId="5B7D7BC8">
      <w:pPr>
        <w:pStyle w:val="83"/>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14:paraId="7802925A">
      <w:pPr>
        <w:pStyle w:val="4"/>
        <w:ind w:firstLine="482"/>
      </w:pPr>
      <w:r>
        <w:rPr>
          <w:rFonts w:hint="eastAsia"/>
        </w:rPr>
        <w:t>（三）磋商</w:t>
      </w:r>
      <w:r>
        <w:t>报价</w:t>
      </w:r>
    </w:p>
    <w:p w14:paraId="15B579B7">
      <w:pPr>
        <w:pStyle w:val="83"/>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3"/>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9275893">
      <w:pPr>
        <w:pStyle w:val="83"/>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CA3FA43">
      <w:pPr>
        <w:pStyle w:val="83"/>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6BA29EA">
      <w:pPr>
        <w:pStyle w:val="83"/>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357DD472">
      <w:pPr>
        <w:pStyle w:val="83"/>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2FE47FE1">
      <w:pPr>
        <w:pStyle w:val="83"/>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8AE6B8C">
      <w:pPr>
        <w:pStyle w:val="4"/>
        <w:ind w:firstLine="482"/>
      </w:pPr>
      <w:r>
        <w:rPr>
          <w:rFonts w:hint="eastAsia"/>
        </w:rPr>
        <w:t>（四）电子响应文件</w:t>
      </w:r>
      <w:r>
        <w:t>的</w:t>
      </w:r>
      <w:r>
        <w:rPr>
          <w:rFonts w:hint="eastAsia"/>
        </w:rPr>
        <w:t>制作、</w:t>
      </w:r>
      <w:r>
        <w:t>签章及加密</w:t>
      </w:r>
    </w:p>
    <w:p w14:paraId="5660DCD5">
      <w:pPr>
        <w:pStyle w:val="83"/>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pPr>
        <w:pStyle w:val="83"/>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3"/>
          <w:rFonts w:asciiTheme="minorHAnsi" w:hAnsiTheme="minorHAnsi" w:eastAsiaTheme="minorEastAsia"/>
          <w:color w:val="0070C0"/>
        </w:rPr>
        <w:t>http://sxggzyjy.xa.gov.cn/fwzn/004003/20181115/4d59c184-e8f6-4d5a-a416-c2f6b0601e66.html</w:t>
      </w:r>
      <w:r>
        <w:rPr>
          <w:rStyle w:val="33"/>
          <w:rFonts w:asciiTheme="minorHAnsi" w:hAnsiTheme="minorHAnsi" w:eastAsiaTheme="minorEastAsia"/>
          <w:color w:val="0070C0"/>
        </w:rPr>
        <w:fldChar w:fldCharType="end"/>
      </w:r>
    </w:p>
    <w:p w14:paraId="1AFAE165">
      <w:pPr>
        <w:pStyle w:val="83"/>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25A5956B">
      <w:pPr>
        <w:pStyle w:val="83"/>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14:paraId="5C61E669">
      <w:pPr>
        <w:pStyle w:val="83"/>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32D1415B">
      <w:pPr>
        <w:pStyle w:val="83"/>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350BAB1">
      <w:pPr>
        <w:pStyle w:val="83"/>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14:paraId="20C51986">
      <w:pPr>
        <w:pStyle w:val="4"/>
        <w:ind w:firstLine="482"/>
      </w:pPr>
      <w:r>
        <w:rPr>
          <w:rFonts w:hint="eastAsia"/>
        </w:rPr>
        <w:t>（五）电子响应文件</w:t>
      </w:r>
      <w:r>
        <w:t>的提交</w:t>
      </w:r>
    </w:p>
    <w:p w14:paraId="0656DC15">
      <w:pPr>
        <w:pStyle w:val="83"/>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1340285A">
      <w:pPr>
        <w:pStyle w:val="83"/>
        <w:ind w:firstLine="480"/>
      </w:pPr>
      <w:r>
        <w:t>出现下述情形的，电子响应文件将被系统拒收：</w:t>
      </w:r>
    </w:p>
    <w:p w14:paraId="4AC6B849">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AA2B29A">
      <w:pPr>
        <w:ind w:firstLine="480" w:firstLineChars="200"/>
        <w:jc w:val="both"/>
        <w:rPr>
          <w:rFonts w:cstheme="minorHAnsi"/>
        </w:rPr>
      </w:pPr>
      <w:r>
        <w:rPr>
          <w:rFonts w:hint="eastAsia" w:cstheme="minorHAnsi"/>
        </w:rPr>
        <w:t>2．</w:t>
      </w:r>
      <w:r>
        <w:rPr>
          <w:rFonts w:cstheme="minorHAnsi"/>
        </w:rPr>
        <w:t>逾期提交电子响应文件的；</w:t>
      </w:r>
    </w:p>
    <w:p w14:paraId="76583FD7">
      <w:pPr>
        <w:ind w:firstLine="480" w:firstLineChars="200"/>
        <w:jc w:val="both"/>
        <w:rPr>
          <w:rFonts w:cstheme="minorHAnsi"/>
        </w:rPr>
      </w:pPr>
      <w:r>
        <w:rPr>
          <w:rFonts w:cstheme="minorHAnsi"/>
        </w:rPr>
        <w:t>3</w:t>
      </w:r>
      <w:r>
        <w:rPr>
          <w:rFonts w:hint="eastAsia" w:cstheme="minorHAnsi"/>
        </w:rPr>
        <w:t>．使用旧版电子磋商文件制作电子响应文件的。</w:t>
      </w:r>
    </w:p>
    <w:p w14:paraId="092E8868">
      <w:pPr>
        <w:pStyle w:val="4"/>
        <w:ind w:firstLine="482"/>
      </w:pPr>
      <w:r>
        <w:t>（</w:t>
      </w:r>
      <w:r>
        <w:rPr>
          <w:rFonts w:hint="eastAsia"/>
        </w:rPr>
        <w:t>六</w:t>
      </w:r>
      <w:r>
        <w:t>）电子响应文件的撤回、补充及修改</w:t>
      </w:r>
    </w:p>
    <w:p w14:paraId="3592412A">
      <w:pPr>
        <w:pStyle w:val="83"/>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8FFA116">
      <w:pPr>
        <w:pStyle w:val="83"/>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1D38B9B">
      <w:pPr>
        <w:pStyle w:val="4"/>
        <w:ind w:firstLine="482"/>
      </w:pPr>
      <w:r>
        <w:rPr>
          <w:rFonts w:hint="eastAsia"/>
        </w:rPr>
        <w:t>（七）关于电子投</w:t>
      </w:r>
      <w:r>
        <w:rPr>
          <w:rFonts w:hint="eastAsia"/>
          <w:w w:val="1"/>
        </w:rPr>
        <w:t>　</w:t>
      </w:r>
      <w:r>
        <w:rPr>
          <w:rFonts w:hint="eastAsia"/>
        </w:rPr>
        <w:t>标文件的雷同性分析</w:t>
      </w:r>
    </w:p>
    <w:p w14:paraId="6B9F7F24">
      <w:pPr>
        <w:pStyle w:val="83"/>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14:paraId="60DD6D01">
      <w:pPr>
        <w:pStyle w:val="83"/>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14:paraId="29ABB2FB">
      <w:pPr>
        <w:pStyle w:val="83"/>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14:paraId="3AFE0513">
      <w:pPr>
        <w:pStyle w:val="83"/>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14:paraId="1601A4A6">
      <w:pPr>
        <w:pStyle w:val="4"/>
        <w:ind w:firstLine="482"/>
      </w:pPr>
      <w:r>
        <w:rPr>
          <w:rFonts w:hint="eastAsia"/>
        </w:rPr>
        <w:t>（八）响应文件出现下列情形之一的，视为供应商串通投</w:t>
      </w:r>
      <w:r>
        <w:rPr>
          <w:rFonts w:hint="eastAsia"/>
          <w:w w:val="1"/>
        </w:rPr>
        <w:t>　</w:t>
      </w:r>
      <w:r>
        <w:rPr>
          <w:rFonts w:hint="eastAsia"/>
        </w:rPr>
        <w:t>标，其响应无效：</w:t>
      </w:r>
    </w:p>
    <w:p w14:paraId="58163BC9">
      <w:pPr>
        <w:pStyle w:val="83"/>
        <w:ind w:firstLine="480"/>
      </w:pPr>
      <w:r>
        <w:rPr>
          <w:rFonts w:hint="eastAsia"/>
        </w:rPr>
        <w:t>1．不同供应商的响应文件由同一单位或者个人编制的；</w:t>
      </w:r>
    </w:p>
    <w:p w14:paraId="680072CC">
      <w:pPr>
        <w:pStyle w:val="83"/>
        <w:ind w:firstLine="480"/>
      </w:pPr>
      <w:r>
        <w:rPr>
          <w:rFonts w:hint="eastAsia"/>
        </w:rPr>
        <w:t>2．不同供应商委托同一单位或者个人办理磋商事宜的；</w:t>
      </w:r>
    </w:p>
    <w:p w14:paraId="7440E1B6">
      <w:pPr>
        <w:pStyle w:val="83"/>
        <w:ind w:firstLine="480"/>
      </w:pPr>
      <w:r>
        <w:rPr>
          <w:rFonts w:hint="eastAsia"/>
        </w:rPr>
        <w:t>3．不同供应商的响应文件载明的项目管理成员或者联系人员为同一人的；</w:t>
      </w:r>
    </w:p>
    <w:p w14:paraId="781FE8A4">
      <w:pPr>
        <w:pStyle w:val="83"/>
        <w:ind w:firstLine="480"/>
      </w:pPr>
      <w:r>
        <w:rPr>
          <w:rFonts w:hint="eastAsia"/>
        </w:rPr>
        <w:t>4．不同供应商的响应文件异常一致或者报价呈规律性差异的；</w:t>
      </w:r>
    </w:p>
    <w:p w14:paraId="3D0E3CF0">
      <w:pPr>
        <w:pStyle w:val="83"/>
        <w:ind w:firstLine="480"/>
      </w:pPr>
      <w:r>
        <w:rPr>
          <w:rFonts w:hint="eastAsia"/>
        </w:rPr>
        <w:t>5．不同供应商的响应文件相互混编或混装的。</w:t>
      </w:r>
    </w:p>
    <w:p w14:paraId="147CE1F7">
      <w:pPr>
        <w:pStyle w:val="3"/>
      </w:pPr>
      <w:r>
        <w:rPr>
          <w:rFonts w:hint="eastAsia"/>
        </w:rPr>
        <w:t>五</w:t>
      </w:r>
      <w:r>
        <w:t>、开启</w:t>
      </w:r>
    </w:p>
    <w:p w14:paraId="7E9B778B">
      <w:pPr>
        <w:pStyle w:val="83"/>
        <w:ind w:firstLine="480"/>
      </w:pPr>
      <w:r>
        <w:rPr>
          <w:rFonts w:hint="eastAsia"/>
        </w:rPr>
        <w:t>开启工作由采购代理机构组织实施，整个过程受同级政府采购监管部门的监督、管理。</w:t>
      </w:r>
    </w:p>
    <w:p w14:paraId="5994D3AC">
      <w:pPr>
        <w:pStyle w:val="83"/>
        <w:ind w:firstLine="480"/>
        <w:rPr>
          <w:color w:val="auto"/>
        </w:rPr>
      </w:pPr>
      <w:r>
        <w:rPr>
          <w:rFonts w:hint="eastAsia"/>
        </w:rPr>
        <w:t>1</w:t>
      </w:r>
      <w:r>
        <w:rPr>
          <w:rFonts w:hint="eastAsia"/>
          <w:color w:val="auto"/>
        </w:rPr>
        <w:t>．提交首次响应文件截止时间前，请各供应商务必确认已正常提交了响应文件。</w:t>
      </w:r>
    </w:p>
    <w:p w14:paraId="7F3B1320">
      <w:pPr>
        <w:pStyle w:val="83"/>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14:paraId="1859B800">
      <w:pPr>
        <w:pStyle w:val="83"/>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3755FB">
      <w:pPr>
        <w:pStyle w:val="83"/>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3"/>
          <w:rFonts w:hint="eastAsia"/>
          <w:color w:val="0070C0"/>
        </w:rPr>
        <w:t>http://sxggzyjy.xa.gov.cn/fwzn/004003/20200426/bc8b2c1e-abe2-4168-913c-68ff93345faf.html</w:t>
      </w:r>
      <w:r>
        <w:rPr>
          <w:rStyle w:val="33"/>
          <w:rFonts w:hint="eastAsia"/>
          <w:color w:val="0070C0"/>
        </w:rPr>
        <w:fldChar w:fldCharType="end"/>
      </w:r>
    </w:p>
    <w:p w14:paraId="554DB15D">
      <w:pPr>
        <w:pStyle w:val="83"/>
        <w:ind w:firstLine="480"/>
      </w:pPr>
      <w:r>
        <w:rPr>
          <w:rStyle w:val="33"/>
          <w:color w:val="auto"/>
          <w:u w:val="none"/>
        </w:rPr>
        <w:t>（</w:t>
      </w:r>
      <w:r>
        <w:rPr>
          <w:rStyle w:val="33"/>
          <w:rFonts w:hint="eastAsia"/>
          <w:color w:val="auto"/>
          <w:u w:val="none"/>
        </w:rPr>
        <w:t>3</w:t>
      </w:r>
      <w:r>
        <w:rPr>
          <w:rStyle w:val="33"/>
          <w:color w:val="auto"/>
          <w:u w:val="none"/>
        </w:rPr>
        <w:t>）突发状况的处置：整个磋商期间，</w:t>
      </w:r>
      <w:r>
        <w:rPr>
          <w:rStyle w:val="33"/>
          <w:rFonts w:hint="eastAsia"/>
          <w:color w:val="auto"/>
          <w:u w:val="none"/>
        </w:rPr>
        <w:t>如因停电、断网、电子化系统故障等特殊原因导致电子化开标、评标工作无法正常进行时，采购代理机构将及时汇报政府采购监管部门，并等待或中止后续活动。</w:t>
      </w:r>
    </w:p>
    <w:p w14:paraId="0FF6D903">
      <w:pPr>
        <w:pStyle w:val="83"/>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46E7318B">
      <w:pPr>
        <w:pStyle w:val="83"/>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E646EAC">
      <w:pPr>
        <w:pStyle w:val="83"/>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14:paraId="5DF699C5">
      <w:pPr>
        <w:pStyle w:val="83"/>
        <w:ind w:firstLine="480"/>
        <w:rPr>
          <w:color w:val="auto"/>
        </w:rPr>
      </w:pPr>
      <w:r>
        <w:rPr>
          <w:rFonts w:hint="eastAsia"/>
          <w:color w:val="auto"/>
        </w:rPr>
        <w:t>（3）上传</w:t>
      </w:r>
      <w:r>
        <w:rPr>
          <w:color w:val="auto"/>
        </w:rPr>
        <w:t>的电子响应文件无法正常打开的；</w:t>
      </w:r>
    </w:p>
    <w:p w14:paraId="5875F9E0">
      <w:pPr>
        <w:pStyle w:val="83"/>
        <w:ind w:firstLine="480"/>
        <w:rPr>
          <w:color w:val="auto"/>
        </w:rPr>
      </w:pPr>
      <w:r>
        <w:rPr>
          <w:rFonts w:hint="eastAsia"/>
          <w:color w:val="auto"/>
        </w:rPr>
        <w:t>（4）</w:t>
      </w:r>
      <w:r>
        <w:rPr>
          <w:color w:val="auto"/>
        </w:rPr>
        <w:t>政府采购法律法规规定的其他无效情形。</w:t>
      </w:r>
    </w:p>
    <w:p w14:paraId="76C6C5F6">
      <w:pPr>
        <w:pStyle w:val="83"/>
        <w:ind w:firstLine="480"/>
        <w:rPr>
          <w:color w:val="C00000"/>
        </w:rPr>
      </w:pPr>
      <w:r>
        <w:rPr>
          <w:rFonts w:hint="eastAsia"/>
          <w:color w:val="C00000"/>
        </w:rPr>
        <w:t>按照《政府采购竞争性磋商采购方式管理暂行办法》（财库〔2014〕214号）相关规定，对供应商的各轮磋商报价均不予公开。</w:t>
      </w:r>
    </w:p>
    <w:p w14:paraId="30688DCD">
      <w:pPr>
        <w:pStyle w:val="83"/>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22EA54D1">
      <w:pPr>
        <w:pStyle w:val="3"/>
      </w:pPr>
      <w:r>
        <w:t>六、磋商方法和程序</w:t>
      </w:r>
    </w:p>
    <w:p w14:paraId="70C3F6C2">
      <w:pPr>
        <w:pStyle w:val="4"/>
        <w:ind w:firstLine="482"/>
      </w:pPr>
      <w:r>
        <w:rPr>
          <w:rFonts w:hint="eastAsia"/>
        </w:rPr>
        <w:t>（一）组建磋商小组</w:t>
      </w:r>
    </w:p>
    <w:p w14:paraId="2FB0A0CA">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14:paraId="0B85A452">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53B8D3">
      <w:pPr>
        <w:ind w:firstLine="480" w:firstLineChars="200"/>
        <w:jc w:val="both"/>
      </w:pPr>
      <w:r>
        <w:rPr>
          <w:rFonts w:hint="eastAsia"/>
        </w:rPr>
        <w:t>由采购代理机构组织磋商小组推选评审组长，采购人代表不得担任组长。</w:t>
      </w:r>
    </w:p>
    <w:p w14:paraId="147E3A3B">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0B86C870">
      <w:pPr>
        <w:pStyle w:val="4"/>
        <w:ind w:firstLine="482"/>
      </w:pPr>
      <w:r>
        <w:t>（二）资格性审查</w:t>
      </w:r>
    </w:p>
    <w:p w14:paraId="72965B24">
      <w:pPr>
        <w:pStyle w:val="83"/>
        <w:ind w:firstLine="480"/>
      </w:pPr>
      <w:r>
        <w:rPr>
          <w:rFonts w:hint="eastAsia"/>
        </w:rPr>
        <w:t>磋商文件经确认后，磋商小组对响应文件中的供应商资格证明文件进行审查（其中供应商信用记录审查由采购人进行）。</w:t>
      </w:r>
    </w:p>
    <w:p w14:paraId="415E7DA6">
      <w:pPr>
        <w:pStyle w:val="83"/>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1071428">
      <w:pPr>
        <w:pStyle w:val="83"/>
        <w:ind w:firstLine="480"/>
      </w:pPr>
      <w:r>
        <w:rPr>
          <w:rFonts w:hint="eastAsia"/>
        </w:rPr>
        <w:t>（1）不具备磋商文件中规定的资格要求的；</w:t>
      </w:r>
    </w:p>
    <w:p w14:paraId="679D2DFA">
      <w:pPr>
        <w:pStyle w:val="83"/>
        <w:ind w:firstLine="480"/>
      </w:pPr>
      <w:r>
        <w:rPr>
          <w:rFonts w:hint="eastAsia"/>
        </w:rPr>
        <w:t>（2）未按磋商文件要求提供资格证明文件，或资格证明文件未按磋商文件要求签字、盖章的；</w:t>
      </w:r>
    </w:p>
    <w:p w14:paraId="13F9BBCC">
      <w:pPr>
        <w:pStyle w:val="83"/>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6EA62AC4">
      <w:pPr>
        <w:pStyle w:val="83"/>
        <w:ind w:firstLine="480"/>
      </w:pPr>
      <w:r>
        <w:rPr>
          <w:rFonts w:hint="eastAsia"/>
        </w:rPr>
        <w:t>（4）法律法规规定的其他无效情形。</w:t>
      </w:r>
    </w:p>
    <w:p w14:paraId="17B8864D">
      <w:pPr>
        <w:pStyle w:val="83"/>
        <w:ind w:firstLine="480"/>
      </w:pPr>
      <w:r>
        <w:rPr>
          <w:rFonts w:hint="eastAsia"/>
        </w:rPr>
        <w:t>资格审查结束后，磋商小组成员应当对审查结果进行签字确认，并告知无效响应供应商资格审查未通过的原因。</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6"/>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01C5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6386E3E5">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48E1B6C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162E1AC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09535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07566DED">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19C3D872">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0249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906222">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2A1196F2">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7FD882F3">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33673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6D86AAE">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73C61104">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3A72EC81">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4098725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472F8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C031E1">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2046457B">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42E430C3">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02471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48FC091">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19DB3CE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0ABCA65E">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106A7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B62524E">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05FC693C">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3F5DE6C2">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120C3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E7077C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1BB00794">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4B1F7D0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30F3D5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F46995">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5C833778">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05D3F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47FBB9">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0590A008">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14:paraId="185812BF">
            <w:pPr>
              <w:spacing w:line="400" w:lineRule="exact"/>
              <w:jc w:val="both"/>
              <w:rPr>
                <w:rFonts w:ascii="Calibri" w:hAnsi="宋体" w:eastAsia="宋体" w:cstheme="minorHAnsi"/>
                <w:bCs/>
                <w:color w:val="C00000"/>
                <w:sz w:val="21"/>
              </w:rPr>
            </w:pPr>
          </w:p>
        </w:tc>
      </w:tr>
      <w:tr w14:paraId="3864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0837E985">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1AE48BDE">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D68908">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74C790DD">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270D6FB0">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p w14:paraId="5EB3F25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6．</w:t>
            </w:r>
            <w:r>
              <w:rPr>
                <w:rFonts w:hint="eastAsia" w:ascii="Calibri" w:hAnsi="宋体" w:eastAsia="宋体" w:cstheme="minorHAnsi"/>
                <w:bCs/>
                <w:color w:val="00B050"/>
                <w:sz w:val="21"/>
              </w:rPr>
              <w:t>以联合体形式参加政府采购活动的，联合体各方均应具备基本资格条件前五项要求，第六项要求由牵头方填写。对于特定资格条件，按照联合协议承担特定工作的供应商应具备对应的资质；联合体中有同类资质的供应商按照联合体分工承担相同工作的，按照资质等级较低的供应商确定资质等级。</w:t>
            </w:r>
          </w:p>
        </w:tc>
      </w:tr>
    </w:tbl>
    <w:p w14:paraId="4DCD95B1">
      <w:pPr>
        <w:pStyle w:val="4"/>
        <w:ind w:firstLine="482"/>
      </w:pPr>
      <w:r>
        <w:t>（三）符合性审查</w:t>
      </w:r>
    </w:p>
    <w:p w14:paraId="02B54396">
      <w:pPr>
        <w:pStyle w:val="83"/>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1EA97D86">
      <w:pPr>
        <w:pStyle w:val="83"/>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3F8FCF9A">
      <w:pPr>
        <w:pStyle w:val="83"/>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4C9FC3B6">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6"/>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14:paraId="29497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2823F95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14:paraId="0721E28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14:paraId="39FC90B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49701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03486B8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14:paraId="0C51DED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14:paraId="3BDE3B1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14:paraId="578EB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14:paraId="1A43A25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14:paraId="2FB70CC4">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1C71810A">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6AE1F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CD040B3">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14:paraId="0C4F16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14:paraId="5125CA3B">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14:paraId="31CC1C0A">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14:paraId="7E5C86F8">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14:paraId="3EB2C20B">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6ACAF3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06F962C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14:paraId="284E9CC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6A98D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A98E6A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14:paraId="56D6201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14:paraId="7ADF7BAF">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14:paraId="4F0C5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59FFDA2">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14:paraId="65D1DAD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14:paraId="3EC60DCD">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14:paraId="5C81A9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66CE55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14:paraId="3AA6A19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14:paraId="25919158">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14:paraId="6C1799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5636AF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14:paraId="020C2D1A">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14:paraId="282AF31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12BDBA58">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14:paraId="13A2706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59BFD0C0">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2EB836B5">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14:paraId="1CA0A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05EB10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14:paraId="2BBAE4D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3BE8D608">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6E67BBE8">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1A112C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B0CD97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14:paraId="1700613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049D1A93">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47A29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FDF665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14:paraId="5865014C">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14:paraId="35EFB294">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14:paraId="7F648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359E8F6">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14:paraId="6B4AF922">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14:paraId="36449067">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0A78B2A">
      <w:pPr>
        <w:pStyle w:val="4"/>
        <w:ind w:firstLine="482"/>
      </w:pPr>
      <w:r>
        <w:t>（四）磋商</w:t>
      </w:r>
    </w:p>
    <w:p w14:paraId="6E195E68">
      <w:pPr>
        <w:ind w:firstLine="480" w:firstLineChars="200"/>
        <w:jc w:val="both"/>
      </w:pPr>
      <w:r>
        <w:rPr>
          <w:rFonts w:hint="eastAsia"/>
        </w:rPr>
        <w:t>磋商小组所有成员将集中与单一供应商分别进行磋商，并给予所有参加磋商的供应商平等的磋商机会。</w:t>
      </w:r>
    </w:p>
    <w:p w14:paraId="6692C3F0">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pPr>
        <w:pStyle w:val="4"/>
        <w:ind w:firstLine="482"/>
      </w:pPr>
      <w:r>
        <w:t>（五）提交最后报价</w:t>
      </w:r>
    </w:p>
    <w:p w14:paraId="09C9AC31">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pPr>
        <w:ind w:firstLine="480" w:firstLineChars="200"/>
        <w:jc w:val="both"/>
      </w:pPr>
      <w:r>
        <w:rPr>
          <w:rFonts w:hint="eastAsia"/>
        </w:rPr>
        <w:t>提交最后报价的供应商不得少于3家，但以下情形除外：</w:t>
      </w:r>
    </w:p>
    <w:p w14:paraId="1C7866C4">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14:paraId="4C034289">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14:paraId="0AE46734">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14:paraId="28566B72">
      <w:pPr>
        <w:pStyle w:val="4"/>
        <w:ind w:firstLine="482"/>
        <w:jc w:val="both"/>
      </w:pPr>
      <w:r>
        <w:t>（六）综合比较与评分</w:t>
      </w:r>
    </w:p>
    <w:p w14:paraId="1664C8C9">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62034A2C">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6"/>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14:paraId="7FE74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14:paraId="68FD6C4C">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5D30909A">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14:paraId="2B283A7D">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14:paraId="41589F62">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286798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14:paraId="65C8AF9A">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5F059A8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75074433">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14:paraId="32D05A14">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14:paraId="7E1C8D59">
            <w:pPr>
              <w:spacing w:line="400" w:lineRule="exact"/>
              <w:jc w:val="center"/>
              <w:rPr>
                <w:rFonts w:ascii="Calibri" w:hAnsi="宋体" w:eastAsia="宋体" w:cstheme="minorHAnsi"/>
                <w:bCs/>
                <w:sz w:val="21"/>
                <w:szCs w:val="21"/>
              </w:rPr>
            </w:pPr>
          </w:p>
        </w:tc>
      </w:tr>
      <w:tr w14:paraId="2D8B2F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29561CCB">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679B7135">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860" w:type="dxa"/>
            <w:shd w:val="clear" w:color="auto" w:fill="auto"/>
            <w:vAlign w:val="center"/>
          </w:tcPr>
          <w:p w14:paraId="5152F9CF">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6093" w:type="dxa"/>
            <w:tcBorders>
              <w:top w:val="single" w:color="auto" w:sz="2" w:space="0"/>
            </w:tcBorders>
            <w:shd w:val="clear" w:color="auto" w:fill="auto"/>
            <w:vAlign w:val="center"/>
          </w:tcPr>
          <w:p w14:paraId="77466831">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1</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1</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14:paraId="63181284">
            <w:pPr>
              <w:spacing w:line="400" w:lineRule="exact"/>
              <w:jc w:val="center"/>
              <w:rPr>
                <w:rFonts w:ascii="Calibri" w:hAnsi="宋体" w:eastAsia="宋体" w:cs="宋体"/>
                <w:bCs/>
                <w:color w:val="FF0000"/>
                <w:sz w:val="21"/>
                <w:szCs w:val="21"/>
              </w:rPr>
            </w:pPr>
          </w:p>
        </w:tc>
      </w:tr>
      <w:tr w14:paraId="4A5A46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4FA5D636">
            <w:pPr>
              <w:spacing w:line="400" w:lineRule="exact"/>
              <w:jc w:val="center"/>
              <w:rPr>
                <w:rFonts w:ascii="Calibri" w:hAnsi="宋体" w:eastAsia="宋体" w:cs="宋体"/>
                <w:b/>
                <w:sz w:val="21"/>
                <w:szCs w:val="21"/>
              </w:rPr>
            </w:pPr>
            <w:r>
              <w:rPr>
                <w:rFonts w:hint="eastAsia" w:ascii="Calibri" w:hAnsi="宋体" w:eastAsia="宋体" w:cs="宋体"/>
                <w:b/>
                <w:sz w:val="21"/>
                <w:szCs w:val="21"/>
              </w:rPr>
              <w:t>技术</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14:paraId="2817A904">
            <w:pPr>
              <w:spacing w:line="400" w:lineRule="exact"/>
              <w:jc w:val="center"/>
              <w:rPr>
                <w:rFonts w:ascii="Calibri" w:hAnsi="宋体" w:eastAsia="宋体" w:cs="宋体"/>
                <w:bCs/>
                <w:sz w:val="21"/>
                <w:szCs w:val="21"/>
              </w:rPr>
            </w:pPr>
            <w:r>
              <w:rPr>
                <w:rFonts w:hint="eastAsia" w:ascii="Calibri" w:hAnsi="宋体" w:eastAsia="宋体" w:cs="宋体"/>
                <w:bCs/>
                <w:sz w:val="21"/>
                <w:szCs w:val="21"/>
              </w:rPr>
              <w:t>57</w:t>
            </w:r>
          </w:p>
        </w:tc>
        <w:tc>
          <w:tcPr>
            <w:tcW w:w="860" w:type="dxa"/>
            <w:shd w:val="clear" w:color="auto" w:fill="auto"/>
            <w:vAlign w:val="center"/>
          </w:tcPr>
          <w:p w14:paraId="2EBBB84D">
            <w:pPr>
              <w:spacing w:line="400" w:lineRule="exact"/>
              <w:jc w:val="center"/>
              <w:rPr>
                <w:rFonts w:ascii="Calibri" w:hAnsi="宋体" w:eastAsia="宋体" w:cs="宋体"/>
                <w:bCs/>
                <w:sz w:val="21"/>
                <w:szCs w:val="21"/>
              </w:rPr>
            </w:pPr>
            <w:r>
              <w:rPr>
                <w:rFonts w:hint="eastAsia" w:ascii="Calibri" w:hAnsi="宋体" w:eastAsia="宋体" w:cs="宋体"/>
                <w:bCs/>
                <w:szCs w:val="21"/>
              </w:rPr>
              <w:t>9</w:t>
            </w:r>
          </w:p>
        </w:tc>
        <w:tc>
          <w:tcPr>
            <w:tcW w:w="6093" w:type="dxa"/>
            <w:tcBorders>
              <w:top w:val="single" w:color="auto" w:sz="2" w:space="0"/>
            </w:tcBorders>
            <w:shd w:val="clear" w:color="auto" w:fill="auto"/>
            <w:vAlign w:val="center"/>
          </w:tcPr>
          <w:p w14:paraId="650E41FA">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需求分析：</w:t>
            </w:r>
          </w:p>
          <w:p w14:paraId="03C2A855">
            <w:pPr>
              <w:tabs>
                <w:tab w:val="left" w:pos="547"/>
              </w:tabs>
              <w:spacing w:line="300" w:lineRule="exact"/>
              <w:ind w:firstLine="420" w:firstLineChars="200"/>
              <w:rPr>
                <w:rFonts w:ascii="Calibri" w:hAnsi="宋体" w:cs="仿宋"/>
                <w:b/>
                <w:szCs w:val="21"/>
              </w:rPr>
            </w:pPr>
            <w:r>
              <w:rPr>
                <w:rFonts w:hint="eastAsia" w:ascii="Calibri" w:hAnsi="宋体" w:cs="仿宋"/>
                <w:b/>
                <w:sz w:val="21"/>
                <w:szCs w:val="21"/>
              </w:rPr>
              <w:t>一、评审内容</w:t>
            </w:r>
          </w:p>
          <w:p w14:paraId="5DC06F23">
            <w:pPr>
              <w:spacing w:line="300" w:lineRule="exact"/>
              <w:ind w:firstLine="420" w:firstLineChars="200"/>
              <w:rPr>
                <w:rFonts w:ascii="Calibri" w:hAnsi="宋体" w:cs="Calibri Light"/>
                <w:szCs w:val="21"/>
              </w:rPr>
            </w:pPr>
            <w:r>
              <w:rPr>
                <w:rFonts w:hint="eastAsia" w:ascii="Calibri" w:hAnsi="宋体" w:cs="仿宋"/>
                <w:sz w:val="21"/>
                <w:szCs w:val="21"/>
              </w:rPr>
              <w:t>供应商提供针对于本项目的</w:t>
            </w:r>
            <w:r>
              <w:rPr>
                <w:rFonts w:hint="eastAsia" w:ascii="Calibri" w:hAnsi="宋体" w:cs="Calibri Light"/>
                <w:sz w:val="21"/>
                <w:szCs w:val="21"/>
              </w:rPr>
              <w:t>需求分析</w:t>
            </w:r>
            <w:r>
              <w:rPr>
                <w:rFonts w:ascii="Calibri" w:hAnsi="宋体" w:cs="Calibri Light"/>
                <w:sz w:val="21"/>
                <w:szCs w:val="21"/>
              </w:rPr>
              <w:t>，内容包含：</w:t>
            </w:r>
            <w:r>
              <w:rPr>
                <w:rFonts w:hint="eastAsia" w:ascii="Calibri" w:hAnsi="宋体" w:eastAsia="宋体" w:cs="宋体"/>
                <w:sz w:val="21"/>
                <w:szCs w:val="21"/>
              </w:rPr>
              <w:t>①</w:t>
            </w:r>
            <w:r>
              <w:rPr>
                <w:rFonts w:hint="eastAsia" w:ascii="Calibri" w:hAnsi="宋体"/>
                <w:sz w:val="21"/>
                <w:szCs w:val="21"/>
              </w:rPr>
              <w:t>住建业务管理现状、信息化现状</w:t>
            </w:r>
            <w:r>
              <w:rPr>
                <w:rFonts w:hint="eastAsia" w:ascii="Calibri" w:hAnsi="宋体" w:cs="MS Mincho"/>
                <w:sz w:val="21"/>
                <w:szCs w:val="21"/>
              </w:rPr>
              <w:t>；</w:t>
            </w:r>
            <w:r>
              <w:rPr>
                <w:rFonts w:hint="eastAsia" w:ascii="Calibri" w:hAnsi="宋体" w:eastAsia="宋体" w:cs="宋体"/>
                <w:sz w:val="21"/>
                <w:szCs w:val="21"/>
              </w:rPr>
              <w:t>②</w:t>
            </w:r>
            <w:r>
              <w:rPr>
                <w:rFonts w:hint="eastAsia" w:ascii="Calibri" w:hAnsi="宋体" w:cs="MS Mincho"/>
                <w:sz w:val="21"/>
                <w:szCs w:val="21"/>
              </w:rPr>
              <w:t>本项目涉及业务的流程及管理要求；</w:t>
            </w:r>
            <w:r>
              <w:rPr>
                <w:rFonts w:hint="eastAsia" w:ascii="Calibri" w:hAnsi="宋体" w:eastAsia="宋体" w:cs="宋体"/>
                <w:sz w:val="21"/>
                <w:szCs w:val="21"/>
              </w:rPr>
              <w:t>③</w:t>
            </w:r>
            <w:r>
              <w:rPr>
                <w:rFonts w:hint="eastAsia" w:ascii="Calibri" w:hAnsi="宋体"/>
                <w:sz w:val="21"/>
                <w:szCs w:val="21"/>
              </w:rPr>
              <w:t>本项目涉及系统介绍。</w:t>
            </w:r>
          </w:p>
          <w:p w14:paraId="3A747CA3">
            <w:pPr>
              <w:tabs>
                <w:tab w:val="left" w:pos="547"/>
              </w:tabs>
              <w:spacing w:line="300" w:lineRule="exact"/>
              <w:ind w:firstLine="420" w:firstLineChars="200"/>
              <w:rPr>
                <w:rFonts w:ascii="Calibri" w:hAnsi="宋体" w:cs="仿宋"/>
                <w:b/>
                <w:szCs w:val="21"/>
              </w:rPr>
            </w:pPr>
            <w:r>
              <w:rPr>
                <w:rFonts w:hint="eastAsia" w:ascii="Calibri" w:hAnsi="宋体" w:cs="仿宋"/>
                <w:b/>
                <w:sz w:val="21"/>
                <w:szCs w:val="21"/>
              </w:rPr>
              <w:t>二、评审标准</w:t>
            </w:r>
          </w:p>
          <w:p w14:paraId="21DE5AC6">
            <w:pPr>
              <w:tabs>
                <w:tab w:val="left" w:pos="547"/>
              </w:tabs>
              <w:spacing w:line="300" w:lineRule="exact"/>
              <w:ind w:firstLine="420" w:firstLineChars="200"/>
              <w:rPr>
                <w:rFonts w:ascii="Calibri" w:hAnsi="宋体" w:cs="仿宋"/>
                <w:szCs w:val="21"/>
              </w:rPr>
            </w:pPr>
            <w:r>
              <w:rPr>
                <w:rFonts w:hint="eastAsia" w:ascii="Calibri" w:hAnsi="宋体" w:cs="仿宋"/>
                <w:sz w:val="21"/>
                <w:szCs w:val="21"/>
              </w:rPr>
              <w:t>1、完整性：</w:t>
            </w:r>
            <w:r>
              <w:rPr>
                <w:rFonts w:hint="eastAsia" w:ascii="Calibri" w:hAnsi="宋体" w:cs="仿宋"/>
                <w:bCs/>
                <w:sz w:val="21"/>
                <w:szCs w:val="21"/>
              </w:rPr>
              <w:t>方案须详细全面，表述清晰完整，满足磋商文件要求。</w:t>
            </w:r>
          </w:p>
          <w:p w14:paraId="6A4D246F">
            <w:pPr>
              <w:tabs>
                <w:tab w:val="left" w:pos="547"/>
              </w:tabs>
              <w:spacing w:line="300" w:lineRule="exact"/>
              <w:ind w:firstLine="420" w:firstLineChars="200"/>
              <w:rPr>
                <w:rFonts w:ascii="Calibri" w:hAnsi="宋体" w:cs="仿宋"/>
                <w:szCs w:val="21"/>
              </w:rPr>
            </w:pPr>
            <w:r>
              <w:rPr>
                <w:rFonts w:hint="eastAsia" w:ascii="Calibri" w:hAnsi="宋体" w:cs="仿宋"/>
                <w:sz w:val="21"/>
                <w:szCs w:val="21"/>
              </w:rPr>
              <w:t>2、可实施性：切合本项目实际情况，能够准确把握运维要点及重点。</w:t>
            </w:r>
          </w:p>
          <w:p w14:paraId="2C7BB39B">
            <w:pPr>
              <w:tabs>
                <w:tab w:val="left" w:pos="547"/>
              </w:tabs>
              <w:spacing w:line="300" w:lineRule="exact"/>
              <w:ind w:firstLine="420" w:firstLineChars="200"/>
              <w:rPr>
                <w:rFonts w:ascii="Calibri" w:hAnsi="宋体" w:cs="仿宋"/>
                <w:szCs w:val="21"/>
              </w:rPr>
            </w:pPr>
            <w:r>
              <w:rPr>
                <w:rFonts w:hint="eastAsia" w:ascii="Calibri" w:hAnsi="宋体" w:cs="仿宋"/>
                <w:sz w:val="21"/>
                <w:szCs w:val="21"/>
              </w:rPr>
              <w:t>3、针对性：方案能够紧扣项目实际情况，内容科学合理。</w:t>
            </w:r>
          </w:p>
          <w:p w14:paraId="20A60FC3">
            <w:pPr>
              <w:tabs>
                <w:tab w:val="left" w:pos="547"/>
              </w:tabs>
              <w:spacing w:line="300" w:lineRule="exact"/>
              <w:ind w:firstLine="420" w:firstLineChars="200"/>
              <w:rPr>
                <w:rFonts w:ascii="Calibri" w:hAnsi="宋体" w:cs="仿宋"/>
                <w:b/>
                <w:szCs w:val="21"/>
              </w:rPr>
            </w:pPr>
            <w:r>
              <w:rPr>
                <w:rFonts w:hint="eastAsia" w:ascii="Calibri" w:hAnsi="宋体" w:cs="仿宋"/>
                <w:b/>
                <w:sz w:val="21"/>
                <w:szCs w:val="21"/>
              </w:rPr>
              <w:t>三、赋分标准（满分9分）</w:t>
            </w:r>
          </w:p>
          <w:p w14:paraId="729A1E23">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上述①~③项评审内容：每项方案每完全满足一项评审标准得1分，每项满分3分。</w:t>
            </w:r>
          </w:p>
        </w:tc>
        <w:tc>
          <w:tcPr>
            <w:tcW w:w="1134" w:type="dxa"/>
            <w:tcBorders>
              <w:top w:val="single" w:color="auto" w:sz="2" w:space="0"/>
            </w:tcBorders>
            <w:shd w:val="clear" w:color="auto" w:fill="auto"/>
            <w:vAlign w:val="center"/>
          </w:tcPr>
          <w:p w14:paraId="1D831F73">
            <w:pPr>
              <w:spacing w:line="400" w:lineRule="exact"/>
              <w:jc w:val="center"/>
              <w:rPr>
                <w:rFonts w:ascii="Calibri" w:hAnsi="宋体" w:eastAsia="宋体" w:cs="宋体"/>
                <w:bCs/>
                <w:color w:val="FF0000"/>
                <w:sz w:val="21"/>
                <w:szCs w:val="21"/>
              </w:rPr>
            </w:pPr>
          </w:p>
        </w:tc>
      </w:tr>
      <w:tr w14:paraId="6547E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0454961D">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3C0F812C">
            <w:pPr>
              <w:spacing w:line="400" w:lineRule="exact"/>
              <w:jc w:val="center"/>
              <w:rPr>
                <w:rFonts w:ascii="Calibri" w:hAnsi="宋体" w:eastAsia="宋体" w:cs="宋体"/>
                <w:bCs/>
                <w:sz w:val="21"/>
                <w:szCs w:val="21"/>
              </w:rPr>
            </w:pPr>
          </w:p>
        </w:tc>
        <w:tc>
          <w:tcPr>
            <w:tcW w:w="860" w:type="dxa"/>
            <w:shd w:val="clear" w:color="auto" w:fill="auto"/>
            <w:vAlign w:val="center"/>
          </w:tcPr>
          <w:p w14:paraId="39DB3606">
            <w:pPr>
              <w:spacing w:line="400" w:lineRule="exact"/>
              <w:jc w:val="center"/>
              <w:rPr>
                <w:rFonts w:ascii="Calibri" w:hAnsi="宋体" w:eastAsia="宋体" w:cs="宋体"/>
                <w:bCs/>
                <w:sz w:val="21"/>
                <w:szCs w:val="21"/>
              </w:rPr>
            </w:pPr>
            <w:r>
              <w:rPr>
                <w:rFonts w:hint="eastAsia" w:ascii="Calibri" w:hAnsi="宋体" w:eastAsia="宋体" w:cs="宋体"/>
                <w:bCs/>
                <w:szCs w:val="21"/>
              </w:rPr>
              <w:t>24</w:t>
            </w:r>
          </w:p>
        </w:tc>
        <w:tc>
          <w:tcPr>
            <w:tcW w:w="6093" w:type="dxa"/>
            <w:tcBorders>
              <w:top w:val="single" w:color="auto" w:sz="2" w:space="0"/>
            </w:tcBorders>
            <w:shd w:val="clear" w:color="auto" w:fill="auto"/>
            <w:vAlign w:val="center"/>
          </w:tcPr>
          <w:p w14:paraId="4B3E51B2">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技术方案：</w:t>
            </w:r>
          </w:p>
          <w:p w14:paraId="30D0F048">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5A9ED318">
            <w:pPr>
              <w:spacing w:line="320" w:lineRule="exact"/>
              <w:ind w:firstLine="420" w:firstLineChars="200"/>
              <w:rPr>
                <w:rFonts w:ascii="Calibri" w:hAnsi="宋体" w:eastAsia="宋体" w:cs="Calibri Light"/>
                <w:sz w:val="21"/>
                <w:szCs w:val="21"/>
              </w:rPr>
            </w:pPr>
            <w:r>
              <w:rPr>
                <w:rFonts w:hint="eastAsia" w:ascii="Calibri" w:hAnsi="宋体" w:eastAsia="宋体" w:cs="仿宋"/>
                <w:sz w:val="21"/>
                <w:szCs w:val="21"/>
              </w:rPr>
              <w:t>供应商提供针对于本项目的</w:t>
            </w:r>
            <w:r>
              <w:rPr>
                <w:rFonts w:hint="eastAsia" w:ascii="Calibri" w:hAnsi="宋体" w:eastAsia="宋体" w:cs="Calibri Light"/>
                <w:sz w:val="21"/>
                <w:szCs w:val="21"/>
              </w:rPr>
              <w:t>技术方案</w:t>
            </w:r>
            <w:r>
              <w:rPr>
                <w:rFonts w:ascii="Calibri" w:hAnsi="宋体" w:eastAsia="宋体" w:cs="Calibri Light"/>
                <w:sz w:val="21"/>
                <w:szCs w:val="21"/>
              </w:rPr>
              <w:t>，内容包含：</w:t>
            </w:r>
            <w:r>
              <w:rPr>
                <w:rFonts w:hint="eastAsia" w:ascii="Calibri" w:hAnsi="宋体" w:eastAsia="宋体" w:cs="宋体"/>
                <w:sz w:val="21"/>
                <w:szCs w:val="21"/>
              </w:rPr>
              <w:t>①</w:t>
            </w:r>
            <w:r>
              <w:rPr>
                <w:rFonts w:hint="eastAsia" w:ascii="Calibri" w:hAnsi="宋体" w:eastAsia="宋体"/>
                <w:color w:val="000000"/>
                <w:sz w:val="21"/>
                <w:szCs w:val="21"/>
              </w:rPr>
              <w:t>系统运维方案</w:t>
            </w:r>
            <w:r>
              <w:rPr>
                <w:rFonts w:hint="eastAsia" w:ascii="Calibri" w:hAnsi="宋体" w:eastAsia="宋体" w:cs="MS Mincho"/>
                <w:sz w:val="21"/>
                <w:szCs w:val="21"/>
              </w:rPr>
              <w:t>；</w:t>
            </w:r>
            <w:r>
              <w:rPr>
                <w:rFonts w:hint="eastAsia" w:ascii="Calibri" w:hAnsi="宋体" w:eastAsia="宋体" w:cs="宋体"/>
                <w:sz w:val="21"/>
                <w:szCs w:val="21"/>
              </w:rPr>
              <w:t>②</w:t>
            </w:r>
            <w:r>
              <w:rPr>
                <w:rFonts w:hint="eastAsia" w:ascii="Calibri" w:hAnsi="宋体" w:eastAsia="宋体" w:cs="MS Mincho"/>
                <w:sz w:val="21"/>
                <w:szCs w:val="21"/>
              </w:rPr>
              <w:t>服务器日常维护方案；</w:t>
            </w:r>
            <w:r>
              <w:rPr>
                <w:rFonts w:hint="eastAsia" w:ascii="Calibri" w:hAnsi="宋体" w:eastAsia="宋体" w:cs="宋体"/>
                <w:sz w:val="21"/>
                <w:szCs w:val="21"/>
              </w:rPr>
              <w:t>③</w:t>
            </w:r>
            <w:r>
              <w:rPr>
                <w:rFonts w:hint="eastAsia" w:ascii="Calibri" w:hAnsi="宋体" w:eastAsia="宋体"/>
                <w:color w:val="000000"/>
                <w:sz w:val="21"/>
                <w:szCs w:val="21"/>
              </w:rPr>
              <w:t>数据日常维护方案；④</w:t>
            </w:r>
            <w:r>
              <w:rPr>
                <w:rFonts w:hint="eastAsia" w:ascii="Calibri" w:hAnsi="宋体" w:eastAsia="宋体"/>
                <w:sz w:val="21"/>
                <w:szCs w:val="21"/>
              </w:rPr>
              <w:t>软件安全运维；</w:t>
            </w:r>
            <w:r>
              <w:rPr>
                <w:rFonts w:hint="eastAsia" w:ascii="Calibri" w:hAnsi="宋体" w:eastAsia="宋体"/>
                <w:color w:val="000000"/>
                <w:sz w:val="21"/>
                <w:szCs w:val="21"/>
              </w:rPr>
              <w:t>⑤</w:t>
            </w:r>
            <w:r>
              <w:rPr>
                <w:rFonts w:hint="eastAsia" w:ascii="Calibri" w:hAnsi="宋体" w:eastAsia="宋体"/>
                <w:sz w:val="21"/>
                <w:szCs w:val="21"/>
              </w:rPr>
              <w:t>技术支持方案</w:t>
            </w:r>
            <w:r>
              <w:rPr>
                <w:rFonts w:hint="eastAsia" w:ascii="Calibri" w:hAnsi="宋体" w:eastAsia="宋体"/>
                <w:color w:val="000000"/>
                <w:sz w:val="21"/>
                <w:szCs w:val="21"/>
              </w:rPr>
              <w:t>。</w:t>
            </w:r>
          </w:p>
          <w:p w14:paraId="1A1530DD">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3A004C67">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1</w:t>
            </w:r>
            <w:r>
              <w:rPr>
                <w:rFonts w:hint="eastAsia" w:ascii="Calibri" w:hAnsi="宋体" w:eastAsia="宋体" w:cs="仿宋"/>
                <w:sz w:val="21"/>
                <w:szCs w:val="21"/>
              </w:rPr>
              <w:t>、完整性：</w:t>
            </w:r>
            <w:r>
              <w:rPr>
                <w:rFonts w:hint="eastAsia" w:ascii="Calibri" w:hAnsi="宋体" w:eastAsia="宋体" w:cs="仿宋"/>
                <w:bCs/>
                <w:sz w:val="21"/>
                <w:szCs w:val="21"/>
              </w:rPr>
              <w:t>方案须详细全面，表述清晰完整，满足磋商文件要求。</w:t>
            </w:r>
          </w:p>
          <w:p w14:paraId="387FD526">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2</w:t>
            </w:r>
            <w:r>
              <w:rPr>
                <w:rFonts w:hint="eastAsia" w:ascii="Calibri" w:hAnsi="宋体" w:eastAsia="宋体" w:cs="仿宋"/>
                <w:sz w:val="21"/>
                <w:szCs w:val="21"/>
              </w:rPr>
              <w:t>、可实施性：切合本项目实际情况，实施步骤清晰、合理。</w:t>
            </w:r>
          </w:p>
          <w:p w14:paraId="1B20E275">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3</w:t>
            </w:r>
            <w:r>
              <w:rPr>
                <w:rFonts w:hint="eastAsia" w:ascii="Calibri" w:hAnsi="宋体" w:eastAsia="宋体" w:cs="仿宋"/>
                <w:sz w:val="21"/>
                <w:szCs w:val="21"/>
              </w:rPr>
              <w:t>、针对性：方案能够紧扣项目实际情况，内容科学合理。</w:t>
            </w:r>
          </w:p>
          <w:p w14:paraId="579C5933">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三、赋分标准（满分24分）</w:t>
            </w:r>
          </w:p>
          <w:p w14:paraId="5C5F2199">
            <w:pPr>
              <w:tabs>
                <w:tab w:val="left" w:pos="547"/>
              </w:tabs>
              <w:spacing w:line="320" w:lineRule="exact"/>
              <w:ind w:firstLine="420"/>
              <w:jc w:val="both"/>
              <w:rPr>
                <w:rFonts w:ascii="Calibri" w:hAnsi="宋体" w:eastAsia="宋体" w:cs="宋体"/>
                <w:sz w:val="21"/>
                <w:szCs w:val="21"/>
              </w:rPr>
            </w:pPr>
            <w:bookmarkStart w:id="11" w:name="OLE_LINK15"/>
            <w:bookmarkStart w:id="12" w:name="OLE_LINK16"/>
            <w:r>
              <w:rPr>
                <w:rFonts w:hint="eastAsia" w:ascii="Calibri" w:hAnsi="宋体" w:eastAsia="宋体" w:cs="宋体"/>
                <w:sz w:val="21"/>
                <w:szCs w:val="21"/>
              </w:rPr>
              <w:t>①</w:t>
            </w:r>
            <w:bookmarkEnd w:id="11"/>
            <w:bookmarkEnd w:id="12"/>
            <w:r>
              <w:rPr>
                <w:rFonts w:hint="eastAsia" w:ascii="Calibri" w:hAnsi="宋体" w:eastAsia="宋体" w:cs="宋体"/>
                <w:sz w:val="21"/>
                <w:szCs w:val="21"/>
              </w:rPr>
              <w:t>系统运维方案：每满足一项评审标准得2分，满分6分。</w:t>
            </w:r>
          </w:p>
          <w:p w14:paraId="4898DFC5">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②服务器日常维护方案：每满足一项评审标准得1分，满分3分。</w:t>
            </w:r>
          </w:p>
          <w:p w14:paraId="2BCD65B4">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③数据日常维护方案：每满足一项评审标准得2分，满分6分。</w:t>
            </w:r>
          </w:p>
          <w:p w14:paraId="01C37BC4">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olor w:val="000000"/>
                <w:sz w:val="21"/>
                <w:szCs w:val="21"/>
              </w:rPr>
              <w:t>④</w:t>
            </w:r>
            <w:r>
              <w:rPr>
                <w:rFonts w:hint="eastAsia" w:ascii="Calibri" w:hAnsi="宋体" w:eastAsia="宋体" w:cs="宋体"/>
                <w:sz w:val="21"/>
                <w:szCs w:val="21"/>
              </w:rPr>
              <w:t>软件安全运维：每满足一项评审标准得2分，满分6分。</w:t>
            </w:r>
          </w:p>
          <w:p w14:paraId="29B45122">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olor w:val="000000"/>
                <w:sz w:val="21"/>
                <w:szCs w:val="21"/>
              </w:rPr>
              <w:t>⑤</w:t>
            </w:r>
            <w:r>
              <w:rPr>
                <w:rFonts w:hint="eastAsia" w:ascii="Calibri" w:hAnsi="宋体" w:eastAsia="宋体" w:cs="宋体"/>
                <w:sz w:val="21"/>
                <w:szCs w:val="21"/>
              </w:rPr>
              <w:t>技术支持方案：每满足一项评审标准得1分，满分3分。</w:t>
            </w:r>
          </w:p>
        </w:tc>
        <w:tc>
          <w:tcPr>
            <w:tcW w:w="1134" w:type="dxa"/>
            <w:tcBorders>
              <w:top w:val="single" w:color="auto" w:sz="2" w:space="0"/>
            </w:tcBorders>
            <w:shd w:val="clear" w:color="auto" w:fill="auto"/>
            <w:vAlign w:val="center"/>
          </w:tcPr>
          <w:p w14:paraId="05994DBC">
            <w:pPr>
              <w:spacing w:line="400" w:lineRule="exact"/>
              <w:jc w:val="center"/>
              <w:rPr>
                <w:rFonts w:ascii="Calibri" w:hAnsi="宋体" w:eastAsia="宋体" w:cs="宋体"/>
                <w:bCs/>
                <w:color w:val="FF0000"/>
                <w:sz w:val="21"/>
                <w:szCs w:val="21"/>
              </w:rPr>
            </w:pPr>
          </w:p>
        </w:tc>
      </w:tr>
      <w:tr w14:paraId="659DB9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78999555">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3702E965">
            <w:pPr>
              <w:spacing w:line="400" w:lineRule="exact"/>
              <w:jc w:val="center"/>
              <w:rPr>
                <w:rFonts w:ascii="Calibri" w:hAnsi="宋体" w:eastAsia="宋体" w:cs="宋体"/>
                <w:bCs/>
                <w:sz w:val="21"/>
                <w:szCs w:val="21"/>
              </w:rPr>
            </w:pPr>
          </w:p>
        </w:tc>
        <w:tc>
          <w:tcPr>
            <w:tcW w:w="860" w:type="dxa"/>
            <w:shd w:val="clear" w:color="auto" w:fill="auto"/>
            <w:vAlign w:val="center"/>
          </w:tcPr>
          <w:p w14:paraId="05C0A9ED">
            <w:pPr>
              <w:spacing w:line="320" w:lineRule="exact"/>
              <w:jc w:val="center"/>
              <w:rPr>
                <w:rFonts w:ascii="Calibri" w:hAnsi="宋体" w:eastAsia="宋体" w:cs="宋体"/>
                <w:bCs/>
                <w:sz w:val="21"/>
                <w:szCs w:val="21"/>
              </w:rPr>
            </w:pPr>
            <w:r>
              <w:rPr>
                <w:rFonts w:ascii="Calibri" w:hAnsi="宋体" w:eastAsia="宋体" w:cs="宋体"/>
                <w:bCs/>
                <w:sz w:val="21"/>
                <w:szCs w:val="21"/>
              </w:rPr>
              <w:t>6</w:t>
            </w:r>
          </w:p>
        </w:tc>
        <w:tc>
          <w:tcPr>
            <w:tcW w:w="6093" w:type="dxa"/>
            <w:tcBorders>
              <w:top w:val="single" w:color="auto" w:sz="2" w:space="0"/>
            </w:tcBorders>
            <w:shd w:val="clear" w:color="auto" w:fill="auto"/>
            <w:vAlign w:val="center"/>
          </w:tcPr>
          <w:p w14:paraId="7CEF8CC2">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实施方案：</w:t>
            </w:r>
          </w:p>
          <w:p w14:paraId="0CF7ECCF">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1E447E45">
            <w:pPr>
              <w:spacing w:line="320" w:lineRule="exact"/>
              <w:ind w:firstLine="420" w:firstLineChars="200"/>
              <w:rPr>
                <w:rFonts w:ascii="Calibri" w:hAnsi="宋体" w:eastAsia="宋体" w:cs="Calibri Light"/>
                <w:sz w:val="21"/>
                <w:szCs w:val="21"/>
              </w:rPr>
            </w:pPr>
            <w:r>
              <w:rPr>
                <w:rFonts w:hint="eastAsia" w:ascii="Calibri" w:hAnsi="宋体" w:eastAsia="宋体" w:cs="仿宋"/>
                <w:sz w:val="21"/>
                <w:szCs w:val="21"/>
              </w:rPr>
              <w:t>供应商提供针对于本项目的</w:t>
            </w:r>
            <w:r>
              <w:rPr>
                <w:rFonts w:hint="eastAsia" w:ascii="Calibri" w:hAnsi="宋体" w:eastAsia="宋体" w:cs="Calibri Light"/>
                <w:sz w:val="21"/>
                <w:szCs w:val="21"/>
              </w:rPr>
              <w:t>实施方案，内容包含：</w:t>
            </w:r>
            <w:r>
              <w:rPr>
                <w:rFonts w:hint="eastAsia" w:ascii="Calibri" w:hAnsi="宋体" w:eastAsia="宋体" w:cs="宋体"/>
                <w:sz w:val="21"/>
                <w:szCs w:val="21"/>
              </w:rPr>
              <w:t>①</w:t>
            </w:r>
            <w:r>
              <w:rPr>
                <w:rFonts w:hint="eastAsia" w:ascii="Calibri" w:hAnsi="宋体" w:eastAsia="宋体"/>
                <w:color w:val="000000"/>
                <w:sz w:val="21"/>
                <w:szCs w:val="21"/>
              </w:rPr>
              <w:t>项目管理办法及进度安排</w:t>
            </w:r>
            <w:r>
              <w:rPr>
                <w:rFonts w:hint="eastAsia" w:ascii="Calibri" w:hAnsi="宋体" w:eastAsia="宋体" w:cs="MS Mincho"/>
                <w:sz w:val="21"/>
                <w:szCs w:val="21"/>
              </w:rPr>
              <w:t>；</w:t>
            </w:r>
            <w:r>
              <w:rPr>
                <w:rFonts w:hint="eastAsia" w:ascii="Calibri" w:hAnsi="宋体" w:eastAsia="宋体" w:cs="宋体"/>
                <w:sz w:val="21"/>
                <w:szCs w:val="21"/>
              </w:rPr>
              <w:t>②</w:t>
            </w:r>
            <w:r>
              <w:rPr>
                <w:rFonts w:hint="eastAsia" w:ascii="Calibri" w:hAnsi="宋体" w:cs="MS Mincho"/>
                <w:sz w:val="21"/>
                <w:szCs w:val="21"/>
              </w:rPr>
              <w:t>项目组织机构</w:t>
            </w:r>
            <w:r>
              <w:rPr>
                <w:rFonts w:hint="eastAsia" w:ascii="Calibri" w:hAnsi="宋体"/>
                <w:sz w:val="21"/>
                <w:szCs w:val="21"/>
              </w:rPr>
              <w:t>及各岗位职责规范</w:t>
            </w:r>
            <w:r>
              <w:rPr>
                <w:rFonts w:hint="eastAsia" w:ascii="Calibri" w:hAnsi="宋体" w:eastAsia="宋体"/>
                <w:color w:val="000000"/>
                <w:sz w:val="21"/>
                <w:szCs w:val="21"/>
              </w:rPr>
              <w:t>。</w:t>
            </w:r>
          </w:p>
          <w:p w14:paraId="44ACD1F7">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34FFD3B6">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1</w:t>
            </w:r>
            <w:r>
              <w:rPr>
                <w:rFonts w:hint="eastAsia" w:ascii="Calibri" w:hAnsi="宋体" w:eastAsia="宋体" w:cs="仿宋"/>
                <w:sz w:val="21"/>
                <w:szCs w:val="21"/>
              </w:rPr>
              <w:t>、完整性：</w:t>
            </w:r>
            <w:r>
              <w:rPr>
                <w:rFonts w:hint="eastAsia" w:ascii="Calibri" w:hAnsi="宋体" w:eastAsia="宋体" w:cs="仿宋"/>
                <w:bCs/>
                <w:sz w:val="21"/>
                <w:szCs w:val="21"/>
              </w:rPr>
              <w:t>方案须详细全面，表述清晰完整，满足磋商文件要求。</w:t>
            </w:r>
          </w:p>
          <w:p w14:paraId="5569C4EF">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2</w:t>
            </w:r>
            <w:r>
              <w:rPr>
                <w:rFonts w:hint="eastAsia" w:ascii="Calibri" w:hAnsi="宋体" w:eastAsia="宋体" w:cs="仿宋"/>
                <w:sz w:val="21"/>
                <w:szCs w:val="21"/>
              </w:rPr>
              <w:t>、可实施性：切合本项目实际情况，实施步骤清晰、合理。</w:t>
            </w:r>
          </w:p>
          <w:p w14:paraId="55B4DA2B">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3</w:t>
            </w:r>
            <w:r>
              <w:rPr>
                <w:rFonts w:hint="eastAsia" w:ascii="Calibri" w:hAnsi="宋体" w:eastAsia="宋体" w:cs="仿宋"/>
                <w:sz w:val="21"/>
                <w:szCs w:val="21"/>
              </w:rPr>
              <w:t>、针对性：方案能够紧扣项目实际情况，内容科学合理。</w:t>
            </w:r>
          </w:p>
          <w:p w14:paraId="16227931">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三、赋分标准（满分</w:t>
            </w:r>
            <w:r>
              <w:rPr>
                <w:rFonts w:ascii="Calibri" w:hAnsi="宋体" w:eastAsia="宋体" w:cs="仿宋"/>
                <w:b/>
                <w:sz w:val="21"/>
                <w:szCs w:val="21"/>
              </w:rPr>
              <w:t>6</w:t>
            </w:r>
            <w:r>
              <w:rPr>
                <w:rFonts w:hint="eastAsia" w:ascii="Calibri" w:hAnsi="宋体" w:eastAsia="宋体" w:cs="仿宋"/>
                <w:b/>
                <w:sz w:val="21"/>
                <w:szCs w:val="21"/>
              </w:rPr>
              <w:t>分）</w:t>
            </w:r>
          </w:p>
          <w:p w14:paraId="439010E9">
            <w:pPr>
              <w:spacing w:line="320" w:lineRule="exact"/>
              <w:ind w:firstLine="420" w:firstLineChars="200"/>
              <w:jc w:val="both"/>
              <w:rPr>
                <w:rFonts w:ascii="Calibri" w:hAnsi="宋体" w:eastAsia="宋体" w:cs="仿宋"/>
                <w:sz w:val="21"/>
                <w:szCs w:val="21"/>
              </w:rPr>
            </w:pPr>
            <w:r>
              <w:rPr>
                <w:rFonts w:hint="eastAsia" w:ascii="Calibri" w:hAnsi="宋体" w:eastAsia="宋体" w:cs="宋体"/>
                <w:sz w:val="21"/>
                <w:szCs w:val="21"/>
              </w:rPr>
              <w:t>①</w:t>
            </w:r>
            <w:r>
              <w:rPr>
                <w:rFonts w:hint="eastAsia" w:ascii="Calibri" w:hAnsi="宋体" w:eastAsia="宋体"/>
                <w:color w:val="000000"/>
                <w:sz w:val="21"/>
                <w:szCs w:val="21"/>
              </w:rPr>
              <w:t>项目管理办法及进度安排</w:t>
            </w:r>
            <w:r>
              <w:rPr>
                <w:rFonts w:hint="eastAsia" w:ascii="Calibri" w:hAnsi="宋体" w:eastAsia="宋体" w:cs="仿宋"/>
                <w:sz w:val="21"/>
                <w:szCs w:val="21"/>
              </w:rPr>
              <w:t>：每满足一项评审标准得</w:t>
            </w:r>
            <w:r>
              <w:rPr>
                <w:rFonts w:ascii="Calibri" w:hAnsi="宋体" w:eastAsia="宋体" w:cs="仿宋"/>
                <w:sz w:val="21"/>
                <w:szCs w:val="21"/>
              </w:rPr>
              <w:t>1</w:t>
            </w:r>
            <w:r>
              <w:rPr>
                <w:rFonts w:hint="eastAsia" w:ascii="Calibri" w:hAnsi="宋体" w:eastAsia="宋体" w:cs="仿宋"/>
                <w:sz w:val="21"/>
                <w:szCs w:val="21"/>
              </w:rPr>
              <w:t>分，满分</w:t>
            </w:r>
            <w:r>
              <w:rPr>
                <w:rFonts w:ascii="Calibri" w:hAnsi="宋体" w:eastAsia="宋体" w:cs="仿宋"/>
                <w:sz w:val="21"/>
                <w:szCs w:val="21"/>
              </w:rPr>
              <w:t>3</w:t>
            </w:r>
            <w:r>
              <w:rPr>
                <w:rFonts w:hint="eastAsia" w:ascii="Calibri" w:hAnsi="宋体" w:eastAsia="宋体" w:cs="仿宋"/>
                <w:sz w:val="21"/>
                <w:szCs w:val="21"/>
              </w:rPr>
              <w:t>分。</w:t>
            </w:r>
          </w:p>
          <w:p w14:paraId="4B43A198">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w:t>
            </w:r>
            <w:r>
              <w:rPr>
                <w:rFonts w:hint="eastAsia" w:ascii="Calibri" w:hAnsi="宋体" w:eastAsia="宋体" w:cs="仿宋"/>
                <w:sz w:val="21"/>
                <w:szCs w:val="21"/>
              </w:rPr>
              <w:t>项目组织机构及各岗位职责规范：每满足一项评审标准得</w:t>
            </w:r>
            <w:r>
              <w:rPr>
                <w:rFonts w:ascii="Calibri" w:hAnsi="宋体" w:eastAsia="宋体" w:cs="仿宋"/>
                <w:sz w:val="21"/>
                <w:szCs w:val="21"/>
              </w:rPr>
              <w:t>1</w:t>
            </w:r>
            <w:r>
              <w:rPr>
                <w:rFonts w:hint="eastAsia" w:ascii="Calibri" w:hAnsi="宋体" w:eastAsia="宋体" w:cs="仿宋"/>
                <w:sz w:val="21"/>
                <w:szCs w:val="21"/>
              </w:rPr>
              <w:t>分，满分</w:t>
            </w:r>
            <w:r>
              <w:rPr>
                <w:rFonts w:ascii="Calibri" w:hAnsi="宋体" w:eastAsia="宋体" w:cs="仿宋"/>
                <w:sz w:val="21"/>
                <w:szCs w:val="21"/>
              </w:rPr>
              <w:t>3</w:t>
            </w:r>
            <w:r>
              <w:rPr>
                <w:rFonts w:hint="eastAsia" w:ascii="Calibri" w:hAnsi="宋体" w:eastAsia="宋体" w:cs="仿宋"/>
                <w:sz w:val="21"/>
                <w:szCs w:val="21"/>
              </w:rPr>
              <w:t>分。</w:t>
            </w:r>
          </w:p>
        </w:tc>
        <w:tc>
          <w:tcPr>
            <w:tcW w:w="1134" w:type="dxa"/>
            <w:tcBorders>
              <w:top w:val="single" w:color="auto" w:sz="2" w:space="0"/>
            </w:tcBorders>
            <w:shd w:val="clear" w:color="auto" w:fill="auto"/>
            <w:vAlign w:val="center"/>
          </w:tcPr>
          <w:p w14:paraId="7C9B1C68">
            <w:pPr>
              <w:spacing w:line="400" w:lineRule="exact"/>
              <w:jc w:val="center"/>
              <w:rPr>
                <w:rFonts w:ascii="Calibri" w:hAnsi="宋体" w:eastAsia="宋体" w:cs="宋体"/>
                <w:bCs/>
                <w:color w:val="FF0000"/>
                <w:sz w:val="21"/>
                <w:szCs w:val="21"/>
              </w:rPr>
            </w:pPr>
          </w:p>
        </w:tc>
      </w:tr>
      <w:tr w14:paraId="35302F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72B009BB">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6672430B">
            <w:pPr>
              <w:spacing w:line="400" w:lineRule="exact"/>
              <w:jc w:val="center"/>
              <w:rPr>
                <w:rFonts w:ascii="Calibri" w:hAnsi="宋体" w:eastAsia="宋体" w:cs="宋体"/>
                <w:bCs/>
                <w:sz w:val="21"/>
                <w:szCs w:val="21"/>
              </w:rPr>
            </w:pPr>
          </w:p>
        </w:tc>
        <w:tc>
          <w:tcPr>
            <w:tcW w:w="860" w:type="dxa"/>
            <w:shd w:val="clear" w:color="auto" w:fill="auto"/>
            <w:vAlign w:val="center"/>
          </w:tcPr>
          <w:p w14:paraId="4882DD6E">
            <w:pPr>
              <w:spacing w:line="32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tcBorders>
              <w:top w:val="single" w:color="auto" w:sz="2" w:space="0"/>
            </w:tcBorders>
            <w:shd w:val="clear" w:color="auto" w:fill="auto"/>
            <w:vAlign w:val="center"/>
          </w:tcPr>
          <w:p w14:paraId="4CD916E6">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质量保障方案</w:t>
            </w:r>
            <w:r>
              <w:rPr>
                <w:rFonts w:ascii="Calibri" w:hAnsi="宋体" w:eastAsia="宋体" w:cs="仿宋"/>
                <w:b/>
                <w:color w:val="C00000"/>
                <w:sz w:val="21"/>
                <w:szCs w:val="21"/>
              </w:rPr>
              <w:t>：</w:t>
            </w:r>
          </w:p>
          <w:p w14:paraId="3F5047AD">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05DA94B0">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sz w:val="21"/>
                <w:szCs w:val="21"/>
              </w:rPr>
              <w:t>供应商提供针对本项目的质量保障方案。</w:t>
            </w:r>
          </w:p>
          <w:p w14:paraId="2D86D970">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29506BB1">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1、完整性：</w:t>
            </w:r>
            <w:r>
              <w:rPr>
                <w:rFonts w:hint="eastAsia" w:ascii="Calibri" w:hAnsi="宋体" w:eastAsia="宋体" w:cs="仿宋"/>
                <w:bCs/>
                <w:sz w:val="21"/>
                <w:szCs w:val="21"/>
              </w:rPr>
              <w:t>方案须详细全面，表述清晰完整，满足磋商文件要求。</w:t>
            </w:r>
          </w:p>
          <w:p w14:paraId="0D401C27">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2、可实施性：切合本项目实际情况，实施步骤清晰、合理。</w:t>
            </w:r>
          </w:p>
          <w:p w14:paraId="6F84B624">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3、针对性：方案能够紧扣项目实际情况，内容科学合理。</w:t>
            </w:r>
          </w:p>
          <w:p w14:paraId="514C8933">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b/>
                <w:sz w:val="21"/>
                <w:szCs w:val="21"/>
              </w:rPr>
              <w:t>三、赋分标准（满分6分）</w:t>
            </w:r>
          </w:p>
          <w:p w14:paraId="5F759608">
            <w:pPr>
              <w:tabs>
                <w:tab w:val="left" w:pos="547"/>
              </w:tabs>
              <w:spacing w:line="320" w:lineRule="exact"/>
              <w:ind w:firstLine="420"/>
              <w:jc w:val="both"/>
              <w:rPr>
                <w:rFonts w:ascii="Calibri" w:hAnsi="宋体" w:eastAsia="宋体" w:cs="宋体"/>
                <w:sz w:val="21"/>
                <w:szCs w:val="21"/>
              </w:rPr>
            </w:pPr>
            <w:r>
              <w:rPr>
                <w:rFonts w:hint="eastAsia" w:ascii="Times New Roman" w:hAnsi="Times New Roman" w:eastAsia="宋体" w:cs="宋体"/>
                <w:sz w:val="21"/>
                <w:szCs w:val="21"/>
              </w:rPr>
              <w:t>每满足一项评审标准得2分，满分6分。</w:t>
            </w:r>
          </w:p>
        </w:tc>
        <w:tc>
          <w:tcPr>
            <w:tcW w:w="1134" w:type="dxa"/>
            <w:tcBorders>
              <w:top w:val="single" w:color="auto" w:sz="2" w:space="0"/>
            </w:tcBorders>
            <w:shd w:val="clear" w:color="auto" w:fill="auto"/>
            <w:vAlign w:val="center"/>
          </w:tcPr>
          <w:p w14:paraId="3D099F47">
            <w:pPr>
              <w:spacing w:line="400" w:lineRule="exact"/>
              <w:jc w:val="center"/>
              <w:rPr>
                <w:rFonts w:ascii="Calibri" w:hAnsi="宋体" w:eastAsia="宋体" w:cs="宋体"/>
                <w:bCs/>
                <w:color w:val="FF0000"/>
                <w:sz w:val="21"/>
                <w:szCs w:val="21"/>
              </w:rPr>
            </w:pPr>
          </w:p>
        </w:tc>
      </w:tr>
      <w:tr w14:paraId="2D057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6176378F">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0F3E4B1C">
            <w:pPr>
              <w:spacing w:line="400" w:lineRule="exact"/>
              <w:jc w:val="center"/>
              <w:rPr>
                <w:rFonts w:ascii="Calibri" w:hAnsi="宋体" w:eastAsia="宋体" w:cs="宋体"/>
                <w:bCs/>
                <w:sz w:val="21"/>
                <w:szCs w:val="21"/>
              </w:rPr>
            </w:pPr>
          </w:p>
        </w:tc>
        <w:tc>
          <w:tcPr>
            <w:tcW w:w="860" w:type="dxa"/>
            <w:shd w:val="clear" w:color="auto" w:fill="auto"/>
            <w:vAlign w:val="center"/>
          </w:tcPr>
          <w:p w14:paraId="63D422B3">
            <w:pPr>
              <w:spacing w:line="320" w:lineRule="exact"/>
              <w:jc w:val="center"/>
              <w:rPr>
                <w:rFonts w:ascii="Calibri" w:hAnsi="宋体" w:eastAsia="宋体" w:cs="宋体"/>
                <w:bCs/>
                <w:sz w:val="21"/>
                <w:szCs w:val="21"/>
              </w:rPr>
            </w:pPr>
            <w:r>
              <w:rPr>
                <w:rFonts w:hint="eastAsia" w:ascii="Calibri" w:hAnsi="宋体" w:eastAsia="宋体" w:cs="宋体"/>
                <w:bCs/>
                <w:sz w:val="21"/>
                <w:szCs w:val="21"/>
              </w:rPr>
              <w:t>12</w:t>
            </w:r>
          </w:p>
        </w:tc>
        <w:tc>
          <w:tcPr>
            <w:tcW w:w="6093" w:type="dxa"/>
            <w:tcBorders>
              <w:top w:val="single" w:color="auto" w:sz="2" w:space="0"/>
            </w:tcBorders>
            <w:shd w:val="clear" w:color="auto" w:fill="auto"/>
            <w:vAlign w:val="center"/>
          </w:tcPr>
          <w:p w14:paraId="19C4507D">
            <w:pPr>
              <w:tabs>
                <w:tab w:val="left" w:pos="547"/>
              </w:tabs>
              <w:spacing w:line="320" w:lineRule="exact"/>
              <w:ind w:firstLine="420" w:firstLineChars="200"/>
              <w:rPr>
                <w:rFonts w:ascii="Calibri" w:hAnsi="宋体" w:eastAsia="宋体" w:cs="仿宋"/>
                <w:b/>
                <w:color w:val="C00000"/>
                <w:sz w:val="21"/>
                <w:szCs w:val="21"/>
              </w:rPr>
            </w:pPr>
            <w:r>
              <w:rPr>
                <w:rFonts w:ascii="Calibri" w:hAnsi="宋体" w:eastAsia="宋体" w:cs="仿宋"/>
                <w:b/>
                <w:color w:val="C00000"/>
                <w:sz w:val="21"/>
                <w:szCs w:val="21"/>
              </w:rPr>
              <w:t>应急方案：</w:t>
            </w:r>
          </w:p>
          <w:p w14:paraId="1B507932">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794625F6">
            <w:pPr>
              <w:spacing w:line="320" w:lineRule="exact"/>
              <w:ind w:firstLine="420" w:firstLineChars="200"/>
              <w:rPr>
                <w:rFonts w:ascii="Calibri" w:hAnsi="宋体" w:eastAsia="宋体" w:cs="Calibri Light"/>
                <w:sz w:val="21"/>
                <w:szCs w:val="21"/>
              </w:rPr>
            </w:pPr>
            <w:r>
              <w:rPr>
                <w:rFonts w:ascii="Calibri" w:hAnsi="宋体" w:eastAsia="宋体" w:cs="Calibri Light"/>
                <w:sz w:val="21"/>
                <w:szCs w:val="21"/>
              </w:rPr>
              <w:t>供应商提供针</w:t>
            </w:r>
            <w:r>
              <w:rPr>
                <w:rFonts w:hint="eastAsia" w:ascii="Calibri" w:hAnsi="宋体" w:eastAsia="宋体" w:cs="Calibri Light"/>
                <w:sz w:val="21"/>
                <w:szCs w:val="21"/>
              </w:rPr>
              <w:t>对本项目的</w:t>
            </w:r>
            <w:r>
              <w:rPr>
                <w:rFonts w:ascii="Calibri" w:hAnsi="宋体" w:eastAsia="宋体" w:cs="Calibri Light"/>
                <w:sz w:val="21"/>
                <w:szCs w:val="21"/>
              </w:rPr>
              <w:t>应急方案，方案内容包含：</w:t>
            </w:r>
            <w:r>
              <w:rPr>
                <w:rFonts w:hint="eastAsia" w:ascii="Calibri" w:hAnsi="宋体" w:eastAsia="宋体" w:cs="Calibri Light"/>
                <w:sz w:val="21"/>
                <w:szCs w:val="21"/>
              </w:rPr>
              <w:t>①应急响应分工；②应急响应流程；③应急预案；④应急故障处理流程。</w:t>
            </w:r>
          </w:p>
          <w:p w14:paraId="132B546B">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00523EB4">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1、完整性：</w:t>
            </w:r>
            <w:r>
              <w:rPr>
                <w:rFonts w:hint="eastAsia" w:ascii="Calibri" w:hAnsi="宋体" w:eastAsia="宋体" w:cs="仿宋"/>
                <w:bCs/>
                <w:sz w:val="21"/>
                <w:szCs w:val="21"/>
              </w:rPr>
              <w:t>方案须详细全面，表述清晰完整，满足磋商文件要求。</w:t>
            </w:r>
          </w:p>
          <w:p w14:paraId="6E3C2AD9">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2、可实施性：切合本项目实际情况，实施步骤清晰、合理。</w:t>
            </w:r>
          </w:p>
          <w:p w14:paraId="1544AE2A">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3、针对性：方案能够紧扣项目实际情况，内容科学合理。</w:t>
            </w:r>
          </w:p>
          <w:p w14:paraId="06DA2F58">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三、赋分标准（满分12分）</w:t>
            </w:r>
          </w:p>
          <w:p w14:paraId="5C440956">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宋体"/>
                <w:sz w:val="21"/>
                <w:szCs w:val="21"/>
              </w:rPr>
              <w:t>上述①~</w:t>
            </w:r>
            <w:r>
              <w:rPr>
                <w:rFonts w:hint="eastAsia" w:ascii="Calibri" w:hAnsi="宋体" w:eastAsia="宋体" w:cs="Calibri Light"/>
                <w:sz w:val="21"/>
                <w:szCs w:val="21"/>
              </w:rPr>
              <w:t>④</w:t>
            </w:r>
            <w:r>
              <w:rPr>
                <w:rFonts w:hint="eastAsia" w:ascii="Calibri" w:hAnsi="宋体" w:eastAsia="宋体" w:cs="宋体"/>
                <w:sz w:val="21"/>
                <w:szCs w:val="21"/>
              </w:rPr>
              <w:t>项评审内容：每项方案每完全满足一项评审标准得1分，每项满分3分。</w:t>
            </w:r>
          </w:p>
        </w:tc>
        <w:tc>
          <w:tcPr>
            <w:tcW w:w="1134" w:type="dxa"/>
            <w:tcBorders>
              <w:top w:val="single" w:color="auto" w:sz="2" w:space="0"/>
            </w:tcBorders>
            <w:shd w:val="clear" w:color="auto" w:fill="auto"/>
            <w:vAlign w:val="center"/>
          </w:tcPr>
          <w:p w14:paraId="3927200E">
            <w:pPr>
              <w:spacing w:line="400" w:lineRule="exact"/>
              <w:jc w:val="center"/>
              <w:rPr>
                <w:rFonts w:ascii="Calibri" w:hAnsi="宋体" w:eastAsia="宋体" w:cs="宋体"/>
                <w:bCs/>
                <w:color w:val="FF0000"/>
                <w:sz w:val="21"/>
                <w:szCs w:val="21"/>
              </w:rPr>
            </w:pPr>
          </w:p>
        </w:tc>
      </w:tr>
      <w:tr w14:paraId="531B01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14:paraId="24961D1C">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14:paraId="2DE786ED">
            <w:pPr>
              <w:spacing w:line="400" w:lineRule="exact"/>
              <w:jc w:val="center"/>
              <w:rPr>
                <w:rFonts w:ascii="Calibri" w:hAnsi="宋体" w:eastAsia="宋体" w:cs="宋体"/>
                <w:bCs/>
                <w:sz w:val="21"/>
                <w:szCs w:val="21"/>
              </w:rPr>
            </w:pPr>
            <w:r>
              <w:rPr>
                <w:rFonts w:hint="eastAsia" w:ascii="Calibri" w:hAnsi="宋体" w:eastAsia="宋体" w:cs="宋体"/>
                <w:bCs/>
                <w:sz w:val="21"/>
                <w:szCs w:val="21"/>
              </w:rPr>
              <w:t>33</w:t>
            </w:r>
          </w:p>
        </w:tc>
        <w:tc>
          <w:tcPr>
            <w:tcW w:w="860" w:type="dxa"/>
            <w:shd w:val="clear" w:color="auto" w:fill="auto"/>
            <w:vAlign w:val="center"/>
          </w:tcPr>
          <w:p w14:paraId="262FFE14">
            <w:pPr>
              <w:spacing w:line="400" w:lineRule="exact"/>
              <w:jc w:val="center"/>
              <w:rPr>
                <w:rFonts w:ascii="Calibri" w:hAnsi="宋体" w:eastAsia="宋体" w:cs="宋体"/>
                <w:bCs/>
                <w:sz w:val="21"/>
                <w:szCs w:val="21"/>
              </w:rPr>
            </w:pPr>
            <w:r>
              <w:rPr>
                <w:rFonts w:hint="eastAsia" w:ascii="Calibri" w:hAnsi="宋体" w:eastAsia="宋体" w:cs="宋体"/>
                <w:bCs/>
                <w:sz w:val="21"/>
                <w:szCs w:val="21"/>
              </w:rPr>
              <w:t>13</w:t>
            </w:r>
          </w:p>
        </w:tc>
        <w:tc>
          <w:tcPr>
            <w:tcW w:w="6093" w:type="dxa"/>
            <w:shd w:val="clear" w:color="auto" w:fill="auto"/>
            <w:vAlign w:val="center"/>
          </w:tcPr>
          <w:p w14:paraId="12C811B2">
            <w:pPr>
              <w:tabs>
                <w:tab w:val="left" w:pos="547"/>
              </w:tabs>
              <w:spacing w:line="320" w:lineRule="exact"/>
              <w:ind w:firstLine="420" w:firstLineChars="200"/>
              <w:rPr>
                <w:rFonts w:ascii="Calibri" w:hAnsi="宋体" w:eastAsia="宋体" w:cs="仿宋"/>
                <w:b/>
                <w:color w:val="C00000"/>
                <w:sz w:val="21"/>
                <w:szCs w:val="21"/>
              </w:rPr>
            </w:pPr>
            <w:r>
              <w:rPr>
                <w:rFonts w:ascii="Calibri" w:hAnsi="宋体" w:eastAsia="宋体" w:cs="仿宋"/>
                <w:b/>
                <w:color w:val="C00000"/>
                <w:sz w:val="21"/>
                <w:szCs w:val="21"/>
              </w:rPr>
              <w:t>人员配置</w:t>
            </w:r>
            <w:r>
              <w:rPr>
                <w:rFonts w:hint="eastAsia" w:ascii="Calibri" w:hAnsi="宋体" w:eastAsia="宋体" w:cs="仿宋"/>
                <w:b/>
                <w:color w:val="C00000"/>
                <w:sz w:val="21"/>
                <w:szCs w:val="21"/>
              </w:rPr>
              <w:t>：</w:t>
            </w:r>
          </w:p>
          <w:p w14:paraId="4D78A128">
            <w:pPr>
              <w:spacing w:line="320" w:lineRule="exact"/>
              <w:ind w:firstLine="420" w:firstLineChars="200"/>
              <w:rPr>
                <w:rFonts w:ascii="Calibri" w:hAnsi="宋体" w:eastAsia="宋体" w:cs="MS Mincho"/>
                <w:color w:val="C00000"/>
                <w:sz w:val="21"/>
                <w:szCs w:val="21"/>
              </w:rPr>
            </w:pPr>
            <w:r>
              <w:rPr>
                <w:rFonts w:hint="eastAsia" w:ascii="Calibri" w:hAnsi="宋体" w:eastAsia="宋体" w:cs="MS Mincho"/>
                <w:b/>
                <w:color w:val="C00000"/>
                <w:sz w:val="21"/>
                <w:szCs w:val="21"/>
              </w:rPr>
              <w:t>一</w:t>
            </w:r>
            <w:r>
              <w:rPr>
                <w:rFonts w:ascii="Calibri" w:hAnsi="宋体" w:eastAsia="宋体" w:cs="MS Mincho"/>
                <w:b/>
                <w:color w:val="C00000"/>
                <w:sz w:val="21"/>
                <w:szCs w:val="21"/>
              </w:rPr>
              <w:t>、</w:t>
            </w:r>
            <w:r>
              <w:rPr>
                <w:rFonts w:hint="eastAsia" w:ascii="Calibri" w:hAnsi="宋体" w:eastAsia="宋体" w:cs="MS Mincho"/>
                <w:b/>
                <w:color w:val="C00000"/>
                <w:sz w:val="21"/>
                <w:szCs w:val="21"/>
              </w:rPr>
              <w:t>项目经理（满分4</w:t>
            </w:r>
            <w:r>
              <w:rPr>
                <w:rFonts w:ascii="Calibri" w:hAnsi="宋体" w:eastAsia="宋体" w:cs="MS Mincho"/>
                <w:b/>
                <w:color w:val="C00000"/>
                <w:sz w:val="21"/>
                <w:szCs w:val="21"/>
              </w:rPr>
              <w:t>分）</w:t>
            </w:r>
          </w:p>
          <w:p w14:paraId="45439DCF">
            <w:pPr>
              <w:tabs>
                <w:tab w:val="left" w:pos="547"/>
              </w:tabs>
              <w:spacing w:line="320" w:lineRule="exact"/>
              <w:ind w:firstLine="420" w:firstLineChars="200"/>
              <w:rPr>
                <w:rFonts w:ascii="Calibri" w:hAnsi="宋体" w:eastAsia="宋体" w:cs="MS Mincho"/>
                <w:sz w:val="21"/>
                <w:szCs w:val="21"/>
              </w:rPr>
            </w:pPr>
            <w:r>
              <w:rPr>
                <w:rFonts w:hint="eastAsia" w:ascii="Calibri" w:hAnsi="宋体" w:eastAsia="宋体" w:cs="MS Mincho"/>
                <w:sz w:val="21"/>
                <w:szCs w:val="21"/>
              </w:rPr>
              <w:t>供应商拟派项目经理具有高级信息系统项目管理师证书、PMP证书，每提供1个证书扫描件得2分，满分4分。</w:t>
            </w:r>
          </w:p>
          <w:p w14:paraId="35E0CA66">
            <w:pPr>
              <w:tabs>
                <w:tab w:val="left" w:pos="547"/>
              </w:tabs>
              <w:spacing w:line="300" w:lineRule="exact"/>
              <w:ind w:firstLine="420" w:firstLineChars="200"/>
              <w:rPr>
                <w:rFonts w:ascii="Calibri" w:hAnsi="宋体" w:cs="仿宋"/>
                <w:b/>
                <w:sz w:val="21"/>
                <w:szCs w:val="21"/>
              </w:rPr>
            </w:pPr>
            <w:r>
              <w:rPr>
                <w:rFonts w:hint="eastAsia" w:ascii="Times New Roman" w:hAnsi="Times New Roman" w:eastAsia="宋体" w:cs="宋体"/>
                <w:sz w:val="21"/>
                <w:szCs w:val="21"/>
              </w:rPr>
              <w:t>注：以上资料须</w:t>
            </w:r>
            <w:r>
              <w:rPr>
                <w:rFonts w:ascii="Times New Roman" w:hAnsi="Times New Roman" w:eastAsia="宋体" w:cs="宋体"/>
                <w:sz w:val="21"/>
                <w:szCs w:val="21"/>
              </w:rPr>
              <w:t>同时</w:t>
            </w:r>
            <w:r>
              <w:rPr>
                <w:rFonts w:hint="eastAsia" w:ascii="Times New Roman" w:hAnsi="Times New Roman" w:eastAsia="宋体" w:cs="宋体"/>
                <w:sz w:val="21"/>
                <w:szCs w:val="21"/>
              </w:rPr>
              <w:t>提供供应商为其缴纳的2024年6月1日以来至少6个月在本单位的社保证明，否则</w:t>
            </w:r>
            <w:r>
              <w:rPr>
                <w:rFonts w:ascii="Times New Roman" w:hAnsi="Times New Roman" w:eastAsia="宋体" w:cs="宋体"/>
                <w:sz w:val="21"/>
                <w:szCs w:val="21"/>
              </w:rPr>
              <w:t>不得分。</w:t>
            </w:r>
          </w:p>
          <w:p w14:paraId="3FB66240">
            <w:pPr>
              <w:tabs>
                <w:tab w:val="left" w:pos="547"/>
              </w:tabs>
              <w:spacing w:line="320" w:lineRule="exact"/>
              <w:ind w:firstLine="420" w:firstLineChars="200"/>
              <w:rPr>
                <w:rFonts w:ascii="Times New Roman" w:hAnsi="Times New Roman" w:eastAsia="宋体" w:cs="宋体"/>
                <w:sz w:val="21"/>
                <w:szCs w:val="21"/>
                <w:highlight w:val="yellow"/>
              </w:rPr>
            </w:pPr>
            <w:r>
              <w:rPr>
                <w:rFonts w:hint="eastAsia" w:ascii="Calibri" w:hAnsi="宋体" w:eastAsia="宋体" w:cs="MS Mincho"/>
                <w:b/>
                <w:color w:val="C00000"/>
                <w:sz w:val="21"/>
                <w:szCs w:val="21"/>
              </w:rPr>
              <w:t>二、技术支撑团队（满分3分）</w:t>
            </w:r>
          </w:p>
          <w:p w14:paraId="52E41487">
            <w:pPr>
              <w:tabs>
                <w:tab w:val="left" w:pos="547"/>
              </w:tabs>
              <w:spacing w:line="320" w:lineRule="exact"/>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1.提供系统分析师证书，得1分，不提供不得分。</w:t>
            </w:r>
          </w:p>
          <w:p w14:paraId="12F472BC">
            <w:pPr>
              <w:tabs>
                <w:tab w:val="left" w:pos="547"/>
              </w:tabs>
              <w:spacing w:line="320" w:lineRule="exact"/>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2.提供系统架构设计师证书，得1分，不提供不得分。</w:t>
            </w:r>
          </w:p>
          <w:p w14:paraId="46E25B28">
            <w:pPr>
              <w:tabs>
                <w:tab w:val="left" w:pos="547"/>
              </w:tabs>
              <w:spacing w:line="320" w:lineRule="exact"/>
              <w:ind w:firstLine="420" w:firstLineChars="200"/>
              <w:rPr>
                <w:rFonts w:ascii="Times New Roman" w:hAnsi="Times New Roman" w:eastAsia="宋体" w:cs="宋体"/>
                <w:sz w:val="21"/>
                <w:szCs w:val="21"/>
              </w:rPr>
            </w:pPr>
            <w:r>
              <w:rPr>
                <w:rFonts w:hint="eastAsia" w:ascii="Times New Roman" w:hAnsi="Times New Roman" w:eastAsia="宋体" w:cs="宋体"/>
                <w:sz w:val="21"/>
                <w:szCs w:val="21"/>
              </w:rPr>
              <w:t>3.提供软件评测师证书，得1分，不提供不得分。</w:t>
            </w:r>
          </w:p>
          <w:p w14:paraId="72A5609F">
            <w:pPr>
              <w:tabs>
                <w:tab w:val="left" w:pos="547"/>
              </w:tabs>
              <w:spacing w:line="300" w:lineRule="exact"/>
              <w:ind w:firstLine="420" w:firstLineChars="200"/>
              <w:rPr>
                <w:rFonts w:ascii="Calibri" w:hAnsi="宋体" w:cs="仿宋"/>
                <w:b/>
                <w:sz w:val="21"/>
                <w:szCs w:val="21"/>
              </w:rPr>
            </w:pPr>
            <w:r>
              <w:rPr>
                <w:rFonts w:hint="eastAsia" w:ascii="Times New Roman" w:hAnsi="Times New Roman" w:eastAsia="宋体" w:cs="宋体"/>
                <w:sz w:val="21"/>
                <w:szCs w:val="21"/>
              </w:rPr>
              <w:t>注：以上资料须</w:t>
            </w:r>
            <w:r>
              <w:rPr>
                <w:rFonts w:ascii="Times New Roman" w:hAnsi="Times New Roman" w:eastAsia="宋体" w:cs="宋体"/>
                <w:sz w:val="21"/>
                <w:szCs w:val="21"/>
              </w:rPr>
              <w:t>同时</w:t>
            </w:r>
            <w:r>
              <w:rPr>
                <w:rFonts w:hint="eastAsia" w:ascii="Times New Roman" w:hAnsi="Times New Roman" w:eastAsia="宋体" w:cs="宋体"/>
                <w:sz w:val="21"/>
                <w:szCs w:val="21"/>
              </w:rPr>
              <w:t>提供供应商为其缴纳的2024年6月1日以来至少6个月在本单位的社保证明，否则</w:t>
            </w:r>
            <w:r>
              <w:rPr>
                <w:rFonts w:ascii="Times New Roman" w:hAnsi="Times New Roman" w:eastAsia="宋体" w:cs="宋体"/>
                <w:sz w:val="21"/>
                <w:szCs w:val="21"/>
              </w:rPr>
              <w:t>不得分。</w:t>
            </w:r>
          </w:p>
          <w:p w14:paraId="205B98FB">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三、人员配置方案</w:t>
            </w:r>
            <w:r>
              <w:rPr>
                <w:rFonts w:hint="eastAsia" w:ascii="Calibri" w:hAnsi="宋体" w:eastAsia="宋体" w:cs="MS Mincho"/>
                <w:b/>
                <w:color w:val="C00000"/>
                <w:sz w:val="21"/>
                <w:szCs w:val="21"/>
              </w:rPr>
              <w:t>（满分6分）</w:t>
            </w:r>
          </w:p>
          <w:p w14:paraId="75089B50">
            <w:pPr>
              <w:tabs>
                <w:tab w:val="left" w:pos="547"/>
              </w:tabs>
              <w:spacing w:line="300" w:lineRule="exact"/>
              <w:ind w:firstLine="420" w:firstLineChars="200"/>
              <w:rPr>
                <w:rFonts w:cs="宋体"/>
                <w:sz w:val="21"/>
                <w:szCs w:val="21"/>
              </w:rPr>
            </w:pPr>
            <w:r>
              <w:rPr>
                <w:rFonts w:hint="eastAsia" w:cs="宋体"/>
                <w:sz w:val="21"/>
                <w:szCs w:val="21"/>
              </w:rPr>
              <w:t>（一）评审内容</w:t>
            </w:r>
          </w:p>
          <w:p w14:paraId="45A9B205">
            <w:pPr>
              <w:tabs>
                <w:tab w:val="left" w:pos="547"/>
              </w:tabs>
              <w:spacing w:line="300" w:lineRule="exact"/>
              <w:ind w:firstLine="420" w:firstLineChars="200"/>
              <w:rPr>
                <w:rFonts w:cs="宋体"/>
                <w:sz w:val="21"/>
                <w:szCs w:val="21"/>
              </w:rPr>
            </w:pPr>
            <w:r>
              <w:rPr>
                <w:rFonts w:hint="eastAsia" w:cs="宋体"/>
                <w:sz w:val="21"/>
                <w:szCs w:val="21"/>
              </w:rPr>
              <w:t>提供针对本项目服务团队所有人员配备具体情况，包括但不限于年龄/学历/专业资格/职称等，</w:t>
            </w:r>
            <w:r>
              <w:rPr>
                <w:rFonts w:hint="eastAsia" w:ascii="Calibri" w:hAnsi="宋体" w:eastAsia="宋体" w:cs="宋体"/>
                <w:sz w:val="21"/>
                <w:szCs w:val="21"/>
              </w:rPr>
              <w:t>相关工作经验和所获荣誉等（以响应方案中《拟派项目团队及人员情况表》为依据）。</w:t>
            </w:r>
          </w:p>
          <w:p w14:paraId="663B4CDD">
            <w:pPr>
              <w:tabs>
                <w:tab w:val="left" w:pos="547"/>
              </w:tabs>
              <w:spacing w:line="300" w:lineRule="exact"/>
              <w:ind w:firstLine="420" w:firstLineChars="200"/>
              <w:rPr>
                <w:rFonts w:cs="宋体"/>
                <w:sz w:val="21"/>
                <w:szCs w:val="21"/>
              </w:rPr>
            </w:pPr>
            <w:r>
              <w:rPr>
                <w:rFonts w:hint="eastAsia" w:ascii="Times New Roman" w:hAnsi="Times New Roman" w:eastAsia="宋体" w:cs="宋体"/>
                <w:sz w:val="21"/>
                <w:szCs w:val="21"/>
              </w:rPr>
              <w:t>注：</w:t>
            </w:r>
            <w:r>
              <w:rPr>
                <w:rFonts w:hint="eastAsia" w:cs="宋体"/>
                <w:sz w:val="21"/>
                <w:szCs w:val="21"/>
              </w:rPr>
              <w:t>同时</w:t>
            </w:r>
            <w:r>
              <w:rPr>
                <w:rFonts w:cs="宋体"/>
                <w:sz w:val="21"/>
                <w:szCs w:val="21"/>
              </w:rPr>
              <w:t>须提供</w:t>
            </w:r>
            <w:r>
              <w:rPr>
                <w:rFonts w:hint="eastAsia" w:ascii="Calibri" w:hAnsi="宋体" w:cs="MS Mincho"/>
                <w:sz w:val="21"/>
                <w:szCs w:val="21"/>
              </w:rPr>
              <w:t>供应商为上述人员缴纳的2024年6月1日以来至少6个月在本单位的社保证明</w:t>
            </w:r>
            <w:r>
              <w:rPr>
                <w:rFonts w:hint="eastAsia" w:cs="宋体"/>
                <w:sz w:val="21"/>
                <w:szCs w:val="21"/>
              </w:rPr>
              <w:t>。</w:t>
            </w:r>
          </w:p>
          <w:p w14:paraId="0C009D6B">
            <w:pPr>
              <w:tabs>
                <w:tab w:val="left" w:pos="547"/>
              </w:tabs>
              <w:spacing w:line="300" w:lineRule="exact"/>
              <w:ind w:firstLine="420" w:firstLineChars="200"/>
              <w:rPr>
                <w:rFonts w:cs="宋体"/>
                <w:sz w:val="21"/>
                <w:szCs w:val="21"/>
              </w:rPr>
            </w:pPr>
            <w:r>
              <w:rPr>
                <w:rFonts w:hint="eastAsia" w:cs="宋体"/>
                <w:sz w:val="21"/>
                <w:szCs w:val="21"/>
              </w:rPr>
              <w:t>（二）评审标准</w:t>
            </w:r>
          </w:p>
          <w:p w14:paraId="0EA3D144">
            <w:pPr>
              <w:tabs>
                <w:tab w:val="left" w:pos="547"/>
              </w:tabs>
              <w:spacing w:line="300" w:lineRule="exact"/>
              <w:ind w:firstLine="420" w:firstLineChars="200"/>
              <w:rPr>
                <w:rFonts w:cs="宋体"/>
                <w:sz w:val="21"/>
                <w:szCs w:val="21"/>
              </w:rPr>
            </w:pPr>
            <w:r>
              <w:rPr>
                <w:rFonts w:hint="eastAsia" w:cs="宋体"/>
                <w:sz w:val="21"/>
                <w:szCs w:val="21"/>
              </w:rPr>
              <w:t>1、完整性：各类人员配置合理，分工明确。</w:t>
            </w:r>
          </w:p>
          <w:p w14:paraId="3D9FC471">
            <w:pPr>
              <w:tabs>
                <w:tab w:val="left" w:pos="547"/>
              </w:tabs>
              <w:spacing w:line="300" w:lineRule="exact"/>
              <w:ind w:firstLine="420" w:firstLineChars="200"/>
              <w:rPr>
                <w:rFonts w:cs="宋体"/>
                <w:sz w:val="21"/>
                <w:szCs w:val="21"/>
              </w:rPr>
            </w:pPr>
            <w:r>
              <w:rPr>
                <w:rFonts w:hint="eastAsia" w:cs="宋体"/>
                <w:sz w:val="21"/>
                <w:szCs w:val="21"/>
              </w:rPr>
              <w:t>2、针对性：人员充足，数量及职责符合采购需求。</w:t>
            </w:r>
          </w:p>
          <w:p w14:paraId="353FF95F">
            <w:pPr>
              <w:tabs>
                <w:tab w:val="left" w:pos="547"/>
              </w:tabs>
              <w:spacing w:line="300" w:lineRule="exact"/>
              <w:ind w:firstLine="420" w:firstLineChars="200"/>
              <w:rPr>
                <w:rFonts w:cs="宋体"/>
                <w:sz w:val="21"/>
                <w:szCs w:val="21"/>
              </w:rPr>
            </w:pPr>
            <w:r>
              <w:rPr>
                <w:rFonts w:hint="eastAsia" w:cs="宋体"/>
                <w:sz w:val="21"/>
                <w:szCs w:val="21"/>
              </w:rPr>
              <w:t>3、专业性：人员相关岗位经验丰富，技术能力及资质符合采购需求。</w:t>
            </w:r>
          </w:p>
          <w:p w14:paraId="724E6E93">
            <w:pPr>
              <w:tabs>
                <w:tab w:val="left" w:pos="547"/>
              </w:tabs>
              <w:spacing w:line="300" w:lineRule="exact"/>
              <w:ind w:firstLine="420" w:firstLineChars="200"/>
              <w:rPr>
                <w:rFonts w:cs="宋体"/>
                <w:sz w:val="21"/>
                <w:szCs w:val="21"/>
              </w:rPr>
            </w:pPr>
            <w:r>
              <w:rPr>
                <w:rFonts w:hint="eastAsia" w:cs="宋体"/>
                <w:sz w:val="21"/>
                <w:szCs w:val="21"/>
              </w:rPr>
              <w:t>（三）赋分标准（满分6分）</w:t>
            </w:r>
          </w:p>
          <w:p w14:paraId="1A32FFCA">
            <w:pPr>
              <w:tabs>
                <w:tab w:val="left" w:pos="547"/>
              </w:tabs>
              <w:spacing w:line="320" w:lineRule="exact"/>
              <w:ind w:firstLine="420" w:firstLineChars="200"/>
              <w:rPr>
                <w:rFonts w:ascii="Times New Roman" w:hAnsi="Times New Roman" w:eastAsia="宋体" w:cs="宋体"/>
                <w:sz w:val="21"/>
                <w:szCs w:val="21"/>
                <w:highlight w:val="yellow"/>
              </w:rPr>
            </w:pPr>
            <w:r>
              <w:rPr>
                <w:rFonts w:hint="eastAsia" w:cs="宋体"/>
                <w:sz w:val="21"/>
                <w:szCs w:val="21"/>
              </w:rPr>
              <w:t>每满足一项评审标准得2分，满分6分（驻场人员＜3人，或未提供社保证明，或社保证明提供不全的，本项</w:t>
            </w:r>
            <w:r>
              <w:rPr>
                <w:rFonts w:cs="宋体"/>
                <w:sz w:val="21"/>
                <w:szCs w:val="21"/>
              </w:rPr>
              <w:t>不得分</w:t>
            </w:r>
            <w:r>
              <w:rPr>
                <w:rFonts w:hint="eastAsia" w:cs="宋体"/>
                <w:sz w:val="21"/>
                <w:szCs w:val="21"/>
              </w:rPr>
              <w:t>）。</w:t>
            </w:r>
          </w:p>
        </w:tc>
        <w:tc>
          <w:tcPr>
            <w:tcW w:w="1134" w:type="dxa"/>
            <w:shd w:val="clear" w:color="auto" w:fill="auto"/>
            <w:vAlign w:val="center"/>
          </w:tcPr>
          <w:p w14:paraId="318B968A">
            <w:pPr>
              <w:spacing w:line="400" w:lineRule="exact"/>
              <w:jc w:val="center"/>
              <w:rPr>
                <w:rFonts w:ascii="Calibri" w:hAnsi="宋体" w:eastAsia="宋体" w:cs="宋体"/>
                <w:bCs/>
                <w:color w:val="FF0000"/>
                <w:sz w:val="21"/>
                <w:szCs w:val="21"/>
              </w:rPr>
            </w:pPr>
          </w:p>
        </w:tc>
      </w:tr>
      <w:tr w14:paraId="5826C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E1FFA5F">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3BD4E880">
            <w:pPr>
              <w:spacing w:line="400" w:lineRule="exact"/>
              <w:jc w:val="center"/>
              <w:rPr>
                <w:rFonts w:ascii="Calibri" w:hAnsi="宋体" w:eastAsia="宋体" w:cs="宋体"/>
                <w:bCs/>
                <w:sz w:val="21"/>
                <w:szCs w:val="21"/>
              </w:rPr>
            </w:pPr>
          </w:p>
        </w:tc>
        <w:tc>
          <w:tcPr>
            <w:tcW w:w="860" w:type="dxa"/>
            <w:shd w:val="clear" w:color="auto" w:fill="auto"/>
            <w:vAlign w:val="center"/>
          </w:tcPr>
          <w:p w14:paraId="71E8561B">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6093" w:type="dxa"/>
            <w:shd w:val="clear" w:color="auto" w:fill="auto"/>
            <w:vAlign w:val="center"/>
          </w:tcPr>
          <w:p w14:paraId="26EE2542">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供应商资质要求</w:t>
            </w:r>
            <w:r>
              <w:rPr>
                <w:rFonts w:ascii="Calibri" w:hAnsi="宋体" w:eastAsia="宋体" w:cs="仿宋"/>
                <w:b/>
                <w:color w:val="C00000"/>
                <w:sz w:val="21"/>
                <w:szCs w:val="21"/>
              </w:rPr>
              <w:t>：</w:t>
            </w:r>
          </w:p>
          <w:p w14:paraId="19182527">
            <w:pPr>
              <w:tabs>
                <w:tab w:val="left" w:pos="547"/>
              </w:tabs>
              <w:spacing w:line="320" w:lineRule="exact"/>
              <w:ind w:firstLine="420" w:firstLineChars="200"/>
              <w:jc w:val="both"/>
              <w:rPr>
                <w:rFonts w:ascii="Calibri" w:hAnsi="宋体" w:eastAsia="宋体"/>
                <w:sz w:val="21"/>
                <w:szCs w:val="21"/>
              </w:rPr>
            </w:pPr>
            <w:r>
              <w:rPr>
                <w:rFonts w:ascii="Calibri" w:hAnsi="宋体" w:eastAsia="宋体" w:cs="仿宋"/>
                <w:sz w:val="21"/>
                <w:szCs w:val="21"/>
              </w:rPr>
              <w:t>1、</w:t>
            </w:r>
            <w:r>
              <w:rPr>
                <w:rFonts w:hint="eastAsia" w:ascii="Calibri" w:hAnsi="宋体" w:eastAsia="宋体" w:cs="仿宋"/>
                <w:sz w:val="21"/>
                <w:szCs w:val="21"/>
              </w:rPr>
              <w:t>提供</w:t>
            </w:r>
            <w:r>
              <w:rPr>
                <w:rFonts w:hint="eastAsia" w:ascii="Calibri" w:hAnsi="宋体" w:eastAsia="宋体"/>
                <w:sz w:val="21"/>
                <w:szCs w:val="21"/>
              </w:rPr>
              <w:t>质量管理体系认证证书；</w:t>
            </w:r>
          </w:p>
          <w:p w14:paraId="4E560A48">
            <w:pPr>
              <w:tabs>
                <w:tab w:val="left" w:pos="547"/>
              </w:tabs>
              <w:spacing w:line="320" w:lineRule="exact"/>
              <w:ind w:firstLine="420" w:firstLineChars="200"/>
              <w:jc w:val="both"/>
              <w:rPr>
                <w:rFonts w:ascii="Calibri" w:hAnsi="宋体" w:eastAsia="宋体" w:cs="仿宋"/>
                <w:sz w:val="21"/>
                <w:szCs w:val="21"/>
              </w:rPr>
            </w:pPr>
            <w:r>
              <w:rPr>
                <w:rFonts w:hint="eastAsia" w:ascii="Calibri" w:hAnsi="宋体" w:eastAsia="宋体"/>
                <w:sz w:val="21"/>
                <w:szCs w:val="21"/>
              </w:rPr>
              <w:t>2、提供信息安全服务资质认证证书（安全运维二级）证书</w:t>
            </w:r>
            <w:r>
              <w:rPr>
                <w:rFonts w:hint="eastAsia" w:ascii="Calibri" w:hAnsi="宋体" w:eastAsia="宋体" w:cs="仿宋"/>
                <w:sz w:val="21"/>
                <w:szCs w:val="21"/>
              </w:rPr>
              <w:t>；</w:t>
            </w:r>
          </w:p>
          <w:p w14:paraId="55D54013">
            <w:pPr>
              <w:tabs>
                <w:tab w:val="left" w:pos="547"/>
              </w:tabs>
              <w:spacing w:line="320" w:lineRule="exact"/>
              <w:ind w:firstLine="420" w:firstLineChars="200"/>
              <w:jc w:val="both"/>
              <w:rPr>
                <w:rFonts w:ascii="Calibri" w:hAnsi="宋体" w:eastAsia="宋体" w:cs="仿宋"/>
                <w:sz w:val="21"/>
                <w:szCs w:val="21"/>
              </w:rPr>
            </w:pPr>
            <w:r>
              <w:rPr>
                <w:rFonts w:hint="eastAsia" w:ascii="Calibri" w:hAnsi="宋体" w:eastAsia="宋体" w:cs="仿宋"/>
                <w:sz w:val="21"/>
                <w:szCs w:val="21"/>
              </w:rPr>
              <w:t>3</w:t>
            </w:r>
            <w:r>
              <w:rPr>
                <w:rFonts w:ascii="Calibri" w:hAnsi="宋体" w:eastAsia="宋体" w:cs="仿宋"/>
                <w:sz w:val="21"/>
                <w:szCs w:val="21"/>
              </w:rPr>
              <w:t>、</w:t>
            </w:r>
            <w:r>
              <w:rPr>
                <w:rFonts w:hint="eastAsia" w:ascii="Calibri" w:hAnsi="宋体" w:eastAsia="宋体"/>
                <w:sz w:val="21"/>
                <w:szCs w:val="21"/>
              </w:rPr>
              <w:t>提供CMMI3及以上</w:t>
            </w:r>
            <w:r>
              <w:rPr>
                <w:rFonts w:ascii="Calibri" w:hAnsi="宋体" w:eastAsia="宋体" w:cs="仿宋"/>
                <w:sz w:val="21"/>
                <w:szCs w:val="21"/>
              </w:rPr>
              <w:t>证书</w:t>
            </w:r>
            <w:r>
              <w:rPr>
                <w:rFonts w:hint="eastAsia" w:ascii="Calibri" w:hAnsi="宋体" w:eastAsia="宋体" w:cs="仿宋"/>
                <w:sz w:val="21"/>
                <w:szCs w:val="21"/>
              </w:rPr>
              <w:t xml:space="preserve">；  </w:t>
            </w:r>
          </w:p>
          <w:p w14:paraId="71080386">
            <w:pPr>
              <w:tabs>
                <w:tab w:val="left" w:pos="547"/>
              </w:tabs>
              <w:spacing w:line="320" w:lineRule="exact"/>
              <w:ind w:firstLine="420" w:firstLineChars="200"/>
              <w:jc w:val="both"/>
              <w:rPr>
                <w:rFonts w:ascii="Calibri" w:hAnsi="宋体" w:eastAsia="宋体" w:cs="仿宋"/>
                <w:sz w:val="21"/>
                <w:szCs w:val="21"/>
              </w:rPr>
            </w:pPr>
            <w:r>
              <w:rPr>
                <w:rFonts w:hint="eastAsia" w:ascii="Calibri" w:hAnsi="宋体" w:eastAsia="宋体" w:cs="仿宋"/>
                <w:sz w:val="21"/>
                <w:szCs w:val="21"/>
              </w:rPr>
              <w:t>4</w:t>
            </w:r>
            <w:r>
              <w:rPr>
                <w:rFonts w:ascii="Calibri" w:hAnsi="宋体" w:eastAsia="宋体" w:cs="仿宋"/>
                <w:sz w:val="21"/>
                <w:szCs w:val="21"/>
              </w:rPr>
              <w:t>、</w:t>
            </w:r>
            <w:r>
              <w:rPr>
                <w:rFonts w:hint="eastAsia" w:ascii="Calibri" w:hAnsi="宋体" w:eastAsia="宋体"/>
                <w:sz w:val="21"/>
                <w:szCs w:val="21"/>
              </w:rPr>
              <w:t>提供ITSS信息服务运行维护标准证书</w:t>
            </w:r>
            <w:r>
              <w:rPr>
                <w:rFonts w:hint="eastAsia" w:ascii="Calibri" w:hAnsi="宋体" w:eastAsia="宋体" w:cs="仿宋"/>
                <w:sz w:val="21"/>
                <w:szCs w:val="21"/>
              </w:rPr>
              <w:t>；</w:t>
            </w:r>
          </w:p>
          <w:p w14:paraId="5D66A1AD">
            <w:pPr>
              <w:spacing w:line="320" w:lineRule="exact"/>
              <w:ind w:firstLine="420" w:firstLineChars="200"/>
              <w:jc w:val="both"/>
              <w:rPr>
                <w:rFonts w:ascii="Calibri" w:hAnsi="宋体" w:eastAsia="宋体" w:cs="仿宋"/>
                <w:sz w:val="21"/>
                <w:szCs w:val="21"/>
              </w:rPr>
            </w:pPr>
            <w:r>
              <w:rPr>
                <w:rFonts w:hint="eastAsia" w:ascii="Calibri" w:hAnsi="宋体" w:eastAsia="宋体" w:cs="仿宋"/>
                <w:sz w:val="21"/>
                <w:szCs w:val="21"/>
              </w:rPr>
              <w:t>5、</w:t>
            </w:r>
            <w:r>
              <w:rPr>
                <w:rFonts w:hint="eastAsia" w:ascii="Calibri" w:hAnsi="宋体" w:eastAsia="宋体"/>
                <w:sz w:val="21"/>
                <w:szCs w:val="21"/>
              </w:rPr>
              <w:t>提供CCID信息系统服务交付能力等级证书</w:t>
            </w:r>
            <w:r>
              <w:rPr>
                <w:rFonts w:hint="eastAsia" w:ascii="Calibri" w:hAnsi="宋体" w:eastAsia="宋体" w:cs="仿宋"/>
                <w:sz w:val="21"/>
                <w:szCs w:val="21"/>
              </w:rPr>
              <w:t>。</w:t>
            </w:r>
          </w:p>
          <w:p w14:paraId="793C4151">
            <w:pPr>
              <w:spacing w:line="320" w:lineRule="exact"/>
              <w:ind w:firstLine="420" w:firstLineChars="200"/>
              <w:jc w:val="both"/>
              <w:rPr>
                <w:rFonts w:ascii="Calibri" w:hAnsi="宋体" w:eastAsia="宋体"/>
                <w:sz w:val="21"/>
                <w:szCs w:val="21"/>
              </w:rPr>
            </w:pPr>
            <w:r>
              <w:rPr>
                <w:rFonts w:hint="eastAsia" w:ascii="Calibri" w:hAnsi="宋体" w:eastAsia="宋体" w:cs="宋体"/>
                <w:sz w:val="21"/>
                <w:szCs w:val="21"/>
              </w:rPr>
              <w:t>提供证书扫描件并加盖公章，每提供一个得2分，满分10分。</w:t>
            </w:r>
          </w:p>
        </w:tc>
        <w:tc>
          <w:tcPr>
            <w:tcW w:w="1134" w:type="dxa"/>
            <w:shd w:val="clear" w:color="auto" w:fill="auto"/>
            <w:vAlign w:val="center"/>
          </w:tcPr>
          <w:p w14:paraId="17A2B5D7">
            <w:pPr>
              <w:spacing w:line="400" w:lineRule="exact"/>
              <w:jc w:val="center"/>
              <w:rPr>
                <w:rFonts w:ascii="Calibri" w:hAnsi="宋体" w:eastAsia="宋体" w:cs="宋体"/>
                <w:bCs/>
                <w:color w:val="FF0000"/>
                <w:sz w:val="21"/>
                <w:szCs w:val="21"/>
              </w:rPr>
            </w:pPr>
          </w:p>
        </w:tc>
      </w:tr>
      <w:tr w14:paraId="07092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7F1960CA">
            <w:pPr>
              <w:spacing w:line="400" w:lineRule="exact"/>
              <w:jc w:val="center"/>
              <w:rPr>
                <w:rFonts w:ascii="Calibri" w:hAnsi="宋体" w:eastAsia="宋体" w:cs="宋体"/>
                <w:bCs/>
                <w:sz w:val="21"/>
                <w:szCs w:val="21"/>
              </w:rPr>
            </w:pPr>
          </w:p>
        </w:tc>
        <w:tc>
          <w:tcPr>
            <w:tcW w:w="640" w:type="dxa"/>
            <w:shd w:val="clear" w:color="auto" w:fill="auto"/>
            <w:vAlign w:val="center"/>
          </w:tcPr>
          <w:p w14:paraId="0BA32D62">
            <w:pPr>
              <w:spacing w:line="400" w:lineRule="exact"/>
              <w:jc w:val="center"/>
              <w:rPr>
                <w:rFonts w:ascii="Calibri" w:hAnsi="宋体" w:eastAsia="宋体" w:cs="宋体"/>
                <w:bCs/>
                <w:sz w:val="21"/>
                <w:szCs w:val="21"/>
              </w:rPr>
            </w:pPr>
          </w:p>
        </w:tc>
        <w:tc>
          <w:tcPr>
            <w:tcW w:w="860" w:type="dxa"/>
            <w:shd w:val="clear" w:color="auto" w:fill="auto"/>
            <w:vAlign w:val="center"/>
          </w:tcPr>
          <w:p w14:paraId="0E10AFCB">
            <w:pPr>
              <w:spacing w:line="400" w:lineRule="exact"/>
              <w:jc w:val="center"/>
              <w:rPr>
                <w:rFonts w:ascii="Calibri" w:hAnsi="宋体" w:eastAsia="宋体" w:cs="宋体"/>
                <w:bCs/>
                <w:sz w:val="21"/>
                <w:szCs w:val="21"/>
              </w:rPr>
            </w:pPr>
            <w:r>
              <w:rPr>
                <w:rFonts w:hint="eastAsia" w:ascii="Calibri" w:hAnsi="宋体" w:eastAsia="宋体" w:cs="宋体"/>
                <w:bCs/>
                <w:szCs w:val="21"/>
              </w:rPr>
              <w:t>10</w:t>
            </w:r>
          </w:p>
        </w:tc>
        <w:tc>
          <w:tcPr>
            <w:tcW w:w="6093" w:type="dxa"/>
            <w:shd w:val="clear" w:color="auto" w:fill="auto"/>
            <w:vAlign w:val="center"/>
          </w:tcPr>
          <w:p w14:paraId="044A7A7E">
            <w:pPr>
              <w:pStyle w:val="42"/>
              <w:wordWrap/>
              <w:spacing w:line="300" w:lineRule="exact"/>
              <w:ind w:firstLine="420" w:firstLineChars="200"/>
              <w:rPr>
                <w:rFonts w:cs="华文仿宋" w:asciiTheme="minorEastAsia" w:hAnsiTheme="minorEastAsia" w:eastAsiaTheme="minorEastAsia"/>
                <w:b/>
                <w:sz w:val="21"/>
                <w:szCs w:val="21"/>
              </w:rPr>
            </w:pPr>
            <w:r>
              <w:rPr>
                <w:rFonts w:cs="华文仿宋" w:asciiTheme="minorEastAsia" w:hAnsiTheme="minorEastAsia" w:eastAsiaTheme="minorEastAsia"/>
                <w:b/>
                <w:sz w:val="21"/>
                <w:szCs w:val="21"/>
              </w:rPr>
              <w:t>业绩：</w:t>
            </w:r>
          </w:p>
          <w:p w14:paraId="3849EE85">
            <w:pPr>
              <w:spacing w:line="300" w:lineRule="exact"/>
              <w:ind w:firstLine="420" w:firstLineChars="200"/>
              <w:rPr>
                <w:rFonts w:asciiTheme="minorEastAsia" w:hAnsiTheme="minorEastAsia" w:cstheme="majorHAnsi"/>
                <w:sz w:val="21"/>
                <w:szCs w:val="21"/>
                <w:u w:val="single"/>
              </w:rPr>
            </w:pPr>
            <w:r>
              <w:rPr>
                <w:rFonts w:hint="eastAsia" w:asciiTheme="minorEastAsia" w:hAnsiTheme="minorEastAsia" w:cstheme="majorHAnsi"/>
                <w:sz w:val="21"/>
                <w:szCs w:val="21"/>
              </w:rPr>
              <w:t>提供2022年1月1日（以合同签订时间为准）起类似项目业绩证明文件（包括合同、履约验收文件，二者同时出具方为有效。）评审时以响应文件中的扫描件（加盖公章）为计分依据，每提供一份完整的业绩证明文件得2分，满分10分。</w:t>
            </w:r>
          </w:p>
          <w:p w14:paraId="3134B226">
            <w:pPr>
              <w:spacing w:line="320" w:lineRule="exact"/>
              <w:ind w:firstLine="420" w:firstLineChars="200"/>
              <w:jc w:val="both"/>
              <w:rPr>
                <w:rFonts w:ascii="Calibri" w:hAnsi="宋体" w:eastAsia="宋体"/>
                <w:sz w:val="21"/>
                <w:szCs w:val="21"/>
              </w:rPr>
            </w:pPr>
            <w:r>
              <w:rPr>
                <w:rFonts w:hint="eastAsia" w:asciiTheme="minorEastAsia" w:hAnsiTheme="minorEastAsia" w:cstheme="majorHAnsi"/>
                <w:sz w:val="21"/>
                <w:szCs w:val="21"/>
              </w:rPr>
              <w:t>备注：供应商需提供合同关键页扫描件（至少应包含合同首页、合同金额所在页、签字盖章页），并加盖公章</w:t>
            </w:r>
            <w:r>
              <w:rPr>
                <w:rFonts w:asciiTheme="minorEastAsia" w:hAnsiTheme="minorEastAsia" w:cstheme="majorHAnsi"/>
                <w:sz w:val="21"/>
                <w:szCs w:val="21"/>
              </w:rPr>
              <w:t>。</w:t>
            </w:r>
          </w:p>
        </w:tc>
        <w:tc>
          <w:tcPr>
            <w:tcW w:w="1134" w:type="dxa"/>
            <w:shd w:val="clear" w:color="auto" w:fill="auto"/>
            <w:vAlign w:val="center"/>
          </w:tcPr>
          <w:p w14:paraId="4DA32682">
            <w:pPr>
              <w:spacing w:line="400" w:lineRule="exact"/>
              <w:jc w:val="center"/>
              <w:rPr>
                <w:rFonts w:ascii="Calibri" w:hAnsi="宋体" w:eastAsia="宋体" w:cs="宋体"/>
                <w:bCs/>
                <w:color w:val="FF0000"/>
                <w:sz w:val="21"/>
                <w:szCs w:val="21"/>
              </w:rPr>
            </w:pPr>
          </w:p>
        </w:tc>
      </w:tr>
      <w:tr w14:paraId="2399D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625AF7E6">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6007BAE5">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磋商小组成员必须按照本评审要素据实打分，各类数字计算均按“四舍五入”保留小数点后两位。</w:t>
            </w:r>
          </w:p>
        </w:tc>
      </w:tr>
    </w:tbl>
    <w:p w14:paraId="5E16FD7D">
      <w:pPr>
        <w:pStyle w:val="83"/>
        <w:ind w:firstLine="482"/>
        <w:rPr>
          <w:b/>
        </w:rPr>
      </w:pPr>
      <w:r>
        <w:rPr>
          <w:b/>
        </w:rPr>
        <w:t>（七）推荐成交候选人并编写评审报告</w:t>
      </w:r>
    </w:p>
    <w:p w14:paraId="441B310C">
      <w:pPr>
        <w:pStyle w:val="83"/>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14:paraId="154C24D1">
      <w:pPr>
        <w:pStyle w:val="83"/>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pPr>
        <w:pStyle w:val="3"/>
      </w:pPr>
      <w:r>
        <w:t>七、成交</w:t>
      </w:r>
    </w:p>
    <w:p w14:paraId="5D87E9E5">
      <w:pPr>
        <w:pStyle w:val="83"/>
        <w:ind w:firstLine="480"/>
      </w:pPr>
      <w:r>
        <w:rPr>
          <w:rFonts w:hint="eastAsia"/>
        </w:rPr>
        <w:t>1</w:t>
      </w:r>
      <w:r>
        <w:rPr>
          <w:rFonts w:hint="eastAsia"/>
          <w:color w:val="auto"/>
        </w:rPr>
        <w:t>．</w:t>
      </w:r>
      <w:r>
        <w:t>采购代理机构在评审工作结束后2个工作日内，将评审报告送采购人确认。</w:t>
      </w:r>
    </w:p>
    <w:p w14:paraId="4224D80C">
      <w:pPr>
        <w:pStyle w:val="83"/>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pPr>
        <w:pStyle w:val="83"/>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3"/>
          <w:color w:val="auto"/>
        </w:rPr>
        <w:t>】</w:t>
      </w:r>
      <w:r>
        <w:t>（</w:t>
      </w:r>
      <w:r>
        <w:fldChar w:fldCharType="begin"/>
      </w:r>
      <w:r>
        <w:instrText xml:space="preserve"> HYPERLINK "http://www.ccgp-shaanxi.gov.cn/" </w:instrText>
      </w:r>
      <w:r>
        <w:fldChar w:fldCharType="separate"/>
      </w:r>
      <w:r>
        <w:rPr>
          <w:rStyle w:val="33"/>
          <w:color w:val="0070C0"/>
        </w:rPr>
        <w:t>http://www.ccgp-shaanxi.gov.cn</w:t>
      </w:r>
      <w:r>
        <w:rPr>
          <w:rStyle w:val="33"/>
          <w:rFonts w:hint="eastAsia"/>
          <w:color w:val="0070C0"/>
        </w:rPr>
        <w:t>/</w:t>
      </w:r>
      <w:r>
        <w:rPr>
          <w:rStyle w:val="33"/>
          <w:rFonts w:hint="eastAsia"/>
          <w:color w:val="0070C0"/>
        </w:rPr>
        <w:fldChar w:fldCharType="end"/>
      </w:r>
      <w:r>
        <w:t>）上公布成交结果。成交公告期限为1个工作日。</w:t>
      </w:r>
    </w:p>
    <w:p w14:paraId="67B80D74">
      <w:pPr>
        <w:pStyle w:val="83"/>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7A4F61B5">
      <w:pPr>
        <w:pStyle w:val="83"/>
        <w:ind w:firstLine="480"/>
      </w:pPr>
      <w:r>
        <w:rPr>
          <w:color w:val="auto"/>
        </w:rPr>
        <w:t>5</w:t>
      </w:r>
      <w:r>
        <w:rPr>
          <w:rFonts w:hint="eastAsia"/>
          <w:color w:val="auto"/>
        </w:rPr>
        <w:t>．</w:t>
      </w:r>
      <w:r>
        <w:rPr>
          <w:rFonts w:hint="eastAsia"/>
        </w:rPr>
        <w:t>采购代理机构按照相关规定将评审报告送同级政府采购监管部门备案。</w:t>
      </w:r>
    </w:p>
    <w:p w14:paraId="52646366">
      <w:pPr>
        <w:pStyle w:val="3"/>
      </w:pPr>
      <w:r>
        <w:t>八、合同签订、履行及验收</w:t>
      </w:r>
    </w:p>
    <w:p w14:paraId="704629A0">
      <w:pPr>
        <w:pStyle w:val="83"/>
        <w:ind w:firstLine="480"/>
      </w:pPr>
      <w:r>
        <w:t>磋商文件、响应文件、澄清、补充合同等为政府采购合同的组成部分，具有同等法律效力。</w:t>
      </w:r>
    </w:p>
    <w:p w14:paraId="4EB7DCB4">
      <w:pPr>
        <w:pStyle w:val="4"/>
        <w:ind w:firstLine="482"/>
      </w:pPr>
      <w:r>
        <w:t>（一）签订政府采购合同</w:t>
      </w:r>
    </w:p>
    <w:p w14:paraId="5931A392">
      <w:pPr>
        <w:pStyle w:val="83"/>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05D0D4D">
      <w:pPr>
        <w:pStyle w:val="83"/>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6CD42713">
      <w:pPr>
        <w:pStyle w:val="83"/>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21EBF785">
      <w:pPr>
        <w:pStyle w:val="83"/>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64EAF564">
      <w:pPr>
        <w:pStyle w:val="83"/>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B4113D3">
      <w:pPr>
        <w:pStyle w:val="4"/>
        <w:ind w:firstLine="482"/>
      </w:pPr>
      <w:r>
        <w:t>（二）合同公示</w:t>
      </w:r>
    </w:p>
    <w:p w14:paraId="75105598">
      <w:pPr>
        <w:pStyle w:val="83"/>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3"/>
        </w:rPr>
        <w:t>http://www.ccgp-shaanxi.gov.cn/</w:t>
      </w:r>
      <w:r>
        <w:rPr>
          <w:rStyle w:val="33"/>
        </w:rPr>
        <w:fldChar w:fldCharType="end"/>
      </w:r>
      <w:r>
        <w:rPr>
          <w:rFonts w:hint="eastAsia"/>
        </w:rPr>
        <w:t>）对合同进行公示，但政府采购合同中涉及国家秘密、商业秘密的内容除外。</w:t>
      </w:r>
    </w:p>
    <w:p w14:paraId="0EB09D09">
      <w:pPr>
        <w:pStyle w:val="4"/>
        <w:ind w:firstLine="482"/>
      </w:pPr>
      <w:r>
        <w:t>（三）合同履行</w:t>
      </w:r>
    </w:p>
    <w:p w14:paraId="0D105C6D">
      <w:pPr>
        <w:pStyle w:val="83"/>
        <w:ind w:firstLine="480"/>
        <w:rPr>
          <w:color w:val="auto"/>
        </w:rPr>
      </w:pPr>
      <w:r>
        <w:rPr>
          <w:rFonts w:hint="eastAsia"/>
        </w:rPr>
        <w:t>1</w:t>
      </w:r>
      <w:r>
        <w:rPr>
          <w:rFonts w:hint="eastAsia"/>
          <w:color w:val="auto"/>
        </w:rPr>
        <w:t>．采购人与成交供应商应当根据合同的约定依法履行合同义务。</w:t>
      </w:r>
    </w:p>
    <w:p w14:paraId="29751297">
      <w:pPr>
        <w:pStyle w:val="83"/>
        <w:ind w:firstLine="480"/>
      </w:pPr>
      <w:r>
        <w:rPr>
          <w:rFonts w:hint="eastAsia"/>
          <w:color w:val="auto"/>
        </w:rPr>
        <w:t>2．政府采购合同的履行、违约责任和解决争议的方法等适用《中华人民共和国民法典》。</w:t>
      </w:r>
    </w:p>
    <w:p w14:paraId="7D2FB0C7">
      <w:pPr>
        <w:pStyle w:val="4"/>
        <w:ind w:firstLine="482"/>
      </w:pPr>
      <w:r>
        <w:t>（四）验收或考核</w:t>
      </w:r>
    </w:p>
    <w:p w14:paraId="299DB2FD">
      <w:pPr>
        <w:pStyle w:val="83"/>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1E84E95">
      <w:pPr>
        <w:pStyle w:val="83"/>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681B6638">
      <w:pPr>
        <w:pStyle w:val="3"/>
      </w:pPr>
      <w:r>
        <w:t>九、其他</w:t>
      </w:r>
    </w:p>
    <w:p w14:paraId="7E2D661B">
      <w:pPr>
        <w:pStyle w:val="83"/>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pPr>
        <w:pStyle w:val="83"/>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07442C6A">
      <w:pPr>
        <w:pStyle w:val="83"/>
        <w:ind w:firstLine="480"/>
      </w:pPr>
      <w:r>
        <w:t>3</w:t>
      </w:r>
      <w:r>
        <w:rPr>
          <w:rFonts w:hint="eastAsia"/>
        </w:rPr>
        <w:t>．出现下列情形之一的，采购人或者采购代理机构应当终止竞争性磋商采购活动，发布项目终止公告并说明原因，重新开展采购活动：</w:t>
      </w:r>
    </w:p>
    <w:p w14:paraId="5D68919C">
      <w:pPr>
        <w:pStyle w:val="83"/>
        <w:ind w:firstLine="480"/>
      </w:pPr>
      <w:r>
        <w:rPr>
          <w:rFonts w:hint="eastAsia"/>
        </w:rPr>
        <w:t>（1）因情况变化，不再符合规定的竞争性磋商采购方式适用情形的；</w:t>
      </w:r>
    </w:p>
    <w:p w14:paraId="0FA6E2DE">
      <w:pPr>
        <w:pStyle w:val="83"/>
        <w:ind w:firstLine="480"/>
      </w:pPr>
      <w:r>
        <w:rPr>
          <w:rFonts w:hint="eastAsia"/>
        </w:rPr>
        <w:t>（2）出现影响采购公正的违法、违规行为的；</w:t>
      </w:r>
    </w:p>
    <w:p w14:paraId="119AEF1E">
      <w:pPr>
        <w:pStyle w:val="83"/>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14:paraId="35A598FC">
      <w:pPr>
        <w:pStyle w:val="83"/>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pPr>
        <w:pStyle w:val="83"/>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3FD9A5A8">
      <w:pPr>
        <w:pStyle w:val="83"/>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14:paraId="1BB5030A">
      <w:pPr>
        <w:pStyle w:val="83"/>
        <w:ind w:firstLine="0" w:firstLineChars="0"/>
      </w:pPr>
    </w:p>
    <w:p w14:paraId="0A42446B">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14:paraId="3E5C702B">
      <w:pPr>
        <w:pStyle w:val="2"/>
        <w:spacing w:before="230" w:after="230"/>
      </w:pPr>
      <w:bookmarkStart w:id="13" w:name="_Toc100219614"/>
      <w:r>
        <w:rPr>
          <w:rFonts w:hint="eastAsia"/>
        </w:rPr>
        <w:t>第三章　磋商内容及要求</w:t>
      </w:r>
      <w:bookmarkEnd w:id="13"/>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E93F92A">
      <w:pPr>
        <w:pStyle w:val="3"/>
        <w:jc w:val="both"/>
      </w:pPr>
      <w:r>
        <w:rPr>
          <w:rFonts w:hint="eastAsia"/>
        </w:rPr>
        <w:t>一、项目概况</w:t>
      </w:r>
    </w:p>
    <w:p w14:paraId="32A2125D">
      <w:pPr>
        <w:ind w:firstLine="480" w:firstLineChars="200"/>
        <w:jc w:val="both"/>
      </w:pPr>
      <w:r>
        <w:rPr>
          <w:rFonts w:hint="eastAsia"/>
        </w:rPr>
        <w:t>诚信建设及监管多维分析综合系统是支撑和推动建筑领域信用体系建设的关键信息化平台。系统涉及施工信用评价、监理信用评价、建筑起重机械备案、勘察设计信用评价、消防公示等多个子系统，对于提升行业监管效率、促进市场公平竞争、保障工程质量和安全具有重要意义。</w:t>
      </w:r>
    </w:p>
    <w:p w14:paraId="7307D21B">
      <w:pPr>
        <w:pStyle w:val="3"/>
        <w:jc w:val="both"/>
      </w:pPr>
      <w:r>
        <w:rPr>
          <w:rFonts w:hint="eastAsia"/>
        </w:rPr>
        <w:t>二、磋商内容</w:t>
      </w:r>
    </w:p>
    <w:p w14:paraId="751C9430">
      <w:pPr>
        <w:ind w:firstLine="480" w:firstLineChars="200"/>
        <w:jc w:val="both"/>
        <w:rPr>
          <w:b/>
        </w:rPr>
      </w:pPr>
      <w:r>
        <w:rPr>
          <w:rFonts w:hint="eastAsia"/>
          <w:b/>
        </w:rPr>
        <w:t>（一）维护目标</w:t>
      </w:r>
    </w:p>
    <w:p w14:paraId="66AC8665">
      <w:pPr>
        <w:ind w:firstLine="480" w:firstLineChars="200"/>
        <w:jc w:val="both"/>
      </w:pPr>
      <w:r>
        <w:rPr>
          <w:rFonts w:hint="eastAsia"/>
        </w:rPr>
        <w:t>通过对诚信建设及监管多维分析综合系统实施全面、专业的延续运维服务，包括日常运维、功能完善和技术支持等方面，确保系统能够在长期运行中持续稳定、安全地发挥各项功能及效益。 保障系统稳定性，避免出现故障或安全问题，影响业务连续性和数据安全性；提升系统性能，通过优化系统架构、升级硬件设备、加强安全防护等措施，提高系统的处理速度、响应能力和抗压能力；改善系统用户体验，通过优化界面设计、完善功能流程、提供便捷的查询方式等，使用户能够更加方便、快捷地使用系统；同时，适应业务和技术的变化，及时调整和优化系统功能，确保系统始终与业务需求和技术发展保持同步。</w:t>
      </w:r>
    </w:p>
    <w:p w14:paraId="03ACC9A1">
      <w:pPr>
        <w:ind w:firstLine="480" w:firstLineChars="200"/>
        <w:jc w:val="both"/>
        <w:rPr>
          <w:b/>
        </w:rPr>
      </w:pPr>
      <w:r>
        <w:rPr>
          <w:rFonts w:hint="eastAsia"/>
          <w:b/>
        </w:rPr>
        <w:t>（二）维护内容</w:t>
      </w:r>
    </w:p>
    <w:p w14:paraId="16BFDF69">
      <w:pPr>
        <w:ind w:firstLine="480" w:firstLineChars="200"/>
        <w:jc w:val="both"/>
        <w:outlineLvl w:val="2"/>
      </w:pPr>
      <w:r>
        <w:rPr>
          <w:rFonts w:hint="eastAsia"/>
        </w:rPr>
        <w:t>1、系统优化升级</w:t>
      </w:r>
    </w:p>
    <w:p w14:paraId="59EA8247">
      <w:pPr>
        <w:ind w:firstLine="480" w:firstLineChars="200"/>
        <w:jc w:val="both"/>
      </w:pPr>
      <w:r>
        <w:rPr>
          <w:rFonts w:hint="eastAsia"/>
        </w:rPr>
        <w:t>完善文明措施费使用监管平台。强化安全投入源头治理，通过信息化的管理平台进行安全防护、文明措施费支付及支取管理，实时掌握安措费使用情况，确保建设工程安措费足额支付、专款专用。</w:t>
      </w:r>
    </w:p>
    <w:p w14:paraId="1494D468">
      <w:pPr>
        <w:ind w:firstLine="480" w:firstLineChars="200"/>
        <w:jc w:val="both"/>
      </w:pPr>
      <w:r>
        <w:rPr>
          <w:rFonts w:hint="eastAsia"/>
        </w:rPr>
        <w:t>项目取得施工许可证后、办理质量安全监督手续后，由建设单位上传安措费支付凭证；通过管理端（市级、区县）查看项目信息及安措费支付、支取信息等，包含银行拨款信息；安措费支付预警功能：建设单位未按时支付安措费、项目未按时上传安措费支付凭证，需系统给市级、区县账号发送预警提示。</w:t>
      </w:r>
    </w:p>
    <w:p w14:paraId="3CBBC845">
      <w:pPr>
        <w:ind w:firstLine="480" w:firstLineChars="200"/>
        <w:jc w:val="both"/>
      </w:pPr>
      <w:r>
        <w:rPr>
          <w:rFonts w:hint="eastAsia"/>
        </w:rPr>
        <w:t>完善勘察设计信用评价系统，强化企业良性竞争，优化市场环境，通过企业自身优良信息申报，增加企业竞争，不良信息减分。</w:t>
      </w:r>
    </w:p>
    <w:p w14:paraId="480AC4CC">
      <w:pPr>
        <w:pStyle w:val="101"/>
        <w:ind w:firstLine="480"/>
        <w:jc w:val="both"/>
        <w:outlineLvl w:val="2"/>
        <w:rPr>
          <w:rFonts w:hint="default" w:cs="Times New Roman"/>
          <w:sz w:val="24"/>
          <w:szCs w:val="24"/>
          <w:lang w:eastAsia="zh-CN"/>
        </w:rPr>
      </w:pPr>
      <w:r>
        <w:rPr>
          <w:rFonts w:cs="Times New Roman"/>
          <w:sz w:val="24"/>
          <w:szCs w:val="24"/>
          <w:lang w:eastAsia="zh-CN"/>
        </w:rPr>
        <w:t>2、系统维护</w:t>
      </w:r>
    </w:p>
    <w:p w14:paraId="602C9AB4">
      <w:pPr>
        <w:pStyle w:val="101"/>
        <w:ind w:firstLine="480"/>
        <w:jc w:val="both"/>
        <w:rPr>
          <w:rFonts w:hint="default" w:cs="Times New Roman"/>
          <w:sz w:val="24"/>
          <w:szCs w:val="24"/>
          <w:lang w:eastAsia="zh-CN"/>
        </w:rPr>
      </w:pPr>
      <w:r>
        <w:rPr>
          <w:rFonts w:cs="Times New Roman"/>
          <w:sz w:val="24"/>
          <w:szCs w:val="24"/>
          <w:lang w:eastAsia="zh-CN"/>
        </w:rPr>
        <w:t>（1）施工总承包企业信用评价系统维护清单</w:t>
      </w:r>
    </w:p>
    <w:tbl>
      <w:tblPr>
        <w:tblStyle w:val="26"/>
        <w:tblW w:w="8812"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421"/>
        <w:gridCol w:w="6391"/>
      </w:tblGrid>
      <w:tr w14:paraId="390095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1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A37C801">
            <w:pPr>
              <w:pStyle w:val="101"/>
              <w:spacing w:line="320" w:lineRule="exact"/>
              <w:jc w:val="center"/>
              <w:rPr>
                <w:rFonts w:hint="default"/>
              </w:rPr>
            </w:pPr>
            <w:r>
              <w:rPr>
                <w:rFonts w:ascii="仿宋" w:hAnsi="仿宋" w:eastAsia="仿宋" w:cs="仿宋"/>
                <w:b/>
                <w:color w:val="000000"/>
                <w:sz w:val="21"/>
              </w:rPr>
              <w:t>管理端</w:t>
            </w:r>
          </w:p>
        </w:tc>
      </w:tr>
      <w:tr w14:paraId="4A5631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6D4527">
            <w:pPr>
              <w:pStyle w:val="101"/>
              <w:spacing w:line="320" w:lineRule="exact"/>
              <w:jc w:val="center"/>
              <w:rPr>
                <w:rFonts w:hint="default"/>
              </w:rPr>
            </w:pPr>
            <w:r>
              <w:rPr>
                <w:rFonts w:ascii="仿宋" w:hAnsi="仿宋" w:eastAsia="仿宋" w:cs="仿宋"/>
                <w:b/>
                <w:color w:val="000000"/>
                <w:sz w:val="21"/>
              </w:rPr>
              <w:t>模块名称</w:t>
            </w:r>
          </w:p>
        </w:tc>
        <w:tc>
          <w:tcPr>
            <w:tcW w:w="639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902C542">
            <w:pPr>
              <w:pStyle w:val="101"/>
              <w:spacing w:line="320" w:lineRule="exact"/>
              <w:jc w:val="center"/>
              <w:rPr>
                <w:rFonts w:hint="default"/>
              </w:rPr>
            </w:pPr>
            <w:r>
              <w:rPr>
                <w:rFonts w:ascii="仿宋" w:hAnsi="仿宋" w:eastAsia="仿宋" w:cs="仿宋"/>
                <w:b/>
                <w:color w:val="000000"/>
                <w:sz w:val="21"/>
              </w:rPr>
              <w:t>功能</w:t>
            </w:r>
          </w:p>
        </w:tc>
      </w:tr>
      <w:tr w14:paraId="70248E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B68C29">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-管理端</w:t>
            </w:r>
            <w:r>
              <w:rPr>
                <w:rFonts w:ascii="仿宋" w:hAnsi="仿宋" w:eastAsia="仿宋" w:cs="仿宋"/>
                <w:color w:val="000000"/>
                <w:sz w:val="21"/>
              </w:rPr>
              <w:t>系统门户</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612C00B8">
            <w:pPr>
              <w:pStyle w:val="101"/>
              <w:spacing w:line="320" w:lineRule="exact"/>
              <w:jc w:val="both"/>
              <w:rPr>
                <w:rFonts w:hint="default"/>
              </w:rPr>
            </w:pPr>
            <w:r>
              <w:rPr>
                <w:rFonts w:ascii="仿宋" w:hAnsi="仿宋" w:eastAsia="仿宋" w:cs="仿宋"/>
                <w:color w:val="000000"/>
                <w:sz w:val="21"/>
              </w:rPr>
              <w:t>统计企业数量、企业资质类别统计、企业资质等级统计、项目类别、西安市企业信用排名、实时在建项目分布</w:t>
            </w:r>
          </w:p>
        </w:tc>
      </w:tr>
      <w:tr w14:paraId="102E0E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577CD0D">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后台管理</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20023814">
            <w:pPr>
              <w:pStyle w:val="101"/>
              <w:spacing w:line="320" w:lineRule="exact"/>
              <w:jc w:val="both"/>
              <w:rPr>
                <w:rFonts w:hint="default"/>
              </w:rPr>
            </w:pPr>
            <w:r>
              <w:rPr>
                <w:rFonts w:ascii="仿宋" w:hAnsi="仿宋" w:eastAsia="仿宋" w:cs="仿宋"/>
                <w:color w:val="000000"/>
                <w:sz w:val="21"/>
              </w:rPr>
              <w:t>数据表结构、工作流、代码项等变更调整。</w:t>
            </w:r>
          </w:p>
        </w:tc>
      </w:tr>
      <w:tr w14:paraId="7D149A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E6069E">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信用评价</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0098B2EB">
            <w:pPr>
              <w:pStyle w:val="101"/>
              <w:spacing w:line="320" w:lineRule="exact"/>
              <w:jc w:val="both"/>
              <w:rPr>
                <w:rFonts w:hint="default"/>
              </w:rPr>
            </w:pPr>
            <w:r>
              <w:rPr>
                <w:rFonts w:ascii="仿宋" w:hAnsi="仿宋" w:eastAsia="仿宋" w:cs="仿宋"/>
                <w:color w:val="000000"/>
                <w:sz w:val="21"/>
              </w:rPr>
              <w:t>信用标准信息的录入、分数的设定、有效期的设定、以及新标准的同步应用</w:t>
            </w:r>
          </w:p>
        </w:tc>
      </w:tr>
      <w:tr w14:paraId="404C68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A851029">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平台管理</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7DC9C30B">
            <w:pPr>
              <w:pStyle w:val="101"/>
              <w:spacing w:line="320" w:lineRule="exact"/>
              <w:jc w:val="both"/>
              <w:rPr>
                <w:rFonts w:hint="default"/>
              </w:rPr>
            </w:pPr>
            <w:r>
              <w:rPr>
                <w:rFonts w:ascii="仿宋" w:hAnsi="仿宋" w:eastAsia="仿宋" w:cs="仿宋"/>
                <w:color w:val="000000"/>
                <w:sz w:val="21"/>
              </w:rPr>
              <w:t>针对系统中相关事项的流程、审核人员的配置</w:t>
            </w:r>
          </w:p>
        </w:tc>
      </w:tr>
      <w:tr w14:paraId="2C4D50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4423B0">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应用集成</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271A0562">
            <w:pPr>
              <w:pStyle w:val="101"/>
              <w:spacing w:line="320" w:lineRule="exact"/>
              <w:jc w:val="both"/>
              <w:rPr>
                <w:rFonts w:hint="default"/>
              </w:rPr>
            </w:pPr>
            <w:r>
              <w:rPr>
                <w:rFonts w:ascii="仿宋" w:hAnsi="仿宋" w:eastAsia="仿宋" w:cs="仿宋"/>
                <w:color w:val="000000"/>
                <w:sz w:val="21"/>
              </w:rPr>
              <w:t>用户的管理、新建、删除、调整、部门组织架构的管理、新建、删除、调整。</w:t>
            </w:r>
          </w:p>
        </w:tc>
      </w:tr>
      <w:tr w14:paraId="3F894C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12440E">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项目信息</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30C98F40">
            <w:pPr>
              <w:pStyle w:val="101"/>
              <w:spacing w:line="320" w:lineRule="exact"/>
              <w:jc w:val="both"/>
              <w:rPr>
                <w:rFonts w:hint="default"/>
              </w:rPr>
            </w:pPr>
            <w:r>
              <w:rPr>
                <w:rFonts w:ascii="仿宋" w:hAnsi="仿宋" w:eastAsia="仿宋" w:cs="仿宋"/>
                <w:color w:val="000000"/>
                <w:sz w:val="21"/>
              </w:rPr>
              <w:t>系统项目信息的统计展示，划分区县、采集来源、项目状态、项目类型、详细展示项目详细信息以及施工许可证附件</w:t>
            </w:r>
          </w:p>
        </w:tc>
      </w:tr>
      <w:tr w14:paraId="74B518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14DE082">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信息发布</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73AAA627">
            <w:pPr>
              <w:pStyle w:val="101"/>
              <w:spacing w:line="320" w:lineRule="exact"/>
              <w:jc w:val="both"/>
              <w:rPr>
                <w:rFonts w:hint="default"/>
              </w:rPr>
            </w:pPr>
            <w:r>
              <w:rPr>
                <w:rFonts w:ascii="仿宋" w:hAnsi="仿宋" w:eastAsia="仿宋" w:cs="仿宋"/>
                <w:color w:val="000000"/>
                <w:sz w:val="21"/>
              </w:rPr>
              <w:t>发布相关政策或者文件等信息</w:t>
            </w:r>
          </w:p>
        </w:tc>
      </w:tr>
      <w:tr w14:paraId="476DD7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7CF40D">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企业信息</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6EAB9486">
            <w:pPr>
              <w:pStyle w:val="101"/>
              <w:spacing w:line="320" w:lineRule="exact"/>
              <w:jc w:val="both"/>
              <w:rPr>
                <w:rFonts w:hint="default"/>
              </w:rPr>
            </w:pPr>
            <w:r>
              <w:rPr>
                <w:rFonts w:ascii="仿宋" w:hAnsi="仿宋" w:eastAsia="仿宋" w:cs="仿宋"/>
                <w:color w:val="000000"/>
                <w:sz w:val="21"/>
              </w:rPr>
              <w:t>同步系统中所有参评企业基本信息、项目信息、良好、不良等信用信息，同步展示企业基础信息分、工程额分、良好信息分、不良信息分、信用得分、标准分。</w:t>
            </w:r>
          </w:p>
        </w:tc>
      </w:tr>
      <w:tr w14:paraId="18B5C9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C00C99A">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良好信息</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25430F7C">
            <w:pPr>
              <w:pStyle w:val="101"/>
              <w:spacing w:line="320" w:lineRule="exact"/>
              <w:jc w:val="both"/>
              <w:rPr>
                <w:rFonts w:hint="default"/>
              </w:rPr>
            </w:pPr>
            <w:r>
              <w:rPr>
                <w:rFonts w:ascii="仿宋" w:hAnsi="仿宋" w:eastAsia="仿宋" w:cs="仿宋"/>
                <w:color w:val="000000"/>
                <w:sz w:val="21"/>
              </w:rPr>
              <w:t>企业申报良好信用信息相关数据，同步页面展示企业名称、项目名称、辖区、信用名称、有效期等，同步查询详细申报信用信息以及相关附件。</w:t>
            </w:r>
          </w:p>
        </w:tc>
      </w:tr>
      <w:tr w14:paraId="7BED9A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F2FDD1">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不良信息</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54FFFF2F">
            <w:pPr>
              <w:pStyle w:val="101"/>
              <w:spacing w:line="320" w:lineRule="exact"/>
              <w:jc w:val="both"/>
              <w:rPr>
                <w:rFonts w:hint="default"/>
              </w:rPr>
            </w:pPr>
            <w:r>
              <w:rPr>
                <w:rFonts w:ascii="仿宋" w:hAnsi="仿宋" w:eastAsia="仿宋" w:cs="仿宋"/>
                <w:color w:val="000000"/>
                <w:sz w:val="21"/>
              </w:rPr>
              <w:t>各区县主管部门上传处罚信息，同步页面展示企业名称、项目名称、辖区、信用名称、有效期等，同步查询详细申报信用信息以及相关附件。</w:t>
            </w:r>
          </w:p>
        </w:tc>
      </w:tr>
      <w:tr w14:paraId="7350B4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3E6E40">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信用信息异议</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2718891C">
            <w:pPr>
              <w:pStyle w:val="101"/>
              <w:spacing w:line="320" w:lineRule="exact"/>
              <w:jc w:val="both"/>
              <w:rPr>
                <w:rFonts w:hint="default"/>
              </w:rPr>
            </w:pPr>
            <w:r>
              <w:rPr>
                <w:rFonts w:ascii="仿宋" w:hAnsi="仿宋" w:eastAsia="仿宋" w:cs="仿宋"/>
                <w:color w:val="000000"/>
                <w:sz w:val="21"/>
              </w:rPr>
              <w:t>企业针对有异议的信息进行申报，主管部门针对异议信息进行审核保留详细审核信息。</w:t>
            </w:r>
          </w:p>
        </w:tc>
      </w:tr>
      <w:tr w14:paraId="345B8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22434A">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企业信息审核</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0F7C732F">
            <w:pPr>
              <w:pStyle w:val="101"/>
              <w:spacing w:line="320" w:lineRule="exact"/>
              <w:jc w:val="both"/>
              <w:rPr>
                <w:rFonts w:hint="default"/>
              </w:rPr>
            </w:pPr>
            <w:r>
              <w:rPr>
                <w:rFonts w:ascii="仿宋" w:hAnsi="仿宋" w:eastAsia="仿宋" w:cs="仿宋"/>
                <w:color w:val="000000"/>
                <w:sz w:val="21"/>
              </w:rPr>
              <w:t>审核企业基本信息情况，以及企业信息展示</w:t>
            </w:r>
          </w:p>
        </w:tc>
      </w:tr>
      <w:tr w14:paraId="78FA8D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6EE3A95">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信用修复</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6C4A49B5">
            <w:pPr>
              <w:pStyle w:val="101"/>
              <w:spacing w:line="320" w:lineRule="exact"/>
              <w:jc w:val="both"/>
              <w:rPr>
                <w:rFonts w:hint="default"/>
              </w:rPr>
            </w:pPr>
            <w:r>
              <w:rPr>
                <w:rFonts w:ascii="仿宋" w:hAnsi="仿宋" w:eastAsia="仿宋" w:cs="仿宋"/>
                <w:color w:val="000000"/>
                <w:sz w:val="21"/>
              </w:rPr>
              <w:t>企业对上传信用信息到期后进行修复申请，同步展示修复申请详情。</w:t>
            </w:r>
          </w:p>
        </w:tc>
      </w:tr>
      <w:tr w14:paraId="015F8E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F24A461">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工改前置库</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7BC2F5E0">
            <w:pPr>
              <w:pStyle w:val="101"/>
              <w:spacing w:line="320" w:lineRule="exact"/>
              <w:jc w:val="both"/>
              <w:rPr>
                <w:rFonts w:hint="default"/>
              </w:rPr>
            </w:pPr>
            <w:r>
              <w:rPr>
                <w:rFonts w:ascii="仿宋" w:hAnsi="仿宋" w:eastAsia="仿宋" w:cs="仿宋"/>
                <w:color w:val="000000"/>
                <w:sz w:val="21"/>
              </w:rPr>
              <w:t>对与工改平台同步的项目信息一并进行展示查询</w:t>
            </w:r>
          </w:p>
        </w:tc>
      </w:tr>
      <w:tr w14:paraId="5AE87B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9D7B17A">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项目库（旧）</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72C06B7C">
            <w:pPr>
              <w:pStyle w:val="101"/>
              <w:spacing w:line="320" w:lineRule="exact"/>
              <w:jc w:val="both"/>
              <w:rPr>
                <w:rFonts w:hint="default"/>
              </w:rPr>
            </w:pPr>
            <w:r>
              <w:rPr>
                <w:rFonts w:ascii="仿宋" w:hAnsi="仿宋" w:eastAsia="仿宋" w:cs="仿宋"/>
                <w:color w:val="000000"/>
                <w:sz w:val="21"/>
              </w:rPr>
              <w:t>同步老系统项目信息展示查询。</w:t>
            </w:r>
          </w:p>
        </w:tc>
      </w:tr>
      <w:tr w14:paraId="1E281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D1A0CA">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项目以及目录</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3C121E7B">
            <w:pPr>
              <w:pStyle w:val="101"/>
              <w:spacing w:line="320" w:lineRule="exact"/>
              <w:jc w:val="both"/>
              <w:rPr>
                <w:rFonts w:hint="default"/>
              </w:rPr>
            </w:pPr>
            <w:r>
              <w:rPr>
                <w:rFonts w:ascii="仿宋" w:hAnsi="仿宋" w:eastAsia="仿宋" w:cs="仿宋"/>
                <w:color w:val="000000"/>
                <w:sz w:val="21"/>
              </w:rPr>
              <w:t>通过区县对项目所属辖区进行划分展示</w:t>
            </w:r>
          </w:p>
        </w:tc>
      </w:tr>
      <w:tr w14:paraId="0DBA3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298369">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企业黑名单</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6AA3171A">
            <w:pPr>
              <w:pStyle w:val="101"/>
              <w:spacing w:line="320" w:lineRule="exact"/>
              <w:jc w:val="both"/>
              <w:rPr>
                <w:rFonts w:hint="default"/>
              </w:rPr>
            </w:pPr>
            <w:r>
              <w:rPr>
                <w:rFonts w:ascii="仿宋" w:hAnsi="仿宋" w:eastAsia="仿宋" w:cs="仿宋"/>
                <w:color w:val="000000"/>
                <w:sz w:val="21"/>
              </w:rPr>
              <w:t>同步展示被添加黑名单不良信息的企业</w:t>
            </w:r>
          </w:p>
        </w:tc>
      </w:tr>
      <w:tr w14:paraId="4320C1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BDC39AA">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工程额</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0A9CF99D">
            <w:pPr>
              <w:pStyle w:val="101"/>
              <w:spacing w:line="320" w:lineRule="exact"/>
              <w:jc w:val="both"/>
              <w:rPr>
                <w:rFonts w:hint="default"/>
              </w:rPr>
            </w:pPr>
            <w:r>
              <w:rPr>
                <w:rFonts w:ascii="仿宋" w:hAnsi="仿宋" w:eastAsia="仿宋" w:cs="仿宋"/>
                <w:color w:val="000000"/>
                <w:sz w:val="21"/>
              </w:rPr>
              <w:t>通过对各个企业项目工程额计算之后排名展示，以及项目工程额组成的查看</w:t>
            </w:r>
          </w:p>
        </w:tc>
      </w:tr>
      <w:tr w14:paraId="02F5A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9D87DE">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访问量统计</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68724608">
            <w:pPr>
              <w:pStyle w:val="101"/>
              <w:spacing w:line="320" w:lineRule="exact"/>
              <w:jc w:val="both"/>
              <w:rPr>
                <w:rFonts w:hint="default"/>
              </w:rPr>
            </w:pPr>
            <w:r>
              <w:rPr>
                <w:rFonts w:ascii="仿宋" w:hAnsi="仿宋" w:eastAsia="仿宋" w:cs="仿宋"/>
                <w:color w:val="000000"/>
                <w:sz w:val="21"/>
              </w:rPr>
              <w:t>统计单日企业端、管理端系统访问次数</w:t>
            </w:r>
          </w:p>
        </w:tc>
      </w:tr>
      <w:tr w14:paraId="57BA17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27015D">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信用退回（良好）</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076C104D">
            <w:pPr>
              <w:pStyle w:val="101"/>
              <w:spacing w:line="320" w:lineRule="exact"/>
              <w:jc w:val="both"/>
              <w:rPr>
                <w:rFonts w:hint="default"/>
              </w:rPr>
            </w:pPr>
            <w:r>
              <w:rPr>
                <w:rFonts w:ascii="仿宋" w:hAnsi="仿宋" w:eastAsia="仿宋" w:cs="仿宋"/>
                <w:color w:val="000000"/>
                <w:sz w:val="21"/>
              </w:rPr>
              <w:t>对申报有误的良好信息进行退回操作，并还原其分数。</w:t>
            </w:r>
          </w:p>
        </w:tc>
      </w:tr>
      <w:tr w14:paraId="1473B1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1E3562">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信用退回（不良）</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36F29CBC">
            <w:pPr>
              <w:pStyle w:val="101"/>
              <w:spacing w:line="320" w:lineRule="exact"/>
              <w:jc w:val="both"/>
              <w:rPr>
                <w:rFonts w:hint="default"/>
              </w:rPr>
            </w:pPr>
            <w:r>
              <w:rPr>
                <w:rFonts w:ascii="仿宋" w:hAnsi="仿宋" w:eastAsia="仿宋" w:cs="仿宋"/>
                <w:color w:val="000000"/>
                <w:sz w:val="21"/>
              </w:rPr>
              <w:t>对申报有误的不良信息进行退回操作，并还原其分数。</w:t>
            </w:r>
          </w:p>
        </w:tc>
      </w:tr>
      <w:tr w14:paraId="7F5DDC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719B4B">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项目退回</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625F5C1E">
            <w:pPr>
              <w:pStyle w:val="101"/>
              <w:spacing w:line="320" w:lineRule="exact"/>
              <w:jc w:val="both"/>
              <w:rPr>
                <w:rFonts w:hint="default"/>
              </w:rPr>
            </w:pPr>
            <w:r>
              <w:rPr>
                <w:rFonts w:ascii="仿宋" w:hAnsi="仿宋" w:eastAsia="仿宋" w:cs="仿宋"/>
                <w:color w:val="000000"/>
                <w:sz w:val="21"/>
              </w:rPr>
              <w:t>对申报有误的项目信息进行退回操作，还原其工程额分数。</w:t>
            </w:r>
          </w:p>
        </w:tc>
      </w:tr>
      <w:tr w14:paraId="3F47B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1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EEEEB0">
            <w:pPr>
              <w:pStyle w:val="101"/>
              <w:spacing w:line="320" w:lineRule="exact"/>
              <w:jc w:val="center"/>
              <w:rPr>
                <w:rFonts w:hint="default"/>
              </w:rPr>
            </w:pPr>
            <w:r>
              <w:rPr>
                <w:rFonts w:ascii="仿宋" w:hAnsi="仿宋" w:eastAsia="仿宋" w:cs="仿宋"/>
                <w:b/>
                <w:color w:val="000000"/>
                <w:sz w:val="21"/>
              </w:rPr>
              <w:t>企业端</w:t>
            </w:r>
          </w:p>
        </w:tc>
      </w:tr>
      <w:tr w14:paraId="69BC0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799C95">
            <w:pPr>
              <w:pStyle w:val="101"/>
              <w:spacing w:line="320" w:lineRule="exact"/>
              <w:jc w:val="center"/>
              <w:rPr>
                <w:rFonts w:hint="default"/>
              </w:rPr>
            </w:pPr>
            <w:r>
              <w:rPr>
                <w:rFonts w:ascii="仿宋" w:hAnsi="仿宋" w:eastAsia="仿宋" w:cs="仿宋"/>
                <w:b/>
                <w:color w:val="000000"/>
                <w:sz w:val="21"/>
              </w:rPr>
              <w:t>模块名称</w:t>
            </w:r>
          </w:p>
        </w:tc>
        <w:tc>
          <w:tcPr>
            <w:tcW w:w="639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A78DCD0">
            <w:pPr>
              <w:pStyle w:val="101"/>
              <w:spacing w:line="320" w:lineRule="exact"/>
              <w:jc w:val="center"/>
              <w:rPr>
                <w:rFonts w:hint="default"/>
              </w:rPr>
            </w:pPr>
            <w:r>
              <w:rPr>
                <w:rFonts w:ascii="仿宋" w:hAnsi="仿宋" w:eastAsia="仿宋" w:cs="仿宋"/>
                <w:b/>
                <w:color w:val="000000"/>
                <w:sz w:val="21"/>
              </w:rPr>
              <w:t>功能</w:t>
            </w:r>
          </w:p>
        </w:tc>
      </w:tr>
      <w:tr w14:paraId="13910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1F806F">
            <w:pPr>
              <w:pStyle w:val="101"/>
              <w:spacing w:line="320" w:lineRule="exact"/>
              <w:jc w:val="center"/>
              <w:rPr>
                <w:rFonts w:hint="default"/>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-企业端</w:t>
            </w:r>
            <w:r>
              <w:rPr>
                <w:rFonts w:ascii="仿宋" w:hAnsi="仿宋" w:eastAsia="仿宋" w:cs="仿宋"/>
                <w:color w:val="000000"/>
                <w:sz w:val="21"/>
              </w:rPr>
              <w:t>系统首页</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498F2526">
            <w:pPr>
              <w:pStyle w:val="101"/>
              <w:spacing w:line="320" w:lineRule="exact"/>
              <w:jc w:val="both"/>
              <w:rPr>
                <w:rFonts w:hint="default"/>
              </w:rPr>
            </w:pPr>
            <w:r>
              <w:rPr>
                <w:rFonts w:ascii="仿宋" w:hAnsi="仿宋" w:eastAsia="仿宋" w:cs="仿宋"/>
                <w:color w:val="000000"/>
                <w:sz w:val="21"/>
              </w:rPr>
              <w:t>信用排名、通知公告、良好申报、异议以及修复的申报、同步展示企业优良、不良信用信息。</w:t>
            </w:r>
          </w:p>
        </w:tc>
      </w:tr>
      <w:tr w14:paraId="7009E2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138DC9">
            <w:pPr>
              <w:pStyle w:val="101"/>
              <w:spacing w:line="320" w:lineRule="exact"/>
              <w:jc w:val="center"/>
              <w:rPr>
                <w:rFonts w:hint="default"/>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项目信息</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32332B1E">
            <w:pPr>
              <w:pStyle w:val="101"/>
              <w:spacing w:line="320" w:lineRule="exact"/>
              <w:jc w:val="both"/>
              <w:rPr>
                <w:rFonts w:hint="default"/>
              </w:rPr>
            </w:pPr>
            <w:r>
              <w:rPr>
                <w:rFonts w:ascii="仿宋" w:hAnsi="仿宋" w:eastAsia="仿宋" w:cs="仿宋"/>
                <w:color w:val="000000"/>
                <w:sz w:val="21"/>
              </w:rPr>
              <w:t>展示工改平台同步，以及企业自行申报的项目信息。</w:t>
            </w:r>
          </w:p>
        </w:tc>
      </w:tr>
      <w:tr w14:paraId="2A26AF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38E473">
            <w:pPr>
              <w:pStyle w:val="101"/>
              <w:spacing w:line="320" w:lineRule="exact"/>
              <w:jc w:val="center"/>
              <w:rPr>
                <w:rFonts w:hint="default"/>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企业信息</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0FA0E2BA">
            <w:pPr>
              <w:pStyle w:val="101"/>
              <w:spacing w:line="320" w:lineRule="exact"/>
              <w:jc w:val="both"/>
              <w:rPr>
                <w:rFonts w:hint="default"/>
              </w:rPr>
            </w:pPr>
            <w:r>
              <w:rPr>
                <w:rFonts w:ascii="仿宋" w:hAnsi="仿宋" w:eastAsia="仿宋" w:cs="仿宋"/>
                <w:color w:val="000000"/>
                <w:sz w:val="21"/>
              </w:rPr>
              <w:t>同步展示项目信息、申报的优良信息、以及被处罚的不良信息。</w:t>
            </w:r>
          </w:p>
        </w:tc>
      </w:tr>
      <w:tr w14:paraId="11A434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3991FD">
            <w:pPr>
              <w:pStyle w:val="101"/>
              <w:spacing w:line="320" w:lineRule="exact"/>
              <w:jc w:val="center"/>
              <w:rPr>
                <w:rFonts w:hint="default"/>
              </w:rPr>
            </w:pPr>
            <w:r>
              <w:rPr>
                <w:rFonts w:ascii="仿宋" w:hAnsi="仿宋" w:eastAsia="仿宋" w:cs="仿宋"/>
                <w:color w:val="000000"/>
                <w:sz w:val="21"/>
              </w:rPr>
              <w:t>施工总承包企业信用评价系统</w:t>
            </w:r>
            <w:r>
              <w:rPr>
                <w:rFonts w:ascii="仿宋" w:hAnsi="仿宋" w:eastAsia="仿宋" w:cs="仿宋"/>
                <w:color w:val="000000"/>
                <w:sz w:val="21"/>
                <w:lang w:eastAsia="zh-CN"/>
              </w:rPr>
              <w:t>-</w:t>
            </w:r>
            <w:r>
              <w:rPr>
                <w:rFonts w:ascii="仿宋" w:hAnsi="仿宋" w:eastAsia="仿宋" w:cs="仿宋"/>
                <w:color w:val="000000"/>
                <w:sz w:val="21"/>
              </w:rPr>
              <w:t>工程额排名</w:t>
            </w:r>
          </w:p>
        </w:tc>
        <w:tc>
          <w:tcPr>
            <w:tcW w:w="6391" w:type="dxa"/>
            <w:tcBorders>
              <w:top w:val="nil"/>
              <w:left w:val="nil"/>
              <w:bottom w:val="single" w:color="000000" w:sz="4" w:space="0"/>
              <w:right w:val="single" w:color="000000" w:sz="4" w:space="0"/>
            </w:tcBorders>
            <w:tcMar>
              <w:top w:w="0" w:type="dxa"/>
              <w:left w:w="105" w:type="dxa"/>
              <w:bottom w:w="0" w:type="dxa"/>
              <w:right w:w="105" w:type="dxa"/>
            </w:tcMar>
          </w:tcPr>
          <w:p w14:paraId="20A26909">
            <w:pPr>
              <w:pStyle w:val="101"/>
              <w:spacing w:line="320" w:lineRule="exact"/>
              <w:jc w:val="both"/>
              <w:rPr>
                <w:rFonts w:hint="default"/>
              </w:rPr>
            </w:pPr>
            <w:r>
              <w:rPr>
                <w:rFonts w:ascii="仿宋" w:hAnsi="仿宋" w:eastAsia="仿宋" w:cs="仿宋"/>
                <w:color w:val="000000"/>
                <w:sz w:val="21"/>
              </w:rPr>
              <w:t>展示市企业工程额排名、可自行搜索。</w:t>
            </w:r>
          </w:p>
        </w:tc>
      </w:tr>
    </w:tbl>
    <w:p w14:paraId="23D7B55A">
      <w:pPr>
        <w:pStyle w:val="101"/>
        <w:ind w:firstLine="480"/>
        <w:jc w:val="both"/>
        <w:rPr>
          <w:rFonts w:hint="default" w:cs="Times New Roman"/>
          <w:sz w:val="24"/>
          <w:szCs w:val="24"/>
          <w:lang w:eastAsia="zh-CN"/>
        </w:rPr>
      </w:pPr>
    </w:p>
    <w:p w14:paraId="638838E2">
      <w:pPr>
        <w:pStyle w:val="101"/>
        <w:ind w:firstLine="480"/>
        <w:jc w:val="both"/>
        <w:rPr>
          <w:rFonts w:hint="default" w:cs="Times New Roman"/>
          <w:sz w:val="24"/>
          <w:szCs w:val="24"/>
          <w:lang w:eastAsia="zh-CN"/>
        </w:rPr>
      </w:pPr>
      <w:r>
        <w:rPr>
          <w:rFonts w:cs="Times New Roman"/>
          <w:sz w:val="24"/>
          <w:szCs w:val="24"/>
          <w:lang w:eastAsia="zh-CN"/>
        </w:rPr>
        <w:t>（2）监理信用评价子系统维护清单</w:t>
      </w:r>
    </w:p>
    <w:tbl>
      <w:tblPr>
        <w:tblStyle w:val="26"/>
        <w:tblW w:w="8812"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6396"/>
      </w:tblGrid>
      <w:tr w14:paraId="6D98F4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81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BFB2A76">
            <w:pPr>
              <w:pStyle w:val="101"/>
              <w:spacing w:line="320" w:lineRule="exact"/>
              <w:jc w:val="center"/>
              <w:rPr>
                <w:rFonts w:hint="default"/>
              </w:rPr>
            </w:pPr>
            <w:r>
              <w:rPr>
                <w:rFonts w:ascii="仿宋" w:hAnsi="仿宋" w:eastAsia="仿宋" w:cs="仿宋"/>
                <w:b/>
                <w:color w:val="000000"/>
                <w:sz w:val="21"/>
              </w:rPr>
              <w:t>管理端</w:t>
            </w:r>
          </w:p>
        </w:tc>
      </w:tr>
      <w:tr w14:paraId="14C2F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E66B65">
            <w:pPr>
              <w:pStyle w:val="101"/>
              <w:spacing w:line="320" w:lineRule="exact"/>
              <w:jc w:val="center"/>
              <w:rPr>
                <w:rFonts w:hint="default"/>
              </w:rPr>
            </w:pPr>
            <w:r>
              <w:rPr>
                <w:rFonts w:ascii="仿宋" w:hAnsi="仿宋" w:eastAsia="仿宋" w:cs="仿宋"/>
                <w:color w:val="000000"/>
                <w:sz w:val="21"/>
              </w:rPr>
              <w:t>模块名称</w:t>
            </w:r>
          </w:p>
        </w:tc>
        <w:tc>
          <w:tcPr>
            <w:tcW w:w="639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5B2BB29">
            <w:pPr>
              <w:pStyle w:val="101"/>
              <w:spacing w:line="320" w:lineRule="exact"/>
              <w:jc w:val="center"/>
              <w:rPr>
                <w:rFonts w:hint="default"/>
              </w:rPr>
            </w:pPr>
            <w:r>
              <w:rPr>
                <w:rFonts w:ascii="仿宋" w:hAnsi="仿宋" w:eastAsia="仿宋" w:cs="仿宋"/>
                <w:color w:val="000000"/>
                <w:sz w:val="21"/>
              </w:rPr>
              <w:t>功能</w:t>
            </w:r>
          </w:p>
        </w:tc>
      </w:tr>
      <w:tr w14:paraId="6341D1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FBA1E4">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系统门户</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4E7E6DA9">
            <w:pPr>
              <w:pStyle w:val="101"/>
              <w:spacing w:line="320" w:lineRule="exact"/>
              <w:jc w:val="both"/>
              <w:rPr>
                <w:rFonts w:hint="default"/>
              </w:rPr>
            </w:pPr>
            <w:r>
              <w:rPr>
                <w:rFonts w:ascii="仿宋" w:hAnsi="仿宋" w:eastAsia="仿宋" w:cs="仿宋"/>
                <w:color w:val="000000"/>
                <w:sz w:val="21"/>
              </w:rPr>
              <w:t>统计企业数量、企业资质类别统计、企业资质等级统计、项目类别、西安市企业信用排名、实时在建项目分布</w:t>
            </w:r>
          </w:p>
        </w:tc>
      </w:tr>
      <w:tr w14:paraId="44E758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082A53">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后台管理</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274CB5CE">
            <w:pPr>
              <w:pStyle w:val="101"/>
              <w:spacing w:line="320" w:lineRule="exact"/>
              <w:jc w:val="both"/>
              <w:rPr>
                <w:rFonts w:hint="default"/>
              </w:rPr>
            </w:pPr>
            <w:r>
              <w:rPr>
                <w:rFonts w:ascii="仿宋" w:hAnsi="仿宋" w:eastAsia="仿宋" w:cs="仿宋"/>
                <w:color w:val="000000"/>
                <w:sz w:val="21"/>
              </w:rPr>
              <w:t>数据表结构、工作流、代码项等变更调整。</w:t>
            </w:r>
          </w:p>
        </w:tc>
      </w:tr>
      <w:tr w14:paraId="46C78B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48AC29">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信用评价</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5101A298">
            <w:pPr>
              <w:pStyle w:val="101"/>
              <w:spacing w:line="320" w:lineRule="exact"/>
              <w:jc w:val="both"/>
              <w:rPr>
                <w:rFonts w:hint="default"/>
              </w:rPr>
            </w:pPr>
            <w:r>
              <w:rPr>
                <w:rFonts w:ascii="仿宋" w:hAnsi="仿宋" w:eastAsia="仿宋" w:cs="仿宋"/>
                <w:color w:val="000000"/>
                <w:sz w:val="21"/>
              </w:rPr>
              <w:t>信用标准信息的录入、分数的设定、有效期的设定、以及新标准的同步应用</w:t>
            </w:r>
          </w:p>
        </w:tc>
      </w:tr>
      <w:tr w14:paraId="79F706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35A42F">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平台管理</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54E89709">
            <w:pPr>
              <w:pStyle w:val="101"/>
              <w:spacing w:line="320" w:lineRule="exact"/>
              <w:jc w:val="both"/>
              <w:rPr>
                <w:rFonts w:hint="default"/>
              </w:rPr>
            </w:pPr>
            <w:r>
              <w:rPr>
                <w:rFonts w:ascii="仿宋" w:hAnsi="仿宋" w:eastAsia="仿宋" w:cs="仿宋"/>
                <w:color w:val="000000"/>
                <w:sz w:val="21"/>
              </w:rPr>
              <w:t>针对系统中相关事项的流程、审核人员的配置</w:t>
            </w:r>
          </w:p>
        </w:tc>
      </w:tr>
      <w:tr w14:paraId="68E3AE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4CB6685">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应用集成</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5A28C392">
            <w:pPr>
              <w:pStyle w:val="101"/>
              <w:spacing w:line="320" w:lineRule="exact"/>
              <w:jc w:val="both"/>
              <w:rPr>
                <w:rFonts w:hint="default"/>
              </w:rPr>
            </w:pPr>
            <w:r>
              <w:rPr>
                <w:rFonts w:ascii="仿宋" w:hAnsi="仿宋" w:eastAsia="仿宋" w:cs="仿宋"/>
                <w:color w:val="000000"/>
                <w:sz w:val="21"/>
              </w:rPr>
              <w:t>用户的管理、新建、删除、调整、部门组织架构的管理、新建、删除、调整。</w:t>
            </w:r>
          </w:p>
        </w:tc>
      </w:tr>
      <w:tr w14:paraId="570499D8">
        <w:tblPrEx>
          <w:tblCellMar>
            <w:top w:w="0" w:type="dxa"/>
            <w:left w:w="108" w:type="dxa"/>
            <w:bottom w:w="0" w:type="dxa"/>
            <w:right w:w="108" w:type="dxa"/>
          </w:tblCellMar>
        </w:tblPrEx>
        <w:trPr>
          <w:trHeight w:val="541" w:hRule="atLeast"/>
        </w:trPr>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A1A566">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项目信息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3152F819">
            <w:pPr>
              <w:pStyle w:val="101"/>
              <w:spacing w:line="320" w:lineRule="exact"/>
              <w:jc w:val="both"/>
              <w:rPr>
                <w:rFonts w:hint="default"/>
              </w:rPr>
            </w:pPr>
            <w:r>
              <w:rPr>
                <w:rFonts w:ascii="仿宋" w:hAnsi="仿宋" w:eastAsia="仿宋" w:cs="仿宋"/>
                <w:color w:val="000000"/>
                <w:sz w:val="21"/>
              </w:rPr>
              <w:t>系统项目信息的统计展示，划分区县、采集来源、项目状态、项目类型、详细展示项目详细信息以及施工许可证附件</w:t>
            </w:r>
          </w:p>
        </w:tc>
      </w:tr>
      <w:tr w14:paraId="3D67A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68ED2BD">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信息发布</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103787F6">
            <w:pPr>
              <w:pStyle w:val="101"/>
              <w:spacing w:line="320" w:lineRule="exact"/>
              <w:jc w:val="both"/>
              <w:rPr>
                <w:rFonts w:hint="default"/>
              </w:rPr>
            </w:pPr>
            <w:r>
              <w:rPr>
                <w:rFonts w:ascii="仿宋" w:hAnsi="仿宋" w:eastAsia="仿宋" w:cs="仿宋"/>
                <w:color w:val="000000"/>
                <w:sz w:val="21"/>
              </w:rPr>
              <w:t>发布相关政策或者文件等信息</w:t>
            </w:r>
          </w:p>
        </w:tc>
      </w:tr>
      <w:tr w14:paraId="46AD92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7377E6">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企业信息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27CB8B59">
            <w:pPr>
              <w:pStyle w:val="101"/>
              <w:spacing w:line="320" w:lineRule="exact"/>
              <w:jc w:val="both"/>
              <w:rPr>
                <w:rFonts w:hint="default"/>
              </w:rPr>
            </w:pPr>
            <w:r>
              <w:rPr>
                <w:rFonts w:ascii="仿宋" w:hAnsi="仿宋" w:eastAsia="仿宋" w:cs="仿宋"/>
                <w:color w:val="000000"/>
                <w:sz w:val="21"/>
              </w:rPr>
              <w:t>同步系统中所有参评企业基本信息、项目信息、良好、不良等信用信息，同步展示企业基础信息分、工程额分、良好信息分、不良信息分、信用得分、标准分。</w:t>
            </w:r>
          </w:p>
        </w:tc>
      </w:tr>
      <w:tr w14:paraId="5D52C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CD8EB5">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良好信息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67E87EBB">
            <w:pPr>
              <w:pStyle w:val="101"/>
              <w:spacing w:line="320" w:lineRule="exact"/>
              <w:jc w:val="both"/>
              <w:rPr>
                <w:rFonts w:hint="default"/>
              </w:rPr>
            </w:pPr>
            <w:r>
              <w:rPr>
                <w:rFonts w:ascii="仿宋" w:hAnsi="仿宋" w:eastAsia="仿宋" w:cs="仿宋"/>
                <w:color w:val="000000"/>
                <w:sz w:val="21"/>
              </w:rPr>
              <w:t>企业申报良好信用信息相关数据，同步页面展示企业名称、项目名称、辖区、信用名称、有效期等，同步查询详细申报信用信息以及相关附件。</w:t>
            </w:r>
          </w:p>
        </w:tc>
      </w:tr>
      <w:tr w14:paraId="329A67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F571D1">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不良信息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221C4BF3">
            <w:pPr>
              <w:pStyle w:val="101"/>
              <w:spacing w:line="320" w:lineRule="exact"/>
              <w:jc w:val="both"/>
              <w:rPr>
                <w:rFonts w:hint="default"/>
              </w:rPr>
            </w:pPr>
            <w:r>
              <w:rPr>
                <w:rFonts w:ascii="仿宋" w:hAnsi="仿宋" w:eastAsia="仿宋" w:cs="仿宋"/>
                <w:color w:val="000000"/>
                <w:sz w:val="21"/>
              </w:rPr>
              <w:t>各区县主管部门上传处罚信息，同步页面展示企业名称、项目名称、辖区、信用名称、有效期等，同步查询详细申报信用信息以及相关附件。</w:t>
            </w:r>
          </w:p>
        </w:tc>
      </w:tr>
      <w:tr w14:paraId="4F8CE1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8BB6C6">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信用信息异议</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52EFAB56">
            <w:pPr>
              <w:pStyle w:val="101"/>
              <w:spacing w:line="320" w:lineRule="exact"/>
              <w:jc w:val="both"/>
              <w:rPr>
                <w:rFonts w:hint="default"/>
              </w:rPr>
            </w:pPr>
            <w:r>
              <w:rPr>
                <w:rFonts w:ascii="仿宋" w:hAnsi="仿宋" w:eastAsia="仿宋" w:cs="仿宋"/>
                <w:color w:val="000000"/>
                <w:sz w:val="21"/>
              </w:rPr>
              <w:t>企业针对有异议的信息进行申报，主管部门针对异议信息进行审核保留详细审核信息。</w:t>
            </w:r>
          </w:p>
        </w:tc>
      </w:tr>
      <w:tr w14:paraId="31723D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A75A81">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企业信息审核</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3147FAEE">
            <w:pPr>
              <w:pStyle w:val="101"/>
              <w:spacing w:line="320" w:lineRule="exact"/>
              <w:jc w:val="both"/>
              <w:rPr>
                <w:rFonts w:hint="default"/>
              </w:rPr>
            </w:pPr>
            <w:r>
              <w:rPr>
                <w:rFonts w:ascii="仿宋" w:hAnsi="仿宋" w:eastAsia="仿宋" w:cs="仿宋"/>
                <w:color w:val="000000"/>
                <w:sz w:val="21"/>
              </w:rPr>
              <w:t>审核企业基本信息情况，以及企业信息展示</w:t>
            </w:r>
          </w:p>
        </w:tc>
      </w:tr>
      <w:tr w14:paraId="27D1A0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B9A3F0">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信用修复</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1AD2E616">
            <w:pPr>
              <w:pStyle w:val="101"/>
              <w:spacing w:line="320" w:lineRule="exact"/>
              <w:jc w:val="both"/>
              <w:rPr>
                <w:rFonts w:hint="default"/>
              </w:rPr>
            </w:pPr>
            <w:r>
              <w:rPr>
                <w:rFonts w:ascii="仿宋" w:hAnsi="仿宋" w:eastAsia="仿宋" w:cs="仿宋"/>
                <w:color w:val="000000"/>
                <w:sz w:val="21"/>
              </w:rPr>
              <w:t>企业对上传信用信息到期后进行修复申请，同步展示修复申请详情。</w:t>
            </w:r>
          </w:p>
        </w:tc>
      </w:tr>
      <w:tr w14:paraId="609B93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12A4E7">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工改前置库</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564CEFE2">
            <w:pPr>
              <w:pStyle w:val="101"/>
              <w:spacing w:line="320" w:lineRule="exact"/>
              <w:jc w:val="both"/>
              <w:rPr>
                <w:rFonts w:hint="default"/>
              </w:rPr>
            </w:pPr>
            <w:r>
              <w:rPr>
                <w:rFonts w:ascii="仿宋" w:hAnsi="仿宋" w:eastAsia="仿宋" w:cs="仿宋"/>
                <w:color w:val="000000"/>
                <w:sz w:val="21"/>
              </w:rPr>
              <w:t>对与工改平台同步的项目信息一并进行展示查询</w:t>
            </w:r>
          </w:p>
        </w:tc>
      </w:tr>
      <w:tr w14:paraId="7C7D0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6D22DE">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项目库（旧）</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34DF7AF6">
            <w:pPr>
              <w:pStyle w:val="101"/>
              <w:spacing w:line="320" w:lineRule="exact"/>
              <w:jc w:val="both"/>
              <w:rPr>
                <w:rFonts w:hint="default"/>
              </w:rPr>
            </w:pPr>
            <w:r>
              <w:rPr>
                <w:rFonts w:ascii="仿宋" w:hAnsi="仿宋" w:eastAsia="仿宋" w:cs="仿宋"/>
                <w:color w:val="000000"/>
                <w:sz w:val="21"/>
              </w:rPr>
              <w:t>同步老系统项目信息展示查询。</w:t>
            </w:r>
          </w:p>
        </w:tc>
      </w:tr>
      <w:tr w14:paraId="15217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951669">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项目以及目录</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0C8994E3">
            <w:pPr>
              <w:pStyle w:val="101"/>
              <w:spacing w:line="320" w:lineRule="exact"/>
              <w:jc w:val="both"/>
              <w:rPr>
                <w:rFonts w:hint="default"/>
              </w:rPr>
            </w:pPr>
            <w:r>
              <w:rPr>
                <w:rFonts w:ascii="仿宋" w:hAnsi="仿宋" w:eastAsia="仿宋" w:cs="仿宋"/>
                <w:color w:val="000000"/>
                <w:sz w:val="21"/>
              </w:rPr>
              <w:t>通过区县对项目所属辖区进行划分展示</w:t>
            </w:r>
          </w:p>
        </w:tc>
      </w:tr>
      <w:tr w14:paraId="243A9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6BC06C">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企业黑名单</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00C1C1F6">
            <w:pPr>
              <w:pStyle w:val="101"/>
              <w:spacing w:line="320" w:lineRule="exact"/>
              <w:jc w:val="both"/>
              <w:rPr>
                <w:rFonts w:hint="default"/>
              </w:rPr>
            </w:pPr>
            <w:r>
              <w:rPr>
                <w:rFonts w:ascii="仿宋" w:hAnsi="仿宋" w:eastAsia="仿宋" w:cs="仿宋"/>
                <w:color w:val="000000"/>
                <w:sz w:val="21"/>
              </w:rPr>
              <w:t>同步展示被添加黑名单不良信息的企业</w:t>
            </w:r>
          </w:p>
        </w:tc>
      </w:tr>
      <w:tr w14:paraId="36596C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7A282D">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工程额</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24644936">
            <w:pPr>
              <w:pStyle w:val="101"/>
              <w:spacing w:line="320" w:lineRule="exact"/>
              <w:jc w:val="both"/>
              <w:rPr>
                <w:rFonts w:hint="default"/>
              </w:rPr>
            </w:pPr>
            <w:r>
              <w:rPr>
                <w:rFonts w:ascii="仿宋" w:hAnsi="仿宋" w:eastAsia="仿宋" w:cs="仿宋"/>
                <w:color w:val="000000"/>
                <w:sz w:val="21"/>
              </w:rPr>
              <w:t>通过对各个企业项目工程额计算之后排名展示，以及项目工程额组成的查看</w:t>
            </w:r>
          </w:p>
        </w:tc>
      </w:tr>
      <w:tr w14:paraId="2EF4F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A10982">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访问量统计</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7FF68262">
            <w:pPr>
              <w:pStyle w:val="101"/>
              <w:spacing w:line="320" w:lineRule="exact"/>
              <w:jc w:val="both"/>
              <w:rPr>
                <w:rFonts w:hint="default"/>
              </w:rPr>
            </w:pPr>
            <w:r>
              <w:rPr>
                <w:rFonts w:ascii="仿宋" w:hAnsi="仿宋" w:eastAsia="仿宋" w:cs="仿宋"/>
                <w:color w:val="000000"/>
                <w:sz w:val="21"/>
              </w:rPr>
              <w:t>统计单日企业端、管理端系统访问次数</w:t>
            </w:r>
          </w:p>
        </w:tc>
      </w:tr>
      <w:tr w14:paraId="6147E8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F65BED">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信用退回（良好）</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3431459A">
            <w:pPr>
              <w:pStyle w:val="101"/>
              <w:spacing w:line="320" w:lineRule="exact"/>
              <w:jc w:val="both"/>
              <w:rPr>
                <w:rFonts w:hint="default"/>
              </w:rPr>
            </w:pPr>
            <w:r>
              <w:rPr>
                <w:rFonts w:ascii="仿宋" w:hAnsi="仿宋" w:eastAsia="仿宋" w:cs="仿宋"/>
                <w:color w:val="000000"/>
                <w:sz w:val="21"/>
              </w:rPr>
              <w:t>对申报有误的良好信息进行退回操作，并还原其分数。</w:t>
            </w:r>
          </w:p>
        </w:tc>
      </w:tr>
      <w:tr w14:paraId="1DA921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B91CB7">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信用退回（不良）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3E8F61D6">
            <w:pPr>
              <w:pStyle w:val="101"/>
              <w:spacing w:line="320" w:lineRule="exact"/>
              <w:jc w:val="both"/>
              <w:rPr>
                <w:rFonts w:hint="default"/>
              </w:rPr>
            </w:pPr>
            <w:r>
              <w:rPr>
                <w:rFonts w:ascii="仿宋" w:hAnsi="仿宋" w:eastAsia="仿宋" w:cs="仿宋"/>
                <w:color w:val="000000"/>
                <w:sz w:val="21"/>
              </w:rPr>
              <w:t>对申报有误的不良信息进行退回操作，并还原其分数。</w:t>
            </w:r>
          </w:p>
        </w:tc>
      </w:tr>
      <w:tr w14:paraId="5B768C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86D94F">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项目退回</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5C4B9A97">
            <w:pPr>
              <w:pStyle w:val="101"/>
              <w:spacing w:line="320" w:lineRule="exact"/>
              <w:jc w:val="both"/>
              <w:rPr>
                <w:rFonts w:hint="default"/>
              </w:rPr>
            </w:pPr>
            <w:r>
              <w:rPr>
                <w:rFonts w:ascii="仿宋" w:hAnsi="仿宋" w:eastAsia="仿宋" w:cs="仿宋"/>
                <w:color w:val="000000"/>
                <w:sz w:val="21"/>
              </w:rPr>
              <w:t>对申报有误的项目信息进行退回操作，还原其工程额分数。</w:t>
            </w:r>
          </w:p>
        </w:tc>
      </w:tr>
      <w:tr w14:paraId="4B7CB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1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F78380">
            <w:pPr>
              <w:pStyle w:val="101"/>
              <w:spacing w:line="320" w:lineRule="exact"/>
              <w:jc w:val="center"/>
              <w:rPr>
                <w:rFonts w:hint="default"/>
              </w:rPr>
            </w:pPr>
            <w:r>
              <w:rPr>
                <w:rFonts w:ascii="仿宋" w:hAnsi="仿宋" w:eastAsia="仿宋" w:cs="仿宋"/>
                <w:b/>
                <w:color w:val="000000"/>
                <w:sz w:val="21"/>
              </w:rPr>
              <w:t>企业端</w:t>
            </w:r>
          </w:p>
        </w:tc>
      </w:tr>
      <w:tr w14:paraId="6C7288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834121">
            <w:pPr>
              <w:pStyle w:val="101"/>
              <w:spacing w:line="320" w:lineRule="exact"/>
              <w:jc w:val="center"/>
              <w:rPr>
                <w:rFonts w:hint="default"/>
              </w:rPr>
            </w:pPr>
            <w:r>
              <w:rPr>
                <w:rFonts w:ascii="仿宋" w:hAnsi="仿宋" w:eastAsia="仿宋" w:cs="仿宋"/>
                <w:color w:val="000000"/>
                <w:sz w:val="21"/>
              </w:rPr>
              <w:t>模块名称</w:t>
            </w:r>
          </w:p>
        </w:tc>
        <w:tc>
          <w:tcPr>
            <w:tcW w:w="639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B663E59">
            <w:pPr>
              <w:pStyle w:val="101"/>
              <w:spacing w:line="320" w:lineRule="exact"/>
              <w:jc w:val="center"/>
              <w:rPr>
                <w:rFonts w:hint="default"/>
              </w:rPr>
            </w:pPr>
            <w:r>
              <w:rPr>
                <w:rFonts w:ascii="仿宋" w:hAnsi="仿宋" w:eastAsia="仿宋" w:cs="仿宋"/>
                <w:color w:val="000000"/>
                <w:sz w:val="21"/>
              </w:rPr>
              <w:t>功能</w:t>
            </w:r>
          </w:p>
        </w:tc>
      </w:tr>
      <w:tr w14:paraId="5965ED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D8D753">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系统首页</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19C944ED">
            <w:pPr>
              <w:pStyle w:val="101"/>
              <w:spacing w:line="320" w:lineRule="exact"/>
              <w:jc w:val="both"/>
              <w:rPr>
                <w:rFonts w:hint="default"/>
              </w:rPr>
            </w:pPr>
            <w:r>
              <w:rPr>
                <w:rFonts w:ascii="仿宋" w:hAnsi="仿宋" w:eastAsia="仿宋" w:cs="仿宋"/>
                <w:color w:val="000000"/>
                <w:sz w:val="21"/>
              </w:rPr>
              <w:t>信用排名、通知公告、良好申报、异议以及修复的申报、同步展示企业优良、不良信用信息。</w:t>
            </w:r>
          </w:p>
        </w:tc>
      </w:tr>
      <w:tr w14:paraId="2E73D0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64D609A">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项目信息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517FC9F6">
            <w:pPr>
              <w:pStyle w:val="101"/>
              <w:spacing w:line="320" w:lineRule="exact"/>
              <w:jc w:val="both"/>
              <w:rPr>
                <w:rFonts w:hint="default"/>
              </w:rPr>
            </w:pPr>
            <w:r>
              <w:rPr>
                <w:rFonts w:ascii="仿宋" w:hAnsi="仿宋" w:eastAsia="仿宋" w:cs="仿宋"/>
                <w:color w:val="000000"/>
                <w:sz w:val="21"/>
              </w:rPr>
              <w:t>展示工改平台同步，以及企业自行申报的项目信息。</w:t>
            </w:r>
          </w:p>
        </w:tc>
      </w:tr>
      <w:tr w14:paraId="390C46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0A6C45">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企业信息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26E84E30">
            <w:pPr>
              <w:pStyle w:val="101"/>
              <w:spacing w:line="320" w:lineRule="exact"/>
              <w:jc w:val="both"/>
              <w:rPr>
                <w:rFonts w:hint="default"/>
              </w:rPr>
            </w:pPr>
            <w:r>
              <w:rPr>
                <w:rFonts w:ascii="仿宋" w:hAnsi="仿宋" w:eastAsia="仿宋" w:cs="仿宋"/>
                <w:color w:val="000000"/>
                <w:sz w:val="21"/>
              </w:rPr>
              <w:t>同步展示项目信息、申报的优良信息、以及被处罚的不良信息。</w:t>
            </w:r>
          </w:p>
        </w:tc>
      </w:tr>
      <w:tr w14:paraId="1B4DA2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0BBFDC">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工程额排名</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08CC2900">
            <w:pPr>
              <w:pStyle w:val="101"/>
              <w:spacing w:line="320" w:lineRule="exact"/>
              <w:jc w:val="both"/>
              <w:rPr>
                <w:rFonts w:hint="default"/>
              </w:rPr>
            </w:pPr>
            <w:r>
              <w:rPr>
                <w:rFonts w:ascii="仿宋" w:hAnsi="仿宋" w:eastAsia="仿宋" w:cs="仿宋"/>
                <w:color w:val="000000"/>
                <w:sz w:val="21"/>
              </w:rPr>
              <w:t>展示市企业工程额排名、可自行搜索。</w:t>
            </w:r>
          </w:p>
        </w:tc>
      </w:tr>
      <w:tr w14:paraId="2981C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6C0026">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良好信息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264E6B94">
            <w:pPr>
              <w:pStyle w:val="101"/>
              <w:spacing w:line="320" w:lineRule="exact"/>
              <w:jc w:val="both"/>
              <w:rPr>
                <w:rFonts w:hint="default"/>
              </w:rPr>
            </w:pPr>
            <w:r>
              <w:rPr>
                <w:rFonts w:ascii="仿宋" w:hAnsi="仿宋" w:eastAsia="仿宋" w:cs="仿宋"/>
                <w:color w:val="000000"/>
                <w:sz w:val="21"/>
              </w:rPr>
              <w:t>企业在当前模块主动申报项目良好信用信息</w:t>
            </w:r>
          </w:p>
        </w:tc>
      </w:tr>
      <w:tr w14:paraId="2ADBA1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FAF938">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不良信息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4437C70A">
            <w:pPr>
              <w:pStyle w:val="101"/>
              <w:spacing w:line="320" w:lineRule="exact"/>
              <w:jc w:val="both"/>
              <w:rPr>
                <w:rFonts w:hint="default"/>
              </w:rPr>
            </w:pPr>
            <w:r>
              <w:rPr>
                <w:rFonts w:ascii="仿宋" w:hAnsi="仿宋" w:eastAsia="仿宋" w:cs="仿宋"/>
                <w:color w:val="000000"/>
                <w:sz w:val="21"/>
              </w:rPr>
              <w:t>查看企业存在不良扣分信用信息</w:t>
            </w:r>
          </w:p>
        </w:tc>
      </w:tr>
      <w:tr w14:paraId="7CC471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CE8CCD">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异议信息</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7CFC793F">
            <w:pPr>
              <w:pStyle w:val="101"/>
              <w:spacing w:line="320" w:lineRule="exact"/>
              <w:jc w:val="both"/>
              <w:rPr>
                <w:rFonts w:hint="default"/>
              </w:rPr>
            </w:pPr>
            <w:r>
              <w:rPr>
                <w:rFonts w:ascii="仿宋" w:hAnsi="仿宋" w:eastAsia="仿宋" w:cs="仿宋"/>
                <w:color w:val="000000"/>
                <w:sz w:val="21"/>
              </w:rPr>
              <w:t>可申请异议不良良好信用信息</w:t>
            </w:r>
          </w:p>
        </w:tc>
      </w:tr>
      <w:tr w14:paraId="748A4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509DBA">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信用修复</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0ABFA0D8">
            <w:pPr>
              <w:pStyle w:val="101"/>
              <w:spacing w:line="320" w:lineRule="exact"/>
              <w:jc w:val="both"/>
              <w:rPr>
                <w:rFonts w:hint="default"/>
              </w:rPr>
            </w:pPr>
            <w:r>
              <w:rPr>
                <w:rFonts w:ascii="仿宋" w:hAnsi="仿宋" w:eastAsia="仿宋" w:cs="仿宋"/>
                <w:color w:val="000000"/>
                <w:sz w:val="21"/>
              </w:rPr>
              <w:t>可修复扣分的不良信用信息</w:t>
            </w:r>
          </w:p>
        </w:tc>
      </w:tr>
      <w:tr w14:paraId="4E444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1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09674C">
            <w:pPr>
              <w:pStyle w:val="101"/>
              <w:spacing w:line="320" w:lineRule="exact"/>
              <w:jc w:val="center"/>
              <w:rPr>
                <w:rFonts w:hint="default"/>
              </w:rPr>
            </w:pPr>
            <w:r>
              <w:rPr>
                <w:rFonts w:ascii="仿宋" w:hAnsi="仿宋" w:eastAsia="仿宋" w:cs="仿宋"/>
                <w:color w:val="000000"/>
                <w:sz w:val="21"/>
              </w:rPr>
              <w:t>监理信用评价子系统</w:t>
            </w:r>
            <w:r>
              <w:rPr>
                <w:rFonts w:ascii="仿宋" w:hAnsi="仿宋" w:eastAsia="仿宋" w:cs="仿宋"/>
                <w:color w:val="000000"/>
                <w:sz w:val="21"/>
                <w:lang w:eastAsia="zh-CN"/>
              </w:rPr>
              <w:t>-</w:t>
            </w:r>
            <w:r>
              <w:rPr>
                <w:rFonts w:ascii="仿宋" w:hAnsi="仿宋" w:eastAsia="仿宋" w:cs="仿宋"/>
                <w:color w:val="000000"/>
                <w:sz w:val="21"/>
              </w:rPr>
              <w:t>企业资质</w:t>
            </w:r>
          </w:p>
        </w:tc>
        <w:tc>
          <w:tcPr>
            <w:tcW w:w="6396" w:type="dxa"/>
            <w:tcBorders>
              <w:top w:val="nil"/>
              <w:left w:val="nil"/>
              <w:bottom w:val="single" w:color="000000" w:sz="4" w:space="0"/>
              <w:right w:val="single" w:color="000000" w:sz="4" w:space="0"/>
            </w:tcBorders>
            <w:tcMar>
              <w:top w:w="0" w:type="dxa"/>
              <w:left w:w="105" w:type="dxa"/>
              <w:bottom w:w="0" w:type="dxa"/>
              <w:right w:w="105" w:type="dxa"/>
            </w:tcMar>
          </w:tcPr>
          <w:p w14:paraId="3ECCB4E3">
            <w:pPr>
              <w:pStyle w:val="101"/>
              <w:spacing w:line="320" w:lineRule="exact"/>
              <w:jc w:val="both"/>
              <w:rPr>
                <w:rFonts w:hint="default"/>
              </w:rPr>
            </w:pPr>
            <w:r>
              <w:rPr>
                <w:rFonts w:ascii="仿宋" w:hAnsi="仿宋" w:eastAsia="仿宋" w:cs="仿宋"/>
                <w:color w:val="000000"/>
                <w:sz w:val="21"/>
              </w:rPr>
              <w:t>申报企业已存在的资质信息</w:t>
            </w:r>
          </w:p>
        </w:tc>
      </w:tr>
    </w:tbl>
    <w:p w14:paraId="153E9ABE">
      <w:pPr>
        <w:pStyle w:val="101"/>
        <w:ind w:firstLine="480"/>
        <w:jc w:val="both"/>
        <w:rPr>
          <w:rFonts w:hint="default" w:cs="Times New Roman"/>
          <w:sz w:val="24"/>
          <w:szCs w:val="24"/>
          <w:lang w:eastAsia="zh-CN"/>
        </w:rPr>
      </w:pPr>
    </w:p>
    <w:p w14:paraId="2B5A3FE4">
      <w:pPr>
        <w:pStyle w:val="101"/>
        <w:ind w:firstLine="480"/>
        <w:jc w:val="both"/>
        <w:rPr>
          <w:rFonts w:hint="default" w:cs="Times New Roman"/>
          <w:sz w:val="24"/>
          <w:szCs w:val="24"/>
          <w:lang w:eastAsia="zh-CN"/>
        </w:rPr>
      </w:pPr>
      <w:r>
        <w:rPr>
          <w:rFonts w:cs="Times New Roman"/>
          <w:sz w:val="24"/>
          <w:szCs w:val="24"/>
          <w:lang w:eastAsia="zh-CN"/>
        </w:rPr>
        <w:t>（3）建筑起重机械备案系统维护清单</w:t>
      </w:r>
    </w:p>
    <w:tbl>
      <w:tblPr>
        <w:tblStyle w:val="26"/>
        <w:tblW w:w="8836"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1"/>
        <w:gridCol w:w="1839"/>
        <w:gridCol w:w="1464"/>
        <w:gridCol w:w="5112"/>
      </w:tblGrid>
      <w:tr w14:paraId="1CA81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36"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051C965">
            <w:pPr>
              <w:pStyle w:val="101"/>
              <w:spacing w:line="320" w:lineRule="exact"/>
              <w:jc w:val="center"/>
              <w:rPr>
                <w:rFonts w:hint="default"/>
              </w:rPr>
            </w:pPr>
            <w:r>
              <w:rPr>
                <w:rFonts w:ascii="仿宋" w:hAnsi="仿宋" w:eastAsia="仿宋" w:cs="仿宋"/>
                <w:b/>
                <w:color w:val="000000"/>
                <w:sz w:val="21"/>
              </w:rPr>
              <w:t>企业端</w:t>
            </w:r>
          </w:p>
        </w:tc>
      </w:tr>
      <w:tr w14:paraId="632559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A2954E">
            <w:pPr>
              <w:pStyle w:val="101"/>
              <w:spacing w:line="320" w:lineRule="exact"/>
              <w:jc w:val="center"/>
              <w:rPr>
                <w:rFonts w:hint="default"/>
              </w:rPr>
            </w:pPr>
            <w:r>
              <w:rPr>
                <w:rFonts w:ascii="仿宋" w:hAnsi="仿宋" w:eastAsia="仿宋" w:cs="仿宋"/>
                <w:b/>
                <w:color w:val="000000"/>
                <w:sz w:val="21"/>
              </w:rPr>
              <w:t>序号</w:t>
            </w:r>
          </w:p>
        </w:tc>
        <w:tc>
          <w:tcPr>
            <w:tcW w:w="183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646C805">
            <w:pPr>
              <w:pStyle w:val="101"/>
              <w:spacing w:line="320" w:lineRule="exact"/>
              <w:jc w:val="center"/>
              <w:rPr>
                <w:rFonts w:hint="default"/>
              </w:rPr>
            </w:pPr>
            <w:r>
              <w:rPr>
                <w:rFonts w:ascii="仿宋" w:hAnsi="仿宋" w:eastAsia="仿宋" w:cs="仿宋"/>
                <w:b/>
                <w:color w:val="000000"/>
                <w:sz w:val="21"/>
              </w:rPr>
              <w:t>功能模块（一级）</w:t>
            </w:r>
          </w:p>
        </w:tc>
        <w:tc>
          <w:tcPr>
            <w:tcW w:w="146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4745D3A">
            <w:pPr>
              <w:pStyle w:val="101"/>
              <w:spacing w:line="320" w:lineRule="exact"/>
              <w:jc w:val="center"/>
              <w:rPr>
                <w:rFonts w:hint="default"/>
              </w:rPr>
            </w:pPr>
            <w:r>
              <w:rPr>
                <w:rFonts w:ascii="仿宋" w:hAnsi="仿宋" w:eastAsia="仿宋" w:cs="仿宋"/>
                <w:b/>
                <w:color w:val="000000"/>
                <w:sz w:val="21"/>
              </w:rPr>
              <w:t>功能模块（二级）</w:t>
            </w:r>
          </w:p>
        </w:tc>
        <w:tc>
          <w:tcPr>
            <w:tcW w:w="511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F296C1D">
            <w:pPr>
              <w:pStyle w:val="101"/>
              <w:spacing w:line="320" w:lineRule="exact"/>
              <w:jc w:val="center"/>
              <w:rPr>
                <w:rFonts w:hint="default"/>
              </w:rPr>
            </w:pPr>
            <w:r>
              <w:rPr>
                <w:rFonts w:ascii="仿宋" w:hAnsi="仿宋" w:eastAsia="仿宋" w:cs="仿宋"/>
                <w:b/>
                <w:color w:val="000000"/>
                <w:sz w:val="21"/>
              </w:rPr>
              <w:t>功能清单</w:t>
            </w:r>
          </w:p>
        </w:tc>
      </w:tr>
      <w:tr w14:paraId="7B1181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EECE3E">
            <w:pPr>
              <w:pStyle w:val="101"/>
              <w:spacing w:line="320" w:lineRule="exact"/>
              <w:jc w:val="center"/>
              <w:rPr>
                <w:rFonts w:hint="default"/>
              </w:rPr>
            </w:pPr>
            <w:r>
              <w:rPr>
                <w:rFonts w:ascii="仿宋" w:hAnsi="仿宋" w:eastAsia="仿宋" w:cs="仿宋"/>
                <w:color w:val="000000"/>
                <w:sz w:val="21"/>
              </w:rPr>
              <w:t>1</w:t>
            </w:r>
          </w:p>
        </w:tc>
        <w:tc>
          <w:tcPr>
            <w:tcW w:w="1839" w:type="dxa"/>
            <w:tcBorders>
              <w:top w:val="nil"/>
              <w:left w:val="nil"/>
              <w:bottom w:val="single" w:color="000000" w:sz="4" w:space="0"/>
              <w:right w:val="single" w:color="000000" w:sz="4" w:space="0"/>
            </w:tcBorders>
            <w:tcMar>
              <w:top w:w="0" w:type="dxa"/>
              <w:left w:w="105" w:type="dxa"/>
              <w:bottom w:w="0" w:type="dxa"/>
              <w:right w:w="105" w:type="dxa"/>
            </w:tcMar>
          </w:tcPr>
          <w:p w14:paraId="266AEC6D">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企业基本信息</w:t>
            </w:r>
            <w:r>
              <w:br w:type="textWrapping"/>
            </w:r>
            <w:r>
              <w:rPr>
                <w:rFonts w:ascii="仿宋" w:hAnsi="仿宋" w:eastAsia="仿宋" w:cs="仿宋"/>
                <w:color w:val="000000"/>
                <w:sz w:val="21"/>
              </w:rPr>
              <w:t>（暂不需要审核，企业信息只需保存系统中即可）</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6EFCEB82">
            <w:pPr>
              <w:pStyle w:val="101"/>
              <w:spacing w:line="320" w:lineRule="exact"/>
              <w:jc w:val="center"/>
              <w:rPr>
                <w:rFonts w:hint="default"/>
              </w:rPr>
            </w:pPr>
            <w:r>
              <w:rPr>
                <w:rFonts w:ascii="仿宋" w:hAnsi="仿宋" w:eastAsia="仿宋" w:cs="仿宋"/>
                <w:color w:val="000000"/>
                <w:sz w:val="21"/>
              </w:rPr>
              <w:t>企业基本信息（分安拆单位和产权单位）</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77E3D93A">
            <w:pPr>
              <w:pStyle w:val="101"/>
              <w:spacing w:line="320" w:lineRule="exact"/>
              <w:jc w:val="both"/>
              <w:rPr>
                <w:rFonts w:hint="default"/>
              </w:rPr>
            </w:pPr>
            <w:r>
              <w:rPr>
                <w:rFonts w:ascii="仿宋" w:hAnsi="仿宋" w:eastAsia="仿宋" w:cs="仿宋"/>
                <w:color w:val="000000"/>
                <w:sz w:val="21"/>
              </w:rPr>
              <w:t>1、企业名称、信用代码、行政区域、营业地址、法人信息、电话等基本信息（包含公示编号）</w:t>
            </w:r>
            <w:r>
              <w:br w:type="textWrapping"/>
            </w:r>
            <w:r>
              <w:rPr>
                <w:rFonts w:ascii="仿宋" w:hAnsi="仿宋" w:eastAsia="仿宋" w:cs="仿宋"/>
                <w:color w:val="000000"/>
                <w:sz w:val="21"/>
              </w:rPr>
              <w:t>2、上传附件清单（诚信承诺书（必传）、法人授权委托书、企业资质登记证书工程类（必传）、企业营业执照、法人身份证（必传）、安全生产许可证（必传））</w:t>
            </w:r>
            <w:r>
              <w:br w:type="textWrapping"/>
            </w:r>
            <w:r>
              <w:rPr>
                <w:rFonts w:ascii="仿宋" w:hAnsi="仿宋" w:eastAsia="仿宋" w:cs="仿宋"/>
                <w:color w:val="000000"/>
                <w:sz w:val="21"/>
              </w:rPr>
              <w:t>3、单位人员信息（企业管理人员、注册人员、安全生产管理人员、关键岗位人员、特种人员）</w:t>
            </w:r>
            <w:r>
              <w:br w:type="textWrapping"/>
            </w:r>
            <w:r>
              <w:rPr>
                <w:rFonts w:ascii="仿宋" w:hAnsi="仿宋" w:eastAsia="仿宋" w:cs="仿宋"/>
                <w:color w:val="000000"/>
                <w:sz w:val="21"/>
              </w:rPr>
              <w:t>4、单位资质信息</w:t>
            </w:r>
            <w:r>
              <w:br w:type="textWrapping"/>
            </w:r>
            <w:r>
              <w:rPr>
                <w:rFonts w:ascii="仿宋" w:hAnsi="仿宋" w:eastAsia="仿宋" w:cs="仿宋"/>
                <w:color w:val="000000"/>
                <w:sz w:val="21"/>
              </w:rPr>
              <w:t>5、单位业绩信息</w:t>
            </w:r>
            <w:r>
              <w:br w:type="textWrapping"/>
            </w:r>
            <w:r>
              <w:rPr>
                <w:rFonts w:ascii="仿宋" w:hAnsi="仿宋" w:eastAsia="仿宋" w:cs="仿宋"/>
                <w:color w:val="000000"/>
                <w:sz w:val="21"/>
              </w:rPr>
              <w:t>6、信息变更历史</w:t>
            </w:r>
          </w:p>
        </w:tc>
      </w:tr>
      <w:tr w14:paraId="46BA24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AC84EF">
            <w:pPr>
              <w:pStyle w:val="101"/>
              <w:spacing w:line="320" w:lineRule="exact"/>
              <w:jc w:val="center"/>
              <w:rPr>
                <w:rFonts w:hint="default"/>
              </w:rPr>
            </w:pPr>
            <w:r>
              <w:rPr>
                <w:rFonts w:ascii="仿宋" w:hAnsi="仿宋" w:eastAsia="仿宋" w:cs="仿宋"/>
                <w:color w:val="000000"/>
                <w:sz w:val="21"/>
              </w:rPr>
              <w:t>2</w:t>
            </w:r>
          </w:p>
        </w:tc>
        <w:tc>
          <w:tcPr>
            <w:tcW w:w="1839" w:type="dxa"/>
            <w:tcBorders>
              <w:top w:val="nil"/>
              <w:left w:val="nil"/>
              <w:bottom w:val="single" w:color="000000" w:sz="4" w:space="0"/>
              <w:right w:val="single" w:color="000000" w:sz="4" w:space="0"/>
            </w:tcBorders>
            <w:tcMar>
              <w:top w:w="0" w:type="dxa"/>
              <w:left w:w="105" w:type="dxa"/>
              <w:bottom w:w="0" w:type="dxa"/>
              <w:right w:w="105" w:type="dxa"/>
            </w:tcMar>
          </w:tcPr>
          <w:p w14:paraId="1A74B658">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建筑起重机械使用登记</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0A840891">
            <w:pPr>
              <w:pStyle w:val="101"/>
              <w:spacing w:line="320" w:lineRule="exact"/>
              <w:jc w:val="center"/>
              <w:rPr>
                <w:rFonts w:hint="default"/>
              </w:rPr>
            </w:pPr>
            <w:r>
              <w:rPr>
                <w:rFonts w:ascii="仿宋" w:hAnsi="仿宋" w:eastAsia="仿宋" w:cs="仿宋"/>
                <w:color w:val="000000"/>
                <w:sz w:val="21"/>
              </w:rPr>
              <w:t>起重机械登记信息（起重机械产权单位可办理）</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064957CE">
            <w:pPr>
              <w:pStyle w:val="101"/>
              <w:spacing w:line="320" w:lineRule="exact"/>
              <w:jc w:val="both"/>
              <w:rPr>
                <w:rFonts w:hint="default"/>
              </w:rPr>
            </w:pPr>
            <w:r>
              <w:rPr>
                <w:rFonts w:ascii="仿宋" w:hAnsi="仿宋" w:eastAsia="仿宋" w:cs="仿宋"/>
                <w:color w:val="000000"/>
                <w:sz w:val="21"/>
              </w:rPr>
              <w:t>1、产权备案编号检索</w:t>
            </w:r>
            <w:r>
              <w:br w:type="textWrapping"/>
            </w:r>
            <w:r>
              <w:rPr>
                <w:rFonts w:ascii="仿宋" w:hAnsi="仿宋" w:eastAsia="仿宋" w:cs="仿宋"/>
                <w:color w:val="000000"/>
                <w:sz w:val="21"/>
              </w:rPr>
              <w:t>2、生产厂家检索</w:t>
            </w:r>
            <w:r>
              <w:br w:type="textWrapping"/>
            </w:r>
            <w:r>
              <w:rPr>
                <w:rFonts w:ascii="仿宋" w:hAnsi="仿宋" w:eastAsia="仿宋" w:cs="仿宋"/>
                <w:color w:val="000000"/>
                <w:sz w:val="21"/>
              </w:rPr>
              <w:t>3、出场编号检索</w:t>
            </w:r>
            <w:r>
              <w:br w:type="textWrapping"/>
            </w:r>
            <w:r>
              <w:rPr>
                <w:rFonts w:ascii="仿宋" w:hAnsi="仿宋" w:eastAsia="仿宋" w:cs="仿宋"/>
                <w:color w:val="000000"/>
                <w:sz w:val="21"/>
              </w:rPr>
              <w:t>4、起重机械备案基本信息列表展示（查看详细设备信息）</w:t>
            </w:r>
            <w:r>
              <w:br w:type="textWrapping"/>
            </w:r>
            <w:r>
              <w:rPr>
                <w:rFonts w:ascii="仿宋" w:hAnsi="仿宋" w:eastAsia="仿宋" w:cs="仿宋"/>
                <w:color w:val="000000"/>
                <w:sz w:val="21"/>
              </w:rPr>
              <w:t>5、起重机械设备使用登记（填写设备基本信息，以及附件上传）</w:t>
            </w:r>
            <w:r>
              <w:br w:type="textWrapping"/>
            </w:r>
            <w:r>
              <w:rPr>
                <w:rFonts w:ascii="仿宋" w:hAnsi="仿宋" w:eastAsia="仿宋" w:cs="仿宋"/>
                <w:color w:val="000000"/>
                <w:sz w:val="21"/>
              </w:rPr>
              <w:t>6、建筑起重机械使用登记删除（删除从未提交审核的信息）</w:t>
            </w:r>
          </w:p>
        </w:tc>
      </w:tr>
      <w:tr w14:paraId="25947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2A1616">
            <w:pPr>
              <w:pStyle w:val="101"/>
              <w:spacing w:line="320" w:lineRule="exact"/>
              <w:jc w:val="center"/>
              <w:rPr>
                <w:rFonts w:hint="default"/>
                <w:lang w:eastAsia="zh-CN"/>
              </w:rPr>
            </w:pPr>
            <w:r>
              <w:rPr>
                <w:lang w:eastAsia="zh-CN"/>
              </w:rPr>
              <w:t>3</w:t>
            </w:r>
          </w:p>
        </w:tc>
        <w:tc>
          <w:tcPr>
            <w:tcW w:w="1839" w:type="dxa"/>
            <w:tcBorders>
              <w:top w:val="nil"/>
              <w:left w:val="nil"/>
              <w:bottom w:val="single" w:color="000000" w:sz="4" w:space="0"/>
              <w:right w:val="single" w:color="000000" w:sz="4" w:space="0"/>
            </w:tcBorders>
            <w:tcMar>
              <w:top w:w="0" w:type="dxa"/>
              <w:left w:w="105" w:type="dxa"/>
              <w:bottom w:w="0" w:type="dxa"/>
              <w:right w:w="105" w:type="dxa"/>
            </w:tcMar>
          </w:tcPr>
          <w:p w14:paraId="5F9E46D2">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建筑起重机械使用登记（注销）</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560FD7CE">
            <w:pPr>
              <w:pStyle w:val="101"/>
              <w:spacing w:line="320" w:lineRule="exact"/>
              <w:jc w:val="center"/>
              <w:rPr>
                <w:rFonts w:hint="default"/>
              </w:rPr>
            </w:pPr>
            <w:r>
              <w:rPr>
                <w:rFonts w:ascii="仿宋" w:hAnsi="仿宋" w:eastAsia="仿宋" w:cs="仿宋"/>
                <w:color w:val="000000"/>
                <w:sz w:val="21"/>
              </w:rPr>
              <w:t>建筑起重机械使用登记（注销）（起重机械产权单位可办理）</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38D6DACB">
            <w:pPr>
              <w:pStyle w:val="101"/>
              <w:spacing w:line="320" w:lineRule="exact"/>
              <w:jc w:val="both"/>
              <w:rPr>
                <w:rFonts w:hint="default"/>
              </w:rPr>
            </w:pPr>
            <w:r>
              <w:rPr>
                <w:rFonts w:ascii="仿宋" w:hAnsi="仿宋" w:eastAsia="仿宋" w:cs="仿宋"/>
                <w:color w:val="000000"/>
                <w:sz w:val="21"/>
              </w:rPr>
              <w:t>1、产权备案编号检索</w:t>
            </w:r>
            <w:r>
              <w:br w:type="textWrapping"/>
            </w:r>
            <w:r>
              <w:rPr>
                <w:rFonts w:ascii="仿宋" w:hAnsi="仿宋" w:eastAsia="仿宋" w:cs="仿宋"/>
                <w:color w:val="000000"/>
                <w:sz w:val="21"/>
              </w:rPr>
              <w:t>2、生产厂家检索</w:t>
            </w:r>
            <w:r>
              <w:br w:type="textWrapping"/>
            </w:r>
            <w:r>
              <w:rPr>
                <w:rFonts w:ascii="仿宋" w:hAnsi="仿宋" w:eastAsia="仿宋" w:cs="仿宋"/>
                <w:color w:val="000000"/>
                <w:sz w:val="21"/>
              </w:rPr>
              <w:t>3、出场编号检索</w:t>
            </w:r>
            <w:r>
              <w:br w:type="textWrapping"/>
            </w:r>
            <w:r>
              <w:rPr>
                <w:rFonts w:ascii="仿宋" w:hAnsi="仿宋" w:eastAsia="仿宋" w:cs="仿宋"/>
                <w:color w:val="000000"/>
                <w:sz w:val="21"/>
              </w:rPr>
              <w:t>4、起重机械（注销）基本信息列表展示（查看详细设备信息）</w:t>
            </w:r>
            <w:r>
              <w:br w:type="textWrapping"/>
            </w:r>
            <w:r>
              <w:rPr>
                <w:rFonts w:ascii="仿宋" w:hAnsi="仿宋" w:eastAsia="仿宋" w:cs="仿宋"/>
                <w:color w:val="000000"/>
                <w:sz w:val="21"/>
              </w:rPr>
              <w:t>5、起重机械设备使用登记（注销）（填写设备基本信息，以及附件上传）</w:t>
            </w:r>
            <w:r>
              <w:br w:type="textWrapping"/>
            </w:r>
            <w:r>
              <w:rPr>
                <w:rFonts w:ascii="仿宋" w:hAnsi="仿宋" w:eastAsia="仿宋" w:cs="仿宋"/>
                <w:color w:val="000000"/>
                <w:sz w:val="21"/>
              </w:rPr>
              <w:t>6、建筑起重机械使用登记（注销）删除（删除从未提交审核的信息）</w:t>
            </w:r>
          </w:p>
        </w:tc>
      </w:tr>
      <w:tr w14:paraId="465E92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FBC452">
            <w:pPr>
              <w:pStyle w:val="101"/>
              <w:spacing w:line="320" w:lineRule="exact"/>
              <w:jc w:val="center"/>
              <w:rPr>
                <w:rFonts w:hint="default"/>
                <w:lang w:eastAsia="zh-CN"/>
              </w:rPr>
            </w:pPr>
            <w:r>
              <w:rPr>
                <w:lang w:eastAsia="zh-CN"/>
              </w:rPr>
              <w:t>4</w:t>
            </w:r>
          </w:p>
        </w:tc>
        <w:tc>
          <w:tcPr>
            <w:tcW w:w="1839" w:type="dxa"/>
            <w:tcBorders>
              <w:top w:val="nil"/>
              <w:left w:val="nil"/>
              <w:bottom w:val="single" w:color="000000" w:sz="4" w:space="0"/>
              <w:right w:val="single" w:color="000000" w:sz="4" w:space="0"/>
            </w:tcBorders>
            <w:tcMar>
              <w:top w:w="0" w:type="dxa"/>
              <w:left w:w="105" w:type="dxa"/>
              <w:bottom w:w="0" w:type="dxa"/>
              <w:right w:w="105" w:type="dxa"/>
            </w:tcMar>
          </w:tcPr>
          <w:p w14:paraId="14A7493F">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通知公告</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70B1A5FD">
            <w:pPr>
              <w:pStyle w:val="101"/>
              <w:spacing w:line="320" w:lineRule="exact"/>
              <w:jc w:val="center"/>
              <w:rPr>
                <w:rFonts w:hint="default"/>
              </w:rPr>
            </w:pPr>
            <w:r>
              <w:rPr>
                <w:rFonts w:ascii="仿宋" w:hAnsi="仿宋" w:eastAsia="仿宋" w:cs="仿宋"/>
                <w:color w:val="000000"/>
                <w:sz w:val="21"/>
              </w:rPr>
              <w:t>通知公告信息展示</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6A39CC46">
            <w:pPr>
              <w:pStyle w:val="101"/>
              <w:spacing w:line="320" w:lineRule="exact"/>
              <w:jc w:val="both"/>
              <w:rPr>
                <w:rFonts w:hint="default"/>
              </w:rPr>
            </w:pPr>
            <w:r>
              <w:rPr>
                <w:rFonts w:ascii="仿宋" w:hAnsi="仿宋" w:eastAsia="仿宋" w:cs="仿宋"/>
                <w:color w:val="000000"/>
                <w:sz w:val="21"/>
              </w:rPr>
              <w:t>1、发布相关政策信息</w:t>
            </w:r>
            <w:r>
              <w:br w:type="textWrapping"/>
            </w:r>
            <w:r>
              <w:rPr>
                <w:rFonts w:ascii="仿宋" w:hAnsi="仿宋" w:eastAsia="仿宋" w:cs="仿宋"/>
                <w:color w:val="000000"/>
                <w:sz w:val="21"/>
              </w:rPr>
              <w:t>2、发布相关政策文件</w:t>
            </w:r>
          </w:p>
        </w:tc>
      </w:tr>
      <w:tr w14:paraId="15F162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35F92A">
            <w:pPr>
              <w:pStyle w:val="101"/>
              <w:spacing w:line="320" w:lineRule="exact"/>
              <w:jc w:val="center"/>
              <w:rPr>
                <w:rFonts w:hint="default"/>
                <w:lang w:eastAsia="zh-CN"/>
              </w:rPr>
            </w:pPr>
            <w:r>
              <w:rPr>
                <w:lang w:eastAsia="zh-CN"/>
              </w:rPr>
              <w:t>5</w:t>
            </w:r>
          </w:p>
        </w:tc>
        <w:tc>
          <w:tcPr>
            <w:tcW w:w="1839" w:type="dxa"/>
            <w:tcBorders>
              <w:top w:val="nil"/>
              <w:left w:val="nil"/>
              <w:bottom w:val="single" w:color="000000" w:sz="4" w:space="0"/>
              <w:right w:val="single" w:color="000000" w:sz="4" w:space="0"/>
            </w:tcBorders>
            <w:tcMar>
              <w:top w:w="0" w:type="dxa"/>
              <w:left w:w="105" w:type="dxa"/>
              <w:bottom w:w="0" w:type="dxa"/>
              <w:right w:w="105" w:type="dxa"/>
            </w:tcMar>
          </w:tcPr>
          <w:p w14:paraId="72A48CE8">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建筑起重机械安装拆卸告知备案（安装）</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2DBE9984">
            <w:pPr>
              <w:pStyle w:val="101"/>
              <w:spacing w:line="320" w:lineRule="exact"/>
              <w:jc w:val="center"/>
              <w:rPr>
                <w:rFonts w:hint="default"/>
              </w:rPr>
            </w:pPr>
            <w:r>
              <w:rPr>
                <w:rFonts w:ascii="仿宋" w:hAnsi="仿宋" w:eastAsia="仿宋" w:cs="仿宋"/>
                <w:color w:val="000000"/>
                <w:sz w:val="21"/>
              </w:rPr>
              <w:t>建筑起重机械安装信息（起重机械安拆单位可办理）</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041432E6">
            <w:pPr>
              <w:pStyle w:val="101"/>
              <w:spacing w:line="320" w:lineRule="exact"/>
              <w:jc w:val="both"/>
              <w:rPr>
                <w:rFonts w:hint="default"/>
              </w:rPr>
            </w:pPr>
            <w:r>
              <w:rPr>
                <w:rFonts w:ascii="仿宋" w:hAnsi="仿宋" w:eastAsia="仿宋" w:cs="仿宋"/>
                <w:color w:val="000000"/>
                <w:sz w:val="21"/>
              </w:rPr>
              <w:t>1、项目名称检索</w:t>
            </w:r>
            <w:r>
              <w:br w:type="textWrapping"/>
            </w:r>
            <w:r>
              <w:rPr>
                <w:rFonts w:ascii="仿宋" w:hAnsi="仿宋" w:eastAsia="仿宋" w:cs="仿宋"/>
                <w:color w:val="000000"/>
                <w:sz w:val="21"/>
              </w:rPr>
              <w:t>2、备案编号检索</w:t>
            </w:r>
            <w:r>
              <w:br w:type="textWrapping"/>
            </w:r>
            <w:r>
              <w:rPr>
                <w:rFonts w:ascii="仿宋" w:hAnsi="仿宋" w:eastAsia="仿宋" w:cs="仿宋"/>
                <w:color w:val="000000"/>
                <w:sz w:val="21"/>
              </w:rPr>
              <w:t>3、安装编号检索</w:t>
            </w:r>
            <w:r>
              <w:br w:type="textWrapping"/>
            </w:r>
            <w:r>
              <w:rPr>
                <w:rFonts w:ascii="仿宋" w:hAnsi="仿宋" w:eastAsia="仿宋" w:cs="仿宋"/>
                <w:color w:val="000000"/>
                <w:sz w:val="21"/>
              </w:rPr>
              <w:t>4、出</w:t>
            </w:r>
            <w:r>
              <w:rPr>
                <w:rFonts w:ascii="仿宋" w:hAnsi="仿宋" w:eastAsia="仿宋" w:cs="仿宋"/>
                <w:color w:val="000000"/>
                <w:sz w:val="21"/>
                <w:lang w:eastAsia="zh-CN"/>
              </w:rPr>
              <w:t>厂</w:t>
            </w:r>
            <w:r>
              <w:rPr>
                <w:rFonts w:ascii="仿宋" w:hAnsi="仿宋" w:eastAsia="仿宋" w:cs="仿宋"/>
                <w:color w:val="000000"/>
                <w:sz w:val="21"/>
              </w:rPr>
              <w:t>编号检索</w:t>
            </w:r>
            <w:r>
              <w:br w:type="textWrapping"/>
            </w:r>
            <w:r>
              <w:rPr>
                <w:rFonts w:ascii="仿宋" w:hAnsi="仿宋" w:eastAsia="仿宋" w:cs="仿宋"/>
                <w:color w:val="000000"/>
                <w:sz w:val="21"/>
              </w:rPr>
              <w:t>5、安装备案基本信息展示列表（看详细安装信息）</w:t>
            </w:r>
            <w:r>
              <w:br w:type="textWrapping"/>
            </w:r>
            <w:r>
              <w:rPr>
                <w:rFonts w:ascii="仿宋" w:hAnsi="仿宋" w:eastAsia="仿宋" w:cs="仿宋"/>
                <w:color w:val="000000"/>
                <w:sz w:val="21"/>
              </w:rPr>
              <w:t>6、起重机械安装备案（填写安装备案基本信息，上传附件）</w:t>
            </w:r>
            <w:r>
              <w:br w:type="textWrapping"/>
            </w:r>
            <w:r>
              <w:rPr>
                <w:rFonts w:ascii="仿宋" w:hAnsi="仿宋" w:eastAsia="仿宋" w:cs="仿宋"/>
                <w:color w:val="000000"/>
                <w:sz w:val="21"/>
              </w:rPr>
              <w:t>7、建筑机械安装备案 删除（删除从未提交的审核信息）</w:t>
            </w:r>
          </w:p>
        </w:tc>
      </w:tr>
      <w:tr w14:paraId="39914A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4EEEF2">
            <w:pPr>
              <w:pStyle w:val="101"/>
              <w:spacing w:line="320" w:lineRule="exact"/>
              <w:jc w:val="center"/>
              <w:rPr>
                <w:rFonts w:hint="default"/>
                <w:lang w:eastAsia="zh-CN"/>
              </w:rPr>
            </w:pPr>
            <w:r>
              <w:rPr>
                <w:lang w:eastAsia="zh-CN"/>
              </w:rPr>
              <w:t>6</w:t>
            </w:r>
          </w:p>
        </w:tc>
        <w:tc>
          <w:tcPr>
            <w:tcW w:w="1839" w:type="dxa"/>
            <w:tcBorders>
              <w:top w:val="nil"/>
              <w:left w:val="nil"/>
              <w:bottom w:val="single" w:color="000000" w:sz="4" w:space="0"/>
              <w:right w:val="single" w:color="000000" w:sz="4" w:space="0"/>
            </w:tcBorders>
            <w:tcMar>
              <w:top w:w="0" w:type="dxa"/>
              <w:left w:w="105" w:type="dxa"/>
              <w:bottom w:w="0" w:type="dxa"/>
              <w:right w:w="105" w:type="dxa"/>
            </w:tcMar>
          </w:tcPr>
          <w:p w14:paraId="37319B06">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建筑起重机械安装拆卸告知备案（使用）</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0514F83F">
            <w:pPr>
              <w:pStyle w:val="101"/>
              <w:spacing w:line="320" w:lineRule="exact"/>
              <w:jc w:val="center"/>
              <w:rPr>
                <w:rFonts w:hint="default"/>
              </w:rPr>
            </w:pPr>
            <w:r>
              <w:rPr>
                <w:rFonts w:ascii="仿宋" w:hAnsi="仿宋" w:eastAsia="仿宋" w:cs="仿宋"/>
                <w:color w:val="000000"/>
                <w:sz w:val="21"/>
              </w:rPr>
              <w:t>建筑起重机械使用信息（起重机械安拆单位可办理）</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10842BCE">
            <w:pPr>
              <w:pStyle w:val="101"/>
              <w:spacing w:line="320" w:lineRule="exact"/>
              <w:jc w:val="both"/>
              <w:rPr>
                <w:rFonts w:hint="default"/>
              </w:rPr>
            </w:pPr>
            <w:r>
              <w:rPr>
                <w:rFonts w:ascii="仿宋" w:hAnsi="仿宋" w:eastAsia="仿宋" w:cs="仿宋"/>
                <w:color w:val="000000"/>
                <w:sz w:val="21"/>
              </w:rPr>
              <w:t>1、项目名称检索</w:t>
            </w:r>
            <w:r>
              <w:br w:type="textWrapping"/>
            </w:r>
            <w:r>
              <w:rPr>
                <w:rFonts w:ascii="仿宋" w:hAnsi="仿宋" w:eastAsia="仿宋" w:cs="仿宋"/>
                <w:color w:val="000000"/>
                <w:sz w:val="21"/>
              </w:rPr>
              <w:t>2、备案编号检索</w:t>
            </w:r>
            <w:r>
              <w:br w:type="textWrapping"/>
            </w:r>
            <w:r>
              <w:rPr>
                <w:rFonts w:ascii="仿宋" w:hAnsi="仿宋" w:eastAsia="仿宋" w:cs="仿宋"/>
                <w:color w:val="000000"/>
                <w:sz w:val="21"/>
              </w:rPr>
              <w:t>3、安装编号检索</w:t>
            </w:r>
            <w:r>
              <w:br w:type="textWrapping"/>
            </w:r>
            <w:r>
              <w:rPr>
                <w:rFonts w:ascii="仿宋" w:hAnsi="仿宋" w:eastAsia="仿宋" w:cs="仿宋"/>
                <w:color w:val="000000"/>
                <w:sz w:val="21"/>
              </w:rPr>
              <w:t>4、出</w:t>
            </w:r>
            <w:r>
              <w:rPr>
                <w:rFonts w:ascii="仿宋" w:hAnsi="仿宋" w:eastAsia="仿宋" w:cs="仿宋"/>
                <w:color w:val="000000"/>
                <w:sz w:val="21"/>
                <w:lang w:eastAsia="zh-CN"/>
              </w:rPr>
              <w:t>厂</w:t>
            </w:r>
            <w:r>
              <w:rPr>
                <w:rFonts w:ascii="仿宋" w:hAnsi="仿宋" w:eastAsia="仿宋" w:cs="仿宋"/>
                <w:color w:val="000000"/>
                <w:sz w:val="21"/>
              </w:rPr>
              <w:t>编号检索</w:t>
            </w:r>
            <w:r>
              <w:br w:type="textWrapping"/>
            </w:r>
            <w:r>
              <w:rPr>
                <w:rFonts w:ascii="仿宋" w:hAnsi="仿宋" w:eastAsia="仿宋" w:cs="仿宋"/>
                <w:color w:val="000000"/>
                <w:sz w:val="21"/>
              </w:rPr>
              <w:t>5、使用备案基本信息展示列表（看详细安装信息）</w:t>
            </w:r>
            <w:r>
              <w:br w:type="textWrapping"/>
            </w:r>
            <w:r>
              <w:rPr>
                <w:rFonts w:ascii="仿宋" w:hAnsi="仿宋" w:eastAsia="仿宋" w:cs="仿宋"/>
                <w:color w:val="000000"/>
                <w:sz w:val="21"/>
              </w:rPr>
              <w:t>6、起重机械使用备案（填写安装编号关联安装信息，填写使用备案基本信息，上传附件）</w:t>
            </w:r>
            <w:r>
              <w:br w:type="textWrapping"/>
            </w:r>
            <w:r>
              <w:rPr>
                <w:rFonts w:ascii="仿宋" w:hAnsi="仿宋" w:eastAsia="仿宋" w:cs="仿宋"/>
                <w:color w:val="000000"/>
                <w:sz w:val="21"/>
              </w:rPr>
              <w:t>7、建筑机械使用备案 删除（删除从未提交的审核信息）</w:t>
            </w:r>
          </w:p>
        </w:tc>
      </w:tr>
      <w:tr w14:paraId="712F9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5D2310F">
            <w:pPr>
              <w:pStyle w:val="101"/>
              <w:spacing w:line="320" w:lineRule="exact"/>
              <w:jc w:val="center"/>
              <w:rPr>
                <w:rFonts w:hint="default"/>
                <w:lang w:eastAsia="zh-CN"/>
              </w:rPr>
            </w:pPr>
            <w:r>
              <w:rPr>
                <w:lang w:eastAsia="zh-CN"/>
              </w:rPr>
              <w:t>7</w:t>
            </w:r>
          </w:p>
        </w:tc>
        <w:tc>
          <w:tcPr>
            <w:tcW w:w="1839" w:type="dxa"/>
            <w:tcBorders>
              <w:top w:val="nil"/>
              <w:left w:val="nil"/>
              <w:bottom w:val="single" w:color="000000" w:sz="4" w:space="0"/>
              <w:right w:val="single" w:color="000000" w:sz="4" w:space="0"/>
            </w:tcBorders>
            <w:tcMar>
              <w:top w:w="0" w:type="dxa"/>
              <w:left w:w="105" w:type="dxa"/>
              <w:bottom w:w="0" w:type="dxa"/>
              <w:right w:w="105" w:type="dxa"/>
            </w:tcMar>
          </w:tcPr>
          <w:p w14:paraId="3BB0D49B">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建筑起重机械安装拆卸告知备案（使用）</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09D91514">
            <w:pPr>
              <w:pStyle w:val="101"/>
              <w:spacing w:line="320" w:lineRule="exact"/>
              <w:jc w:val="center"/>
              <w:rPr>
                <w:rFonts w:hint="default"/>
              </w:rPr>
            </w:pPr>
            <w:r>
              <w:rPr>
                <w:rFonts w:ascii="仿宋" w:hAnsi="仿宋" w:eastAsia="仿宋" w:cs="仿宋"/>
                <w:color w:val="000000"/>
                <w:sz w:val="21"/>
              </w:rPr>
              <w:t>建筑起重机械拆卸信息（起重机械安拆单位可办理）</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680A60C7">
            <w:pPr>
              <w:pStyle w:val="101"/>
              <w:spacing w:line="320" w:lineRule="exact"/>
              <w:jc w:val="both"/>
              <w:rPr>
                <w:rFonts w:hint="default"/>
              </w:rPr>
            </w:pPr>
            <w:r>
              <w:rPr>
                <w:rFonts w:ascii="仿宋" w:hAnsi="仿宋" w:eastAsia="仿宋" w:cs="仿宋"/>
                <w:color w:val="000000"/>
                <w:sz w:val="21"/>
              </w:rPr>
              <w:t>1、项目名称检索</w:t>
            </w:r>
            <w:r>
              <w:br w:type="textWrapping"/>
            </w:r>
            <w:r>
              <w:rPr>
                <w:rFonts w:ascii="仿宋" w:hAnsi="仿宋" w:eastAsia="仿宋" w:cs="仿宋"/>
                <w:color w:val="000000"/>
                <w:sz w:val="21"/>
              </w:rPr>
              <w:t>2、备案编号检索</w:t>
            </w:r>
            <w:r>
              <w:br w:type="textWrapping"/>
            </w:r>
            <w:r>
              <w:rPr>
                <w:rFonts w:ascii="仿宋" w:hAnsi="仿宋" w:eastAsia="仿宋" w:cs="仿宋"/>
                <w:color w:val="000000"/>
                <w:sz w:val="21"/>
              </w:rPr>
              <w:t>3、安装编号检索</w:t>
            </w:r>
            <w:r>
              <w:br w:type="textWrapping"/>
            </w:r>
            <w:r>
              <w:rPr>
                <w:rFonts w:ascii="仿宋" w:hAnsi="仿宋" w:eastAsia="仿宋" w:cs="仿宋"/>
                <w:color w:val="000000"/>
                <w:sz w:val="21"/>
              </w:rPr>
              <w:t>4、出</w:t>
            </w:r>
            <w:r>
              <w:rPr>
                <w:rFonts w:ascii="仿宋" w:hAnsi="仿宋" w:eastAsia="仿宋" w:cs="仿宋"/>
                <w:color w:val="000000"/>
                <w:sz w:val="21"/>
                <w:lang w:eastAsia="zh-CN"/>
              </w:rPr>
              <w:t>厂</w:t>
            </w:r>
            <w:r>
              <w:rPr>
                <w:rFonts w:ascii="仿宋" w:hAnsi="仿宋" w:eastAsia="仿宋" w:cs="仿宋"/>
                <w:color w:val="000000"/>
                <w:sz w:val="21"/>
              </w:rPr>
              <w:t>编号检索</w:t>
            </w:r>
            <w:r>
              <w:br w:type="textWrapping"/>
            </w:r>
            <w:r>
              <w:rPr>
                <w:rFonts w:ascii="仿宋" w:hAnsi="仿宋" w:eastAsia="仿宋" w:cs="仿宋"/>
                <w:color w:val="000000"/>
                <w:sz w:val="21"/>
              </w:rPr>
              <w:t>5、拆卸备案基本信息展示列表（看详细安装信息）</w:t>
            </w:r>
            <w:r>
              <w:br w:type="textWrapping"/>
            </w:r>
            <w:r>
              <w:rPr>
                <w:rFonts w:ascii="仿宋" w:hAnsi="仿宋" w:eastAsia="仿宋" w:cs="仿宋"/>
                <w:color w:val="000000"/>
                <w:sz w:val="21"/>
              </w:rPr>
              <w:t>6、起重机械拆卸备案（填写使用编号关联安装、使用信息，填写拆卸备案基本信息，上传附件）</w:t>
            </w:r>
            <w:r>
              <w:br w:type="textWrapping"/>
            </w:r>
            <w:r>
              <w:rPr>
                <w:rFonts w:ascii="仿宋" w:hAnsi="仿宋" w:eastAsia="仿宋" w:cs="仿宋"/>
                <w:color w:val="000000"/>
                <w:sz w:val="21"/>
              </w:rPr>
              <w:t>7、建筑机械拆卸备案 删除（删除从未提交的审核信息）</w:t>
            </w:r>
          </w:p>
        </w:tc>
      </w:tr>
      <w:tr w14:paraId="1B45D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3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618C07">
            <w:pPr>
              <w:pStyle w:val="101"/>
              <w:spacing w:line="320" w:lineRule="exact"/>
              <w:jc w:val="center"/>
              <w:rPr>
                <w:rFonts w:hint="default"/>
              </w:rPr>
            </w:pPr>
            <w:r>
              <w:rPr>
                <w:rFonts w:ascii="仿宋" w:hAnsi="仿宋" w:eastAsia="仿宋" w:cs="仿宋"/>
                <w:b/>
                <w:color w:val="000000"/>
                <w:sz w:val="21"/>
              </w:rPr>
              <w:t>管理端</w:t>
            </w:r>
          </w:p>
        </w:tc>
      </w:tr>
      <w:tr w14:paraId="09CA32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08960E4">
            <w:pPr>
              <w:pStyle w:val="101"/>
              <w:spacing w:line="320" w:lineRule="exact"/>
              <w:jc w:val="center"/>
              <w:rPr>
                <w:rFonts w:hint="default"/>
              </w:rPr>
            </w:pPr>
            <w:r>
              <w:rPr>
                <w:rFonts w:ascii="仿宋" w:hAnsi="仿宋" w:eastAsia="仿宋" w:cs="仿宋"/>
                <w:color w:val="000000"/>
                <w:sz w:val="21"/>
              </w:rPr>
              <w:t>1</w:t>
            </w:r>
          </w:p>
        </w:tc>
        <w:tc>
          <w:tcPr>
            <w:tcW w:w="183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156E785">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平台首页</w:t>
            </w:r>
          </w:p>
        </w:tc>
        <w:tc>
          <w:tcPr>
            <w:tcW w:w="146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DFC80E1">
            <w:pPr>
              <w:pStyle w:val="101"/>
              <w:spacing w:line="320" w:lineRule="exact"/>
              <w:jc w:val="center"/>
              <w:rPr>
                <w:rFonts w:hint="default"/>
              </w:rPr>
            </w:pPr>
            <w:r>
              <w:rPr>
                <w:rFonts w:ascii="仿宋" w:hAnsi="仿宋" w:eastAsia="仿宋" w:cs="仿宋"/>
                <w:color w:val="000000"/>
                <w:sz w:val="21"/>
              </w:rPr>
              <w:t>代办信息、通知公告</w:t>
            </w:r>
          </w:p>
        </w:tc>
        <w:tc>
          <w:tcPr>
            <w:tcW w:w="511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AE90DFA">
            <w:pPr>
              <w:pStyle w:val="101"/>
              <w:spacing w:line="320" w:lineRule="exact"/>
              <w:jc w:val="both"/>
              <w:rPr>
                <w:rFonts w:hint="default"/>
              </w:rPr>
            </w:pPr>
            <w:r>
              <w:rPr>
                <w:rFonts w:ascii="仿宋" w:hAnsi="仿宋" w:eastAsia="仿宋" w:cs="仿宋"/>
                <w:color w:val="000000"/>
                <w:sz w:val="21"/>
              </w:rPr>
              <w:t>代办信息：</w:t>
            </w:r>
            <w:r>
              <w:br w:type="textWrapping"/>
            </w:r>
            <w:r>
              <w:rPr>
                <w:rFonts w:ascii="仿宋" w:hAnsi="仿宋" w:eastAsia="仿宋" w:cs="仿宋"/>
                <w:color w:val="000000"/>
                <w:sz w:val="21"/>
              </w:rPr>
              <w:t>1、展示企业提交的使用登记、安装、使用、拆卸、注销信息数据</w:t>
            </w:r>
            <w:r>
              <w:br w:type="textWrapping"/>
            </w:r>
            <w:r>
              <w:rPr>
                <w:rFonts w:ascii="仿宋" w:hAnsi="仿宋" w:eastAsia="仿宋" w:cs="仿宋"/>
                <w:color w:val="000000"/>
                <w:sz w:val="21"/>
              </w:rPr>
              <w:t>2、展示已经办理的使用登记、安装、使用、拆卸、注销信息数据</w:t>
            </w:r>
            <w:r>
              <w:br w:type="textWrapping"/>
            </w:r>
            <w:r>
              <w:rPr>
                <w:rFonts w:ascii="仿宋" w:hAnsi="仿宋" w:eastAsia="仿宋" w:cs="仿宋"/>
                <w:color w:val="000000"/>
                <w:sz w:val="21"/>
              </w:rPr>
              <w:t>通知公告：</w:t>
            </w:r>
            <w:r>
              <w:br w:type="textWrapping"/>
            </w:r>
            <w:r>
              <w:rPr>
                <w:rFonts w:ascii="仿宋" w:hAnsi="仿宋" w:eastAsia="仿宋" w:cs="仿宋"/>
                <w:color w:val="000000"/>
                <w:sz w:val="21"/>
              </w:rPr>
              <w:t>1、纯文字、图片信息</w:t>
            </w:r>
            <w:r>
              <w:br w:type="textWrapping"/>
            </w:r>
            <w:r>
              <w:rPr>
                <w:rFonts w:ascii="仿宋" w:hAnsi="仿宋" w:eastAsia="仿宋" w:cs="仿宋"/>
                <w:color w:val="000000"/>
                <w:sz w:val="21"/>
              </w:rPr>
              <w:t>2、附件信息</w:t>
            </w:r>
          </w:p>
        </w:tc>
      </w:tr>
      <w:tr w14:paraId="061FA7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05C37A">
            <w:pPr>
              <w:pStyle w:val="101"/>
              <w:spacing w:line="320" w:lineRule="exact"/>
              <w:jc w:val="center"/>
              <w:rPr>
                <w:rFonts w:hint="default"/>
              </w:rPr>
            </w:pPr>
            <w:r>
              <w:rPr>
                <w:rFonts w:ascii="仿宋" w:hAnsi="仿宋" w:eastAsia="仿宋" w:cs="仿宋"/>
                <w:color w:val="000000"/>
                <w:sz w:val="21"/>
              </w:rPr>
              <w:t>2</w:t>
            </w:r>
          </w:p>
        </w:tc>
        <w:tc>
          <w:tcPr>
            <w:tcW w:w="1839"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128E980">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建筑起重机械使用登记</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2992A699">
            <w:pPr>
              <w:pStyle w:val="101"/>
              <w:spacing w:line="320" w:lineRule="exact"/>
              <w:jc w:val="center"/>
              <w:rPr>
                <w:rFonts w:hint="default"/>
              </w:rPr>
            </w:pPr>
            <w:r>
              <w:rPr>
                <w:rFonts w:ascii="仿宋" w:hAnsi="仿宋" w:eastAsia="仿宋" w:cs="仿宋"/>
                <w:color w:val="000000"/>
                <w:sz w:val="21"/>
              </w:rPr>
              <w:t>建筑起重机械使用登记（变更）(区县查看本区县，市级查看全部)</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7A0DFFEA">
            <w:pPr>
              <w:pStyle w:val="101"/>
              <w:spacing w:line="320" w:lineRule="exact"/>
              <w:jc w:val="both"/>
              <w:rPr>
                <w:rFonts w:hint="default"/>
              </w:rPr>
            </w:pPr>
            <w:r>
              <w:rPr>
                <w:rFonts w:ascii="仿宋" w:hAnsi="仿宋" w:eastAsia="仿宋" w:cs="仿宋"/>
                <w:color w:val="000000"/>
                <w:sz w:val="21"/>
              </w:rPr>
              <w:t>1、建筑起重机械变更历史信息列表（此处展示变更历史数据，最新变更流程调整为先注销，后备案）</w:t>
            </w:r>
            <w:r>
              <w:br w:type="textWrapping"/>
            </w:r>
            <w:r>
              <w:rPr>
                <w:rFonts w:ascii="仿宋" w:hAnsi="仿宋" w:eastAsia="仿宋" w:cs="仿宋"/>
                <w:color w:val="000000"/>
                <w:sz w:val="21"/>
              </w:rPr>
              <w:t>2、详细查看页面，含设备备案信息、变更单位信息、设备附件信息（此处展示变更历史数据，最新变更流程调整为先注销，后备案）</w:t>
            </w:r>
          </w:p>
        </w:tc>
      </w:tr>
      <w:tr w14:paraId="44144A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07576421">
            <w:pPr>
              <w:spacing w:line="320" w:lineRule="exact"/>
            </w:pPr>
          </w:p>
        </w:tc>
        <w:tc>
          <w:tcPr>
            <w:tcW w:w="1839" w:type="dxa"/>
            <w:vMerge w:val="continue"/>
            <w:tcBorders>
              <w:top w:val="nil"/>
              <w:left w:val="nil"/>
              <w:bottom w:val="single" w:color="000000" w:sz="4" w:space="0"/>
              <w:right w:val="single" w:color="000000" w:sz="4" w:space="0"/>
            </w:tcBorders>
          </w:tcPr>
          <w:p w14:paraId="3EA8FC63">
            <w:pPr>
              <w:spacing w:line="320" w:lineRule="exact"/>
            </w:pP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73E736DB">
            <w:pPr>
              <w:pStyle w:val="101"/>
              <w:spacing w:line="320" w:lineRule="exact"/>
              <w:jc w:val="center"/>
              <w:rPr>
                <w:rFonts w:hint="default"/>
              </w:rPr>
            </w:pPr>
            <w:r>
              <w:rPr>
                <w:rFonts w:ascii="仿宋" w:hAnsi="仿宋" w:eastAsia="仿宋" w:cs="仿宋"/>
                <w:color w:val="000000"/>
                <w:sz w:val="21"/>
              </w:rPr>
              <w:t>建筑起重机械使用登记（注销）(区县查看本区县，市级查看全部)</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0830680C">
            <w:pPr>
              <w:pStyle w:val="101"/>
              <w:spacing w:line="320" w:lineRule="exact"/>
              <w:jc w:val="both"/>
              <w:rPr>
                <w:rFonts w:hint="default"/>
              </w:rPr>
            </w:pPr>
            <w:r>
              <w:rPr>
                <w:rFonts w:ascii="仿宋" w:hAnsi="仿宋" w:eastAsia="仿宋" w:cs="仿宋"/>
                <w:color w:val="000000"/>
                <w:sz w:val="21"/>
              </w:rPr>
              <w:t>1、产权备案注销列表信息</w:t>
            </w:r>
            <w:r>
              <w:br w:type="textWrapping"/>
            </w:r>
            <w:r>
              <w:rPr>
                <w:rFonts w:ascii="仿宋" w:hAnsi="仿宋" w:eastAsia="仿宋" w:cs="仿宋"/>
                <w:color w:val="000000"/>
                <w:sz w:val="21"/>
              </w:rPr>
              <w:t>2、详细注销设备信息页面，含备案信息及附件。</w:t>
            </w:r>
          </w:p>
        </w:tc>
      </w:tr>
      <w:tr w14:paraId="425212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5987A93D">
            <w:pPr>
              <w:spacing w:line="320" w:lineRule="exact"/>
            </w:pPr>
          </w:p>
        </w:tc>
        <w:tc>
          <w:tcPr>
            <w:tcW w:w="1839" w:type="dxa"/>
            <w:vMerge w:val="continue"/>
            <w:tcBorders>
              <w:top w:val="nil"/>
              <w:left w:val="nil"/>
              <w:bottom w:val="single" w:color="000000" w:sz="4" w:space="0"/>
              <w:right w:val="single" w:color="000000" w:sz="4" w:space="0"/>
            </w:tcBorders>
          </w:tcPr>
          <w:p w14:paraId="44747D86">
            <w:pPr>
              <w:spacing w:line="320" w:lineRule="exact"/>
            </w:pP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44005AE4">
            <w:pPr>
              <w:pStyle w:val="101"/>
              <w:spacing w:line="320" w:lineRule="exact"/>
              <w:jc w:val="center"/>
              <w:rPr>
                <w:rFonts w:hint="default"/>
              </w:rPr>
            </w:pPr>
            <w:r>
              <w:rPr>
                <w:rFonts w:ascii="仿宋" w:hAnsi="仿宋" w:eastAsia="仿宋" w:cs="仿宋"/>
                <w:color w:val="000000"/>
                <w:sz w:val="21"/>
              </w:rPr>
              <w:t>建筑起重机械使用登记(区县查看本区县，市级查看全部)</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5CABB52B">
            <w:pPr>
              <w:pStyle w:val="101"/>
              <w:spacing w:line="320" w:lineRule="exact"/>
              <w:jc w:val="both"/>
              <w:rPr>
                <w:rFonts w:hint="default"/>
              </w:rPr>
            </w:pPr>
            <w:r>
              <w:rPr>
                <w:rFonts w:ascii="仿宋" w:hAnsi="仿宋" w:eastAsia="仿宋" w:cs="仿宋"/>
                <w:color w:val="000000"/>
                <w:sz w:val="21"/>
              </w:rPr>
              <w:t>1、建筑起重机械备案信息列表</w:t>
            </w:r>
            <w:r>
              <w:br w:type="textWrapping"/>
            </w:r>
            <w:r>
              <w:rPr>
                <w:rFonts w:ascii="仿宋" w:hAnsi="仿宋" w:eastAsia="仿宋" w:cs="仿宋"/>
                <w:color w:val="000000"/>
                <w:sz w:val="21"/>
              </w:rPr>
              <w:t>2、建筑起重机械备案信息详细展示页，含设备基本信息，备案附件。</w:t>
            </w:r>
          </w:p>
        </w:tc>
      </w:tr>
      <w:tr w14:paraId="4A3AC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6197F252">
            <w:pPr>
              <w:spacing w:line="320" w:lineRule="exact"/>
            </w:pPr>
          </w:p>
        </w:tc>
        <w:tc>
          <w:tcPr>
            <w:tcW w:w="1839" w:type="dxa"/>
            <w:vMerge w:val="continue"/>
            <w:tcBorders>
              <w:top w:val="nil"/>
              <w:left w:val="nil"/>
              <w:bottom w:val="single" w:color="000000" w:sz="4" w:space="0"/>
              <w:right w:val="single" w:color="000000" w:sz="4" w:space="0"/>
            </w:tcBorders>
          </w:tcPr>
          <w:p w14:paraId="1D3820E3">
            <w:pPr>
              <w:spacing w:line="320" w:lineRule="exact"/>
            </w:pP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0D5269ED">
            <w:pPr>
              <w:pStyle w:val="101"/>
              <w:spacing w:line="320" w:lineRule="exact"/>
              <w:jc w:val="center"/>
              <w:rPr>
                <w:rFonts w:hint="default"/>
              </w:rPr>
            </w:pPr>
            <w:r>
              <w:rPr>
                <w:rFonts w:ascii="仿宋" w:hAnsi="仿宋" w:eastAsia="仿宋" w:cs="仿宋"/>
                <w:color w:val="000000"/>
                <w:sz w:val="21"/>
              </w:rPr>
              <w:t>建筑起重机械使用登记（查询）（提供区县查询全是登记设备）</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2DB66B30">
            <w:pPr>
              <w:pStyle w:val="101"/>
              <w:spacing w:line="320" w:lineRule="exact"/>
              <w:jc w:val="both"/>
              <w:rPr>
                <w:rFonts w:hint="default"/>
              </w:rPr>
            </w:pPr>
            <w:r>
              <w:rPr>
                <w:rFonts w:ascii="仿宋" w:hAnsi="仿宋" w:eastAsia="仿宋" w:cs="仿宋"/>
                <w:color w:val="000000"/>
                <w:sz w:val="21"/>
              </w:rPr>
              <w:t>1、产权备案编号查询</w:t>
            </w:r>
            <w:r>
              <w:br w:type="textWrapping"/>
            </w:r>
            <w:r>
              <w:rPr>
                <w:rFonts w:ascii="仿宋" w:hAnsi="仿宋" w:eastAsia="仿宋" w:cs="仿宋"/>
                <w:color w:val="000000"/>
                <w:sz w:val="21"/>
              </w:rPr>
              <w:t>2、出场编号查询</w:t>
            </w:r>
          </w:p>
        </w:tc>
      </w:tr>
      <w:tr w14:paraId="4B06E0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4CAB6BF8">
            <w:pPr>
              <w:spacing w:line="320" w:lineRule="exact"/>
            </w:pPr>
          </w:p>
        </w:tc>
        <w:tc>
          <w:tcPr>
            <w:tcW w:w="1839" w:type="dxa"/>
            <w:vMerge w:val="continue"/>
            <w:tcBorders>
              <w:top w:val="nil"/>
              <w:left w:val="nil"/>
              <w:bottom w:val="single" w:color="000000" w:sz="4" w:space="0"/>
              <w:right w:val="single" w:color="000000" w:sz="4" w:space="0"/>
            </w:tcBorders>
          </w:tcPr>
          <w:p w14:paraId="6759FA02">
            <w:pPr>
              <w:spacing w:line="320" w:lineRule="exact"/>
            </w:pP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01D914AB">
            <w:pPr>
              <w:pStyle w:val="101"/>
              <w:spacing w:line="320" w:lineRule="exact"/>
              <w:jc w:val="center"/>
              <w:rPr>
                <w:rFonts w:hint="default"/>
              </w:rPr>
            </w:pPr>
            <w:r>
              <w:rPr>
                <w:rFonts w:ascii="仿宋" w:hAnsi="仿宋" w:eastAsia="仿宋" w:cs="仿宋"/>
                <w:color w:val="000000"/>
                <w:sz w:val="21"/>
              </w:rPr>
              <w:t>企业管理（冻结、解冻）</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7FFA93D9">
            <w:pPr>
              <w:pStyle w:val="101"/>
              <w:spacing w:line="320" w:lineRule="exact"/>
              <w:jc w:val="both"/>
              <w:rPr>
                <w:rFonts w:hint="default"/>
              </w:rPr>
            </w:pPr>
            <w:r>
              <w:rPr>
                <w:rFonts w:ascii="仿宋" w:hAnsi="仿宋" w:eastAsia="仿宋" w:cs="仿宋"/>
                <w:color w:val="000000"/>
                <w:sz w:val="21"/>
              </w:rPr>
              <w:t>1、企业信息列表</w:t>
            </w:r>
            <w:r>
              <w:br w:type="textWrapping"/>
            </w:r>
            <w:r>
              <w:rPr>
                <w:rFonts w:ascii="仿宋" w:hAnsi="仿宋" w:eastAsia="仿宋" w:cs="仿宋"/>
                <w:color w:val="000000"/>
                <w:sz w:val="21"/>
              </w:rPr>
              <w:t>2、企业状态调整、冻结状态企业无法办理业务、解冻反之</w:t>
            </w:r>
          </w:p>
        </w:tc>
      </w:tr>
      <w:tr w14:paraId="646ABC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E7F18C">
            <w:pPr>
              <w:pStyle w:val="101"/>
              <w:spacing w:line="320" w:lineRule="exact"/>
              <w:jc w:val="center"/>
              <w:rPr>
                <w:rFonts w:hint="default"/>
              </w:rPr>
            </w:pPr>
            <w:r>
              <w:rPr>
                <w:rFonts w:ascii="仿宋" w:hAnsi="仿宋" w:eastAsia="仿宋" w:cs="仿宋"/>
                <w:color w:val="000000"/>
                <w:sz w:val="21"/>
              </w:rPr>
              <w:t>3</w:t>
            </w:r>
          </w:p>
        </w:tc>
        <w:tc>
          <w:tcPr>
            <w:tcW w:w="1839"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1A2A679F">
            <w:pPr>
              <w:pStyle w:val="101"/>
              <w:spacing w:line="320" w:lineRule="exact"/>
              <w:jc w:val="center"/>
              <w:rPr>
                <w:rFonts w:hint="default"/>
              </w:rPr>
            </w:pPr>
            <w:r>
              <w:rPr>
                <w:rFonts w:ascii="仿宋" w:hAnsi="仿宋" w:eastAsia="仿宋" w:cs="仿宋"/>
                <w:color w:val="000000"/>
                <w:sz w:val="21"/>
              </w:rPr>
              <w:t>建筑起重机械备案系统</w:t>
            </w:r>
            <w:r>
              <w:rPr>
                <w:rFonts w:ascii="仿宋" w:hAnsi="仿宋" w:eastAsia="仿宋" w:cs="仿宋"/>
                <w:color w:val="000000"/>
                <w:sz w:val="21"/>
                <w:lang w:eastAsia="zh-CN"/>
              </w:rPr>
              <w:t>-</w:t>
            </w:r>
            <w:r>
              <w:rPr>
                <w:rFonts w:ascii="仿宋" w:hAnsi="仿宋" w:eastAsia="仿宋" w:cs="仿宋"/>
                <w:color w:val="000000"/>
                <w:sz w:val="21"/>
              </w:rPr>
              <w:t>建筑起重机械安装、拆卸告知</w:t>
            </w: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67D5F77B">
            <w:pPr>
              <w:pStyle w:val="101"/>
              <w:spacing w:line="320" w:lineRule="exact"/>
              <w:jc w:val="center"/>
              <w:rPr>
                <w:rFonts w:hint="default"/>
              </w:rPr>
            </w:pPr>
            <w:r>
              <w:rPr>
                <w:rFonts w:ascii="仿宋" w:hAnsi="仿宋" w:eastAsia="仿宋" w:cs="仿宋"/>
                <w:color w:val="000000"/>
                <w:sz w:val="21"/>
              </w:rPr>
              <w:t>建筑起重机械安装、拆卸告知（安装）（区县查看本区县，市级查看全部）</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168416C8">
            <w:pPr>
              <w:pStyle w:val="101"/>
              <w:spacing w:line="320" w:lineRule="exact"/>
              <w:jc w:val="both"/>
              <w:rPr>
                <w:rFonts w:hint="default"/>
              </w:rPr>
            </w:pPr>
            <w:r>
              <w:rPr>
                <w:rFonts w:ascii="仿宋" w:hAnsi="仿宋" w:eastAsia="仿宋" w:cs="仿宋"/>
                <w:color w:val="000000"/>
                <w:sz w:val="21"/>
              </w:rPr>
              <w:t>1、区县检索</w:t>
            </w:r>
            <w:r>
              <w:br w:type="textWrapping"/>
            </w:r>
            <w:r>
              <w:rPr>
                <w:rFonts w:ascii="仿宋" w:hAnsi="仿宋" w:eastAsia="仿宋" w:cs="仿宋"/>
                <w:color w:val="000000"/>
                <w:sz w:val="21"/>
              </w:rPr>
              <w:t>2、项目名称检索</w:t>
            </w:r>
            <w:r>
              <w:br w:type="textWrapping"/>
            </w:r>
            <w:r>
              <w:rPr>
                <w:rFonts w:ascii="仿宋" w:hAnsi="仿宋" w:eastAsia="仿宋" w:cs="仿宋"/>
                <w:color w:val="000000"/>
                <w:sz w:val="21"/>
              </w:rPr>
              <w:t>3、产权编号检索</w:t>
            </w:r>
            <w:r>
              <w:br w:type="textWrapping"/>
            </w:r>
            <w:r>
              <w:rPr>
                <w:rFonts w:ascii="仿宋" w:hAnsi="仿宋" w:eastAsia="仿宋" w:cs="仿宋"/>
                <w:color w:val="000000"/>
                <w:sz w:val="21"/>
              </w:rPr>
              <w:t>4、出</w:t>
            </w:r>
            <w:r>
              <w:rPr>
                <w:rFonts w:ascii="仿宋" w:hAnsi="仿宋" w:eastAsia="仿宋" w:cs="仿宋"/>
                <w:color w:val="000000"/>
                <w:sz w:val="21"/>
                <w:lang w:eastAsia="zh-CN"/>
              </w:rPr>
              <w:t>厂</w:t>
            </w:r>
            <w:r>
              <w:rPr>
                <w:rFonts w:ascii="仿宋" w:hAnsi="仿宋" w:eastAsia="仿宋" w:cs="仿宋"/>
                <w:color w:val="000000"/>
                <w:sz w:val="21"/>
              </w:rPr>
              <w:t>编号检索</w:t>
            </w:r>
            <w:r>
              <w:br w:type="textWrapping"/>
            </w:r>
            <w:r>
              <w:rPr>
                <w:rFonts w:ascii="仿宋" w:hAnsi="仿宋" w:eastAsia="仿宋" w:cs="仿宋"/>
                <w:color w:val="000000"/>
                <w:sz w:val="21"/>
              </w:rPr>
              <w:t>5、安装编号检索</w:t>
            </w:r>
            <w:r>
              <w:br w:type="textWrapping"/>
            </w:r>
            <w:r>
              <w:rPr>
                <w:rFonts w:ascii="仿宋" w:hAnsi="仿宋" w:eastAsia="仿宋" w:cs="仿宋"/>
                <w:color w:val="000000"/>
                <w:sz w:val="21"/>
              </w:rPr>
              <w:t>6、安装信息列表展示（可查看详细安装信息）</w:t>
            </w:r>
          </w:p>
        </w:tc>
      </w:tr>
      <w:tr w14:paraId="3C4D91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6DBF8CFC">
            <w:pPr>
              <w:spacing w:line="320" w:lineRule="exact"/>
            </w:pPr>
          </w:p>
        </w:tc>
        <w:tc>
          <w:tcPr>
            <w:tcW w:w="1839" w:type="dxa"/>
            <w:vMerge w:val="continue"/>
            <w:tcBorders>
              <w:top w:val="nil"/>
              <w:left w:val="nil"/>
              <w:bottom w:val="single" w:color="000000" w:sz="4" w:space="0"/>
              <w:right w:val="single" w:color="000000" w:sz="4" w:space="0"/>
            </w:tcBorders>
          </w:tcPr>
          <w:p w14:paraId="68908153">
            <w:pPr>
              <w:spacing w:line="320" w:lineRule="exact"/>
            </w:pP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0ABE4F02">
            <w:pPr>
              <w:pStyle w:val="101"/>
              <w:spacing w:line="320" w:lineRule="exact"/>
              <w:jc w:val="center"/>
              <w:rPr>
                <w:rFonts w:hint="default"/>
              </w:rPr>
            </w:pPr>
            <w:r>
              <w:rPr>
                <w:rFonts w:ascii="仿宋" w:hAnsi="仿宋" w:eastAsia="仿宋" w:cs="仿宋"/>
                <w:color w:val="000000"/>
                <w:sz w:val="21"/>
              </w:rPr>
              <w:t>建筑起重机械安装、拆卸告知（使用）（区县查看本区县，市级查看全部）</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41E9AAE3">
            <w:pPr>
              <w:pStyle w:val="101"/>
              <w:spacing w:line="320" w:lineRule="exact"/>
              <w:jc w:val="both"/>
              <w:rPr>
                <w:rFonts w:hint="default"/>
              </w:rPr>
            </w:pPr>
            <w:r>
              <w:rPr>
                <w:rFonts w:ascii="仿宋" w:hAnsi="仿宋" w:eastAsia="仿宋" w:cs="仿宋"/>
                <w:color w:val="000000"/>
                <w:sz w:val="21"/>
              </w:rPr>
              <w:t>1、区县检索</w:t>
            </w:r>
            <w:r>
              <w:br w:type="textWrapping"/>
            </w:r>
            <w:r>
              <w:rPr>
                <w:rFonts w:ascii="仿宋" w:hAnsi="仿宋" w:eastAsia="仿宋" w:cs="仿宋"/>
                <w:color w:val="000000"/>
                <w:sz w:val="21"/>
              </w:rPr>
              <w:t>2、项目名称检索</w:t>
            </w:r>
            <w:r>
              <w:br w:type="textWrapping"/>
            </w:r>
            <w:r>
              <w:rPr>
                <w:rFonts w:ascii="仿宋" w:hAnsi="仿宋" w:eastAsia="仿宋" w:cs="仿宋"/>
                <w:color w:val="000000"/>
                <w:sz w:val="21"/>
              </w:rPr>
              <w:t>3、产权编号检索</w:t>
            </w:r>
            <w:r>
              <w:br w:type="textWrapping"/>
            </w:r>
            <w:r>
              <w:rPr>
                <w:rFonts w:ascii="仿宋" w:hAnsi="仿宋" w:eastAsia="仿宋" w:cs="仿宋"/>
                <w:color w:val="000000"/>
                <w:sz w:val="21"/>
              </w:rPr>
              <w:t>4、出</w:t>
            </w:r>
            <w:r>
              <w:rPr>
                <w:rFonts w:ascii="仿宋" w:hAnsi="仿宋" w:eastAsia="仿宋" w:cs="仿宋"/>
                <w:color w:val="000000"/>
                <w:sz w:val="21"/>
                <w:lang w:eastAsia="zh-CN"/>
              </w:rPr>
              <w:t>厂</w:t>
            </w:r>
            <w:r>
              <w:rPr>
                <w:rFonts w:ascii="仿宋" w:hAnsi="仿宋" w:eastAsia="仿宋" w:cs="仿宋"/>
                <w:color w:val="000000"/>
                <w:sz w:val="21"/>
              </w:rPr>
              <w:t>编号检索</w:t>
            </w:r>
            <w:r>
              <w:br w:type="textWrapping"/>
            </w:r>
            <w:r>
              <w:rPr>
                <w:rFonts w:ascii="仿宋" w:hAnsi="仿宋" w:eastAsia="仿宋" w:cs="仿宋"/>
                <w:color w:val="000000"/>
                <w:sz w:val="21"/>
              </w:rPr>
              <w:t>5、使用编号检索</w:t>
            </w:r>
            <w:r>
              <w:br w:type="textWrapping"/>
            </w:r>
            <w:r>
              <w:rPr>
                <w:rFonts w:ascii="仿宋" w:hAnsi="仿宋" w:eastAsia="仿宋" w:cs="仿宋"/>
                <w:color w:val="000000"/>
                <w:sz w:val="21"/>
              </w:rPr>
              <w:t>6、使用信息列表展示（可查看详细使用信息，以及安装信息）</w:t>
            </w:r>
          </w:p>
        </w:tc>
      </w:tr>
      <w:tr w14:paraId="294477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06E3BAD8">
            <w:pPr>
              <w:spacing w:line="320" w:lineRule="exact"/>
            </w:pPr>
          </w:p>
        </w:tc>
        <w:tc>
          <w:tcPr>
            <w:tcW w:w="1839" w:type="dxa"/>
            <w:vMerge w:val="continue"/>
            <w:tcBorders>
              <w:top w:val="nil"/>
              <w:left w:val="nil"/>
              <w:bottom w:val="single" w:color="000000" w:sz="4" w:space="0"/>
              <w:right w:val="single" w:color="000000" w:sz="4" w:space="0"/>
            </w:tcBorders>
          </w:tcPr>
          <w:p w14:paraId="6983951B">
            <w:pPr>
              <w:spacing w:line="320" w:lineRule="exact"/>
            </w:pPr>
          </w:p>
        </w:tc>
        <w:tc>
          <w:tcPr>
            <w:tcW w:w="1464" w:type="dxa"/>
            <w:tcBorders>
              <w:top w:val="nil"/>
              <w:left w:val="nil"/>
              <w:bottom w:val="single" w:color="000000" w:sz="4" w:space="0"/>
              <w:right w:val="single" w:color="000000" w:sz="4" w:space="0"/>
            </w:tcBorders>
            <w:tcMar>
              <w:top w:w="0" w:type="dxa"/>
              <w:left w:w="105" w:type="dxa"/>
              <w:bottom w:w="0" w:type="dxa"/>
              <w:right w:w="105" w:type="dxa"/>
            </w:tcMar>
          </w:tcPr>
          <w:p w14:paraId="77FC2630">
            <w:pPr>
              <w:pStyle w:val="101"/>
              <w:spacing w:line="320" w:lineRule="exact"/>
              <w:jc w:val="center"/>
              <w:rPr>
                <w:rFonts w:hint="default"/>
              </w:rPr>
            </w:pPr>
            <w:r>
              <w:rPr>
                <w:rFonts w:ascii="仿宋" w:hAnsi="仿宋" w:eastAsia="仿宋" w:cs="仿宋"/>
                <w:color w:val="000000"/>
                <w:sz w:val="21"/>
              </w:rPr>
              <w:t>建筑起重机械安装、拆卸告知（拆卸）（区县查看本区县，市级查看全部）</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1F520988">
            <w:pPr>
              <w:pStyle w:val="101"/>
              <w:spacing w:line="320" w:lineRule="exact"/>
              <w:jc w:val="both"/>
              <w:rPr>
                <w:rFonts w:hint="default"/>
              </w:rPr>
            </w:pPr>
            <w:r>
              <w:rPr>
                <w:rFonts w:ascii="仿宋" w:hAnsi="仿宋" w:eastAsia="仿宋" w:cs="仿宋"/>
                <w:color w:val="000000"/>
                <w:sz w:val="21"/>
              </w:rPr>
              <w:t>1、区县检索</w:t>
            </w:r>
            <w:r>
              <w:br w:type="textWrapping"/>
            </w:r>
            <w:r>
              <w:rPr>
                <w:rFonts w:ascii="仿宋" w:hAnsi="仿宋" w:eastAsia="仿宋" w:cs="仿宋"/>
                <w:color w:val="000000"/>
                <w:sz w:val="21"/>
              </w:rPr>
              <w:t>2、项目名称检索</w:t>
            </w:r>
            <w:r>
              <w:br w:type="textWrapping"/>
            </w:r>
            <w:r>
              <w:rPr>
                <w:rFonts w:ascii="仿宋" w:hAnsi="仿宋" w:eastAsia="仿宋" w:cs="仿宋"/>
                <w:color w:val="000000"/>
                <w:sz w:val="21"/>
              </w:rPr>
              <w:t>3、产权编号检索</w:t>
            </w:r>
            <w:r>
              <w:br w:type="textWrapping"/>
            </w:r>
            <w:r>
              <w:rPr>
                <w:rFonts w:ascii="仿宋" w:hAnsi="仿宋" w:eastAsia="仿宋" w:cs="仿宋"/>
                <w:color w:val="000000"/>
                <w:sz w:val="21"/>
              </w:rPr>
              <w:t>4、出</w:t>
            </w:r>
            <w:r>
              <w:rPr>
                <w:rFonts w:ascii="仿宋" w:hAnsi="仿宋" w:eastAsia="仿宋" w:cs="仿宋"/>
                <w:color w:val="000000"/>
                <w:sz w:val="21"/>
                <w:lang w:eastAsia="zh-CN"/>
              </w:rPr>
              <w:t>厂</w:t>
            </w:r>
            <w:r>
              <w:rPr>
                <w:rFonts w:ascii="仿宋" w:hAnsi="仿宋" w:eastAsia="仿宋" w:cs="仿宋"/>
                <w:color w:val="000000"/>
                <w:sz w:val="21"/>
              </w:rPr>
              <w:t>编号检索</w:t>
            </w:r>
            <w:r>
              <w:br w:type="textWrapping"/>
            </w:r>
            <w:r>
              <w:rPr>
                <w:rFonts w:ascii="仿宋" w:hAnsi="仿宋" w:eastAsia="仿宋" w:cs="仿宋"/>
                <w:color w:val="000000"/>
                <w:sz w:val="21"/>
              </w:rPr>
              <w:t>5、拆卸编号检索</w:t>
            </w:r>
            <w:r>
              <w:br w:type="textWrapping"/>
            </w:r>
            <w:r>
              <w:rPr>
                <w:rFonts w:ascii="仿宋" w:hAnsi="仿宋" w:eastAsia="仿宋" w:cs="仿宋"/>
                <w:color w:val="000000"/>
                <w:sz w:val="21"/>
              </w:rPr>
              <w:t>6、拆卸信息列表展示（可查看详细拆卸信息，以及安装使用信息）</w:t>
            </w:r>
          </w:p>
        </w:tc>
      </w:tr>
    </w:tbl>
    <w:p w14:paraId="21F7D570">
      <w:pPr>
        <w:pStyle w:val="101"/>
        <w:ind w:firstLine="480"/>
        <w:jc w:val="both"/>
        <w:rPr>
          <w:rFonts w:hint="default" w:cs="Times New Roman"/>
          <w:sz w:val="24"/>
          <w:szCs w:val="24"/>
          <w:lang w:eastAsia="zh-CN"/>
        </w:rPr>
      </w:pPr>
    </w:p>
    <w:p w14:paraId="429FD214">
      <w:pPr>
        <w:pStyle w:val="101"/>
        <w:ind w:firstLine="480"/>
        <w:jc w:val="both"/>
        <w:rPr>
          <w:rFonts w:hint="default" w:cs="Times New Roman"/>
          <w:sz w:val="24"/>
          <w:szCs w:val="24"/>
          <w:lang w:eastAsia="zh-CN"/>
        </w:rPr>
      </w:pPr>
      <w:r>
        <w:rPr>
          <w:rFonts w:cs="Times New Roman"/>
          <w:sz w:val="24"/>
          <w:szCs w:val="24"/>
          <w:lang w:eastAsia="zh-CN"/>
        </w:rPr>
        <w:t>（4）勘察设计信用评价系统维护清单</w:t>
      </w:r>
    </w:p>
    <w:tbl>
      <w:tblPr>
        <w:tblStyle w:val="26"/>
        <w:tblW w:w="8836"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6935"/>
      </w:tblGrid>
      <w:tr w14:paraId="44DC5C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36"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84B1E76">
            <w:pPr>
              <w:pStyle w:val="101"/>
              <w:spacing w:line="320" w:lineRule="exact"/>
              <w:jc w:val="center"/>
              <w:rPr>
                <w:rFonts w:hint="default"/>
              </w:rPr>
            </w:pPr>
            <w:r>
              <w:rPr>
                <w:rFonts w:ascii="仿宋" w:hAnsi="仿宋" w:eastAsia="仿宋" w:cs="仿宋"/>
                <w:b/>
                <w:color w:val="000000"/>
                <w:sz w:val="21"/>
              </w:rPr>
              <w:t>管理端</w:t>
            </w:r>
          </w:p>
        </w:tc>
      </w:tr>
      <w:tr w14:paraId="7EB7AB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D566DA">
            <w:pPr>
              <w:pStyle w:val="101"/>
              <w:spacing w:line="320" w:lineRule="exact"/>
              <w:jc w:val="center"/>
              <w:rPr>
                <w:rFonts w:hint="default"/>
              </w:rPr>
            </w:pPr>
            <w:r>
              <w:rPr>
                <w:rFonts w:ascii="仿宋" w:hAnsi="仿宋" w:eastAsia="仿宋" w:cs="仿宋"/>
                <w:color w:val="000000"/>
                <w:sz w:val="21"/>
              </w:rPr>
              <w:t>模块名称</w:t>
            </w:r>
          </w:p>
        </w:tc>
        <w:tc>
          <w:tcPr>
            <w:tcW w:w="693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9D7968F">
            <w:pPr>
              <w:pStyle w:val="101"/>
              <w:spacing w:line="320" w:lineRule="exact"/>
              <w:jc w:val="center"/>
              <w:rPr>
                <w:rFonts w:hint="default"/>
              </w:rPr>
            </w:pPr>
            <w:r>
              <w:rPr>
                <w:rFonts w:ascii="仿宋" w:hAnsi="仿宋" w:eastAsia="仿宋" w:cs="仿宋"/>
                <w:color w:val="000000"/>
                <w:sz w:val="21"/>
              </w:rPr>
              <w:t>功能</w:t>
            </w:r>
          </w:p>
        </w:tc>
      </w:tr>
      <w:tr w14:paraId="6AA382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4914CD">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系统门户</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79AFDC4E">
            <w:pPr>
              <w:pStyle w:val="101"/>
              <w:spacing w:line="320" w:lineRule="exact"/>
              <w:jc w:val="both"/>
              <w:rPr>
                <w:rFonts w:hint="default"/>
              </w:rPr>
            </w:pPr>
            <w:r>
              <w:rPr>
                <w:rFonts w:ascii="仿宋" w:hAnsi="仿宋" w:eastAsia="仿宋" w:cs="仿宋"/>
                <w:color w:val="000000"/>
                <w:sz w:val="21"/>
              </w:rPr>
              <w:t>统计企业数量、企业资质类别统计、企业资质等级统计、项目类别、西安市企业信用排名、实时在建项目分布。</w:t>
            </w:r>
          </w:p>
        </w:tc>
      </w:tr>
      <w:tr w14:paraId="18EC97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CDF917">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后台管理</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01D9BB21">
            <w:pPr>
              <w:pStyle w:val="101"/>
              <w:spacing w:line="320" w:lineRule="exact"/>
              <w:jc w:val="both"/>
              <w:rPr>
                <w:rFonts w:hint="default"/>
              </w:rPr>
            </w:pPr>
            <w:r>
              <w:rPr>
                <w:rFonts w:ascii="仿宋" w:hAnsi="仿宋" w:eastAsia="仿宋" w:cs="仿宋"/>
                <w:color w:val="000000"/>
                <w:sz w:val="21"/>
              </w:rPr>
              <w:t>数据表结构、工作流、代码项等变更调整。</w:t>
            </w:r>
          </w:p>
        </w:tc>
      </w:tr>
      <w:tr w14:paraId="19A47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75A5FD">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信用评价</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076DC829">
            <w:pPr>
              <w:pStyle w:val="101"/>
              <w:spacing w:line="320" w:lineRule="exact"/>
              <w:jc w:val="both"/>
              <w:rPr>
                <w:rFonts w:hint="default"/>
              </w:rPr>
            </w:pPr>
            <w:r>
              <w:rPr>
                <w:rFonts w:ascii="仿宋" w:hAnsi="仿宋" w:eastAsia="仿宋" w:cs="仿宋"/>
                <w:color w:val="000000"/>
                <w:sz w:val="21"/>
              </w:rPr>
              <w:t>信用标准信息的录入、分数的设定、有效期的设定、以及新标准的同步应用。</w:t>
            </w:r>
          </w:p>
        </w:tc>
      </w:tr>
      <w:tr w14:paraId="015804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E6594E">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平台管理</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00FCE7DF">
            <w:pPr>
              <w:pStyle w:val="101"/>
              <w:spacing w:line="320" w:lineRule="exact"/>
              <w:jc w:val="both"/>
              <w:rPr>
                <w:rFonts w:hint="default"/>
              </w:rPr>
            </w:pPr>
            <w:r>
              <w:rPr>
                <w:rFonts w:ascii="仿宋" w:hAnsi="仿宋" w:eastAsia="仿宋" w:cs="仿宋"/>
                <w:color w:val="000000"/>
                <w:sz w:val="21"/>
              </w:rPr>
              <w:t>针对系统中相关事项的流程、审核人员的配置</w:t>
            </w:r>
          </w:p>
        </w:tc>
      </w:tr>
      <w:tr w14:paraId="634C59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9EFB87">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应用集成</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7624227F">
            <w:pPr>
              <w:pStyle w:val="101"/>
              <w:spacing w:line="320" w:lineRule="exact"/>
              <w:jc w:val="both"/>
              <w:rPr>
                <w:rFonts w:hint="default"/>
              </w:rPr>
            </w:pPr>
            <w:r>
              <w:rPr>
                <w:rFonts w:ascii="仿宋" w:hAnsi="仿宋" w:eastAsia="仿宋" w:cs="仿宋"/>
                <w:color w:val="000000"/>
                <w:sz w:val="21"/>
              </w:rPr>
              <w:t>用户的管理、新建、删除、调整、部门组织架构的管理、新建、删除、调整。</w:t>
            </w:r>
          </w:p>
        </w:tc>
      </w:tr>
      <w:tr w14:paraId="0237E4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0DF4C6">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项目信息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4974002F">
            <w:pPr>
              <w:pStyle w:val="101"/>
              <w:spacing w:line="320" w:lineRule="exact"/>
              <w:jc w:val="both"/>
              <w:rPr>
                <w:rFonts w:hint="default"/>
              </w:rPr>
            </w:pPr>
            <w:r>
              <w:rPr>
                <w:rFonts w:ascii="仿宋" w:hAnsi="仿宋" w:eastAsia="仿宋" w:cs="仿宋"/>
                <w:color w:val="000000"/>
                <w:sz w:val="21"/>
              </w:rPr>
              <w:t>系统项目信息的统计展示，划分区县、采集来源、项目状态、项目类型、详细展示项目详细信息以及施工许可证附件。</w:t>
            </w:r>
          </w:p>
        </w:tc>
      </w:tr>
      <w:tr w14:paraId="47D6D5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334F3C">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信息发布</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0C738C37">
            <w:pPr>
              <w:pStyle w:val="101"/>
              <w:spacing w:line="320" w:lineRule="exact"/>
              <w:jc w:val="both"/>
              <w:rPr>
                <w:rFonts w:hint="default"/>
              </w:rPr>
            </w:pPr>
            <w:r>
              <w:rPr>
                <w:rFonts w:ascii="仿宋" w:hAnsi="仿宋" w:eastAsia="仿宋" w:cs="仿宋"/>
                <w:color w:val="000000"/>
                <w:sz w:val="21"/>
              </w:rPr>
              <w:t>发布相关政策或者文件等信息。</w:t>
            </w:r>
          </w:p>
        </w:tc>
      </w:tr>
      <w:tr w14:paraId="3505EB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BCE5DC">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企业信息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44CAD97A">
            <w:pPr>
              <w:pStyle w:val="101"/>
              <w:spacing w:line="320" w:lineRule="exact"/>
              <w:jc w:val="both"/>
              <w:rPr>
                <w:rFonts w:hint="default"/>
              </w:rPr>
            </w:pPr>
            <w:r>
              <w:rPr>
                <w:rFonts w:ascii="仿宋" w:hAnsi="仿宋" w:eastAsia="仿宋" w:cs="仿宋"/>
                <w:color w:val="000000"/>
                <w:sz w:val="21"/>
              </w:rPr>
              <w:t>同步系统中所有参评企业基本信息、项目信息、良好、不良等信用信息，同步展示企业基础信息分、工程额分、良好信息分、不良信息分、信用得分、标准分。</w:t>
            </w:r>
          </w:p>
        </w:tc>
      </w:tr>
      <w:tr w14:paraId="35DE78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F32C539">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良好信息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19C501B0">
            <w:pPr>
              <w:pStyle w:val="101"/>
              <w:spacing w:line="320" w:lineRule="exact"/>
              <w:rPr>
                <w:rFonts w:hint="default"/>
              </w:rPr>
            </w:pPr>
            <w:r>
              <w:rPr>
                <w:rFonts w:ascii="仿宋" w:hAnsi="仿宋" w:eastAsia="仿宋" w:cs="仿宋"/>
                <w:color w:val="000000"/>
                <w:sz w:val="21"/>
              </w:rPr>
              <w:t>企业申报良好信用信息相关数据，同步页面展示企业名称、项目名称、辖区、信用名称、有效期等，同步查询详细申报信用信息以及相关附件。</w:t>
            </w:r>
          </w:p>
        </w:tc>
      </w:tr>
      <w:tr w14:paraId="323463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C4B616">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不良信息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3F8A282F">
            <w:pPr>
              <w:pStyle w:val="101"/>
              <w:spacing w:line="320" w:lineRule="exact"/>
              <w:jc w:val="both"/>
              <w:rPr>
                <w:rFonts w:hint="default"/>
              </w:rPr>
            </w:pPr>
            <w:r>
              <w:rPr>
                <w:rFonts w:ascii="仿宋" w:hAnsi="仿宋" w:eastAsia="仿宋" w:cs="仿宋"/>
                <w:color w:val="000000"/>
                <w:sz w:val="21"/>
              </w:rPr>
              <w:t>各区县主管部门上传处罚信息，同步页面展示企业名称、项目名称、辖区、信用名称、有效期等，同步查询详细申报信用信息以及相关附件。</w:t>
            </w:r>
          </w:p>
        </w:tc>
      </w:tr>
      <w:tr w14:paraId="70C9F3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E46E76">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信用信息异议</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3C6E5BF1">
            <w:pPr>
              <w:pStyle w:val="101"/>
              <w:spacing w:line="320" w:lineRule="exact"/>
              <w:jc w:val="both"/>
              <w:rPr>
                <w:rFonts w:hint="default"/>
              </w:rPr>
            </w:pPr>
            <w:r>
              <w:rPr>
                <w:rFonts w:ascii="仿宋" w:hAnsi="仿宋" w:eastAsia="仿宋" w:cs="仿宋"/>
                <w:color w:val="000000"/>
                <w:sz w:val="21"/>
              </w:rPr>
              <w:t>企业针对有异议的信息进行申报，主管部门针对异议信息进行审核保留详细审核信息。</w:t>
            </w:r>
          </w:p>
        </w:tc>
      </w:tr>
      <w:tr w14:paraId="11211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8CBCB9">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企业信息审核</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4830BF20">
            <w:pPr>
              <w:pStyle w:val="101"/>
              <w:spacing w:line="320" w:lineRule="exact"/>
              <w:jc w:val="both"/>
              <w:rPr>
                <w:rFonts w:hint="default"/>
              </w:rPr>
            </w:pPr>
            <w:r>
              <w:rPr>
                <w:rFonts w:ascii="仿宋" w:hAnsi="仿宋" w:eastAsia="仿宋" w:cs="仿宋"/>
                <w:color w:val="000000"/>
                <w:sz w:val="21"/>
              </w:rPr>
              <w:t>审核企业基本信息情况，以及企业信息展示</w:t>
            </w:r>
          </w:p>
        </w:tc>
      </w:tr>
      <w:tr w14:paraId="39D1D8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A753E0">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信用修复</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57498074">
            <w:pPr>
              <w:pStyle w:val="101"/>
              <w:spacing w:line="320" w:lineRule="exact"/>
              <w:jc w:val="both"/>
              <w:rPr>
                <w:rFonts w:hint="default"/>
              </w:rPr>
            </w:pPr>
            <w:r>
              <w:rPr>
                <w:rFonts w:ascii="仿宋" w:hAnsi="仿宋" w:eastAsia="仿宋" w:cs="仿宋"/>
                <w:color w:val="000000"/>
                <w:sz w:val="21"/>
              </w:rPr>
              <w:t>企业对上传信用信息到期后进行修复申请，同步展示修复申请详情。</w:t>
            </w:r>
          </w:p>
        </w:tc>
      </w:tr>
      <w:tr w14:paraId="64B16C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63ECF8">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工改前置库</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0E86CE9F">
            <w:pPr>
              <w:pStyle w:val="101"/>
              <w:spacing w:line="320" w:lineRule="exact"/>
              <w:jc w:val="both"/>
              <w:rPr>
                <w:rFonts w:hint="default"/>
              </w:rPr>
            </w:pPr>
            <w:r>
              <w:rPr>
                <w:rFonts w:ascii="仿宋" w:hAnsi="仿宋" w:eastAsia="仿宋" w:cs="仿宋"/>
                <w:color w:val="000000"/>
                <w:sz w:val="21"/>
              </w:rPr>
              <w:t>对与工改平台同步的项目信息一并进行展示查询</w:t>
            </w:r>
          </w:p>
        </w:tc>
      </w:tr>
      <w:tr w14:paraId="24150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8EC51A">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项目库（旧）</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512C1B02">
            <w:pPr>
              <w:pStyle w:val="101"/>
              <w:spacing w:line="320" w:lineRule="exact"/>
              <w:jc w:val="both"/>
              <w:rPr>
                <w:rFonts w:hint="default"/>
              </w:rPr>
            </w:pPr>
            <w:r>
              <w:rPr>
                <w:rFonts w:ascii="仿宋" w:hAnsi="仿宋" w:eastAsia="仿宋" w:cs="仿宋"/>
                <w:color w:val="000000"/>
                <w:sz w:val="21"/>
              </w:rPr>
              <w:t>同步老系统项目信息展示查询。</w:t>
            </w:r>
          </w:p>
        </w:tc>
      </w:tr>
      <w:tr w14:paraId="56B911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CC62ED">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项目以及目录</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79FC14DB">
            <w:pPr>
              <w:pStyle w:val="101"/>
              <w:spacing w:line="320" w:lineRule="exact"/>
              <w:jc w:val="both"/>
              <w:rPr>
                <w:rFonts w:hint="default"/>
              </w:rPr>
            </w:pPr>
            <w:r>
              <w:rPr>
                <w:rFonts w:ascii="仿宋" w:hAnsi="仿宋" w:eastAsia="仿宋" w:cs="仿宋"/>
                <w:color w:val="000000"/>
                <w:sz w:val="21"/>
              </w:rPr>
              <w:t>通过区县对项目所属辖区进行划分展示</w:t>
            </w:r>
          </w:p>
        </w:tc>
      </w:tr>
      <w:tr w14:paraId="0C500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4F2121C">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企业黑名单</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25AD818F">
            <w:pPr>
              <w:pStyle w:val="101"/>
              <w:spacing w:line="320" w:lineRule="exact"/>
              <w:jc w:val="both"/>
              <w:rPr>
                <w:rFonts w:hint="default"/>
              </w:rPr>
            </w:pPr>
            <w:r>
              <w:rPr>
                <w:rFonts w:ascii="仿宋" w:hAnsi="仿宋" w:eastAsia="仿宋" w:cs="仿宋"/>
                <w:color w:val="000000"/>
                <w:sz w:val="21"/>
              </w:rPr>
              <w:t>同步展示被添加黑名单不良信息的企业</w:t>
            </w:r>
          </w:p>
        </w:tc>
      </w:tr>
      <w:tr w14:paraId="32C150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05A013">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工程额</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73DAFA4D">
            <w:pPr>
              <w:pStyle w:val="101"/>
              <w:spacing w:line="320" w:lineRule="exact"/>
              <w:jc w:val="both"/>
              <w:rPr>
                <w:rFonts w:hint="default"/>
              </w:rPr>
            </w:pPr>
            <w:r>
              <w:rPr>
                <w:rFonts w:ascii="仿宋" w:hAnsi="仿宋" w:eastAsia="仿宋" w:cs="仿宋"/>
                <w:color w:val="000000"/>
                <w:sz w:val="21"/>
              </w:rPr>
              <w:t>通过对各个企业项目工程额计算之后排名展示，以及项目工程额组成的查看</w:t>
            </w:r>
          </w:p>
        </w:tc>
      </w:tr>
      <w:tr w14:paraId="64D3BA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399045">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访问量统计</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64607E22">
            <w:pPr>
              <w:pStyle w:val="101"/>
              <w:spacing w:line="320" w:lineRule="exact"/>
              <w:jc w:val="both"/>
              <w:rPr>
                <w:rFonts w:hint="default"/>
              </w:rPr>
            </w:pPr>
            <w:r>
              <w:rPr>
                <w:rFonts w:ascii="仿宋" w:hAnsi="仿宋" w:eastAsia="仿宋" w:cs="仿宋"/>
                <w:color w:val="000000"/>
                <w:sz w:val="21"/>
              </w:rPr>
              <w:t>统计单日企业端、管理端系统访问次数</w:t>
            </w:r>
          </w:p>
        </w:tc>
      </w:tr>
      <w:tr w14:paraId="42BBC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AFBD14">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信用退回（良好）</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55F568A1">
            <w:pPr>
              <w:pStyle w:val="101"/>
              <w:spacing w:line="320" w:lineRule="exact"/>
              <w:jc w:val="both"/>
              <w:rPr>
                <w:rFonts w:hint="default"/>
              </w:rPr>
            </w:pPr>
            <w:r>
              <w:rPr>
                <w:rFonts w:ascii="仿宋" w:hAnsi="仿宋" w:eastAsia="仿宋" w:cs="仿宋"/>
                <w:color w:val="000000"/>
                <w:sz w:val="21"/>
              </w:rPr>
              <w:t>对申报有误的良好信息进行退回操作，并还原其分数。</w:t>
            </w:r>
          </w:p>
        </w:tc>
      </w:tr>
      <w:tr w14:paraId="205E5A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8460040">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信用退回（不良）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7084592F">
            <w:pPr>
              <w:pStyle w:val="101"/>
              <w:spacing w:line="320" w:lineRule="exact"/>
              <w:jc w:val="both"/>
              <w:rPr>
                <w:rFonts w:hint="default"/>
              </w:rPr>
            </w:pPr>
            <w:r>
              <w:rPr>
                <w:rFonts w:ascii="仿宋" w:hAnsi="仿宋" w:eastAsia="仿宋" w:cs="仿宋"/>
                <w:color w:val="000000"/>
                <w:sz w:val="21"/>
              </w:rPr>
              <w:t>对申报有误的不良信息进行退回操作，并还原其分数。</w:t>
            </w:r>
          </w:p>
        </w:tc>
      </w:tr>
      <w:tr w14:paraId="482EEE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EBA5FE2">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项目退回</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2EFD583D">
            <w:pPr>
              <w:pStyle w:val="101"/>
              <w:spacing w:line="320" w:lineRule="exact"/>
              <w:jc w:val="both"/>
              <w:rPr>
                <w:rFonts w:hint="default"/>
              </w:rPr>
            </w:pPr>
            <w:r>
              <w:rPr>
                <w:rFonts w:ascii="仿宋" w:hAnsi="仿宋" w:eastAsia="仿宋" w:cs="仿宋"/>
                <w:color w:val="000000"/>
                <w:sz w:val="21"/>
              </w:rPr>
              <w:t>对申报有误的项目信息进行退回操作，还原其工程额分数。</w:t>
            </w:r>
          </w:p>
        </w:tc>
      </w:tr>
      <w:tr w14:paraId="015D29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3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867C58">
            <w:pPr>
              <w:pStyle w:val="101"/>
              <w:spacing w:line="320" w:lineRule="exact"/>
              <w:jc w:val="center"/>
              <w:rPr>
                <w:rFonts w:hint="default"/>
              </w:rPr>
            </w:pPr>
            <w:r>
              <w:rPr>
                <w:rFonts w:ascii="仿宋" w:hAnsi="仿宋" w:eastAsia="仿宋" w:cs="仿宋"/>
                <w:b/>
                <w:color w:val="000000"/>
                <w:sz w:val="21"/>
              </w:rPr>
              <w:t>企业端</w:t>
            </w:r>
          </w:p>
        </w:tc>
      </w:tr>
      <w:tr w14:paraId="2A5821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1155BA">
            <w:pPr>
              <w:pStyle w:val="101"/>
              <w:spacing w:line="320" w:lineRule="exact"/>
              <w:jc w:val="center"/>
              <w:rPr>
                <w:rFonts w:hint="default"/>
              </w:rPr>
            </w:pPr>
            <w:r>
              <w:rPr>
                <w:rFonts w:ascii="仿宋" w:hAnsi="仿宋" w:eastAsia="仿宋" w:cs="仿宋"/>
                <w:color w:val="000000"/>
                <w:sz w:val="21"/>
              </w:rPr>
              <w:t>模块名称</w:t>
            </w:r>
          </w:p>
        </w:tc>
        <w:tc>
          <w:tcPr>
            <w:tcW w:w="693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A12B28A">
            <w:pPr>
              <w:pStyle w:val="101"/>
              <w:spacing w:line="320" w:lineRule="exact"/>
              <w:jc w:val="center"/>
              <w:rPr>
                <w:rFonts w:hint="default"/>
              </w:rPr>
            </w:pPr>
            <w:r>
              <w:rPr>
                <w:rFonts w:ascii="仿宋" w:hAnsi="仿宋" w:eastAsia="仿宋" w:cs="仿宋"/>
                <w:color w:val="000000"/>
                <w:sz w:val="21"/>
              </w:rPr>
              <w:t>功能</w:t>
            </w:r>
          </w:p>
        </w:tc>
      </w:tr>
      <w:tr w14:paraId="24C811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2150B11">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系统首页</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4C5645FE">
            <w:pPr>
              <w:pStyle w:val="101"/>
              <w:spacing w:line="320" w:lineRule="exact"/>
              <w:jc w:val="both"/>
              <w:rPr>
                <w:rFonts w:hint="default"/>
              </w:rPr>
            </w:pPr>
            <w:r>
              <w:rPr>
                <w:rFonts w:ascii="仿宋" w:hAnsi="仿宋" w:eastAsia="仿宋" w:cs="仿宋"/>
                <w:color w:val="000000"/>
                <w:sz w:val="21"/>
              </w:rPr>
              <w:t>信用排名、通知公告、良好申报、异议以及修复的申报、同步展示企业优良、不良信用信息。</w:t>
            </w:r>
          </w:p>
        </w:tc>
      </w:tr>
      <w:tr w14:paraId="7FE51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5A9248">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项目信息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6FAAA0BB">
            <w:pPr>
              <w:pStyle w:val="101"/>
              <w:spacing w:line="320" w:lineRule="exact"/>
              <w:jc w:val="both"/>
              <w:rPr>
                <w:rFonts w:hint="default"/>
              </w:rPr>
            </w:pPr>
            <w:r>
              <w:rPr>
                <w:rFonts w:ascii="仿宋" w:hAnsi="仿宋" w:eastAsia="仿宋" w:cs="仿宋"/>
                <w:color w:val="000000"/>
                <w:sz w:val="21"/>
              </w:rPr>
              <w:t>展示工改平台同步，以及企业自行申报的项目信息。</w:t>
            </w:r>
          </w:p>
        </w:tc>
      </w:tr>
      <w:tr w14:paraId="772256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2DE3685">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企业信息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71DE45A2">
            <w:pPr>
              <w:pStyle w:val="101"/>
              <w:spacing w:line="320" w:lineRule="exact"/>
              <w:jc w:val="both"/>
              <w:rPr>
                <w:rFonts w:hint="default"/>
              </w:rPr>
            </w:pPr>
            <w:r>
              <w:rPr>
                <w:rFonts w:ascii="仿宋" w:hAnsi="仿宋" w:eastAsia="仿宋" w:cs="仿宋"/>
                <w:color w:val="000000"/>
                <w:sz w:val="21"/>
              </w:rPr>
              <w:t>同步展示项目信息、申报的优良信息、以及被处罚的不良信息。</w:t>
            </w:r>
          </w:p>
        </w:tc>
      </w:tr>
      <w:tr w14:paraId="6E558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56C5BB">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工程额排名</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4AEC8275">
            <w:pPr>
              <w:pStyle w:val="101"/>
              <w:spacing w:line="320" w:lineRule="exact"/>
              <w:jc w:val="both"/>
              <w:rPr>
                <w:rFonts w:hint="default"/>
              </w:rPr>
            </w:pPr>
            <w:r>
              <w:rPr>
                <w:rFonts w:ascii="仿宋" w:hAnsi="仿宋" w:eastAsia="仿宋" w:cs="仿宋"/>
                <w:color w:val="000000"/>
                <w:sz w:val="21"/>
              </w:rPr>
              <w:t>展示市企业工程额排名、可自行搜索。</w:t>
            </w:r>
          </w:p>
        </w:tc>
      </w:tr>
      <w:tr w14:paraId="1814A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61C466">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良好信息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38B8795D">
            <w:pPr>
              <w:pStyle w:val="101"/>
              <w:spacing w:line="320" w:lineRule="exact"/>
              <w:jc w:val="both"/>
              <w:rPr>
                <w:rFonts w:hint="default"/>
              </w:rPr>
            </w:pPr>
            <w:r>
              <w:rPr>
                <w:rFonts w:ascii="仿宋" w:hAnsi="仿宋" w:eastAsia="仿宋" w:cs="仿宋"/>
                <w:color w:val="000000"/>
                <w:sz w:val="21"/>
              </w:rPr>
              <w:t>企业在当前模块主动申报项目良好信用信息</w:t>
            </w:r>
          </w:p>
        </w:tc>
      </w:tr>
      <w:tr w14:paraId="49EC60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191D61">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不良信息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3D88F359">
            <w:pPr>
              <w:pStyle w:val="101"/>
              <w:spacing w:line="320" w:lineRule="exact"/>
              <w:jc w:val="both"/>
              <w:rPr>
                <w:rFonts w:hint="default"/>
              </w:rPr>
            </w:pPr>
            <w:r>
              <w:rPr>
                <w:rFonts w:ascii="仿宋" w:hAnsi="仿宋" w:eastAsia="仿宋" w:cs="仿宋"/>
                <w:color w:val="000000"/>
                <w:sz w:val="21"/>
              </w:rPr>
              <w:t>查看企业存在不良扣分信用信息</w:t>
            </w:r>
          </w:p>
        </w:tc>
      </w:tr>
      <w:tr w14:paraId="638AB1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3ACBFA">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异议信息</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46AFDBA9">
            <w:pPr>
              <w:pStyle w:val="101"/>
              <w:spacing w:line="320" w:lineRule="exact"/>
              <w:jc w:val="both"/>
              <w:rPr>
                <w:rFonts w:hint="default"/>
              </w:rPr>
            </w:pPr>
            <w:r>
              <w:rPr>
                <w:rFonts w:ascii="仿宋" w:hAnsi="仿宋" w:eastAsia="仿宋" w:cs="仿宋"/>
                <w:color w:val="000000"/>
                <w:sz w:val="21"/>
              </w:rPr>
              <w:t>可申请异议不良良好信用信息</w:t>
            </w:r>
          </w:p>
        </w:tc>
      </w:tr>
      <w:tr w14:paraId="55F63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D48D72">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信用修复</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2743252F">
            <w:pPr>
              <w:pStyle w:val="101"/>
              <w:spacing w:line="320" w:lineRule="exact"/>
              <w:jc w:val="both"/>
              <w:rPr>
                <w:rFonts w:hint="default"/>
              </w:rPr>
            </w:pPr>
            <w:r>
              <w:rPr>
                <w:rFonts w:ascii="仿宋" w:hAnsi="仿宋" w:eastAsia="仿宋" w:cs="仿宋"/>
                <w:color w:val="000000"/>
                <w:sz w:val="21"/>
              </w:rPr>
              <w:t>可修复扣分的不良信用信息</w:t>
            </w:r>
          </w:p>
        </w:tc>
      </w:tr>
      <w:tr w14:paraId="6437D4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7F2F64">
            <w:pPr>
              <w:pStyle w:val="101"/>
              <w:spacing w:line="320" w:lineRule="exact"/>
              <w:jc w:val="center"/>
              <w:rPr>
                <w:rFonts w:hint="default"/>
              </w:rPr>
            </w:pPr>
            <w:r>
              <w:rPr>
                <w:rFonts w:ascii="仿宋" w:hAnsi="仿宋" w:eastAsia="仿宋" w:cs="仿宋"/>
                <w:color w:val="000000"/>
                <w:sz w:val="21"/>
              </w:rPr>
              <w:t>勘察设计信用评价系统</w:t>
            </w:r>
            <w:r>
              <w:rPr>
                <w:rFonts w:ascii="仿宋" w:hAnsi="仿宋" w:eastAsia="仿宋" w:cs="仿宋"/>
                <w:color w:val="000000"/>
                <w:sz w:val="21"/>
                <w:lang w:eastAsia="zh-CN"/>
              </w:rPr>
              <w:t>-</w:t>
            </w:r>
            <w:r>
              <w:rPr>
                <w:rFonts w:ascii="仿宋" w:hAnsi="仿宋" w:eastAsia="仿宋" w:cs="仿宋"/>
                <w:color w:val="000000"/>
                <w:sz w:val="21"/>
              </w:rPr>
              <w:t>企业资质</w:t>
            </w:r>
          </w:p>
        </w:tc>
        <w:tc>
          <w:tcPr>
            <w:tcW w:w="6935" w:type="dxa"/>
            <w:tcBorders>
              <w:top w:val="nil"/>
              <w:left w:val="nil"/>
              <w:bottom w:val="single" w:color="000000" w:sz="4" w:space="0"/>
              <w:right w:val="single" w:color="000000" w:sz="4" w:space="0"/>
            </w:tcBorders>
            <w:tcMar>
              <w:top w:w="0" w:type="dxa"/>
              <w:left w:w="105" w:type="dxa"/>
              <w:bottom w:w="0" w:type="dxa"/>
              <w:right w:w="105" w:type="dxa"/>
            </w:tcMar>
          </w:tcPr>
          <w:p w14:paraId="4449F48E">
            <w:pPr>
              <w:pStyle w:val="101"/>
              <w:spacing w:line="320" w:lineRule="exact"/>
              <w:jc w:val="both"/>
              <w:rPr>
                <w:rFonts w:hint="default"/>
              </w:rPr>
            </w:pPr>
            <w:r>
              <w:rPr>
                <w:rFonts w:ascii="仿宋" w:hAnsi="仿宋" w:eastAsia="仿宋" w:cs="仿宋"/>
                <w:color w:val="000000"/>
                <w:sz w:val="21"/>
              </w:rPr>
              <w:t>申报企业已存在的资质信息</w:t>
            </w:r>
          </w:p>
        </w:tc>
      </w:tr>
    </w:tbl>
    <w:p w14:paraId="53EF3ADB">
      <w:pPr>
        <w:pStyle w:val="101"/>
        <w:ind w:firstLine="480"/>
        <w:jc w:val="both"/>
        <w:rPr>
          <w:rFonts w:hint="default" w:cs="Times New Roman"/>
          <w:sz w:val="24"/>
          <w:szCs w:val="24"/>
          <w:lang w:eastAsia="zh-CN"/>
        </w:rPr>
      </w:pPr>
    </w:p>
    <w:p w14:paraId="4CE53E04">
      <w:pPr>
        <w:pStyle w:val="101"/>
        <w:ind w:firstLine="480"/>
        <w:jc w:val="both"/>
        <w:rPr>
          <w:rFonts w:hint="default" w:cs="Times New Roman"/>
          <w:sz w:val="24"/>
          <w:szCs w:val="24"/>
          <w:lang w:eastAsia="zh-CN"/>
        </w:rPr>
      </w:pPr>
      <w:r>
        <w:rPr>
          <w:rFonts w:cs="Times New Roman"/>
          <w:sz w:val="24"/>
          <w:szCs w:val="24"/>
          <w:lang w:eastAsia="zh-CN"/>
        </w:rPr>
        <w:t>（5）安措费监管系统维护清单</w:t>
      </w:r>
    </w:p>
    <w:tbl>
      <w:tblPr>
        <w:tblStyle w:val="26"/>
        <w:tblW w:w="8824"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1"/>
        <w:gridCol w:w="1407"/>
        <w:gridCol w:w="1884"/>
        <w:gridCol w:w="5112"/>
      </w:tblGrid>
      <w:tr w14:paraId="4FDBD7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4"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1890043">
            <w:pPr>
              <w:pStyle w:val="101"/>
              <w:spacing w:line="320" w:lineRule="exact"/>
              <w:jc w:val="center"/>
              <w:rPr>
                <w:rFonts w:hint="default"/>
              </w:rPr>
            </w:pPr>
            <w:r>
              <w:rPr>
                <w:rFonts w:ascii="仿宋" w:hAnsi="仿宋" w:eastAsia="仿宋" w:cs="仿宋"/>
                <w:b/>
                <w:color w:val="000000"/>
                <w:sz w:val="21"/>
              </w:rPr>
              <w:t>企业端</w:t>
            </w:r>
          </w:p>
        </w:tc>
      </w:tr>
      <w:tr w14:paraId="2B411E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FF61F98">
            <w:pPr>
              <w:pStyle w:val="101"/>
              <w:spacing w:line="320" w:lineRule="exact"/>
              <w:jc w:val="center"/>
              <w:rPr>
                <w:rFonts w:hint="default"/>
              </w:rPr>
            </w:pPr>
            <w:r>
              <w:rPr>
                <w:rFonts w:ascii="仿宋" w:hAnsi="仿宋" w:eastAsia="仿宋" w:cs="仿宋"/>
                <w:b/>
                <w:color w:val="000000"/>
                <w:sz w:val="21"/>
              </w:rPr>
              <w:t>序号</w:t>
            </w:r>
          </w:p>
        </w:tc>
        <w:tc>
          <w:tcPr>
            <w:tcW w:w="140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026D4EC">
            <w:pPr>
              <w:pStyle w:val="101"/>
              <w:spacing w:line="320" w:lineRule="exact"/>
              <w:jc w:val="center"/>
              <w:rPr>
                <w:rFonts w:hint="default"/>
              </w:rPr>
            </w:pPr>
            <w:r>
              <w:rPr>
                <w:rFonts w:ascii="仿宋" w:hAnsi="仿宋" w:eastAsia="仿宋" w:cs="仿宋"/>
                <w:b/>
                <w:color w:val="000000"/>
                <w:sz w:val="21"/>
              </w:rPr>
              <w:t>功能模块（一级）</w:t>
            </w:r>
          </w:p>
        </w:tc>
        <w:tc>
          <w:tcPr>
            <w:tcW w:w="188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CC33F3F">
            <w:pPr>
              <w:pStyle w:val="101"/>
              <w:spacing w:line="320" w:lineRule="exact"/>
              <w:jc w:val="center"/>
              <w:rPr>
                <w:rFonts w:hint="default"/>
              </w:rPr>
            </w:pPr>
            <w:r>
              <w:rPr>
                <w:rFonts w:ascii="仿宋" w:hAnsi="仿宋" w:eastAsia="仿宋" w:cs="仿宋"/>
                <w:b/>
                <w:color w:val="000000"/>
                <w:sz w:val="21"/>
              </w:rPr>
              <w:t>功能模块（二级）</w:t>
            </w:r>
          </w:p>
        </w:tc>
        <w:tc>
          <w:tcPr>
            <w:tcW w:w="511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95E21BC">
            <w:pPr>
              <w:pStyle w:val="101"/>
              <w:spacing w:line="320" w:lineRule="exact"/>
              <w:jc w:val="center"/>
              <w:rPr>
                <w:rFonts w:hint="default"/>
              </w:rPr>
            </w:pPr>
            <w:r>
              <w:rPr>
                <w:rFonts w:ascii="仿宋" w:hAnsi="仿宋" w:eastAsia="仿宋" w:cs="仿宋"/>
                <w:b/>
                <w:color w:val="000000"/>
                <w:sz w:val="21"/>
              </w:rPr>
              <w:t>功能清单</w:t>
            </w:r>
          </w:p>
        </w:tc>
      </w:tr>
      <w:tr w14:paraId="01A509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4C978E">
            <w:pPr>
              <w:pStyle w:val="101"/>
              <w:spacing w:line="320" w:lineRule="exact"/>
              <w:jc w:val="center"/>
              <w:rPr>
                <w:rFonts w:hint="default"/>
              </w:rPr>
            </w:pPr>
            <w:r>
              <w:rPr>
                <w:rFonts w:ascii="仿宋" w:hAnsi="仿宋" w:eastAsia="仿宋" w:cs="仿宋"/>
                <w:color w:val="000000"/>
                <w:sz w:val="21"/>
              </w:rPr>
              <w:t>1</w:t>
            </w:r>
          </w:p>
        </w:tc>
        <w:tc>
          <w:tcPr>
            <w:tcW w:w="1407" w:type="dxa"/>
            <w:tcBorders>
              <w:top w:val="nil"/>
              <w:left w:val="nil"/>
              <w:bottom w:val="single" w:color="000000" w:sz="4" w:space="0"/>
              <w:right w:val="single" w:color="000000" w:sz="4" w:space="0"/>
            </w:tcBorders>
            <w:tcMar>
              <w:top w:w="0" w:type="dxa"/>
              <w:left w:w="105" w:type="dxa"/>
              <w:bottom w:w="0" w:type="dxa"/>
              <w:right w:w="105" w:type="dxa"/>
            </w:tcMar>
          </w:tcPr>
          <w:p w14:paraId="215F0F89">
            <w:pPr>
              <w:pStyle w:val="101"/>
              <w:spacing w:line="320" w:lineRule="exact"/>
              <w:jc w:val="center"/>
              <w:rPr>
                <w:rFonts w:hint="default"/>
              </w:rPr>
            </w:pPr>
            <w:r>
              <w:rPr>
                <w:rFonts w:ascii="仿宋" w:hAnsi="仿宋" w:eastAsia="仿宋" w:cs="仿宋"/>
                <w:color w:val="000000"/>
                <w:sz w:val="21"/>
              </w:rPr>
              <w:t>安措费监管系统</w:t>
            </w:r>
            <w:r>
              <w:rPr>
                <w:rFonts w:ascii="仿宋" w:hAnsi="仿宋" w:eastAsia="仿宋" w:cs="仿宋"/>
                <w:color w:val="000000"/>
                <w:sz w:val="21"/>
                <w:lang w:eastAsia="zh-CN"/>
              </w:rPr>
              <w:t>-</w:t>
            </w:r>
            <w:r>
              <w:rPr>
                <w:rFonts w:ascii="仿宋" w:hAnsi="仿宋" w:eastAsia="仿宋" w:cs="仿宋"/>
                <w:color w:val="000000"/>
                <w:sz w:val="21"/>
              </w:rPr>
              <w:t>建设单位功能</w:t>
            </w: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56E3B271">
            <w:pPr>
              <w:pStyle w:val="101"/>
              <w:spacing w:line="320" w:lineRule="exact"/>
              <w:jc w:val="both"/>
              <w:rPr>
                <w:rFonts w:hint="default"/>
              </w:rPr>
            </w:pPr>
            <w:r>
              <w:rPr>
                <w:rFonts w:ascii="仿宋" w:hAnsi="仿宋" w:eastAsia="仿宋" w:cs="仿宋"/>
                <w:color w:val="000000"/>
                <w:sz w:val="21"/>
              </w:rPr>
              <w:t>基础信息管理</w:t>
            </w:r>
            <w:r>
              <w:br w:type="textWrapping"/>
            </w:r>
            <w:r>
              <w:rPr>
                <w:rFonts w:ascii="仿宋" w:hAnsi="仿宋" w:eastAsia="仿宋" w:cs="仿宋"/>
                <w:color w:val="000000"/>
                <w:sz w:val="21"/>
              </w:rPr>
              <w:t>安措费缴纳情况查看</w:t>
            </w:r>
            <w:r>
              <w:br w:type="textWrapping"/>
            </w:r>
            <w:r>
              <w:rPr>
                <w:rFonts w:ascii="仿宋" w:hAnsi="仿宋" w:eastAsia="仿宋" w:cs="仿宋"/>
                <w:color w:val="000000"/>
                <w:sz w:val="21"/>
              </w:rPr>
              <w:t>安措费支取明细查看</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78417150">
            <w:pPr>
              <w:pStyle w:val="101"/>
              <w:spacing w:line="320" w:lineRule="exact"/>
              <w:jc w:val="both"/>
              <w:rPr>
                <w:rFonts w:hint="default"/>
              </w:rPr>
            </w:pPr>
            <w:r>
              <w:rPr>
                <w:rFonts w:ascii="仿宋" w:hAnsi="仿宋" w:eastAsia="仿宋" w:cs="仿宋"/>
                <w:color w:val="000000"/>
                <w:sz w:val="21"/>
              </w:rPr>
              <w:t>建设单位在银行进行线下安措费的缴纳，缴纳完成后相关信息可在线进行查看，包括应缴与实缴金额等，系统将根据账户情况实时更新状态。</w:t>
            </w:r>
          </w:p>
        </w:tc>
      </w:tr>
      <w:tr w14:paraId="052E6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35F6643">
            <w:pPr>
              <w:pStyle w:val="101"/>
              <w:spacing w:line="320" w:lineRule="exact"/>
              <w:jc w:val="center"/>
              <w:rPr>
                <w:rFonts w:hint="default"/>
              </w:rPr>
            </w:pPr>
            <w:r>
              <w:rPr>
                <w:rFonts w:ascii="仿宋" w:hAnsi="仿宋" w:eastAsia="仿宋" w:cs="仿宋"/>
                <w:color w:val="000000"/>
                <w:sz w:val="21"/>
              </w:rPr>
              <w:t>2</w:t>
            </w:r>
          </w:p>
        </w:tc>
        <w:tc>
          <w:tcPr>
            <w:tcW w:w="1407" w:type="dxa"/>
            <w:tcBorders>
              <w:top w:val="nil"/>
              <w:left w:val="nil"/>
              <w:bottom w:val="single" w:color="000000" w:sz="4" w:space="0"/>
              <w:right w:val="single" w:color="000000" w:sz="4" w:space="0"/>
            </w:tcBorders>
            <w:tcMar>
              <w:top w:w="0" w:type="dxa"/>
              <w:left w:w="105" w:type="dxa"/>
              <w:bottom w:w="0" w:type="dxa"/>
              <w:right w:w="105" w:type="dxa"/>
            </w:tcMar>
          </w:tcPr>
          <w:p w14:paraId="6DE2E5AA">
            <w:pPr>
              <w:pStyle w:val="101"/>
              <w:spacing w:line="320" w:lineRule="exact"/>
              <w:jc w:val="center"/>
              <w:rPr>
                <w:rFonts w:hint="default"/>
              </w:rPr>
            </w:pPr>
            <w:r>
              <w:rPr>
                <w:rFonts w:ascii="仿宋" w:hAnsi="仿宋" w:eastAsia="仿宋" w:cs="仿宋"/>
                <w:color w:val="000000"/>
                <w:sz w:val="21"/>
              </w:rPr>
              <w:t>安措费监管系统</w:t>
            </w:r>
            <w:r>
              <w:rPr>
                <w:rFonts w:ascii="仿宋" w:hAnsi="仿宋" w:eastAsia="仿宋" w:cs="仿宋"/>
                <w:color w:val="000000"/>
                <w:sz w:val="21"/>
                <w:lang w:eastAsia="zh-CN"/>
              </w:rPr>
              <w:t>-</w:t>
            </w:r>
            <w:r>
              <w:rPr>
                <w:rFonts w:ascii="仿宋" w:hAnsi="仿宋" w:eastAsia="仿宋" w:cs="仿宋"/>
                <w:color w:val="000000"/>
                <w:sz w:val="21"/>
              </w:rPr>
              <w:t>监理单位功能</w:t>
            </w: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3491A17C">
            <w:pPr>
              <w:pStyle w:val="101"/>
              <w:spacing w:line="320" w:lineRule="exact"/>
              <w:jc w:val="both"/>
              <w:rPr>
                <w:rFonts w:hint="default"/>
              </w:rPr>
            </w:pPr>
            <w:r>
              <w:rPr>
                <w:rFonts w:ascii="仿宋" w:hAnsi="仿宋" w:eastAsia="仿宋" w:cs="仿宋"/>
                <w:color w:val="000000"/>
                <w:sz w:val="21"/>
              </w:rPr>
              <w:t>基础信息管理</w:t>
            </w:r>
            <w:r>
              <w:br w:type="textWrapping"/>
            </w:r>
            <w:r>
              <w:rPr>
                <w:rFonts w:ascii="仿宋" w:hAnsi="仿宋" w:eastAsia="仿宋" w:cs="仿宋"/>
                <w:color w:val="000000"/>
                <w:sz w:val="21"/>
              </w:rPr>
              <w:t>安措费使用计划审核</w:t>
            </w:r>
            <w:r>
              <w:br w:type="textWrapping"/>
            </w:r>
            <w:r>
              <w:rPr>
                <w:rFonts w:ascii="仿宋" w:hAnsi="仿宋" w:eastAsia="仿宋" w:cs="仿宋"/>
                <w:color w:val="000000"/>
                <w:sz w:val="21"/>
              </w:rPr>
              <w:t>安措费支取明细查看</w:t>
            </w:r>
            <w:r>
              <w:br w:type="textWrapping"/>
            </w:r>
            <w:r>
              <w:rPr>
                <w:rFonts w:ascii="仿宋" w:hAnsi="仿宋" w:eastAsia="仿宋" w:cs="仿宋"/>
                <w:color w:val="000000"/>
                <w:sz w:val="21"/>
              </w:rPr>
              <w:t>安措费落实检查整改</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51ECD183">
            <w:pPr>
              <w:pStyle w:val="101"/>
              <w:spacing w:line="320" w:lineRule="exact"/>
              <w:jc w:val="both"/>
              <w:rPr>
                <w:rFonts w:hint="default"/>
              </w:rPr>
            </w:pPr>
            <w:r>
              <w:rPr>
                <w:rFonts w:ascii="仿宋" w:hAnsi="仿宋" w:eastAsia="仿宋" w:cs="仿宋"/>
                <w:color w:val="000000"/>
                <w:sz w:val="21"/>
              </w:rPr>
              <w:t>监理人员可结合安措费的支取情况和现场情况进行检查，如果遇到问题可将在线下发整改通知，要求施工单位及时整改并在线完成闭环。</w:t>
            </w:r>
          </w:p>
        </w:tc>
      </w:tr>
      <w:tr w14:paraId="60054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F8BBF97">
            <w:pPr>
              <w:pStyle w:val="101"/>
              <w:spacing w:line="320" w:lineRule="exact"/>
              <w:jc w:val="center"/>
              <w:rPr>
                <w:rFonts w:hint="default"/>
              </w:rPr>
            </w:pPr>
            <w:r>
              <w:rPr>
                <w:rFonts w:ascii="仿宋" w:hAnsi="仿宋" w:eastAsia="仿宋" w:cs="仿宋"/>
                <w:color w:val="000000"/>
                <w:sz w:val="21"/>
              </w:rPr>
              <w:t>3</w:t>
            </w:r>
          </w:p>
        </w:tc>
        <w:tc>
          <w:tcPr>
            <w:tcW w:w="1407" w:type="dxa"/>
            <w:tcBorders>
              <w:top w:val="nil"/>
              <w:left w:val="nil"/>
              <w:bottom w:val="single" w:color="000000" w:sz="4" w:space="0"/>
              <w:right w:val="single" w:color="000000" w:sz="4" w:space="0"/>
            </w:tcBorders>
            <w:tcMar>
              <w:top w:w="0" w:type="dxa"/>
              <w:left w:w="105" w:type="dxa"/>
              <w:bottom w:w="0" w:type="dxa"/>
              <w:right w:w="105" w:type="dxa"/>
            </w:tcMar>
          </w:tcPr>
          <w:p w14:paraId="0F41E7AA">
            <w:pPr>
              <w:pStyle w:val="101"/>
              <w:spacing w:line="320" w:lineRule="exact"/>
              <w:jc w:val="center"/>
              <w:rPr>
                <w:rFonts w:hint="default"/>
              </w:rPr>
            </w:pPr>
            <w:r>
              <w:rPr>
                <w:rFonts w:ascii="仿宋" w:hAnsi="仿宋" w:eastAsia="仿宋" w:cs="仿宋"/>
                <w:color w:val="000000"/>
                <w:sz w:val="21"/>
              </w:rPr>
              <w:t>安措费监管系统</w:t>
            </w:r>
            <w:r>
              <w:rPr>
                <w:rFonts w:ascii="仿宋" w:hAnsi="仿宋" w:eastAsia="仿宋" w:cs="仿宋"/>
                <w:color w:val="000000"/>
                <w:sz w:val="21"/>
                <w:lang w:eastAsia="zh-CN"/>
              </w:rPr>
              <w:t>-</w:t>
            </w:r>
            <w:r>
              <w:rPr>
                <w:rFonts w:ascii="仿宋" w:hAnsi="仿宋" w:eastAsia="仿宋" w:cs="仿宋"/>
                <w:color w:val="000000"/>
                <w:sz w:val="21"/>
              </w:rPr>
              <w:t>施工单位功能</w:t>
            </w: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6E611622">
            <w:pPr>
              <w:pStyle w:val="101"/>
              <w:spacing w:line="320" w:lineRule="exact"/>
              <w:jc w:val="both"/>
              <w:rPr>
                <w:rFonts w:hint="default"/>
              </w:rPr>
            </w:pPr>
            <w:r>
              <w:rPr>
                <w:rFonts w:ascii="仿宋" w:hAnsi="仿宋" w:eastAsia="仿宋" w:cs="仿宋"/>
                <w:color w:val="000000"/>
                <w:sz w:val="21"/>
              </w:rPr>
              <w:t>基础信息管理</w:t>
            </w:r>
            <w:r>
              <w:br w:type="textWrapping"/>
            </w:r>
            <w:r>
              <w:rPr>
                <w:rFonts w:ascii="仿宋" w:hAnsi="仿宋" w:eastAsia="仿宋" w:cs="仿宋"/>
                <w:color w:val="000000"/>
                <w:sz w:val="21"/>
              </w:rPr>
              <w:t>安措费主账户查看</w:t>
            </w:r>
            <w:r>
              <w:br w:type="textWrapping"/>
            </w:r>
            <w:r>
              <w:rPr>
                <w:rFonts w:ascii="仿宋" w:hAnsi="仿宋" w:eastAsia="仿宋" w:cs="仿宋"/>
                <w:color w:val="000000"/>
                <w:sz w:val="21"/>
              </w:rPr>
              <w:t>安措费到账情况查看</w:t>
            </w:r>
            <w:r>
              <w:br w:type="textWrapping"/>
            </w:r>
            <w:r>
              <w:rPr>
                <w:rFonts w:ascii="仿宋" w:hAnsi="仿宋" w:eastAsia="仿宋" w:cs="仿宋"/>
                <w:color w:val="000000"/>
                <w:sz w:val="21"/>
              </w:rPr>
              <w:t>安措费支取使用申请</w:t>
            </w:r>
            <w:r>
              <w:br w:type="textWrapping"/>
            </w:r>
            <w:r>
              <w:rPr>
                <w:rFonts w:ascii="仿宋" w:hAnsi="仿宋" w:eastAsia="仿宋" w:cs="仿宋"/>
                <w:color w:val="000000"/>
                <w:sz w:val="21"/>
              </w:rPr>
              <w:t>安措费落实检查整改</w:t>
            </w:r>
            <w:r>
              <w:br w:type="textWrapping"/>
            </w:r>
            <w:r>
              <w:rPr>
                <w:rFonts w:ascii="仿宋" w:hAnsi="仿宋" w:eastAsia="仿宋" w:cs="仿宋"/>
                <w:color w:val="000000"/>
                <w:sz w:val="21"/>
              </w:rPr>
              <w:t>安措费子账户注销查看</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1D9B0B18">
            <w:pPr>
              <w:pStyle w:val="101"/>
              <w:spacing w:line="320" w:lineRule="exact"/>
              <w:jc w:val="both"/>
              <w:rPr>
                <w:rFonts w:hint="default"/>
              </w:rPr>
            </w:pPr>
            <w:r>
              <w:rPr>
                <w:rFonts w:ascii="仿宋" w:hAnsi="仿宋" w:eastAsia="仿宋" w:cs="仿宋"/>
                <w:color w:val="000000"/>
                <w:sz w:val="21"/>
              </w:rPr>
              <w:t>1、产权备案编号检索</w:t>
            </w:r>
            <w:r>
              <w:br w:type="textWrapping"/>
            </w:r>
            <w:r>
              <w:rPr>
                <w:rFonts w:ascii="仿宋" w:hAnsi="仿宋" w:eastAsia="仿宋" w:cs="仿宋"/>
                <w:color w:val="000000"/>
                <w:sz w:val="21"/>
              </w:rPr>
              <w:t>2、生产厂家检索</w:t>
            </w:r>
            <w:r>
              <w:br w:type="textWrapping"/>
            </w:r>
            <w:r>
              <w:rPr>
                <w:rFonts w:ascii="仿宋" w:hAnsi="仿宋" w:eastAsia="仿宋" w:cs="仿宋"/>
                <w:color w:val="000000"/>
                <w:sz w:val="21"/>
              </w:rPr>
              <w:t>3、出场编号检索</w:t>
            </w:r>
            <w:r>
              <w:br w:type="textWrapping"/>
            </w:r>
            <w:r>
              <w:rPr>
                <w:rFonts w:ascii="仿宋" w:hAnsi="仿宋" w:eastAsia="仿宋" w:cs="仿宋"/>
                <w:color w:val="000000"/>
                <w:sz w:val="21"/>
              </w:rPr>
              <w:t>4、起重机械（注销）基本信息列表展示（查看详细设备信息）</w:t>
            </w:r>
            <w:r>
              <w:br w:type="textWrapping"/>
            </w:r>
            <w:r>
              <w:rPr>
                <w:rFonts w:ascii="仿宋" w:hAnsi="仿宋" w:eastAsia="仿宋" w:cs="仿宋"/>
                <w:color w:val="000000"/>
                <w:sz w:val="21"/>
              </w:rPr>
              <w:t>5、起重机械设备使用登记（注销）（填写设备基本信息，以及附件上传）</w:t>
            </w:r>
            <w:r>
              <w:br w:type="textWrapping"/>
            </w:r>
            <w:r>
              <w:rPr>
                <w:rFonts w:ascii="仿宋" w:hAnsi="仿宋" w:eastAsia="仿宋" w:cs="仿宋"/>
                <w:color w:val="000000"/>
                <w:sz w:val="21"/>
              </w:rPr>
              <w:t>6、建筑起重机械使用登记（注销）删除（删除从未提交审核的信息）</w:t>
            </w:r>
          </w:p>
        </w:tc>
      </w:tr>
      <w:tr w14:paraId="36CE81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228ED6">
            <w:pPr>
              <w:pStyle w:val="101"/>
              <w:spacing w:line="320" w:lineRule="exact"/>
              <w:jc w:val="center"/>
              <w:rPr>
                <w:rFonts w:hint="default"/>
              </w:rPr>
            </w:pPr>
            <w:r>
              <w:rPr>
                <w:rFonts w:ascii="仿宋" w:hAnsi="仿宋" w:eastAsia="仿宋" w:cs="仿宋"/>
                <w:b/>
                <w:color w:val="000000"/>
                <w:sz w:val="21"/>
              </w:rPr>
              <w:t>管理端</w:t>
            </w:r>
          </w:p>
        </w:tc>
      </w:tr>
      <w:tr w14:paraId="7793C6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3CC394">
            <w:pPr>
              <w:pStyle w:val="101"/>
              <w:spacing w:line="320" w:lineRule="exact"/>
              <w:jc w:val="center"/>
              <w:rPr>
                <w:rFonts w:hint="default"/>
              </w:rPr>
            </w:pPr>
            <w:r>
              <w:rPr>
                <w:rFonts w:ascii="仿宋" w:hAnsi="仿宋" w:eastAsia="仿宋" w:cs="仿宋"/>
                <w:color w:val="000000"/>
                <w:sz w:val="21"/>
              </w:rPr>
              <w:t>1</w:t>
            </w:r>
          </w:p>
        </w:tc>
        <w:tc>
          <w:tcPr>
            <w:tcW w:w="140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527D084">
            <w:pPr>
              <w:pStyle w:val="101"/>
              <w:spacing w:line="320" w:lineRule="exact"/>
              <w:jc w:val="center"/>
              <w:rPr>
                <w:rFonts w:hint="default"/>
              </w:rPr>
            </w:pPr>
            <w:r>
              <w:rPr>
                <w:rFonts w:ascii="仿宋" w:hAnsi="仿宋" w:eastAsia="仿宋" w:cs="仿宋"/>
                <w:color w:val="000000"/>
                <w:sz w:val="21"/>
              </w:rPr>
              <w:t>安措费监管系统</w:t>
            </w:r>
            <w:r>
              <w:rPr>
                <w:rFonts w:ascii="仿宋" w:hAnsi="仿宋" w:eastAsia="仿宋" w:cs="仿宋"/>
                <w:color w:val="000000"/>
                <w:sz w:val="21"/>
                <w:lang w:eastAsia="zh-CN"/>
              </w:rPr>
              <w:t>-</w:t>
            </w:r>
            <w:r>
              <w:rPr>
                <w:rFonts w:ascii="仿宋" w:hAnsi="仿宋" w:eastAsia="仿宋" w:cs="仿宋"/>
                <w:color w:val="000000"/>
                <w:sz w:val="21"/>
              </w:rPr>
              <w:t>综合信息管理</w:t>
            </w:r>
          </w:p>
        </w:tc>
        <w:tc>
          <w:tcPr>
            <w:tcW w:w="188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3774A4A">
            <w:pPr>
              <w:pStyle w:val="101"/>
              <w:spacing w:line="320" w:lineRule="exact"/>
              <w:jc w:val="center"/>
              <w:rPr>
                <w:rFonts w:hint="default"/>
              </w:rPr>
            </w:pPr>
            <w:r>
              <w:rPr>
                <w:rFonts w:ascii="仿宋" w:hAnsi="仿宋" w:eastAsia="仿宋" w:cs="仿宋"/>
                <w:color w:val="000000"/>
                <w:sz w:val="21"/>
              </w:rPr>
              <w:t>企业信息管理</w:t>
            </w:r>
            <w:r>
              <w:br w:type="textWrapping"/>
            </w:r>
            <w:r>
              <w:rPr>
                <w:rFonts w:ascii="仿宋" w:hAnsi="仿宋" w:eastAsia="仿宋" w:cs="仿宋"/>
                <w:color w:val="000000"/>
                <w:sz w:val="21"/>
              </w:rPr>
              <w:t>项目信息管理</w:t>
            </w:r>
            <w:r>
              <w:br w:type="textWrapping"/>
            </w:r>
            <w:r>
              <w:rPr>
                <w:rFonts w:ascii="仿宋" w:hAnsi="仿宋" w:eastAsia="仿宋" w:cs="仿宋"/>
                <w:color w:val="000000"/>
                <w:sz w:val="21"/>
              </w:rPr>
              <w:t>银行信息管理</w:t>
            </w:r>
            <w:r>
              <w:br w:type="textWrapping"/>
            </w:r>
            <w:r>
              <w:rPr>
                <w:rFonts w:ascii="仿宋" w:hAnsi="仿宋" w:eastAsia="仿宋" w:cs="仿宋"/>
                <w:color w:val="000000"/>
                <w:sz w:val="21"/>
              </w:rPr>
              <w:t>通知公告管理</w:t>
            </w:r>
          </w:p>
        </w:tc>
        <w:tc>
          <w:tcPr>
            <w:tcW w:w="511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26A0021">
            <w:pPr>
              <w:pStyle w:val="101"/>
              <w:spacing w:line="320" w:lineRule="exact"/>
              <w:jc w:val="both"/>
              <w:rPr>
                <w:rFonts w:hint="default"/>
              </w:rPr>
            </w:pPr>
            <w:r>
              <w:rPr>
                <w:rFonts w:ascii="仿宋" w:hAnsi="仿宋" w:eastAsia="仿宋" w:cs="仿宋"/>
                <w:color w:val="000000"/>
                <w:sz w:val="21"/>
              </w:rPr>
              <w:t>企业需登录统一门户上报企业相关信息，主管部门可针对建设单位、施工单位、监理单位上传的信息进行查看，对于入库的企业，可查看企业的详细信息，包括基本信息、联系信息、营业执照、单位资质、企业人员信息及企业项目信息等。</w:t>
            </w:r>
          </w:p>
        </w:tc>
      </w:tr>
      <w:tr w14:paraId="1B4776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361EBD">
            <w:pPr>
              <w:pStyle w:val="101"/>
              <w:spacing w:line="320" w:lineRule="exact"/>
              <w:jc w:val="center"/>
              <w:rPr>
                <w:rFonts w:hint="default"/>
              </w:rPr>
            </w:pPr>
            <w:r>
              <w:rPr>
                <w:rFonts w:ascii="仿宋" w:hAnsi="仿宋" w:eastAsia="仿宋" w:cs="仿宋"/>
                <w:color w:val="000000"/>
                <w:sz w:val="21"/>
              </w:rPr>
              <w:t>2</w:t>
            </w:r>
          </w:p>
        </w:tc>
        <w:tc>
          <w:tcPr>
            <w:tcW w:w="140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664625FB">
            <w:pPr>
              <w:pStyle w:val="101"/>
              <w:spacing w:line="320" w:lineRule="exact"/>
              <w:jc w:val="center"/>
              <w:rPr>
                <w:rFonts w:hint="default"/>
              </w:rPr>
            </w:pPr>
            <w:r>
              <w:rPr>
                <w:rFonts w:ascii="仿宋" w:hAnsi="仿宋" w:eastAsia="仿宋" w:cs="仿宋"/>
                <w:color w:val="000000"/>
                <w:sz w:val="21"/>
              </w:rPr>
              <w:t>安措费监管系统</w:t>
            </w:r>
            <w:r>
              <w:rPr>
                <w:rFonts w:ascii="仿宋" w:hAnsi="仿宋" w:eastAsia="仿宋" w:cs="仿宋"/>
                <w:color w:val="000000"/>
                <w:sz w:val="21"/>
                <w:lang w:eastAsia="zh-CN"/>
              </w:rPr>
              <w:t>-</w:t>
            </w:r>
            <w:r>
              <w:rPr>
                <w:rFonts w:ascii="仿宋" w:hAnsi="仿宋" w:eastAsia="仿宋" w:cs="仿宋"/>
                <w:color w:val="000000"/>
                <w:sz w:val="21"/>
              </w:rPr>
              <w:t>安措费到账管理</w:t>
            </w: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2C2BE8A0">
            <w:pPr>
              <w:pStyle w:val="101"/>
              <w:spacing w:line="320" w:lineRule="exact"/>
              <w:jc w:val="center"/>
              <w:rPr>
                <w:rFonts w:hint="default"/>
              </w:rPr>
            </w:pPr>
            <w:r>
              <w:rPr>
                <w:rFonts w:ascii="仿宋" w:hAnsi="仿宋" w:eastAsia="仿宋" w:cs="仿宋"/>
                <w:color w:val="000000"/>
                <w:sz w:val="21"/>
              </w:rPr>
              <w:t>安措费标准查看</w:t>
            </w:r>
          </w:p>
        </w:tc>
        <w:tc>
          <w:tcPr>
            <w:tcW w:w="5112"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2B87FED2">
            <w:pPr>
              <w:pStyle w:val="101"/>
              <w:spacing w:line="320" w:lineRule="exact"/>
              <w:jc w:val="both"/>
              <w:rPr>
                <w:rFonts w:hint="default"/>
              </w:rPr>
            </w:pPr>
            <w:r>
              <w:rPr>
                <w:rFonts w:ascii="仿宋" w:hAnsi="仿宋" w:eastAsia="仿宋" w:cs="仿宋"/>
                <w:color w:val="000000"/>
                <w:sz w:val="21"/>
              </w:rPr>
              <w:t>系统通过对接银行，实时获取施工单位主账户和施工单位项目子账户的开设情况，以及建设单位安措费的缴纳情况。建设单位在缴纳安措费时，直接汇入施工单位总账户，由银行根据汇款信息自动拨入项目子账户。系统根据以上情况，将所有的工程项目分为“已开设未缴纳、已开设已缴纳、已开设未足额缴纳”三种状态，并显示其应缴与实缴金额，系统将根据账户情况实时更新状态。</w:t>
            </w:r>
          </w:p>
        </w:tc>
      </w:tr>
      <w:tr w14:paraId="57A17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1FA1F557">
            <w:pPr>
              <w:spacing w:line="320" w:lineRule="exact"/>
            </w:pPr>
          </w:p>
        </w:tc>
        <w:tc>
          <w:tcPr>
            <w:tcW w:w="1407" w:type="dxa"/>
            <w:vMerge w:val="continue"/>
            <w:tcBorders>
              <w:top w:val="nil"/>
              <w:left w:val="nil"/>
              <w:bottom w:val="single" w:color="000000" w:sz="4" w:space="0"/>
              <w:right w:val="single" w:color="000000" w:sz="4" w:space="0"/>
            </w:tcBorders>
          </w:tcPr>
          <w:p w14:paraId="234DE08D">
            <w:pPr>
              <w:spacing w:line="320" w:lineRule="exact"/>
            </w:pP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7DAC41CF">
            <w:pPr>
              <w:pStyle w:val="101"/>
              <w:spacing w:line="320" w:lineRule="exact"/>
              <w:jc w:val="center"/>
              <w:rPr>
                <w:rFonts w:hint="default"/>
              </w:rPr>
            </w:pPr>
            <w:r>
              <w:rPr>
                <w:rFonts w:ascii="仿宋" w:hAnsi="仿宋" w:eastAsia="仿宋" w:cs="仿宋"/>
                <w:color w:val="000000"/>
                <w:sz w:val="21"/>
              </w:rPr>
              <w:t>安措费到账情况查看</w:t>
            </w:r>
          </w:p>
        </w:tc>
        <w:tc>
          <w:tcPr>
            <w:tcW w:w="5112" w:type="dxa"/>
            <w:vMerge w:val="continue"/>
            <w:tcBorders>
              <w:top w:val="nil"/>
              <w:left w:val="nil"/>
              <w:bottom w:val="single" w:color="000000" w:sz="4" w:space="0"/>
              <w:right w:val="single" w:color="000000" w:sz="4" w:space="0"/>
            </w:tcBorders>
          </w:tcPr>
          <w:p w14:paraId="54659211">
            <w:pPr>
              <w:spacing w:line="320" w:lineRule="exact"/>
            </w:pPr>
          </w:p>
        </w:tc>
      </w:tr>
      <w:tr w14:paraId="69F135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6CCE73">
            <w:pPr>
              <w:pStyle w:val="101"/>
              <w:spacing w:line="320" w:lineRule="exact"/>
              <w:jc w:val="center"/>
              <w:rPr>
                <w:rFonts w:hint="default"/>
              </w:rPr>
            </w:pPr>
            <w:r>
              <w:rPr>
                <w:rFonts w:ascii="仿宋" w:hAnsi="仿宋" w:eastAsia="仿宋" w:cs="仿宋"/>
                <w:color w:val="000000"/>
                <w:sz w:val="21"/>
              </w:rPr>
              <w:t>3</w:t>
            </w:r>
          </w:p>
        </w:tc>
        <w:tc>
          <w:tcPr>
            <w:tcW w:w="140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3138FD4D">
            <w:pPr>
              <w:pStyle w:val="101"/>
              <w:spacing w:line="320" w:lineRule="exact"/>
              <w:jc w:val="center"/>
              <w:rPr>
                <w:rFonts w:hint="default"/>
              </w:rPr>
            </w:pPr>
            <w:r>
              <w:rPr>
                <w:rFonts w:ascii="仿宋" w:hAnsi="仿宋" w:eastAsia="仿宋" w:cs="仿宋"/>
                <w:color w:val="000000"/>
                <w:sz w:val="21"/>
              </w:rPr>
              <w:t>安措费监管系统</w:t>
            </w:r>
            <w:r>
              <w:rPr>
                <w:rFonts w:ascii="仿宋" w:hAnsi="仿宋" w:eastAsia="仿宋" w:cs="仿宋"/>
                <w:color w:val="000000"/>
                <w:sz w:val="21"/>
                <w:lang w:eastAsia="zh-CN"/>
              </w:rPr>
              <w:t>-</w:t>
            </w:r>
            <w:r>
              <w:rPr>
                <w:rFonts w:ascii="仿宋" w:hAnsi="仿宋" w:eastAsia="仿宋" w:cs="仿宋"/>
                <w:color w:val="000000"/>
                <w:sz w:val="21"/>
              </w:rPr>
              <w:t>预警统计分析</w:t>
            </w: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725A3F8C">
            <w:pPr>
              <w:pStyle w:val="101"/>
              <w:spacing w:line="320" w:lineRule="exact"/>
              <w:jc w:val="center"/>
              <w:rPr>
                <w:rFonts w:hint="default"/>
              </w:rPr>
            </w:pPr>
            <w:r>
              <w:rPr>
                <w:rFonts w:ascii="仿宋" w:hAnsi="仿宋" w:eastAsia="仿宋" w:cs="仿宋"/>
                <w:color w:val="000000"/>
                <w:sz w:val="21"/>
              </w:rPr>
              <w:t>超期未缴纳</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0B44D021">
            <w:pPr>
              <w:pStyle w:val="101"/>
              <w:spacing w:line="320" w:lineRule="exact"/>
              <w:jc w:val="both"/>
              <w:rPr>
                <w:rFonts w:hint="default"/>
              </w:rPr>
            </w:pPr>
            <w:r>
              <w:rPr>
                <w:rFonts w:ascii="仿宋" w:hAnsi="仿宋" w:eastAsia="仿宋" w:cs="仿宋"/>
                <w:color w:val="000000"/>
                <w:sz w:val="21"/>
              </w:rPr>
              <w:t>建立超期未缴纳预警模型，对建设单位在项目子账户开设后超过一定天数后未缴纳安措费的情况进行预警统分析。</w:t>
            </w:r>
          </w:p>
        </w:tc>
      </w:tr>
      <w:tr w14:paraId="339C5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65A2A7A4">
            <w:pPr>
              <w:spacing w:line="320" w:lineRule="exact"/>
            </w:pPr>
          </w:p>
        </w:tc>
        <w:tc>
          <w:tcPr>
            <w:tcW w:w="1407" w:type="dxa"/>
            <w:vMerge w:val="continue"/>
            <w:tcBorders>
              <w:top w:val="nil"/>
              <w:left w:val="nil"/>
              <w:bottom w:val="single" w:color="000000" w:sz="4" w:space="0"/>
              <w:right w:val="single" w:color="000000" w:sz="4" w:space="0"/>
            </w:tcBorders>
          </w:tcPr>
          <w:p w14:paraId="2C063617">
            <w:pPr>
              <w:spacing w:line="320" w:lineRule="exact"/>
            </w:pP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0555DF55">
            <w:pPr>
              <w:pStyle w:val="101"/>
              <w:spacing w:line="320" w:lineRule="exact"/>
              <w:jc w:val="center"/>
              <w:rPr>
                <w:rFonts w:hint="default"/>
              </w:rPr>
            </w:pPr>
            <w:r>
              <w:rPr>
                <w:rFonts w:ascii="仿宋" w:hAnsi="仿宋" w:eastAsia="仿宋" w:cs="仿宋"/>
                <w:color w:val="000000"/>
                <w:sz w:val="21"/>
              </w:rPr>
              <w:t>缴纳不满额</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4A658496">
            <w:pPr>
              <w:pStyle w:val="101"/>
              <w:spacing w:line="320" w:lineRule="exact"/>
              <w:jc w:val="both"/>
              <w:rPr>
                <w:rFonts w:hint="default"/>
              </w:rPr>
            </w:pPr>
            <w:r>
              <w:rPr>
                <w:rFonts w:ascii="仿宋" w:hAnsi="仿宋" w:eastAsia="仿宋" w:cs="仿宋"/>
                <w:color w:val="000000"/>
                <w:sz w:val="21"/>
              </w:rPr>
              <w:t>建立缴纳不满额预警模型，对安措费应缴与实缴不符的情况进行预警统计分析。</w:t>
            </w:r>
          </w:p>
        </w:tc>
      </w:tr>
      <w:tr w14:paraId="6460DF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1" w:type="dxa"/>
            <w:vMerge w:val="continue"/>
            <w:tcBorders>
              <w:top w:val="nil"/>
              <w:left w:val="single" w:color="000000" w:sz="4" w:space="0"/>
              <w:bottom w:val="single" w:color="000000" w:sz="4" w:space="0"/>
              <w:right w:val="single" w:color="000000" w:sz="4" w:space="0"/>
            </w:tcBorders>
          </w:tcPr>
          <w:p w14:paraId="10CE712E">
            <w:pPr>
              <w:spacing w:line="320" w:lineRule="exact"/>
            </w:pPr>
          </w:p>
        </w:tc>
        <w:tc>
          <w:tcPr>
            <w:tcW w:w="1407" w:type="dxa"/>
            <w:vMerge w:val="continue"/>
            <w:tcBorders>
              <w:top w:val="nil"/>
              <w:left w:val="nil"/>
              <w:bottom w:val="single" w:color="000000" w:sz="4" w:space="0"/>
              <w:right w:val="single" w:color="000000" w:sz="4" w:space="0"/>
            </w:tcBorders>
          </w:tcPr>
          <w:p w14:paraId="5AD8A303">
            <w:pPr>
              <w:spacing w:line="320" w:lineRule="exact"/>
            </w:pPr>
          </w:p>
        </w:tc>
        <w:tc>
          <w:tcPr>
            <w:tcW w:w="1884" w:type="dxa"/>
            <w:tcBorders>
              <w:top w:val="nil"/>
              <w:left w:val="nil"/>
              <w:bottom w:val="single" w:color="000000" w:sz="4" w:space="0"/>
              <w:right w:val="single" w:color="000000" w:sz="4" w:space="0"/>
            </w:tcBorders>
            <w:tcMar>
              <w:top w:w="0" w:type="dxa"/>
              <w:left w:w="105" w:type="dxa"/>
              <w:bottom w:w="0" w:type="dxa"/>
              <w:right w:w="105" w:type="dxa"/>
            </w:tcMar>
          </w:tcPr>
          <w:p w14:paraId="43F297DC">
            <w:pPr>
              <w:pStyle w:val="101"/>
              <w:spacing w:line="320" w:lineRule="exact"/>
              <w:jc w:val="center"/>
              <w:rPr>
                <w:rFonts w:hint="default"/>
              </w:rPr>
            </w:pPr>
            <w:r>
              <w:rPr>
                <w:rFonts w:ascii="仿宋" w:hAnsi="仿宋" w:eastAsia="仿宋" w:cs="仿宋"/>
                <w:color w:val="000000"/>
                <w:sz w:val="21"/>
              </w:rPr>
              <w:t>支取异常</w:t>
            </w:r>
            <w:r>
              <w:br w:type="textWrapping"/>
            </w:r>
            <w:r>
              <w:rPr>
                <w:rFonts w:ascii="仿宋" w:hAnsi="仿宋" w:eastAsia="仿宋" w:cs="仿宋"/>
                <w:color w:val="000000"/>
                <w:sz w:val="21"/>
              </w:rPr>
              <w:t>使用异常</w:t>
            </w:r>
          </w:p>
        </w:tc>
        <w:tc>
          <w:tcPr>
            <w:tcW w:w="5112" w:type="dxa"/>
            <w:tcBorders>
              <w:top w:val="nil"/>
              <w:left w:val="nil"/>
              <w:bottom w:val="single" w:color="000000" w:sz="4" w:space="0"/>
              <w:right w:val="single" w:color="000000" w:sz="4" w:space="0"/>
            </w:tcBorders>
            <w:tcMar>
              <w:top w:w="0" w:type="dxa"/>
              <w:left w:w="105" w:type="dxa"/>
              <w:bottom w:w="0" w:type="dxa"/>
              <w:right w:w="105" w:type="dxa"/>
            </w:tcMar>
          </w:tcPr>
          <w:p w14:paraId="4CB8B0BB">
            <w:pPr>
              <w:pStyle w:val="101"/>
              <w:spacing w:line="320" w:lineRule="exact"/>
              <w:jc w:val="both"/>
              <w:rPr>
                <w:rFonts w:hint="default"/>
              </w:rPr>
            </w:pPr>
            <w:r>
              <w:rPr>
                <w:rFonts w:ascii="仿宋" w:hAnsi="仿宋" w:eastAsia="仿宋" w:cs="仿宋"/>
                <w:color w:val="000000"/>
                <w:sz w:val="21"/>
              </w:rPr>
              <w:t>建立使用异常预警模型，对主管部门线下检查发现安措费落实不到位的情况，进行线下通报。</w:t>
            </w:r>
          </w:p>
        </w:tc>
      </w:tr>
    </w:tbl>
    <w:p w14:paraId="064FB5ED">
      <w:pPr>
        <w:pStyle w:val="101"/>
        <w:ind w:firstLine="480"/>
        <w:jc w:val="both"/>
        <w:rPr>
          <w:rFonts w:hint="default" w:cs="Times New Roman"/>
          <w:sz w:val="24"/>
          <w:szCs w:val="24"/>
          <w:lang w:eastAsia="zh-CN"/>
        </w:rPr>
      </w:pPr>
    </w:p>
    <w:p w14:paraId="7371152E">
      <w:pPr>
        <w:pStyle w:val="101"/>
        <w:ind w:firstLine="480"/>
        <w:jc w:val="both"/>
        <w:rPr>
          <w:rFonts w:hint="default" w:cs="Times New Roman"/>
          <w:sz w:val="24"/>
          <w:szCs w:val="24"/>
          <w:lang w:eastAsia="zh-CN"/>
        </w:rPr>
      </w:pPr>
      <w:r>
        <w:rPr>
          <w:rFonts w:cs="Times New Roman"/>
          <w:sz w:val="24"/>
          <w:szCs w:val="24"/>
          <w:lang w:eastAsia="zh-CN"/>
        </w:rPr>
        <w:t>（6）消防公示维护清单</w:t>
      </w:r>
    </w:p>
    <w:tbl>
      <w:tblPr>
        <w:tblStyle w:val="26"/>
        <w:tblW w:w="8836"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36"/>
        <w:gridCol w:w="3492"/>
        <w:gridCol w:w="3408"/>
      </w:tblGrid>
      <w:tr w14:paraId="31C865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36"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4468E28">
            <w:pPr>
              <w:pStyle w:val="101"/>
              <w:spacing w:line="320" w:lineRule="exact"/>
              <w:jc w:val="center"/>
              <w:rPr>
                <w:rFonts w:hint="default"/>
              </w:rPr>
            </w:pPr>
            <w:r>
              <w:rPr>
                <w:rFonts w:ascii="仿宋" w:hAnsi="仿宋" w:eastAsia="仿宋" w:cs="仿宋"/>
                <w:color w:val="000000"/>
                <w:sz w:val="21"/>
              </w:rPr>
              <w:t>消防公示页面（对接省消防公示页面数据在市住建局官网展示）</w:t>
            </w:r>
          </w:p>
        </w:tc>
      </w:tr>
      <w:tr w14:paraId="3E9E3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EBD371">
            <w:pPr>
              <w:pStyle w:val="101"/>
              <w:spacing w:line="320" w:lineRule="exact"/>
              <w:jc w:val="center"/>
              <w:rPr>
                <w:rFonts w:hint="default"/>
              </w:rPr>
            </w:pPr>
            <w:r>
              <w:rPr>
                <w:rFonts w:ascii="仿宋" w:hAnsi="仿宋" w:eastAsia="仿宋" w:cs="仿宋"/>
                <w:color w:val="000000"/>
                <w:sz w:val="21"/>
              </w:rPr>
              <w:t>消防公示</w:t>
            </w:r>
            <w:r>
              <w:rPr>
                <w:rFonts w:ascii="仿宋" w:hAnsi="仿宋" w:eastAsia="仿宋" w:cs="仿宋"/>
                <w:color w:val="000000"/>
                <w:sz w:val="21"/>
                <w:lang w:eastAsia="zh-CN"/>
              </w:rPr>
              <w:t>-</w:t>
            </w:r>
            <w:r>
              <w:rPr>
                <w:rFonts w:ascii="仿宋" w:hAnsi="仿宋" w:eastAsia="仿宋" w:cs="仿宋"/>
                <w:color w:val="000000"/>
                <w:sz w:val="21"/>
              </w:rPr>
              <w:t>消防设计审查公告</w:t>
            </w:r>
          </w:p>
        </w:tc>
        <w:tc>
          <w:tcPr>
            <w:tcW w:w="349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51B895E">
            <w:pPr>
              <w:pStyle w:val="101"/>
              <w:spacing w:line="320" w:lineRule="exact"/>
              <w:jc w:val="both"/>
              <w:rPr>
                <w:rFonts w:hint="default"/>
              </w:rPr>
            </w:pPr>
            <w:r>
              <w:rPr>
                <w:rFonts w:ascii="仿宋" w:hAnsi="仿宋" w:eastAsia="仿宋" w:cs="仿宋"/>
                <w:color w:val="000000"/>
                <w:sz w:val="21"/>
              </w:rPr>
              <w:t>展示项目名称、建设单位、工程地址、第几次公告、办结时间、结果</w:t>
            </w:r>
          </w:p>
        </w:tc>
        <w:tc>
          <w:tcPr>
            <w:tcW w:w="340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C71A39B">
            <w:pPr>
              <w:pStyle w:val="101"/>
              <w:spacing w:line="320" w:lineRule="exact"/>
              <w:jc w:val="center"/>
              <w:rPr>
                <w:rFonts w:hint="default"/>
              </w:rPr>
            </w:pPr>
          </w:p>
        </w:tc>
      </w:tr>
      <w:tr w14:paraId="47D3A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7AD79E2">
            <w:pPr>
              <w:pStyle w:val="101"/>
              <w:spacing w:line="320" w:lineRule="exact"/>
              <w:jc w:val="center"/>
              <w:rPr>
                <w:rFonts w:hint="default"/>
              </w:rPr>
            </w:pPr>
            <w:r>
              <w:rPr>
                <w:rFonts w:ascii="仿宋" w:hAnsi="仿宋" w:eastAsia="仿宋" w:cs="仿宋"/>
                <w:color w:val="000000"/>
                <w:sz w:val="21"/>
              </w:rPr>
              <w:t>消防公示</w:t>
            </w:r>
            <w:r>
              <w:rPr>
                <w:rFonts w:ascii="仿宋" w:hAnsi="仿宋" w:eastAsia="仿宋" w:cs="仿宋"/>
                <w:color w:val="000000"/>
                <w:sz w:val="21"/>
                <w:lang w:eastAsia="zh-CN"/>
              </w:rPr>
              <w:t>-</w:t>
            </w:r>
            <w:r>
              <w:rPr>
                <w:rFonts w:ascii="仿宋" w:hAnsi="仿宋" w:eastAsia="仿宋" w:cs="仿宋"/>
                <w:color w:val="000000"/>
                <w:sz w:val="21"/>
              </w:rPr>
              <w:t>消防验收公告</w:t>
            </w:r>
          </w:p>
        </w:tc>
        <w:tc>
          <w:tcPr>
            <w:tcW w:w="3492" w:type="dxa"/>
            <w:tcBorders>
              <w:top w:val="nil"/>
              <w:left w:val="nil"/>
              <w:bottom w:val="single" w:color="000000" w:sz="4" w:space="0"/>
              <w:right w:val="single" w:color="000000" w:sz="4" w:space="0"/>
            </w:tcBorders>
            <w:tcMar>
              <w:top w:w="0" w:type="dxa"/>
              <w:left w:w="105" w:type="dxa"/>
              <w:bottom w:w="0" w:type="dxa"/>
              <w:right w:w="105" w:type="dxa"/>
            </w:tcMar>
          </w:tcPr>
          <w:p w14:paraId="3529BD80">
            <w:pPr>
              <w:pStyle w:val="101"/>
              <w:spacing w:line="320" w:lineRule="exact"/>
              <w:jc w:val="both"/>
              <w:rPr>
                <w:rFonts w:hint="default"/>
              </w:rPr>
            </w:pPr>
            <w:r>
              <w:rPr>
                <w:rFonts w:ascii="仿宋" w:hAnsi="仿宋" w:eastAsia="仿宋" w:cs="仿宋"/>
                <w:color w:val="000000"/>
                <w:sz w:val="21"/>
              </w:rPr>
              <w:t>展示项目名称、建设单位、工程地质、第几次公告、办结时间、结果</w:t>
            </w:r>
          </w:p>
        </w:tc>
        <w:tc>
          <w:tcPr>
            <w:tcW w:w="3408" w:type="dxa"/>
            <w:tcBorders>
              <w:top w:val="nil"/>
              <w:left w:val="nil"/>
              <w:bottom w:val="single" w:color="000000" w:sz="4" w:space="0"/>
              <w:right w:val="single" w:color="000000" w:sz="4" w:space="0"/>
            </w:tcBorders>
            <w:tcMar>
              <w:top w:w="0" w:type="dxa"/>
              <w:left w:w="105" w:type="dxa"/>
              <w:bottom w:w="0" w:type="dxa"/>
              <w:right w:w="105" w:type="dxa"/>
            </w:tcMar>
          </w:tcPr>
          <w:p w14:paraId="1D57AEA5">
            <w:pPr>
              <w:pStyle w:val="101"/>
              <w:spacing w:line="320" w:lineRule="exact"/>
              <w:jc w:val="center"/>
              <w:rPr>
                <w:rFonts w:hint="default"/>
              </w:rPr>
            </w:pPr>
          </w:p>
        </w:tc>
      </w:tr>
      <w:tr w14:paraId="5F879D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9E211F">
            <w:pPr>
              <w:pStyle w:val="101"/>
              <w:spacing w:line="320" w:lineRule="exact"/>
              <w:jc w:val="center"/>
              <w:rPr>
                <w:rFonts w:hint="default"/>
              </w:rPr>
            </w:pPr>
            <w:r>
              <w:rPr>
                <w:rFonts w:ascii="仿宋" w:hAnsi="仿宋" w:eastAsia="仿宋" w:cs="仿宋"/>
                <w:color w:val="000000"/>
                <w:sz w:val="21"/>
              </w:rPr>
              <w:t>消防公示</w:t>
            </w:r>
            <w:r>
              <w:rPr>
                <w:rFonts w:ascii="仿宋" w:hAnsi="仿宋" w:eastAsia="仿宋" w:cs="仿宋"/>
                <w:color w:val="000000"/>
                <w:sz w:val="21"/>
                <w:lang w:eastAsia="zh-CN"/>
              </w:rPr>
              <w:t>-</w:t>
            </w:r>
            <w:r>
              <w:rPr>
                <w:rFonts w:ascii="仿宋" w:hAnsi="仿宋" w:eastAsia="仿宋" w:cs="仿宋"/>
                <w:color w:val="000000"/>
                <w:sz w:val="21"/>
              </w:rPr>
              <w:t>消防验收备案公告</w:t>
            </w:r>
          </w:p>
        </w:tc>
        <w:tc>
          <w:tcPr>
            <w:tcW w:w="3492" w:type="dxa"/>
            <w:tcBorders>
              <w:top w:val="nil"/>
              <w:left w:val="nil"/>
              <w:bottom w:val="single" w:color="000000" w:sz="4" w:space="0"/>
              <w:right w:val="single" w:color="000000" w:sz="4" w:space="0"/>
            </w:tcBorders>
            <w:tcMar>
              <w:top w:w="0" w:type="dxa"/>
              <w:left w:w="105" w:type="dxa"/>
              <w:bottom w:w="0" w:type="dxa"/>
              <w:right w:w="105" w:type="dxa"/>
            </w:tcMar>
          </w:tcPr>
          <w:p w14:paraId="33696300">
            <w:pPr>
              <w:pStyle w:val="101"/>
              <w:spacing w:line="320" w:lineRule="exact"/>
              <w:jc w:val="both"/>
              <w:rPr>
                <w:rFonts w:hint="default"/>
              </w:rPr>
            </w:pPr>
            <w:r>
              <w:rPr>
                <w:rFonts w:ascii="仿宋" w:hAnsi="仿宋" w:eastAsia="仿宋" w:cs="仿宋"/>
                <w:color w:val="000000"/>
                <w:sz w:val="21"/>
              </w:rPr>
              <w:t>展示项目名称、建设单位、工程地质、第几次公告、办结时间、结果</w:t>
            </w:r>
          </w:p>
        </w:tc>
        <w:tc>
          <w:tcPr>
            <w:tcW w:w="3408" w:type="dxa"/>
            <w:tcBorders>
              <w:top w:val="nil"/>
              <w:left w:val="nil"/>
              <w:bottom w:val="single" w:color="000000" w:sz="4" w:space="0"/>
              <w:right w:val="single" w:color="000000" w:sz="4" w:space="0"/>
            </w:tcBorders>
            <w:tcMar>
              <w:top w:w="0" w:type="dxa"/>
              <w:left w:w="105" w:type="dxa"/>
              <w:bottom w:w="0" w:type="dxa"/>
              <w:right w:w="105" w:type="dxa"/>
            </w:tcMar>
          </w:tcPr>
          <w:p w14:paraId="6D07CE70">
            <w:pPr>
              <w:pStyle w:val="101"/>
              <w:spacing w:line="320" w:lineRule="exact"/>
              <w:jc w:val="center"/>
              <w:rPr>
                <w:rFonts w:hint="default"/>
              </w:rPr>
            </w:pPr>
          </w:p>
        </w:tc>
      </w:tr>
    </w:tbl>
    <w:p w14:paraId="3B02F26E">
      <w:pPr>
        <w:pStyle w:val="101"/>
        <w:ind w:firstLine="480"/>
        <w:jc w:val="both"/>
        <w:rPr>
          <w:rFonts w:hint="default" w:cs="Times New Roman"/>
          <w:sz w:val="24"/>
          <w:szCs w:val="24"/>
          <w:lang w:eastAsia="zh-CN"/>
        </w:rPr>
      </w:pPr>
    </w:p>
    <w:p w14:paraId="70C20454">
      <w:pPr>
        <w:pStyle w:val="101"/>
        <w:ind w:firstLine="480"/>
        <w:jc w:val="both"/>
        <w:rPr>
          <w:rFonts w:hint="default" w:cs="Times New Roman"/>
          <w:sz w:val="24"/>
          <w:szCs w:val="24"/>
          <w:lang w:eastAsia="zh-CN"/>
        </w:rPr>
      </w:pPr>
      <w:r>
        <w:rPr>
          <w:rFonts w:cs="Times New Roman"/>
          <w:sz w:val="24"/>
          <w:szCs w:val="24"/>
          <w:lang w:eastAsia="zh-CN"/>
        </w:rPr>
        <w:t>（7）西安市建筑领域市场主体信用平台维护清单</w:t>
      </w:r>
    </w:p>
    <w:tbl>
      <w:tblPr>
        <w:tblStyle w:val="26"/>
        <w:tblW w:w="8824"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28"/>
        <w:gridCol w:w="960"/>
        <w:gridCol w:w="6336"/>
      </w:tblGrid>
      <w:tr w14:paraId="7F8E37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4"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E2D010D">
            <w:pPr>
              <w:pStyle w:val="101"/>
              <w:spacing w:line="320" w:lineRule="exact"/>
              <w:jc w:val="center"/>
              <w:rPr>
                <w:rFonts w:hint="default"/>
              </w:rPr>
            </w:pPr>
            <w:r>
              <w:rPr>
                <w:rFonts w:ascii="仿宋" w:hAnsi="仿宋" w:eastAsia="仿宋" w:cs="仿宋"/>
                <w:color w:val="000000"/>
                <w:sz w:val="21"/>
              </w:rPr>
              <w:t>信用公示页面</w:t>
            </w:r>
          </w:p>
        </w:tc>
      </w:tr>
      <w:tr w14:paraId="44FBF0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DEE3331">
            <w:pPr>
              <w:pStyle w:val="101"/>
              <w:spacing w:line="320" w:lineRule="exact"/>
              <w:jc w:val="center"/>
              <w:rPr>
                <w:rFonts w:hint="default" w:ascii="仿宋" w:hAnsi="仿宋" w:eastAsia="仿宋" w:cs="仿宋"/>
                <w:color w:val="000000"/>
                <w:sz w:val="21"/>
              </w:rPr>
            </w:pPr>
            <w:r>
              <w:rPr>
                <w:rFonts w:ascii="仿宋" w:hAnsi="仿宋" w:eastAsia="仿宋" w:cs="仿宋"/>
                <w:color w:val="000000"/>
                <w:sz w:val="21"/>
              </w:rPr>
              <w:t>西安市建筑领域市场主体信用平台</w:t>
            </w:r>
            <w:r>
              <w:rPr>
                <w:rFonts w:ascii="仿宋" w:hAnsi="仿宋" w:eastAsia="仿宋" w:cs="仿宋"/>
                <w:color w:val="000000"/>
                <w:sz w:val="21"/>
                <w:lang w:eastAsia="zh-CN"/>
              </w:rPr>
              <w:t>-</w:t>
            </w:r>
            <w:r>
              <w:rPr>
                <w:rFonts w:ascii="仿宋" w:hAnsi="仿宋" w:eastAsia="仿宋" w:cs="仿宋"/>
                <w:color w:val="000000"/>
                <w:sz w:val="21"/>
              </w:rPr>
              <w:t>企业信息搜索</w:t>
            </w:r>
          </w:p>
        </w:tc>
        <w:tc>
          <w:tcPr>
            <w:tcW w:w="633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62E9AF9">
            <w:pPr>
              <w:pStyle w:val="101"/>
              <w:spacing w:line="320" w:lineRule="exact"/>
              <w:jc w:val="both"/>
              <w:rPr>
                <w:rFonts w:hint="default"/>
              </w:rPr>
            </w:pPr>
            <w:r>
              <w:rPr>
                <w:rFonts w:ascii="仿宋" w:hAnsi="仿宋" w:eastAsia="仿宋" w:cs="仿宋"/>
                <w:color w:val="000000"/>
                <w:sz w:val="21"/>
              </w:rPr>
              <w:t>当前模块可通过企业名称搜索并查看企业排名、良好分数、不良分数、信用分、标准分、基础分、工程额分、良好信用信息条数（详细得分情况：评价内容、奖励日期、项目名称、企业名称分数）、不良信用信息（详细得分情况：评价内容、处罚日期、项目名称、企业名称、分数）</w:t>
            </w:r>
          </w:p>
        </w:tc>
      </w:tr>
      <w:tr w14:paraId="0B7DD5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8"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044CCF1">
            <w:pPr>
              <w:pStyle w:val="101"/>
              <w:spacing w:line="320" w:lineRule="exact"/>
              <w:jc w:val="center"/>
              <w:rPr>
                <w:rFonts w:hint="default"/>
              </w:rPr>
            </w:pPr>
            <w:r>
              <w:rPr>
                <w:rFonts w:ascii="仿宋" w:hAnsi="仿宋" w:eastAsia="仿宋" w:cs="仿宋"/>
                <w:color w:val="000000"/>
                <w:sz w:val="21"/>
              </w:rPr>
              <w:t>西安市建筑领域市场主体信用平台</w:t>
            </w:r>
            <w:r>
              <w:rPr>
                <w:rFonts w:ascii="仿宋" w:hAnsi="仿宋" w:eastAsia="仿宋" w:cs="仿宋"/>
                <w:color w:val="000000"/>
                <w:sz w:val="21"/>
                <w:lang w:eastAsia="zh-CN"/>
              </w:rPr>
              <w:t>-</w:t>
            </w:r>
            <w:r>
              <w:rPr>
                <w:rFonts w:ascii="仿宋" w:hAnsi="仿宋" w:eastAsia="仿宋" w:cs="仿宋"/>
                <w:color w:val="000000"/>
                <w:sz w:val="21"/>
              </w:rPr>
              <w:t>施工总承包页面</w:t>
            </w:r>
          </w:p>
        </w:tc>
        <w:tc>
          <w:tcPr>
            <w:tcW w:w="96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3A76E682">
            <w:pPr>
              <w:pStyle w:val="101"/>
              <w:spacing w:line="320" w:lineRule="exact"/>
              <w:jc w:val="center"/>
              <w:rPr>
                <w:rFonts w:hint="default"/>
              </w:rPr>
            </w:pPr>
            <w:r>
              <w:rPr>
                <w:rFonts w:ascii="仿宋" w:hAnsi="仿宋" w:eastAsia="仿宋" w:cs="仿宋"/>
                <w:color w:val="000000"/>
                <w:sz w:val="21"/>
              </w:rPr>
              <w:t>企业排名</w:t>
            </w:r>
          </w:p>
        </w:tc>
        <w:tc>
          <w:tcPr>
            <w:tcW w:w="633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E75E276">
            <w:pPr>
              <w:pStyle w:val="101"/>
              <w:spacing w:line="320" w:lineRule="exact"/>
              <w:jc w:val="both"/>
              <w:rPr>
                <w:rFonts w:hint="default"/>
              </w:rPr>
            </w:pPr>
            <w:r>
              <w:rPr>
                <w:rFonts w:ascii="仿宋" w:hAnsi="仿宋" w:eastAsia="仿宋" w:cs="仿宋"/>
                <w:color w:val="000000"/>
                <w:sz w:val="21"/>
              </w:rPr>
              <w:t>展示全市参与评价的施工单位排名，包含序号、企业名称、信用分值、标准信用分、排名</w:t>
            </w:r>
          </w:p>
        </w:tc>
      </w:tr>
      <w:tr w14:paraId="6D39F0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8" w:type="dxa"/>
            <w:vMerge w:val="continue"/>
            <w:tcBorders>
              <w:top w:val="single" w:color="auto" w:sz="4" w:space="0"/>
              <w:left w:val="single" w:color="auto" w:sz="4" w:space="0"/>
              <w:bottom w:val="single" w:color="auto" w:sz="4" w:space="0"/>
              <w:right w:val="single" w:color="auto" w:sz="4" w:space="0"/>
            </w:tcBorders>
          </w:tcPr>
          <w:p w14:paraId="7583133E">
            <w:pPr>
              <w:spacing w:line="320" w:lineRule="exact"/>
            </w:pPr>
          </w:p>
        </w:tc>
        <w:tc>
          <w:tcPr>
            <w:tcW w:w="96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4086310D">
            <w:pPr>
              <w:pStyle w:val="101"/>
              <w:spacing w:line="320" w:lineRule="exact"/>
              <w:jc w:val="center"/>
              <w:rPr>
                <w:rFonts w:hint="default"/>
              </w:rPr>
            </w:pPr>
            <w:r>
              <w:rPr>
                <w:rFonts w:ascii="仿宋" w:hAnsi="仿宋" w:eastAsia="仿宋" w:cs="仿宋"/>
                <w:color w:val="000000"/>
                <w:sz w:val="21"/>
              </w:rPr>
              <w:t>良好信息</w:t>
            </w:r>
          </w:p>
        </w:tc>
        <w:tc>
          <w:tcPr>
            <w:tcW w:w="6336" w:type="dxa"/>
            <w:tcBorders>
              <w:top w:val="nil"/>
              <w:left w:val="nil"/>
              <w:bottom w:val="single" w:color="000000" w:sz="4" w:space="0"/>
              <w:right w:val="single" w:color="000000" w:sz="4" w:space="0"/>
            </w:tcBorders>
            <w:tcMar>
              <w:top w:w="0" w:type="dxa"/>
              <w:left w:w="105" w:type="dxa"/>
              <w:bottom w:w="0" w:type="dxa"/>
              <w:right w:w="105" w:type="dxa"/>
            </w:tcMar>
          </w:tcPr>
          <w:p w14:paraId="77149F8E">
            <w:pPr>
              <w:pStyle w:val="101"/>
              <w:spacing w:line="320" w:lineRule="exact"/>
              <w:jc w:val="both"/>
              <w:rPr>
                <w:rFonts w:hint="default"/>
              </w:rPr>
            </w:pPr>
            <w:r>
              <w:rPr>
                <w:rFonts w:ascii="仿宋" w:hAnsi="仿宋" w:eastAsia="仿宋" w:cs="仿宋"/>
                <w:color w:val="000000"/>
                <w:sz w:val="21"/>
              </w:rPr>
              <w:t>展示全市参与评价的施工单位所采集的良好信息，包含序号、企业名称、信用类别、加/扣分、截至日期</w:t>
            </w:r>
          </w:p>
        </w:tc>
      </w:tr>
      <w:tr w14:paraId="40E7D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8" w:type="dxa"/>
            <w:vMerge w:val="continue"/>
            <w:tcBorders>
              <w:top w:val="single" w:color="auto" w:sz="4" w:space="0"/>
              <w:left w:val="single" w:color="auto" w:sz="4" w:space="0"/>
              <w:bottom w:val="single" w:color="auto" w:sz="4" w:space="0"/>
              <w:right w:val="single" w:color="auto" w:sz="4" w:space="0"/>
            </w:tcBorders>
          </w:tcPr>
          <w:p w14:paraId="62D18656">
            <w:pPr>
              <w:spacing w:line="320" w:lineRule="exact"/>
            </w:pPr>
          </w:p>
        </w:tc>
        <w:tc>
          <w:tcPr>
            <w:tcW w:w="96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1B1B8B74">
            <w:pPr>
              <w:pStyle w:val="101"/>
              <w:spacing w:line="320" w:lineRule="exact"/>
              <w:jc w:val="center"/>
              <w:rPr>
                <w:rFonts w:hint="default"/>
              </w:rPr>
            </w:pPr>
            <w:r>
              <w:rPr>
                <w:rFonts w:ascii="仿宋" w:hAnsi="仿宋" w:eastAsia="仿宋" w:cs="仿宋"/>
                <w:color w:val="000000"/>
                <w:sz w:val="21"/>
              </w:rPr>
              <w:t>不良信息</w:t>
            </w:r>
          </w:p>
        </w:tc>
        <w:tc>
          <w:tcPr>
            <w:tcW w:w="6336" w:type="dxa"/>
            <w:tcBorders>
              <w:top w:val="nil"/>
              <w:left w:val="nil"/>
              <w:bottom w:val="single" w:color="000000" w:sz="4" w:space="0"/>
              <w:right w:val="single" w:color="000000" w:sz="4" w:space="0"/>
            </w:tcBorders>
            <w:tcMar>
              <w:top w:w="0" w:type="dxa"/>
              <w:left w:w="105" w:type="dxa"/>
              <w:bottom w:w="0" w:type="dxa"/>
              <w:right w:w="105" w:type="dxa"/>
            </w:tcMar>
          </w:tcPr>
          <w:p w14:paraId="0AC19E6F">
            <w:pPr>
              <w:pStyle w:val="101"/>
              <w:spacing w:line="320" w:lineRule="exact"/>
              <w:jc w:val="both"/>
              <w:rPr>
                <w:rFonts w:hint="default"/>
              </w:rPr>
            </w:pPr>
            <w:r>
              <w:rPr>
                <w:rFonts w:ascii="仿宋" w:hAnsi="仿宋" w:eastAsia="仿宋" w:cs="仿宋"/>
                <w:color w:val="000000"/>
                <w:sz w:val="21"/>
              </w:rPr>
              <w:t>展示全市参与评价的施工单位所采集的不良信息，包含序号、企业名称、信用类别、加/扣分、截至日期</w:t>
            </w:r>
          </w:p>
        </w:tc>
      </w:tr>
      <w:tr w14:paraId="296ED0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8" w:type="dxa"/>
            <w:vMerge w:val="continue"/>
            <w:tcBorders>
              <w:top w:val="single" w:color="auto" w:sz="4" w:space="0"/>
              <w:left w:val="single" w:color="auto" w:sz="4" w:space="0"/>
              <w:bottom w:val="single" w:color="auto" w:sz="4" w:space="0"/>
              <w:right w:val="single" w:color="auto" w:sz="4" w:space="0"/>
            </w:tcBorders>
          </w:tcPr>
          <w:p w14:paraId="1875129C">
            <w:pPr>
              <w:spacing w:line="320" w:lineRule="exact"/>
            </w:pPr>
          </w:p>
        </w:tc>
        <w:tc>
          <w:tcPr>
            <w:tcW w:w="96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5E579D3F">
            <w:pPr>
              <w:pStyle w:val="101"/>
              <w:spacing w:line="320" w:lineRule="exact"/>
              <w:jc w:val="center"/>
              <w:rPr>
                <w:rFonts w:hint="default"/>
              </w:rPr>
            </w:pPr>
            <w:r>
              <w:rPr>
                <w:rFonts w:ascii="仿宋" w:hAnsi="仿宋" w:eastAsia="仿宋" w:cs="仿宋"/>
                <w:color w:val="000000"/>
                <w:sz w:val="21"/>
              </w:rPr>
              <w:t>黑名单企业</w:t>
            </w:r>
          </w:p>
        </w:tc>
        <w:tc>
          <w:tcPr>
            <w:tcW w:w="6336" w:type="dxa"/>
            <w:tcBorders>
              <w:top w:val="nil"/>
              <w:left w:val="nil"/>
              <w:bottom w:val="single" w:color="000000" w:sz="4" w:space="0"/>
              <w:right w:val="single" w:color="000000" w:sz="4" w:space="0"/>
            </w:tcBorders>
            <w:tcMar>
              <w:top w:w="0" w:type="dxa"/>
              <w:left w:w="105" w:type="dxa"/>
              <w:bottom w:w="0" w:type="dxa"/>
              <w:right w:w="105" w:type="dxa"/>
            </w:tcMar>
          </w:tcPr>
          <w:p w14:paraId="62386B07">
            <w:pPr>
              <w:pStyle w:val="101"/>
              <w:spacing w:line="320" w:lineRule="exact"/>
              <w:jc w:val="both"/>
              <w:rPr>
                <w:rFonts w:hint="default"/>
              </w:rPr>
            </w:pPr>
            <w:r>
              <w:rPr>
                <w:rFonts w:ascii="仿宋" w:hAnsi="仿宋" w:eastAsia="仿宋" w:cs="仿宋"/>
                <w:color w:val="000000"/>
                <w:sz w:val="21"/>
              </w:rPr>
              <w:t>展示黑名公示企业，包含序号、企业名称、信息类别、加/扣分、截至日期、黑名单截止日期</w:t>
            </w:r>
          </w:p>
        </w:tc>
      </w:tr>
      <w:tr w14:paraId="3FA55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8"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B2F3FE9">
            <w:pPr>
              <w:pStyle w:val="101"/>
              <w:spacing w:line="320" w:lineRule="exact"/>
              <w:jc w:val="center"/>
              <w:rPr>
                <w:rFonts w:hint="default"/>
              </w:rPr>
            </w:pPr>
            <w:r>
              <w:rPr>
                <w:rFonts w:ascii="仿宋" w:hAnsi="仿宋" w:eastAsia="仿宋" w:cs="仿宋"/>
                <w:color w:val="000000"/>
                <w:sz w:val="21"/>
              </w:rPr>
              <w:t>西安市建筑领域市场主体信用平台</w:t>
            </w:r>
            <w:r>
              <w:rPr>
                <w:rFonts w:ascii="仿宋" w:hAnsi="仿宋" w:eastAsia="仿宋" w:cs="仿宋"/>
                <w:color w:val="000000"/>
                <w:sz w:val="21"/>
                <w:lang w:eastAsia="zh-CN"/>
              </w:rPr>
              <w:t>-</w:t>
            </w:r>
            <w:r>
              <w:rPr>
                <w:rFonts w:ascii="仿宋" w:hAnsi="仿宋" w:eastAsia="仿宋" w:cs="仿宋"/>
                <w:color w:val="000000"/>
                <w:sz w:val="21"/>
              </w:rPr>
              <w:t>监理总承包页面</w:t>
            </w:r>
          </w:p>
        </w:tc>
        <w:tc>
          <w:tcPr>
            <w:tcW w:w="96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7EB39D4A">
            <w:pPr>
              <w:pStyle w:val="101"/>
              <w:spacing w:line="320" w:lineRule="exact"/>
              <w:jc w:val="center"/>
              <w:rPr>
                <w:rFonts w:hint="default"/>
              </w:rPr>
            </w:pPr>
            <w:r>
              <w:rPr>
                <w:rFonts w:ascii="仿宋" w:hAnsi="仿宋" w:eastAsia="仿宋" w:cs="仿宋"/>
                <w:color w:val="000000"/>
                <w:sz w:val="21"/>
              </w:rPr>
              <w:t>企业排名</w:t>
            </w:r>
          </w:p>
        </w:tc>
        <w:tc>
          <w:tcPr>
            <w:tcW w:w="6336" w:type="dxa"/>
            <w:tcBorders>
              <w:top w:val="nil"/>
              <w:left w:val="nil"/>
              <w:bottom w:val="single" w:color="000000" w:sz="4" w:space="0"/>
              <w:right w:val="single" w:color="000000" w:sz="4" w:space="0"/>
            </w:tcBorders>
            <w:tcMar>
              <w:top w:w="0" w:type="dxa"/>
              <w:left w:w="105" w:type="dxa"/>
              <w:bottom w:w="0" w:type="dxa"/>
              <w:right w:w="105" w:type="dxa"/>
            </w:tcMar>
          </w:tcPr>
          <w:p w14:paraId="4BA6234F">
            <w:pPr>
              <w:pStyle w:val="101"/>
              <w:spacing w:line="320" w:lineRule="exact"/>
              <w:jc w:val="both"/>
              <w:rPr>
                <w:rFonts w:hint="default"/>
              </w:rPr>
            </w:pPr>
            <w:r>
              <w:rPr>
                <w:rFonts w:ascii="仿宋" w:hAnsi="仿宋" w:eastAsia="仿宋" w:cs="仿宋"/>
                <w:color w:val="000000"/>
                <w:sz w:val="21"/>
              </w:rPr>
              <w:t>展示全市参与评价的施工单位排名，包含序号、企业名称、信用分值、标准信用分、排名</w:t>
            </w:r>
          </w:p>
        </w:tc>
      </w:tr>
      <w:tr w14:paraId="011ABD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8" w:type="dxa"/>
            <w:vMerge w:val="continue"/>
            <w:tcBorders>
              <w:top w:val="single" w:color="auto" w:sz="4" w:space="0"/>
              <w:left w:val="single" w:color="auto" w:sz="4" w:space="0"/>
              <w:bottom w:val="single" w:color="auto" w:sz="4" w:space="0"/>
              <w:right w:val="single" w:color="auto" w:sz="4" w:space="0"/>
            </w:tcBorders>
          </w:tcPr>
          <w:p w14:paraId="45378530">
            <w:pPr>
              <w:spacing w:line="320" w:lineRule="exact"/>
            </w:pPr>
          </w:p>
        </w:tc>
        <w:tc>
          <w:tcPr>
            <w:tcW w:w="96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7DFD5887">
            <w:pPr>
              <w:pStyle w:val="101"/>
              <w:spacing w:line="320" w:lineRule="exact"/>
              <w:jc w:val="center"/>
              <w:rPr>
                <w:rFonts w:hint="default"/>
              </w:rPr>
            </w:pPr>
            <w:r>
              <w:rPr>
                <w:rFonts w:ascii="仿宋" w:hAnsi="仿宋" w:eastAsia="仿宋" w:cs="仿宋"/>
                <w:color w:val="000000"/>
                <w:sz w:val="21"/>
              </w:rPr>
              <w:t>良好信息</w:t>
            </w:r>
          </w:p>
        </w:tc>
        <w:tc>
          <w:tcPr>
            <w:tcW w:w="6336" w:type="dxa"/>
            <w:tcBorders>
              <w:top w:val="nil"/>
              <w:left w:val="nil"/>
              <w:bottom w:val="single" w:color="000000" w:sz="4" w:space="0"/>
              <w:right w:val="single" w:color="000000" w:sz="4" w:space="0"/>
            </w:tcBorders>
            <w:tcMar>
              <w:top w:w="0" w:type="dxa"/>
              <w:left w:w="105" w:type="dxa"/>
              <w:bottom w:w="0" w:type="dxa"/>
              <w:right w:w="105" w:type="dxa"/>
            </w:tcMar>
          </w:tcPr>
          <w:p w14:paraId="7B3A27EE">
            <w:pPr>
              <w:pStyle w:val="101"/>
              <w:spacing w:line="320" w:lineRule="exact"/>
              <w:jc w:val="both"/>
              <w:rPr>
                <w:rFonts w:hint="default"/>
              </w:rPr>
            </w:pPr>
            <w:r>
              <w:rPr>
                <w:rFonts w:ascii="仿宋" w:hAnsi="仿宋" w:eastAsia="仿宋" w:cs="仿宋"/>
                <w:color w:val="000000"/>
                <w:sz w:val="21"/>
              </w:rPr>
              <w:t>展示全市参与评价的施工单位所采集的良好信息，包含序号、企业名称、信用类别、加/扣分、</w:t>
            </w:r>
            <w:r>
              <w:rPr>
                <w:rFonts w:ascii="仿宋" w:hAnsi="仿宋" w:eastAsia="仿宋" w:cs="仿宋"/>
                <w:color w:val="000000"/>
                <w:sz w:val="21"/>
                <w:lang w:eastAsia="zh-CN"/>
              </w:rPr>
              <w:t>截</w:t>
            </w:r>
            <w:r>
              <w:rPr>
                <w:rFonts w:ascii="仿宋" w:hAnsi="仿宋" w:eastAsia="仿宋" w:cs="仿宋"/>
                <w:color w:val="000000"/>
                <w:sz w:val="21"/>
              </w:rPr>
              <w:t>至日期</w:t>
            </w:r>
          </w:p>
        </w:tc>
      </w:tr>
      <w:tr w14:paraId="54672F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8" w:type="dxa"/>
            <w:vMerge w:val="continue"/>
            <w:tcBorders>
              <w:top w:val="single" w:color="auto" w:sz="4" w:space="0"/>
              <w:left w:val="single" w:color="auto" w:sz="4" w:space="0"/>
              <w:bottom w:val="single" w:color="auto" w:sz="4" w:space="0"/>
              <w:right w:val="single" w:color="auto" w:sz="4" w:space="0"/>
            </w:tcBorders>
          </w:tcPr>
          <w:p w14:paraId="79D4D6EC">
            <w:pPr>
              <w:spacing w:line="320" w:lineRule="exact"/>
            </w:pPr>
          </w:p>
        </w:tc>
        <w:tc>
          <w:tcPr>
            <w:tcW w:w="96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75460515">
            <w:pPr>
              <w:pStyle w:val="101"/>
              <w:spacing w:line="320" w:lineRule="exact"/>
              <w:jc w:val="center"/>
              <w:rPr>
                <w:rFonts w:hint="default"/>
              </w:rPr>
            </w:pPr>
            <w:r>
              <w:rPr>
                <w:rFonts w:ascii="仿宋" w:hAnsi="仿宋" w:eastAsia="仿宋" w:cs="仿宋"/>
                <w:color w:val="000000"/>
                <w:sz w:val="21"/>
              </w:rPr>
              <w:t>不良信息</w:t>
            </w:r>
          </w:p>
        </w:tc>
        <w:tc>
          <w:tcPr>
            <w:tcW w:w="6336" w:type="dxa"/>
            <w:tcBorders>
              <w:top w:val="nil"/>
              <w:left w:val="nil"/>
              <w:bottom w:val="single" w:color="000000" w:sz="4" w:space="0"/>
              <w:right w:val="single" w:color="000000" w:sz="4" w:space="0"/>
            </w:tcBorders>
            <w:tcMar>
              <w:top w:w="0" w:type="dxa"/>
              <w:left w:w="105" w:type="dxa"/>
              <w:bottom w:w="0" w:type="dxa"/>
              <w:right w:w="105" w:type="dxa"/>
            </w:tcMar>
          </w:tcPr>
          <w:p w14:paraId="1A3DEAD8">
            <w:pPr>
              <w:pStyle w:val="101"/>
              <w:spacing w:line="320" w:lineRule="exact"/>
              <w:jc w:val="both"/>
              <w:rPr>
                <w:rFonts w:hint="default"/>
              </w:rPr>
            </w:pPr>
            <w:r>
              <w:rPr>
                <w:rFonts w:ascii="仿宋" w:hAnsi="仿宋" w:eastAsia="仿宋" w:cs="仿宋"/>
                <w:color w:val="000000"/>
                <w:sz w:val="21"/>
              </w:rPr>
              <w:t>展示全市参与评价的施工单位所采集的不良信息，包含序号、企业名称、信用类别、加/扣分、截至日期</w:t>
            </w:r>
          </w:p>
        </w:tc>
      </w:tr>
    </w:tbl>
    <w:p w14:paraId="15A24C7B">
      <w:pPr>
        <w:pStyle w:val="101"/>
        <w:ind w:firstLine="482"/>
        <w:jc w:val="both"/>
        <w:outlineLvl w:val="2"/>
        <w:rPr>
          <w:rFonts w:hint="default" w:asciiTheme="minorEastAsia" w:hAnsiTheme="minorEastAsia"/>
          <w:bCs/>
        </w:rPr>
      </w:pPr>
      <w:r>
        <w:rPr>
          <w:rFonts w:cs="仿宋" w:asciiTheme="minorEastAsia" w:hAnsiTheme="minorEastAsia"/>
          <w:bCs/>
          <w:sz w:val="24"/>
        </w:rPr>
        <w:t>3、服务器日常维护</w:t>
      </w:r>
    </w:p>
    <w:p w14:paraId="3E51DA18">
      <w:pPr>
        <w:pStyle w:val="101"/>
        <w:ind w:firstLine="480"/>
        <w:jc w:val="both"/>
        <w:rPr>
          <w:rFonts w:hint="default" w:asciiTheme="minorEastAsia" w:hAnsiTheme="minorEastAsia"/>
        </w:rPr>
      </w:pPr>
      <w:r>
        <w:rPr>
          <w:rFonts w:cs="仿宋" w:asciiTheme="minorEastAsia" w:hAnsiTheme="minorEastAsia"/>
          <w:sz w:val="24"/>
        </w:rPr>
        <w:t>按照规定的时间点，对系统的可用性、有效性进行的例行检查，确保业务系统正常运行。提供系统所有相关服务器的数据备份，确保数据的安全。</w:t>
      </w:r>
    </w:p>
    <w:p w14:paraId="18F65CC6">
      <w:pPr>
        <w:ind w:firstLine="480" w:firstLineChars="200"/>
        <w:jc w:val="both"/>
      </w:pPr>
    </w:p>
    <w:p w14:paraId="26042384">
      <w:pPr>
        <w:pStyle w:val="3"/>
        <w:jc w:val="both"/>
      </w:pPr>
      <w:r>
        <w:t>三、</w:t>
      </w:r>
      <w:r>
        <w:rPr>
          <w:rFonts w:hint="eastAsia"/>
        </w:rPr>
        <w:t>技术要求</w:t>
      </w:r>
    </w:p>
    <w:p w14:paraId="67369E9E">
      <w:pPr>
        <w:pStyle w:val="101"/>
        <w:ind w:firstLine="482"/>
        <w:outlineLvl w:val="1"/>
        <w:rPr>
          <w:rFonts w:hint="default" w:cs="Times New Roman"/>
          <w:b/>
          <w:sz w:val="24"/>
          <w:szCs w:val="24"/>
          <w:lang w:eastAsia="zh-CN"/>
        </w:rPr>
      </w:pPr>
      <w:r>
        <w:rPr>
          <w:rFonts w:cs="Times New Roman"/>
          <w:b/>
          <w:sz w:val="24"/>
          <w:szCs w:val="24"/>
          <w:lang w:eastAsia="zh-CN"/>
        </w:rPr>
        <w:t>（一）基本要求</w:t>
      </w:r>
    </w:p>
    <w:p w14:paraId="3570043E">
      <w:pPr>
        <w:ind w:firstLine="480" w:firstLineChars="200"/>
        <w:rPr>
          <w:rFonts w:asciiTheme="minorEastAsia" w:hAnsiTheme="minorEastAsia"/>
        </w:rPr>
      </w:pPr>
      <w:r>
        <w:rPr>
          <w:rFonts w:hint="eastAsia" w:cs="仿宋" w:asciiTheme="minorEastAsia" w:hAnsiTheme="minorEastAsia"/>
        </w:rPr>
        <w:t>1、升级与维护的方案应具有先进性。在制定运行维护方案时，须充分考虑并融入最新的技术趋势和创新理念，确保方案能够有效应对当前的技术挑战和需求，还要具备前瞻性，能够预见未来可能出现的问题和变化，能够在长期的实践中保持高效性和可靠性，为系统的稳定运行和持续优化提供强有力的支持；</w:t>
      </w:r>
    </w:p>
    <w:p w14:paraId="255F8722">
      <w:pPr>
        <w:ind w:firstLine="480" w:firstLineChars="200"/>
        <w:rPr>
          <w:rFonts w:cs="仿宋" w:asciiTheme="minorEastAsia" w:hAnsiTheme="minorEastAsia"/>
        </w:rPr>
      </w:pPr>
      <w:r>
        <w:rPr>
          <w:rFonts w:hint="eastAsia" w:cs="仿宋" w:asciiTheme="minorEastAsia" w:hAnsiTheme="minorEastAsia"/>
        </w:rPr>
        <w:t>2、</w:t>
      </w:r>
      <w:r>
        <w:rPr>
          <w:rFonts w:cs="仿宋" w:asciiTheme="minorEastAsia" w:hAnsiTheme="minorEastAsia"/>
        </w:rPr>
        <w:t>运行维护的方案应具有可扩展性。在满足现有需求的基础上，必须考虑到系统应当有充分的可扩展性，以适应房产管理业务未来发展的需要；</w:t>
      </w:r>
    </w:p>
    <w:p w14:paraId="5CCFD733">
      <w:pPr>
        <w:ind w:firstLine="480" w:firstLineChars="200"/>
        <w:rPr>
          <w:rFonts w:cs="仿宋" w:asciiTheme="minorEastAsia" w:hAnsiTheme="minorEastAsia"/>
        </w:rPr>
      </w:pPr>
      <w:r>
        <w:rPr>
          <w:rFonts w:hint="eastAsia" w:cs="仿宋" w:asciiTheme="minorEastAsia" w:hAnsiTheme="minorEastAsia"/>
        </w:rPr>
        <w:t>3、</w:t>
      </w:r>
      <w:r>
        <w:rPr>
          <w:rFonts w:cs="仿宋" w:asciiTheme="minorEastAsia" w:hAnsiTheme="minorEastAsia"/>
        </w:rPr>
        <w:t>升级与维护的方案应具备标准性和开放性。在本项目建设过程中，从网络协议、操作系统到应用软件应遵循通用的国际或行业标准；</w:t>
      </w:r>
    </w:p>
    <w:p w14:paraId="2C7FB40B">
      <w:pPr>
        <w:ind w:firstLine="480" w:firstLineChars="200"/>
        <w:rPr>
          <w:rFonts w:cs="仿宋" w:asciiTheme="minorEastAsia" w:hAnsiTheme="minorEastAsia"/>
        </w:rPr>
      </w:pPr>
      <w:r>
        <w:rPr>
          <w:rFonts w:hint="eastAsia" w:cs="仿宋" w:asciiTheme="minorEastAsia" w:hAnsiTheme="minorEastAsia"/>
        </w:rPr>
        <w:t>4、</w:t>
      </w:r>
      <w:r>
        <w:rPr>
          <w:rFonts w:cs="仿宋" w:asciiTheme="minorEastAsia" w:hAnsiTheme="minorEastAsia"/>
        </w:rPr>
        <w:t>运行维护方案应具有易维护性</w:t>
      </w:r>
      <w:r>
        <w:rPr>
          <w:rFonts w:hint="eastAsia" w:cs="仿宋" w:asciiTheme="minorEastAsia" w:hAnsiTheme="minorEastAsia"/>
        </w:rPr>
        <w:t>，</w:t>
      </w:r>
      <w:r>
        <w:rPr>
          <w:rFonts w:cs="仿宋" w:asciiTheme="minorEastAsia" w:hAnsiTheme="minorEastAsia"/>
        </w:rPr>
        <w:t>运行维护后的系统应方便二次维护管理及快速开发、部署和优化</w:t>
      </w:r>
      <w:r>
        <w:rPr>
          <w:rFonts w:hint="eastAsia" w:cs="仿宋" w:asciiTheme="minorEastAsia" w:hAnsiTheme="minorEastAsia"/>
        </w:rPr>
        <w:t>；</w:t>
      </w:r>
    </w:p>
    <w:p w14:paraId="3A2ACEC8">
      <w:pPr>
        <w:ind w:firstLine="480" w:firstLineChars="200"/>
        <w:rPr>
          <w:rFonts w:cs="仿宋" w:asciiTheme="minorEastAsia" w:hAnsiTheme="minorEastAsia"/>
        </w:rPr>
      </w:pPr>
      <w:r>
        <w:rPr>
          <w:rFonts w:hint="eastAsia" w:cs="仿宋" w:asciiTheme="minorEastAsia" w:hAnsiTheme="minorEastAsia"/>
        </w:rPr>
        <w:t>5、</w:t>
      </w:r>
      <w:r>
        <w:rPr>
          <w:rFonts w:cs="仿宋" w:asciiTheme="minorEastAsia" w:hAnsiTheme="minorEastAsia"/>
        </w:rPr>
        <w:t>运行维护</w:t>
      </w:r>
      <w:r>
        <w:rPr>
          <w:rFonts w:hint="eastAsia" w:cs="仿宋" w:asciiTheme="minorEastAsia" w:hAnsiTheme="minorEastAsia"/>
        </w:rPr>
        <w:t>方案</w:t>
      </w:r>
      <w:r>
        <w:rPr>
          <w:rFonts w:cs="仿宋" w:asciiTheme="minorEastAsia" w:hAnsiTheme="minorEastAsia"/>
        </w:rPr>
        <w:t>应有明确的服务内容、服务方式、服务标准、服务流程等</w:t>
      </w:r>
      <w:r>
        <w:rPr>
          <w:rFonts w:hint="eastAsia" w:cs="仿宋" w:asciiTheme="minorEastAsia" w:hAnsiTheme="minorEastAsia"/>
        </w:rPr>
        <w:t>；</w:t>
      </w:r>
    </w:p>
    <w:p w14:paraId="174B9EC2">
      <w:pPr>
        <w:ind w:firstLine="480" w:firstLineChars="200"/>
        <w:rPr>
          <w:rFonts w:cs="仿宋" w:asciiTheme="minorEastAsia" w:hAnsiTheme="minorEastAsia"/>
        </w:rPr>
      </w:pPr>
      <w:r>
        <w:rPr>
          <w:rFonts w:hint="eastAsia" w:cs="仿宋" w:asciiTheme="minorEastAsia" w:hAnsiTheme="minorEastAsia"/>
        </w:rPr>
        <w:t>6、系统运行维护时，需充分考虑现有各业务子系统的网络、数据处理、安全等设施，对现有资源（包括设备、应用、数据）进行有效合理地整合；</w:t>
      </w:r>
    </w:p>
    <w:p w14:paraId="4B16329F">
      <w:pPr>
        <w:ind w:firstLine="480" w:firstLineChars="200"/>
        <w:rPr>
          <w:rFonts w:cs="仿宋" w:asciiTheme="minorEastAsia" w:hAnsiTheme="minorEastAsia"/>
        </w:rPr>
      </w:pPr>
      <w:r>
        <w:rPr>
          <w:rFonts w:hint="eastAsia" w:cs="仿宋" w:asciiTheme="minorEastAsia" w:hAnsiTheme="minorEastAsia"/>
        </w:rPr>
        <w:t>7、系统运行维护必须适应采购人现有技术环境，在不影响现有系统业务办理的前提下实现平台统一运行维护，运行维护应符合现有技术规范；</w:t>
      </w:r>
    </w:p>
    <w:p w14:paraId="2DA0D5CE">
      <w:pPr>
        <w:ind w:firstLine="480" w:firstLineChars="200"/>
        <w:rPr>
          <w:rFonts w:cs="仿宋" w:asciiTheme="minorEastAsia" w:hAnsiTheme="minorEastAsia"/>
        </w:rPr>
      </w:pPr>
      <w:r>
        <w:rPr>
          <w:rFonts w:hint="eastAsia" w:cs="仿宋" w:asciiTheme="minorEastAsia" w:hAnsiTheme="minorEastAsia"/>
        </w:rPr>
        <w:t>8、进行系统运维时，应充分采用身份鉴别、访问控制、软件容错、数据完整性等安全措施，加强代码质量的管控，减少系统漏洞和安全缺陷；</w:t>
      </w:r>
    </w:p>
    <w:p w14:paraId="0E3703B9">
      <w:pPr>
        <w:ind w:firstLine="480" w:firstLineChars="200"/>
        <w:rPr>
          <w:rFonts w:cs="仿宋" w:asciiTheme="minorEastAsia" w:hAnsiTheme="minorEastAsia"/>
        </w:rPr>
      </w:pPr>
      <w:r>
        <w:rPr>
          <w:rFonts w:hint="eastAsia" w:cs="仿宋" w:asciiTheme="minorEastAsia" w:hAnsiTheme="minorEastAsia"/>
        </w:rPr>
        <w:t>9、</w:t>
      </w:r>
      <w:r>
        <w:rPr>
          <w:rFonts w:cs="仿宋" w:asciiTheme="minorEastAsia" w:hAnsiTheme="minorEastAsia"/>
        </w:rPr>
        <w:t>运行维护的方案需满足《GB/T 22239-2019 信息安全技术信息系统安全等级保护基本要求》《GB/T 25070-2019 信息安全技术网络安全等级保护安全设计技术要求》等安全性文件要求。</w:t>
      </w:r>
    </w:p>
    <w:p w14:paraId="6F969969">
      <w:pPr>
        <w:pStyle w:val="101"/>
        <w:ind w:firstLine="482"/>
        <w:outlineLvl w:val="1"/>
        <w:rPr>
          <w:rFonts w:hint="default" w:cs="Times New Roman"/>
          <w:b/>
          <w:sz w:val="24"/>
          <w:szCs w:val="24"/>
          <w:lang w:eastAsia="zh-CN"/>
        </w:rPr>
      </w:pPr>
      <w:r>
        <w:rPr>
          <w:rFonts w:cs="Times New Roman"/>
          <w:b/>
          <w:sz w:val="24"/>
          <w:szCs w:val="24"/>
          <w:lang w:eastAsia="zh-CN"/>
        </w:rPr>
        <w:t>（二）运维实施要求</w:t>
      </w:r>
    </w:p>
    <w:p w14:paraId="7F883CBD">
      <w:pPr>
        <w:ind w:firstLine="480" w:firstLineChars="200"/>
        <w:rPr>
          <w:rFonts w:cs="仿宋" w:asciiTheme="minorEastAsia" w:hAnsiTheme="minorEastAsia"/>
        </w:rPr>
      </w:pPr>
      <w:r>
        <w:rPr>
          <w:rFonts w:hint="eastAsia" w:cs="仿宋" w:asciiTheme="minorEastAsia" w:hAnsiTheme="minorEastAsia"/>
        </w:rPr>
        <w:t>1、服务器日常维护</w:t>
      </w:r>
    </w:p>
    <w:p w14:paraId="288F1892">
      <w:pPr>
        <w:ind w:firstLine="480" w:firstLineChars="200"/>
        <w:rPr>
          <w:rFonts w:cs="仿宋" w:asciiTheme="minorEastAsia" w:hAnsiTheme="minorEastAsia"/>
        </w:rPr>
      </w:pPr>
      <w:r>
        <w:rPr>
          <w:rFonts w:hint="eastAsia" w:cs="仿宋" w:asciiTheme="minorEastAsia" w:hAnsiTheme="minorEastAsia"/>
        </w:rPr>
        <w:t>（1）通过日常系统巡检，</w:t>
      </w:r>
      <w:r>
        <w:rPr>
          <w:rFonts w:cs="仿宋" w:asciiTheme="minorEastAsia" w:hAnsiTheme="minorEastAsia"/>
        </w:rPr>
        <w:t>对平台的可用性、有效性等检查点进行的例行检查工作，并提供检查记录</w:t>
      </w:r>
      <w:r>
        <w:rPr>
          <w:rFonts w:hint="eastAsia" w:cs="仿宋" w:asciiTheme="minorEastAsia" w:hAnsiTheme="minorEastAsia"/>
        </w:rPr>
        <w:t>；</w:t>
      </w:r>
    </w:p>
    <w:p w14:paraId="14AE60E6">
      <w:pPr>
        <w:ind w:firstLine="480" w:firstLineChars="200"/>
        <w:rPr>
          <w:rFonts w:cs="仿宋" w:asciiTheme="minorEastAsia" w:hAnsiTheme="minorEastAsia"/>
        </w:rPr>
      </w:pPr>
      <w:r>
        <w:rPr>
          <w:rFonts w:hint="eastAsia" w:cs="仿宋" w:asciiTheme="minorEastAsia" w:hAnsiTheme="minorEastAsia"/>
        </w:rPr>
        <w:t>（2）</w:t>
      </w:r>
      <w:r>
        <w:rPr>
          <w:rFonts w:cs="仿宋" w:asciiTheme="minorEastAsia" w:hAnsiTheme="minorEastAsia"/>
        </w:rPr>
        <w:t>定期排查服务器安全问题，</w:t>
      </w:r>
      <w:r>
        <w:rPr>
          <w:rFonts w:hint="eastAsia" w:cs="仿宋" w:asciiTheme="minorEastAsia" w:hAnsiTheme="minorEastAsia"/>
        </w:rPr>
        <w:t>完成服务器安全检查，</w:t>
      </w:r>
      <w:r>
        <w:rPr>
          <w:rFonts w:cs="仿宋" w:asciiTheme="minorEastAsia" w:hAnsiTheme="minorEastAsia"/>
        </w:rPr>
        <w:t>及时安装对应补丁升级杀毒软件病毒库，并提供检查记录</w:t>
      </w:r>
      <w:r>
        <w:rPr>
          <w:rFonts w:hint="eastAsia" w:cs="仿宋" w:asciiTheme="minorEastAsia" w:hAnsiTheme="minorEastAsia"/>
        </w:rPr>
        <w:t>；</w:t>
      </w:r>
    </w:p>
    <w:p w14:paraId="00C81274">
      <w:pPr>
        <w:ind w:firstLine="480" w:firstLineChars="200"/>
        <w:rPr>
          <w:rFonts w:cs="仿宋" w:asciiTheme="minorEastAsia" w:hAnsiTheme="minorEastAsia"/>
        </w:rPr>
      </w:pPr>
      <w:r>
        <w:rPr>
          <w:rFonts w:hint="eastAsia" w:cs="仿宋" w:asciiTheme="minorEastAsia" w:hAnsiTheme="minorEastAsia"/>
          <w:szCs w:val="22"/>
        </w:rPr>
        <w:t>（3）</w:t>
      </w:r>
      <w:r>
        <w:rPr>
          <w:rFonts w:cs="仿宋" w:asciiTheme="minorEastAsia" w:hAnsiTheme="minorEastAsia"/>
        </w:rPr>
        <w:t>制定故障解决方案，就故障等级、故障流程制定故障解决策略，并对应急保障内容出具解决方式</w:t>
      </w:r>
      <w:r>
        <w:rPr>
          <w:rFonts w:hint="eastAsia" w:cs="仿宋" w:asciiTheme="minorEastAsia" w:hAnsiTheme="minorEastAsia"/>
        </w:rPr>
        <w:t>，能够对发生的故障进行快速定位和解决，确保业务连续性；</w:t>
      </w:r>
    </w:p>
    <w:p w14:paraId="167896C7">
      <w:pPr>
        <w:pStyle w:val="101"/>
        <w:ind w:firstLine="482"/>
        <w:jc w:val="both"/>
        <w:rPr>
          <w:rFonts w:hint="default" w:cs="仿宋" w:asciiTheme="minorEastAsia" w:hAnsiTheme="minorEastAsia"/>
          <w:sz w:val="24"/>
        </w:rPr>
      </w:pPr>
      <w:r>
        <w:rPr>
          <w:rFonts w:cs="仿宋" w:asciiTheme="minorEastAsia" w:hAnsiTheme="minorEastAsia"/>
          <w:sz w:val="24"/>
          <w:lang w:eastAsia="zh-CN"/>
        </w:rPr>
        <w:t>（4）</w:t>
      </w:r>
      <w:r>
        <w:rPr>
          <w:rFonts w:cs="仿宋" w:asciiTheme="minorEastAsia" w:hAnsiTheme="minorEastAsia"/>
          <w:sz w:val="24"/>
        </w:rPr>
        <w:t>根据《中华人民共和国计算机信息系统安全保护条例》等文件要求，制定详细应急预案，对各种系统、设备进行集中管理和监控，提高全方位网络安全态势感知和应急处置能力。按照“预防为主，积极处置”的原则，提高突发事件的应急处置能力。应急预案内容应包括应急故障发现机制、突发事件防范内容、应急故障处理预案、报告和总结等内容。</w:t>
      </w:r>
    </w:p>
    <w:p w14:paraId="2B3D1155">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2、</w:t>
      </w:r>
      <w:r>
        <w:rPr>
          <w:rFonts w:cs="仿宋" w:asciiTheme="minorEastAsia" w:hAnsiTheme="minorEastAsia"/>
          <w:bCs/>
          <w:sz w:val="24"/>
          <w:lang w:eastAsia="zh-CN"/>
        </w:rPr>
        <w:t>数据日常维护</w:t>
      </w:r>
      <w:r>
        <w:rPr>
          <w:rFonts w:cs="仿宋" w:asciiTheme="minorEastAsia" w:hAnsiTheme="minorEastAsia"/>
          <w:sz w:val="24"/>
          <w:lang w:eastAsia="zh-CN"/>
        </w:rPr>
        <w:t>：配合采购人开展数据备份及数据安全保障工作。</w:t>
      </w:r>
    </w:p>
    <w:p w14:paraId="60CEC255">
      <w:pPr>
        <w:pStyle w:val="101"/>
        <w:ind w:firstLine="480"/>
        <w:jc w:val="both"/>
        <w:rPr>
          <w:rFonts w:hint="default" w:cs="仿宋" w:asciiTheme="minorEastAsia" w:hAnsiTheme="minorEastAsia"/>
          <w:bCs/>
          <w:sz w:val="24"/>
          <w:lang w:eastAsia="zh-CN"/>
        </w:rPr>
      </w:pPr>
      <w:r>
        <w:rPr>
          <w:rFonts w:cs="仿宋" w:asciiTheme="minorEastAsia" w:hAnsiTheme="minorEastAsia"/>
          <w:bCs/>
          <w:sz w:val="24"/>
          <w:lang w:eastAsia="zh-CN"/>
        </w:rPr>
        <w:t>3、软件安全运维</w:t>
      </w:r>
    </w:p>
    <w:p w14:paraId="77020DE8">
      <w:pPr>
        <w:pStyle w:val="101"/>
        <w:ind w:firstLine="480"/>
        <w:jc w:val="both"/>
        <w:rPr>
          <w:rFonts w:hint="default" w:cs="仿宋" w:asciiTheme="minorEastAsia" w:hAnsiTheme="minorEastAsia"/>
          <w:sz w:val="24"/>
          <w:lang w:eastAsia="zh-CN"/>
        </w:rPr>
      </w:pPr>
      <w:r>
        <w:rPr>
          <w:rFonts w:cs="仿宋" w:asciiTheme="minorEastAsia" w:hAnsiTheme="minorEastAsia"/>
          <w:bCs/>
          <w:sz w:val="24"/>
          <w:lang w:eastAsia="zh-CN"/>
        </w:rPr>
        <w:t>（1）</w:t>
      </w:r>
      <w:r>
        <w:rPr>
          <w:rFonts w:cs="仿宋" w:asciiTheme="minorEastAsia" w:hAnsiTheme="minorEastAsia"/>
          <w:sz w:val="24"/>
          <w:lang w:eastAsia="zh-CN"/>
        </w:rPr>
        <w:t>安全漏洞扫描</w:t>
      </w:r>
    </w:p>
    <w:p w14:paraId="24DC6954">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需提供业务系统应用层扫描与主机系统漏洞扫描服务。使用漏洞扫描工具对目标系统进行全面扫描，收集相关信息，</w:t>
      </w:r>
      <w:r>
        <w:rPr>
          <w:rFonts w:hint="default" w:cs="仿宋" w:asciiTheme="minorEastAsia" w:hAnsiTheme="minorEastAsia"/>
          <w:sz w:val="24"/>
          <w:lang w:eastAsia="zh-CN"/>
        </w:rPr>
        <w:t>对扫描结果进行分析，根据分析结果生成漏洞扫描报告，包括漏洞描述、影响程度、建议修复措施等信息，供应商须根据报告中的建议，及时修复发现的漏洞和安全问题</w:t>
      </w:r>
      <w:r>
        <w:rPr>
          <w:rFonts w:cs="仿宋" w:asciiTheme="minorEastAsia" w:hAnsiTheme="minorEastAsia"/>
          <w:sz w:val="24"/>
          <w:lang w:eastAsia="zh-CN"/>
        </w:rPr>
        <w:t>。</w:t>
      </w:r>
    </w:p>
    <w:p w14:paraId="36C192A8">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（2）安全监控</w:t>
      </w:r>
    </w:p>
    <w:p w14:paraId="3B241A63">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需提供软件安全监控，</w:t>
      </w:r>
      <w:r>
        <w:rPr>
          <w:rFonts w:hint="default" w:cs="仿宋" w:asciiTheme="minorEastAsia" w:hAnsiTheme="minorEastAsia"/>
          <w:sz w:val="24"/>
          <w:lang w:eastAsia="zh-CN"/>
        </w:rPr>
        <w:t>对系统的运行状况、网络活动、</w:t>
      </w:r>
      <w:r>
        <w:rPr>
          <w:rFonts w:cs="仿宋" w:asciiTheme="minorEastAsia" w:hAnsiTheme="minorEastAsia"/>
          <w:sz w:val="24"/>
          <w:lang w:eastAsia="zh-CN"/>
        </w:rPr>
        <w:t>系统</w:t>
      </w:r>
      <w:r>
        <w:rPr>
          <w:rFonts w:hint="default" w:cs="仿宋" w:asciiTheme="minorEastAsia" w:hAnsiTheme="minorEastAsia"/>
          <w:sz w:val="24"/>
          <w:lang w:eastAsia="zh-CN"/>
        </w:rPr>
        <w:t>用户行为以及系统配置等进行全面、实时地监视、控制和记录</w:t>
      </w:r>
      <w:r>
        <w:rPr>
          <w:rFonts w:cs="仿宋" w:asciiTheme="minorEastAsia" w:hAnsiTheme="minorEastAsia"/>
          <w:sz w:val="24"/>
          <w:lang w:eastAsia="zh-CN"/>
        </w:rPr>
        <w:t>，</w:t>
      </w:r>
      <w:r>
        <w:rPr>
          <w:rFonts w:hint="default" w:cs="仿宋" w:asciiTheme="minorEastAsia" w:hAnsiTheme="minorEastAsia"/>
          <w:sz w:val="24"/>
          <w:lang w:eastAsia="zh-CN"/>
        </w:rPr>
        <w:t>及时发现并应对潜在的安全威胁，保护信息系统的完整性、可用性和机密性，确保系统稳定运行和数据安全。</w:t>
      </w:r>
    </w:p>
    <w:p w14:paraId="73151C42">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4、性能优化：定期对系统进行性能分析，找出技术瓶颈并进行优化，提升系统性能和系统用户体验，优化策略须经中心评定后实施。</w:t>
      </w:r>
    </w:p>
    <w:p w14:paraId="0BE9F715">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5、功能完善</w:t>
      </w:r>
    </w:p>
    <w:p w14:paraId="29B891B5">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（1）BUG修复</w:t>
      </w:r>
    </w:p>
    <w:p w14:paraId="28BAA59F">
      <w:pPr>
        <w:pStyle w:val="101"/>
        <w:ind w:firstLine="482"/>
        <w:jc w:val="both"/>
        <w:rPr>
          <w:rFonts w:hint="default" w:cs="仿宋" w:asciiTheme="minorEastAsia" w:hAnsiTheme="minorEastAsia"/>
          <w:sz w:val="24"/>
          <w:lang w:eastAsia="zh-CN"/>
        </w:rPr>
      </w:pPr>
      <w:r>
        <w:rPr>
          <w:rFonts w:hint="default" w:cs="仿宋" w:asciiTheme="minorEastAsia" w:hAnsiTheme="minorEastAsia"/>
          <w:sz w:val="24"/>
          <w:lang w:eastAsia="zh-CN"/>
        </w:rPr>
        <w:t>遇到各类紧急故障，导致系统 bug，导致系统不能正常运行时，供应商须尽</w:t>
      </w:r>
    </w:p>
    <w:p w14:paraId="1B708893">
      <w:pPr>
        <w:pStyle w:val="101"/>
        <w:ind w:firstLine="482"/>
        <w:jc w:val="both"/>
        <w:rPr>
          <w:rFonts w:hint="default" w:cs="仿宋" w:asciiTheme="minorEastAsia" w:hAnsiTheme="minorEastAsia"/>
          <w:sz w:val="24"/>
          <w:lang w:eastAsia="zh-CN"/>
        </w:rPr>
      </w:pPr>
      <w:r>
        <w:rPr>
          <w:rFonts w:hint="default" w:cs="仿宋" w:asciiTheme="minorEastAsia" w:hAnsiTheme="minorEastAsia"/>
          <w:sz w:val="24"/>
          <w:lang w:eastAsia="zh-CN"/>
        </w:rPr>
        <w:t>快根据预案和响应流程尽快解决问题，使系统和数据恢复正常，确保系统稳定运</w:t>
      </w:r>
    </w:p>
    <w:p w14:paraId="473431A4">
      <w:pPr>
        <w:pStyle w:val="101"/>
        <w:ind w:firstLine="482"/>
        <w:jc w:val="both"/>
        <w:rPr>
          <w:rFonts w:hint="default" w:cs="仿宋" w:asciiTheme="minorEastAsia" w:hAnsiTheme="minorEastAsia"/>
          <w:sz w:val="24"/>
          <w:lang w:eastAsia="zh-CN"/>
        </w:rPr>
      </w:pPr>
      <w:r>
        <w:rPr>
          <w:rFonts w:hint="default" w:cs="仿宋" w:asciiTheme="minorEastAsia" w:hAnsiTheme="minorEastAsia"/>
          <w:sz w:val="24"/>
          <w:lang w:eastAsia="zh-CN"/>
        </w:rPr>
        <w:t>行。</w:t>
      </w:r>
    </w:p>
    <w:p w14:paraId="386129EF">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（2）模块优化</w:t>
      </w:r>
    </w:p>
    <w:p w14:paraId="02928900">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实时响应业务相关政策调整及各业务科室的需求，经中心审批后不断优化系统功能。</w:t>
      </w:r>
    </w:p>
    <w:p w14:paraId="4A9E69F0">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6、更新管理：围绕系统代码更新部署，制定更新申请、审核、备份、部署、验证测试的申请、审批管理机制，管控定期的例行更新和紧急更新。</w:t>
      </w:r>
    </w:p>
    <w:p w14:paraId="3A530B16">
      <w:pPr>
        <w:pStyle w:val="101"/>
        <w:ind w:firstLine="482"/>
        <w:outlineLvl w:val="1"/>
        <w:rPr>
          <w:rFonts w:hint="default" w:cs="Times New Roman"/>
          <w:b/>
          <w:sz w:val="24"/>
          <w:szCs w:val="24"/>
          <w:lang w:eastAsia="zh-CN"/>
        </w:rPr>
      </w:pPr>
      <w:r>
        <w:rPr>
          <w:rFonts w:cs="Times New Roman"/>
          <w:b/>
          <w:sz w:val="24"/>
          <w:szCs w:val="24"/>
          <w:lang w:eastAsia="zh-CN"/>
        </w:rPr>
        <w:t>（三）运维频次要求</w:t>
      </w:r>
    </w:p>
    <w:p w14:paraId="1EDD0EE1">
      <w:pPr>
        <w:pStyle w:val="101"/>
        <w:ind w:firstLine="482"/>
        <w:jc w:val="both"/>
        <w:rPr>
          <w:rFonts w:hint="default" w:cs="仿宋" w:asciiTheme="minorEastAsia" w:hAnsiTheme="minorEastAsia"/>
          <w:sz w:val="24"/>
          <w:lang w:eastAsia="zh-CN"/>
        </w:rPr>
      </w:pPr>
      <w:bookmarkStart w:id="14" w:name="OLE_LINK57"/>
      <w:r>
        <w:rPr>
          <w:rFonts w:cs="仿宋" w:asciiTheme="minorEastAsia" w:hAnsiTheme="minorEastAsia"/>
          <w:sz w:val="24"/>
          <w:lang w:eastAsia="zh-CN"/>
        </w:rPr>
        <w:t>供应商</w:t>
      </w:r>
      <w:bookmarkEnd w:id="14"/>
      <w:r>
        <w:rPr>
          <w:rFonts w:cs="仿宋" w:asciiTheme="minorEastAsia" w:hAnsiTheme="minorEastAsia"/>
          <w:sz w:val="24"/>
          <w:lang w:eastAsia="zh-CN"/>
        </w:rPr>
        <w:t>需承担的年度运维服务工作量如下：</w:t>
      </w:r>
    </w:p>
    <w:tbl>
      <w:tblPr>
        <w:tblStyle w:val="26"/>
        <w:tblW w:w="4998" w:type="pct"/>
        <w:tblInd w:w="0" w:type="dxa"/>
        <w:tblLayout w:type="autofit"/>
        <w:tblCellMar>
          <w:top w:w="0" w:type="dxa"/>
          <w:left w:w="108" w:type="dxa"/>
          <w:bottom w:w="0" w:type="dxa"/>
          <w:right w:w="108" w:type="dxa"/>
        </w:tblCellMar>
      </w:tblPr>
      <w:tblGrid>
        <w:gridCol w:w="943"/>
        <w:gridCol w:w="1946"/>
        <w:gridCol w:w="2677"/>
        <w:gridCol w:w="1858"/>
        <w:gridCol w:w="1858"/>
      </w:tblGrid>
      <w:tr w14:paraId="5D41C3CA">
        <w:tblPrEx>
          <w:tblCellMar>
            <w:top w:w="0" w:type="dxa"/>
            <w:left w:w="108" w:type="dxa"/>
            <w:bottom w:w="0" w:type="dxa"/>
            <w:right w:w="108" w:type="dxa"/>
          </w:tblCellMar>
        </w:tblPrEx>
        <w:trPr>
          <w:trHeight w:val="295" w:hRule="atLeast"/>
        </w:trPr>
        <w:tc>
          <w:tcPr>
            <w:tcW w:w="5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9096F2">
            <w:pPr>
              <w:jc w:val="center"/>
              <w:textAlignment w:val="center"/>
              <w:rPr>
                <w:rFonts w:ascii="仿宋" w:hAnsi="仿宋" w:eastAsia="仿宋" w:cs="仿宋"/>
                <w:b/>
                <w:bCs/>
                <w:color w:val="000000"/>
                <w:szCs w:val="20"/>
                <w:lang w:eastAsia="zh-Hans"/>
              </w:rPr>
            </w:pPr>
            <w:r>
              <w:rPr>
                <w:rFonts w:hint="eastAsia" w:ascii="仿宋" w:hAnsi="仿宋" w:eastAsia="仿宋" w:cs="仿宋"/>
                <w:b/>
                <w:bCs/>
                <w:color w:val="000000"/>
                <w:sz w:val="21"/>
                <w:szCs w:val="20"/>
              </w:rPr>
              <w:t>序号</w:t>
            </w:r>
          </w:p>
        </w:tc>
        <w:tc>
          <w:tcPr>
            <w:tcW w:w="104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FB8726">
            <w:pPr>
              <w:jc w:val="center"/>
              <w:textAlignment w:val="center"/>
              <w:rPr>
                <w:rFonts w:ascii="仿宋" w:hAnsi="仿宋" w:eastAsia="仿宋" w:cs="仿宋"/>
                <w:b/>
                <w:bCs/>
                <w:color w:val="000000"/>
                <w:szCs w:val="20"/>
                <w:lang w:eastAsia="zh-Hans"/>
              </w:rPr>
            </w:pPr>
            <w:r>
              <w:rPr>
                <w:rFonts w:hint="eastAsia" w:ascii="仿宋" w:hAnsi="仿宋" w:eastAsia="仿宋" w:cs="仿宋"/>
                <w:b/>
                <w:bCs/>
                <w:color w:val="000000"/>
                <w:sz w:val="21"/>
                <w:szCs w:val="20"/>
              </w:rPr>
              <w:t>服务项目</w:t>
            </w:r>
          </w:p>
        </w:tc>
        <w:tc>
          <w:tcPr>
            <w:tcW w:w="14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7C905A">
            <w:pPr>
              <w:jc w:val="center"/>
              <w:textAlignment w:val="center"/>
              <w:rPr>
                <w:rFonts w:ascii="仿宋" w:hAnsi="仿宋" w:eastAsia="仿宋" w:cs="仿宋"/>
                <w:b/>
                <w:bCs/>
                <w:color w:val="000000"/>
                <w:szCs w:val="20"/>
                <w:lang w:eastAsia="zh-Hans"/>
              </w:rPr>
            </w:pPr>
            <w:r>
              <w:rPr>
                <w:rFonts w:hint="eastAsia" w:ascii="仿宋" w:hAnsi="仿宋" w:eastAsia="仿宋" w:cs="仿宋"/>
                <w:b/>
                <w:bCs/>
                <w:color w:val="000000"/>
                <w:sz w:val="21"/>
                <w:szCs w:val="20"/>
              </w:rPr>
              <w:t>服务内容</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BA947A">
            <w:pPr>
              <w:jc w:val="center"/>
              <w:textAlignment w:val="center"/>
              <w:rPr>
                <w:rFonts w:ascii="仿宋" w:hAnsi="仿宋" w:eastAsia="仿宋" w:cs="仿宋"/>
                <w:b/>
                <w:bCs/>
                <w:color w:val="000000"/>
                <w:szCs w:val="20"/>
                <w:lang w:eastAsia="zh-Hans"/>
              </w:rPr>
            </w:pPr>
            <w:r>
              <w:rPr>
                <w:rFonts w:hint="eastAsia" w:ascii="仿宋" w:hAnsi="仿宋" w:eastAsia="仿宋" w:cs="仿宋"/>
                <w:b/>
                <w:bCs/>
                <w:color w:val="000000"/>
                <w:sz w:val="21"/>
                <w:szCs w:val="20"/>
              </w:rPr>
              <w:t>年服务量</w:t>
            </w:r>
          </w:p>
        </w:tc>
        <w:tc>
          <w:tcPr>
            <w:tcW w:w="1000" w:type="pct"/>
            <w:tcBorders>
              <w:top w:val="single" w:color="000000" w:sz="8" w:space="0"/>
              <w:left w:val="single" w:color="000000" w:sz="8" w:space="0"/>
              <w:bottom w:val="single" w:color="000000" w:sz="8" w:space="0"/>
              <w:right w:val="single" w:color="000000" w:sz="8" w:space="0"/>
            </w:tcBorders>
            <w:shd w:val="clear" w:color="auto" w:fill="auto"/>
          </w:tcPr>
          <w:p w14:paraId="17DEE69D">
            <w:pPr>
              <w:jc w:val="center"/>
              <w:textAlignment w:val="top"/>
              <w:rPr>
                <w:rFonts w:ascii="仿宋" w:hAnsi="仿宋" w:eastAsia="仿宋" w:cs="仿宋"/>
                <w:b/>
                <w:bCs/>
                <w:color w:val="000000"/>
                <w:szCs w:val="20"/>
                <w:lang w:eastAsia="zh-Hans"/>
              </w:rPr>
            </w:pPr>
            <w:r>
              <w:rPr>
                <w:rFonts w:hint="eastAsia" w:ascii="仿宋" w:hAnsi="仿宋" w:eastAsia="仿宋" w:cs="仿宋"/>
                <w:b/>
                <w:bCs/>
                <w:color w:val="000000"/>
                <w:sz w:val="21"/>
                <w:szCs w:val="20"/>
              </w:rPr>
              <w:t>备注</w:t>
            </w:r>
          </w:p>
        </w:tc>
      </w:tr>
      <w:tr w14:paraId="001DC350">
        <w:tblPrEx>
          <w:tblCellMar>
            <w:top w:w="0" w:type="dxa"/>
            <w:left w:w="108" w:type="dxa"/>
            <w:bottom w:w="0" w:type="dxa"/>
            <w:right w:w="108" w:type="dxa"/>
          </w:tblCellMar>
        </w:tblPrEx>
        <w:trPr>
          <w:trHeight w:val="320" w:hRule="atLeast"/>
        </w:trPr>
        <w:tc>
          <w:tcPr>
            <w:tcW w:w="508" w:type="pct"/>
            <w:vMerge w:val="restart"/>
            <w:tcBorders>
              <w:top w:val="nil"/>
              <w:left w:val="single" w:color="000000" w:sz="8" w:space="0"/>
              <w:bottom w:val="single" w:color="000000" w:sz="8" w:space="0"/>
              <w:right w:val="single" w:color="000000" w:sz="8" w:space="0"/>
            </w:tcBorders>
            <w:shd w:val="clear" w:color="auto" w:fill="auto"/>
            <w:vAlign w:val="center"/>
          </w:tcPr>
          <w:p w14:paraId="3F010369">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1</w:t>
            </w:r>
          </w:p>
        </w:tc>
        <w:tc>
          <w:tcPr>
            <w:tcW w:w="1048" w:type="pct"/>
            <w:vMerge w:val="restart"/>
            <w:tcBorders>
              <w:top w:val="nil"/>
              <w:left w:val="single" w:color="000000" w:sz="8" w:space="0"/>
              <w:bottom w:val="single" w:color="000000" w:sz="8" w:space="0"/>
              <w:right w:val="single" w:color="000000" w:sz="8" w:space="0"/>
            </w:tcBorders>
            <w:shd w:val="clear" w:color="auto" w:fill="auto"/>
            <w:vAlign w:val="center"/>
          </w:tcPr>
          <w:p w14:paraId="24ECA39F">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服务器日常维护</w:t>
            </w: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254DC163">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日常系统巡检</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3300B667">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工作日一日一次</w:t>
            </w:r>
          </w:p>
        </w:tc>
        <w:tc>
          <w:tcPr>
            <w:tcW w:w="1000" w:type="pct"/>
            <w:tcBorders>
              <w:top w:val="nil"/>
              <w:left w:val="single" w:color="000000" w:sz="8" w:space="0"/>
              <w:bottom w:val="single" w:color="000000" w:sz="8" w:space="0"/>
              <w:right w:val="single" w:color="000000" w:sz="8" w:space="0"/>
            </w:tcBorders>
            <w:shd w:val="clear" w:color="auto" w:fill="auto"/>
          </w:tcPr>
          <w:p w14:paraId="3D62532D">
            <w:pPr>
              <w:jc w:val="center"/>
              <w:rPr>
                <w:rFonts w:ascii="仿宋" w:hAnsi="仿宋" w:eastAsia="仿宋" w:cs="仿宋"/>
                <w:color w:val="000000"/>
                <w:szCs w:val="20"/>
                <w:lang w:eastAsia="zh-Hans"/>
              </w:rPr>
            </w:pPr>
          </w:p>
        </w:tc>
      </w:tr>
      <w:tr w14:paraId="5371A9C8">
        <w:trPr>
          <w:trHeight w:val="395"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10DA7F00">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2946D98D">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1E14C10F">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服务器安全检查</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1D3F2967">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12次</w:t>
            </w:r>
          </w:p>
        </w:tc>
        <w:tc>
          <w:tcPr>
            <w:tcW w:w="1000" w:type="pct"/>
            <w:tcBorders>
              <w:top w:val="nil"/>
              <w:left w:val="single" w:color="000000" w:sz="8" w:space="0"/>
              <w:bottom w:val="single" w:color="000000" w:sz="8" w:space="0"/>
              <w:right w:val="single" w:color="000000" w:sz="8" w:space="0"/>
            </w:tcBorders>
            <w:shd w:val="clear" w:color="auto" w:fill="auto"/>
          </w:tcPr>
          <w:p w14:paraId="1B241CCD">
            <w:pPr>
              <w:jc w:val="center"/>
              <w:textAlignment w:val="top"/>
              <w:rPr>
                <w:rFonts w:ascii="仿宋" w:hAnsi="仿宋" w:eastAsia="仿宋" w:cs="仿宋"/>
                <w:color w:val="000000"/>
                <w:szCs w:val="20"/>
                <w:lang w:eastAsia="zh-Hans"/>
              </w:rPr>
            </w:pPr>
            <w:r>
              <w:rPr>
                <w:rFonts w:hint="eastAsia" w:ascii="仿宋" w:hAnsi="仿宋" w:eastAsia="仿宋" w:cs="仿宋"/>
                <w:color w:val="000000"/>
                <w:sz w:val="21"/>
                <w:szCs w:val="20"/>
              </w:rPr>
              <w:t>根据采购人安排</w:t>
            </w:r>
          </w:p>
        </w:tc>
      </w:tr>
      <w:tr w14:paraId="1FE9F3BD">
        <w:tblPrEx>
          <w:tblCellMar>
            <w:top w:w="0" w:type="dxa"/>
            <w:left w:w="108" w:type="dxa"/>
            <w:bottom w:w="0" w:type="dxa"/>
            <w:right w:w="108" w:type="dxa"/>
          </w:tblCellMar>
        </w:tblPrEx>
        <w:trPr>
          <w:trHeight w:val="315"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4A8B382B">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59F6B3A5">
            <w:pPr>
              <w:jc w:val="center"/>
              <w:rPr>
                <w:rFonts w:ascii="仿宋" w:hAnsi="仿宋" w:eastAsia="仿宋" w:cs="仿宋"/>
                <w:color w:val="000000"/>
                <w:szCs w:val="20"/>
                <w:lang w:eastAsia="zh-Hans"/>
              </w:rPr>
            </w:pPr>
          </w:p>
        </w:tc>
        <w:tc>
          <w:tcPr>
            <w:tcW w:w="14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569B9A">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重点日期技术保障</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9C5AE7">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8次</w:t>
            </w:r>
          </w:p>
        </w:tc>
        <w:tc>
          <w:tcPr>
            <w:tcW w:w="1000" w:type="pct"/>
            <w:tcBorders>
              <w:top w:val="single" w:color="000000" w:sz="8" w:space="0"/>
              <w:left w:val="single" w:color="000000" w:sz="8" w:space="0"/>
              <w:bottom w:val="single" w:color="000000" w:sz="8" w:space="0"/>
              <w:right w:val="single" w:color="000000" w:sz="8" w:space="0"/>
            </w:tcBorders>
            <w:shd w:val="clear" w:color="auto" w:fill="auto"/>
          </w:tcPr>
          <w:p w14:paraId="525848B4">
            <w:pPr>
              <w:jc w:val="center"/>
              <w:textAlignment w:val="top"/>
              <w:rPr>
                <w:rFonts w:ascii="仿宋" w:hAnsi="仿宋" w:eastAsia="仿宋" w:cs="仿宋"/>
                <w:color w:val="000000"/>
                <w:szCs w:val="20"/>
                <w:lang w:eastAsia="zh-Hans"/>
              </w:rPr>
            </w:pPr>
            <w:r>
              <w:rPr>
                <w:rFonts w:hint="eastAsia" w:ascii="仿宋" w:hAnsi="仿宋" w:eastAsia="仿宋" w:cs="仿宋"/>
                <w:color w:val="000000"/>
                <w:sz w:val="21"/>
                <w:szCs w:val="20"/>
              </w:rPr>
              <w:t>根据采购人安排</w:t>
            </w:r>
          </w:p>
        </w:tc>
      </w:tr>
      <w:tr w14:paraId="5EA4C1C3">
        <w:tblPrEx>
          <w:tblCellMar>
            <w:top w:w="0" w:type="dxa"/>
            <w:left w:w="108" w:type="dxa"/>
            <w:bottom w:w="0" w:type="dxa"/>
            <w:right w:w="108" w:type="dxa"/>
          </w:tblCellMar>
        </w:tblPrEx>
        <w:trPr>
          <w:trHeight w:val="295"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6D386509">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27890022">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4DD6E78D">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故障排查</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487DE5D6">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350次</w:t>
            </w:r>
          </w:p>
        </w:tc>
        <w:tc>
          <w:tcPr>
            <w:tcW w:w="1000" w:type="pct"/>
            <w:tcBorders>
              <w:top w:val="nil"/>
              <w:left w:val="single" w:color="000000" w:sz="8" w:space="0"/>
              <w:bottom w:val="single" w:color="000000" w:sz="8" w:space="0"/>
              <w:right w:val="single" w:color="000000" w:sz="8" w:space="0"/>
            </w:tcBorders>
            <w:shd w:val="clear" w:color="auto" w:fill="auto"/>
          </w:tcPr>
          <w:p w14:paraId="20E725E0">
            <w:pPr>
              <w:jc w:val="center"/>
              <w:rPr>
                <w:rFonts w:ascii="仿宋" w:hAnsi="仿宋" w:eastAsia="仿宋" w:cs="仿宋"/>
                <w:color w:val="000000"/>
                <w:szCs w:val="20"/>
                <w:lang w:eastAsia="zh-Hans"/>
              </w:rPr>
            </w:pPr>
          </w:p>
        </w:tc>
      </w:tr>
      <w:tr w14:paraId="61CF4317">
        <w:tblPrEx>
          <w:tblCellMar>
            <w:top w:w="0" w:type="dxa"/>
            <w:left w:w="108" w:type="dxa"/>
            <w:bottom w:w="0" w:type="dxa"/>
            <w:right w:w="108" w:type="dxa"/>
          </w:tblCellMar>
        </w:tblPrEx>
        <w:trPr>
          <w:trHeight w:val="304" w:hRule="atLeast"/>
        </w:trPr>
        <w:tc>
          <w:tcPr>
            <w:tcW w:w="508" w:type="pct"/>
            <w:vMerge w:val="restart"/>
            <w:tcBorders>
              <w:top w:val="nil"/>
              <w:left w:val="single" w:color="000000" w:sz="8" w:space="0"/>
              <w:bottom w:val="single" w:color="000000" w:sz="8" w:space="0"/>
              <w:right w:val="single" w:color="000000" w:sz="8" w:space="0"/>
            </w:tcBorders>
            <w:shd w:val="clear" w:color="auto" w:fill="auto"/>
            <w:vAlign w:val="center"/>
          </w:tcPr>
          <w:p w14:paraId="71AA494D">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2</w:t>
            </w:r>
          </w:p>
        </w:tc>
        <w:tc>
          <w:tcPr>
            <w:tcW w:w="1048" w:type="pct"/>
            <w:vMerge w:val="restart"/>
            <w:tcBorders>
              <w:top w:val="nil"/>
              <w:left w:val="single" w:color="000000" w:sz="8" w:space="0"/>
              <w:bottom w:val="single" w:color="000000" w:sz="8" w:space="0"/>
              <w:right w:val="single" w:color="000000" w:sz="8" w:space="0"/>
            </w:tcBorders>
            <w:shd w:val="clear" w:color="auto" w:fill="auto"/>
            <w:vAlign w:val="center"/>
          </w:tcPr>
          <w:p w14:paraId="2CCB0BA8">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数据日常运维</w:t>
            </w: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048AE91A">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数据库巡检</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601D3F58">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工作日一日一次</w:t>
            </w:r>
          </w:p>
        </w:tc>
        <w:tc>
          <w:tcPr>
            <w:tcW w:w="1000" w:type="pct"/>
            <w:tcBorders>
              <w:top w:val="nil"/>
              <w:left w:val="single" w:color="000000" w:sz="8" w:space="0"/>
              <w:bottom w:val="single" w:color="000000" w:sz="8" w:space="0"/>
              <w:right w:val="single" w:color="000000" w:sz="8" w:space="0"/>
            </w:tcBorders>
            <w:shd w:val="clear" w:color="auto" w:fill="auto"/>
          </w:tcPr>
          <w:p w14:paraId="5D13F5F3">
            <w:pPr>
              <w:jc w:val="center"/>
              <w:rPr>
                <w:rFonts w:ascii="仿宋" w:hAnsi="仿宋" w:eastAsia="仿宋" w:cs="仿宋"/>
                <w:color w:val="000000"/>
                <w:szCs w:val="20"/>
                <w:lang w:eastAsia="zh-Hans"/>
              </w:rPr>
            </w:pPr>
          </w:p>
        </w:tc>
      </w:tr>
      <w:tr w14:paraId="769EE400">
        <w:tblPrEx>
          <w:tblCellMar>
            <w:top w:w="0" w:type="dxa"/>
            <w:left w:w="108" w:type="dxa"/>
            <w:bottom w:w="0" w:type="dxa"/>
            <w:right w:w="108" w:type="dxa"/>
          </w:tblCellMar>
        </w:tblPrEx>
        <w:trPr>
          <w:trHeight w:val="328"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674DC50F">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2D8DCC62">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33E68FB6">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数据备份</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2F24173A">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工作日一日一次</w:t>
            </w:r>
          </w:p>
        </w:tc>
        <w:tc>
          <w:tcPr>
            <w:tcW w:w="1000" w:type="pct"/>
            <w:tcBorders>
              <w:top w:val="nil"/>
              <w:left w:val="single" w:color="000000" w:sz="8" w:space="0"/>
              <w:bottom w:val="single" w:color="000000" w:sz="8" w:space="0"/>
              <w:right w:val="single" w:color="000000" w:sz="8" w:space="0"/>
            </w:tcBorders>
            <w:shd w:val="clear" w:color="auto" w:fill="auto"/>
          </w:tcPr>
          <w:p w14:paraId="169BEB4F">
            <w:pPr>
              <w:jc w:val="center"/>
              <w:rPr>
                <w:rFonts w:ascii="仿宋" w:hAnsi="仿宋" w:eastAsia="仿宋" w:cs="仿宋"/>
                <w:color w:val="000000"/>
                <w:szCs w:val="20"/>
                <w:lang w:eastAsia="zh-Hans"/>
              </w:rPr>
            </w:pPr>
          </w:p>
        </w:tc>
      </w:tr>
      <w:tr w14:paraId="39366A5A">
        <w:tblPrEx>
          <w:tblCellMar>
            <w:top w:w="0" w:type="dxa"/>
            <w:left w:w="108" w:type="dxa"/>
            <w:bottom w:w="0" w:type="dxa"/>
            <w:right w:w="108" w:type="dxa"/>
          </w:tblCellMar>
        </w:tblPrEx>
        <w:trPr>
          <w:trHeight w:val="368"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489DDDF1">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6B584FD3">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35FB335C">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安全审计检查</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00EE24DF">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1次/季度</w:t>
            </w:r>
          </w:p>
        </w:tc>
        <w:tc>
          <w:tcPr>
            <w:tcW w:w="1000" w:type="pct"/>
            <w:tcBorders>
              <w:top w:val="nil"/>
              <w:left w:val="single" w:color="000000" w:sz="8" w:space="0"/>
              <w:bottom w:val="single" w:color="000000" w:sz="8" w:space="0"/>
              <w:right w:val="single" w:color="000000" w:sz="8" w:space="0"/>
            </w:tcBorders>
            <w:shd w:val="clear" w:color="auto" w:fill="auto"/>
          </w:tcPr>
          <w:p w14:paraId="4B092753">
            <w:pPr>
              <w:jc w:val="center"/>
              <w:rPr>
                <w:rFonts w:ascii="仿宋" w:hAnsi="仿宋" w:eastAsia="仿宋" w:cs="仿宋"/>
                <w:color w:val="000000"/>
                <w:szCs w:val="20"/>
                <w:lang w:eastAsia="zh-Hans"/>
              </w:rPr>
            </w:pPr>
          </w:p>
        </w:tc>
      </w:tr>
      <w:tr w14:paraId="30C43BE1">
        <w:tblPrEx>
          <w:tblCellMar>
            <w:top w:w="0" w:type="dxa"/>
            <w:left w:w="108" w:type="dxa"/>
            <w:bottom w:w="0" w:type="dxa"/>
            <w:right w:w="108" w:type="dxa"/>
          </w:tblCellMar>
        </w:tblPrEx>
        <w:trPr>
          <w:trHeight w:val="381" w:hRule="atLeast"/>
        </w:trPr>
        <w:tc>
          <w:tcPr>
            <w:tcW w:w="508" w:type="pct"/>
            <w:vMerge w:val="restart"/>
            <w:tcBorders>
              <w:top w:val="nil"/>
              <w:left w:val="single" w:color="000000" w:sz="8" w:space="0"/>
              <w:bottom w:val="single" w:color="000000" w:sz="8" w:space="0"/>
              <w:right w:val="single" w:color="000000" w:sz="8" w:space="0"/>
            </w:tcBorders>
            <w:shd w:val="clear" w:color="auto" w:fill="auto"/>
            <w:vAlign w:val="center"/>
          </w:tcPr>
          <w:p w14:paraId="779AE3C5">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3</w:t>
            </w:r>
          </w:p>
        </w:tc>
        <w:tc>
          <w:tcPr>
            <w:tcW w:w="1048" w:type="pct"/>
            <w:vMerge w:val="restart"/>
            <w:tcBorders>
              <w:top w:val="nil"/>
              <w:left w:val="single" w:color="000000" w:sz="8" w:space="0"/>
              <w:bottom w:val="single" w:color="000000" w:sz="8" w:space="0"/>
              <w:right w:val="single" w:color="000000" w:sz="8" w:space="0"/>
            </w:tcBorders>
            <w:shd w:val="clear" w:color="auto" w:fill="auto"/>
            <w:vAlign w:val="center"/>
          </w:tcPr>
          <w:p w14:paraId="0C20FE0C">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功能完善</w:t>
            </w: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68BEC10A">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系统优化</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79007CB0">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w:t>
            </w:r>
          </w:p>
        </w:tc>
        <w:tc>
          <w:tcPr>
            <w:tcW w:w="1000" w:type="pct"/>
            <w:tcBorders>
              <w:top w:val="single" w:color="000000" w:sz="8" w:space="0"/>
              <w:left w:val="single" w:color="000000" w:sz="8" w:space="0"/>
              <w:bottom w:val="single" w:color="000000" w:sz="8" w:space="0"/>
              <w:right w:val="single" w:color="000000" w:sz="8" w:space="0"/>
            </w:tcBorders>
            <w:shd w:val="clear" w:color="auto" w:fill="auto"/>
          </w:tcPr>
          <w:p w14:paraId="22BC66E6">
            <w:pPr>
              <w:jc w:val="center"/>
              <w:textAlignment w:val="top"/>
              <w:rPr>
                <w:rFonts w:ascii="仿宋" w:hAnsi="仿宋" w:eastAsia="仿宋" w:cs="仿宋"/>
                <w:color w:val="000000"/>
                <w:szCs w:val="20"/>
                <w:lang w:eastAsia="zh-Hans"/>
              </w:rPr>
            </w:pPr>
            <w:r>
              <w:rPr>
                <w:rFonts w:hint="eastAsia" w:ascii="仿宋" w:hAnsi="仿宋" w:eastAsia="仿宋" w:cs="仿宋"/>
                <w:color w:val="000000"/>
                <w:sz w:val="21"/>
                <w:szCs w:val="20"/>
              </w:rPr>
              <w:t>根据实际需求</w:t>
            </w:r>
          </w:p>
        </w:tc>
      </w:tr>
      <w:tr w14:paraId="26E1AFD8">
        <w:tblPrEx>
          <w:tblCellMar>
            <w:top w:w="0" w:type="dxa"/>
            <w:left w:w="108" w:type="dxa"/>
            <w:bottom w:w="0" w:type="dxa"/>
            <w:right w:w="108" w:type="dxa"/>
          </w:tblCellMar>
        </w:tblPrEx>
        <w:trPr>
          <w:trHeight w:val="345"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7339F4A9">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116BF401">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757C8089">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新增需求及政策响应</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445BEE1F">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w:t>
            </w:r>
          </w:p>
        </w:tc>
        <w:tc>
          <w:tcPr>
            <w:tcW w:w="1000" w:type="pct"/>
            <w:tcBorders>
              <w:top w:val="single" w:color="000000" w:sz="8" w:space="0"/>
              <w:left w:val="single" w:color="000000" w:sz="8" w:space="0"/>
              <w:bottom w:val="single" w:color="000000" w:sz="8" w:space="0"/>
              <w:right w:val="single" w:color="000000" w:sz="8" w:space="0"/>
            </w:tcBorders>
            <w:shd w:val="clear" w:color="auto" w:fill="auto"/>
          </w:tcPr>
          <w:p w14:paraId="15CAF9E6">
            <w:pPr>
              <w:jc w:val="center"/>
              <w:textAlignment w:val="top"/>
              <w:rPr>
                <w:rFonts w:ascii="仿宋" w:hAnsi="仿宋" w:eastAsia="仿宋" w:cs="仿宋"/>
                <w:color w:val="000000"/>
                <w:szCs w:val="20"/>
                <w:lang w:eastAsia="zh-Hans"/>
              </w:rPr>
            </w:pPr>
            <w:r>
              <w:rPr>
                <w:rFonts w:hint="eastAsia" w:ascii="仿宋" w:hAnsi="仿宋" w:eastAsia="仿宋" w:cs="仿宋"/>
                <w:color w:val="000000"/>
                <w:sz w:val="21"/>
                <w:szCs w:val="20"/>
              </w:rPr>
              <w:t>根据实际需求</w:t>
            </w:r>
          </w:p>
        </w:tc>
      </w:tr>
      <w:tr w14:paraId="4024899E">
        <w:tblPrEx>
          <w:tblCellMar>
            <w:top w:w="0" w:type="dxa"/>
            <w:left w:w="108" w:type="dxa"/>
            <w:bottom w:w="0" w:type="dxa"/>
            <w:right w:w="108" w:type="dxa"/>
          </w:tblCellMar>
        </w:tblPrEx>
        <w:trPr>
          <w:trHeight w:val="295" w:hRule="atLeast"/>
        </w:trPr>
        <w:tc>
          <w:tcPr>
            <w:tcW w:w="508" w:type="pct"/>
            <w:vMerge w:val="restart"/>
            <w:tcBorders>
              <w:top w:val="nil"/>
              <w:left w:val="single" w:color="000000" w:sz="8" w:space="0"/>
              <w:bottom w:val="single" w:color="000000" w:sz="8" w:space="0"/>
              <w:right w:val="single" w:color="000000" w:sz="8" w:space="0"/>
            </w:tcBorders>
            <w:shd w:val="clear" w:color="auto" w:fill="auto"/>
            <w:vAlign w:val="center"/>
          </w:tcPr>
          <w:p w14:paraId="3B23A94A">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4</w:t>
            </w:r>
          </w:p>
        </w:tc>
        <w:tc>
          <w:tcPr>
            <w:tcW w:w="1048" w:type="pct"/>
            <w:vMerge w:val="restart"/>
            <w:tcBorders>
              <w:top w:val="nil"/>
              <w:left w:val="single" w:color="000000" w:sz="8" w:space="0"/>
              <w:bottom w:val="single" w:color="000000" w:sz="8" w:space="0"/>
              <w:right w:val="single" w:color="000000" w:sz="8" w:space="0"/>
            </w:tcBorders>
            <w:shd w:val="clear" w:color="auto" w:fill="auto"/>
            <w:vAlign w:val="center"/>
          </w:tcPr>
          <w:p w14:paraId="62226215">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技术支持服务</w:t>
            </w: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5C19B68A">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电话咨询</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617CB016">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w:t>
            </w:r>
          </w:p>
        </w:tc>
        <w:tc>
          <w:tcPr>
            <w:tcW w:w="1000" w:type="pct"/>
            <w:tcBorders>
              <w:top w:val="single" w:color="000000" w:sz="8" w:space="0"/>
              <w:left w:val="single" w:color="000000" w:sz="8" w:space="0"/>
              <w:bottom w:val="single" w:color="000000" w:sz="8" w:space="0"/>
              <w:right w:val="single" w:color="000000" w:sz="8" w:space="0"/>
            </w:tcBorders>
            <w:shd w:val="clear" w:color="auto" w:fill="auto"/>
          </w:tcPr>
          <w:p w14:paraId="077C21AC">
            <w:pPr>
              <w:jc w:val="center"/>
              <w:rPr>
                <w:rFonts w:ascii="仿宋" w:hAnsi="仿宋" w:eastAsia="仿宋" w:cs="仿宋"/>
                <w:color w:val="000000"/>
                <w:szCs w:val="20"/>
              </w:rPr>
            </w:pPr>
            <w:r>
              <w:rPr>
                <w:rFonts w:hint="eastAsia" w:ascii="仿宋" w:hAnsi="仿宋" w:eastAsia="仿宋" w:cs="仿宋"/>
                <w:color w:val="000000"/>
                <w:sz w:val="21"/>
                <w:szCs w:val="20"/>
              </w:rPr>
              <w:t>实时响应</w:t>
            </w:r>
          </w:p>
        </w:tc>
      </w:tr>
      <w:tr w14:paraId="0B4DD69F">
        <w:tblPrEx>
          <w:tblCellMar>
            <w:top w:w="0" w:type="dxa"/>
            <w:left w:w="108" w:type="dxa"/>
            <w:bottom w:w="0" w:type="dxa"/>
            <w:right w:w="108" w:type="dxa"/>
          </w:tblCellMar>
        </w:tblPrEx>
        <w:trPr>
          <w:trHeight w:val="381"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54C04CD6">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705090CB">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5DCFC0E4">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需求采集</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0627E27E">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w:t>
            </w:r>
          </w:p>
        </w:tc>
        <w:tc>
          <w:tcPr>
            <w:tcW w:w="1000" w:type="pct"/>
            <w:tcBorders>
              <w:top w:val="single" w:color="000000" w:sz="8" w:space="0"/>
              <w:left w:val="single" w:color="000000" w:sz="8" w:space="0"/>
              <w:bottom w:val="single" w:color="000000" w:sz="8" w:space="0"/>
              <w:right w:val="single" w:color="000000" w:sz="8" w:space="0"/>
            </w:tcBorders>
            <w:shd w:val="clear" w:color="auto" w:fill="auto"/>
          </w:tcPr>
          <w:p w14:paraId="4328B252">
            <w:pPr>
              <w:jc w:val="center"/>
              <w:textAlignment w:val="top"/>
              <w:rPr>
                <w:rFonts w:ascii="仿宋" w:hAnsi="仿宋" w:eastAsia="仿宋" w:cs="仿宋"/>
                <w:color w:val="000000"/>
                <w:szCs w:val="20"/>
                <w:lang w:eastAsia="zh-Hans"/>
              </w:rPr>
            </w:pPr>
            <w:r>
              <w:rPr>
                <w:rFonts w:hint="eastAsia" w:ascii="仿宋" w:hAnsi="仿宋" w:eastAsia="仿宋" w:cs="仿宋"/>
                <w:color w:val="000000"/>
                <w:sz w:val="21"/>
                <w:szCs w:val="20"/>
              </w:rPr>
              <w:t>根据实际需求</w:t>
            </w:r>
          </w:p>
        </w:tc>
      </w:tr>
      <w:tr w14:paraId="4FE0DF60">
        <w:tblPrEx>
          <w:tblCellMar>
            <w:top w:w="0" w:type="dxa"/>
            <w:left w:w="108" w:type="dxa"/>
            <w:bottom w:w="0" w:type="dxa"/>
            <w:right w:w="108" w:type="dxa"/>
          </w:tblCellMar>
        </w:tblPrEx>
        <w:trPr>
          <w:trHeight w:val="289"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442F5BA4">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67DB8029">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6AD0A013">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系统培训</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6099EA6B">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≥2</w:t>
            </w:r>
          </w:p>
        </w:tc>
        <w:tc>
          <w:tcPr>
            <w:tcW w:w="1000" w:type="pct"/>
            <w:tcBorders>
              <w:top w:val="nil"/>
              <w:left w:val="single" w:color="000000" w:sz="8" w:space="0"/>
              <w:bottom w:val="single" w:color="000000" w:sz="8" w:space="0"/>
              <w:right w:val="single" w:color="000000" w:sz="8" w:space="0"/>
            </w:tcBorders>
            <w:shd w:val="clear" w:color="auto" w:fill="auto"/>
          </w:tcPr>
          <w:p w14:paraId="0BC2EBE8">
            <w:pPr>
              <w:jc w:val="center"/>
              <w:textAlignment w:val="top"/>
              <w:rPr>
                <w:rFonts w:ascii="仿宋" w:hAnsi="仿宋" w:eastAsia="仿宋" w:cs="仿宋"/>
                <w:color w:val="000000"/>
                <w:szCs w:val="20"/>
                <w:lang w:eastAsia="zh-Hans"/>
              </w:rPr>
            </w:pPr>
            <w:r>
              <w:rPr>
                <w:rFonts w:hint="eastAsia" w:ascii="仿宋" w:hAnsi="仿宋" w:eastAsia="仿宋" w:cs="仿宋"/>
                <w:color w:val="000000"/>
                <w:sz w:val="21"/>
                <w:szCs w:val="20"/>
              </w:rPr>
              <w:t>根据实际需求以及采购人安排</w:t>
            </w:r>
          </w:p>
        </w:tc>
      </w:tr>
      <w:tr w14:paraId="3B9A712C">
        <w:tblPrEx>
          <w:tblCellMar>
            <w:top w:w="0" w:type="dxa"/>
            <w:left w:w="108" w:type="dxa"/>
            <w:bottom w:w="0" w:type="dxa"/>
            <w:right w:w="108" w:type="dxa"/>
          </w:tblCellMar>
        </w:tblPrEx>
        <w:trPr>
          <w:trHeight w:val="348" w:hRule="atLeast"/>
        </w:trPr>
        <w:tc>
          <w:tcPr>
            <w:tcW w:w="508" w:type="pct"/>
            <w:vMerge w:val="continue"/>
            <w:tcBorders>
              <w:top w:val="nil"/>
              <w:left w:val="single" w:color="000000" w:sz="8" w:space="0"/>
              <w:bottom w:val="single" w:color="000000" w:sz="8" w:space="0"/>
              <w:right w:val="single" w:color="000000" w:sz="8" w:space="0"/>
            </w:tcBorders>
            <w:shd w:val="clear" w:color="auto" w:fill="auto"/>
            <w:vAlign w:val="center"/>
          </w:tcPr>
          <w:p w14:paraId="00E63348">
            <w:pPr>
              <w:jc w:val="center"/>
              <w:rPr>
                <w:rFonts w:ascii="仿宋" w:hAnsi="仿宋" w:eastAsia="仿宋" w:cs="仿宋"/>
                <w:color w:val="000000"/>
                <w:szCs w:val="20"/>
                <w:lang w:eastAsia="zh-Hans"/>
              </w:rPr>
            </w:pPr>
          </w:p>
        </w:tc>
        <w:tc>
          <w:tcPr>
            <w:tcW w:w="1048" w:type="pct"/>
            <w:vMerge w:val="continue"/>
            <w:tcBorders>
              <w:top w:val="nil"/>
              <w:left w:val="single" w:color="000000" w:sz="8" w:space="0"/>
              <w:bottom w:val="single" w:color="000000" w:sz="8" w:space="0"/>
              <w:right w:val="single" w:color="000000" w:sz="8" w:space="0"/>
            </w:tcBorders>
            <w:shd w:val="clear" w:color="auto" w:fill="auto"/>
            <w:vAlign w:val="center"/>
          </w:tcPr>
          <w:p w14:paraId="1A49F69F">
            <w:pPr>
              <w:jc w:val="center"/>
              <w:rPr>
                <w:rFonts w:ascii="仿宋" w:hAnsi="仿宋" w:eastAsia="仿宋" w:cs="仿宋"/>
                <w:color w:val="000000"/>
                <w:szCs w:val="20"/>
                <w:lang w:eastAsia="zh-Hans"/>
              </w:rPr>
            </w:pPr>
          </w:p>
        </w:tc>
        <w:tc>
          <w:tcPr>
            <w:tcW w:w="1441" w:type="pct"/>
            <w:tcBorders>
              <w:top w:val="nil"/>
              <w:left w:val="single" w:color="000000" w:sz="8" w:space="0"/>
              <w:bottom w:val="single" w:color="000000" w:sz="8" w:space="0"/>
              <w:right w:val="single" w:color="000000" w:sz="8" w:space="0"/>
            </w:tcBorders>
            <w:shd w:val="clear" w:color="auto" w:fill="auto"/>
            <w:vAlign w:val="center"/>
          </w:tcPr>
          <w:p w14:paraId="228704B6">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现场服务</w:t>
            </w:r>
          </w:p>
        </w:tc>
        <w:tc>
          <w:tcPr>
            <w:tcW w:w="1000" w:type="pct"/>
            <w:tcBorders>
              <w:top w:val="nil"/>
              <w:left w:val="single" w:color="000000" w:sz="8" w:space="0"/>
              <w:bottom w:val="single" w:color="000000" w:sz="8" w:space="0"/>
              <w:right w:val="single" w:color="000000" w:sz="8" w:space="0"/>
            </w:tcBorders>
            <w:shd w:val="clear" w:color="auto" w:fill="auto"/>
            <w:vAlign w:val="center"/>
          </w:tcPr>
          <w:p w14:paraId="30CC7C05">
            <w:pPr>
              <w:jc w:val="center"/>
              <w:textAlignment w:val="center"/>
              <w:rPr>
                <w:rFonts w:ascii="仿宋" w:hAnsi="仿宋" w:eastAsia="仿宋" w:cs="仿宋"/>
                <w:color w:val="000000"/>
                <w:szCs w:val="20"/>
                <w:lang w:eastAsia="zh-Hans"/>
              </w:rPr>
            </w:pPr>
            <w:r>
              <w:rPr>
                <w:rFonts w:hint="eastAsia" w:ascii="仿宋" w:hAnsi="仿宋" w:eastAsia="仿宋" w:cs="仿宋"/>
                <w:color w:val="000000"/>
                <w:sz w:val="21"/>
                <w:szCs w:val="20"/>
              </w:rPr>
              <w:t>/</w:t>
            </w:r>
          </w:p>
        </w:tc>
        <w:tc>
          <w:tcPr>
            <w:tcW w:w="1000" w:type="pct"/>
            <w:tcBorders>
              <w:top w:val="nil"/>
              <w:left w:val="single" w:color="000000" w:sz="8" w:space="0"/>
              <w:bottom w:val="single" w:color="000000" w:sz="8" w:space="0"/>
              <w:right w:val="single" w:color="000000" w:sz="8" w:space="0"/>
            </w:tcBorders>
            <w:shd w:val="clear" w:color="auto" w:fill="auto"/>
          </w:tcPr>
          <w:p w14:paraId="2FBE88FF">
            <w:pPr>
              <w:jc w:val="center"/>
              <w:textAlignment w:val="top"/>
              <w:rPr>
                <w:rFonts w:ascii="仿宋" w:hAnsi="仿宋" w:eastAsia="仿宋" w:cs="仿宋"/>
                <w:color w:val="000000"/>
                <w:szCs w:val="20"/>
                <w:lang w:eastAsia="zh-Hans"/>
              </w:rPr>
            </w:pPr>
            <w:r>
              <w:rPr>
                <w:rFonts w:hint="eastAsia" w:ascii="仿宋" w:hAnsi="仿宋" w:eastAsia="仿宋" w:cs="仿宋"/>
                <w:color w:val="000000"/>
                <w:sz w:val="21"/>
                <w:szCs w:val="20"/>
              </w:rPr>
              <w:t>根据采购人安排</w:t>
            </w:r>
          </w:p>
        </w:tc>
      </w:tr>
    </w:tbl>
    <w:p w14:paraId="2EF46E9A">
      <w:pPr>
        <w:pStyle w:val="101"/>
        <w:ind w:firstLine="482"/>
        <w:jc w:val="both"/>
        <w:rPr>
          <w:rFonts w:hint="default" w:ascii="仿宋" w:hAnsi="仿宋" w:eastAsia="仿宋" w:cs="仿宋"/>
          <w:sz w:val="24"/>
          <w:lang w:eastAsia="zh-CN"/>
        </w:rPr>
      </w:pPr>
    </w:p>
    <w:p w14:paraId="7243E25C">
      <w:pPr>
        <w:pStyle w:val="101"/>
        <w:ind w:firstLine="482"/>
        <w:outlineLvl w:val="1"/>
        <w:rPr>
          <w:rFonts w:hint="default" w:cs="仿宋" w:asciiTheme="minorEastAsia" w:hAnsiTheme="minorEastAsia"/>
          <w:b/>
          <w:bCs/>
          <w:sz w:val="24"/>
          <w:lang w:eastAsia="zh-CN"/>
        </w:rPr>
      </w:pPr>
      <w:r>
        <w:rPr>
          <w:rFonts w:cs="仿宋" w:asciiTheme="minorEastAsia" w:hAnsiTheme="minorEastAsia"/>
          <w:b/>
          <w:bCs/>
          <w:sz w:val="24"/>
          <w:lang w:eastAsia="zh-CN"/>
        </w:rPr>
        <w:t>（四）运维服务方式要求</w:t>
      </w:r>
    </w:p>
    <w:p w14:paraId="314FCA26">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1、电话咨询服务</w:t>
      </w:r>
    </w:p>
    <w:p w14:paraId="5D0AEED7">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开通7*24</w:t>
      </w:r>
      <w:r>
        <w:rPr>
          <w:rFonts w:cs="仿宋" w:asciiTheme="minorEastAsia" w:hAnsiTheme="minorEastAsia"/>
          <w:sz w:val="24"/>
        </w:rPr>
        <w:t>小时</w:t>
      </w:r>
      <w:r>
        <w:rPr>
          <w:rFonts w:cs="仿宋" w:asciiTheme="minorEastAsia" w:hAnsiTheme="minorEastAsia"/>
          <w:sz w:val="24"/>
          <w:lang w:eastAsia="zh-CN"/>
        </w:rPr>
        <w:t>服务热线，运维人员通过电话沟通为系统用户提供技术支持、问题解答和咨询建议等服务，帮助系统用户更好地理解和使用系统。</w:t>
      </w:r>
    </w:p>
    <w:p w14:paraId="0779A28C">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2、驻场服务</w:t>
      </w:r>
    </w:p>
    <w:p w14:paraId="605D92AC">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提供至少3人5*8</w:t>
      </w:r>
      <w:r>
        <w:rPr>
          <w:rFonts w:cs="仿宋" w:asciiTheme="minorEastAsia" w:hAnsiTheme="minorEastAsia"/>
          <w:sz w:val="24"/>
        </w:rPr>
        <w:t>小时</w:t>
      </w:r>
      <w:r>
        <w:rPr>
          <w:rFonts w:cs="仿宋" w:asciiTheme="minorEastAsia" w:hAnsiTheme="minorEastAsia"/>
          <w:sz w:val="24"/>
          <w:lang w:eastAsia="zh-CN"/>
        </w:rPr>
        <w:t>驻场运维服务，日常运维驻场人员对诚信建设及监管多维分析综合系统运行情况进行巡检、故障排查及重点日期技术保障；同时保障系统存储数据安全可用；功能完善驻场人员在现有系统应用功能基础上进行升级优化，满足相关政策变化（不包含新政发布）和各业务科室提出的业务需求；技术支持驻场人员帮助系统用户提升整体技术能力，及时为系统用户提供系统需求采集及分析、系统培训、业务咨询、问题解答、故障诊断、故障排除等技术服务。</w:t>
      </w:r>
    </w:p>
    <w:p w14:paraId="00D0CB12">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3、非驻场服务</w:t>
      </w:r>
    </w:p>
    <w:p w14:paraId="650B2B4F">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投标供应商根据资源安排，提供非驻场服务，完成功能完善等其余工作，通过建立完善的服务质量监控体系，确保服务的专业性和高效性。</w:t>
      </w:r>
    </w:p>
    <w:p w14:paraId="78895142">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4、回访服务</w:t>
      </w:r>
    </w:p>
    <w:p w14:paraId="46FF5B4B">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在每次现场服务结束后对系统用户进行回访，通过回访及时了解问题的解决情况，现场服务态度及效率情况，用户对此次现场服务的满意程度以及系统用户对现场服务的意见和建议等。</w:t>
      </w:r>
    </w:p>
    <w:p w14:paraId="4D5E3213">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5、巡检服务</w:t>
      </w:r>
    </w:p>
    <w:p w14:paraId="31B3D6F9">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须制定具体的巡检计划，列出巡检重点、内容、要求，在巡检过程中，对系统用户提出的相关问题进行详细解答。</w:t>
      </w:r>
    </w:p>
    <w:p w14:paraId="5B4AE0A7">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6、系统操作培训</w:t>
      </w:r>
    </w:p>
    <w:p w14:paraId="62994A78">
      <w:pPr>
        <w:pStyle w:val="101"/>
        <w:ind w:firstLine="482"/>
        <w:jc w:val="both"/>
        <w:rPr>
          <w:rFonts w:hint="default" w:cs="仿宋" w:asciiTheme="minorEastAsia" w:hAnsiTheme="minorEastAsia"/>
          <w:sz w:val="24"/>
          <w:lang w:eastAsia="zh-CN"/>
        </w:rPr>
      </w:pPr>
      <w:r>
        <w:rPr>
          <w:rFonts w:cs="仿宋" w:asciiTheme="minorEastAsia" w:hAnsiTheme="minorEastAsia"/>
          <w:sz w:val="24"/>
        </w:rPr>
        <w:t>根据“诚信建设”综合管理平台二期与三期之综合监管多维分析平台的实际应用，提供详细的培训计划，为平台相关用户提供不少于2次的系统培训服务</w:t>
      </w:r>
      <w:r>
        <w:rPr>
          <w:rFonts w:cs="仿宋" w:asciiTheme="minorEastAsia" w:hAnsiTheme="minorEastAsia"/>
          <w:sz w:val="24"/>
          <w:lang w:eastAsia="zh-CN"/>
        </w:rPr>
        <w:t>。</w:t>
      </w:r>
    </w:p>
    <w:p w14:paraId="2DCADBB3">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7、网络在线咨询服务</w:t>
      </w:r>
    </w:p>
    <w:p w14:paraId="5A5B3067">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须提供QQ、微信等应用软件的在线服务方式。系统用户可7*24小时在线联系技术支持人员解决所遇问题。</w:t>
      </w:r>
    </w:p>
    <w:p w14:paraId="775CB91B">
      <w:pPr>
        <w:pStyle w:val="101"/>
        <w:ind w:firstLine="482"/>
        <w:outlineLvl w:val="1"/>
        <w:rPr>
          <w:rFonts w:hint="default" w:cs="仿宋" w:asciiTheme="minorEastAsia" w:hAnsiTheme="minorEastAsia"/>
          <w:b/>
          <w:bCs/>
          <w:sz w:val="24"/>
          <w:lang w:eastAsia="zh-CN"/>
        </w:rPr>
      </w:pPr>
      <w:r>
        <w:rPr>
          <w:rFonts w:cs="仿宋" w:asciiTheme="minorEastAsia" w:hAnsiTheme="minorEastAsia"/>
          <w:b/>
          <w:bCs/>
          <w:sz w:val="24"/>
          <w:lang w:eastAsia="zh-CN"/>
        </w:rPr>
        <w:t>（五）运维服务时效要求</w:t>
      </w:r>
    </w:p>
    <w:p w14:paraId="3B362AE8">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1、系统供应商提供技术服务热线，7*24小时不间断响应服务，并在接到系统用户的服务需求信息后30分钟内做出明确响应和安排；</w:t>
      </w:r>
    </w:p>
    <w:p w14:paraId="2818E7EA">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2、五分钟内电话或网上应答，接到系统用户通报故障的电话或在线咨询后的30分钟之内答复解决方法；</w:t>
      </w:r>
    </w:p>
    <w:p w14:paraId="5E85C97B">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3、所提供的所有维修服务24 小时“随传响应”，在接到报修通知后30分钟做出响应，2小时内提供现场服务，直至故障排除、系统完全恢复正常为止。</w:t>
      </w:r>
    </w:p>
    <w:p w14:paraId="4D8F6CD8">
      <w:pPr>
        <w:pStyle w:val="101"/>
        <w:ind w:firstLine="482"/>
        <w:outlineLvl w:val="1"/>
        <w:rPr>
          <w:rFonts w:hint="default" w:cs="仿宋" w:asciiTheme="minorEastAsia" w:hAnsiTheme="minorEastAsia"/>
          <w:b/>
          <w:bCs/>
          <w:sz w:val="24"/>
          <w:lang w:eastAsia="zh-CN"/>
        </w:rPr>
      </w:pPr>
      <w:r>
        <w:rPr>
          <w:rFonts w:cs="仿宋" w:asciiTheme="minorEastAsia" w:hAnsiTheme="minorEastAsia"/>
          <w:b/>
          <w:bCs/>
          <w:sz w:val="24"/>
          <w:lang w:eastAsia="zh-CN"/>
        </w:rPr>
        <w:t>（六）运维服务交付成果要求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90"/>
        <w:gridCol w:w="3512"/>
        <w:gridCol w:w="3014"/>
      </w:tblGrid>
      <w:tr w14:paraId="5602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Align w:val="center"/>
          </w:tcPr>
          <w:p w14:paraId="124F694C">
            <w:pPr>
              <w:spacing w:line="320" w:lineRule="exact"/>
              <w:jc w:val="center"/>
              <w:textAlignment w:val="center"/>
              <w:rPr>
                <w:rFonts w:ascii="仿宋" w:hAnsi="仿宋" w:eastAsia="仿宋" w:cs="仿宋"/>
                <w:b/>
                <w:bCs/>
                <w:color w:val="000000"/>
                <w:szCs w:val="20"/>
              </w:rPr>
            </w:pPr>
            <w:r>
              <w:rPr>
                <w:rFonts w:hint="eastAsia" w:ascii="仿宋" w:hAnsi="仿宋" w:eastAsia="仿宋" w:cs="仿宋"/>
                <w:b/>
                <w:bCs/>
                <w:color w:val="000000"/>
                <w:sz w:val="21"/>
                <w:szCs w:val="20"/>
              </w:rPr>
              <w:t>序号</w:t>
            </w:r>
          </w:p>
        </w:tc>
        <w:tc>
          <w:tcPr>
            <w:tcW w:w="1017" w:type="pct"/>
            <w:vAlign w:val="center"/>
          </w:tcPr>
          <w:p w14:paraId="0B873F63">
            <w:pPr>
              <w:spacing w:line="320" w:lineRule="exact"/>
              <w:ind w:firstLine="422"/>
              <w:jc w:val="center"/>
              <w:textAlignment w:val="center"/>
              <w:rPr>
                <w:rFonts w:ascii="仿宋" w:hAnsi="仿宋" w:eastAsia="仿宋" w:cs="仿宋"/>
                <w:b/>
                <w:bCs/>
                <w:color w:val="000000"/>
                <w:szCs w:val="20"/>
              </w:rPr>
            </w:pPr>
            <w:r>
              <w:rPr>
                <w:rFonts w:hint="eastAsia" w:ascii="仿宋" w:hAnsi="仿宋" w:eastAsia="仿宋" w:cs="仿宋"/>
                <w:b/>
                <w:bCs/>
                <w:color w:val="000000"/>
                <w:sz w:val="21"/>
                <w:szCs w:val="20"/>
              </w:rPr>
              <w:t>服务类型</w:t>
            </w:r>
          </w:p>
        </w:tc>
        <w:tc>
          <w:tcPr>
            <w:tcW w:w="1890" w:type="pct"/>
            <w:vAlign w:val="center"/>
          </w:tcPr>
          <w:p w14:paraId="5E9763F9">
            <w:pPr>
              <w:spacing w:line="320" w:lineRule="exact"/>
              <w:ind w:firstLine="422"/>
              <w:jc w:val="center"/>
              <w:textAlignment w:val="center"/>
              <w:rPr>
                <w:rFonts w:ascii="仿宋" w:hAnsi="仿宋" w:eastAsia="仿宋" w:cs="仿宋"/>
                <w:b/>
                <w:bCs/>
                <w:color w:val="000000"/>
                <w:szCs w:val="20"/>
              </w:rPr>
            </w:pPr>
            <w:r>
              <w:rPr>
                <w:rFonts w:hint="eastAsia" w:ascii="仿宋" w:hAnsi="仿宋" w:eastAsia="仿宋" w:cs="仿宋"/>
                <w:b/>
                <w:bCs/>
                <w:color w:val="000000"/>
                <w:sz w:val="21"/>
                <w:szCs w:val="20"/>
              </w:rPr>
              <w:t>服务内容</w:t>
            </w:r>
          </w:p>
        </w:tc>
        <w:tc>
          <w:tcPr>
            <w:tcW w:w="1622" w:type="pct"/>
            <w:vAlign w:val="center"/>
          </w:tcPr>
          <w:p w14:paraId="70E32B55">
            <w:pPr>
              <w:spacing w:line="320" w:lineRule="exact"/>
              <w:ind w:firstLine="422"/>
              <w:jc w:val="center"/>
              <w:textAlignment w:val="center"/>
              <w:rPr>
                <w:rFonts w:ascii="仿宋" w:hAnsi="仿宋" w:eastAsia="仿宋" w:cs="仿宋"/>
                <w:b/>
                <w:bCs/>
                <w:color w:val="000000"/>
                <w:szCs w:val="20"/>
              </w:rPr>
            </w:pPr>
            <w:r>
              <w:rPr>
                <w:rFonts w:hint="eastAsia" w:ascii="仿宋" w:hAnsi="仿宋" w:eastAsia="仿宋" w:cs="仿宋"/>
                <w:b/>
                <w:bCs/>
                <w:color w:val="000000"/>
                <w:sz w:val="21"/>
                <w:szCs w:val="20"/>
              </w:rPr>
              <w:t>交付物</w:t>
            </w:r>
          </w:p>
        </w:tc>
      </w:tr>
      <w:tr w14:paraId="0667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restart"/>
            <w:vAlign w:val="center"/>
          </w:tcPr>
          <w:p w14:paraId="344E3AE5">
            <w:pPr>
              <w:spacing w:line="320" w:lineRule="exact"/>
              <w:jc w:val="center"/>
              <w:textAlignment w:val="center"/>
              <w:rPr>
                <w:rFonts w:ascii="仿宋" w:hAnsi="仿宋" w:eastAsia="仿宋" w:cs="仿宋"/>
                <w:color w:val="000000"/>
                <w:szCs w:val="20"/>
              </w:rPr>
            </w:pPr>
            <w:r>
              <w:rPr>
                <w:rFonts w:hint="eastAsia" w:ascii="仿宋" w:hAnsi="仿宋" w:eastAsia="仿宋" w:cs="仿宋"/>
                <w:color w:val="000000"/>
                <w:sz w:val="21"/>
                <w:szCs w:val="20"/>
              </w:rPr>
              <w:t>1</w:t>
            </w:r>
          </w:p>
        </w:tc>
        <w:tc>
          <w:tcPr>
            <w:tcW w:w="1017" w:type="pct"/>
            <w:vMerge w:val="restart"/>
            <w:vAlign w:val="center"/>
          </w:tcPr>
          <w:p w14:paraId="38363D42">
            <w:pPr>
              <w:spacing w:line="320" w:lineRule="exact"/>
              <w:textAlignment w:val="center"/>
              <w:rPr>
                <w:rFonts w:ascii="仿宋" w:hAnsi="仿宋" w:eastAsia="仿宋" w:cs="仿宋"/>
                <w:color w:val="000000"/>
                <w:szCs w:val="20"/>
              </w:rPr>
            </w:pPr>
            <w:r>
              <w:rPr>
                <w:rFonts w:hint="eastAsia" w:ascii="仿宋" w:hAnsi="仿宋" w:eastAsia="仿宋" w:cs="仿宋"/>
                <w:color w:val="000000"/>
                <w:sz w:val="21"/>
                <w:szCs w:val="20"/>
              </w:rPr>
              <w:t>模块日常运维</w:t>
            </w:r>
          </w:p>
        </w:tc>
        <w:tc>
          <w:tcPr>
            <w:tcW w:w="1890" w:type="pct"/>
            <w:vAlign w:val="center"/>
          </w:tcPr>
          <w:p w14:paraId="13D8CD31">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系统/服务器日常巡检</w:t>
            </w:r>
          </w:p>
        </w:tc>
        <w:tc>
          <w:tcPr>
            <w:tcW w:w="1622" w:type="pct"/>
            <w:vAlign w:val="center"/>
          </w:tcPr>
          <w:p w14:paraId="7F449DD3">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巡检报告</w:t>
            </w:r>
          </w:p>
        </w:tc>
      </w:tr>
      <w:tr w14:paraId="0B25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500CE069">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1909FE01">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2F622862">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重点技术保障</w:t>
            </w:r>
          </w:p>
        </w:tc>
        <w:tc>
          <w:tcPr>
            <w:tcW w:w="1622" w:type="pct"/>
            <w:vAlign w:val="center"/>
          </w:tcPr>
          <w:p w14:paraId="63B3FE08">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系统运行情况表</w:t>
            </w:r>
          </w:p>
        </w:tc>
      </w:tr>
      <w:tr w14:paraId="4C4B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362889EA">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4C3FB64A">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43411E62">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故障排查</w:t>
            </w:r>
          </w:p>
        </w:tc>
        <w:tc>
          <w:tcPr>
            <w:tcW w:w="1622" w:type="pct"/>
            <w:vAlign w:val="center"/>
          </w:tcPr>
          <w:p w14:paraId="343765DA">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故障排查单</w:t>
            </w:r>
          </w:p>
        </w:tc>
      </w:tr>
      <w:tr w14:paraId="371D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restart"/>
            <w:vAlign w:val="center"/>
          </w:tcPr>
          <w:p w14:paraId="79BB8797">
            <w:pPr>
              <w:spacing w:line="320" w:lineRule="exact"/>
              <w:jc w:val="center"/>
              <w:textAlignment w:val="center"/>
              <w:rPr>
                <w:rFonts w:ascii="仿宋" w:hAnsi="仿宋" w:eastAsia="仿宋" w:cs="仿宋"/>
                <w:color w:val="000000"/>
                <w:szCs w:val="20"/>
              </w:rPr>
            </w:pPr>
            <w:r>
              <w:rPr>
                <w:rFonts w:hint="eastAsia" w:ascii="仿宋" w:hAnsi="仿宋" w:eastAsia="仿宋" w:cs="仿宋"/>
                <w:color w:val="000000"/>
                <w:sz w:val="21"/>
                <w:szCs w:val="20"/>
              </w:rPr>
              <w:t>2</w:t>
            </w:r>
          </w:p>
        </w:tc>
        <w:tc>
          <w:tcPr>
            <w:tcW w:w="1017" w:type="pct"/>
            <w:vMerge w:val="restart"/>
            <w:vAlign w:val="center"/>
          </w:tcPr>
          <w:p w14:paraId="2A4D96DB">
            <w:pPr>
              <w:spacing w:line="320" w:lineRule="exact"/>
              <w:textAlignment w:val="center"/>
              <w:rPr>
                <w:rFonts w:ascii="仿宋" w:hAnsi="仿宋" w:eastAsia="仿宋" w:cs="仿宋"/>
                <w:color w:val="000000"/>
                <w:szCs w:val="20"/>
              </w:rPr>
            </w:pPr>
            <w:r>
              <w:rPr>
                <w:rFonts w:hint="eastAsia" w:ascii="仿宋" w:hAnsi="仿宋" w:eastAsia="仿宋" w:cs="仿宋"/>
                <w:color w:val="000000"/>
                <w:sz w:val="21"/>
                <w:szCs w:val="20"/>
              </w:rPr>
              <w:t>数据日常运维</w:t>
            </w:r>
          </w:p>
        </w:tc>
        <w:tc>
          <w:tcPr>
            <w:tcW w:w="1890" w:type="pct"/>
            <w:vAlign w:val="center"/>
          </w:tcPr>
          <w:p w14:paraId="7DA111B8">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数据库资源及运行状态监控</w:t>
            </w:r>
          </w:p>
        </w:tc>
        <w:tc>
          <w:tcPr>
            <w:tcW w:w="1622" w:type="pct"/>
            <w:vMerge w:val="restart"/>
            <w:vAlign w:val="center"/>
          </w:tcPr>
          <w:p w14:paraId="2731A898">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系统数据库巡检单</w:t>
            </w:r>
          </w:p>
        </w:tc>
      </w:tr>
      <w:tr w14:paraId="5662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78F7A43">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26522027">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37A83A68">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数据备份检查</w:t>
            </w:r>
          </w:p>
        </w:tc>
        <w:tc>
          <w:tcPr>
            <w:tcW w:w="1622" w:type="pct"/>
            <w:vMerge w:val="continue"/>
            <w:vAlign w:val="center"/>
          </w:tcPr>
          <w:p w14:paraId="4BD57123">
            <w:pPr>
              <w:spacing w:line="320" w:lineRule="exact"/>
              <w:ind w:firstLine="482"/>
              <w:jc w:val="center"/>
              <w:textAlignment w:val="center"/>
              <w:rPr>
                <w:rFonts w:ascii="仿宋" w:hAnsi="仿宋" w:eastAsia="仿宋" w:cs="仿宋"/>
                <w:color w:val="000000"/>
                <w:szCs w:val="20"/>
              </w:rPr>
            </w:pPr>
          </w:p>
        </w:tc>
      </w:tr>
      <w:tr w14:paraId="52C3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D47B5C5">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13150F1A">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29F10554">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优化数据表</w:t>
            </w:r>
          </w:p>
        </w:tc>
        <w:tc>
          <w:tcPr>
            <w:tcW w:w="1622" w:type="pct"/>
            <w:vMerge w:val="restart"/>
            <w:vAlign w:val="center"/>
          </w:tcPr>
          <w:p w14:paraId="1E6639CA">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优化及清理记录单</w:t>
            </w:r>
          </w:p>
        </w:tc>
      </w:tr>
      <w:tr w14:paraId="2200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3A7B455E">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2620F5E6">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59864EB9">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优化数据查询性能</w:t>
            </w:r>
          </w:p>
        </w:tc>
        <w:tc>
          <w:tcPr>
            <w:tcW w:w="1622" w:type="pct"/>
            <w:vMerge w:val="continue"/>
            <w:vAlign w:val="center"/>
          </w:tcPr>
          <w:p w14:paraId="1086E4B4">
            <w:pPr>
              <w:spacing w:line="320" w:lineRule="exact"/>
              <w:ind w:firstLine="482"/>
              <w:jc w:val="center"/>
              <w:textAlignment w:val="center"/>
              <w:rPr>
                <w:rFonts w:ascii="仿宋" w:hAnsi="仿宋" w:eastAsia="仿宋" w:cs="仿宋"/>
                <w:color w:val="000000"/>
                <w:szCs w:val="20"/>
              </w:rPr>
            </w:pPr>
          </w:p>
        </w:tc>
      </w:tr>
      <w:tr w14:paraId="26E4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9CF65A4">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747AFD12">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2D4B9A18">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清理临时表单</w:t>
            </w:r>
          </w:p>
        </w:tc>
        <w:tc>
          <w:tcPr>
            <w:tcW w:w="1622" w:type="pct"/>
            <w:vMerge w:val="continue"/>
            <w:vAlign w:val="center"/>
          </w:tcPr>
          <w:p w14:paraId="48635C9D">
            <w:pPr>
              <w:spacing w:line="320" w:lineRule="exact"/>
              <w:ind w:firstLine="482"/>
              <w:jc w:val="center"/>
              <w:textAlignment w:val="center"/>
              <w:rPr>
                <w:rFonts w:ascii="仿宋" w:hAnsi="仿宋" w:eastAsia="仿宋" w:cs="仿宋"/>
                <w:color w:val="000000"/>
                <w:szCs w:val="20"/>
              </w:rPr>
            </w:pPr>
          </w:p>
        </w:tc>
      </w:tr>
      <w:tr w14:paraId="3AEF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8" w:type="pct"/>
            <w:vMerge w:val="continue"/>
            <w:vAlign w:val="center"/>
          </w:tcPr>
          <w:p w14:paraId="35A53BBE">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1EF1B4E7">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39B5C355">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数据安全检查</w:t>
            </w:r>
          </w:p>
        </w:tc>
        <w:tc>
          <w:tcPr>
            <w:tcW w:w="1622" w:type="pct"/>
            <w:vMerge w:val="restart"/>
            <w:vAlign w:val="center"/>
          </w:tcPr>
          <w:p w14:paraId="0D135D50">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数据检查记录单</w:t>
            </w:r>
          </w:p>
        </w:tc>
      </w:tr>
      <w:tr w14:paraId="11B5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1021F44A">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01A583CB">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45BDAC1B">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数据备份与恢复</w:t>
            </w:r>
          </w:p>
        </w:tc>
        <w:tc>
          <w:tcPr>
            <w:tcW w:w="1622" w:type="pct"/>
            <w:vMerge w:val="continue"/>
            <w:vAlign w:val="center"/>
          </w:tcPr>
          <w:p w14:paraId="18806BD7">
            <w:pPr>
              <w:spacing w:line="320" w:lineRule="exact"/>
              <w:ind w:firstLine="482"/>
              <w:jc w:val="center"/>
              <w:textAlignment w:val="center"/>
              <w:rPr>
                <w:rFonts w:ascii="仿宋" w:hAnsi="仿宋" w:eastAsia="仿宋" w:cs="仿宋"/>
                <w:color w:val="000000"/>
                <w:szCs w:val="20"/>
              </w:rPr>
            </w:pPr>
          </w:p>
        </w:tc>
      </w:tr>
      <w:tr w14:paraId="0B15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AB2D38F">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096AB8B2">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5E3C2A6D">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数据共享同步</w:t>
            </w:r>
          </w:p>
        </w:tc>
        <w:tc>
          <w:tcPr>
            <w:tcW w:w="1622" w:type="pct"/>
            <w:vMerge w:val="continue"/>
            <w:vAlign w:val="center"/>
          </w:tcPr>
          <w:p w14:paraId="4534866B">
            <w:pPr>
              <w:spacing w:line="320" w:lineRule="exact"/>
              <w:ind w:firstLine="482"/>
              <w:jc w:val="center"/>
              <w:textAlignment w:val="center"/>
              <w:rPr>
                <w:rFonts w:ascii="仿宋" w:hAnsi="仿宋" w:eastAsia="仿宋" w:cs="仿宋"/>
                <w:color w:val="000000"/>
                <w:szCs w:val="20"/>
              </w:rPr>
            </w:pPr>
          </w:p>
        </w:tc>
      </w:tr>
      <w:tr w14:paraId="384B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restart"/>
            <w:vAlign w:val="center"/>
          </w:tcPr>
          <w:p w14:paraId="53551F32">
            <w:pPr>
              <w:spacing w:line="320" w:lineRule="exact"/>
              <w:jc w:val="center"/>
              <w:textAlignment w:val="center"/>
              <w:rPr>
                <w:rFonts w:ascii="仿宋" w:hAnsi="仿宋" w:eastAsia="仿宋" w:cs="仿宋"/>
                <w:color w:val="000000"/>
                <w:szCs w:val="20"/>
              </w:rPr>
            </w:pPr>
            <w:r>
              <w:rPr>
                <w:rFonts w:hint="eastAsia" w:ascii="仿宋" w:hAnsi="仿宋" w:eastAsia="仿宋" w:cs="仿宋"/>
                <w:color w:val="000000"/>
                <w:sz w:val="21"/>
                <w:szCs w:val="20"/>
              </w:rPr>
              <w:t>3</w:t>
            </w:r>
          </w:p>
        </w:tc>
        <w:tc>
          <w:tcPr>
            <w:tcW w:w="1017" w:type="pct"/>
            <w:vMerge w:val="restart"/>
            <w:vAlign w:val="center"/>
          </w:tcPr>
          <w:p w14:paraId="039AAB91">
            <w:pPr>
              <w:spacing w:line="320" w:lineRule="exact"/>
              <w:textAlignment w:val="center"/>
              <w:rPr>
                <w:rFonts w:ascii="仿宋" w:hAnsi="仿宋" w:eastAsia="仿宋" w:cs="仿宋"/>
                <w:color w:val="000000"/>
                <w:szCs w:val="20"/>
              </w:rPr>
            </w:pPr>
            <w:r>
              <w:rPr>
                <w:rFonts w:hint="eastAsia" w:ascii="仿宋" w:hAnsi="仿宋" w:eastAsia="仿宋" w:cs="仿宋"/>
                <w:color w:val="000000"/>
                <w:sz w:val="21"/>
                <w:szCs w:val="20"/>
              </w:rPr>
              <w:t>功能完善</w:t>
            </w:r>
          </w:p>
        </w:tc>
        <w:tc>
          <w:tcPr>
            <w:tcW w:w="1890" w:type="pct"/>
            <w:vAlign w:val="center"/>
          </w:tcPr>
          <w:p w14:paraId="5FB48A74">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新增需求</w:t>
            </w:r>
          </w:p>
        </w:tc>
        <w:tc>
          <w:tcPr>
            <w:tcW w:w="1622" w:type="pct"/>
            <w:vMerge w:val="restart"/>
            <w:vAlign w:val="center"/>
          </w:tcPr>
          <w:p w14:paraId="2C30677F">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需求设计方案</w:t>
            </w:r>
          </w:p>
          <w:p w14:paraId="57FF476E">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系统更新源代码</w:t>
            </w:r>
          </w:p>
          <w:p w14:paraId="77642E0F">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测试分析报告</w:t>
            </w:r>
          </w:p>
          <w:p w14:paraId="5947F341">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更新上线报告</w:t>
            </w:r>
          </w:p>
        </w:tc>
      </w:tr>
      <w:tr w14:paraId="7502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517F5B5D">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1DE0E344">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577B716E">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模块优化</w:t>
            </w:r>
          </w:p>
        </w:tc>
        <w:tc>
          <w:tcPr>
            <w:tcW w:w="1622" w:type="pct"/>
            <w:vMerge w:val="continue"/>
            <w:vAlign w:val="center"/>
          </w:tcPr>
          <w:p w14:paraId="35BB7EF9">
            <w:pPr>
              <w:spacing w:line="320" w:lineRule="exact"/>
              <w:ind w:firstLine="482"/>
              <w:jc w:val="center"/>
              <w:textAlignment w:val="center"/>
              <w:rPr>
                <w:rFonts w:ascii="仿宋" w:hAnsi="仿宋" w:eastAsia="仿宋" w:cs="仿宋"/>
                <w:color w:val="000000"/>
                <w:szCs w:val="20"/>
              </w:rPr>
            </w:pPr>
          </w:p>
        </w:tc>
      </w:tr>
      <w:tr w14:paraId="25AD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D44FFB9">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2B131DEC">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176FA5AD">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政策响应</w:t>
            </w:r>
          </w:p>
        </w:tc>
        <w:tc>
          <w:tcPr>
            <w:tcW w:w="1622" w:type="pct"/>
            <w:vMerge w:val="continue"/>
            <w:vAlign w:val="center"/>
          </w:tcPr>
          <w:p w14:paraId="3133A781">
            <w:pPr>
              <w:spacing w:line="320" w:lineRule="exact"/>
              <w:ind w:firstLine="482"/>
              <w:jc w:val="center"/>
              <w:textAlignment w:val="center"/>
              <w:rPr>
                <w:rFonts w:ascii="仿宋" w:hAnsi="仿宋" w:eastAsia="仿宋" w:cs="仿宋"/>
                <w:color w:val="000000"/>
                <w:szCs w:val="20"/>
              </w:rPr>
            </w:pPr>
          </w:p>
        </w:tc>
      </w:tr>
      <w:tr w14:paraId="540C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8" w:type="pct"/>
            <w:vMerge w:val="restart"/>
            <w:vAlign w:val="center"/>
          </w:tcPr>
          <w:p w14:paraId="16F35DAE">
            <w:pPr>
              <w:spacing w:line="320" w:lineRule="exact"/>
              <w:jc w:val="center"/>
              <w:textAlignment w:val="center"/>
              <w:rPr>
                <w:rFonts w:ascii="仿宋" w:hAnsi="仿宋" w:eastAsia="仿宋" w:cs="仿宋"/>
                <w:color w:val="000000"/>
                <w:szCs w:val="20"/>
              </w:rPr>
            </w:pPr>
            <w:r>
              <w:rPr>
                <w:rFonts w:hint="eastAsia" w:ascii="仿宋" w:hAnsi="仿宋" w:eastAsia="仿宋" w:cs="仿宋"/>
                <w:color w:val="000000"/>
                <w:sz w:val="21"/>
                <w:szCs w:val="20"/>
              </w:rPr>
              <w:t>4</w:t>
            </w:r>
          </w:p>
        </w:tc>
        <w:tc>
          <w:tcPr>
            <w:tcW w:w="1017" w:type="pct"/>
            <w:vMerge w:val="restart"/>
            <w:vAlign w:val="center"/>
          </w:tcPr>
          <w:p w14:paraId="115DA63E">
            <w:pPr>
              <w:spacing w:line="320" w:lineRule="exact"/>
              <w:textAlignment w:val="center"/>
              <w:rPr>
                <w:rFonts w:ascii="仿宋" w:hAnsi="仿宋" w:eastAsia="仿宋" w:cs="仿宋"/>
                <w:color w:val="000000"/>
                <w:szCs w:val="20"/>
              </w:rPr>
            </w:pPr>
            <w:r>
              <w:rPr>
                <w:rFonts w:hint="eastAsia" w:ascii="仿宋" w:hAnsi="仿宋" w:eastAsia="仿宋" w:cs="仿宋"/>
                <w:color w:val="000000"/>
                <w:sz w:val="21"/>
                <w:szCs w:val="20"/>
              </w:rPr>
              <w:t>技术支持</w:t>
            </w:r>
          </w:p>
        </w:tc>
        <w:tc>
          <w:tcPr>
            <w:tcW w:w="1890" w:type="pct"/>
            <w:vAlign w:val="center"/>
          </w:tcPr>
          <w:p w14:paraId="50BF5DAE">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问题解答</w:t>
            </w:r>
          </w:p>
        </w:tc>
        <w:tc>
          <w:tcPr>
            <w:tcW w:w="1622" w:type="pct"/>
            <w:vAlign w:val="center"/>
          </w:tcPr>
          <w:p w14:paraId="5879CF26">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服务记录</w:t>
            </w:r>
          </w:p>
        </w:tc>
      </w:tr>
      <w:tr w14:paraId="3488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BA3A775">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205BE5C8">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008AFEEE">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系统培训</w:t>
            </w:r>
          </w:p>
        </w:tc>
        <w:tc>
          <w:tcPr>
            <w:tcW w:w="1622" w:type="pct"/>
            <w:vAlign w:val="center"/>
          </w:tcPr>
          <w:p w14:paraId="6F6298B2">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系统培训记录单</w:t>
            </w:r>
          </w:p>
        </w:tc>
      </w:tr>
      <w:tr w14:paraId="7E1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01D7441">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05019CF6">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29EF3774">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系统用户巡检</w:t>
            </w:r>
          </w:p>
        </w:tc>
        <w:tc>
          <w:tcPr>
            <w:tcW w:w="1622" w:type="pct"/>
            <w:vAlign w:val="center"/>
          </w:tcPr>
          <w:p w14:paraId="592F13D3">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系统用户巡检记录单</w:t>
            </w:r>
          </w:p>
        </w:tc>
      </w:tr>
      <w:tr w14:paraId="0693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pct"/>
            <w:vMerge w:val="continue"/>
            <w:vAlign w:val="center"/>
          </w:tcPr>
          <w:p w14:paraId="0815A659">
            <w:pPr>
              <w:spacing w:line="320" w:lineRule="exact"/>
              <w:ind w:firstLine="482"/>
              <w:jc w:val="center"/>
              <w:textAlignment w:val="center"/>
              <w:rPr>
                <w:rFonts w:ascii="仿宋" w:hAnsi="仿宋" w:eastAsia="仿宋" w:cs="仿宋"/>
                <w:color w:val="000000"/>
                <w:szCs w:val="20"/>
              </w:rPr>
            </w:pPr>
          </w:p>
        </w:tc>
        <w:tc>
          <w:tcPr>
            <w:tcW w:w="1017" w:type="pct"/>
            <w:vMerge w:val="continue"/>
            <w:vAlign w:val="center"/>
          </w:tcPr>
          <w:p w14:paraId="419B51D0">
            <w:pPr>
              <w:spacing w:line="320" w:lineRule="exact"/>
              <w:ind w:firstLine="482"/>
              <w:jc w:val="center"/>
              <w:textAlignment w:val="center"/>
              <w:rPr>
                <w:rFonts w:ascii="仿宋" w:hAnsi="仿宋" w:eastAsia="仿宋" w:cs="仿宋"/>
                <w:color w:val="000000"/>
                <w:szCs w:val="20"/>
              </w:rPr>
            </w:pPr>
          </w:p>
        </w:tc>
        <w:tc>
          <w:tcPr>
            <w:tcW w:w="1890" w:type="pct"/>
            <w:vAlign w:val="center"/>
          </w:tcPr>
          <w:p w14:paraId="7E9E7C37">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需求采集</w:t>
            </w:r>
          </w:p>
        </w:tc>
        <w:tc>
          <w:tcPr>
            <w:tcW w:w="1622" w:type="pct"/>
            <w:vAlign w:val="center"/>
          </w:tcPr>
          <w:p w14:paraId="21103A26">
            <w:pPr>
              <w:spacing w:line="320" w:lineRule="exact"/>
              <w:ind w:firstLine="422"/>
              <w:jc w:val="center"/>
              <w:textAlignment w:val="center"/>
              <w:rPr>
                <w:rFonts w:ascii="仿宋" w:hAnsi="仿宋" w:eastAsia="仿宋" w:cs="仿宋"/>
                <w:color w:val="000000"/>
                <w:szCs w:val="20"/>
              </w:rPr>
            </w:pPr>
            <w:r>
              <w:rPr>
                <w:rFonts w:hint="eastAsia" w:ascii="仿宋" w:hAnsi="仿宋" w:eastAsia="仿宋" w:cs="仿宋"/>
                <w:color w:val="000000"/>
                <w:sz w:val="21"/>
                <w:szCs w:val="20"/>
              </w:rPr>
              <w:t>软件开发业务需求单</w:t>
            </w:r>
          </w:p>
        </w:tc>
      </w:tr>
    </w:tbl>
    <w:p w14:paraId="68B4ED16">
      <w:pPr>
        <w:jc w:val="both"/>
      </w:pPr>
    </w:p>
    <w:p w14:paraId="1C8888A0">
      <w:pPr>
        <w:pStyle w:val="3"/>
        <w:jc w:val="both"/>
      </w:pPr>
      <w:r>
        <w:rPr>
          <w:rFonts w:hint="eastAsia"/>
        </w:rPr>
        <w:t>四、服务要求</w:t>
      </w:r>
    </w:p>
    <w:p w14:paraId="2B05FB43">
      <w:pPr>
        <w:pStyle w:val="101"/>
        <w:ind w:firstLine="482"/>
        <w:outlineLvl w:val="1"/>
        <w:rPr>
          <w:rFonts w:hint="default" w:cs="仿宋" w:asciiTheme="minorEastAsia" w:hAnsiTheme="minorEastAsia"/>
          <w:b/>
          <w:bCs/>
          <w:sz w:val="24"/>
        </w:rPr>
      </w:pPr>
      <w:r>
        <w:rPr>
          <w:rFonts w:cs="仿宋" w:asciiTheme="minorEastAsia" w:hAnsiTheme="minorEastAsia"/>
          <w:b/>
          <w:bCs/>
          <w:sz w:val="24"/>
        </w:rPr>
        <w:t>（一）基本要求</w:t>
      </w:r>
    </w:p>
    <w:p w14:paraId="1F850B63">
      <w:pPr>
        <w:pStyle w:val="101"/>
        <w:ind w:firstLine="480"/>
        <w:jc w:val="both"/>
        <w:rPr>
          <w:rFonts w:hint="default" w:asciiTheme="minorEastAsia" w:hAnsiTheme="minorEastAsia"/>
        </w:rPr>
      </w:pPr>
      <w:r>
        <w:rPr>
          <w:rFonts w:cs="仿宋" w:asciiTheme="minorEastAsia" w:hAnsiTheme="minorEastAsia"/>
          <w:sz w:val="24"/>
        </w:rPr>
        <w:t>★</w:t>
      </w:r>
      <w:r>
        <w:rPr>
          <w:rFonts w:cs="仿宋" w:asciiTheme="minorEastAsia" w:hAnsiTheme="minorEastAsia"/>
          <w:sz w:val="24"/>
          <w:lang w:eastAsia="zh-CN"/>
        </w:rPr>
        <w:t>1、</w:t>
      </w:r>
      <w:r>
        <w:rPr>
          <w:rFonts w:cs="仿宋" w:asciiTheme="minorEastAsia" w:hAnsiTheme="minorEastAsia"/>
          <w:sz w:val="24"/>
        </w:rPr>
        <w:t>项目完成后，供应商应提供本项目所涉及到的新增或修改的代码及相关文档，并整体移交给采购人。采购人享有本项目系统软件的所有权利及相关利益，未经采购人书面许可，不得将本项目软件或源代码许可他人使用，对所涉及到的采购人所有源代码及相关文档需保密。供应商</w:t>
      </w:r>
      <w:bookmarkStart w:id="15" w:name="OLE_LINK24"/>
      <w:r>
        <w:rPr>
          <w:rFonts w:cs="仿宋" w:asciiTheme="minorEastAsia" w:hAnsiTheme="minorEastAsia"/>
          <w:sz w:val="24"/>
          <w:lang w:eastAsia="zh-CN"/>
        </w:rPr>
        <w:t>须</w:t>
      </w:r>
      <w:r>
        <w:rPr>
          <w:rFonts w:cs="仿宋" w:asciiTheme="minorEastAsia" w:hAnsiTheme="minorEastAsia"/>
          <w:sz w:val="24"/>
        </w:rPr>
        <w:t>提供承诺书</w:t>
      </w:r>
      <w:bookmarkEnd w:id="15"/>
      <w:r>
        <w:rPr>
          <w:rFonts w:cs="仿宋" w:asciiTheme="minorEastAsia" w:hAnsiTheme="minorEastAsia"/>
          <w:sz w:val="24"/>
        </w:rPr>
        <w:t>，内容及格式自拟。</w:t>
      </w:r>
    </w:p>
    <w:p w14:paraId="4E12AAD5">
      <w:pPr>
        <w:ind w:firstLine="480" w:firstLineChars="200"/>
        <w:jc w:val="both"/>
        <w:rPr>
          <w:rFonts w:asciiTheme="minorEastAsia" w:hAnsiTheme="minorEastAsia"/>
        </w:rPr>
      </w:pPr>
      <w:r>
        <w:rPr>
          <w:rFonts w:cs="仿宋" w:asciiTheme="minorEastAsia" w:hAnsiTheme="minorEastAsia"/>
        </w:rPr>
        <w:t>★</w:t>
      </w:r>
      <w:r>
        <w:rPr>
          <w:rFonts w:hint="eastAsia" w:cs="仿宋" w:asciiTheme="minorEastAsia" w:hAnsiTheme="minorEastAsia"/>
        </w:rPr>
        <w:t>2、</w:t>
      </w:r>
      <w:r>
        <w:rPr>
          <w:rFonts w:cs="仿宋" w:asciiTheme="minorEastAsia" w:hAnsiTheme="minorEastAsia"/>
        </w:rPr>
        <w:t>供应商负责在采购人提供的软件源代码的基础上进行系统优化和维护，确保软件质量；并确保系统运行可靠、数据准确、界面友好。为保证源代码的安全，供应商须在采购人指定的地点服务，同时供应商负责软件优化、系统维护、系统测试所需的房屋场地、软硬件设备、通信线路等运行维护所依赖的环境。</w:t>
      </w:r>
      <w:r>
        <w:rPr>
          <w:rFonts w:hint="eastAsia" w:cs="仿宋" w:asciiTheme="minorEastAsia" w:hAnsiTheme="minorEastAsia"/>
        </w:rPr>
        <w:t>供应商</w:t>
      </w:r>
      <w:r>
        <w:rPr>
          <w:rFonts w:cs="仿宋" w:asciiTheme="minorEastAsia" w:hAnsiTheme="minorEastAsia"/>
        </w:rPr>
        <w:t>须提供承诺书</w:t>
      </w:r>
      <w:r>
        <w:rPr>
          <w:rFonts w:hint="eastAsia" w:cs="仿宋" w:asciiTheme="minorEastAsia" w:hAnsiTheme="minorEastAsia"/>
        </w:rPr>
        <w:t>，</w:t>
      </w:r>
      <w:r>
        <w:rPr>
          <w:rFonts w:cs="仿宋" w:asciiTheme="minorEastAsia" w:hAnsiTheme="minorEastAsia"/>
        </w:rPr>
        <w:t>内容及格式</w:t>
      </w:r>
      <w:r>
        <w:rPr>
          <w:rFonts w:hint="eastAsia" w:cs="仿宋" w:asciiTheme="minorEastAsia" w:hAnsiTheme="minorEastAsia"/>
        </w:rPr>
        <w:t>自拟。</w:t>
      </w:r>
    </w:p>
    <w:p w14:paraId="3D308D5D">
      <w:pPr>
        <w:ind w:firstLine="480" w:firstLineChars="200"/>
        <w:rPr>
          <w:rFonts w:cs="仿宋" w:asciiTheme="minorEastAsia" w:hAnsiTheme="minorEastAsia"/>
        </w:rPr>
      </w:pPr>
      <w:r>
        <w:rPr>
          <w:rFonts w:hint="eastAsia" w:cs="仿宋" w:asciiTheme="minorEastAsia" w:hAnsiTheme="minorEastAsia"/>
        </w:rPr>
        <w:t>3、供应商中标后，应在合同中承诺为采购人提供的维保服务期满后，如有需要，能够提供延续为期一个月的服务作为过渡，保证采购人诚信建设及监管多维分析综合系统的平稳运行。</w:t>
      </w:r>
    </w:p>
    <w:p w14:paraId="0AABF66A">
      <w:pPr>
        <w:pStyle w:val="101"/>
        <w:ind w:firstLine="482"/>
        <w:outlineLvl w:val="1"/>
        <w:rPr>
          <w:rFonts w:hint="default" w:cs="仿宋" w:asciiTheme="minorEastAsia" w:hAnsiTheme="minorEastAsia"/>
          <w:b/>
          <w:bCs/>
          <w:sz w:val="24"/>
        </w:rPr>
      </w:pPr>
      <w:r>
        <w:rPr>
          <w:rFonts w:cs="仿宋" w:asciiTheme="minorEastAsia" w:hAnsiTheme="minorEastAsia"/>
          <w:b/>
          <w:bCs/>
          <w:sz w:val="24"/>
          <w:lang w:eastAsia="zh-CN"/>
        </w:rPr>
        <w:t>（二）</w:t>
      </w:r>
      <w:r>
        <w:rPr>
          <w:rFonts w:cs="仿宋" w:asciiTheme="minorEastAsia" w:hAnsiTheme="minorEastAsia"/>
          <w:b/>
          <w:bCs/>
          <w:sz w:val="24"/>
        </w:rPr>
        <w:t>人员要求</w:t>
      </w:r>
    </w:p>
    <w:p w14:paraId="0218FAE2">
      <w:pPr>
        <w:ind w:firstLine="480" w:firstLineChars="200"/>
        <w:rPr>
          <w:rFonts w:cs="仿宋" w:asciiTheme="minorEastAsia" w:hAnsiTheme="minorEastAsia"/>
        </w:rPr>
      </w:pPr>
      <w:r>
        <w:rPr>
          <w:rFonts w:hint="eastAsia" w:cs="仿宋" w:asciiTheme="minorEastAsia" w:hAnsiTheme="minorEastAsia"/>
        </w:rPr>
        <w:t>供应商应为本项目提供8人的服务团队，其中需要</w:t>
      </w:r>
      <w:r>
        <w:rPr>
          <w:rFonts w:cs="仿宋" w:asciiTheme="minorEastAsia" w:hAnsiTheme="minorEastAsia"/>
        </w:rPr>
        <w:t>至少</w:t>
      </w:r>
      <w:r>
        <w:rPr>
          <w:rFonts w:hint="eastAsia" w:cs="仿宋" w:asciiTheme="minorEastAsia" w:hAnsiTheme="minorEastAsia"/>
        </w:rPr>
        <w:t>3</w:t>
      </w:r>
      <w:r>
        <w:rPr>
          <w:rFonts w:cs="仿宋" w:asciiTheme="minorEastAsia" w:hAnsiTheme="minorEastAsia"/>
        </w:rPr>
        <w:t>人驻场运维</w:t>
      </w:r>
      <w:r>
        <w:rPr>
          <w:rFonts w:hint="eastAsia" w:cs="仿宋" w:asciiTheme="minorEastAsia" w:hAnsiTheme="minorEastAsia"/>
        </w:rPr>
        <w:t>（同一人不能兼任两个岗位）。</w:t>
      </w:r>
    </w:p>
    <w:p w14:paraId="135D5053">
      <w:pPr>
        <w:ind w:firstLine="480" w:firstLineChars="200"/>
        <w:rPr>
          <w:rFonts w:cs="仿宋" w:asciiTheme="minorEastAsia" w:hAnsiTheme="minorEastAsia"/>
        </w:rPr>
      </w:pPr>
      <w:r>
        <w:rPr>
          <w:rFonts w:hint="eastAsia" w:cs="仿宋" w:asciiTheme="minorEastAsia" w:hAnsiTheme="minorEastAsia"/>
        </w:rPr>
        <w:t>服务团队运维人员技术能力及资质要求见下表：</w:t>
      </w:r>
    </w:p>
    <w:tbl>
      <w:tblPr>
        <w:tblStyle w:val="26"/>
        <w:tblW w:w="8524"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96"/>
        <w:gridCol w:w="7128"/>
      </w:tblGrid>
      <w:tr w14:paraId="639DC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DDF37AC">
            <w:pPr>
              <w:pStyle w:val="101"/>
              <w:spacing w:line="320" w:lineRule="exact"/>
              <w:rPr>
                <w:rFonts w:hint="default"/>
              </w:rPr>
            </w:pPr>
            <w:r>
              <w:rPr>
                <w:rFonts w:ascii="仿宋" w:hAnsi="仿宋" w:eastAsia="仿宋" w:cs="仿宋"/>
                <w:b/>
                <w:color w:val="000000"/>
                <w:sz w:val="21"/>
              </w:rPr>
              <w:t>人员类别</w:t>
            </w:r>
          </w:p>
        </w:tc>
        <w:tc>
          <w:tcPr>
            <w:tcW w:w="71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67C92D">
            <w:pPr>
              <w:pStyle w:val="101"/>
              <w:spacing w:line="320" w:lineRule="exact"/>
              <w:ind w:firstLine="420"/>
              <w:jc w:val="center"/>
              <w:rPr>
                <w:rFonts w:hint="default"/>
              </w:rPr>
            </w:pPr>
            <w:r>
              <w:rPr>
                <w:rFonts w:ascii="仿宋" w:hAnsi="仿宋" w:eastAsia="仿宋" w:cs="仿宋"/>
                <w:b/>
                <w:color w:val="000000"/>
                <w:sz w:val="21"/>
              </w:rPr>
              <w:t>人员要求标准</w:t>
            </w:r>
          </w:p>
        </w:tc>
      </w:tr>
      <w:tr w14:paraId="65E61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61ECD13">
            <w:pPr>
              <w:pStyle w:val="101"/>
              <w:spacing w:line="320" w:lineRule="exact"/>
              <w:rPr>
                <w:rFonts w:hint="default"/>
              </w:rPr>
            </w:pPr>
            <w:r>
              <w:rPr>
                <w:rFonts w:ascii="仿宋" w:hAnsi="仿宋" w:eastAsia="仿宋" w:cs="仿宋"/>
                <w:color w:val="000000"/>
                <w:sz w:val="21"/>
              </w:rPr>
              <w:t>项目经理</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AE2213">
            <w:pPr>
              <w:pStyle w:val="101"/>
              <w:spacing w:line="320" w:lineRule="exact"/>
              <w:ind w:firstLine="420"/>
              <w:jc w:val="both"/>
              <w:rPr>
                <w:rFonts w:hint="default"/>
              </w:rPr>
            </w:pPr>
            <w:r>
              <w:rPr>
                <w:rFonts w:ascii="仿宋" w:hAnsi="仿宋" w:eastAsia="仿宋" w:cs="仿宋"/>
                <w:color w:val="000000"/>
                <w:sz w:val="21"/>
              </w:rPr>
              <w:t>1、具有高级信息系统项目管理师证书或PMP证书；</w:t>
            </w:r>
          </w:p>
          <w:p w14:paraId="715E1A60">
            <w:pPr>
              <w:pStyle w:val="101"/>
              <w:spacing w:line="320" w:lineRule="exact"/>
              <w:ind w:firstLine="420"/>
              <w:jc w:val="both"/>
              <w:rPr>
                <w:rFonts w:hint="default"/>
              </w:rPr>
            </w:pPr>
            <w:r>
              <w:rPr>
                <w:rFonts w:ascii="仿宋" w:hAnsi="仿宋" w:eastAsia="仿宋" w:cs="仿宋"/>
                <w:color w:val="000000"/>
                <w:sz w:val="21"/>
              </w:rPr>
              <w:t>2、具备10年及以上本行业从业经验及5年及以上本行业项目管理经验；</w:t>
            </w:r>
          </w:p>
          <w:p w14:paraId="1B205FF1">
            <w:pPr>
              <w:pStyle w:val="101"/>
              <w:spacing w:line="320" w:lineRule="exact"/>
              <w:ind w:firstLine="420"/>
              <w:jc w:val="both"/>
              <w:rPr>
                <w:rFonts w:hint="default" w:ascii="仿宋" w:hAnsi="仿宋" w:eastAsia="仿宋" w:cs="仿宋"/>
                <w:color w:val="000000"/>
                <w:sz w:val="21"/>
              </w:rPr>
            </w:pPr>
            <w:r>
              <w:rPr>
                <w:rFonts w:ascii="仿宋" w:hAnsi="仿宋" w:eastAsia="仿宋" w:cs="仿宋"/>
                <w:color w:val="000000"/>
                <w:sz w:val="21"/>
              </w:rPr>
              <w:t>3、本科及以上学历</w:t>
            </w:r>
          </w:p>
          <w:p w14:paraId="4226CF28">
            <w:pPr>
              <w:pStyle w:val="101"/>
              <w:spacing w:line="320" w:lineRule="exact"/>
              <w:ind w:firstLine="420"/>
              <w:jc w:val="both"/>
              <w:rPr>
                <w:rFonts w:hint="default"/>
              </w:rPr>
            </w:pPr>
            <w:r>
              <w:rPr>
                <w:rFonts w:ascii="仿宋" w:hAnsi="仿宋" w:eastAsia="仿宋" w:cs="仿宋"/>
                <w:color w:val="000000"/>
                <w:sz w:val="21"/>
                <w:lang w:eastAsia="zh-CN"/>
              </w:rPr>
              <w:t>4、</w:t>
            </w:r>
            <w:r>
              <w:rPr>
                <w:rFonts w:ascii="仿宋" w:hAnsi="仿宋" w:eastAsia="仿宋" w:cs="仿宋"/>
                <w:color w:val="000000"/>
                <w:sz w:val="21"/>
              </w:rPr>
              <w:t>不得同时兼任其他项目经理</w:t>
            </w:r>
          </w:p>
        </w:tc>
      </w:tr>
      <w:tr w14:paraId="56BAE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D2F037">
            <w:pPr>
              <w:pStyle w:val="101"/>
              <w:spacing w:line="320" w:lineRule="exact"/>
              <w:rPr>
                <w:rFonts w:hint="default"/>
              </w:rPr>
            </w:pPr>
            <w:r>
              <w:rPr>
                <w:rFonts w:ascii="仿宋" w:hAnsi="仿宋" w:eastAsia="仿宋" w:cs="仿宋"/>
                <w:color w:val="000000"/>
                <w:sz w:val="21"/>
                <w:lang w:eastAsia="zh-CN"/>
              </w:rPr>
              <w:t>高级</w:t>
            </w:r>
            <w:r>
              <w:rPr>
                <w:rFonts w:ascii="仿宋" w:hAnsi="仿宋" w:eastAsia="仿宋" w:cs="仿宋"/>
                <w:color w:val="000000"/>
                <w:sz w:val="21"/>
              </w:rPr>
              <w:t>系统分析师</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25644FA">
            <w:pPr>
              <w:pStyle w:val="101"/>
              <w:spacing w:line="320" w:lineRule="exact"/>
              <w:ind w:firstLine="420"/>
              <w:jc w:val="both"/>
              <w:rPr>
                <w:rFonts w:hint="default" w:ascii="仿宋" w:hAnsi="仿宋" w:eastAsia="仿宋" w:cs="仿宋"/>
                <w:color w:val="000000"/>
                <w:sz w:val="21"/>
              </w:rPr>
            </w:pPr>
            <w:r>
              <w:rPr>
                <w:rFonts w:ascii="仿宋" w:hAnsi="仿宋" w:eastAsia="仿宋" w:cs="仿宋"/>
                <w:color w:val="000000"/>
                <w:sz w:val="21"/>
              </w:rPr>
              <w:t>1、</w:t>
            </w:r>
            <w:r>
              <w:rPr>
                <w:rFonts w:ascii="仿宋" w:hAnsi="仿宋" w:eastAsia="仿宋" w:cs="仿宋"/>
                <w:color w:val="000000"/>
                <w:sz w:val="21"/>
                <w:lang w:eastAsia="zh-CN"/>
              </w:rPr>
              <w:t>具有高级职称证书或高级职业资格证书；</w:t>
            </w:r>
          </w:p>
          <w:p w14:paraId="42A0D9E0">
            <w:pPr>
              <w:pStyle w:val="101"/>
              <w:spacing w:line="320" w:lineRule="exact"/>
              <w:ind w:firstLine="420"/>
              <w:jc w:val="both"/>
              <w:rPr>
                <w:rFonts w:hint="default"/>
              </w:rPr>
            </w:pPr>
            <w:r>
              <w:rPr>
                <w:rFonts w:ascii="仿宋" w:hAnsi="仿宋" w:eastAsia="仿宋" w:cs="仿宋"/>
                <w:color w:val="000000"/>
                <w:sz w:val="21"/>
                <w:lang w:eastAsia="zh-CN"/>
              </w:rPr>
              <w:t>2、</w:t>
            </w:r>
            <w:r>
              <w:rPr>
                <w:rFonts w:ascii="仿宋" w:hAnsi="仿宋" w:eastAsia="仿宋" w:cs="仿宋"/>
                <w:color w:val="000000"/>
                <w:sz w:val="21"/>
              </w:rPr>
              <w:t>具备5</w:t>
            </w:r>
            <w:r>
              <w:rPr>
                <w:rFonts w:ascii="仿宋" w:hAnsi="仿宋" w:eastAsia="仿宋" w:cs="仿宋"/>
                <w:color w:val="000000"/>
                <w:sz w:val="21"/>
                <w:lang w:eastAsia="zh-CN"/>
              </w:rPr>
              <w:t>年</w:t>
            </w:r>
            <w:r>
              <w:rPr>
                <w:rFonts w:ascii="仿宋" w:hAnsi="仿宋" w:eastAsia="仿宋" w:cs="仿宋"/>
                <w:color w:val="000000"/>
                <w:sz w:val="21"/>
              </w:rPr>
              <w:t>及以上本行业需求分析经验；</w:t>
            </w:r>
          </w:p>
          <w:p w14:paraId="2FD342EA">
            <w:pPr>
              <w:pStyle w:val="101"/>
              <w:spacing w:line="320" w:lineRule="exact"/>
              <w:ind w:firstLine="420"/>
              <w:jc w:val="both"/>
              <w:rPr>
                <w:rFonts w:hint="default"/>
              </w:rPr>
            </w:pPr>
            <w:r>
              <w:rPr>
                <w:rFonts w:ascii="仿宋" w:hAnsi="仿宋" w:eastAsia="仿宋" w:cs="仿宋"/>
                <w:color w:val="000000"/>
                <w:sz w:val="21"/>
                <w:lang w:eastAsia="zh-CN"/>
              </w:rPr>
              <w:t>3</w:t>
            </w:r>
            <w:r>
              <w:rPr>
                <w:rFonts w:ascii="仿宋" w:hAnsi="仿宋" w:eastAsia="仿宋" w:cs="仿宋"/>
                <w:color w:val="000000"/>
                <w:sz w:val="21"/>
              </w:rPr>
              <w:t>、本科及以上学历，计算机相关专业。</w:t>
            </w:r>
          </w:p>
        </w:tc>
      </w:tr>
      <w:tr w14:paraId="04BC7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7CEF6B">
            <w:pPr>
              <w:pStyle w:val="101"/>
              <w:spacing w:line="320" w:lineRule="exact"/>
              <w:rPr>
                <w:rFonts w:hint="default"/>
              </w:rPr>
            </w:pPr>
            <w:r>
              <w:rPr>
                <w:rFonts w:ascii="仿宋" w:hAnsi="仿宋" w:eastAsia="仿宋" w:cs="仿宋"/>
                <w:color w:val="000000"/>
                <w:sz w:val="21"/>
              </w:rPr>
              <w:t>UI工程师</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F9B869">
            <w:pPr>
              <w:pStyle w:val="101"/>
              <w:spacing w:line="320" w:lineRule="exact"/>
              <w:ind w:firstLine="420"/>
              <w:jc w:val="both"/>
              <w:rPr>
                <w:rFonts w:hint="default"/>
              </w:rPr>
            </w:pPr>
            <w:r>
              <w:rPr>
                <w:rFonts w:ascii="仿宋" w:hAnsi="仿宋" w:eastAsia="仿宋" w:cs="仿宋"/>
                <w:color w:val="000000"/>
                <w:sz w:val="21"/>
              </w:rPr>
              <w:t>1、具备3年及以上本行业软件产品UI设计工作经验；</w:t>
            </w:r>
          </w:p>
          <w:p w14:paraId="58245422">
            <w:pPr>
              <w:pStyle w:val="101"/>
              <w:spacing w:after="120" w:line="320" w:lineRule="exact"/>
              <w:ind w:firstLine="420"/>
              <w:jc w:val="both"/>
              <w:rPr>
                <w:rFonts w:hint="default"/>
              </w:rPr>
            </w:pPr>
            <w:r>
              <w:rPr>
                <w:rFonts w:ascii="仿宋" w:hAnsi="仿宋" w:eastAsia="仿宋" w:cs="仿宋"/>
                <w:color w:val="000000"/>
                <w:sz w:val="21"/>
              </w:rPr>
              <w:t>2、本科及以上学历，美术及设计相关专业。</w:t>
            </w:r>
          </w:p>
        </w:tc>
      </w:tr>
      <w:tr w14:paraId="75B390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DC13F74">
            <w:pPr>
              <w:pStyle w:val="101"/>
              <w:spacing w:line="320" w:lineRule="exact"/>
              <w:rPr>
                <w:rFonts w:hint="default"/>
              </w:rPr>
            </w:pPr>
            <w:r>
              <w:rPr>
                <w:rFonts w:ascii="仿宋" w:hAnsi="仿宋" w:eastAsia="仿宋" w:cs="仿宋"/>
                <w:color w:val="000000"/>
                <w:sz w:val="21"/>
              </w:rPr>
              <w:t>高级</w:t>
            </w:r>
            <w:r>
              <w:rPr>
                <w:rFonts w:ascii="仿宋" w:hAnsi="仿宋" w:eastAsia="仿宋" w:cs="仿宋"/>
                <w:color w:val="000000"/>
                <w:sz w:val="21"/>
                <w:lang w:eastAsia="zh-CN"/>
              </w:rPr>
              <w:t>系统架构</w:t>
            </w:r>
            <w:r>
              <w:rPr>
                <w:rFonts w:ascii="仿宋" w:hAnsi="仿宋" w:eastAsia="仿宋" w:cs="仿宋"/>
                <w:color w:val="000000"/>
                <w:sz w:val="21"/>
              </w:rPr>
              <w:t>师</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AC2B92">
            <w:pPr>
              <w:pStyle w:val="101"/>
              <w:spacing w:line="320" w:lineRule="exact"/>
              <w:ind w:firstLine="420"/>
              <w:jc w:val="both"/>
              <w:rPr>
                <w:rFonts w:hint="default" w:ascii="仿宋" w:hAnsi="仿宋" w:eastAsia="仿宋" w:cs="仿宋"/>
                <w:color w:val="000000"/>
                <w:sz w:val="21"/>
              </w:rPr>
            </w:pPr>
            <w:r>
              <w:rPr>
                <w:rFonts w:ascii="仿宋" w:hAnsi="仿宋" w:eastAsia="仿宋" w:cs="仿宋"/>
                <w:color w:val="000000"/>
                <w:sz w:val="21"/>
              </w:rPr>
              <w:t>1、</w:t>
            </w:r>
            <w:r>
              <w:rPr>
                <w:rFonts w:ascii="仿宋" w:hAnsi="仿宋" w:eastAsia="仿宋" w:cs="仿宋"/>
                <w:color w:val="000000"/>
                <w:sz w:val="21"/>
                <w:lang w:eastAsia="zh-CN"/>
              </w:rPr>
              <w:t>具有高级职称证书或高级职业资格证书；</w:t>
            </w:r>
          </w:p>
          <w:p w14:paraId="2D103F21">
            <w:pPr>
              <w:pStyle w:val="101"/>
              <w:spacing w:line="320" w:lineRule="exact"/>
              <w:ind w:firstLine="420"/>
              <w:jc w:val="both"/>
              <w:rPr>
                <w:rFonts w:hint="default"/>
              </w:rPr>
            </w:pPr>
            <w:r>
              <w:rPr>
                <w:rFonts w:ascii="仿宋" w:hAnsi="仿宋" w:eastAsia="仿宋" w:cs="仿宋"/>
                <w:color w:val="000000"/>
                <w:sz w:val="21"/>
                <w:lang w:eastAsia="zh-CN"/>
              </w:rPr>
              <w:t>2、</w:t>
            </w:r>
            <w:r>
              <w:rPr>
                <w:rFonts w:ascii="仿宋" w:hAnsi="仿宋" w:eastAsia="仿宋" w:cs="仿宋"/>
                <w:color w:val="000000"/>
                <w:sz w:val="21"/>
              </w:rPr>
              <w:t>具备5年及以上本行业软件工作经验；</w:t>
            </w:r>
          </w:p>
          <w:p w14:paraId="6352AC94">
            <w:pPr>
              <w:pStyle w:val="101"/>
              <w:spacing w:after="120" w:line="320" w:lineRule="exact"/>
              <w:ind w:firstLine="420"/>
              <w:jc w:val="both"/>
              <w:rPr>
                <w:rFonts w:hint="default"/>
              </w:rPr>
            </w:pPr>
            <w:r>
              <w:rPr>
                <w:rFonts w:ascii="仿宋" w:hAnsi="仿宋" w:eastAsia="仿宋" w:cs="仿宋"/>
                <w:color w:val="000000"/>
                <w:sz w:val="21"/>
                <w:lang w:eastAsia="zh-CN"/>
              </w:rPr>
              <w:t>3</w:t>
            </w:r>
            <w:r>
              <w:rPr>
                <w:rFonts w:ascii="仿宋" w:hAnsi="仿宋" w:eastAsia="仿宋" w:cs="仿宋"/>
                <w:color w:val="000000"/>
                <w:sz w:val="21"/>
              </w:rPr>
              <w:t>、本科及以上学历。</w:t>
            </w:r>
          </w:p>
        </w:tc>
      </w:tr>
      <w:tr w14:paraId="23AE11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BDEC9C">
            <w:pPr>
              <w:pStyle w:val="101"/>
              <w:spacing w:line="320" w:lineRule="exact"/>
              <w:rPr>
                <w:rFonts w:hint="default"/>
              </w:rPr>
            </w:pPr>
            <w:r>
              <w:rPr>
                <w:rFonts w:ascii="仿宋" w:hAnsi="仿宋" w:eastAsia="仿宋" w:cs="仿宋"/>
                <w:color w:val="000000"/>
                <w:sz w:val="21"/>
              </w:rPr>
              <w:t>软件开发工程师</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2ADFBD">
            <w:pPr>
              <w:pStyle w:val="101"/>
              <w:spacing w:line="320" w:lineRule="exact"/>
              <w:ind w:firstLine="420"/>
              <w:jc w:val="both"/>
              <w:rPr>
                <w:rFonts w:hint="default"/>
              </w:rPr>
            </w:pPr>
            <w:r>
              <w:rPr>
                <w:rFonts w:ascii="仿宋" w:hAnsi="仿宋" w:eastAsia="仿宋" w:cs="仿宋"/>
                <w:color w:val="000000"/>
                <w:sz w:val="21"/>
              </w:rPr>
              <w:t>1、具备3年及以上本行业软件开发工作经验；</w:t>
            </w:r>
          </w:p>
          <w:p w14:paraId="58D5F893">
            <w:pPr>
              <w:pStyle w:val="101"/>
              <w:spacing w:line="320" w:lineRule="exact"/>
              <w:ind w:firstLine="420"/>
              <w:jc w:val="both"/>
              <w:rPr>
                <w:rFonts w:hint="default"/>
              </w:rPr>
            </w:pPr>
            <w:r>
              <w:rPr>
                <w:rFonts w:ascii="仿宋" w:hAnsi="仿宋" w:eastAsia="仿宋" w:cs="仿宋"/>
                <w:color w:val="000000"/>
                <w:sz w:val="21"/>
              </w:rPr>
              <w:t>2、本科及以上学历。</w:t>
            </w:r>
          </w:p>
        </w:tc>
      </w:tr>
      <w:tr w14:paraId="62BA5C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F42684">
            <w:pPr>
              <w:pStyle w:val="101"/>
              <w:spacing w:line="320" w:lineRule="exact"/>
              <w:rPr>
                <w:rFonts w:hint="default"/>
                <w:lang w:eastAsia="zh-CN"/>
              </w:rPr>
            </w:pPr>
            <w:r>
              <w:rPr>
                <w:rFonts w:ascii="仿宋" w:hAnsi="仿宋" w:eastAsia="仿宋" w:cs="仿宋"/>
                <w:color w:val="000000"/>
                <w:sz w:val="21"/>
                <w:lang w:eastAsia="zh-CN"/>
              </w:rPr>
              <w:t>数据库系统工程师</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76847A">
            <w:pPr>
              <w:pStyle w:val="101"/>
              <w:spacing w:line="320" w:lineRule="exact"/>
              <w:ind w:firstLine="420"/>
              <w:jc w:val="both"/>
              <w:rPr>
                <w:rFonts w:hint="default"/>
              </w:rPr>
            </w:pPr>
            <w:r>
              <w:rPr>
                <w:rFonts w:ascii="仿宋" w:hAnsi="仿宋" w:eastAsia="仿宋" w:cs="仿宋"/>
                <w:color w:val="000000"/>
                <w:sz w:val="21"/>
                <w:lang w:eastAsia="zh-CN"/>
              </w:rPr>
              <w:t>1、</w:t>
            </w:r>
            <w:r>
              <w:rPr>
                <w:rFonts w:ascii="仿宋" w:hAnsi="仿宋" w:eastAsia="仿宋" w:cs="仿宋"/>
                <w:color w:val="000000"/>
                <w:sz w:val="21"/>
              </w:rPr>
              <w:t>具备</w:t>
            </w:r>
            <w:r>
              <w:rPr>
                <w:rFonts w:ascii="仿宋" w:hAnsi="仿宋" w:eastAsia="仿宋" w:cs="仿宋"/>
                <w:color w:val="000000"/>
                <w:sz w:val="21"/>
                <w:lang w:eastAsia="zh-CN"/>
              </w:rPr>
              <w:t>3</w:t>
            </w:r>
            <w:r>
              <w:rPr>
                <w:rFonts w:ascii="仿宋" w:hAnsi="仿宋" w:eastAsia="仿宋" w:cs="仿宋"/>
                <w:color w:val="000000"/>
                <w:sz w:val="21"/>
              </w:rPr>
              <w:t>年及以上本行业</w:t>
            </w:r>
            <w:r>
              <w:rPr>
                <w:rFonts w:ascii="仿宋" w:hAnsi="仿宋" w:eastAsia="仿宋" w:cs="仿宋"/>
                <w:color w:val="000000"/>
                <w:sz w:val="21"/>
                <w:lang w:eastAsia="zh-CN"/>
              </w:rPr>
              <w:t>数据库工作</w:t>
            </w:r>
            <w:r>
              <w:rPr>
                <w:rFonts w:ascii="仿宋" w:hAnsi="仿宋" w:eastAsia="仿宋" w:cs="仿宋"/>
                <w:color w:val="000000"/>
                <w:sz w:val="21"/>
              </w:rPr>
              <w:t>经验；</w:t>
            </w:r>
          </w:p>
          <w:p w14:paraId="09C4ECBA">
            <w:pPr>
              <w:pStyle w:val="101"/>
              <w:spacing w:line="320" w:lineRule="exact"/>
              <w:ind w:firstLine="420"/>
              <w:jc w:val="both"/>
              <w:rPr>
                <w:rFonts w:hint="default"/>
              </w:rPr>
            </w:pPr>
            <w:r>
              <w:rPr>
                <w:rFonts w:ascii="仿宋" w:hAnsi="仿宋" w:eastAsia="仿宋" w:cs="仿宋"/>
                <w:color w:val="000000"/>
                <w:sz w:val="21"/>
                <w:lang w:eastAsia="zh-CN"/>
              </w:rPr>
              <w:t>2</w:t>
            </w:r>
            <w:r>
              <w:rPr>
                <w:rFonts w:ascii="仿宋" w:hAnsi="仿宋" w:eastAsia="仿宋" w:cs="仿宋"/>
                <w:color w:val="000000"/>
                <w:sz w:val="21"/>
              </w:rPr>
              <w:t>、本科及以上学历。</w:t>
            </w:r>
          </w:p>
        </w:tc>
      </w:tr>
      <w:tr w14:paraId="390F0D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26B7A88">
            <w:pPr>
              <w:pStyle w:val="101"/>
              <w:spacing w:line="320" w:lineRule="exact"/>
              <w:rPr>
                <w:rFonts w:hint="default"/>
              </w:rPr>
            </w:pPr>
            <w:r>
              <w:rPr>
                <w:rFonts w:ascii="仿宋" w:hAnsi="仿宋" w:eastAsia="仿宋" w:cs="仿宋"/>
                <w:color w:val="000000"/>
                <w:sz w:val="21"/>
              </w:rPr>
              <w:t>软件测试工程师</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487246">
            <w:pPr>
              <w:pStyle w:val="101"/>
              <w:spacing w:line="320" w:lineRule="exact"/>
              <w:ind w:firstLine="420"/>
              <w:jc w:val="both"/>
              <w:rPr>
                <w:rFonts w:hint="default"/>
              </w:rPr>
            </w:pPr>
            <w:r>
              <w:rPr>
                <w:rFonts w:ascii="仿宋" w:hAnsi="仿宋" w:eastAsia="仿宋" w:cs="仿宋"/>
                <w:color w:val="000000"/>
                <w:sz w:val="21"/>
              </w:rPr>
              <w:t>1、具备3年及以上本行业软件测试工作经验；</w:t>
            </w:r>
          </w:p>
          <w:p w14:paraId="4654AA1E">
            <w:pPr>
              <w:pStyle w:val="101"/>
              <w:spacing w:line="320" w:lineRule="exact"/>
              <w:ind w:firstLine="420"/>
              <w:jc w:val="both"/>
              <w:rPr>
                <w:rFonts w:hint="default"/>
              </w:rPr>
            </w:pPr>
            <w:r>
              <w:rPr>
                <w:rFonts w:ascii="仿宋" w:hAnsi="仿宋" w:eastAsia="仿宋" w:cs="仿宋"/>
                <w:color w:val="000000"/>
                <w:sz w:val="21"/>
              </w:rPr>
              <w:t>2、本科及以上学历。</w:t>
            </w:r>
          </w:p>
        </w:tc>
      </w:tr>
      <w:tr w14:paraId="3638CB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18D6CD6">
            <w:pPr>
              <w:pStyle w:val="101"/>
              <w:spacing w:line="320" w:lineRule="exact"/>
              <w:rPr>
                <w:rFonts w:hint="default"/>
              </w:rPr>
            </w:pPr>
            <w:r>
              <w:rPr>
                <w:rFonts w:ascii="仿宋" w:hAnsi="仿宋" w:eastAsia="仿宋" w:cs="仿宋"/>
                <w:color w:val="000000"/>
                <w:sz w:val="21"/>
              </w:rPr>
              <w:t>系统实施工程师</w:t>
            </w:r>
          </w:p>
        </w:tc>
        <w:tc>
          <w:tcPr>
            <w:tcW w:w="712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9951B4A">
            <w:pPr>
              <w:pStyle w:val="101"/>
              <w:spacing w:line="320" w:lineRule="exact"/>
              <w:ind w:firstLine="420"/>
              <w:jc w:val="both"/>
              <w:rPr>
                <w:rFonts w:hint="default"/>
              </w:rPr>
            </w:pPr>
            <w:r>
              <w:rPr>
                <w:rFonts w:ascii="仿宋" w:hAnsi="仿宋" w:eastAsia="仿宋" w:cs="仿宋"/>
                <w:color w:val="000000"/>
                <w:sz w:val="21"/>
              </w:rPr>
              <w:t>1、具备</w:t>
            </w:r>
            <w:r>
              <w:rPr>
                <w:rFonts w:ascii="仿宋" w:hAnsi="仿宋" w:eastAsia="仿宋" w:cs="仿宋"/>
                <w:color w:val="000000"/>
                <w:sz w:val="21"/>
                <w:lang w:eastAsia="zh-CN"/>
              </w:rPr>
              <w:t>3</w:t>
            </w:r>
            <w:r>
              <w:rPr>
                <w:rFonts w:ascii="仿宋" w:hAnsi="仿宋" w:eastAsia="仿宋" w:cs="仿宋"/>
                <w:color w:val="000000"/>
                <w:sz w:val="21"/>
              </w:rPr>
              <w:t>年及以上本行业系统实施工作经验；</w:t>
            </w:r>
          </w:p>
          <w:p w14:paraId="6844E602">
            <w:pPr>
              <w:pStyle w:val="101"/>
              <w:spacing w:line="320" w:lineRule="exact"/>
              <w:ind w:firstLine="420"/>
              <w:jc w:val="both"/>
              <w:rPr>
                <w:rFonts w:hint="default"/>
              </w:rPr>
            </w:pPr>
            <w:r>
              <w:rPr>
                <w:rFonts w:ascii="仿宋" w:hAnsi="仿宋" w:eastAsia="仿宋" w:cs="仿宋"/>
                <w:color w:val="000000"/>
                <w:sz w:val="21"/>
              </w:rPr>
              <w:t>2、大专及以上学历。</w:t>
            </w:r>
          </w:p>
        </w:tc>
      </w:tr>
    </w:tbl>
    <w:p w14:paraId="28C5A625">
      <w:pPr>
        <w:jc w:val="both"/>
      </w:pPr>
    </w:p>
    <w:p w14:paraId="498623C1">
      <w:pPr>
        <w:pStyle w:val="3"/>
        <w:jc w:val="both"/>
      </w:pPr>
      <w:bookmarkStart w:id="16" w:name="_Toc148453731"/>
      <w:r>
        <w:rPr>
          <w:rFonts w:hint="eastAsia"/>
        </w:rPr>
        <w:t>五、商务要求</w:t>
      </w:r>
    </w:p>
    <w:p w14:paraId="0C15B926">
      <w:pPr>
        <w:pStyle w:val="101"/>
        <w:ind w:firstLine="482"/>
        <w:outlineLvl w:val="1"/>
        <w:rPr>
          <w:rFonts w:hint="default" w:cs="仿宋" w:asciiTheme="minorEastAsia" w:hAnsiTheme="minorEastAsia"/>
          <w:b/>
          <w:bCs/>
          <w:sz w:val="24"/>
        </w:rPr>
      </w:pPr>
      <w:r>
        <w:rPr>
          <w:rFonts w:cs="仿宋" w:asciiTheme="minorEastAsia" w:hAnsiTheme="minorEastAsia"/>
          <w:b/>
          <w:bCs/>
          <w:sz w:val="24"/>
        </w:rPr>
        <w:t>（一）服务期限</w:t>
      </w:r>
    </w:p>
    <w:p w14:paraId="386CA2E6">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自合同签订之日起一年。</w:t>
      </w:r>
    </w:p>
    <w:p w14:paraId="3AB21EF5">
      <w:pPr>
        <w:pStyle w:val="101"/>
        <w:ind w:firstLine="482"/>
        <w:outlineLvl w:val="1"/>
        <w:rPr>
          <w:rFonts w:hint="default" w:cs="仿宋" w:asciiTheme="minorEastAsia" w:hAnsiTheme="minorEastAsia"/>
          <w:b/>
          <w:bCs/>
          <w:sz w:val="24"/>
        </w:rPr>
      </w:pPr>
      <w:r>
        <w:rPr>
          <w:rFonts w:cs="仿宋" w:asciiTheme="minorEastAsia" w:hAnsiTheme="minorEastAsia"/>
          <w:b/>
          <w:bCs/>
          <w:sz w:val="24"/>
        </w:rPr>
        <w:t>（二）款项结算</w:t>
      </w:r>
    </w:p>
    <w:p w14:paraId="5E5A68D4">
      <w:pPr>
        <w:pStyle w:val="101"/>
        <w:ind w:firstLine="482"/>
        <w:jc w:val="both"/>
        <w:rPr>
          <w:rFonts w:hint="default" w:asciiTheme="minorEastAsia" w:hAnsiTheme="minorEastAsia"/>
        </w:rPr>
      </w:pPr>
      <w:r>
        <w:rPr>
          <w:rFonts w:cs="仿宋" w:asciiTheme="minorEastAsia" w:hAnsiTheme="minorEastAsia"/>
          <w:sz w:val="24"/>
        </w:rPr>
        <w:t>1、合同签订之日起10个工作日内，供应商持中标通知书、合同、当期付款金额的普通增值税发票，与采购人结算合同总价款的30%。</w:t>
      </w:r>
    </w:p>
    <w:p w14:paraId="4D748653">
      <w:pPr>
        <w:pStyle w:val="101"/>
        <w:ind w:firstLine="482"/>
        <w:jc w:val="both"/>
        <w:rPr>
          <w:rFonts w:hint="default" w:asciiTheme="minorEastAsia" w:hAnsiTheme="minorEastAsia"/>
        </w:rPr>
      </w:pPr>
      <w:r>
        <w:rPr>
          <w:rFonts w:cs="仿宋" w:asciiTheme="minorEastAsia" w:hAnsiTheme="minorEastAsia"/>
          <w:sz w:val="24"/>
        </w:rPr>
        <w:t>2、供应商正常提供维保服务，达到服务标准且经采购人书面确认，于202</w:t>
      </w:r>
      <w:r>
        <w:rPr>
          <w:rFonts w:cs="仿宋" w:asciiTheme="minorEastAsia" w:hAnsiTheme="minorEastAsia"/>
          <w:sz w:val="24"/>
          <w:lang w:eastAsia="zh-CN"/>
        </w:rPr>
        <w:t>5</w:t>
      </w:r>
      <w:r>
        <w:rPr>
          <w:rFonts w:cs="仿宋" w:asciiTheme="minorEastAsia" w:hAnsiTheme="minorEastAsia"/>
          <w:sz w:val="24"/>
        </w:rPr>
        <w:t>年</w:t>
      </w:r>
      <w:r>
        <w:rPr>
          <w:rFonts w:cs="仿宋" w:asciiTheme="minorEastAsia" w:hAnsiTheme="minorEastAsia"/>
          <w:sz w:val="24"/>
          <w:lang w:eastAsia="zh-CN"/>
        </w:rPr>
        <w:t>11</w:t>
      </w:r>
      <w:r>
        <w:rPr>
          <w:rFonts w:cs="仿宋" w:asciiTheme="minorEastAsia" w:hAnsiTheme="minorEastAsia"/>
          <w:sz w:val="24"/>
        </w:rPr>
        <w:t>月供应商持当前付款金额的增值税普通发票，与采购人结算合同总价款的50%。</w:t>
      </w:r>
    </w:p>
    <w:p w14:paraId="0A51FAEB">
      <w:pPr>
        <w:pStyle w:val="101"/>
        <w:ind w:firstLine="482"/>
        <w:jc w:val="both"/>
        <w:rPr>
          <w:rFonts w:hint="default" w:asciiTheme="minorEastAsia" w:hAnsiTheme="minorEastAsia"/>
        </w:rPr>
      </w:pPr>
      <w:r>
        <w:rPr>
          <w:rFonts w:cs="仿宋" w:asciiTheme="minorEastAsia" w:hAnsiTheme="minorEastAsia"/>
          <w:sz w:val="24"/>
        </w:rPr>
        <w:t>3、</w:t>
      </w:r>
      <w:r>
        <w:rPr>
          <w:rFonts w:cs="仿宋" w:asciiTheme="minorEastAsia" w:hAnsiTheme="minorEastAsia"/>
          <w:sz w:val="24"/>
          <w:lang w:eastAsia="zh-CN"/>
        </w:rPr>
        <w:t>服务期满并经采购人验收合格后，填写项目验收意见书（一式三份），验收通过之日起一个月内，供应商持项目验收意见书、当期付款金额的增值税普通发票，与采购人结算合同当期应付款。当期付款金额=合同总价款的20%-扣款总金额（采购人参照“合同附件：服务考核标准”进行扣款金额核算）。</w:t>
      </w:r>
    </w:p>
    <w:p w14:paraId="0613B7E8">
      <w:pPr>
        <w:pStyle w:val="101"/>
        <w:ind w:firstLine="482"/>
        <w:jc w:val="both"/>
        <w:rPr>
          <w:rFonts w:hint="default" w:asciiTheme="minorEastAsia" w:hAnsiTheme="minorEastAsia"/>
        </w:rPr>
      </w:pPr>
      <w:r>
        <w:rPr>
          <w:rFonts w:cs="仿宋" w:asciiTheme="minorEastAsia" w:hAnsiTheme="minorEastAsia"/>
          <w:sz w:val="24"/>
        </w:rPr>
        <w:t>4、支付方式：银行转账。</w:t>
      </w:r>
    </w:p>
    <w:p w14:paraId="3D82EB0A">
      <w:pPr>
        <w:pStyle w:val="101"/>
        <w:ind w:firstLine="482"/>
        <w:jc w:val="both"/>
        <w:rPr>
          <w:rFonts w:hint="default" w:asciiTheme="minorEastAsia" w:hAnsiTheme="minorEastAsia"/>
        </w:rPr>
      </w:pPr>
      <w:r>
        <w:rPr>
          <w:rFonts w:cs="仿宋" w:asciiTheme="minorEastAsia" w:hAnsiTheme="minorEastAsia"/>
          <w:sz w:val="24"/>
        </w:rPr>
        <w:t>5、上述正常提供维保服务是指由采购人指定的项目负责人对供应商正常服务状态进行签字确认。</w:t>
      </w:r>
    </w:p>
    <w:p w14:paraId="627FBB78">
      <w:pPr>
        <w:pStyle w:val="101"/>
        <w:ind w:firstLine="482"/>
        <w:outlineLvl w:val="0"/>
        <w:rPr>
          <w:rFonts w:hint="default" w:ascii="Calibri" w:hAnsi="Calibri" w:eastAsia="黑体" w:cstheme="majorBidi"/>
          <w:bCs/>
          <w:iCs/>
          <w:kern w:val="32"/>
          <w:sz w:val="28"/>
          <w:szCs w:val="28"/>
          <w:lang w:eastAsia="zh-CN"/>
        </w:rPr>
      </w:pPr>
      <w:r>
        <w:rPr>
          <w:rFonts w:ascii="Calibri" w:hAnsi="Calibri" w:eastAsia="黑体" w:cstheme="majorBidi"/>
          <w:bCs/>
          <w:iCs/>
          <w:kern w:val="32"/>
          <w:sz w:val="28"/>
          <w:szCs w:val="28"/>
          <w:lang w:eastAsia="zh-CN"/>
        </w:rPr>
        <w:t>六、其他</w:t>
      </w:r>
    </w:p>
    <w:p w14:paraId="4671E613">
      <w:pPr>
        <w:pStyle w:val="101"/>
        <w:ind w:firstLine="482"/>
        <w:outlineLvl w:val="1"/>
        <w:rPr>
          <w:rFonts w:hint="default" w:cs="仿宋" w:asciiTheme="minorEastAsia" w:hAnsiTheme="minorEastAsia"/>
          <w:b/>
          <w:bCs/>
          <w:sz w:val="24"/>
        </w:rPr>
      </w:pPr>
      <w:r>
        <w:rPr>
          <w:rFonts w:cs="仿宋" w:asciiTheme="minorEastAsia" w:hAnsiTheme="minorEastAsia"/>
          <w:b/>
          <w:bCs/>
          <w:sz w:val="24"/>
        </w:rPr>
        <w:t>（</w:t>
      </w:r>
      <w:r>
        <w:rPr>
          <w:rFonts w:cs="仿宋" w:asciiTheme="minorEastAsia" w:hAnsiTheme="minorEastAsia"/>
          <w:b/>
          <w:bCs/>
          <w:sz w:val="24"/>
          <w:lang w:eastAsia="zh-CN"/>
        </w:rPr>
        <w:t>一</w:t>
      </w:r>
      <w:r>
        <w:rPr>
          <w:rFonts w:cs="仿宋" w:asciiTheme="minorEastAsia" w:hAnsiTheme="minorEastAsia"/>
          <w:b/>
          <w:bCs/>
          <w:sz w:val="24"/>
        </w:rPr>
        <w:t>）进度要求</w:t>
      </w:r>
    </w:p>
    <w:p w14:paraId="1A943F3F">
      <w:pPr>
        <w:pStyle w:val="101"/>
        <w:ind w:firstLine="482"/>
        <w:jc w:val="both"/>
        <w:rPr>
          <w:rFonts w:hint="default" w:asciiTheme="minorEastAsia" w:hAnsiTheme="minorEastAsia" w:cstheme="minorHAnsi"/>
          <w:color w:val="000000"/>
          <w:kern w:val="24"/>
          <w:sz w:val="24"/>
          <w:szCs w:val="24"/>
          <w:lang w:eastAsia="zh-CN"/>
        </w:rPr>
      </w:pPr>
      <w:r>
        <w:rPr>
          <w:rFonts w:asciiTheme="minorEastAsia" w:hAnsiTheme="minorEastAsia" w:cstheme="minorHAnsi"/>
          <w:color w:val="000000"/>
          <w:kern w:val="24"/>
          <w:sz w:val="24"/>
          <w:szCs w:val="24"/>
          <w:lang w:eastAsia="zh-CN"/>
        </w:rPr>
        <w:t>在服务期内，根据采购人要求和相关技术规范，持续进行维保服务。</w:t>
      </w:r>
    </w:p>
    <w:p w14:paraId="444B0D48">
      <w:pPr>
        <w:pStyle w:val="101"/>
        <w:ind w:firstLine="482"/>
        <w:outlineLvl w:val="1"/>
        <w:rPr>
          <w:rFonts w:hint="default" w:cs="仿宋" w:asciiTheme="minorEastAsia" w:hAnsiTheme="minorEastAsia"/>
          <w:b/>
          <w:bCs/>
          <w:sz w:val="24"/>
        </w:rPr>
      </w:pPr>
      <w:r>
        <w:rPr>
          <w:rFonts w:cs="仿宋" w:asciiTheme="minorEastAsia" w:hAnsiTheme="minorEastAsia"/>
          <w:b/>
          <w:bCs/>
          <w:sz w:val="24"/>
        </w:rPr>
        <w:t>（</w:t>
      </w:r>
      <w:r>
        <w:rPr>
          <w:rFonts w:cs="仿宋" w:asciiTheme="minorEastAsia" w:hAnsiTheme="minorEastAsia"/>
          <w:b/>
          <w:bCs/>
          <w:sz w:val="24"/>
          <w:lang w:eastAsia="zh-CN"/>
        </w:rPr>
        <w:t>二</w:t>
      </w:r>
      <w:r>
        <w:rPr>
          <w:rFonts w:cs="仿宋" w:asciiTheme="minorEastAsia" w:hAnsiTheme="minorEastAsia"/>
          <w:b/>
          <w:bCs/>
          <w:sz w:val="24"/>
        </w:rPr>
        <w:t>）成果交付要求</w:t>
      </w:r>
    </w:p>
    <w:p w14:paraId="0E49623E">
      <w:pPr>
        <w:pStyle w:val="83"/>
        <w:ind w:firstLine="480"/>
        <w:rPr>
          <w:rFonts w:asciiTheme="minorEastAsia" w:hAnsiTheme="minorEastAsia" w:eastAsiaTheme="minorEastAsia"/>
        </w:rPr>
      </w:pPr>
      <w:r>
        <w:rPr>
          <w:rFonts w:asciiTheme="minorEastAsia" w:hAnsiTheme="minorEastAsia" w:eastAsiaTheme="minorEastAsia"/>
        </w:rPr>
        <w:t>1、根据合同内容，提供相应服务或采购产品；</w:t>
      </w:r>
    </w:p>
    <w:p w14:paraId="304AAB42">
      <w:pPr>
        <w:pStyle w:val="83"/>
        <w:ind w:firstLine="480"/>
        <w:rPr>
          <w:rFonts w:asciiTheme="minorEastAsia" w:hAnsiTheme="minorEastAsia" w:eastAsiaTheme="minorEastAsia"/>
        </w:rPr>
      </w:pPr>
      <w:r>
        <w:rPr>
          <w:rFonts w:asciiTheme="minorEastAsia" w:hAnsiTheme="minorEastAsia" w:eastAsiaTheme="minorEastAsia"/>
        </w:rPr>
        <w:t>2、提供验收报告及相关验收资料。</w:t>
      </w:r>
    </w:p>
    <w:p w14:paraId="3B98C870">
      <w:pPr>
        <w:pStyle w:val="83"/>
        <w:ind w:firstLine="480"/>
        <w:rPr>
          <w:rFonts w:asciiTheme="minorEastAsia" w:hAnsiTheme="minorEastAsia" w:eastAsiaTheme="minorEastAsia"/>
        </w:rPr>
      </w:pPr>
      <w:r>
        <w:rPr>
          <w:rFonts w:asciiTheme="minorEastAsia" w:hAnsiTheme="minorEastAsia" w:eastAsiaTheme="minorEastAsia"/>
        </w:rPr>
        <w:t>（1）系统运行维护工作结束后，采购人根据磋商文件、响应文件及相关文件资料，进行考核验收，确认服务标准和服务方式是否达到采购要求。验收资料包括但不限于服务方案、运维记录、培训记录、运维总结报告等资料。</w:t>
      </w:r>
    </w:p>
    <w:p w14:paraId="6F4E32C6">
      <w:pPr>
        <w:pStyle w:val="83"/>
        <w:ind w:firstLine="480"/>
        <w:rPr>
          <w:rFonts w:asciiTheme="minorEastAsia" w:hAnsiTheme="minorEastAsia" w:eastAsiaTheme="minorEastAsia"/>
        </w:rPr>
      </w:pPr>
      <w:r>
        <w:rPr>
          <w:rFonts w:asciiTheme="minorEastAsia" w:hAnsiTheme="minorEastAsia" w:eastAsiaTheme="minorEastAsia"/>
        </w:rPr>
        <w:t>（2）采购人组织供应商,必要时请有关专家进行考核验收，验收合格后，填写项目验收意见书（一式三份）作为对系统运行维护服务的最终认可。</w:t>
      </w:r>
    </w:p>
    <w:p w14:paraId="66B1AA98">
      <w:pPr>
        <w:pStyle w:val="83"/>
        <w:ind w:firstLine="480"/>
        <w:rPr>
          <w:rFonts w:asciiTheme="minorEastAsia" w:hAnsiTheme="minorEastAsia" w:eastAsiaTheme="minorEastAsia"/>
        </w:rPr>
      </w:pPr>
      <w:r>
        <w:rPr>
          <w:rFonts w:asciiTheme="minorEastAsia" w:hAnsiTheme="minorEastAsia" w:eastAsiaTheme="minorEastAsia"/>
        </w:rPr>
        <w:t>（3）供应商向采购人提供服务过程中的所有资料,以便采购人日后管理和维护。</w:t>
      </w:r>
      <w:r>
        <w:br w:type="page"/>
      </w:r>
    </w:p>
    <w:p w14:paraId="2DA58542">
      <w:pPr>
        <w:pStyle w:val="2"/>
        <w:spacing w:before="230" w:after="230"/>
        <w:rPr>
          <w:color w:val="C00000"/>
        </w:rPr>
      </w:pPr>
      <w:r>
        <w:rPr>
          <w:rFonts w:hint="eastAsia"/>
        </w:rPr>
        <w:t>第四章　合同</w:t>
      </w:r>
      <w:bookmarkEnd w:id="16"/>
      <w:r>
        <w:rPr>
          <w:rFonts w:hint="eastAsia"/>
        </w:rPr>
        <w:t>草案条款</w:t>
      </w:r>
    </w:p>
    <w:p w14:paraId="16DA02A7">
      <w:pPr>
        <w:spacing w:before="230" w:beforeLines="50"/>
        <w:ind w:firstLine="480" w:firstLineChars="200"/>
        <w:jc w:val="both"/>
        <w:rPr>
          <w:b/>
        </w:rPr>
      </w:pPr>
      <w:r>
        <w:rPr>
          <w:b/>
        </w:rPr>
        <w:t>甲方（采购人）：</w:t>
      </w:r>
      <w:r>
        <w:rPr>
          <w:rFonts w:hint="eastAsia"/>
          <w:b/>
          <w:color w:val="C00000"/>
          <w:u w:val="single"/>
        </w:rPr>
        <w:t xml:space="preserve">      </w:t>
      </w:r>
      <w:r>
        <w:rPr>
          <w:b/>
          <w:color w:val="C00000"/>
          <w:u w:val="single"/>
        </w:rPr>
        <w:t xml:space="preserve">   </w:t>
      </w:r>
      <w:r>
        <w:rPr>
          <w:rFonts w:hint="eastAsia"/>
          <w:b/>
          <w:color w:val="C00000"/>
          <w:u w:val="single"/>
        </w:rPr>
        <w:t xml:space="preserve">        </w:t>
      </w:r>
    </w:p>
    <w:p w14:paraId="44A487A0">
      <w:pPr>
        <w:ind w:firstLine="480" w:firstLineChars="200"/>
        <w:jc w:val="both"/>
        <w:rPr>
          <w:b/>
        </w:rPr>
      </w:pPr>
      <w:r>
        <w:rPr>
          <w:b/>
        </w:rPr>
        <w:t>乙方（成交供应商）：</w:t>
      </w:r>
      <w:r>
        <w:rPr>
          <w:color w:val="C00000"/>
        </w:rPr>
        <w:t>_________________</w:t>
      </w:r>
    </w:p>
    <w:p w14:paraId="76F3DF7C">
      <w:pPr>
        <w:spacing w:before="230" w:beforeLines="50"/>
        <w:jc w:val="both"/>
        <w:rPr>
          <w:rFonts w:cs="Calibri Light"/>
          <w:b/>
        </w:rPr>
      </w:pPr>
      <w:r>
        <w:rPr>
          <w:rFonts w:cs="Calibri Light"/>
          <w:b/>
        </w:rPr>
        <w:t>一、服务条件：</w:t>
      </w:r>
    </w:p>
    <w:p w14:paraId="04D19A8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14:paraId="7820DD1D">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（二）服务内容：见本项目磋商文件</w:t>
      </w:r>
    </w:p>
    <w:p w14:paraId="1FCF9FB7">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（三）服务期：_______________</w:t>
      </w:r>
    </w:p>
    <w:p w14:paraId="7B2F04D2">
      <w:pPr>
        <w:spacing w:before="230" w:beforeLines="50"/>
        <w:jc w:val="both"/>
        <w:rPr>
          <w:rFonts w:cs="Calibri Light"/>
          <w:b/>
        </w:rPr>
      </w:pPr>
      <w:r>
        <w:rPr>
          <w:rFonts w:cs="Calibri Light"/>
          <w:b/>
        </w:rPr>
        <w:t>二、合同价款</w:t>
      </w:r>
    </w:p>
    <w:p w14:paraId="55D8E838">
      <w:pPr>
        <w:ind w:firstLine="480" w:firstLineChars="200"/>
        <w:jc w:val="both"/>
      </w:pPr>
      <w:r>
        <w:t>（一）本合同项下总价款为人民币_________元（小写，精确到小数点后两位），即__________（大写）。合同履行期间，合同总价固定不变，不受市场价格变化因素的影响。</w:t>
      </w:r>
    </w:p>
    <w:p w14:paraId="7D5196F7">
      <w:pPr>
        <w:ind w:firstLine="480" w:firstLineChars="200"/>
        <w:jc w:val="both"/>
      </w:pPr>
      <w:r>
        <w:t>（二）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pPr>
        <w:spacing w:before="230" w:beforeLines="50"/>
        <w:jc w:val="both"/>
        <w:rPr>
          <w:rFonts w:cs="Calibri Light"/>
          <w:b/>
        </w:rPr>
      </w:pPr>
      <w:r>
        <w:rPr>
          <w:rFonts w:cs="Calibri Light"/>
          <w:b/>
        </w:rPr>
        <w:t>三、款项结算</w:t>
      </w:r>
    </w:p>
    <w:p w14:paraId="7095426F">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w:t>
      </w:r>
      <w:r>
        <w:rPr>
          <w:rFonts w:hint="eastAsia" w:asciiTheme="minorHAnsi" w:hAnsiTheme="minorHAnsi" w:eastAsiaTheme="minorEastAsia"/>
          <w:sz w:val="24"/>
          <w:szCs w:val="24"/>
        </w:rPr>
        <w:t>方式</w:t>
      </w:r>
      <w:r>
        <w:rPr>
          <w:rFonts w:asciiTheme="minorHAnsi" w:hAnsiTheme="minorHAnsi" w:eastAsiaTheme="minorEastAsia"/>
          <w:sz w:val="24"/>
          <w:szCs w:val="24"/>
        </w:rPr>
        <w:t>：</w:t>
      </w:r>
    </w:p>
    <w:p w14:paraId="2A1680BD">
      <w:pPr>
        <w:pStyle w:val="101"/>
        <w:ind w:firstLine="482"/>
        <w:jc w:val="both"/>
        <w:rPr>
          <w:rFonts w:hint="default" w:asciiTheme="minorEastAsia" w:hAnsiTheme="minorEastAsia"/>
        </w:rPr>
      </w:pPr>
      <w:r>
        <w:rPr>
          <w:rFonts w:cs="仿宋" w:asciiTheme="minorEastAsia" w:hAnsiTheme="minorEastAsia"/>
          <w:sz w:val="24"/>
        </w:rPr>
        <w:t>1、合同签订之日起10个工作日内，乙方持中标通知书、合同、当期付款金额的普通增值税发票，与</w:t>
      </w:r>
      <w:r>
        <w:rPr>
          <w:rFonts w:cs="仿宋" w:asciiTheme="minorEastAsia" w:hAnsiTheme="minorEastAsia"/>
          <w:sz w:val="24"/>
          <w:lang w:eastAsia="zh-CN"/>
        </w:rPr>
        <w:t>甲方</w:t>
      </w:r>
      <w:r>
        <w:rPr>
          <w:rFonts w:cs="仿宋" w:asciiTheme="minorEastAsia" w:hAnsiTheme="minorEastAsia"/>
          <w:sz w:val="24"/>
        </w:rPr>
        <w:t>结算合同总价款的30%。</w:t>
      </w:r>
    </w:p>
    <w:p w14:paraId="3C55AB87">
      <w:pPr>
        <w:pStyle w:val="101"/>
        <w:ind w:firstLine="482"/>
        <w:jc w:val="both"/>
        <w:rPr>
          <w:rFonts w:hint="default" w:asciiTheme="minorEastAsia" w:hAnsiTheme="minorEastAsia"/>
        </w:rPr>
      </w:pPr>
      <w:r>
        <w:rPr>
          <w:rFonts w:cs="仿宋" w:asciiTheme="minorEastAsia" w:hAnsiTheme="minorEastAsia"/>
          <w:sz w:val="24"/>
        </w:rPr>
        <w:t>2、乙方正常提供维保服务，达到服务标准且经甲方书面确认，于202</w:t>
      </w:r>
      <w:r>
        <w:rPr>
          <w:rFonts w:cs="仿宋" w:asciiTheme="minorEastAsia" w:hAnsiTheme="minorEastAsia"/>
          <w:sz w:val="24"/>
          <w:lang w:eastAsia="zh-CN"/>
        </w:rPr>
        <w:t>5</w:t>
      </w:r>
      <w:r>
        <w:rPr>
          <w:rFonts w:cs="仿宋" w:asciiTheme="minorEastAsia" w:hAnsiTheme="minorEastAsia"/>
          <w:sz w:val="24"/>
        </w:rPr>
        <w:t>年</w:t>
      </w:r>
      <w:r>
        <w:rPr>
          <w:rFonts w:cs="仿宋" w:asciiTheme="minorEastAsia" w:hAnsiTheme="minorEastAsia"/>
          <w:sz w:val="24"/>
          <w:lang w:eastAsia="zh-CN"/>
        </w:rPr>
        <w:t>11</w:t>
      </w:r>
      <w:r>
        <w:rPr>
          <w:rFonts w:cs="仿宋" w:asciiTheme="minorEastAsia" w:hAnsiTheme="minorEastAsia"/>
          <w:sz w:val="24"/>
        </w:rPr>
        <w:t>月乙方持当前付款金额的增值税普通发票，与甲方结算合同总价款的50%。</w:t>
      </w:r>
    </w:p>
    <w:p w14:paraId="3DA21DDB">
      <w:pPr>
        <w:pStyle w:val="101"/>
        <w:ind w:firstLine="482"/>
        <w:jc w:val="both"/>
        <w:rPr>
          <w:rFonts w:hint="default" w:cs="仿宋" w:asciiTheme="minorEastAsia" w:hAnsiTheme="minorEastAsia"/>
          <w:sz w:val="24"/>
          <w:lang w:eastAsia="zh-CN"/>
        </w:rPr>
      </w:pPr>
      <w:r>
        <w:rPr>
          <w:rFonts w:cs="仿宋" w:asciiTheme="minorEastAsia" w:hAnsiTheme="minorEastAsia"/>
          <w:sz w:val="24"/>
        </w:rPr>
        <w:t>3、</w:t>
      </w:r>
      <w:r>
        <w:rPr>
          <w:rFonts w:cs="仿宋" w:asciiTheme="minorEastAsia" w:hAnsiTheme="minorEastAsia"/>
          <w:sz w:val="24"/>
          <w:lang w:eastAsia="zh-CN"/>
        </w:rPr>
        <w:t>服务期满并经</w:t>
      </w:r>
      <w:r>
        <w:rPr>
          <w:rFonts w:cs="仿宋" w:asciiTheme="minorEastAsia" w:hAnsiTheme="minorEastAsia"/>
          <w:sz w:val="24"/>
        </w:rPr>
        <w:t>甲方</w:t>
      </w:r>
      <w:r>
        <w:rPr>
          <w:rFonts w:cs="仿宋" w:asciiTheme="minorEastAsia" w:hAnsiTheme="minorEastAsia"/>
          <w:sz w:val="24"/>
          <w:lang w:eastAsia="zh-CN"/>
        </w:rPr>
        <w:t>验收合格后，填写项目验收意见书（一式三份），验收通过之日起一个月内，乙方持项目验收意见书、当期付款金额的增值税普通发票，与</w:t>
      </w:r>
      <w:r>
        <w:rPr>
          <w:rFonts w:cs="仿宋" w:asciiTheme="minorEastAsia" w:hAnsiTheme="minorEastAsia"/>
          <w:sz w:val="24"/>
        </w:rPr>
        <w:t>甲方</w:t>
      </w:r>
      <w:r>
        <w:rPr>
          <w:rFonts w:cs="仿宋" w:asciiTheme="minorEastAsia" w:hAnsiTheme="minorEastAsia"/>
          <w:sz w:val="24"/>
          <w:lang w:eastAsia="zh-CN"/>
        </w:rPr>
        <w:t>结算合同当期应付款。当期付款金额=合同总价款的20%-扣款总金额（</w:t>
      </w:r>
      <w:r>
        <w:rPr>
          <w:rFonts w:cs="仿宋" w:asciiTheme="minorEastAsia" w:hAnsiTheme="minorEastAsia"/>
          <w:sz w:val="24"/>
        </w:rPr>
        <w:t>甲方</w:t>
      </w:r>
      <w:r>
        <w:rPr>
          <w:rFonts w:cs="仿宋" w:asciiTheme="minorEastAsia" w:hAnsiTheme="minorEastAsia"/>
          <w:sz w:val="24"/>
          <w:lang w:eastAsia="zh-CN"/>
        </w:rPr>
        <w:t>参照“合同附件：服务考核标准”进行扣款金额核算）。</w:t>
      </w:r>
    </w:p>
    <w:p w14:paraId="753D8776">
      <w:pPr>
        <w:pStyle w:val="101"/>
        <w:ind w:firstLine="482"/>
        <w:jc w:val="both"/>
        <w:rPr>
          <w:rFonts w:hint="default" w:asciiTheme="minorEastAsia" w:hAnsiTheme="minorEastAsia"/>
        </w:rPr>
      </w:pPr>
      <w:r>
        <w:rPr>
          <w:rFonts w:cs="仿宋" w:asciiTheme="minorEastAsia" w:hAnsiTheme="minorEastAsia"/>
          <w:sz w:val="24"/>
          <w:lang w:eastAsia="zh-CN"/>
        </w:rPr>
        <w:t>备注</w:t>
      </w:r>
      <w:r>
        <w:rPr>
          <w:rFonts w:hint="default" w:cs="仿宋" w:asciiTheme="minorEastAsia" w:hAnsiTheme="minorEastAsia"/>
          <w:sz w:val="24"/>
          <w:lang w:eastAsia="zh-CN"/>
        </w:rPr>
        <w:t>：</w:t>
      </w:r>
      <w:r>
        <w:rPr>
          <w:rFonts w:cs="仿宋" w:asciiTheme="minorEastAsia" w:hAnsiTheme="minorEastAsia"/>
          <w:sz w:val="24"/>
        </w:rPr>
        <w:t>上述正常提供维保服务是指由甲方指定的项目负责人对乙方正常服务状态进行签字确认。</w:t>
      </w:r>
    </w:p>
    <w:p w14:paraId="2B890AA8">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14:paraId="436A9DB5">
      <w:pPr>
        <w:wordWrap w:val="0"/>
        <w:ind w:firstLine="480" w:firstLineChars="200"/>
        <w:jc w:val="both"/>
      </w:pPr>
      <w:r>
        <w:t>名  称：_____________________</w:t>
      </w:r>
    </w:p>
    <w:p w14:paraId="6C30F7F3">
      <w:pPr>
        <w:wordWrap w:val="0"/>
        <w:ind w:firstLine="480" w:firstLineChars="200"/>
        <w:jc w:val="both"/>
      </w:pPr>
      <w:r>
        <w:t>开户行：_____________________</w:t>
      </w:r>
    </w:p>
    <w:p w14:paraId="2DA52542">
      <w:pPr>
        <w:wordWrap w:val="0"/>
        <w:ind w:firstLine="480" w:firstLineChars="200"/>
        <w:jc w:val="both"/>
      </w:pPr>
      <w:r>
        <w:t>账  号：_____________________</w:t>
      </w:r>
    </w:p>
    <w:p w14:paraId="339311BF">
      <w:pPr>
        <w:wordWrap w:val="0"/>
        <w:ind w:firstLine="480" w:firstLineChars="200"/>
        <w:jc w:val="both"/>
      </w:pPr>
      <w:r>
        <w:t>甲方仅认可上述指定账户并向该账户付款。否则甲方有权拒绝向指定账户之外的任何账户付款，并且由此导致的付款延迟责任由乙方承担。</w:t>
      </w:r>
    </w:p>
    <w:p w14:paraId="3739DF02">
      <w:pPr>
        <w:spacing w:before="230" w:beforeLines="50"/>
        <w:jc w:val="both"/>
        <w:rPr>
          <w:rFonts w:cs="Calibri Light"/>
          <w:b/>
        </w:rPr>
      </w:pPr>
      <w:r>
        <w:rPr>
          <w:rFonts w:cs="Calibri Light"/>
          <w:b/>
        </w:rPr>
        <w:t>四、双方的权利和义务</w:t>
      </w:r>
    </w:p>
    <w:p w14:paraId="1392980F">
      <w:pPr>
        <w:wordWrap w:val="0"/>
        <w:ind w:firstLine="480" w:firstLineChars="200"/>
        <w:jc w:val="both"/>
      </w:pPr>
      <w:r>
        <w:t>（一）甲方的权利和义务</w:t>
      </w:r>
    </w:p>
    <w:p w14:paraId="79E03902">
      <w:pPr>
        <w:wordWrap w:val="0"/>
        <w:ind w:firstLine="480" w:firstLineChars="200"/>
        <w:jc w:val="both"/>
      </w:pPr>
      <w:r>
        <w:rPr>
          <w:rFonts w:hint="eastAsia"/>
        </w:rPr>
        <w:t>1、为了保证甲方系统安全和保密要求，在项目服务期间，甲方指定服务地点和环境。</w:t>
      </w:r>
    </w:p>
    <w:p w14:paraId="29F7FF75">
      <w:pPr>
        <w:wordWrap w:val="0"/>
        <w:ind w:firstLine="480" w:firstLineChars="200"/>
        <w:jc w:val="both"/>
      </w:pPr>
      <w:r>
        <w:rPr>
          <w:rFonts w:hint="eastAsia"/>
        </w:rPr>
        <w:t>2、在乙方进行现场运行维护时，甲方应按乙方的要求提供相应的软件、硬件及网络环境，保证项目的顺利实施。</w:t>
      </w:r>
    </w:p>
    <w:p w14:paraId="2A0FFD8D">
      <w:pPr>
        <w:wordWrap w:val="0"/>
        <w:ind w:firstLine="480" w:firstLineChars="200"/>
        <w:jc w:val="both"/>
      </w:pPr>
      <w:r>
        <w:rPr>
          <w:rFonts w:hint="eastAsia"/>
        </w:rPr>
        <w:t>3、在甲方安全规定允许的前提下，为乙方的人员进入运维现场提供方便。</w:t>
      </w:r>
    </w:p>
    <w:p w14:paraId="427EE017">
      <w:pPr>
        <w:wordWrap w:val="0"/>
        <w:ind w:firstLine="480" w:firstLineChars="200"/>
        <w:jc w:val="both"/>
      </w:pPr>
      <w:r>
        <w:rPr>
          <w:rFonts w:hint="eastAsia"/>
        </w:rPr>
        <w:t>4、在条件允许的情况下，甲方可按照乙方的指导进行非现场运行维护操作。</w:t>
      </w:r>
    </w:p>
    <w:p w14:paraId="1867B257">
      <w:pPr>
        <w:wordWrap w:val="0"/>
        <w:ind w:firstLine="480" w:firstLineChars="200"/>
        <w:jc w:val="both"/>
      </w:pPr>
      <w:r>
        <w:rPr>
          <w:rFonts w:hint="eastAsia"/>
        </w:rPr>
        <w:t>5、甲方及时将本合同下维护范围内出现的故障情况通知乙方，乙方在指定期限内响应并作出故障处理方案。乙方应负责做好故障有关资料的记录工作。</w:t>
      </w:r>
    </w:p>
    <w:p w14:paraId="5D31813B">
      <w:pPr>
        <w:wordWrap w:val="0"/>
        <w:ind w:firstLine="480" w:firstLineChars="200"/>
        <w:jc w:val="both"/>
      </w:pPr>
      <w:r>
        <w:rPr>
          <w:rFonts w:hint="eastAsia"/>
        </w:rPr>
        <w:t>6、如不能证明甲方为故意，甲方对乙方工作人员的人身及财产的安全不负任何责任。因乙方或其工作人员的行为造成第三人损害的，与甲方无关，由乙方承担全部责任。</w:t>
      </w:r>
    </w:p>
    <w:p w14:paraId="4F37952A">
      <w:pPr>
        <w:wordWrap w:val="0"/>
        <w:ind w:firstLine="480" w:firstLineChars="200"/>
        <w:jc w:val="both"/>
      </w:pPr>
      <w:r>
        <w:rPr>
          <w:rFonts w:hint="eastAsia"/>
        </w:rPr>
        <w:t>7、甲方有权对乙方工程师的工作态度、技术水平进行监督和评判并提出相应的要求，乙方也会由独立的服务质量监督人员对甲方予以不定期的回访。</w:t>
      </w:r>
    </w:p>
    <w:p w14:paraId="22625935">
      <w:pPr>
        <w:wordWrap w:val="0"/>
        <w:ind w:firstLine="480" w:firstLineChars="200"/>
        <w:jc w:val="both"/>
      </w:pPr>
      <w:r>
        <w:rPr>
          <w:rFonts w:hint="eastAsia"/>
        </w:rPr>
        <w:t>8、甲方负责提供故障发生前后相关的系统或设备资料、数据和原始记录。</w:t>
      </w:r>
    </w:p>
    <w:p w14:paraId="3204FDC7">
      <w:pPr>
        <w:wordWrap w:val="0"/>
        <w:ind w:firstLine="480" w:firstLineChars="200"/>
        <w:jc w:val="both"/>
      </w:pPr>
      <w:r>
        <w:t>（二）乙方的权利和义务</w:t>
      </w:r>
    </w:p>
    <w:p w14:paraId="048885A0">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1、乙方确保提供运维服务的系统能够稳定安全的运行。保证系统的技术指标先进、质量性能可靠、配置合理，全面满足招标文件要求。</w:t>
      </w:r>
    </w:p>
    <w:p w14:paraId="047B05CC">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2、按照合同要求在规定时间内提供专业化技术人员在甲方现场驻守，确保系统正常运行。</w:t>
      </w:r>
    </w:p>
    <w:p w14:paraId="7E9A1F33">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3、乙方为甲方提供定期巡检，做好预防性维护。</w:t>
      </w:r>
    </w:p>
    <w:p w14:paraId="79ABDB4A">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4、乙方进入甲方机房，必须经甲方同意后，并由甲方或项目监理人员陪同，同时遵守机房的各种规定。</w:t>
      </w:r>
    </w:p>
    <w:p w14:paraId="51089826">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5、乙方在甲方机房操作期间必须由甲方或项目监理人员进行现场监督，所进行的操作必须经过甲方同意；工作结束后，需经甲方、乙方双方现场人员检查系统，书面确认操作内容和操作达到目的，且系统运行正常后方可离开现场。</w:t>
      </w:r>
    </w:p>
    <w:p w14:paraId="51C1C3CB">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6、乙方保证在甲方现场的工作人员严格按照甲方现场管理要求和工作纪律行事。</w:t>
      </w:r>
    </w:p>
    <w:p w14:paraId="1181225C">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7、乙方在接到甲方紧急事故报告后，必须赶乘最快交通工具，在2小时内到达现场并进行事故处理。</w:t>
      </w:r>
    </w:p>
    <w:p w14:paraId="220FCE35">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8、乙方应按甲方要求如期向甲方交付相关文档，如定期的巡检报告、服务报告、现场服务单等。</w:t>
      </w:r>
    </w:p>
    <w:p w14:paraId="5366963A">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9、乙方在服务过程中发现非本合同服务范围内的相关问题导致系统故障，应及时向甲方汇报，在获得甲方书面的许可和费用确认后，双方签订补充协议，明确该故障问题的维护内容、费用标准及期限等事项。乙方应向甲方提供不低于本合同约定服务范围内软件的运行维护服务。</w:t>
      </w:r>
    </w:p>
    <w:p w14:paraId="219E1A25">
      <w:pPr>
        <w:pStyle w:val="42"/>
        <w:spacing w:line="240" w:lineRule="auto"/>
        <w:ind w:firstLine="480" w:firstLineChars="200"/>
        <w:jc w:val="both"/>
        <w:rPr>
          <w:rFonts w:asciiTheme="minorHAnsi" w:hAnsiTheme="minorHAnsi" w:eastAsiaTheme="minorEastAsia"/>
        </w:rPr>
      </w:pPr>
      <w:r>
        <w:rPr>
          <w:rFonts w:hint="eastAsia" w:asciiTheme="minorHAnsi" w:hAnsiTheme="minorHAnsi" w:eastAsiaTheme="minorEastAsia"/>
          <w:sz w:val="24"/>
          <w:szCs w:val="24"/>
        </w:rPr>
        <w:t>10、乙方提供运行维护服务期间，应当保证甲方设备、网络、应用系统及数据的安全，并对甲方的所有相关数据及技术信息进行保密，不得外泄。</w:t>
      </w:r>
    </w:p>
    <w:p w14:paraId="51FDC9A9">
      <w:pPr>
        <w:spacing w:before="230" w:beforeLines="50"/>
        <w:jc w:val="both"/>
        <w:rPr>
          <w:rFonts w:cs="Calibri Light"/>
          <w:b/>
        </w:rPr>
      </w:pPr>
      <w:r>
        <w:rPr>
          <w:rFonts w:cs="Calibri Light"/>
          <w:b/>
        </w:rPr>
        <w:t>五、</w:t>
      </w:r>
      <w:r>
        <w:rPr>
          <w:rFonts w:hint="eastAsia" w:cs="Calibri Light"/>
          <w:b/>
        </w:rPr>
        <w:t>质量保证</w:t>
      </w:r>
    </w:p>
    <w:p w14:paraId="102E3443">
      <w:pPr>
        <w:ind w:firstLine="567"/>
      </w:pPr>
      <w:r>
        <w:rPr>
          <w:rFonts w:hint="eastAsia"/>
        </w:rPr>
        <w:t>（一）保证提供的系统运维方案科学、可行，人员配置合理，全面满足各项服务要求。系统运维符合国家有关服务规范要求，确保系统达到最佳运行状态。</w:t>
      </w:r>
    </w:p>
    <w:p w14:paraId="579795FA">
      <w:pPr>
        <w:ind w:firstLine="567"/>
      </w:pPr>
      <w:r>
        <w:rPr>
          <w:rFonts w:hint="eastAsia"/>
        </w:rPr>
        <w:t>（二）有专门的运维小组，分工明确（应有具体成员名单，包括姓名、所在公司、职务、职称、工作职责、联系方式等）。乙方必须提供投标文件中承诺的技术服务团队，该团队在服务期间未经甲方书面同意不得从事其他任何工作。</w:t>
      </w:r>
    </w:p>
    <w:p w14:paraId="6D617507">
      <w:pPr>
        <w:ind w:firstLine="567"/>
      </w:pPr>
      <w:r>
        <w:rPr>
          <w:rFonts w:hint="eastAsia"/>
        </w:rPr>
        <w:t>（三）有各类突发事件的应急预案，且具有可操作性，并提交甲方审核通过。</w:t>
      </w:r>
    </w:p>
    <w:p w14:paraId="4ED38C3F">
      <w:pPr>
        <w:ind w:firstLine="567"/>
      </w:pPr>
      <w:r>
        <w:rPr>
          <w:rFonts w:hint="eastAsia"/>
        </w:rPr>
        <w:t>（四）运维服务人员能满足要求并完成服务任务。乙方运维服务过程中使用的软件系统，若发生侵权而产生的一切后果，由乙方负责，甲方保留索赔权力。</w:t>
      </w:r>
    </w:p>
    <w:p w14:paraId="24B82CB9">
      <w:pPr>
        <w:ind w:firstLine="567"/>
      </w:pPr>
      <w:r>
        <w:rPr>
          <w:rFonts w:hint="eastAsia"/>
        </w:rPr>
        <w:t>（五）乙方承诺，因乙方原因造成的服务期内本项目涉及的所有人员伤亡、财产损失等安全责任均由乙方承担。</w:t>
      </w:r>
    </w:p>
    <w:p w14:paraId="489874E5">
      <w:pPr>
        <w:ind w:firstLine="567"/>
      </w:pPr>
      <w:r>
        <w:rPr>
          <w:rFonts w:hint="eastAsia"/>
        </w:rPr>
        <w:t>（六）运行维护的系统软件技术成果的知识产权归甲方所有。</w:t>
      </w:r>
    </w:p>
    <w:p w14:paraId="1BC95E2B">
      <w:pPr>
        <w:ind w:firstLine="567"/>
      </w:pPr>
      <w:r>
        <w:rPr>
          <w:rFonts w:hint="eastAsia"/>
        </w:rPr>
        <w:t>（七）乙方在甲方提供的软件源代码的基础上进行运行维护，确保软件质量，并负责软件运行维护、测试所需的房屋场地、软硬件设备、通信线路等运行所依赖的环境。</w:t>
      </w:r>
    </w:p>
    <w:p w14:paraId="172E5D75">
      <w:pPr>
        <w:spacing w:before="230" w:beforeLines="50"/>
        <w:jc w:val="both"/>
        <w:rPr>
          <w:rFonts w:cs="Calibri Light"/>
          <w:b/>
        </w:rPr>
      </w:pPr>
      <w:r>
        <w:rPr>
          <w:rFonts w:hint="eastAsia" w:cs="Calibri Light"/>
          <w:b/>
        </w:rPr>
        <w:t>六</w:t>
      </w:r>
      <w:r>
        <w:rPr>
          <w:rFonts w:cs="Calibri Light"/>
          <w:b/>
        </w:rPr>
        <w:t>、知识产权及承诺</w:t>
      </w:r>
    </w:p>
    <w:p w14:paraId="68C41011">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（一）乙方保证所提供的服务或其任何一部分均不会侵犯任何第三方的专利权、商标权、著作权或其他合法权益，否则视为乙方违约，由此产生的一切损失由乙方承担。</w:t>
      </w:r>
    </w:p>
    <w:p w14:paraId="44A94FB7">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14:paraId="2E63FCC5">
      <w:pPr>
        <w:spacing w:before="230" w:beforeLines="50"/>
        <w:jc w:val="both"/>
        <w:rPr>
          <w:rFonts w:cs="Calibri Light"/>
          <w:b/>
        </w:rPr>
      </w:pPr>
      <w:r>
        <w:rPr>
          <w:rFonts w:hint="eastAsia" w:cs="Calibri Light"/>
          <w:b/>
        </w:rPr>
        <w:t>七</w:t>
      </w:r>
      <w:r>
        <w:rPr>
          <w:rFonts w:cs="Calibri Light"/>
          <w:b/>
        </w:rPr>
        <w:t>、验收</w:t>
      </w:r>
    </w:p>
    <w:p w14:paraId="4CE4CA83">
      <w:pPr>
        <w:wordWrap w:val="0"/>
        <w:ind w:firstLine="480" w:firstLineChars="200"/>
        <w:jc w:val="both"/>
      </w:pPr>
      <w:r>
        <w:t>（一）服务期满后，甲方根据磋商文件和响应文件及相关文件，进行验收，确认服务标准和服务方式是否达到采购要求。</w:t>
      </w:r>
    </w:p>
    <w:p w14:paraId="0039DF3B">
      <w:pPr>
        <w:wordWrap w:val="0"/>
        <w:ind w:firstLine="480" w:firstLineChars="200"/>
        <w:jc w:val="both"/>
      </w:pPr>
      <w:r>
        <w:t>（二）甲方组织乙方（必要时请有关专家）进行验收，验收合格后，填写政府采购项目验收单（一式</w:t>
      </w:r>
      <w:r>
        <w:rPr>
          <w:rFonts w:hint="eastAsia"/>
        </w:rPr>
        <w:t>三</w:t>
      </w:r>
      <w:r>
        <w:t>份）作为对</w:t>
      </w:r>
      <w:r>
        <w:rPr>
          <w:rFonts w:hint="eastAsia"/>
        </w:rPr>
        <w:t>运维服务的</w:t>
      </w:r>
      <w:r>
        <w:t>最终认可</w:t>
      </w:r>
      <w:r>
        <w:rPr>
          <w:rFonts w:hint="eastAsia"/>
        </w:rPr>
        <w:t>，乙方未在甲方指定的时间参与验收的，视为认可甲方的验收结果。</w:t>
      </w:r>
    </w:p>
    <w:p w14:paraId="47359387">
      <w:pPr>
        <w:wordWrap w:val="0"/>
        <w:ind w:firstLine="480" w:firstLineChars="200"/>
        <w:jc w:val="both"/>
      </w:pPr>
      <w:r>
        <w:t>（三）乙方向甲方提供服务过程中的所有资料，以便甲方日后管理。</w:t>
      </w:r>
    </w:p>
    <w:p w14:paraId="6D698B9E">
      <w:pPr>
        <w:wordWrap w:val="0"/>
        <w:ind w:firstLine="480" w:firstLineChars="200"/>
        <w:jc w:val="both"/>
      </w:pPr>
      <w:r>
        <w:t>（四）验收依据：</w:t>
      </w:r>
    </w:p>
    <w:p w14:paraId="051E1201">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1．磋商文件、响应文件、澄清表（函）；</w:t>
      </w:r>
    </w:p>
    <w:p w14:paraId="6DA56F86">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2．本合同及附件文本；</w:t>
      </w:r>
    </w:p>
    <w:p w14:paraId="7EB46C99">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w:t>
      </w:r>
      <w:r>
        <w:rPr>
          <w:rFonts w:hint="eastAsia" w:asciiTheme="minorHAnsi" w:hAnsiTheme="minorHAnsi" w:eastAsiaTheme="minorEastAsia"/>
          <w:sz w:val="24"/>
          <w:szCs w:val="24"/>
        </w:rPr>
        <w:t>合同签订时国家及行业现行的标准和技术规范，合同履行过程中相关标准和规范发生变化的，按照最新的标准及规范执行</w:t>
      </w:r>
      <w:r>
        <w:rPr>
          <w:rFonts w:asciiTheme="minorHAnsi" w:hAnsiTheme="minorHAnsi" w:eastAsiaTheme="minorEastAsia"/>
          <w:sz w:val="24"/>
          <w:szCs w:val="24"/>
        </w:rPr>
        <w:t>。</w:t>
      </w:r>
    </w:p>
    <w:p w14:paraId="6AB732C6">
      <w:pPr>
        <w:spacing w:before="230" w:beforeLines="50"/>
        <w:jc w:val="both"/>
        <w:rPr>
          <w:rFonts w:cs="Calibri Light"/>
          <w:b/>
        </w:rPr>
      </w:pPr>
      <w:r>
        <w:rPr>
          <w:rFonts w:hint="eastAsia" w:cs="Calibri Light"/>
          <w:b/>
        </w:rPr>
        <w:t>八</w:t>
      </w:r>
      <w:r>
        <w:rPr>
          <w:rFonts w:cs="Calibri Light"/>
          <w:b/>
        </w:rPr>
        <w:t>、违约责任</w:t>
      </w:r>
    </w:p>
    <w:p w14:paraId="1123C64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24794371">
      <w:pPr>
        <w:ind w:firstLine="567"/>
        <w:jc w:val="both"/>
      </w:pPr>
      <w:r>
        <w:t>（二）</w:t>
      </w:r>
      <w:r>
        <w:rPr>
          <w:rFonts w:hint="eastAsia"/>
        </w:rPr>
        <w:t>出现下列情形之一的，甲方有权要求中标乙方按照合同总价款的20%承担违约责任，如造成甲方的损失大于违约金的，还应承担赔偿责任：</w:t>
      </w:r>
    </w:p>
    <w:p w14:paraId="5B1D16BF">
      <w:pPr>
        <w:ind w:firstLine="480" w:firstLineChars="200"/>
        <w:jc w:val="both"/>
      </w:pPr>
      <w:r>
        <w:rPr>
          <w:rFonts w:hint="eastAsia"/>
        </w:rPr>
        <w:t>1、乙方逾期不实施项目工作计划，但逾期不足10天的；</w:t>
      </w:r>
    </w:p>
    <w:p w14:paraId="05FE8F48">
      <w:pPr>
        <w:ind w:firstLine="480" w:firstLineChars="200"/>
        <w:jc w:val="both"/>
      </w:pPr>
      <w:r>
        <w:rPr>
          <w:rFonts w:hint="eastAsia"/>
        </w:rPr>
        <w:t>2、乙方未按照投标文件配置设施人员的；</w:t>
      </w:r>
    </w:p>
    <w:p w14:paraId="11CB743B">
      <w:pPr>
        <w:ind w:firstLine="480" w:firstLineChars="200"/>
        <w:jc w:val="both"/>
      </w:pPr>
      <w:r>
        <w:rPr>
          <w:rFonts w:hint="eastAsia"/>
        </w:rPr>
        <w:t>3、乙方没有按照合同约定或甲方要求时间完成项目的；</w:t>
      </w:r>
    </w:p>
    <w:p w14:paraId="4536C251">
      <w:pPr>
        <w:ind w:firstLine="480" w:firstLineChars="200"/>
        <w:jc w:val="both"/>
      </w:pPr>
      <w:r>
        <w:rPr>
          <w:rFonts w:hint="eastAsia"/>
        </w:rPr>
        <w:t>4、乙方完成并向甲方提交的项目成果未能通过验收的；</w:t>
      </w:r>
    </w:p>
    <w:p w14:paraId="60C970D2">
      <w:pPr>
        <w:ind w:firstLine="480" w:firstLineChars="200"/>
        <w:jc w:val="both"/>
      </w:pPr>
      <w:r>
        <w:rPr>
          <w:rFonts w:hint="eastAsia"/>
        </w:rPr>
        <w:t>5、乙方或乙方的工作人员违反保密义务的；</w:t>
      </w:r>
    </w:p>
    <w:p w14:paraId="2AFA0880">
      <w:pPr>
        <w:ind w:firstLine="480" w:firstLineChars="200"/>
        <w:jc w:val="both"/>
      </w:pPr>
      <w:r>
        <w:rPr>
          <w:rFonts w:hint="eastAsia"/>
        </w:rPr>
        <w:t>6、乙方提供的技术侵犯他人合法权益的；</w:t>
      </w:r>
    </w:p>
    <w:p w14:paraId="5524D2AB">
      <w:pPr>
        <w:ind w:firstLine="480" w:firstLineChars="200"/>
        <w:jc w:val="both"/>
      </w:pPr>
      <w:r>
        <w:rPr>
          <w:rFonts w:hint="eastAsia"/>
        </w:rPr>
        <w:t>7、乙方未能在合同约定的时间内达到现场处理故障，次数超过3次的；</w:t>
      </w:r>
    </w:p>
    <w:p w14:paraId="00B2BE7F">
      <w:pPr>
        <w:ind w:firstLine="480" w:firstLineChars="200"/>
        <w:jc w:val="both"/>
      </w:pPr>
      <w:r>
        <w:rPr>
          <w:rFonts w:hint="eastAsia"/>
        </w:rPr>
        <w:t>8、违反甲方相关管理规定，经甲方提出整改要求且拒不整改的；</w:t>
      </w:r>
    </w:p>
    <w:p w14:paraId="6442AF7A">
      <w:pPr>
        <w:ind w:firstLine="480" w:firstLineChars="200"/>
        <w:jc w:val="both"/>
      </w:pPr>
      <w:r>
        <w:rPr>
          <w:rFonts w:hint="eastAsia"/>
        </w:rPr>
        <w:t>9、乙方在服务过程中未发现问题或未按照合同及附件要求进行服务，直接或间接造成系统或设备故障的；</w:t>
      </w:r>
    </w:p>
    <w:p w14:paraId="6D52D501">
      <w:pPr>
        <w:ind w:firstLine="480" w:firstLineChars="200"/>
        <w:jc w:val="both"/>
      </w:pPr>
      <w:r>
        <w:rPr>
          <w:rFonts w:hint="eastAsia"/>
        </w:rPr>
        <w:t>10、乙方违反的合同义务的其他行为的。</w:t>
      </w:r>
    </w:p>
    <w:p w14:paraId="1DC26C12">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w:t>
      </w:r>
      <w:r>
        <w:rPr>
          <w:rFonts w:hint="eastAsia" w:asciiTheme="minorHAnsi" w:hAnsiTheme="minorHAnsi" w:eastAsiaTheme="minorEastAsia"/>
          <w:sz w:val="24"/>
          <w:szCs w:val="24"/>
        </w:rPr>
        <w:t>甲方逾期付款的，中标乙方有权要求甲方以当期应付未付款项为基数，每逾期一日按照日万分之五支付违约金，但不得超过当期应付未付款项的10%。</w:t>
      </w:r>
    </w:p>
    <w:p w14:paraId="46B8A6CF">
      <w:pPr>
        <w:ind w:firstLine="480" w:firstLineChars="200"/>
      </w:pPr>
      <w:r>
        <w:rPr>
          <w:rFonts w:hint="eastAsia"/>
        </w:rPr>
        <w:t>（四）乙方出现下列情形之一的，甲方有权解除合同，乙方除应返还甲方已支付的全部价款外，还应按照合同总金额30%的向甲方承担违约责任，如造成甲方的损失大于违约金的，还应承担赔偿责任：</w:t>
      </w:r>
    </w:p>
    <w:p w14:paraId="34E43CD9">
      <w:pPr>
        <w:ind w:firstLine="480" w:firstLineChars="200"/>
      </w:pPr>
      <w:r>
        <w:rPr>
          <w:rFonts w:hint="eastAsia"/>
        </w:rPr>
        <w:t>1、未经甲方书面同意，擅自将合同项下全部或部分义务转包或分包第三人的；</w:t>
      </w:r>
    </w:p>
    <w:p w14:paraId="32FF2F05">
      <w:pPr>
        <w:ind w:firstLine="480" w:firstLineChars="200"/>
      </w:pPr>
      <w:r>
        <w:rPr>
          <w:rFonts w:hint="eastAsia"/>
        </w:rPr>
        <w:t>2、乙方提供的技术服务致使甲方设备、系统损坏的；</w:t>
      </w:r>
    </w:p>
    <w:p w14:paraId="02BB92A9">
      <w:pPr>
        <w:ind w:firstLine="480" w:firstLineChars="200"/>
      </w:pPr>
      <w:r>
        <w:rPr>
          <w:rFonts w:hint="eastAsia"/>
        </w:rPr>
        <w:t>3、乙方未按相关条款及附件约定的时间或条件对软件进行修改、升级的，或进行修改、升级的软件经测试验收不合格，又未在甲方指定的时间内负责修改或测试的；</w:t>
      </w:r>
    </w:p>
    <w:p w14:paraId="70F60794">
      <w:pPr>
        <w:ind w:firstLine="480" w:firstLineChars="200"/>
      </w:pPr>
      <w:r>
        <w:rPr>
          <w:rFonts w:hint="eastAsia"/>
        </w:rPr>
        <w:t>4、乙方提供的技术服务侵犯第三人权益的，且未能在甲方指定的时间内解决的；</w:t>
      </w:r>
    </w:p>
    <w:p w14:paraId="298D9CB9">
      <w:pPr>
        <w:ind w:firstLine="480" w:firstLineChars="200"/>
      </w:pPr>
      <w:r>
        <w:rPr>
          <w:rFonts w:hint="eastAsia"/>
        </w:rPr>
        <w:t>5、乙方未按照投标文件配置设施人员或者未经甲方书面许可擅自变更人员或开发团队的，且未在甲方指定的时间内改正的；</w:t>
      </w:r>
    </w:p>
    <w:p w14:paraId="38C23B9A">
      <w:pPr>
        <w:ind w:firstLine="480" w:firstLineChars="200"/>
      </w:pPr>
      <w:r>
        <w:rPr>
          <w:rFonts w:hint="eastAsia"/>
        </w:rPr>
        <w:t>6、乙方逾期不实施项目工作计划，且逾期超过10天；</w:t>
      </w:r>
    </w:p>
    <w:p w14:paraId="0E7546FC">
      <w:pPr>
        <w:ind w:firstLine="480" w:firstLineChars="200"/>
      </w:pPr>
      <w:r>
        <w:rPr>
          <w:rFonts w:hint="eastAsia"/>
        </w:rPr>
        <w:t>7、违反甲方相关管理规定，经甲方提出整改要求且拒不整改，并造成具体的损害后果的；</w:t>
      </w:r>
    </w:p>
    <w:p w14:paraId="4430E253">
      <w:pPr>
        <w:ind w:firstLine="480" w:firstLineChars="200"/>
      </w:pPr>
      <w:r>
        <w:rPr>
          <w:rFonts w:hint="eastAsia"/>
        </w:rPr>
        <w:t>8、乙方在服务过程中未发现问题或未按照合同及附件要求进行服务，直接或间接造成系统或设备故障，且未及时采取必要措施或未及时报备的；</w:t>
      </w:r>
    </w:p>
    <w:p w14:paraId="22676D82">
      <w:pPr>
        <w:ind w:firstLine="480" w:firstLineChars="200"/>
      </w:pPr>
      <w:r>
        <w:rPr>
          <w:rFonts w:hint="eastAsia"/>
        </w:rPr>
        <w:t>9、其他严重违反本合同约定的行为。</w:t>
      </w:r>
    </w:p>
    <w:p w14:paraId="74E0E885">
      <w:pPr>
        <w:ind w:firstLine="480" w:firstLineChars="200"/>
      </w:pPr>
      <w:r>
        <w:rPr>
          <w:rFonts w:hint="eastAsia"/>
        </w:rPr>
        <w:t>合同解除异议期为一个月，自收到解除通知之日起计算。</w:t>
      </w:r>
    </w:p>
    <w:p w14:paraId="73451D6A">
      <w:pPr>
        <w:ind w:firstLine="480" w:firstLineChars="200"/>
      </w:pPr>
      <w:r>
        <w:rPr>
          <w:rFonts w:hint="eastAsia"/>
        </w:rPr>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3D866950">
      <w:pPr>
        <w:spacing w:before="230" w:beforeLines="50"/>
        <w:jc w:val="both"/>
        <w:rPr>
          <w:rFonts w:cs="Calibri Light"/>
          <w:b/>
        </w:rPr>
      </w:pPr>
      <w:r>
        <w:rPr>
          <w:rFonts w:hint="eastAsia" w:cs="Calibri Light"/>
          <w:b/>
        </w:rPr>
        <w:t>九</w:t>
      </w:r>
      <w:r>
        <w:rPr>
          <w:rFonts w:cs="Calibri Light"/>
          <w:b/>
        </w:rPr>
        <w:t>、合同的变更和修改、中止和终止</w:t>
      </w:r>
    </w:p>
    <w:p w14:paraId="6882FB0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03E42025">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14:paraId="61B1E98E">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14:paraId="0159DCAF">
      <w:pPr>
        <w:spacing w:before="230" w:beforeLines="50"/>
        <w:jc w:val="both"/>
        <w:rPr>
          <w:rFonts w:cs="Calibri Light"/>
          <w:b/>
        </w:rPr>
      </w:pPr>
      <w:r>
        <w:rPr>
          <w:rFonts w:hint="eastAsia" w:cs="Calibri Light"/>
          <w:b/>
        </w:rPr>
        <w:t>十</w:t>
      </w:r>
      <w:r>
        <w:rPr>
          <w:rFonts w:cs="Calibri Light"/>
          <w:b/>
        </w:rPr>
        <w:t>、保密条款</w:t>
      </w:r>
    </w:p>
    <w:p w14:paraId="6F73CEDB">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w:t>
      </w:r>
      <w:r>
        <w:rPr>
          <w:rFonts w:hint="eastAsia" w:asciiTheme="minorHAnsi" w:hAnsiTheme="minorHAnsi" w:eastAsiaTheme="minorEastAsia"/>
          <w:sz w:val="24"/>
          <w:szCs w:val="24"/>
        </w:rPr>
        <w:t>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r>
        <w:rPr>
          <w:rFonts w:asciiTheme="minorHAnsi" w:hAnsiTheme="minorHAnsi" w:eastAsiaTheme="minorEastAsia"/>
          <w:sz w:val="24"/>
          <w:szCs w:val="24"/>
        </w:rPr>
        <w:t>。</w:t>
      </w:r>
    </w:p>
    <w:p w14:paraId="48D3AAFC">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w:t>
      </w:r>
      <w:r>
        <w:rPr>
          <w:rFonts w:hint="eastAsia" w:asciiTheme="minorHAnsi" w:hAnsiTheme="minorHAnsi" w:eastAsiaTheme="minorEastAsia"/>
          <w:sz w:val="24"/>
          <w:szCs w:val="24"/>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r>
        <w:rPr>
          <w:rFonts w:asciiTheme="minorHAnsi" w:hAnsiTheme="minorHAnsi" w:eastAsiaTheme="minorEastAsia"/>
          <w:sz w:val="24"/>
          <w:szCs w:val="24"/>
        </w:rPr>
        <w:t>。</w:t>
      </w:r>
    </w:p>
    <w:p w14:paraId="7B535B7D">
      <w:pPr>
        <w:ind w:firstLine="480" w:firstLineChars="200"/>
      </w:pPr>
      <w:r>
        <w:rPr>
          <w:rFonts w:hint="eastAsia"/>
        </w:rPr>
        <w:t>（三）本条款为独立条款，本合同的无效、变更、解除和终止均不影响本条款的效力。</w:t>
      </w:r>
    </w:p>
    <w:p w14:paraId="47E9B15D">
      <w:pPr>
        <w:ind w:firstLine="480" w:firstLineChars="200"/>
      </w:pPr>
      <w:r>
        <w:rPr>
          <w:rFonts w:hint="eastAsia"/>
        </w:rPr>
        <w:t>（四）保密期限：长期。</w:t>
      </w:r>
    </w:p>
    <w:p w14:paraId="6B460670">
      <w:pPr>
        <w:ind w:firstLine="480" w:firstLineChars="200"/>
      </w:pPr>
      <w:r>
        <w:rPr>
          <w:rFonts w:hint="eastAsia"/>
        </w:rPr>
        <w:t>（五）保密费用已包含本合同总价款内，甲方不再另行向乙方支付保密费用。</w:t>
      </w:r>
    </w:p>
    <w:p w14:paraId="7871E5BA">
      <w:pPr>
        <w:spacing w:before="230" w:beforeLines="50"/>
        <w:jc w:val="both"/>
        <w:rPr>
          <w:rFonts w:cs="Calibri Light"/>
          <w:b/>
        </w:rPr>
      </w:pPr>
      <w:r>
        <w:rPr>
          <w:rFonts w:cs="Calibri Light"/>
          <w:b/>
        </w:rPr>
        <w:t>十</w:t>
      </w:r>
      <w:r>
        <w:rPr>
          <w:rFonts w:hint="eastAsia" w:cs="Calibri Light"/>
          <w:b/>
        </w:rPr>
        <w:t>一</w:t>
      </w:r>
      <w:r>
        <w:rPr>
          <w:rFonts w:cs="Calibri Light"/>
          <w:b/>
        </w:rPr>
        <w:t>、</w:t>
      </w:r>
      <w:r>
        <w:rPr>
          <w:rFonts w:hint="eastAsia" w:cs="Calibri Light"/>
          <w:b/>
        </w:rPr>
        <w:t>送达</w:t>
      </w:r>
    </w:p>
    <w:p w14:paraId="44871844">
      <w:pPr>
        <w:ind w:firstLine="567"/>
      </w:pPr>
      <w:r>
        <w:rPr>
          <w:rFonts w:hint="eastAsia"/>
        </w:rPr>
        <w:t>（一）双方因履行本合同或与本合同有关的一切通知都必须按照本合同中的地址，以书面信函或者传真或者电子邮件方式进行。如采用书面信函形式，应使用挂号信或者具有良好信誉的特快专递送达，接受方签收挂号信或特快专递的时间（以邮局或快递公司系统记录为准）为通知送达时间；如使用传真方式，传真到达接受方指定传真系统的时间为通知送达时间；如使用电子邮件方式，电子邮件到达接受方指定电子邮箱的时间为通知送达时间。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0DBAC0BF">
      <w:pPr>
        <w:ind w:firstLine="480" w:firstLineChars="200"/>
      </w:pPr>
      <w:r>
        <w:rPr>
          <w:rFonts w:hint="eastAsia"/>
        </w:rPr>
        <w:t>（二）甲方指定联系人为：      ，联系电话为：            ，电子邮箱为：               ，邮寄地址为：                  。</w:t>
      </w:r>
    </w:p>
    <w:p w14:paraId="50812345">
      <w:pPr>
        <w:ind w:firstLine="567"/>
      </w:pPr>
      <w:r>
        <w:rPr>
          <w:rFonts w:hint="eastAsia"/>
        </w:rPr>
        <w:t>（三）乙方指定联系人为：   ，联系电话为：            ，电子邮箱为：            ，邮寄地址为：            。</w:t>
      </w:r>
    </w:p>
    <w:p w14:paraId="0532FDA3">
      <w:pPr>
        <w:spacing w:before="230" w:beforeLines="50"/>
        <w:jc w:val="both"/>
        <w:rPr>
          <w:rFonts w:cs="Calibri Light"/>
          <w:b/>
        </w:rPr>
      </w:pPr>
      <w:r>
        <w:rPr>
          <w:rFonts w:hint="eastAsia" w:cs="Calibri Light"/>
          <w:b/>
        </w:rPr>
        <w:t>十二</w:t>
      </w:r>
      <w:r>
        <w:rPr>
          <w:rFonts w:cs="Calibri Light"/>
          <w:b/>
        </w:rPr>
        <w:t>、争议解决</w:t>
      </w:r>
    </w:p>
    <w:p w14:paraId="10391B74">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14:paraId="79DEDE52">
      <w:pPr>
        <w:wordWrap w:val="0"/>
        <w:ind w:firstLine="480" w:firstLineChars="200"/>
        <w:jc w:val="both"/>
      </w:pPr>
      <w:r>
        <w:t>（二）凡与本合同有关的一切争议，双方应通过友好协商解决。如协商后仍不能达成协议时，按下列第2种方式解决。</w:t>
      </w:r>
    </w:p>
    <w:p w14:paraId="7603DDEE">
      <w:pPr>
        <w:wordWrap w:val="0"/>
        <w:ind w:firstLine="480" w:firstLineChars="200"/>
        <w:jc w:val="both"/>
      </w:pPr>
      <w:r>
        <w:t>1．提交西安仲裁委员会。</w:t>
      </w:r>
    </w:p>
    <w:p w14:paraId="0D65F444">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14:paraId="1B589179">
      <w:pPr>
        <w:ind w:firstLine="480" w:firstLineChars="200"/>
      </w:pPr>
      <w:r>
        <w:rPr>
          <w:rFonts w:hint="eastAsia"/>
        </w:rPr>
        <w:t>（三）本条款为独立条款，本合同的无效、变更、解除和终止均不影响本条款的效力。</w:t>
      </w:r>
    </w:p>
    <w:p w14:paraId="2FD18E59">
      <w:pPr>
        <w:ind w:firstLine="480" w:firstLineChars="200"/>
      </w:pPr>
      <w:r>
        <w:rPr>
          <w:rFonts w:hint="eastAsia"/>
        </w:rPr>
        <w:t>（四）本合同履行过程中，文件解释顺序为正式合同、招标文件、澄清函、投标文件、国家或行业标准。</w:t>
      </w:r>
    </w:p>
    <w:p w14:paraId="154EB970">
      <w:pPr>
        <w:spacing w:before="230" w:beforeLines="50"/>
        <w:jc w:val="both"/>
        <w:rPr>
          <w:rFonts w:cs="Calibri Light"/>
          <w:b/>
        </w:rPr>
      </w:pPr>
      <w:r>
        <w:rPr>
          <w:rFonts w:cs="Calibri Light"/>
          <w:b/>
        </w:rPr>
        <w:t>十</w:t>
      </w:r>
      <w:r>
        <w:rPr>
          <w:rFonts w:hint="eastAsia" w:cs="Calibri Light"/>
          <w:b/>
        </w:rPr>
        <w:t>三</w:t>
      </w:r>
      <w:r>
        <w:rPr>
          <w:rFonts w:cs="Calibri Light"/>
          <w:b/>
        </w:rPr>
        <w:t>、</w:t>
      </w:r>
      <w:r>
        <w:rPr>
          <w:rFonts w:hint="eastAsia" w:cs="Calibri Light"/>
          <w:b/>
        </w:rPr>
        <w:t>合同变更</w:t>
      </w:r>
    </w:p>
    <w:p w14:paraId="082CADA5">
      <w:pPr>
        <w:ind w:firstLine="567"/>
      </w:pPr>
      <w:r>
        <w:rPr>
          <w:rFonts w:hint="eastAsia"/>
        </w:rPr>
        <w:t>在合同的执行期内，双方均不得随意变更或解除合同。如因项目需求情况发生变化，需要项目变更的，应双方协商后签订项目变更协议，并经鉴证方书面确认后生效（如双方变更事项不能达成一致的，仍按原合同履行，否则视为违约）。</w:t>
      </w:r>
    </w:p>
    <w:p w14:paraId="350E5002">
      <w:pPr>
        <w:rPr>
          <w:rFonts w:cs="Calibri Light"/>
          <w:b/>
        </w:rPr>
      </w:pPr>
      <w:r>
        <w:rPr>
          <w:rFonts w:hint="eastAsia" w:cs="Calibri Light"/>
          <w:b/>
        </w:rPr>
        <w:t>十四、合同生效及其他</w:t>
      </w:r>
    </w:p>
    <w:p w14:paraId="012037FE">
      <w:pPr>
        <w:ind w:firstLine="567"/>
      </w:pPr>
      <w:r>
        <w:rPr>
          <w:rFonts w:hint="eastAsia"/>
        </w:rPr>
        <w:t>1、本合同壹式陆份，甲方肆份，乙方贰份，合同自甲方、乙方双方签字盖章后生效。</w:t>
      </w:r>
    </w:p>
    <w:p w14:paraId="4C10C7E4">
      <w:pPr>
        <w:pStyle w:val="15"/>
        <w:ind w:firstLine="600" w:firstLineChars="250"/>
        <w:rPr>
          <w:rFonts w:asciiTheme="minorHAnsi" w:hAnsiTheme="minorHAnsi" w:eastAsiaTheme="minorEastAsia"/>
          <w:kern w:val="0"/>
          <w:sz w:val="24"/>
          <w:szCs w:val="24"/>
        </w:rPr>
      </w:pPr>
      <w:r>
        <w:rPr>
          <w:rFonts w:hint="eastAsia" w:asciiTheme="minorHAnsi" w:hAnsiTheme="minorHAnsi" w:eastAsiaTheme="minorEastAsia"/>
          <w:kern w:val="0"/>
          <w:sz w:val="24"/>
          <w:szCs w:val="24"/>
        </w:rPr>
        <w:t>2、合同附件是本合同的组成部分，具有与本合同同等的法律效力。</w:t>
      </w:r>
    </w:p>
    <w:p w14:paraId="3AD14DA5">
      <w:pPr>
        <w:pStyle w:val="11"/>
        <w:widowControl/>
        <w:ind w:firstLine="480" w:firstLineChars="200"/>
        <w:rPr>
          <w:rFonts w:asciiTheme="minorHAnsi" w:hAnsiTheme="minorHAnsi" w:eastAsiaTheme="minorEastAsia"/>
          <w:kern w:val="0"/>
          <w:sz w:val="24"/>
          <w:szCs w:val="24"/>
        </w:rPr>
      </w:pPr>
      <w:r>
        <w:rPr>
          <w:rFonts w:hint="eastAsia" w:asciiTheme="minorHAnsi" w:hAnsiTheme="minorHAnsi" w:eastAsiaTheme="minorEastAsia"/>
          <w:kern w:val="0"/>
          <w:sz w:val="24"/>
          <w:szCs w:val="24"/>
        </w:rPr>
        <w:t>3、甲方与乙方就双方的权利义务有不同解释的，双方同意采用以下顺序解释：（1）双方签订的补充协议；（2）本合同；（3）招标文件；（4）澄清表（函）；（5）投标文件。</w:t>
      </w:r>
    </w:p>
    <w:p w14:paraId="0A9C93C1">
      <w:pPr>
        <w:ind w:firstLine="567"/>
      </w:pPr>
      <w:r>
        <w:rPr>
          <w:rFonts w:hint="eastAsia"/>
        </w:rPr>
        <w:t>4、如本合同有未尽事宜，以招标文件为准，招标文件未做要求的，由双方依法订立补充合同。</w:t>
      </w:r>
    </w:p>
    <w:p w14:paraId="58B24653">
      <w:pPr>
        <w:pStyle w:val="83"/>
        <w:ind w:firstLine="480"/>
      </w:pPr>
      <w:r>
        <w:rPr>
          <w:rFonts w:hint="eastAsia"/>
        </w:rPr>
        <w:t>附件</w:t>
      </w:r>
    </w:p>
    <w:p w14:paraId="4A40BB70">
      <w:pPr>
        <w:spacing w:line="360" w:lineRule="auto"/>
        <w:jc w:val="center"/>
        <w:rPr>
          <w:rFonts w:asciiTheme="minorEastAsia" w:hAnsiTheme="minorEastAsia" w:cstheme="minorEastAsia"/>
          <w:sz w:val="22"/>
          <w:szCs w:val="28"/>
        </w:rPr>
      </w:pPr>
      <w:r>
        <w:rPr>
          <w:rFonts w:hint="eastAsia" w:ascii="宋体" w:hAnsi="宋体"/>
          <w:b/>
          <w:szCs w:val="30"/>
        </w:rPr>
        <w:t>服务考核标准</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969"/>
        <w:gridCol w:w="1657"/>
        <w:gridCol w:w="1943"/>
      </w:tblGrid>
      <w:tr w14:paraId="316E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306396FF">
            <w:pPr>
              <w:spacing w:line="400" w:lineRule="exact"/>
              <w:rPr>
                <w:rFonts w:ascii="仿宋" w:hAnsi="仿宋" w:eastAsia="仿宋" w:cs="仿宋"/>
                <w:sz w:val="21"/>
                <w:szCs w:val="21"/>
              </w:rPr>
            </w:pPr>
            <w:r>
              <w:rPr>
                <w:rFonts w:hint="eastAsia" w:ascii="仿宋" w:hAnsi="仿宋" w:eastAsia="仿宋" w:cs="仿宋"/>
                <w:sz w:val="21"/>
                <w:szCs w:val="21"/>
              </w:rPr>
              <w:t>序号</w:t>
            </w:r>
          </w:p>
        </w:tc>
        <w:tc>
          <w:tcPr>
            <w:tcW w:w="3969" w:type="dxa"/>
            <w:vAlign w:val="center"/>
          </w:tcPr>
          <w:p w14:paraId="77A49045">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评估标准</w:t>
            </w:r>
          </w:p>
        </w:tc>
        <w:tc>
          <w:tcPr>
            <w:tcW w:w="1657" w:type="dxa"/>
            <w:vAlign w:val="center"/>
          </w:tcPr>
          <w:p w14:paraId="7F3FACE3">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考核频次</w:t>
            </w:r>
          </w:p>
        </w:tc>
        <w:tc>
          <w:tcPr>
            <w:tcW w:w="1943" w:type="dxa"/>
            <w:vAlign w:val="center"/>
          </w:tcPr>
          <w:p w14:paraId="48D86A30">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扣款（万元）</w:t>
            </w:r>
          </w:p>
        </w:tc>
      </w:tr>
      <w:tr w14:paraId="48B5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7AE39ACE">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1</w:t>
            </w:r>
          </w:p>
        </w:tc>
        <w:tc>
          <w:tcPr>
            <w:tcW w:w="3969" w:type="dxa"/>
            <w:vAlign w:val="center"/>
          </w:tcPr>
          <w:p w14:paraId="08B6C401">
            <w:pPr>
              <w:spacing w:line="400" w:lineRule="exact"/>
              <w:rPr>
                <w:rFonts w:ascii="仿宋" w:hAnsi="仿宋" w:eastAsia="仿宋" w:cs="仿宋"/>
                <w:sz w:val="21"/>
                <w:szCs w:val="21"/>
              </w:rPr>
            </w:pPr>
            <w:r>
              <w:rPr>
                <w:rFonts w:hint="eastAsia" w:ascii="仿宋" w:hAnsi="仿宋" w:eastAsia="仿宋" w:cs="仿宋"/>
                <w:sz w:val="21"/>
                <w:szCs w:val="21"/>
              </w:rPr>
              <w:t>对于采购人在日常使用过程中出现故障，供应商超出一天未给予回复</w:t>
            </w:r>
          </w:p>
        </w:tc>
        <w:tc>
          <w:tcPr>
            <w:tcW w:w="1657" w:type="dxa"/>
            <w:vAlign w:val="center"/>
          </w:tcPr>
          <w:p w14:paraId="668A14E1">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5A4FF69F">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0.5</w:t>
            </w:r>
          </w:p>
        </w:tc>
      </w:tr>
      <w:tr w14:paraId="47CA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63E9EBDC">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2</w:t>
            </w:r>
          </w:p>
        </w:tc>
        <w:tc>
          <w:tcPr>
            <w:tcW w:w="3969" w:type="dxa"/>
            <w:vAlign w:val="center"/>
          </w:tcPr>
          <w:p w14:paraId="200A30EA">
            <w:pPr>
              <w:spacing w:line="400" w:lineRule="exact"/>
              <w:rPr>
                <w:rFonts w:ascii="仿宋" w:hAnsi="仿宋" w:eastAsia="仿宋" w:cs="仿宋"/>
                <w:sz w:val="21"/>
                <w:szCs w:val="21"/>
              </w:rPr>
            </w:pPr>
            <w:r>
              <w:rPr>
                <w:rFonts w:hint="eastAsia" w:ascii="仿宋" w:hAnsi="仿宋" w:eastAsia="仿宋" w:cs="仿宋"/>
                <w:sz w:val="21"/>
                <w:szCs w:val="21"/>
              </w:rPr>
              <w:t>未按业务部门需求提供系统培训服务</w:t>
            </w:r>
          </w:p>
        </w:tc>
        <w:tc>
          <w:tcPr>
            <w:tcW w:w="1657" w:type="dxa"/>
            <w:vAlign w:val="center"/>
          </w:tcPr>
          <w:p w14:paraId="42033A41">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10DEA0C4">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0.5</w:t>
            </w:r>
          </w:p>
        </w:tc>
      </w:tr>
      <w:tr w14:paraId="6F1C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316641A3">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3</w:t>
            </w:r>
          </w:p>
        </w:tc>
        <w:tc>
          <w:tcPr>
            <w:tcW w:w="3969" w:type="dxa"/>
            <w:vAlign w:val="center"/>
          </w:tcPr>
          <w:p w14:paraId="3AF0D358">
            <w:pPr>
              <w:spacing w:line="400" w:lineRule="exact"/>
              <w:rPr>
                <w:rFonts w:ascii="仿宋" w:hAnsi="仿宋" w:eastAsia="仿宋" w:cs="仿宋"/>
                <w:sz w:val="21"/>
                <w:szCs w:val="21"/>
              </w:rPr>
            </w:pPr>
            <w:r>
              <w:rPr>
                <w:rFonts w:hint="eastAsia" w:ascii="仿宋" w:hAnsi="仿宋" w:eastAsia="仿宋" w:cs="仿宋"/>
                <w:sz w:val="21"/>
                <w:szCs w:val="21"/>
              </w:rPr>
              <w:t>系统故障发生后未在规定时间内处理完毕并恢复正常，超出时长&gt;8小时</w:t>
            </w:r>
          </w:p>
        </w:tc>
        <w:tc>
          <w:tcPr>
            <w:tcW w:w="1657" w:type="dxa"/>
            <w:vAlign w:val="center"/>
          </w:tcPr>
          <w:p w14:paraId="43E8BB99">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5271B43F">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3</w:t>
            </w:r>
          </w:p>
        </w:tc>
      </w:tr>
      <w:tr w14:paraId="01E7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3D6484D8">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4</w:t>
            </w:r>
          </w:p>
        </w:tc>
        <w:tc>
          <w:tcPr>
            <w:tcW w:w="3969" w:type="dxa"/>
            <w:vAlign w:val="center"/>
          </w:tcPr>
          <w:p w14:paraId="544915D4">
            <w:pPr>
              <w:spacing w:line="400" w:lineRule="exact"/>
              <w:rPr>
                <w:rFonts w:ascii="仿宋" w:hAnsi="仿宋" w:eastAsia="仿宋" w:cs="仿宋"/>
                <w:sz w:val="21"/>
                <w:szCs w:val="21"/>
              </w:rPr>
            </w:pPr>
            <w:r>
              <w:rPr>
                <w:rFonts w:hint="eastAsia" w:ascii="仿宋" w:hAnsi="仿宋" w:eastAsia="仿宋" w:cs="仿宋"/>
                <w:sz w:val="21"/>
                <w:szCs w:val="21"/>
              </w:rPr>
              <w:t>未按时提供《更新报告》</w:t>
            </w:r>
          </w:p>
        </w:tc>
        <w:tc>
          <w:tcPr>
            <w:tcW w:w="1657" w:type="dxa"/>
            <w:vAlign w:val="center"/>
          </w:tcPr>
          <w:p w14:paraId="12D74B2C">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686B92B3">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0.2</w:t>
            </w:r>
          </w:p>
        </w:tc>
      </w:tr>
      <w:tr w14:paraId="577C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35C8E17F">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5</w:t>
            </w:r>
          </w:p>
        </w:tc>
        <w:tc>
          <w:tcPr>
            <w:tcW w:w="3969" w:type="dxa"/>
            <w:vAlign w:val="center"/>
          </w:tcPr>
          <w:p w14:paraId="767F9635">
            <w:pPr>
              <w:spacing w:line="400" w:lineRule="exact"/>
              <w:rPr>
                <w:rFonts w:ascii="仿宋" w:hAnsi="仿宋" w:eastAsia="仿宋" w:cs="仿宋"/>
                <w:sz w:val="21"/>
                <w:szCs w:val="21"/>
              </w:rPr>
            </w:pPr>
            <w:r>
              <w:rPr>
                <w:rFonts w:hint="eastAsia" w:ascii="仿宋" w:hAnsi="仿宋" w:eastAsia="仿宋" w:cs="仿宋"/>
                <w:sz w:val="21"/>
                <w:szCs w:val="21"/>
              </w:rPr>
              <w:t>未同步备份应用程序</w:t>
            </w:r>
          </w:p>
        </w:tc>
        <w:tc>
          <w:tcPr>
            <w:tcW w:w="1657" w:type="dxa"/>
            <w:vAlign w:val="center"/>
          </w:tcPr>
          <w:p w14:paraId="17B274A1">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34310441">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1</w:t>
            </w:r>
          </w:p>
        </w:tc>
      </w:tr>
      <w:tr w14:paraId="0EB2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70BD6EE0">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6</w:t>
            </w:r>
          </w:p>
        </w:tc>
        <w:tc>
          <w:tcPr>
            <w:tcW w:w="3969" w:type="dxa"/>
            <w:vAlign w:val="center"/>
          </w:tcPr>
          <w:p w14:paraId="2E536CAE">
            <w:pPr>
              <w:spacing w:line="400" w:lineRule="exact"/>
              <w:rPr>
                <w:rFonts w:ascii="仿宋" w:hAnsi="仿宋" w:eastAsia="仿宋" w:cs="仿宋"/>
                <w:sz w:val="21"/>
                <w:szCs w:val="21"/>
              </w:rPr>
            </w:pPr>
            <w:r>
              <w:rPr>
                <w:rFonts w:hint="eastAsia" w:ascii="仿宋" w:hAnsi="仿宋" w:eastAsia="仿宋" w:cs="仿宋"/>
                <w:sz w:val="21"/>
                <w:szCs w:val="21"/>
              </w:rPr>
              <w:t>系统运维过程中造成系统数据丢失</w:t>
            </w:r>
          </w:p>
        </w:tc>
        <w:tc>
          <w:tcPr>
            <w:tcW w:w="1657" w:type="dxa"/>
            <w:vAlign w:val="center"/>
          </w:tcPr>
          <w:p w14:paraId="517D18DD">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472FC554">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5</w:t>
            </w:r>
          </w:p>
        </w:tc>
      </w:tr>
      <w:tr w14:paraId="6F25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5F04850E">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7</w:t>
            </w:r>
          </w:p>
        </w:tc>
        <w:tc>
          <w:tcPr>
            <w:tcW w:w="3969" w:type="dxa"/>
            <w:vAlign w:val="center"/>
          </w:tcPr>
          <w:p w14:paraId="4B71559C">
            <w:pPr>
              <w:spacing w:line="400" w:lineRule="exact"/>
              <w:rPr>
                <w:rFonts w:ascii="仿宋" w:hAnsi="仿宋" w:eastAsia="仿宋" w:cs="仿宋"/>
                <w:sz w:val="21"/>
                <w:szCs w:val="21"/>
              </w:rPr>
            </w:pPr>
            <w:r>
              <w:rPr>
                <w:rFonts w:hint="eastAsia" w:ascii="仿宋" w:hAnsi="仿宋" w:eastAsia="仿宋" w:cs="仿宋"/>
                <w:sz w:val="21"/>
                <w:szCs w:val="21"/>
              </w:rPr>
              <w:t>驻场人员无故离开值班岗超过2小时</w:t>
            </w:r>
          </w:p>
        </w:tc>
        <w:tc>
          <w:tcPr>
            <w:tcW w:w="1657" w:type="dxa"/>
            <w:vAlign w:val="center"/>
          </w:tcPr>
          <w:p w14:paraId="55EE0E3F">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28A57927">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0.1</w:t>
            </w:r>
          </w:p>
        </w:tc>
      </w:tr>
      <w:tr w14:paraId="3AF1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1287A946">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8</w:t>
            </w:r>
          </w:p>
        </w:tc>
        <w:tc>
          <w:tcPr>
            <w:tcW w:w="3969" w:type="dxa"/>
            <w:vAlign w:val="center"/>
          </w:tcPr>
          <w:p w14:paraId="79759168">
            <w:pPr>
              <w:spacing w:line="400" w:lineRule="exact"/>
              <w:rPr>
                <w:rFonts w:ascii="仿宋" w:hAnsi="仿宋" w:eastAsia="仿宋" w:cs="仿宋"/>
                <w:sz w:val="21"/>
                <w:szCs w:val="21"/>
              </w:rPr>
            </w:pPr>
            <w:r>
              <w:rPr>
                <w:rFonts w:hint="eastAsia" w:ascii="仿宋" w:hAnsi="仿宋" w:eastAsia="仿宋" w:cs="仿宋"/>
                <w:sz w:val="21"/>
                <w:szCs w:val="21"/>
              </w:rPr>
              <w:t>驻场人员不服从采购人管理，违反采购人日常办公制度</w:t>
            </w:r>
          </w:p>
        </w:tc>
        <w:tc>
          <w:tcPr>
            <w:tcW w:w="1657" w:type="dxa"/>
            <w:vAlign w:val="center"/>
          </w:tcPr>
          <w:p w14:paraId="2E583EB7">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0A6AB6BE">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0.2</w:t>
            </w:r>
          </w:p>
        </w:tc>
      </w:tr>
      <w:tr w14:paraId="7D85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587E62BF">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9</w:t>
            </w:r>
          </w:p>
        </w:tc>
        <w:tc>
          <w:tcPr>
            <w:tcW w:w="3969" w:type="dxa"/>
            <w:vAlign w:val="center"/>
          </w:tcPr>
          <w:p w14:paraId="039F0ECF">
            <w:pPr>
              <w:spacing w:line="400" w:lineRule="exact"/>
              <w:rPr>
                <w:rFonts w:ascii="仿宋" w:hAnsi="仿宋" w:eastAsia="仿宋" w:cs="仿宋"/>
                <w:sz w:val="21"/>
                <w:szCs w:val="21"/>
              </w:rPr>
            </w:pPr>
            <w:r>
              <w:rPr>
                <w:rFonts w:hint="eastAsia" w:ascii="仿宋" w:hAnsi="仿宋" w:eastAsia="仿宋" w:cs="仿宋"/>
                <w:sz w:val="21"/>
                <w:szCs w:val="21"/>
              </w:rPr>
              <w:t>服务期间,运维系统发生故障超2小时未及时向采购人报告</w:t>
            </w:r>
          </w:p>
        </w:tc>
        <w:tc>
          <w:tcPr>
            <w:tcW w:w="1657" w:type="dxa"/>
            <w:vAlign w:val="center"/>
          </w:tcPr>
          <w:p w14:paraId="0807D160">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2EF80FDD">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0.5</w:t>
            </w:r>
          </w:p>
        </w:tc>
      </w:tr>
      <w:tr w14:paraId="0882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031DB448">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10</w:t>
            </w:r>
          </w:p>
        </w:tc>
        <w:tc>
          <w:tcPr>
            <w:tcW w:w="3969" w:type="dxa"/>
            <w:vAlign w:val="center"/>
          </w:tcPr>
          <w:p w14:paraId="2599EE39">
            <w:pPr>
              <w:spacing w:line="400" w:lineRule="exact"/>
              <w:rPr>
                <w:rFonts w:ascii="仿宋" w:hAnsi="仿宋" w:eastAsia="仿宋" w:cs="仿宋"/>
                <w:sz w:val="21"/>
                <w:szCs w:val="21"/>
              </w:rPr>
            </w:pPr>
            <w:r>
              <w:rPr>
                <w:rFonts w:hint="eastAsia" w:ascii="仿宋" w:hAnsi="仿宋" w:eastAsia="仿宋" w:cs="仿宋"/>
                <w:sz w:val="21"/>
                <w:szCs w:val="21"/>
              </w:rPr>
              <w:t>未按要求定时巡检（工作日巡检）</w:t>
            </w:r>
          </w:p>
        </w:tc>
        <w:tc>
          <w:tcPr>
            <w:tcW w:w="1657" w:type="dxa"/>
            <w:vAlign w:val="center"/>
          </w:tcPr>
          <w:p w14:paraId="1D54BFCD">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574EE3B4">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0.2</w:t>
            </w:r>
          </w:p>
        </w:tc>
      </w:tr>
      <w:tr w14:paraId="105D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 w:type="dxa"/>
            <w:vAlign w:val="center"/>
          </w:tcPr>
          <w:p w14:paraId="09FC0462">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11</w:t>
            </w:r>
          </w:p>
        </w:tc>
        <w:tc>
          <w:tcPr>
            <w:tcW w:w="3969" w:type="dxa"/>
            <w:vAlign w:val="center"/>
          </w:tcPr>
          <w:p w14:paraId="2440E684">
            <w:pPr>
              <w:spacing w:line="400" w:lineRule="exact"/>
              <w:rPr>
                <w:rFonts w:ascii="仿宋" w:hAnsi="仿宋" w:eastAsia="仿宋" w:cs="仿宋"/>
                <w:sz w:val="21"/>
                <w:szCs w:val="21"/>
              </w:rPr>
            </w:pPr>
            <w:r>
              <w:rPr>
                <w:rFonts w:hint="eastAsia" w:ascii="仿宋" w:hAnsi="仿宋" w:eastAsia="仿宋" w:cs="仿宋"/>
                <w:sz w:val="21"/>
                <w:szCs w:val="21"/>
              </w:rPr>
              <w:t>在巡检中发现故障隐瞒不报</w:t>
            </w:r>
          </w:p>
        </w:tc>
        <w:tc>
          <w:tcPr>
            <w:tcW w:w="1657" w:type="dxa"/>
            <w:vAlign w:val="center"/>
          </w:tcPr>
          <w:p w14:paraId="68D8114B">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次</w:t>
            </w:r>
          </w:p>
        </w:tc>
        <w:tc>
          <w:tcPr>
            <w:tcW w:w="1943" w:type="dxa"/>
            <w:vAlign w:val="center"/>
          </w:tcPr>
          <w:p w14:paraId="441C650E">
            <w:pPr>
              <w:spacing w:line="400" w:lineRule="exact"/>
              <w:ind w:firstLine="482"/>
              <w:jc w:val="center"/>
              <w:rPr>
                <w:rFonts w:ascii="仿宋" w:hAnsi="仿宋" w:eastAsia="仿宋" w:cs="仿宋"/>
                <w:sz w:val="21"/>
                <w:szCs w:val="21"/>
              </w:rPr>
            </w:pPr>
            <w:r>
              <w:rPr>
                <w:rFonts w:hint="eastAsia" w:ascii="仿宋" w:hAnsi="仿宋" w:eastAsia="仿宋" w:cs="仿宋"/>
                <w:sz w:val="21"/>
                <w:szCs w:val="21"/>
              </w:rPr>
              <w:t>0.5</w:t>
            </w:r>
          </w:p>
        </w:tc>
      </w:tr>
    </w:tbl>
    <w:p w14:paraId="6FD31474">
      <w:pPr>
        <w:rPr>
          <w:rFonts w:asciiTheme="minorEastAsia" w:hAnsiTheme="minorEastAsia" w:cstheme="minorEastAsia"/>
          <w:sz w:val="28"/>
          <w:szCs w:val="28"/>
        </w:rPr>
      </w:pPr>
      <w:r>
        <w:rPr>
          <w:rFonts w:asciiTheme="minorEastAsia" w:hAnsiTheme="minorEastAsia" w:cstheme="minorEastAsia"/>
          <w:sz w:val="28"/>
          <w:szCs w:val="28"/>
        </w:rPr>
        <w:br w:type="page"/>
      </w:r>
    </w:p>
    <w:p w14:paraId="0FC4A7EB">
      <w:p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066AACEE">
      <w:pPr>
        <w:pStyle w:val="2"/>
        <w:spacing w:before="230" w:after="230"/>
      </w:pPr>
      <w:bookmarkStart w:id="17" w:name="_Toc100219616"/>
      <w:r>
        <w:rPr>
          <w:rFonts w:hint="eastAsia"/>
        </w:rPr>
        <w:t>第五章　响应文件构成及格式</w:t>
      </w:r>
      <w:bookmarkEnd w:id="17"/>
    </w:p>
    <w:p w14:paraId="4578CFAC">
      <w:pPr>
        <w:jc w:val="center"/>
        <w:rPr>
          <w:rFonts w:cstheme="minorHAnsi"/>
          <w:sz w:val="36"/>
          <w:szCs w:val="36"/>
        </w:rPr>
      </w:pPr>
    </w:p>
    <w:p w14:paraId="46C3CF94">
      <w:pPr>
        <w:jc w:val="center"/>
        <w:rPr>
          <w:rFonts w:cstheme="minorHAnsi"/>
          <w:sz w:val="36"/>
          <w:szCs w:val="36"/>
        </w:rPr>
      </w:pPr>
    </w:p>
    <w:p w14:paraId="60FF2F4A">
      <w:pPr>
        <w:jc w:val="center"/>
        <w:rPr>
          <w:rFonts w:cstheme="minorHAnsi"/>
          <w:sz w:val="36"/>
          <w:szCs w:val="36"/>
        </w:rPr>
      </w:pPr>
    </w:p>
    <w:p w14:paraId="38C61182">
      <w:pPr>
        <w:jc w:val="center"/>
        <w:rPr>
          <w:rFonts w:cstheme="minorHAnsi"/>
          <w:b/>
          <w:color w:val="C00000"/>
          <w:sz w:val="44"/>
          <w:szCs w:val="44"/>
        </w:rPr>
      </w:pPr>
      <w:r>
        <w:rPr>
          <w:rFonts w:cstheme="minorHAnsi"/>
          <w:b/>
          <w:color w:val="C00000"/>
          <w:sz w:val="36"/>
          <w:szCs w:val="36"/>
        </w:rPr>
        <w:t>［项目名称］</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63B1F57B">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14:paraId="5A4E611A">
      <w:pPr>
        <w:jc w:val="both"/>
        <w:rPr>
          <w:rFonts w:cstheme="minorHAnsi"/>
          <w:color w:val="000000"/>
        </w:rPr>
      </w:pPr>
      <w:r>
        <w:rPr>
          <w:rFonts w:hint="eastAsia"/>
        </w:rPr>
        <w:t>西安市市级单位政府采购中心</w:t>
      </w:r>
      <w:r>
        <w:rPr>
          <w:rFonts w:hint="eastAsia" w:cstheme="minorHAnsi"/>
          <w:color w:val="000000"/>
        </w:rPr>
        <w:t>：</w:t>
      </w:r>
    </w:p>
    <w:p w14:paraId="0BF01936">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14:paraId="1503DC46">
      <w:pPr>
        <w:ind w:firstLine="567"/>
        <w:jc w:val="both"/>
        <w:rPr>
          <w:rFonts w:cstheme="minorHAnsi"/>
          <w:color w:val="000000"/>
        </w:rPr>
      </w:pPr>
      <w:r>
        <w:rPr>
          <w:rFonts w:hint="eastAsia" w:cstheme="minorHAnsi"/>
          <w:color w:val="000000"/>
        </w:rPr>
        <w:t>1．我方已详细阅读了磋商文件，完全理解并同意磋商文件的所有事项及内容。</w:t>
      </w:r>
    </w:p>
    <w:p w14:paraId="502630FC">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14:paraId="64321F4B">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71E761BA">
      <w:pPr>
        <w:ind w:firstLine="567"/>
        <w:jc w:val="both"/>
        <w:rPr>
          <w:rFonts w:cstheme="minorHAnsi"/>
          <w:color w:val="000000"/>
        </w:rPr>
      </w:pPr>
      <w:r>
        <w:rPr>
          <w:rFonts w:hint="eastAsia" w:cstheme="minorHAnsi"/>
          <w:color w:val="000000"/>
        </w:rPr>
        <w:t>4．我方理解最低价不是成交的唯一条件，并尊重磋商小组的评审结果。</w:t>
      </w:r>
    </w:p>
    <w:p w14:paraId="2D5BA30B">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068EBFAA">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549D0279">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14:paraId="2674B6FF">
      <w:pPr>
        <w:ind w:firstLine="567"/>
        <w:jc w:val="both"/>
        <w:rPr>
          <w:rFonts w:cstheme="minorHAnsi"/>
          <w:color w:val="000000"/>
        </w:rPr>
      </w:pPr>
      <w:r>
        <w:rPr>
          <w:rFonts w:cstheme="minorHAnsi"/>
          <w:color w:val="000000"/>
        </w:rPr>
        <w:t>8</w:t>
      </w:r>
      <w:r>
        <w:rPr>
          <w:rFonts w:hint="eastAsia" w:cstheme="minorHAnsi"/>
          <w:color w:val="000000"/>
        </w:rPr>
        <w:t>．若我方成交，我方承诺：</w:t>
      </w:r>
    </w:p>
    <w:p w14:paraId="669D22B6">
      <w:pPr>
        <w:ind w:firstLine="567"/>
        <w:jc w:val="both"/>
        <w:rPr>
          <w:rFonts w:cstheme="minorHAnsi"/>
          <w:color w:val="000000"/>
        </w:rPr>
      </w:pPr>
      <w:r>
        <w:rPr>
          <w:rFonts w:hint="eastAsia" w:cstheme="minorHAnsi"/>
          <w:color w:val="000000"/>
        </w:rPr>
        <w:t>（1）将成交文件有效期延长至合同执行完毕；</w:t>
      </w:r>
    </w:p>
    <w:p w14:paraId="3549844C">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14:paraId="60652BD4">
      <w:pPr>
        <w:ind w:firstLine="567"/>
        <w:jc w:val="both"/>
        <w:rPr>
          <w:rFonts w:cstheme="minorHAnsi"/>
          <w:color w:val="000000"/>
        </w:rPr>
      </w:pPr>
      <w:r>
        <w:rPr>
          <w:rFonts w:hint="eastAsia" w:cstheme="minorHAnsi"/>
          <w:color w:val="000000"/>
        </w:rPr>
        <w:t>（3）遵照磋商文件中的要求，完成本项目的合同责任和义务。</w:t>
      </w:r>
    </w:p>
    <w:p w14:paraId="244F4427">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75368BA3">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pPr>
        <w:ind w:firstLine="567"/>
        <w:jc w:val="both"/>
        <w:rPr>
          <w:color w:val="000000"/>
        </w:rPr>
      </w:pPr>
      <w:r>
        <w:rPr>
          <w:rFonts w:hint="eastAsia"/>
          <w:color w:val="000000"/>
        </w:rPr>
        <w:t>（2）联系</w:t>
      </w:r>
      <w:r>
        <w:rPr>
          <w:color w:val="000000"/>
        </w:rPr>
        <w:t>电话：</w:t>
      </w:r>
    </w:p>
    <w:p w14:paraId="048F967E">
      <w:pPr>
        <w:ind w:firstLine="567"/>
        <w:jc w:val="both"/>
        <w:rPr>
          <w:color w:val="000000"/>
        </w:rPr>
      </w:pPr>
      <w:r>
        <w:rPr>
          <w:color w:val="000000"/>
        </w:rPr>
        <w:t>（</w:t>
      </w:r>
      <w:r>
        <w:rPr>
          <w:rFonts w:hint="eastAsia"/>
          <w:color w:val="000000"/>
        </w:rPr>
        <w:t>3</w:t>
      </w:r>
      <w:r>
        <w:rPr>
          <w:color w:val="000000"/>
        </w:rPr>
        <w:t>）通讯地址：</w:t>
      </w:r>
    </w:p>
    <w:p w14:paraId="138D00E5">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5D405F22">
      <w:pPr>
        <w:ind w:firstLine="567"/>
        <w:jc w:val="both"/>
      </w:pPr>
      <w:r>
        <w:t>（</w:t>
      </w:r>
      <w:r>
        <w:rPr>
          <w:rFonts w:hint="eastAsia"/>
        </w:rPr>
        <w:t>5</w:t>
      </w:r>
      <w:r>
        <w:t>）电子邮箱：</w:t>
      </w:r>
    </w:p>
    <w:p w14:paraId="6BFF3E77">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39AB650B">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14:paraId="5D6A6AE5">
      <w:pPr>
        <w:keepNext/>
        <w:spacing w:before="230" w:beforeLines="50" w:after="230" w:afterLines="50"/>
        <w:jc w:val="center"/>
        <w:outlineLvl w:val="1"/>
        <w:rPr>
          <w:rFonts w:ascii="Calibri" w:hAnsi="Calibri" w:eastAsia="宋体"/>
          <w:kern w:val="24"/>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第一次报价表</w:t>
      </w:r>
    </w:p>
    <w:p w14:paraId="3004DCD5">
      <w:pPr>
        <w:jc w:val="center"/>
        <w:rPr>
          <w:kern w:val="24"/>
        </w:rPr>
      </w:pPr>
    </w:p>
    <w:tbl>
      <w:tblPr>
        <w:tblStyle w:val="2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4F0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3885D152">
            <w:pPr>
              <w:spacing w:line="440" w:lineRule="exact"/>
              <w:ind w:right="280"/>
              <w:jc w:val="right"/>
              <w:rPr>
                <w:rFonts w:cstheme="minorHAnsi"/>
                <w:b/>
                <w:color w:val="000000"/>
              </w:rPr>
            </w:pPr>
            <w:r>
              <w:rPr>
                <w:rFonts w:cstheme="minorHAnsi"/>
                <w:b/>
                <w:color w:val="000000"/>
              </w:rPr>
              <w:t>报价内容</w:t>
            </w:r>
          </w:p>
          <w:p w14:paraId="00BC1068">
            <w:pPr>
              <w:rPr>
                <w:rFonts w:cstheme="minorHAnsi"/>
                <w:color w:val="000000"/>
              </w:rPr>
            </w:pPr>
          </w:p>
          <w:p w14:paraId="49CE228C">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04103A9E">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DA57199">
            <w:pPr>
              <w:jc w:val="center"/>
              <w:rPr>
                <w:rFonts w:cstheme="minorHAnsi"/>
                <w:b/>
              </w:rPr>
            </w:pPr>
            <w:r>
              <w:rPr>
                <w:rFonts w:cstheme="minorHAnsi"/>
                <w:b/>
              </w:rPr>
              <w:t>B</w:t>
            </w:r>
          </w:p>
        </w:tc>
      </w:tr>
      <w:tr w14:paraId="58A5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64FE16AE">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02B90667">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0F375432">
            <w:pPr>
              <w:jc w:val="center"/>
              <w:rPr>
                <w:b/>
              </w:rPr>
            </w:pPr>
            <w:r>
              <w:rPr>
                <w:rFonts w:hint="eastAsia"/>
                <w:b/>
              </w:rPr>
              <w:t>服务</w:t>
            </w:r>
            <w:r>
              <w:rPr>
                <w:b/>
              </w:rPr>
              <w:t>期</w:t>
            </w:r>
          </w:p>
        </w:tc>
      </w:tr>
      <w:tr w14:paraId="19B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3167E73">
            <w:pPr>
              <w:spacing w:line="440" w:lineRule="exact"/>
              <w:jc w:val="center"/>
              <w:rPr>
                <w:rFonts w:cstheme="minorHAnsi"/>
                <w:color w:val="C00000"/>
                <w:sz w:val="21"/>
                <w:szCs w:val="21"/>
              </w:rPr>
            </w:pPr>
            <w:r>
              <w:rPr>
                <w:rFonts w:cstheme="minorHAnsi"/>
                <w:color w:val="C00000"/>
                <w:sz w:val="21"/>
                <w:szCs w:val="21"/>
              </w:rPr>
              <w:t>［项目名称］</w:t>
            </w:r>
          </w:p>
          <w:p w14:paraId="66F16BDD">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14:paraId="56C3F94A">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373F7D53">
            <w:pPr>
              <w:spacing w:line="440" w:lineRule="exact"/>
              <w:jc w:val="center"/>
              <w:rPr>
                <w:rFonts w:cstheme="minorHAnsi"/>
                <w:color w:val="000000"/>
              </w:rPr>
            </w:pPr>
          </w:p>
        </w:tc>
      </w:tr>
    </w:tbl>
    <w:p w14:paraId="445350CE">
      <w:r>
        <w:rPr>
          <w:rFonts w:cstheme="minorHAnsi"/>
          <w:color w:val="000000"/>
        </w:rPr>
        <w:t>供应商：（</w:t>
      </w:r>
      <w:r>
        <w:rPr>
          <w:rFonts w:cstheme="minorHAnsi"/>
          <w:i/>
          <w:color w:val="7030A0"/>
        </w:rPr>
        <w:t>供应商全称并加盖公章</w:t>
      </w:r>
      <w:r>
        <w:rPr>
          <w:rFonts w:cstheme="minorHAnsi"/>
          <w:color w:val="000000"/>
        </w:rPr>
        <w:t>）</w:t>
      </w:r>
    </w:p>
    <w:p w14:paraId="4B4FB7F7">
      <w:pPr>
        <w:spacing w:before="230" w:beforeLines="50"/>
        <w:jc w:val="both"/>
        <w:rPr>
          <w:kern w:val="24"/>
        </w:rPr>
      </w:pPr>
    </w:p>
    <w:p w14:paraId="695D9816">
      <w:pPr>
        <w:jc w:val="both"/>
        <w:rPr>
          <w:kern w:val="24"/>
        </w:rPr>
      </w:pPr>
      <w:r>
        <w:rPr>
          <w:kern w:val="24"/>
        </w:rPr>
        <w:t>〖注〗以下情况按无效响应处理：</w:t>
      </w:r>
    </w:p>
    <w:p w14:paraId="46A071C3">
      <w:pPr>
        <w:ind w:firstLine="480" w:firstLineChars="200"/>
        <w:jc w:val="both"/>
        <w:rPr>
          <w:kern w:val="24"/>
        </w:rPr>
      </w:pPr>
      <w:r>
        <w:rPr>
          <w:kern w:val="24"/>
        </w:rPr>
        <w:t>1．A栏未按阿拉伯小写金额样式填写，B栏未填写</w:t>
      </w:r>
      <w:r>
        <w:rPr>
          <w:rFonts w:hint="eastAsia"/>
          <w:kern w:val="24"/>
        </w:rPr>
        <w:t>服务</w:t>
      </w:r>
      <w:r>
        <w:rPr>
          <w:kern w:val="24"/>
        </w:rPr>
        <w:t>期。</w:t>
      </w:r>
    </w:p>
    <w:p w14:paraId="6F198107">
      <w:pPr>
        <w:ind w:firstLine="480" w:firstLineChars="200"/>
        <w:jc w:val="both"/>
        <w:rPr>
          <w:kern w:val="24"/>
        </w:rPr>
      </w:pPr>
      <w:r>
        <w:rPr>
          <w:kern w:val="24"/>
        </w:rPr>
        <w:t>2．本表A栏值与报价</w:t>
      </w:r>
      <w:r>
        <w:rPr>
          <w:rFonts w:hint="eastAsia"/>
          <w:kern w:val="24"/>
        </w:rPr>
        <w:t>明细</w:t>
      </w:r>
      <w:r>
        <w:rPr>
          <w:kern w:val="24"/>
        </w:rPr>
        <w:t>表中的“合计”值不一致的。</w:t>
      </w:r>
    </w:p>
    <w:p w14:paraId="4077CEB2">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采购包/项目</w:t>
      </w:r>
      <w:r>
        <w:rPr>
          <w:kern w:val="24"/>
        </w:rPr>
        <w:t>预算的。</w:t>
      </w:r>
    </w:p>
    <w:p w14:paraId="1FD46F10">
      <w:pPr>
        <w:pStyle w:val="42"/>
        <w:jc w:val="both"/>
        <w:rPr>
          <w:rFonts w:hAnsi="华文仿宋"/>
        </w:rPr>
      </w:pPr>
    </w:p>
    <w:p w14:paraId="60CE0BFD">
      <w:pPr>
        <w:pStyle w:val="42"/>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14:paraId="6300E3AD">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14:paraId="5C1980AD">
      <w:pPr>
        <w:pStyle w:val="42"/>
        <w:tabs>
          <w:tab w:val="right" w:pos="13892"/>
        </w:tabs>
        <w:jc w:val="both"/>
        <w:rPr>
          <w:rFonts w:asciiTheme="minorHAnsi" w:hAnsiTheme="minorHAnsi" w:eastAsiaTheme="minorEastAsia"/>
          <w:vanish/>
          <w:color w:val="00B050"/>
          <w:sz w:val="24"/>
          <w:szCs w:val="24"/>
        </w:rPr>
      </w:pP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p>
    <w:tbl>
      <w:tblPr>
        <w:tblStyle w:val="26"/>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44AA3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14:paraId="7A4EF614">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14:paraId="4243663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14:paraId="2EB5E723">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14:paraId="1370ED4E">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14:paraId="6E4C76AA">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14:paraId="067153D8">
            <w:pPr>
              <w:spacing w:line="320" w:lineRule="exact"/>
              <w:jc w:val="center"/>
              <w:rPr>
                <w:rFonts w:cs="Calibri Light"/>
                <w:b/>
                <w:color w:val="000000"/>
                <w:sz w:val="21"/>
                <w:szCs w:val="21"/>
              </w:rPr>
            </w:pPr>
            <w:r>
              <w:rPr>
                <w:rFonts w:cs="Calibri Light"/>
                <w:b/>
                <w:color w:val="000000"/>
                <w:sz w:val="21"/>
                <w:szCs w:val="21"/>
              </w:rPr>
              <w:t>总价</w:t>
            </w:r>
          </w:p>
        </w:tc>
      </w:tr>
      <w:tr w14:paraId="401B4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2C7B0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pPr>
              <w:spacing w:line="440" w:lineRule="exact"/>
              <w:jc w:val="center"/>
              <w:rPr>
                <w:rFonts w:cs="Calibri Light"/>
                <w:b/>
                <w:bCs/>
                <w:color w:val="000000"/>
                <w:sz w:val="21"/>
                <w:szCs w:val="21"/>
              </w:rPr>
            </w:pPr>
          </w:p>
        </w:tc>
        <w:tc>
          <w:tcPr>
            <w:tcW w:w="1068" w:type="dxa"/>
            <w:vAlign w:val="center"/>
          </w:tcPr>
          <w:p w14:paraId="1C0327D1">
            <w:pPr>
              <w:spacing w:line="440" w:lineRule="exact"/>
              <w:jc w:val="center"/>
              <w:rPr>
                <w:rFonts w:cs="Calibri Light"/>
                <w:b/>
                <w:bCs/>
                <w:color w:val="000000"/>
                <w:sz w:val="21"/>
                <w:szCs w:val="21"/>
              </w:rPr>
            </w:pPr>
          </w:p>
        </w:tc>
      </w:tr>
      <w:tr w14:paraId="0A167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718969A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pPr>
              <w:spacing w:line="440" w:lineRule="exact"/>
              <w:jc w:val="center"/>
              <w:rPr>
                <w:rFonts w:cs="Calibri Light"/>
                <w:b/>
                <w:bCs/>
                <w:color w:val="000000"/>
                <w:sz w:val="21"/>
                <w:szCs w:val="21"/>
              </w:rPr>
            </w:pPr>
          </w:p>
        </w:tc>
        <w:tc>
          <w:tcPr>
            <w:tcW w:w="1068" w:type="dxa"/>
            <w:vAlign w:val="center"/>
          </w:tcPr>
          <w:p w14:paraId="69A8C18F">
            <w:pPr>
              <w:spacing w:line="440" w:lineRule="exact"/>
              <w:jc w:val="center"/>
              <w:rPr>
                <w:rFonts w:cs="Calibri Light"/>
                <w:b/>
                <w:bCs/>
                <w:color w:val="000000"/>
                <w:sz w:val="21"/>
                <w:szCs w:val="21"/>
              </w:rPr>
            </w:pPr>
          </w:p>
        </w:tc>
      </w:tr>
      <w:tr w14:paraId="4AB23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ADD0BC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pPr>
              <w:spacing w:line="440" w:lineRule="exact"/>
              <w:jc w:val="center"/>
              <w:rPr>
                <w:rFonts w:cs="Calibri Light"/>
                <w:b/>
                <w:bCs/>
                <w:color w:val="000000"/>
                <w:sz w:val="21"/>
                <w:szCs w:val="21"/>
              </w:rPr>
            </w:pPr>
          </w:p>
        </w:tc>
        <w:tc>
          <w:tcPr>
            <w:tcW w:w="1068" w:type="dxa"/>
            <w:vAlign w:val="center"/>
          </w:tcPr>
          <w:p w14:paraId="0876A55B">
            <w:pPr>
              <w:spacing w:line="440" w:lineRule="exact"/>
              <w:jc w:val="center"/>
              <w:rPr>
                <w:rFonts w:cs="Calibri Light"/>
                <w:b/>
                <w:bCs/>
                <w:color w:val="000000"/>
                <w:sz w:val="21"/>
                <w:szCs w:val="21"/>
              </w:rPr>
            </w:pPr>
          </w:p>
        </w:tc>
      </w:tr>
      <w:tr w14:paraId="3E76B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335D28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pPr>
              <w:spacing w:line="440" w:lineRule="exact"/>
              <w:jc w:val="center"/>
              <w:rPr>
                <w:rFonts w:cs="Calibri Light"/>
                <w:b/>
                <w:bCs/>
                <w:color w:val="000000"/>
                <w:sz w:val="21"/>
                <w:szCs w:val="21"/>
              </w:rPr>
            </w:pPr>
          </w:p>
        </w:tc>
        <w:tc>
          <w:tcPr>
            <w:tcW w:w="1068" w:type="dxa"/>
            <w:vAlign w:val="center"/>
          </w:tcPr>
          <w:p w14:paraId="3FB283CA">
            <w:pPr>
              <w:spacing w:line="440" w:lineRule="exact"/>
              <w:jc w:val="center"/>
              <w:rPr>
                <w:rFonts w:cs="Calibri Light"/>
                <w:b/>
                <w:bCs/>
                <w:color w:val="000000"/>
                <w:sz w:val="21"/>
                <w:szCs w:val="21"/>
              </w:rPr>
            </w:pPr>
          </w:p>
        </w:tc>
      </w:tr>
      <w:tr w14:paraId="5C41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A98819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pPr>
              <w:spacing w:line="440" w:lineRule="exact"/>
              <w:jc w:val="center"/>
              <w:rPr>
                <w:rFonts w:cs="Calibri Light"/>
                <w:b/>
                <w:bCs/>
                <w:color w:val="000000"/>
                <w:sz w:val="21"/>
                <w:szCs w:val="21"/>
              </w:rPr>
            </w:pPr>
          </w:p>
        </w:tc>
        <w:tc>
          <w:tcPr>
            <w:tcW w:w="1068" w:type="dxa"/>
            <w:vAlign w:val="center"/>
          </w:tcPr>
          <w:p w14:paraId="648EFB08">
            <w:pPr>
              <w:spacing w:line="440" w:lineRule="exact"/>
              <w:jc w:val="center"/>
              <w:rPr>
                <w:rFonts w:cs="Calibri Light"/>
                <w:b/>
                <w:bCs/>
                <w:color w:val="000000"/>
                <w:sz w:val="21"/>
                <w:szCs w:val="21"/>
              </w:rPr>
            </w:pPr>
          </w:p>
        </w:tc>
      </w:tr>
      <w:tr w14:paraId="1F8E1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3E81C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pPr>
              <w:spacing w:line="440" w:lineRule="exact"/>
              <w:jc w:val="center"/>
              <w:rPr>
                <w:rFonts w:cs="Calibri Light"/>
                <w:b/>
                <w:bCs/>
                <w:color w:val="000000"/>
                <w:sz w:val="21"/>
                <w:szCs w:val="21"/>
              </w:rPr>
            </w:pPr>
          </w:p>
        </w:tc>
        <w:tc>
          <w:tcPr>
            <w:tcW w:w="1068" w:type="dxa"/>
            <w:vAlign w:val="center"/>
          </w:tcPr>
          <w:p w14:paraId="6DEFB20A">
            <w:pPr>
              <w:spacing w:line="440" w:lineRule="exact"/>
              <w:jc w:val="center"/>
              <w:rPr>
                <w:rFonts w:cs="Calibri Light"/>
                <w:b/>
                <w:bCs/>
                <w:color w:val="000000"/>
                <w:sz w:val="21"/>
                <w:szCs w:val="21"/>
              </w:rPr>
            </w:pPr>
          </w:p>
        </w:tc>
      </w:tr>
      <w:tr w14:paraId="0EB0F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14:paraId="28CE6C2F">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pPr>
              <w:spacing w:line="440" w:lineRule="exact"/>
              <w:jc w:val="center"/>
              <w:rPr>
                <w:rFonts w:cs="Calibri Light"/>
                <w:b/>
                <w:bCs/>
                <w:color w:val="000000"/>
                <w:sz w:val="21"/>
                <w:szCs w:val="21"/>
              </w:rPr>
            </w:pPr>
          </w:p>
        </w:tc>
        <w:tc>
          <w:tcPr>
            <w:tcW w:w="1068" w:type="dxa"/>
            <w:vAlign w:val="center"/>
          </w:tcPr>
          <w:p w14:paraId="1CE8166C">
            <w:pPr>
              <w:spacing w:line="440" w:lineRule="exact"/>
              <w:jc w:val="center"/>
              <w:rPr>
                <w:rFonts w:cs="Calibri Light"/>
                <w:b/>
                <w:bCs/>
                <w:color w:val="000000"/>
                <w:sz w:val="21"/>
                <w:szCs w:val="21"/>
              </w:rPr>
            </w:pPr>
          </w:p>
        </w:tc>
      </w:tr>
      <w:tr w14:paraId="1F8F2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60D90B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pPr>
              <w:spacing w:line="440" w:lineRule="exact"/>
              <w:jc w:val="center"/>
              <w:rPr>
                <w:rFonts w:cs="Calibri Light"/>
                <w:b/>
                <w:bCs/>
                <w:color w:val="000000"/>
                <w:sz w:val="21"/>
                <w:szCs w:val="21"/>
              </w:rPr>
            </w:pPr>
          </w:p>
        </w:tc>
        <w:tc>
          <w:tcPr>
            <w:tcW w:w="1068" w:type="dxa"/>
            <w:vAlign w:val="center"/>
          </w:tcPr>
          <w:p w14:paraId="4AB86889">
            <w:pPr>
              <w:spacing w:line="440" w:lineRule="exact"/>
              <w:jc w:val="center"/>
              <w:rPr>
                <w:rFonts w:cs="Calibri Light"/>
                <w:b/>
                <w:bCs/>
                <w:color w:val="000000"/>
                <w:sz w:val="21"/>
                <w:szCs w:val="21"/>
              </w:rPr>
            </w:pPr>
          </w:p>
        </w:tc>
      </w:tr>
      <w:tr w14:paraId="04F41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30B0E0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pPr>
              <w:spacing w:line="440" w:lineRule="exact"/>
              <w:jc w:val="center"/>
              <w:rPr>
                <w:rFonts w:cs="Calibri Light"/>
                <w:b/>
                <w:bCs/>
                <w:color w:val="000000"/>
                <w:sz w:val="21"/>
                <w:szCs w:val="21"/>
              </w:rPr>
            </w:pPr>
          </w:p>
        </w:tc>
        <w:tc>
          <w:tcPr>
            <w:tcW w:w="1068" w:type="dxa"/>
            <w:vAlign w:val="center"/>
          </w:tcPr>
          <w:p w14:paraId="1E7EE3C1">
            <w:pPr>
              <w:spacing w:line="440" w:lineRule="exact"/>
              <w:jc w:val="center"/>
              <w:rPr>
                <w:rFonts w:cs="Calibri Light"/>
                <w:b/>
                <w:bCs/>
                <w:color w:val="000000"/>
                <w:sz w:val="21"/>
                <w:szCs w:val="21"/>
              </w:rPr>
            </w:pPr>
          </w:p>
        </w:tc>
      </w:tr>
      <w:tr w14:paraId="0C82E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41BE4A2">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pPr>
              <w:spacing w:line="440" w:lineRule="exact"/>
              <w:jc w:val="center"/>
              <w:rPr>
                <w:rFonts w:cs="Calibri Light"/>
                <w:b/>
                <w:bCs/>
                <w:color w:val="000000"/>
                <w:sz w:val="21"/>
                <w:szCs w:val="21"/>
              </w:rPr>
            </w:pPr>
          </w:p>
        </w:tc>
        <w:tc>
          <w:tcPr>
            <w:tcW w:w="1068" w:type="dxa"/>
            <w:vAlign w:val="center"/>
          </w:tcPr>
          <w:p w14:paraId="45EC1232">
            <w:pPr>
              <w:spacing w:line="440" w:lineRule="exact"/>
              <w:jc w:val="center"/>
              <w:rPr>
                <w:rFonts w:cs="Calibri Light"/>
                <w:b/>
                <w:bCs/>
                <w:color w:val="000000"/>
                <w:sz w:val="21"/>
                <w:szCs w:val="21"/>
              </w:rPr>
            </w:pPr>
          </w:p>
        </w:tc>
      </w:tr>
      <w:tr w14:paraId="6DEB0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425120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pPr>
              <w:spacing w:line="440" w:lineRule="exact"/>
              <w:jc w:val="center"/>
              <w:rPr>
                <w:rFonts w:cs="Calibri Light"/>
                <w:b/>
                <w:bCs/>
                <w:color w:val="000000"/>
                <w:sz w:val="21"/>
                <w:szCs w:val="21"/>
              </w:rPr>
            </w:pPr>
          </w:p>
        </w:tc>
        <w:tc>
          <w:tcPr>
            <w:tcW w:w="1068" w:type="dxa"/>
            <w:vAlign w:val="center"/>
          </w:tcPr>
          <w:p w14:paraId="72C0EA57">
            <w:pPr>
              <w:spacing w:line="440" w:lineRule="exact"/>
              <w:jc w:val="center"/>
              <w:rPr>
                <w:rFonts w:cs="Calibri Light"/>
                <w:b/>
                <w:bCs/>
                <w:color w:val="000000"/>
                <w:sz w:val="21"/>
                <w:szCs w:val="21"/>
              </w:rPr>
            </w:pPr>
          </w:p>
        </w:tc>
      </w:tr>
      <w:tr w14:paraId="14068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6C679EFF">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5E4B9100">
            <w:pPr>
              <w:spacing w:line="440" w:lineRule="exact"/>
              <w:jc w:val="center"/>
              <w:rPr>
                <w:rFonts w:cs="Calibri Light"/>
                <w:b/>
                <w:bCs/>
                <w:color w:val="000000"/>
                <w:sz w:val="21"/>
                <w:szCs w:val="21"/>
              </w:rPr>
            </w:pPr>
          </w:p>
        </w:tc>
      </w:tr>
    </w:tbl>
    <w:p w14:paraId="59F3F1D4">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7E912DA6">
      <w:pPr>
        <w:tabs>
          <w:tab w:val="right" w:pos="9070"/>
        </w:tabs>
        <w:spacing w:line="440" w:lineRule="exact"/>
        <w:jc w:val="both"/>
        <w:rPr>
          <w:rFonts w:cs="Calibri Light"/>
          <w:bCs/>
        </w:rPr>
      </w:pPr>
    </w:p>
    <w:p w14:paraId="22913F21">
      <w:pPr>
        <w:wordWrap w:val="0"/>
        <w:spacing w:line="400" w:lineRule="exact"/>
        <w:jc w:val="both"/>
      </w:pPr>
      <w:r>
        <w:t>说明：1．此表各项费用由供应商自行列支，仅供参考；</w:t>
      </w:r>
    </w:p>
    <w:p w14:paraId="0B69B6ED">
      <w:pPr>
        <w:tabs>
          <w:tab w:val="right" w:pos="9070"/>
        </w:tabs>
        <w:spacing w:line="440" w:lineRule="exact"/>
        <w:ind w:firstLine="720" w:firstLineChars="300"/>
      </w:pPr>
      <w:r>
        <w:t>2．表格空间不足时，可以自行扩展。</w:t>
      </w:r>
    </w:p>
    <w:p w14:paraId="2D4F2EEF">
      <w:pPr>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74837B2F">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6"/>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2249DF91">
      <w:pPr>
        <w:widowControl w:val="0"/>
        <w:spacing w:before="120" w:after="60"/>
      </w:pPr>
      <w:r>
        <w:br w:type="page"/>
      </w:r>
    </w:p>
    <w:p w14:paraId="793BBEE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14:paraId="770AED3A">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693B6E9D">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14:paraId="06E135A1">
      <w:pPr>
        <w:outlineLvl w:val="2"/>
        <w:rPr>
          <w:rFonts w:ascii="黑体" w:hAnsi="黑体" w:eastAsia="黑体"/>
          <w:kern w:val="28"/>
          <w:sz w:val="28"/>
          <w:szCs w:val="28"/>
        </w:rPr>
      </w:pPr>
      <w:r>
        <w:rPr>
          <w:rFonts w:ascii="黑体" w:hAnsi="黑体" w:eastAsia="黑体"/>
          <w:kern w:val="28"/>
          <w:sz w:val="28"/>
          <w:szCs w:val="28"/>
        </w:rPr>
        <w:t>（一）技术（服务）条款响应</w:t>
      </w:r>
    </w:p>
    <w:p w14:paraId="6A34FB30">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14:paraId="3C7D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14:paraId="0D9559D3">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5A3B105">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63CADD96">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78A3BC59">
            <w:pPr>
              <w:jc w:val="center"/>
              <w:rPr>
                <w:rFonts w:asciiTheme="minorEastAsia" w:hAnsiTheme="minorEastAsia"/>
                <w:sz w:val="21"/>
                <w:szCs w:val="21"/>
              </w:rPr>
            </w:pPr>
            <w:r>
              <w:rPr>
                <w:rFonts w:asciiTheme="minorEastAsia" w:hAnsiTheme="minorEastAsia"/>
                <w:sz w:val="21"/>
                <w:szCs w:val="21"/>
              </w:rPr>
              <w:t>响应说明</w:t>
            </w:r>
          </w:p>
        </w:tc>
      </w:tr>
      <w:tr w14:paraId="685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14:paraId="3ABD1459">
            <w:pPr>
              <w:rPr>
                <w:rFonts w:asciiTheme="minorEastAsia" w:hAnsiTheme="minorEastAsia"/>
                <w:sz w:val="21"/>
                <w:szCs w:val="21"/>
              </w:rPr>
            </w:pPr>
          </w:p>
        </w:tc>
        <w:tc>
          <w:tcPr>
            <w:tcW w:w="3207" w:type="dxa"/>
            <w:shd w:val="clear" w:color="auto" w:fill="auto"/>
            <w:vAlign w:val="center"/>
          </w:tcPr>
          <w:p w14:paraId="02C26A36">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77713EDA">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14:paraId="4E853BF7">
            <w:pPr>
              <w:rPr>
                <w:rFonts w:asciiTheme="minorEastAsia" w:hAnsiTheme="minorEastAsia"/>
                <w:sz w:val="21"/>
                <w:szCs w:val="21"/>
              </w:rPr>
            </w:pPr>
          </w:p>
        </w:tc>
      </w:tr>
      <w:tr w14:paraId="54B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B384EB5">
            <w:pPr>
              <w:jc w:val="center"/>
              <w:rPr>
                <w:rFonts w:asciiTheme="minorEastAsia" w:hAnsiTheme="minorEastAsia"/>
                <w:sz w:val="21"/>
                <w:szCs w:val="21"/>
              </w:rPr>
            </w:pPr>
          </w:p>
        </w:tc>
        <w:tc>
          <w:tcPr>
            <w:tcW w:w="3207" w:type="dxa"/>
            <w:shd w:val="clear" w:color="auto" w:fill="auto"/>
            <w:vAlign w:val="center"/>
          </w:tcPr>
          <w:p w14:paraId="6A307581">
            <w:pPr>
              <w:rPr>
                <w:rFonts w:asciiTheme="minorEastAsia" w:hAnsiTheme="minorEastAsia"/>
                <w:sz w:val="21"/>
                <w:szCs w:val="21"/>
              </w:rPr>
            </w:pPr>
          </w:p>
        </w:tc>
        <w:tc>
          <w:tcPr>
            <w:tcW w:w="3351" w:type="dxa"/>
            <w:shd w:val="clear" w:color="auto" w:fill="auto"/>
            <w:vAlign w:val="center"/>
          </w:tcPr>
          <w:p w14:paraId="6018CA86">
            <w:pPr>
              <w:rPr>
                <w:rFonts w:asciiTheme="minorEastAsia" w:hAnsiTheme="minorEastAsia"/>
                <w:sz w:val="21"/>
                <w:szCs w:val="21"/>
              </w:rPr>
            </w:pPr>
          </w:p>
        </w:tc>
        <w:tc>
          <w:tcPr>
            <w:tcW w:w="1798" w:type="dxa"/>
            <w:shd w:val="clear" w:color="auto" w:fill="auto"/>
            <w:vAlign w:val="center"/>
          </w:tcPr>
          <w:p w14:paraId="321E6FC4">
            <w:pPr>
              <w:rPr>
                <w:rFonts w:asciiTheme="minorEastAsia" w:hAnsiTheme="minorEastAsia"/>
                <w:sz w:val="21"/>
                <w:szCs w:val="21"/>
              </w:rPr>
            </w:pPr>
          </w:p>
        </w:tc>
      </w:tr>
      <w:tr w14:paraId="254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0172B4">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789A5AC0">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54985F26">
            <w:pPr>
              <w:rPr>
                <w:rFonts w:asciiTheme="minorEastAsia" w:hAnsiTheme="minorEastAsia"/>
                <w:sz w:val="21"/>
                <w:szCs w:val="21"/>
              </w:rPr>
            </w:pPr>
            <w:r>
              <w:rPr>
                <w:rFonts w:asciiTheme="minorEastAsia" w:hAnsiTheme="minorEastAsia"/>
                <w:sz w:val="21"/>
                <w:szCs w:val="21"/>
              </w:rPr>
              <w:t>1、黑色，打印量1500页……</w:t>
            </w:r>
          </w:p>
          <w:p w14:paraId="7487281E">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001AF5A6">
            <w:pPr>
              <w:jc w:val="center"/>
              <w:rPr>
                <w:rFonts w:asciiTheme="minorEastAsia" w:hAnsiTheme="minorEastAsia"/>
                <w:sz w:val="21"/>
                <w:szCs w:val="21"/>
              </w:rPr>
            </w:pPr>
            <w:r>
              <w:rPr>
                <w:rFonts w:asciiTheme="minorEastAsia" w:hAnsiTheme="minorEastAsia"/>
                <w:sz w:val="21"/>
                <w:szCs w:val="21"/>
              </w:rPr>
              <w:t>符合</w:t>
            </w:r>
          </w:p>
        </w:tc>
      </w:tr>
      <w:tr w14:paraId="10E3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FA0B181">
            <w:pPr>
              <w:jc w:val="center"/>
              <w:rPr>
                <w:rFonts w:asciiTheme="minorEastAsia" w:hAnsiTheme="minorEastAsia"/>
                <w:sz w:val="21"/>
                <w:szCs w:val="21"/>
              </w:rPr>
            </w:pPr>
          </w:p>
        </w:tc>
        <w:tc>
          <w:tcPr>
            <w:tcW w:w="3207" w:type="dxa"/>
            <w:shd w:val="clear" w:color="auto" w:fill="auto"/>
            <w:vAlign w:val="center"/>
          </w:tcPr>
          <w:p w14:paraId="62C69207">
            <w:pPr>
              <w:rPr>
                <w:rFonts w:asciiTheme="minorEastAsia" w:hAnsiTheme="minorEastAsia"/>
                <w:sz w:val="21"/>
                <w:szCs w:val="21"/>
              </w:rPr>
            </w:pPr>
          </w:p>
        </w:tc>
        <w:tc>
          <w:tcPr>
            <w:tcW w:w="3351" w:type="dxa"/>
            <w:shd w:val="clear" w:color="auto" w:fill="auto"/>
            <w:vAlign w:val="center"/>
          </w:tcPr>
          <w:p w14:paraId="76DD1385">
            <w:pPr>
              <w:rPr>
                <w:rFonts w:asciiTheme="minorEastAsia" w:hAnsiTheme="minorEastAsia"/>
                <w:sz w:val="21"/>
                <w:szCs w:val="21"/>
              </w:rPr>
            </w:pPr>
          </w:p>
        </w:tc>
        <w:tc>
          <w:tcPr>
            <w:tcW w:w="1798" w:type="dxa"/>
            <w:shd w:val="clear" w:color="auto" w:fill="auto"/>
            <w:vAlign w:val="center"/>
          </w:tcPr>
          <w:p w14:paraId="1A42D49F">
            <w:pPr>
              <w:rPr>
                <w:rFonts w:asciiTheme="minorEastAsia" w:hAnsiTheme="minorEastAsia"/>
                <w:sz w:val="21"/>
                <w:szCs w:val="21"/>
              </w:rPr>
            </w:pPr>
          </w:p>
        </w:tc>
      </w:tr>
      <w:tr w14:paraId="775C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7E24C7C">
            <w:pPr>
              <w:jc w:val="center"/>
              <w:rPr>
                <w:rFonts w:asciiTheme="minorEastAsia" w:hAnsiTheme="minorEastAsia"/>
                <w:sz w:val="21"/>
                <w:szCs w:val="21"/>
              </w:rPr>
            </w:pPr>
          </w:p>
        </w:tc>
        <w:tc>
          <w:tcPr>
            <w:tcW w:w="3207" w:type="dxa"/>
            <w:shd w:val="clear" w:color="auto" w:fill="auto"/>
            <w:vAlign w:val="center"/>
          </w:tcPr>
          <w:p w14:paraId="0F9CF6A9">
            <w:pPr>
              <w:rPr>
                <w:rFonts w:asciiTheme="minorEastAsia" w:hAnsiTheme="minorEastAsia"/>
                <w:sz w:val="21"/>
                <w:szCs w:val="21"/>
              </w:rPr>
            </w:pPr>
          </w:p>
        </w:tc>
        <w:tc>
          <w:tcPr>
            <w:tcW w:w="3351" w:type="dxa"/>
            <w:shd w:val="clear" w:color="auto" w:fill="auto"/>
            <w:vAlign w:val="center"/>
          </w:tcPr>
          <w:p w14:paraId="13AF5B0F">
            <w:pPr>
              <w:rPr>
                <w:rFonts w:asciiTheme="minorEastAsia" w:hAnsiTheme="minorEastAsia"/>
                <w:sz w:val="21"/>
                <w:szCs w:val="21"/>
              </w:rPr>
            </w:pPr>
          </w:p>
        </w:tc>
        <w:tc>
          <w:tcPr>
            <w:tcW w:w="1798" w:type="dxa"/>
            <w:shd w:val="clear" w:color="auto" w:fill="auto"/>
            <w:vAlign w:val="center"/>
          </w:tcPr>
          <w:p w14:paraId="494501A0">
            <w:pPr>
              <w:rPr>
                <w:rFonts w:asciiTheme="minorEastAsia" w:hAnsiTheme="minorEastAsia"/>
                <w:sz w:val="21"/>
                <w:szCs w:val="21"/>
              </w:rPr>
            </w:pPr>
          </w:p>
        </w:tc>
      </w:tr>
      <w:tr w14:paraId="583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7286165">
            <w:pPr>
              <w:jc w:val="center"/>
              <w:rPr>
                <w:rFonts w:asciiTheme="minorEastAsia" w:hAnsiTheme="minorEastAsia"/>
                <w:sz w:val="21"/>
                <w:szCs w:val="21"/>
              </w:rPr>
            </w:pPr>
          </w:p>
        </w:tc>
        <w:tc>
          <w:tcPr>
            <w:tcW w:w="3207" w:type="dxa"/>
            <w:shd w:val="clear" w:color="auto" w:fill="auto"/>
            <w:vAlign w:val="center"/>
          </w:tcPr>
          <w:p w14:paraId="532D2C7E">
            <w:pPr>
              <w:rPr>
                <w:rFonts w:asciiTheme="minorEastAsia" w:hAnsiTheme="minorEastAsia"/>
                <w:sz w:val="21"/>
                <w:szCs w:val="21"/>
              </w:rPr>
            </w:pPr>
          </w:p>
        </w:tc>
        <w:tc>
          <w:tcPr>
            <w:tcW w:w="3351" w:type="dxa"/>
            <w:shd w:val="clear" w:color="auto" w:fill="auto"/>
            <w:vAlign w:val="center"/>
          </w:tcPr>
          <w:p w14:paraId="0710BE96">
            <w:pPr>
              <w:rPr>
                <w:rFonts w:asciiTheme="minorEastAsia" w:hAnsiTheme="minorEastAsia"/>
                <w:sz w:val="21"/>
                <w:szCs w:val="21"/>
              </w:rPr>
            </w:pPr>
          </w:p>
        </w:tc>
        <w:tc>
          <w:tcPr>
            <w:tcW w:w="1798" w:type="dxa"/>
            <w:shd w:val="clear" w:color="auto" w:fill="auto"/>
            <w:vAlign w:val="center"/>
          </w:tcPr>
          <w:p w14:paraId="286C27AE">
            <w:pPr>
              <w:rPr>
                <w:rFonts w:asciiTheme="minorEastAsia" w:hAnsiTheme="minorEastAsia"/>
                <w:sz w:val="21"/>
                <w:szCs w:val="21"/>
              </w:rPr>
            </w:pPr>
          </w:p>
        </w:tc>
      </w:tr>
      <w:tr w14:paraId="4F2A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E139C85">
            <w:pPr>
              <w:jc w:val="center"/>
              <w:rPr>
                <w:rFonts w:asciiTheme="minorEastAsia" w:hAnsiTheme="minorEastAsia"/>
                <w:sz w:val="21"/>
                <w:szCs w:val="21"/>
              </w:rPr>
            </w:pPr>
          </w:p>
        </w:tc>
        <w:tc>
          <w:tcPr>
            <w:tcW w:w="3207" w:type="dxa"/>
            <w:shd w:val="clear" w:color="auto" w:fill="auto"/>
            <w:vAlign w:val="center"/>
          </w:tcPr>
          <w:p w14:paraId="01689E32">
            <w:pPr>
              <w:rPr>
                <w:rFonts w:asciiTheme="minorEastAsia" w:hAnsiTheme="minorEastAsia"/>
                <w:sz w:val="21"/>
                <w:szCs w:val="21"/>
              </w:rPr>
            </w:pPr>
          </w:p>
        </w:tc>
        <w:tc>
          <w:tcPr>
            <w:tcW w:w="3351" w:type="dxa"/>
            <w:shd w:val="clear" w:color="auto" w:fill="auto"/>
            <w:vAlign w:val="center"/>
          </w:tcPr>
          <w:p w14:paraId="25898BA7">
            <w:pPr>
              <w:rPr>
                <w:rFonts w:asciiTheme="minorEastAsia" w:hAnsiTheme="minorEastAsia"/>
                <w:sz w:val="21"/>
                <w:szCs w:val="21"/>
              </w:rPr>
            </w:pPr>
          </w:p>
        </w:tc>
        <w:tc>
          <w:tcPr>
            <w:tcW w:w="1798" w:type="dxa"/>
            <w:shd w:val="clear" w:color="auto" w:fill="auto"/>
            <w:vAlign w:val="center"/>
          </w:tcPr>
          <w:p w14:paraId="28BF54F2">
            <w:pPr>
              <w:rPr>
                <w:rFonts w:asciiTheme="minorEastAsia" w:hAnsiTheme="minorEastAsia"/>
                <w:sz w:val="21"/>
                <w:szCs w:val="21"/>
              </w:rPr>
            </w:pPr>
          </w:p>
        </w:tc>
      </w:tr>
      <w:tr w14:paraId="37E4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E886D83">
            <w:pPr>
              <w:jc w:val="center"/>
              <w:rPr>
                <w:rFonts w:asciiTheme="minorEastAsia" w:hAnsiTheme="minorEastAsia"/>
                <w:sz w:val="21"/>
                <w:szCs w:val="21"/>
              </w:rPr>
            </w:pPr>
          </w:p>
        </w:tc>
        <w:tc>
          <w:tcPr>
            <w:tcW w:w="3207" w:type="dxa"/>
            <w:shd w:val="clear" w:color="auto" w:fill="auto"/>
            <w:vAlign w:val="center"/>
          </w:tcPr>
          <w:p w14:paraId="42DDFABB">
            <w:pPr>
              <w:rPr>
                <w:rFonts w:asciiTheme="minorEastAsia" w:hAnsiTheme="minorEastAsia"/>
                <w:sz w:val="21"/>
                <w:szCs w:val="21"/>
              </w:rPr>
            </w:pPr>
          </w:p>
        </w:tc>
        <w:tc>
          <w:tcPr>
            <w:tcW w:w="3351" w:type="dxa"/>
            <w:shd w:val="clear" w:color="auto" w:fill="auto"/>
            <w:vAlign w:val="center"/>
          </w:tcPr>
          <w:p w14:paraId="58E89DFE">
            <w:pPr>
              <w:rPr>
                <w:rFonts w:asciiTheme="minorEastAsia" w:hAnsiTheme="minorEastAsia"/>
                <w:sz w:val="21"/>
                <w:szCs w:val="21"/>
              </w:rPr>
            </w:pPr>
          </w:p>
        </w:tc>
        <w:tc>
          <w:tcPr>
            <w:tcW w:w="1798" w:type="dxa"/>
            <w:shd w:val="clear" w:color="auto" w:fill="auto"/>
            <w:vAlign w:val="center"/>
          </w:tcPr>
          <w:p w14:paraId="6F01ECBE">
            <w:pPr>
              <w:rPr>
                <w:rFonts w:asciiTheme="minorEastAsia" w:hAnsiTheme="minorEastAsia"/>
                <w:sz w:val="21"/>
                <w:szCs w:val="21"/>
              </w:rPr>
            </w:pPr>
          </w:p>
        </w:tc>
      </w:tr>
      <w:tr w14:paraId="1ED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51AAF03">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2BB8E1CE">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14:paraId="6EBB5BE6">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2B596078">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380A2FB5">
      <w:pPr>
        <w:rPr>
          <w:rFonts w:asciiTheme="minorEastAsia" w:hAnsiTheme="minorEastAsia"/>
        </w:rPr>
      </w:pPr>
    </w:p>
    <w:p w14:paraId="77EAE1D6">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14:paraId="3309612C">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14:paraId="2EBB0BD4">
      <w:pPr>
        <w:rPr>
          <w:rFonts w:asciiTheme="minorEastAsia" w:hAnsiTheme="minorEastAsia"/>
        </w:rPr>
      </w:pPr>
      <w:r>
        <w:rPr>
          <w:rFonts w:hint="eastAsia" w:asciiTheme="minorEastAsia" w:hAnsiTheme="minorEastAsia"/>
        </w:rPr>
        <w:t>1．需求分析</w:t>
      </w:r>
    </w:p>
    <w:p w14:paraId="58C1A340">
      <w:pPr>
        <w:rPr>
          <w:rFonts w:asciiTheme="minorEastAsia" w:hAnsiTheme="minorEastAsia"/>
        </w:rPr>
      </w:pPr>
      <w:r>
        <w:rPr>
          <w:rFonts w:asciiTheme="minorEastAsia" w:hAnsiTheme="minorEastAsia"/>
        </w:rPr>
        <w:t>2</w:t>
      </w:r>
      <w:r>
        <w:rPr>
          <w:rFonts w:hint="eastAsia" w:asciiTheme="minorEastAsia" w:hAnsiTheme="minorEastAsia"/>
        </w:rPr>
        <w:t>．技术方案</w:t>
      </w:r>
    </w:p>
    <w:p w14:paraId="5DF4E128">
      <w:pPr>
        <w:rPr>
          <w:rFonts w:asciiTheme="minorEastAsia" w:hAnsiTheme="minorEastAsia"/>
        </w:rPr>
      </w:pPr>
      <w:r>
        <w:rPr>
          <w:rFonts w:hint="eastAsia" w:asciiTheme="minorEastAsia" w:hAnsiTheme="minorEastAsia"/>
        </w:rPr>
        <w:t>3. ……</w:t>
      </w:r>
    </w:p>
    <w:p w14:paraId="1CC39B22">
      <w:pPr>
        <w:rPr>
          <w:rFonts w:cstheme="minorHAnsi"/>
          <w:b/>
          <w:color w:val="C00000"/>
          <w:sz w:val="28"/>
          <w:szCs w:val="28"/>
        </w:rPr>
      </w:pPr>
      <w:r>
        <w:rPr>
          <w:rFonts w:cstheme="minorHAnsi"/>
          <w:b/>
          <w:color w:val="C00000"/>
          <w:sz w:val="28"/>
          <w:szCs w:val="28"/>
        </w:rPr>
        <w:br w:type="page"/>
      </w:r>
    </w:p>
    <w:p w14:paraId="172332CF">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29607971">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5796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751FBEDC">
            <w:pPr>
              <w:jc w:val="center"/>
              <w:rPr>
                <w:sz w:val="21"/>
                <w:szCs w:val="21"/>
              </w:rPr>
            </w:pPr>
            <w:r>
              <w:rPr>
                <w:sz w:val="21"/>
                <w:szCs w:val="21"/>
              </w:rPr>
              <w:t>序号</w:t>
            </w:r>
          </w:p>
        </w:tc>
        <w:tc>
          <w:tcPr>
            <w:tcW w:w="3126" w:type="dxa"/>
            <w:shd w:val="clear" w:color="auto" w:fill="F1F1F1" w:themeFill="background1" w:themeFillShade="F2"/>
            <w:vAlign w:val="center"/>
          </w:tcPr>
          <w:p w14:paraId="5DEA03D1">
            <w:pPr>
              <w:jc w:val="center"/>
              <w:rPr>
                <w:sz w:val="21"/>
                <w:szCs w:val="21"/>
              </w:rPr>
            </w:pPr>
            <w:r>
              <w:rPr>
                <w:sz w:val="21"/>
                <w:szCs w:val="21"/>
              </w:rPr>
              <w:t>磋商文件</w:t>
            </w:r>
          </w:p>
        </w:tc>
        <w:tc>
          <w:tcPr>
            <w:tcW w:w="3432" w:type="dxa"/>
            <w:shd w:val="clear" w:color="auto" w:fill="F1F1F1" w:themeFill="background1" w:themeFillShade="F2"/>
            <w:vAlign w:val="center"/>
          </w:tcPr>
          <w:p w14:paraId="75A1598A">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14:paraId="49F5038F">
            <w:pPr>
              <w:jc w:val="center"/>
              <w:rPr>
                <w:sz w:val="21"/>
                <w:szCs w:val="21"/>
              </w:rPr>
            </w:pPr>
            <w:r>
              <w:rPr>
                <w:sz w:val="21"/>
                <w:szCs w:val="21"/>
              </w:rPr>
              <w:t>响应说明</w:t>
            </w:r>
          </w:p>
        </w:tc>
      </w:tr>
      <w:tr w14:paraId="4F6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40ADA6D0">
            <w:pPr>
              <w:jc w:val="center"/>
              <w:rPr>
                <w:sz w:val="21"/>
                <w:szCs w:val="21"/>
              </w:rPr>
            </w:pPr>
          </w:p>
        </w:tc>
        <w:tc>
          <w:tcPr>
            <w:tcW w:w="3126" w:type="dxa"/>
            <w:shd w:val="clear" w:color="auto" w:fill="F1F1F1" w:themeFill="background1" w:themeFillShade="F2"/>
            <w:vAlign w:val="center"/>
          </w:tcPr>
          <w:p w14:paraId="55EEC86C">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448BAB14">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3D2F01EC">
            <w:pPr>
              <w:rPr>
                <w:sz w:val="21"/>
                <w:szCs w:val="21"/>
              </w:rPr>
            </w:pPr>
          </w:p>
        </w:tc>
      </w:tr>
      <w:tr w14:paraId="0E8C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E0E78C1">
            <w:pPr>
              <w:rPr>
                <w:sz w:val="21"/>
                <w:szCs w:val="21"/>
              </w:rPr>
            </w:pPr>
          </w:p>
        </w:tc>
        <w:tc>
          <w:tcPr>
            <w:tcW w:w="3126" w:type="dxa"/>
            <w:vAlign w:val="center"/>
          </w:tcPr>
          <w:p w14:paraId="09B9B6C0">
            <w:pPr>
              <w:rPr>
                <w:sz w:val="21"/>
                <w:szCs w:val="21"/>
              </w:rPr>
            </w:pPr>
          </w:p>
        </w:tc>
        <w:tc>
          <w:tcPr>
            <w:tcW w:w="3432" w:type="dxa"/>
            <w:vAlign w:val="center"/>
          </w:tcPr>
          <w:p w14:paraId="26E3396B">
            <w:pPr>
              <w:rPr>
                <w:sz w:val="21"/>
                <w:szCs w:val="21"/>
              </w:rPr>
            </w:pPr>
          </w:p>
        </w:tc>
        <w:tc>
          <w:tcPr>
            <w:tcW w:w="1823" w:type="dxa"/>
            <w:vAlign w:val="center"/>
          </w:tcPr>
          <w:p w14:paraId="761E96CF">
            <w:pPr>
              <w:rPr>
                <w:sz w:val="21"/>
                <w:szCs w:val="21"/>
              </w:rPr>
            </w:pPr>
          </w:p>
        </w:tc>
      </w:tr>
      <w:tr w14:paraId="769A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3" w:type="dxa"/>
            <w:vAlign w:val="center"/>
          </w:tcPr>
          <w:p w14:paraId="3D58123C">
            <w:pPr>
              <w:rPr>
                <w:sz w:val="21"/>
                <w:szCs w:val="21"/>
              </w:rPr>
            </w:pPr>
          </w:p>
        </w:tc>
        <w:tc>
          <w:tcPr>
            <w:tcW w:w="3126" w:type="dxa"/>
            <w:vAlign w:val="center"/>
          </w:tcPr>
          <w:p w14:paraId="4D1B1FA3">
            <w:pPr>
              <w:rPr>
                <w:sz w:val="21"/>
                <w:szCs w:val="21"/>
              </w:rPr>
            </w:pPr>
          </w:p>
        </w:tc>
        <w:tc>
          <w:tcPr>
            <w:tcW w:w="3432" w:type="dxa"/>
            <w:vAlign w:val="center"/>
          </w:tcPr>
          <w:p w14:paraId="24998E1A">
            <w:pPr>
              <w:rPr>
                <w:sz w:val="21"/>
                <w:szCs w:val="21"/>
              </w:rPr>
            </w:pPr>
          </w:p>
        </w:tc>
        <w:tc>
          <w:tcPr>
            <w:tcW w:w="1823" w:type="dxa"/>
            <w:vAlign w:val="center"/>
          </w:tcPr>
          <w:p w14:paraId="31ED45C6">
            <w:pPr>
              <w:rPr>
                <w:sz w:val="21"/>
                <w:szCs w:val="21"/>
              </w:rPr>
            </w:pPr>
          </w:p>
        </w:tc>
      </w:tr>
      <w:tr w14:paraId="60C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4AAC8D3">
            <w:pPr>
              <w:rPr>
                <w:sz w:val="21"/>
                <w:szCs w:val="21"/>
              </w:rPr>
            </w:pPr>
          </w:p>
        </w:tc>
        <w:tc>
          <w:tcPr>
            <w:tcW w:w="3126" w:type="dxa"/>
            <w:vAlign w:val="center"/>
          </w:tcPr>
          <w:p w14:paraId="29FEE8A8">
            <w:pPr>
              <w:rPr>
                <w:sz w:val="21"/>
                <w:szCs w:val="21"/>
              </w:rPr>
            </w:pPr>
          </w:p>
        </w:tc>
        <w:tc>
          <w:tcPr>
            <w:tcW w:w="3432" w:type="dxa"/>
            <w:vAlign w:val="center"/>
          </w:tcPr>
          <w:p w14:paraId="33303FBC">
            <w:pPr>
              <w:rPr>
                <w:sz w:val="21"/>
                <w:szCs w:val="21"/>
              </w:rPr>
            </w:pPr>
          </w:p>
        </w:tc>
        <w:tc>
          <w:tcPr>
            <w:tcW w:w="1823" w:type="dxa"/>
            <w:vAlign w:val="center"/>
          </w:tcPr>
          <w:p w14:paraId="5D09ECCE">
            <w:pPr>
              <w:rPr>
                <w:sz w:val="21"/>
                <w:szCs w:val="21"/>
              </w:rPr>
            </w:pPr>
          </w:p>
        </w:tc>
      </w:tr>
      <w:tr w14:paraId="187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F52B4FF">
            <w:pPr>
              <w:rPr>
                <w:sz w:val="21"/>
                <w:szCs w:val="21"/>
              </w:rPr>
            </w:pPr>
          </w:p>
        </w:tc>
        <w:tc>
          <w:tcPr>
            <w:tcW w:w="3126" w:type="dxa"/>
            <w:vAlign w:val="center"/>
          </w:tcPr>
          <w:p w14:paraId="54E1F26D">
            <w:pPr>
              <w:rPr>
                <w:sz w:val="21"/>
                <w:szCs w:val="21"/>
              </w:rPr>
            </w:pPr>
          </w:p>
        </w:tc>
        <w:tc>
          <w:tcPr>
            <w:tcW w:w="3432" w:type="dxa"/>
            <w:vAlign w:val="center"/>
          </w:tcPr>
          <w:p w14:paraId="7B1E2CB1">
            <w:pPr>
              <w:rPr>
                <w:sz w:val="21"/>
                <w:szCs w:val="21"/>
              </w:rPr>
            </w:pPr>
          </w:p>
        </w:tc>
        <w:tc>
          <w:tcPr>
            <w:tcW w:w="1823" w:type="dxa"/>
            <w:vAlign w:val="center"/>
          </w:tcPr>
          <w:p w14:paraId="4FA56E1F">
            <w:pPr>
              <w:rPr>
                <w:sz w:val="21"/>
                <w:szCs w:val="21"/>
              </w:rPr>
            </w:pPr>
          </w:p>
        </w:tc>
      </w:tr>
      <w:tr w14:paraId="19B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8929EC5">
            <w:pPr>
              <w:rPr>
                <w:sz w:val="21"/>
                <w:szCs w:val="21"/>
              </w:rPr>
            </w:pPr>
          </w:p>
        </w:tc>
        <w:tc>
          <w:tcPr>
            <w:tcW w:w="3126" w:type="dxa"/>
            <w:vAlign w:val="center"/>
          </w:tcPr>
          <w:p w14:paraId="5EFD3CD9">
            <w:pPr>
              <w:rPr>
                <w:sz w:val="21"/>
                <w:szCs w:val="21"/>
              </w:rPr>
            </w:pPr>
          </w:p>
        </w:tc>
        <w:tc>
          <w:tcPr>
            <w:tcW w:w="3432" w:type="dxa"/>
            <w:vAlign w:val="center"/>
          </w:tcPr>
          <w:p w14:paraId="34144340">
            <w:pPr>
              <w:rPr>
                <w:sz w:val="21"/>
                <w:szCs w:val="21"/>
              </w:rPr>
            </w:pPr>
          </w:p>
        </w:tc>
        <w:tc>
          <w:tcPr>
            <w:tcW w:w="1823" w:type="dxa"/>
            <w:vAlign w:val="center"/>
          </w:tcPr>
          <w:p w14:paraId="0864AFBE">
            <w:pPr>
              <w:rPr>
                <w:sz w:val="21"/>
                <w:szCs w:val="21"/>
              </w:rPr>
            </w:pPr>
          </w:p>
        </w:tc>
      </w:tr>
      <w:tr w14:paraId="138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1733378">
            <w:pPr>
              <w:rPr>
                <w:sz w:val="21"/>
                <w:szCs w:val="21"/>
              </w:rPr>
            </w:pPr>
          </w:p>
        </w:tc>
        <w:tc>
          <w:tcPr>
            <w:tcW w:w="3126" w:type="dxa"/>
            <w:vAlign w:val="center"/>
          </w:tcPr>
          <w:p w14:paraId="534B7F8D">
            <w:pPr>
              <w:rPr>
                <w:sz w:val="21"/>
                <w:szCs w:val="21"/>
              </w:rPr>
            </w:pPr>
          </w:p>
        </w:tc>
        <w:tc>
          <w:tcPr>
            <w:tcW w:w="3432" w:type="dxa"/>
            <w:vAlign w:val="center"/>
          </w:tcPr>
          <w:p w14:paraId="126925B5">
            <w:pPr>
              <w:rPr>
                <w:sz w:val="21"/>
                <w:szCs w:val="21"/>
              </w:rPr>
            </w:pPr>
          </w:p>
        </w:tc>
        <w:tc>
          <w:tcPr>
            <w:tcW w:w="1823" w:type="dxa"/>
            <w:vAlign w:val="center"/>
          </w:tcPr>
          <w:p w14:paraId="66D8504B">
            <w:pPr>
              <w:rPr>
                <w:sz w:val="21"/>
                <w:szCs w:val="21"/>
              </w:rPr>
            </w:pPr>
          </w:p>
        </w:tc>
      </w:tr>
      <w:tr w14:paraId="4C1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94F4699">
            <w:pPr>
              <w:rPr>
                <w:sz w:val="21"/>
                <w:szCs w:val="21"/>
              </w:rPr>
            </w:pPr>
          </w:p>
        </w:tc>
        <w:tc>
          <w:tcPr>
            <w:tcW w:w="3126" w:type="dxa"/>
            <w:vAlign w:val="center"/>
          </w:tcPr>
          <w:p w14:paraId="725F3245">
            <w:pPr>
              <w:rPr>
                <w:sz w:val="21"/>
                <w:szCs w:val="21"/>
              </w:rPr>
            </w:pPr>
          </w:p>
        </w:tc>
        <w:tc>
          <w:tcPr>
            <w:tcW w:w="3432" w:type="dxa"/>
            <w:vAlign w:val="center"/>
          </w:tcPr>
          <w:p w14:paraId="49188790">
            <w:pPr>
              <w:rPr>
                <w:sz w:val="21"/>
                <w:szCs w:val="21"/>
              </w:rPr>
            </w:pPr>
          </w:p>
        </w:tc>
        <w:tc>
          <w:tcPr>
            <w:tcW w:w="1823" w:type="dxa"/>
            <w:vAlign w:val="center"/>
          </w:tcPr>
          <w:p w14:paraId="4D157AF3">
            <w:pPr>
              <w:rPr>
                <w:sz w:val="21"/>
                <w:szCs w:val="21"/>
              </w:rPr>
            </w:pPr>
          </w:p>
        </w:tc>
      </w:tr>
      <w:tr w14:paraId="290E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3D564DF">
            <w:pPr>
              <w:rPr>
                <w:sz w:val="21"/>
                <w:szCs w:val="21"/>
              </w:rPr>
            </w:pPr>
            <w:r>
              <w:rPr>
                <w:sz w:val="21"/>
                <w:szCs w:val="21"/>
              </w:rPr>
              <w:t>备注</w:t>
            </w:r>
          </w:p>
        </w:tc>
        <w:tc>
          <w:tcPr>
            <w:tcW w:w="8381" w:type="dxa"/>
            <w:gridSpan w:val="3"/>
            <w:vAlign w:val="center"/>
          </w:tcPr>
          <w:p w14:paraId="1C8B963B">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320F196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084E07DE">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349090C3">
            <w:pPr>
              <w:jc w:val="both"/>
              <w:rPr>
                <w:sz w:val="21"/>
                <w:szCs w:val="21"/>
              </w:rPr>
            </w:pPr>
            <w:r>
              <w:rPr>
                <w:rFonts w:hint="eastAsia" w:asciiTheme="minorEastAsia" w:hAnsiTheme="minorEastAsia"/>
                <w:sz w:val="21"/>
                <w:szCs w:val="21"/>
              </w:rPr>
              <w:t>④ 表格中“示例”部分仅供参考，供应商在响应时请自行清除。</w:t>
            </w:r>
          </w:p>
        </w:tc>
      </w:tr>
    </w:tbl>
    <w:p w14:paraId="7CA100E9">
      <w:pPr>
        <w:rPr>
          <w:i/>
          <w:color w:val="C00000"/>
        </w:rPr>
      </w:pPr>
    </w:p>
    <w:p w14:paraId="47ACE9F3">
      <w:pPr>
        <w:jc w:val="center"/>
        <w:rPr>
          <w:rFonts w:cstheme="minorHAnsi"/>
          <w:b/>
        </w:rPr>
      </w:pPr>
      <w:r>
        <w:rPr>
          <w:rFonts w:cstheme="minorHAnsi"/>
          <w:b/>
        </w:rPr>
        <w:t>2</w:t>
      </w:r>
      <w:r>
        <w:rPr>
          <w:rFonts w:hint="eastAsia" w:cstheme="minorHAnsi"/>
          <w:b/>
        </w:rPr>
        <w:t>.商务评审部分方案</w:t>
      </w:r>
    </w:p>
    <w:p w14:paraId="32EFF2EE">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3A475221">
      <w:pPr>
        <w:rPr>
          <w:rFonts w:asciiTheme="minorEastAsia" w:hAnsiTheme="minorEastAsia" w:cstheme="minorHAnsi"/>
          <w:b/>
          <w:color w:val="000000"/>
          <w:kern w:val="24"/>
        </w:rPr>
      </w:pPr>
    </w:p>
    <w:p w14:paraId="0BB9A80A">
      <w:pPr>
        <w:rPr>
          <w:rFonts w:asciiTheme="minorEastAsia" w:hAnsiTheme="minorEastAsia" w:cstheme="minorHAnsi"/>
          <w:color w:val="000000"/>
          <w:kern w:val="24"/>
        </w:rPr>
      </w:pPr>
      <w:r>
        <w:rPr>
          <w:rFonts w:asciiTheme="minorEastAsia" w:hAnsiTheme="minorEastAsia" w:cstheme="minorHAnsi"/>
          <w:color w:val="000000"/>
          <w:kern w:val="24"/>
        </w:rPr>
        <w:t>1</w:t>
      </w:r>
      <w:r>
        <w:rPr>
          <w:rFonts w:hint="eastAsia" w:asciiTheme="minorEastAsia" w:hAnsiTheme="minorEastAsia" w:cstheme="minorHAnsi"/>
          <w:color w:val="000000"/>
          <w:kern w:val="24"/>
        </w:rPr>
        <w:t>．资质要求</w:t>
      </w:r>
    </w:p>
    <w:p w14:paraId="6F53AD8B">
      <w:pPr>
        <w:rPr>
          <w:rFonts w:asciiTheme="minorEastAsia" w:hAnsiTheme="minorEastAsia" w:cstheme="minorHAnsi"/>
          <w:color w:val="000000"/>
          <w:kern w:val="24"/>
        </w:rPr>
      </w:pPr>
      <w:r>
        <w:rPr>
          <w:rFonts w:asciiTheme="minorEastAsia" w:hAnsiTheme="minorEastAsia" w:cstheme="minorHAnsi"/>
          <w:color w:val="000000"/>
          <w:kern w:val="24"/>
        </w:rPr>
        <w:t>2</w:t>
      </w:r>
      <w:r>
        <w:rPr>
          <w:rFonts w:hint="eastAsia" w:asciiTheme="minorEastAsia" w:hAnsiTheme="minorEastAsia" w:cstheme="minorHAnsi"/>
          <w:color w:val="000000"/>
          <w:kern w:val="24"/>
        </w:rPr>
        <w:t>．</w:t>
      </w:r>
      <w:r>
        <w:rPr>
          <w:rFonts w:asciiTheme="minorEastAsia" w:hAnsiTheme="minorEastAsia" w:cstheme="minorHAnsi"/>
          <w:color w:val="000000"/>
          <w:kern w:val="24"/>
        </w:rPr>
        <w:t>拟派项目团队人员情况表</w:t>
      </w:r>
    </w:p>
    <w:tbl>
      <w:tblPr>
        <w:tblStyle w:val="2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2071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14:paraId="0B4CD97F">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14:paraId="1E4090EA">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14:paraId="2E04283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14:paraId="7086A8B4">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14:paraId="7902F779">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14:paraId="12A42E0E">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4FE1B1DF">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14:paraId="6E0C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3F822F0A">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053776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D18DCC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DD970EA">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79CDADF3">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2974786">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09FD072">
            <w:pPr>
              <w:jc w:val="center"/>
              <w:rPr>
                <w:rFonts w:asciiTheme="minorEastAsia" w:hAnsiTheme="minorEastAsia" w:cstheme="minorHAnsi"/>
                <w:color w:val="000000"/>
                <w:sz w:val="21"/>
                <w:szCs w:val="21"/>
              </w:rPr>
            </w:pPr>
          </w:p>
        </w:tc>
      </w:tr>
      <w:tr w14:paraId="05DC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EC3D6ED">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A1903D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CB4018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0AA7B85">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7516612">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8C5A8B1">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1E55435">
            <w:pPr>
              <w:jc w:val="center"/>
              <w:rPr>
                <w:rFonts w:asciiTheme="minorEastAsia" w:hAnsiTheme="minorEastAsia" w:cstheme="minorHAnsi"/>
                <w:color w:val="000000"/>
                <w:sz w:val="21"/>
                <w:szCs w:val="21"/>
              </w:rPr>
            </w:pPr>
          </w:p>
        </w:tc>
      </w:tr>
      <w:tr w14:paraId="212A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408F027C">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95F1BD9">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0BC34A3">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F3C4521">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634DCC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2505A2D2">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444096F">
            <w:pPr>
              <w:jc w:val="center"/>
              <w:rPr>
                <w:rFonts w:asciiTheme="minorEastAsia" w:hAnsiTheme="minorEastAsia" w:cstheme="minorHAnsi"/>
                <w:color w:val="000000"/>
                <w:sz w:val="21"/>
                <w:szCs w:val="21"/>
              </w:rPr>
            </w:pPr>
          </w:p>
        </w:tc>
      </w:tr>
      <w:tr w14:paraId="7B87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2D0D164">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FFDAE0B">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20A95C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B202DC2">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2C88561A">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55BE922">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20B6DFB">
            <w:pPr>
              <w:jc w:val="center"/>
              <w:rPr>
                <w:rFonts w:asciiTheme="minorEastAsia" w:hAnsiTheme="minorEastAsia" w:cstheme="minorHAnsi"/>
                <w:color w:val="000000"/>
                <w:sz w:val="21"/>
                <w:szCs w:val="21"/>
              </w:rPr>
            </w:pPr>
          </w:p>
        </w:tc>
      </w:tr>
      <w:tr w14:paraId="7A35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299F9D7">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812A15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DC3962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363A443">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0A19F97">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3744A6E">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F585159">
            <w:pPr>
              <w:jc w:val="center"/>
              <w:rPr>
                <w:rFonts w:asciiTheme="minorEastAsia" w:hAnsiTheme="minorEastAsia" w:cstheme="minorHAnsi"/>
                <w:color w:val="000000"/>
                <w:sz w:val="21"/>
                <w:szCs w:val="21"/>
              </w:rPr>
            </w:pPr>
          </w:p>
        </w:tc>
      </w:tr>
      <w:tr w14:paraId="1069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0088E3E">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7345B677">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475DA2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84006BB">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B4EFC9D">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03DF439">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3CED25F">
            <w:pPr>
              <w:jc w:val="center"/>
              <w:rPr>
                <w:rFonts w:asciiTheme="minorEastAsia" w:hAnsiTheme="minorEastAsia" w:cstheme="minorHAnsi"/>
                <w:color w:val="000000"/>
                <w:sz w:val="21"/>
                <w:szCs w:val="21"/>
              </w:rPr>
            </w:pPr>
          </w:p>
        </w:tc>
      </w:tr>
      <w:tr w14:paraId="371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0428622">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320C89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BBBA3E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88C3328">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59355A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048E1FF">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4712CBAD">
            <w:pPr>
              <w:jc w:val="center"/>
              <w:rPr>
                <w:rFonts w:asciiTheme="minorEastAsia" w:hAnsiTheme="minorEastAsia" w:cstheme="minorHAnsi"/>
                <w:color w:val="000000"/>
                <w:sz w:val="21"/>
                <w:szCs w:val="21"/>
              </w:rPr>
            </w:pPr>
          </w:p>
        </w:tc>
      </w:tr>
      <w:tr w14:paraId="4AD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9246C8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05643C6E">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716F033A">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14:paraId="3CD1E5E1">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158D2DDA">
      <w:pPr>
        <w:rPr>
          <w:rFonts w:asciiTheme="minorEastAsia" w:hAnsiTheme="minorEastAsia" w:cstheme="minorHAnsi"/>
          <w:color w:val="000000"/>
          <w:kern w:val="24"/>
        </w:rPr>
      </w:pPr>
      <w:r>
        <w:rPr>
          <w:rFonts w:asciiTheme="minorEastAsia" w:hAnsiTheme="minorEastAsia" w:cstheme="minorHAnsi"/>
          <w:color w:val="000000"/>
          <w:kern w:val="24"/>
        </w:rPr>
        <w:t>3</w:t>
      </w:r>
      <w:r>
        <w:rPr>
          <w:rFonts w:hint="eastAsia" w:asciiTheme="minorEastAsia" w:hAnsiTheme="minorEastAsia" w:cstheme="minorHAnsi"/>
          <w:color w:val="000000"/>
          <w:kern w:val="24"/>
        </w:rPr>
        <w:t>．业绩</w:t>
      </w:r>
    </w:p>
    <w:p w14:paraId="176922E8">
      <w:pPr>
        <w:rPr>
          <w:rFonts w:asciiTheme="minorEastAsia" w:hAnsiTheme="minorEastAsia" w:cstheme="minorHAnsi"/>
          <w:color w:val="000000"/>
          <w:kern w:val="24"/>
        </w:rPr>
      </w:pPr>
      <w:r>
        <w:rPr>
          <w:rFonts w:hint="eastAsia" w:asciiTheme="minorEastAsia" w:hAnsiTheme="minorEastAsia" w:cstheme="minorHAnsi"/>
          <w:color w:val="000000"/>
          <w:kern w:val="24"/>
        </w:rPr>
        <w:t>4.……</w:t>
      </w:r>
    </w:p>
    <w:p w14:paraId="6F94045C">
      <w:pPr>
        <w:rPr>
          <w:rFonts w:asciiTheme="minorEastAsia" w:hAnsiTheme="minorEastAsia" w:cstheme="minorHAnsi"/>
          <w:b/>
        </w:rPr>
      </w:pPr>
    </w:p>
    <w:p w14:paraId="1C782DD1">
      <w:pPr>
        <w:rPr>
          <w:rFonts w:asciiTheme="minorEastAsia" w:hAnsiTheme="minorEastAsia" w:cstheme="minorHAnsi"/>
          <w:b/>
        </w:rPr>
      </w:pPr>
    </w:p>
    <w:p w14:paraId="49827016">
      <w:pPr>
        <w:rPr>
          <w:rFonts w:cstheme="minorHAnsi"/>
          <w:b/>
        </w:rPr>
      </w:pP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6"/>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6"/>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3"/>
        <w:ind w:firstLine="480"/>
        <w:rPr>
          <w:i/>
          <w:color w:val="7030A0"/>
        </w:rPr>
      </w:pPr>
      <w:r>
        <w:rPr>
          <w:i/>
          <w:color w:val="7030A0"/>
        </w:rPr>
        <w:t>未签署下列承诺书的，将被视为无效响应，其责任由供应商自行承担。</w:t>
      </w:r>
    </w:p>
    <w:p w14:paraId="409E63E0">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176A5D0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6680529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63ECBA9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4CB8922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5FCB3D60">
      <w:pPr>
        <w:ind w:firstLine="480" w:firstLineChars="200"/>
        <w:jc w:val="both"/>
        <w:rPr>
          <w:rFonts w:ascii="Calibri" w:hAnsi="Calibri" w:eastAsia="宋体" w:cstheme="minorHAnsi"/>
          <w:color w:val="000000"/>
          <w:kern w:val="24"/>
        </w:rPr>
      </w:pPr>
    </w:p>
    <w:p w14:paraId="12FE84F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493F993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667F1DB1">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48D38801">
      <w:pPr>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14:paraId="78DA254E">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14:paraId="154F3E51">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14:paraId="36499E24">
      <w:pPr>
        <w:ind w:firstLine="480" w:firstLineChars="200"/>
        <w:jc w:val="both"/>
      </w:pPr>
      <w:r>
        <w:rPr>
          <w:rFonts w:hint="eastAsia"/>
        </w:rPr>
        <w:t>成交供应商享受了政府采购优惠政策的，将随成交结果公开其声明函\证明函，接受社会监督。</w:t>
      </w:r>
    </w:p>
    <w:p w14:paraId="63D620A3">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14:paraId="78BD3DE4">
      <w:pPr>
        <w:pStyle w:val="42"/>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43F2C4E8">
      <w:pPr>
        <w:pStyle w:val="42"/>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pPr>
        <w:pStyle w:val="42"/>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77005AC0">
      <w:pPr>
        <w:pStyle w:val="42"/>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14:paraId="3C4953CE">
      <w:pPr>
        <w:tabs>
          <w:tab w:val="left" w:pos="5670"/>
        </w:tabs>
        <w:ind w:firstLine="480" w:firstLineChars="200"/>
        <w:jc w:val="both"/>
        <w:rPr>
          <w:rFonts w:cstheme="minorHAnsi"/>
          <w:b/>
          <w:color w:val="C00000"/>
        </w:rPr>
      </w:pPr>
    </w:p>
    <w:p w14:paraId="6420DDCD">
      <w:pPr>
        <w:tabs>
          <w:tab w:val="left" w:pos="5670"/>
        </w:tabs>
        <w:jc w:val="center"/>
        <w:rPr>
          <w:rFonts w:cs="Calibri Light"/>
          <w:b/>
          <w:color w:val="1F4E79"/>
          <w:sz w:val="28"/>
          <w:szCs w:val="36"/>
        </w:rPr>
      </w:pPr>
      <w:r>
        <w:rPr>
          <w:rFonts w:cs="Calibri Light"/>
          <w:b/>
          <w:color w:val="1F4E79"/>
          <w:sz w:val="28"/>
          <w:szCs w:val="36"/>
        </w:rPr>
        <w:t>『中小企业声明函』（服务类格式）</w:t>
      </w:r>
    </w:p>
    <w:p w14:paraId="5BE9E4C0">
      <w:pPr>
        <w:pStyle w:val="42"/>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36F98D71">
      <w:pPr>
        <w:pStyle w:val="42"/>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1EB3ECEA">
      <w:pPr>
        <w:pStyle w:val="42"/>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77947DB5">
      <w:pPr>
        <w:pStyle w:val="42"/>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16A78B82">
      <w:pPr>
        <w:ind w:firstLine="480" w:firstLineChars="200"/>
        <w:jc w:val="both"/>
      </w:pPr>
      <w:r>
        <w:t>以上企业，不属于大企业的分支机构，不存在控股股东为大企业的情形，也不存在与大企业的负责人为同一人的情形。</w:t>
      </w:r>
    </w:p>
    <w:p w14:paraId="349FAC5B">
      <w:pPr>
        <w:ind w:firstLine="480" w:firstLineChars="200"/>
        <w:jc w:val="both"/>
      </w:pPr>
      <w:r>
        <w:t>本企业对上述声明内容的真实性负责。如有虚假，将依法承担相应责任。</w:t>
      </w:r>
    </w:p>
    <w:p w14:paraId="6CA3E663">
      <w:pPr>
        <w:ind w:firstLine="480" w:firstLineChars="200"/>
        <w:jc w:val="both"/>
      </w:pPr>
    </w:p>
    <w:p w14:paraId="66CA612B">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7CFE9C8A">
      <w:pPr>
        <w:tabs>
          <w:tab w:val="left" w:pos="5670"/>
        </w:tabs>
        <w:ind w:firstLine="480" w:firstLineChars="200"/>
        <w:jc w:val="both"/>
        <w:rPr>
          <w:rFonts w:cs="Calibri Light"/>
          <w:color w:val="000000"/>
        </w:rPr>
      </w:pPr>
      <w:r>
        <w:rPr>
          <w:rFonts w:cs="Calibri Light"/>
          <w:color w:val="000000"/>
        </w:rPr>
        <w:t>日　期：　　年　月　日</w:t>
      </w:r>
    </w:p>
    <w:p w14:paraId="023BA8A3">
      <w:pPr>
        <w:tabs>
          <w:tab w:val="left" w:pos="5670"/>
        </w:tabs>
        <w:jc w:val="both"/>
        <w:rPr>
          <w:rFonts w:cs="Calibri Light"/>
          <w:color w:val="000000"/>
        </w:rPr>
      </w:pPr>
    </w:p>
    <w:p w14:paraId="6EF6D66A">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1DFD68B6">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5136CF1D">
      <w:pPr>
        <w:jc w:val="center"/>
        <w:rPr>
          <w:rFonts w:cs="Calibri Light"/>
          <w:b/>
          <w:color w:val="1F4E79"/>
          <w:sz w:val="28"/>
          <w:szCs w:val="36"/>
        </w:rPr>
      </w:pPr>
      <w:r>
        <w:rPr>
          <w:rFonts w:cs="Calibri Light"/>
          <w:b/>
          <w:color w:val="1F4E79"/>
          <w:sz w:val="28"/>
          <w:szCs w:val="36"/>
        </w:rPr>
        <w:t>『残疾人福利性单位声明函』（格式）</w:t>
      </w:r>
    </w:p>
    <w:p w14:paraId="3EB47A5B">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CC6C156">
      <w:pPr>
        <w:ind w:firstLine="480" w:firstLineChars="200"/>
        <w:jc w:val="both"/>
        <w:rPr>
          <w:rFonts w:cstheme="minorHAnsi"/>
          <w:color w:val="000000"/>
        </w:rPr>
      </w:pPr>
      <w:r>
        <w:rPr>
          <w:rFonts w:cstheme="minorHAnsi"/>
          <w:color w:val="000000"/>
        </w:rPr>
        <w:t>本单位对上述声明的真实性负责。如有虚假，将依法承担相应责任。</w:t>
      </w:r>
    </w:p>
    <w:p w14:paraId="5FF3D6A2">
      <w:pPr>
        <w:ind w:firstLine="480" w:firstLineChars="200"/>
        <w:jc w:val="both"/>
        <w:rPr>
          <w:rFonts w:cstheme="minorHAnsi"/>
          <w:color w:val="000000"/>
        </w:rPr>
      </w:pPr>
    </w:p>
    <w:p w14:paraId="287DEF40">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0328D65">
      <w:pPr>
        <w:tabs>
          <w:tab w:val="left" w:pos="5670"/>
        </w:tabs>
        <w:ind w:firstLine="480" w:firstLineChars="200"/>
        <w:jc w:val="both"/>
        <w:rPr>
          <w:rFonts w:cstheme="minorHAnsi"/>
          <w:color w:val="000000"/>
        </w:rPr>
      </w:pPr>
      <w:r>
        <w:rPr>
          <w:rFonts w:cstheme="minorHAnsi"/>
          <w:color w:val="000000"/>
        </w:rPr>
        <w:t>日　期：　　年　月　日</w:t>
      </w:r>
    </w:p>
    <w:p w14:paraId="4E6717EF">
      <w:pPr>
        <w:tabs>
          <w:tab w:val="left" w:pos="5670"/>
        </w:tabs>
        <w:jc w:val="both"/>
        <w:rPr>
          <w:rFonts w:cstheme="minorHAnsi"/>
          <w:color w:val="000000"/>
        </w:rPr>
      </w:pPr>
    </w:p>
    <w:p w14:paraId="0E8C8EF5">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34351D54">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685BC729">
      <w:pPr>
        <w:jc w:val="center"/>
        <w:rPr>
          <w:rFonts w:cs="Calibri Light"/>
          <w:b/>
          <w:color w:val="1F4E79"/>
          <w:sz w:val="28"/>
          <w:szCs w:val="36"/>
        </w:rPr>
      </w:pPr>
      <w:r>
        <w:rPr>
          <w:rFonts w:cs="Calibri Light"/>
          <w:b/>
          <w:color w:val="1F4E79"/>
          <w:sz w:val="28"/>
          <w:szCs w:val="36"/>
        </w:rPr>
        <w:t>『监狱企业证明函』</w:t>
      </w:r>
    </w:p>
    <w:p w14:paraId="23F46BFA">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9"/>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417F">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525D">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C675">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C9D5">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EE7A">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2F4D">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C34E">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56CB">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74580">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C9A3">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9"/>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5E7C">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3417">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2316">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10C0">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2D8C">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5912">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FB1F">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A72A">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2DB0">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B3E2">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8EDD">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157B6">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20"/>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20"/>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2025年西安市住建局诚信建设及监管多维分析综合系统延续运维项目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20"/>
      <w:pBdr>
        <w:bottom w:val="single" w:color="auto" w:sz="4" w:space="1"/>
      </w:pBdr>
      <w:tabs>
        <w:tab w:val="clear" w:pos="4153"/>
        <w:tab w:val="clear" w:pos="8306"/>
      </w:tabs>
      <w:jc w:val="right"/>
      <w:rPr>
        <w:rFonts w:ascii="宋体" w:hAnsi="宋体" w:eastAsia="宋体"/>
      </w:rPr>
    </w:pPr>
    <w:r>
      <w:rPr>
        <w:rFonts w:ascii="宋体" w:hAnsi="宋体" w:eastAsia="宋体"/>
      </w:rPr>
      <w:t>2025年西安市住建局诚信建设及监管多维分析综合系统延续运维项目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20"/>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2025年西安市住建局诚信建设及监管多维分析综合系统延续运维项目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100"/>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5A33"/>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03F5"/>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77B9C"/>
    <w:rsid w:val="00182C33"/>
    <w:rsid w:val="0018316D"/>
    <w:rsid w:val="00184A1D"/>
    <w:rsid w:val="00184DE0"/>
    <w:rsid w:val="00184F72"/>
    <w:rsid w:val="001862C7"/>
    <w:rsid w:val="00187440"/>
    <w:rsid w:val="00187846"/>
    <w:rsid w:val="00191693"/>
    <w:rsid w:val="00191834"/>
    <w:rsid w:val="00191A7E"/>
    <w:rsid w:val="00191DD9"/>
    <w:rsid w:val="001925F4"/>
    <w:rsid w:val="00193B5F"/>
    <w:rsid w:val="001944E1"/>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4AD2"/>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2D64"/>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297E"/>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2C6B"/>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385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1A6E"/>
    <w:rsid w:val="00373AE9"/>
    <w:rsid w:val="00374506"/>
    <w:rsid w:val="0037495D"/>
    <w:rsid w:val="0037531B"/>
    <w:rsid w:val="00375819"/>
    <w:rsid w:val="00375C89"/>
    <w:rsid w:val="00376DAF"/>
    <w:rsid w:val="00381E43"/>
    <w:rsid w:val="0038204A"/>
    <w:rsid w:val="00382469"/>
    <w:rsid w:val="003833FB"/>
    <w:rsid w:val="00383F8F"/>
    <w:rsid w:val="00384CD5"/>
    <w:rsid w:val="00385D67"/>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017"/>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6655"/>
    <w:rsid w:val="003F6C47"/>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4C20"/>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741"/>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1D83"/>
    <w:rsid w:val="005C2884"/>
    <w:rsid w:val="005C3D94"/>
    <w:rsid w:val="005C50A4"/>
    <w:rsid w:val="005C50D1"/>
    <w:rsid w:val="005C6C4F"/>
    <w:rsid w:val="005D000E"/>
    <w:rsid w:val="005D035F"/>
    <w:rsid w:val="005D24D0"/>
    <w:rsid w:val="005D2A79"/>
    <w:rsid w:val="005D3C04"/>
    <w:rsid w:val="005D4430"/>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3E54"/>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59F"/>
    <w:rsid w:val="00690BC5"/>
    <w:rsid w:val="00690C8E"/>
    <w:rsid w:val="00691341"/>
    <w:rsid w:val="00691D24"/>
    <w:rsid w:val="006933DD"/>
    <w:rsid w:val="0069471D"/>
    <w:rsid w:val="0069553A"/>
    <w:rsid w:val="00695670"/>
    <w:rsid w:val="00695B4C"/>
    <w:rsid w:val="00695E20"/>
    <w:rsid w:val="00697CAC"/>
    <w:rsid w:val="006A2505"/>
    <w:rsid w:val="006A2558"/>
    <w:rsid w:val="006A294A"/>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07B20"/>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27ED"/>
    <w:rsid w:val="007552A7"/>
    <w:rsid w:val="007566E2"/>
    <w:rsid w:val="00757FC1"/>
    <w:rsid w:val="00760265"/>
    <w:rsid w:val="00761CFE"/>
    <w:rsid w:val="00763522"/>
    <w:rsid w:val="00763B46"/>
    <w:rsid w:val="00764A6D"/>
    <w:rsid w:val="0076550E"/>
    <w:rsid w:val="007669B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4B67"/>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42C8"/>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394"/>
    <w:rsid w:val="00816710"/>
    <w:rsid w:val="0081749C"/>
    <w:rsid w:val="00817ADF"/>
    <w:rsid w:val="00820427"/>
    <w:rsid w:val="0082111F"/>
    <w:rsid w:val="008216A5"/>
    <w:rsid w:val="00821BA2"/>
    <w:rsid w:val="00822824"/>
    <w:rsid w:val="008228B9"/>
    <w:rsid w:val="00824639"/>
    <w:rsid w:val="00825C4B"/>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3572"/>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2643"/>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588"/>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1E95"/>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35E"/>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388"/>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B33"/>
    <w:rsid w:val="00C16C84"/>
    <w:rsid w:val="00C17537"/>
    <w:rsid w:val="00C20D1A"/>
    <w:rsid w:val="00C21DB4"/>
    <w:rsid w:val="00C224CD"/>
    <w:rsid w:val="00C25539"/>
    <w:rsid w:val="00C25B4A"/>
    <w:rsid w:val="00C25C2B"/>
    <w:rsid w:val="00C2744F"/>
    <w:rsid w:val="00C33D5F"/>
    <w:rsid w:val="00C3410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262"/>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2E9"/>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20FB"/>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905"/>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1EF2"/>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095D"/>
    <w:rsid w:val="00F20EE8"/>
    <w:rsid w:val="00F21456"/>
    <w:rsid w:val="00F21D20"/>
    <w:rsid w:val="00F22674"/>
    <w:rsid w:val="00F22B78"/>
    <w:rsid w:val="00F238CF"/>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A73AB"/>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0247"/>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7A6B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8"/>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9"/>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0"/>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1"/>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2"/>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3"/>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4"/>
    <w:semiHidden/>
    <w:unhideWhenUsed/>
    <w:qFormat/>
    <w:uiPriority w:val="9"/>
    <w:pPr>
      <w:numPr>
        <w:ilvl w:val="6"/>
        <w:numId w:val="1"/>
      </w:numPr>
      <w:spacing w:before="240" w:after="60"/>
      <w:outlineLvl w:val="6"/>
    </w:pPr>
  </w:style>
  <w:style w:type="paragraph" w:styleId="9">
    <w:name w:val="heading 8"/>
    <w:basedOn w:val="1"/>
    <w:next w:val="1"/>
    <w:link w:val="65"/>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ind w:firstLine="420"/>
      <w:jc w:val="both"/>
    </w:pPr>
    <w:rPr>
      <w:rFonts w:ascii="Times New Roman" w:hAnsi="Times New Roman" w:eastAsia="宋体"/>
      <w:kern w:val="2"/>
      <w:sz w:val="21"/>
      <w:szCs w:val="20"/>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90"/>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82"/>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link w:val="102"/>
    <w:qFormat/>
    <w:uiPriority w:val="0"/>
    <w:pPr>
      <w:widowControl w:val="0"/>
      <w:spacing w:after="120"/>
      <w:jc w:val="both"/>
    </w:pPr>
    <w:rPr>
      <w:rFonts w:ascii="Times New Roman" w:hAnsi="Times New Roman" w:eastAsia="宋体"/>
      <w:kern w:val="2"/>
      <w:sz w:val="21"/>
      <w:szCs w:val="20"/>
    </w:rPr>
  </w:style>
  <w:style w:type="paragraph" w:styleId="16">
    <w:name w:val="Plain Text"/>
    <w:basedOn w:val="1"/>
    <w:link w:val="94"/>
    <w:unhideWhenUsed/>
    <w:qFormat/>
    <w:uiPriority w:val="0"/>
    <w:rPr>
      <w:rFonts w:ascii="宋体" w:hAnsi="Courier New" w:eastAsia="宋体" w:cs="Courier New"/>
      <w:sz w:val="21"/>
      <w:szCs w:val="21"/>
    </w:rPr>
  </w:style>
  <w:style w:type="paragraph" w:styleId="17">
    <w:name w:val="Date"/>
    <w:basedOn w:val="1"/>
    <w:next w:val="1"/>
    <w:link w:val="55"/>
    <w:semiHidden/>
    <w:unhideWhenUsed/>
    <w:qFormat/>
    <w:uiPriority w:val="99"/>
    <w:pPr>
      <w:ind w:left="100" w:leftChars="2500"/>
    </w:pPr>
  </w:style>
  <w:style w:type="paragraph" w:styleId="18">
    <w:name w:val="Balloon Text"/>
    <w:basedOn w:val="1"/>
    <w:link w:val="81"/>
    <w:semiHidden/>
    <w:unhideWhenUsed/>
    <w:qFormat/>
    <w:uiPriority w:val="99"/>
    <w:rPr>
      <w:sz w:val="18"/>
      <w:szCs w:val="18"/>
    </w:rPr>
  </w:style>
  <w:style w:type="paragraph" w:styleId="19">
    <w:name w:val="footer"/>
    <w:basedOn w:val="1"/>
    <w:link w:val="57"/>
    <w:unhideWhenUsed/>
    <w:qFormat/>
    <w:uiPriority w:val="99"/>
    <w:pPr>
      <w:tabs>
        <w:tab w:val="center" w:pos="4153"/>
        <w:tab w:val="right" w:pos="8306"/>
      </w:tabs>
      <w:snapToGrid w:val="0"/>
      <w:spacing w:line="240" w:lineRule="atLeast"/>
    </w:pPr>
    <w:rPr>
      <w:sz w:val="18"/>
      <w:szCs w:val="18"/>
    </w:rPr>
  </w:style>
  <w:style w:type="paragraph" w:styleId="20">
    <w:name w:val="header"/>
    <w:basedOn w:val="1"/>
    <w:link w:val="5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2">
    <w:name w:val="Subtitle"/>
    <w:basedOn w:val="1"/>
    <w:next w:val="1"/>
    <w:link w:val="68"/>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Normal (Web)"/>
    <w:basedOn w:val="1"/>
    <w:qFormat/>
    <w:uiPriority w:val="0"/>
  </w:style>
  <w:style w:type="paragraph" w:styleId="24">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4"/>
    <w:next w:val="14"/>
    <w:link w:val="89"/>
    <w:semiHidden/>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qFormat/>
    <w:uiPriority w:val="0"/>
    <w:rPr>
      <w:rFonts w:ascii="Times New Roman" w:hAnsi="Times New Roman" w:eastAsia="宋体" w:cs="Times New Roman"/>
    </w:rPr>
  </w:style>
  <w:style w:type="character" w:styleId="31">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2">
    <w:name w:val="Emphasis"/>
    <w:basedOn w:val="28"/>
    <w:qFormat/>
    <w:uiPriority w:val="20"/>
    <w:rPr>
      <w:rFonts w:asciiTheme="minorHAnsi" w:hAnsiTheme="minorHAnsi"/>
      <w:b/>
      <w:i/>
      <w:iCs/>
    </w:rPr>
  </w:style>
  <w:style w:type="character" w:styleId="33">
    <w:name w:val="Hyperlink"/>
    <w:basedOn w:val="28"/>
    <w:unhideWhenUsed/>
    <w:qFormat/>
    <w:uiPriority w:val="99"/>
    <w:rPr>
      <w:color w:val="0563C1" w:themeColor="hyperlink"/>
      <w:u w:val="single"/>
      <w14:textFill>
        <w14:solidFill>
          <w14:schemeClr w14:val="hlink"/>
        </w14:solidFill>
      </w14:textFill>
    </w:rPr>
  </w:style>
  <w:style w:type="character" w:styleId="34">
    <w:name w:val="annotation reference"/>
    <w:basedOn w:val="28"/>
    <w:semiHidden/>
    <w:unhideWhenUsed/>
    <w:qFormat/>
    <w:uiPriority w:val="99"/>
    <w:rPr>
      <w:sz w:val="21"/>
      <w:szCs w:val="21"/>
    </w:rPr>
  </w:style>
  <w:style w:type="paragraph" w:customStyle="1" w:styleId="35">
    <w:name w:val="※封面大标题"/>
    <w:basedOn w:val="1"/>
    <w:next w:val="1"/>
    <w:qFormat/>
    <w:uiPriority w:val="0"/>
    <w:pPr>
      <w:jc w:val="center"/>
    </w:pPr>
    <w:rPr>
      <w:rFonts w:ascii="华文中宋" w:hAnsi="华文中宋" w:eastAsia="华文中宋"/>
      <w:sz w:val="96"/>
      <w:szCs w:val="96"/>
    </w:rPr>
  </w:style>
  <w:style w:type="paragraph" w:customStyle="1" w:styleId="36">
    <w:name w:val="※封面题颌"/>
    <w:basedOn w:val="1"/>
    <w:next w:val="1"/>
    <w:qFormat/>
    <w:uiPriority w:val="0"/>
    <w:pPr>
      <w:jc w:val="center"/>
    </w:pPr>
    <w:rPr>
      <w:rFonts w:ascii="Calibri Light" w:hAnsi="Calibri Light" w:eastAsia="华文仿宋"/>
      <w:sz w:val="36"/>
      <w:szCs w:val="36"/>
    </w:rPr>
  </w:style>
  <w:style w:type="paragraph" w:customStyle="1" w:styleId="37">
    <w:name w:val="※封面题眉"/>
    <w:basedOn w:val="1"/>
    <w:next w:val="35"/>
    <w:qFormat/>
    <w:uiPriority w:val="0"/>
    <w:pPr>
      <w:jc w:val="center"/>
    </w:pPr>
    <w:rPr>
      <w:rFonts w:ascii="华文仿宋" w:hAnsi="华文仿宋" w:eastAsia="华文仿宋"/>
      <w:sz w:val="52"/>
      <w:szCs w:val="28"/>
    </w:rPr>
  </w:style>
  <w:style w:type="paragraph" w:customStyle="1" w:styleId="38">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1">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3">
    <w:name w:val="※小标题 一"/>
    <w:basedOn w:val="42"/>
    <w:next w:val="42"/>
    <w:qFormat/>
    <w:uiPriority w:val="0"/>
    <w:pPr>
      <w:spacing w:before="120" w:line="240" w:lineRule="auto"/>
      <w:outlineLvl w:val="2"/>
    </w:pPr>
    <w:rPr>
      <w:b/>
      <w:color w:val="203864" w:themeColor="accent5" w:themeShade="80"/>
      <w:sz w:val="32"/>
    </w:rPr>
  </w:style>
  <w:style w:type="paragraph" w:customStyle="1" w:styleId="44">
    <w:name w:val="※小标题（1）"/>
    <w:basedOn w:val="1"/>
    <w:next w:val="42"/>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5">
    <w:name w:val="※小标题（一）"/>
    <w:basedOn w:val="1"/>
    <w:next w:val="42"/>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6">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7">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8">
    <w:name w:val="※页眉"/>
    <w:basedOn w:val="42"/>
    <w:qFormat/>
    <w:uiPriority w:val="0"/>
    <w:pPr>
      <w:pBdr>
        <w:bottom w:val="single" w:color="auto" w:sz="4" w:space="1"/>
      </w:pBdr>
      <w:spacing w:line="240" w:lineRule="atLeast"/>
      <w:jc w:val="right"/>
    </w:pPr>
    <w:rPr>
      <w:rFonts w:ascii="宋体" w:hAnsi="宋体" w:eastAsia="宋体"/>
      <w:sz w:val="18"/>
    </w:rPr>
  </w:style>
  <w:style w:type="paragraph" w:customStyle="1" w:styleId="49">
    <w:name w:val="※章节标题（第X章）"/>
    <w:basedOn w:val="1"/>
    <w:qFormat/>
    <w:uiPriority w:val="0"/>
    <w:pPr>
      <w:jc w:val="center"/>
      <w:outlineLvl w:val="0"/>
    </w:pPr>
    <w:rPr>
      <w:rFonts w:ascii="Calibri Light" w:hAnsi="Calibri Light" w:eastAsia="黑体"/>
      <w:sz w:val="36"/>
      <w:szCs w:val="28"/>
    </w:rPr>
  </w:style>
  <w:style w:type="paragraph" w:customStyle="1" w:styleId="50">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1">
    <w:name w:val="※章节标题（第Z部分分项）"/>
    <w:basedOn w:val="50"/>
    <w:qFormat/>
    <w:uiPriority w:val="0"/>
    <w:pPr>
      <w:outlineLvl w:val="2"/>
    </w:pPr>
  </w:style>
  <w:style w:type="paragraph" w:customStyle="1" w:styleId="5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3">
    <w:name w:val="※正文（缩进2）"/>
    <w:basedOn w:val="42"/>
    <w:qFormat/>
    <w:uiPriority w:val="0"/>
    <w:pPr>
      <w:ind w:firstLine="200" w:firstLineChars="200"/>
    </w:pPr>
  </w:style>
  <w:style w:type="paragraph" w:customStyle="1" w:styleId="54">
    <w:name w:val="※正文（缩进4）"/>
    <w:basedOn w:val="42"/>
    <w:qFormat/>
    <w:uiPriority w:val="0"/>
    <w:pPr>
      <w:ind w:firstLine="400" w:firstLineChars="400"/>
    </w:pPr>
  </w:style>
  <w:style w:type="character" w:customStyle="1" w:styleId="55">
    <w:name w:val="日期 Char"/>
    <w:basedOn w:val="28"/>
    <w:link w:val="17"/>
    <w:semiHidden/>
    <w:qFormat/>
    <w:uiPriority w:val="99"/>
    <w:rPr>
      <w:rFonts w:ascii="华文仿宋" w:hAnsi="华文仿宋" w:eastAsia="华文仿宋"/>
      <w:sz w:val="28"/>
      <w:szCs w:val="28"/>
    </w:rPr>
  </w:style>
  <w:style w:type="character" w:customStyle="1" w:styleId="56">
    <w:name w:val="页眉 Char"/>
    <w:basedOn w:val="28"/>
    <w:link w:val="20"/>
    <w:qFormat/>
    <w:uiPriority w:val="0"/>
    <w:rPr>
      <w:rFonts w:ascii="华文仿宋" w:hAnsi="华文仿宋" w:eastAsia="华文仿宋"/>
      <w:sz w:val="18"/>
      <w:szCs w:val="18"/>
    </w:rPr>
  </w:style>
  <w:style w:type="character" w:customStyle="1" w:styleId="57">
    <w:name w:val="页脚 Char"/>
    <w:basedOn w:val="28"/>
    <w:link w:val="19"/>
    <w:qFormat/>
    <w:uiPriority w:val="99"/>
    <w:rPr>
      <w:rFonts w:ascii="华文仿宋" w:hAnsi="华文仿宋" w:eastAsia="华文仿宋"/>
      <w:sz w:val="18"/>
      <w:szCs w:val="18"/>
    </w:rPr>
  </w:style>
  <w:style w:type="character" w:customStyle="1" w:styleId="58">
    <w:name w:val="标题 1 Char"/>
    <w:basedOn w:val="28"/>
    <w:link w:val="2"/>
    <w:qFormat/>
    <w:uiPriority w:val="9"/>
    <w:rPr>
      <w:rFonts w:ascii="Calibri" w:hAnsi="Calibri" w:eastAsia="黑体"/>
      <w:bCs/>
      <w:kern w:val="36"/>
      <w:sz w:val="32"/>
      <w:szCs w:val="32"/>
    </w:rPr>
  </w:style>
  <w:style w:type="character" w:customStyle="1" w:styleId="59">
    <w:name w:val="标题 2 Char"/>
    <w:basedOn w:val="28"/>
    <w:link w:val="3"/>
    <w:qFormat/>
    <w:uiPriority w:val="9"/>
    <w:rPr>
      <w:rFonts w:ascii="Calibri" w:hAnsi="Calibri" w:eastAsia="黑体" w:cstheme="majorBidi"/>
      <w:bCs/>
      <w:iCs/>
      <w:kern w:val="32"/>
      <w:sz w:val="28"/>
      <w:szCs w:val="28"/>
    </w:rPr>
  </w:style>
  <w:style w:type="character" w:customStyle="1" w:styleId="60">
    <w:name w:val="标题 3 Char"/>
    <w:basedOn w:val="28"/>
    <w:link w:val="4"/>
    <w:qFormat/>
    <w:uiPriority w:val="9"/>
    <w:rPr>
      <w:rFonts w:ascii="Calibri Light" w:hAnsi="Calibri Light" w:eastAsia="宋体"/>
      <w:b/>
      <w:bCs/>
      <w:kern w:val="30"/>
      <w:sz w:val="24"/>
      <w:szCs w:val="26"/>
    </w:rPr>
  </w:style>
  <w:style w:type="character" w:customStyle="1" w:styleId="61">
    <w:name w:val="标题 4 Char"/>
    <w:basedOn w:val="28"/>
    <w:link w:val="5"/>
    <w:semiHidden/>
    <w:qFormat/>
    <w:uiPriority w:val="9"/>
    <w:rPr>
      <w:rFonts w:cstheme="majorBidi"/>
      <w:b/>
      <w:bCs/>
      <w:sz w:val="28"/>
      <w:szCs w:val="28"/>
    </w:rPr>
  </w:style>
  <w:style w:type="character" w:customStyle="1" w:styleId="62">
    <w:name w:val="标题 5 Char"/>
    <w:basedOn w:val="28"/>
    <w:link w:val="6"/>
    <w:semiHidden/>
    <w:qFormat/>
    <w:uiPriority w:val="9"/>
    <w:rPr>
      <w:b/>
      <w:bCs/>
      <w:i/>
      <w:iCs/>
      <w:sz w:val="26"/>
      <w:szCs w:val="26"/>
    </w:rPr>
  </w:style>
  <w:style w:type="character" w:customStyle="1" w:styleId="63">
    <w:name w:val="标题 6 Char"/>
    <w:basedOn w:val="28"/>
    <w:link w:val="7"/>
    <w:semiHidden/>
    <w:qFormat/>
    <w:uiPriority w:val="9"/>
    <w:rPr>
      <w:rFonts w:cstheme="majorBidi"/>
      <w:b/>
      <w:bCs/>
    </w:rPr>
  </w:style>
  <w:style w:type="character" w:customStyle="1" w:styleId="64">
    <w:name w:val="标题 7 Char"/>
    <w:basedOn w:val="28"/>
    <w:link w:val="8"/>
    <w:semiHidden/>
    <w:qFormat/>
    <w:uiPriority w:val="9"/>
    <w:rPr>
      <w:sz w:val="24"/>
      <w:szCs w:val="24"/>
    </w:rPr>
  </w:style>
  <w:style w:type="character" w:customStyle="1" w:styleId="65">
    <w:name w:val="标题 8 Char"/>
    <w:basedOn w:val="28"/>
    <w:link w:val="9"/>
    <w:semiHidden/>
    <w:qFormat/>
    <w:uiPriority w:val="9"/>
    <w:rPr>
      <w:rFonts w:cstheme="majorBidi"/>
      <w:i/>
      <w:iCs/>
      <w:sz w:val="24"/>
      <w:szCs w:val="24"/>
    </w:rPr>
  </w:style>
  <w:style w:type="character" w:customStyle="1" w:styleId="66">
    <w:name w:val="标题 9 Char"/>
    <w:basedOn w:val="28"/>
    <w:link w:val="10"/>
    <w:semiHidden/>
    <w:qFormat/>
    <w:uiPriority w:val="9"/>
    <w:rPr>
      <w:rFonts w:asciiTheme="majorHAnsi" w:hAnsiTheme="majorHAnsi" w:eastAsiaTheme="majorEastAsia" w:cstheme="majorBidi"/>
    </w:rPr>
  </w:style>
  <w:style w:type="character" w:customStyle="1" w:styleId="67">
    <w:name w:val="标题 Char"/>
    <w:basedOn w:val="28"/>
    <w:link w:val="24"/>
    <w:qFormat/>
    <w:uiPriority w:val="10"/>
    <w:rPr>
      <w:rFonts w:asciiTheme="majorHAnsi" w:hAnsiTheme="majorHAnsi" w:eastAsiaTheme="majorEastAsia" w:cstheme="majorBidi"/>
      <w:b/>
      <w:bCs/>
      <w:kern w:val="28"/>
      <w:sz w:val="32"/>
      <w:szCs w:val="32"/>
    </w:rPr>
  </w:style>
  <w:style w:type="character" w:customStyle="1" w:styleId="68">
    <w:name w:val="副标题 Char"/>
    <w:basedOn w:val="28"/>
    <w:link w:val="22"/>
    <w:qFormat/>
    <w:uiPriority w:val="11"/>
    <w:rPr>
      <w:rFonts w:ascii="Calibri" w:hAnsi="Calibri" w:eastAsia="黑体" w:cstheme="majorBidi"/>
      <w:sz w:val="32"/>
      <w:szCs w:val="24"/>
    </w:rPr>
  </w:style>
  <w:style w:type="paragraph" w:styleId="69">
    <w:name w:val="No Spacing"/>
    <w:basedOn w:val="1"/>
    <w:qFormat/>
    <w:uiPriority w:val="1"/>
    <w:rPr>
      <w:szCs w:val="32"/>
    </w:rPr>
  </w:style>
  <w:style w:type="paragraph" w:styleId="70">
    <w:name w:val="List Paragraph"/>
    <w:basedOn w:val="1"/>
    <w:qFormat/>
    <w:uiPriority w:val="0"/>
    <w:pPr>
      <w:ind w:left="720"/>
      <w:contextualSpacing/>
    </w:pPr>
  </w:style>
  <w:style w:type="paragraph" w:styleId="71">
    <w:name w:val="Quote"/>
    <w:basedOn w:val="1"/>
    <w:next w:val="1"/>
    <w:link w:val="72"/>
    <w:qFormat/>
    <w:uiPriority w:val="29"/>
    <w:rPr>
      <w:i/>
    </w:rPr>
  </w:style>
  <w:style w:type="character" w:customStyle="1" w:styleId="72">
    <w:name w:val="引用 Char"/>
    <w:basedOn w:val="28"/>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Char"/>
    <w:basedOn w:val="28"/>
    <w:link w:val="73"/>
    <w:qFormat/>
    <w:uiPriority w:val="30"/>
    <w:rPr>
      <w:b/>
      <w:i/>
      <w:sz w:val="24"/>
    </w:rPr>
  </w:style>
  <w:style w:type="character" w:customStyle="1" w:styleId="7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6">
    <w:name w:val="Intense Emphasis"/>
    <w:basedOn w:val="28"/>
    <w:qFormat/>
    <w:uiPriority w:val="21"/>
    <w:rPr>
      <w:b/>
      <w:i/>
      <w:sz w:val="24"/>
      <w:szCs w:val="24"/>
      <w:u w:val="single"/>
    </w:rPr>
  </w:style>
  <w:style w:type="character" w:customStyle="1" w:styleId="77">
    <w:name w:val="Subtle Reference"/>
    <w:basedOn w:val="28"/>
    <w:qFormat/>
    <w:uiPriority w:val="31"/>
    <w:rPr>
      <w:sz w:val="24"/>
      <w:szCs w:val="24"/>
      <w:u w:val="single"/>
    </w:rPr>
  </w:style>
  <w:style w:type="character" w:customStyle="1" w:styleId="78">
    <w:name w:val="Intense Reference"/>
    <w:basedOn w:val="28"/>
    <w:qFormat/>
    <w:uiPriority w:val="32"/>
    <w:rPr>
      <w:b/>
      <w:sz w:val="24"/>
      <w:u w:val="single"/>
    </w:rPr>
  </w:style>
  <w:style w:type="character" w:customStyle="1" w:styleId="79">
    <w:name w:val="Book Title"/>
    <w:basedOn w:val="28"/>
    <w:qFormat/>
    <w:uiPriority w:val="33"/>
    <w:rPr>
      <w:rFonts w:asciiTheme="majorHAnsi" w:hAnsiTheme="majorHAnsi" w:eastAsiaTheme="majorEastAsia"/>
      <w:b/>
      <w:i/>
      <w:sz w:val="24"/>
      <w:szCs w:val="24"/>
    </w:rPr>
  </w:style>
  <w:style w:type="paragraph" w:customStyle="1" w:styleId="80">
    <w:name w:val="TOC Heading"/>
    <w:basedOn w:val="2"/>
    <w:next w:val="1"/>
    <w:semiHidden/>
    <w:unhideWhenUsed/>
    <w:qFormat/>
    <w:uiPriority w:val="39"/>
    <w:pPr>
      <w:outlineLvl w:val="9"/>
    </w:pPr>
  </w:style>
  <w:style w:type="character" w:customStyle="1" w:styleId="81">
    <w:name w:val="批注框文本 Char"/>
    <w:basedOn w:val="28"/>
    <w:link w:val="18"/>
    <w:semiHidden/>
    <w:qFormat/>
    <w:uiPriority w:val="99"/>
    <w:rPr>
      <w:sz w:val="18"/>
      <w:szCs w:val="18"/>
    </w:rPr>
  </w:style>
  <w:style w:type="character" w:customStyle="1" w:styleId="82">
    <w:name w:val="批注文字 Char"/>
    <w:basedOn w:val="28"/>
    <w:link w:val="14"/>
    <w:qFormat/>
    <w:uiPriority w:val="99"/>
    <w:rPr>
      <w:rFonts w:ascii="Calibri Light" w:hAnsi="Calibri Light" w:eastAsia="华文仿宋" w:cs="Calibri Light"/>
      <w:kern w:val="2"/>
      <w:sz w:val="28"/>
      <w:szCs w:val="28"/>
    </w:rPr>
  </w:style>
  <w:style w:type="paragraph" w:customStyle="1" w:styleId="83">
    <w:name w:val="@正文"/>
    <w:basedOn w:val="42"/>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4">
    <w:name w:val="@一级小标题"/>
    <w:basedOn w:val="1"/>
    <w:next w:val="83"/>
    <w:qFormat/>
    <w:uiPriority w:val="0"/>
    <w:pPr>
      <w:keepNext/>
      <w:spacing w:before="120" w:after="60"/>
      <w:outlineLvl w:val="2"/>
    </w:pPr>
    <w:rPr>
      <w:rFonts w:ascii="Calibri" w:hAnsi="Calibri" w:eastAsia="黑体"/>
      <w:kern w:val="28"/>
      <w:sz w:val="28"/>
    </w:rPr>
  </w:style>
  <w:style w:type="paragraph" w:customStyle="1" w:styleId="85">
    <w:name w:val="@标题"/>
    <w:basedOn w:val="1"/>
    <w:next w:val="83"/>
    <w:qFormat/>
    <w:uiPriority w:val="0"/>
    <w:pPr>
      <w:keepNext/>
      <w:spacing w:before="50" w:beforeLines="50" w:after="50" w:afterLines="50"/>
      <w:jc w:val="center"/>
      <w:outlineLvl w:val="1"/>
    </w:pPr>
    <w:rPr>
      <w:rFonts w:ascii="Calibri" w:hAnsi="Calibri" w:eastAsia="黑体"/>
      <w:kern w:val="32"/>
      <w:sz w:val="32"/>
    </w:rPr>
  </w:style>
  <w:style w:type="table" w:customStyle="1" w:styleId="86">
    <w:name w:val="网格型1"/>
    <w:basedOn w:val="2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页眉 Char1"/>
    <w:basedOn w:val="28"/>
    <w:semiHidden/>
    <w:qFormat/>
    <w:uiPriority w:val="99"/>
    <w:rPr>
      <w:rFonts w:cs="Calibri Light"/>
      <w:sz w:val="18"/>
      <w:szCs w:val="18"/>
    </w:rPr>
  </w:style>
  <w:style w:type="character" w:customStyle="1" w:styleId="88">
    <w:name w:val="页脚 Char1"/>
    <w:basedOn w:val="28"/>
    <w:semiHidden/>
    <w:qFormat/>
    <w:uiPriority w:val="99"/>
    <w:rPr>
      <w:rFonts w:cs="Calibri Light"/>
      <w:sz w:val="18"/>
      <w:szCs w:val="18"/>
    </w:rPr>
  </w:style>
  <w:style w:type="character" w:customStyle="1" w:styleId="89">
    <w:name w:val="批注主题 Char"/>
    <w:basedOn w:val="82"/>
    <w:link w:val="25"/>
    <w:semiHidden/>
    <w:qFormat/>
    <w:uiPriority w:val="99"/>
    <w:rPr>
      <w:rFonts w:ascii="Calibri Light" w:hAnsi="Calibri Light" w:eastAsia="华文仿宋" w:cs="Calibri Light"/>
      <w:b/>
      <w:bCs/>
      <w:kern w:val="2"/>
      <w:sz w:val="28"/>
      <w:szCs w:val="28"/>
    </w:rPr>
  </w:style>
  <w:style w:type="character" w:customStyle="1" w:styleId="90">
    <w:name w:val="文档结构图 Char"/>
    <w:basedOn w:val="28"/>
    <w:link w:val="13"/>
    <w:semiHidden/>
    <w:qFormat/>
    <w:uiPriority w:val="99"/>
    <w:rPr>
      <w:rFonts w:ascii="宋体" w:hAnsi="Calibri Light" w:eastAsia="宋体" w:cs="Calibri Light"/>
      <w:kern w:val="2"/>
      <w:sz w:val="18"/>
      <w:szCs w:val="18"/>
    </w:rPr>
  </w:style>
  <w:style w:type="character" w:styleId="91">
    <w:name w:val="Placeholder Text"/>
    <w:basedOn w:val="28"/>
    <w:semiHidden/>
    <w:qFormat/>
    <w:uiPriority w:val="99"/>
    <w:rPr>
      <w:color w:val="808080"/>
    </w:rPr>
  </w:style>
  <w:style w:type="table" w:customStyle="1" w:styleId="92">
    <w:name w:val="网格型11"/>
    <w:basedOn w:val="2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纯文本 Char"/>
    <w:basedOn w:val="28"/>
    <w:link w:val="16"/>
    <w:qFormat/>
    <w:uiPriority w:val="0"/>
    <w:rPr>
      <w:rFonts w:ascii="宋体" w:hAnsi="Courier New" w:eastAsia="宋体" w:cs="Courier New"/>
      <w:sz w:val="21"/>
      <w:szCs w:val="21"/>
    </w:rPr>
  </w:style>
  <w:style w:type="character" w:customStyle="1" w:styleId="95">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6">
    <w:name w:val="明显强调1"/>
    <w:basedOn w:val="28"/>
    <w:qFormat/>
    <w:uiPriority w:val="21"/>
    <w:rPr>
      <w:b/>
      <w:i/>
      <w:sz w:val="24"/>
      <w:szCs w:val="24"/>
      <w:u w:val="single"/>
    </w:rPr>
  </w:style>
  <w:style w:type="character" w:customStyle="1" w:styleId="97">
    <w:name w:val="不明显参考1"/>
    <w:basedOn w:val="28"/>
    <w:qFormat/>
    <w:uiPriority w:val="31"/>
    <w:rPr>
      <w:sz w:val="24"/>
      <w:szCs w:val="24"/>
      <w:u w:val="single"/>
    </w:rPr>
  </w:style>
  <w:style w:type="character" w:customStyle="1" w:styleId="98">
    <w:name w:val="明显参考1"/>
    <w:basedOn w:val="28"/>
    <w:qFormat/>
    <w:uiPriority w:val="32"/>
    <w:rPr>
      <w:b/>
      <w:sz w:val="24"/>
      <w:u w:val="single"/>
    </w:rPr>
  </w:style>
  <w:style w:type="character" w:customStyle="1" w:styleId="99">
    <w:name w:val="书籍标题1"/>
    <w:basedOn w:val="28"/>
    <w:qFormat/>
    <w:uiPriority w:val="33"/>
    <w:rPr>
      <w:rFonts w:asciiTheme="majorHAnsi" w:hAnsiTheme="majorHAnsi" w:eastAsiaTheme="majorEastAsia"/>
      <w:b/>
      <w:i/>
      <w:sz w:val="24"/>
      <w:szCs w:val="24"/>
    </w:rPr>
  </w:style>
  <w:style w:type="paragraph" w:customStyle="1" w:styleId="100">
    <w:name w:val="TOC 标题1"/>
    <w:basedOn w:val="2"/>
    <w:next w:val="1"/>
    <w:semiHidden/>
    <w:unhideWhenUsed/>
    <w:qFormat/>
    <w:uiPriority w:val="39"/>
    <w:pPr>
      <w:numPr>
        <w:numId w:val="2"/>
      </w:numPr>
      <w:outlineLvl w:val="9"/>
    </w:pPr>
  </w:style>
  <w:style w:type="paragraph" w:customStyle="1" w:styleId="101">
    <w:name w:val="null3"/>
    <w:hidden/>
    <w:qFormat/>
    <w:uiPriority w:val="0"/>
    <w:rPr>
      <w:rFonts w:hint="eastAsia" w:asciiTheme="minorHAnsi" w:hAnsiTheme="minorHAnsi" w:eastAsiaTheme="minorEastAsia" w:cstheme="minorBidi"/>
      <w:sz w:val="20"/>
      <w:szCs w:val="20"/>
      <w:lang w:val="en-US" w:eastAsia="zh-Hans" w:bidi="ar-SA"/>
    </w:rPr>
  </w:style>
  <w:style w:type="character" w:customStyle="1" w:styleId="102">
    <w:name w:val="正文文本 Char"/>
    <w:basedOn w:val="28"/>
    <w:link w:val="15"/>
    <w:qFormat/>
    <w:uiPriority w:val="0"/>
    <w:rPr>
      <w:rFonts w:ascii="Times New Roman" w:hAnsi="Times New Roman" w:eastAsia="宋体"/>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8C3F-31AB-4263-A579-A2589862B475}">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69</Pages>
  <Words>1926</Words>
  <Characters>2181</Characters>
  <Lines>3149</Lines>
  <Paragraphs>1618</Paragraphs>
  <TotalTime>241</TotalTime>
  <ScaleCrop>false</ScaleCrop>
  <LinksUpToDate>false</LinksUpToDate>
  <CharactersWithSpaces>2205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2025-07-14T03:02:00Z</dcterms:created>
  <dc:creator>admin</dc:creator>
  <cp:lastModifiedBy>常巧利</cp:lastModifiedBy>
  <cp:lastPrinted>2025-07-18T09:43:00Z</cp:lastPrinted>
  <dcterms:modified xsi:type="dcterms:W3CDTF">2025-08-13T09:06:30Z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570C4DE3E5A14206B430946CBBB9BC4C_13</vt:lpwstr>
  </property>
</Properties>
</file>