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36ABF">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Theme="minorEastAsia" w:hAnsiTheme="minorEastAsia" w:cstheme="minorEastAsia"/>
          <w:b/>
          <w:sz w:val="28"/>
          <w:szCs w:val="28"/>
        </w:rPr>
        <w:t>政府采购项目</w:t>
      </w:r>
    </w:p>
    <w:p w14:paraId="416FD78B">
      <w:pPr>
        <w:adjustRightInd w:val="0"/>
        <w:snapToGrid w:val="0"/>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SXWZ2025ZB-JCZX-192</w:t>
      </w:r>
    </w:p>
    <w:p w14:paraId="4162F358">
      <w:pPr>
        <w:adjustRightInd w:val="0"/>
        <w:snapToGrid w:val="0"/>
        <w:spacing w:line="360" w:lineRule="auto"/>
        <w:rPr>
          <w:rFonts w:asciiTheme="minorEastAsia" w:hAnsiTheme="minorEastAsia" w:cstheme="minorEastAsia"/>
          <w:b/>
          <w:sz w:val="52"/>
          <w:szCs w:val="52"/>
        </w:rPr>
      </w:pPr>
    </w:p>
    <w:p w14:paraId="20F3E968">
      <w:pPr>
        <w:adjustRightInd w:val="0"/>
        <w:snapToGrid w:val="0"/>
        <w:spacing w:line="360" w:lineRule="auto"/>
        <w:jc w:val="center"/>
        <w:rPr>
          <w:rFonts w:hint="eastAsia" w:asciiTheme="minorEastAsia" w:hAnsiTheme="minorEastAsia" w:eastAsiaTheme="minorEastAsia" w:cstheme="minorEastAsia"/>
          <w:b/>
          <w:sz w:val="72"/>
          <w:szCs w:val="72"/>
          <w:lang w:eastAsia="zh-CN"/>
        </w:rPr>
      </w:pPr>
      <w:r>
        <w:rPr>
          <w:rFonts w:hint="eastAsia" w:asciiTheme="minorEastAsia" w:hAnsiTheme="minorEastAsia" w:cstheme="minorEastAsia"/>
          <w:b/>
          <w:kern w:val="0"/>
          <w:sz w:val="48"/>
          <w:szCs w:val="48"/>
          <w:lang w:eastAsia="zh-CN"/>
        </w:rPr>
        <w:t>西安市扶贫信息监测中心巩固脱贫攻坚成果和防返贫监测数据质量评估及分析服务项目</w:t>
      </w:r>
    </w:p>
    <w:p w14:paraId="31A911A9">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48"/>
        </w:rPr>
        <w:drawing>
          <wp:anchor distT="0" distB="0" distL="114300" distR="114300" simplePos="0" relativeHeight="251663360" behindDoc="1" locked="0" layoutInCell="1" allowOverlap="1">
            <wp:simplePos x="0" y="0"/>
            <wp:positionH relativeFrom="column">
              <wp:posOffset>1792605</wp:posOffset>
            </wp:positionH>
            <wp:positionV relativeFrom="paragraph">
              <wp:posOffset>227965</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7" cstate="print"/>
                    <a:stretch>
                      <a:fillRect/>
                    </a:stretch>
                  </pic:blipFill>
                  <pic:spPr>
                    <a:xfrm>
                      <a:off x="0" y="0"/>
                      <a:ext cx="2312670" cy="1447800"/>
                    </a:xfrm>
                    <a:prstGeom prst="rect">
                      <a:avLst/>
                    </a:prstGeom>
                    <a:noFill/>
                    <a:ln w="9525">
                      <a:noFill/>
                      <a:miter/>
                    </a:ln>
                    <a:effectLst/>
                  </pic:spPr>
                </pic:pic>
              </a:graphicData>
            </a:graphic>
          </wp:anchor>
        </w:drawing>
      </w:r>
    </w:p>
    <w:p w14:paraId="5853A590"/>
    <w:p w14:paraId="3FEB0B2B">
      <w:pPr>
        <w:tabs>
          <w:tab w:val="left" w:pos="0"/>
        </w:tabs>
        <w:adjustRightInd w:val="0"/>
        <w:snapToGrid w:val="0"/>
        <w:spacing w:line="360" w:lineRule="auto"/>
        <w:jc w:val="center"/>
        <w:rPr>
          <w:rFonts w:asciiTheme="minorEastAsia" w:hAnsiTheme="minorEastAsia" w:cstheme="minorEastAsia"/>
          <w:b/>
          <w:sz w:val="84"/>
          <w:szCs w:val="84"/>
        </w:rPr>
      </w:pPr>
    </w:p>
    <w:p w14:paraId="2F4FD6D7">
      <w:pPr>
        <w:pStyle w:val="12"/>
      </w:pPr>
    </w:p>
    <w:p w14:paraId="0F8248C2">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48"/>
          <w:szCs w:val="48"/>
        </w:rPr>
        <w:t>竞争性磋商文件</w:t>
      </w:r>
    </w:p>
    <w:p w14:paraId="6F81D43A"/>
    <w:p w14:paraId="6258C56D"/>
    <w:p w14:paraId="1EB910FC"/>
    <w:p w14:paraId="57D62668"/>
    <w:p w14:paraId="3D29B95F"/>
    <w:p w14:paraId="0A1169D8">
      <w:pPr>
        <w:adjustRightInd w:val="0"/>
        <w:snapToGrid w:val="0"/>
        <w:spacing w:line="360" w:lineRule="auto"/>
        <w:ind w:firstLine="2249" w:firstLineChars="800"/>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采购人：</w:t>
      </w:r>
      <w:r>
        <w:rPr>
          <w:rFonts w:hint="eastAsia" w:asciiTheme="minorEastAsia" w:hAnsiTheme="minorEastAsia" w:cstheme="minorEastAsia"/>
          <w:b/>
          <w:sz w:val="28"/>
          <w:szCs w:val="28"/>
          <w:lang w:eastAsia="zh-CN"/>
        </w:rPr>
        <w:t>西安市扶贫信息监测中心</w:t>
      </w:r>
    </w:p>
    <w:p w14:paraId="2B3B48F0">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14:paraId="77223ABA">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二〇二五年</w:t>
      </w:r>
      <w:r>
        <w:rPr>
          <w:rFonts w:hint="eastAsia" w:asciiTheme="minorEastAsia" w:hAnsiTheme="minorEastAsia" w:cstheme="minorEastAsia"/>
          <w:b/>
          <w:sz w:val="28"/>
          <w:szCs w:val="28"/>
          <w:lang w:val="en-US" w:eastAsia="zh-CN"/>
        </w:rPr>
        <w:t>八</w:t>
      </w:r>
      <w:r>
        <w:rPr>
          <w:rFonts w:hint="eastAsia" w:asciiTheme="minorEastAsia" w:hAnsiTheme="minorEastAsia" w:cstheme="minorEastAsia"/>
          <w:b/>
          <w:sz w:val="28"/>
          <w:szCs w:val="28"/>
        </w:rPr>
        <w:t>月</w:t>
      </w:r>
    </w:p>
    <w:p w14:paraId="19482262">
      <w:pPr>
        <w:adjustRightInd w:val="0"/>
        <w:snapToGrid w:val="0"/>
        <w:spacing w:line="600" w:lineRule="auto"/>
        <w:rPr>
          <w:rFonts w:asciiTheme="minorEastAsia" w:hAnsiTheme="minorEastAsia" w:cstheme="minorEastAsia"/>
          <w:b/>
          <w:sz w:val="36"/>
          <w:szCs w:val="36"/>
        </w:rPr>
        <w:sectPr>
          <w:headerReference r:id="rId4" w:type="first"/>
          <w:footerReference r:id="rId6" w:type="first"/>
          <w:headerReference r:id="rId3" w:type="default"/>
          <w:footerReference r:id="rId5" w:type="default"/>
          <w:pgSz w:w="11906" w:h="16838"/>
          <w:pgMar w:top="1440" w:right="1304" w:bottom="1440" w:left="1304" w:header="851" w:footer="992" w:gutter="0"/>
          <w:pgNumType w:fmt="decimal" w:start="1"/>
          <w:cols w:space="0" w:num="1"/>
          <w:docGrid w:type="lines" w:linePitch="325" w:charSpace="0"/>
        </w:sectPr>
      </w:pPr>
    </w:p>
    <w:p w14:paraId="037C58D3">
      <w:pPr>
        <w:pStyle w:val="21"/>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14:paraId="034C9276">
      <w:pPr>
        <w:pStyle w:val="21"/>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fldChar w:fldCharType="begin"/>
      </w:r>
      <w:r>
        <w:instrText xml:space="preserve"> HYPERLINK \l "_Toc20781" </w:instrText>
      </w:r>
      <w:r>
        <w:fldChar w:fldCharType="separate"/>
      </w:r>
      <w:r>
        <w:rPr>
          <w:rFonts w:hint="eastAsia" w:asciiTheme="minorEastAsia" w:hAnsiTheme="minorEastAsia" w:cstheme="minorEastAsia"/>
          <w:szCs w:val="36"/>
        </w:rPr>
        <w:t>第一部分  竞争性磋商公告</w:t>
      </w:r>
      <w:r>
        <w:tab/>
      </w:r>
      <w:r>
        <w:fldChar w:fldCharType="begin"/>
      </w:r>
      <w:r>
        <w:instrText xml:space="preserve"> PAGEREF _Toc20781 \h </w:instrText>
      </w:r>
      <w:r>
        <w:fldChar w:fldCharType="separate"/>
      </w:r>
      <w:r>
        <w:t>2</w:t>
      </w:r>
      <w:r>
        <w:fldChar w:fldCharType="end"/>
      </w:r>
      <w:r>
        <w:fldChar w:fldCharType="end"/>
      </w:r>
    </w:p>
    <w:p w14:paraId="01B7B33C">
      <w:pPr>
        <w:pStyle w:val="21"/>
        <w:tabs>
          <w:tab w:val="right" w:leader="dot" w:pos="9298"/>
        </w:tabs>
      </w:pPr>
      <w:r>
        <w:fldChar w:fldCharType="begin"/>
      </w:r>
      <w:r>
        <w:instrText xml:space="preserve"> HYPERLINK \l "_Toc22356" </w:instrText>
      </w:r>
      <w:r>
        <w:fldChar w:fldCharType="separate"/>
      </w:r>
      <w:r>
        <w:rPr>
          <w:rFonts w:hint="eastAsia" w:asciiTheme="minorEastAsia" w:hAnsiTheme="minorEastAsia" w:cstheme="minorEastAsia"/>
          <w:szCs w:val="36"/>
        </w:rPr>
        <w:t xml:space="preserve">第二部分  </w:t>
      </w:r>
      <w:r>
        <w:rPr>
          <w:rFonts w:hint="eastAsia" w:ascii="宋体" w:hAnsi="宋体" w:cs="宋体"/>
          <w:szCs w:val="36"/>
        </w:rPr>
        <w:t>供应商须知前附表</w:t>
      </w:r>
      <w:r>
        <w:tab/>
      </w:r>
      <w:r>
        <w:fldChar w:fldCharType="begin"/>
      </w:r>
      <w:r>
        <w:instrText xml:space="preserve"> PAGEREF _Toc22356 \h </w:instrText>
      </w:r>
      <w:r>
        <w:fldChar w:fldCharType="separate"/>
      </w:r>
      <w:r>
        <w:t>5</w:t>
      </w:r>
      <w:r>
        <w:fldChar w:fldCharType="end"/>
      </w:r>
      <w:r>
        <w:fldChar w:fldCharType="end"/>
      </w:r>
    </w:p>
    <w:p w14:paraId="1035254C">
      <w:pPr>
        <w:pStyle w:val="21"/>
        <w:tabs>
          <w:tab w:val="right" w:leader="dot" w:pos="9298"/>
        </w:tabs>
      </w:pPr>
      <w:r>
        <w:fldChar w:fldCharType="begin"/>
      </w:r>
      <w:r>
        <w:instrText xml:space="preserve"> HYPERLINK \l "_Toc6920" </w:instrText>
      </w:r>
      <w:r>
        <w:fldChar w:fldCharType="separate"/>
      </w:r>
      <w:r>
        <w:rPr>
          <w:rFonts w:hint="eastAsia" w:ascii="宋体" w:hAnsi="宋体" w:cs="宋体"/>
        </w:rPr>
        <w:t>第三部分 供应商须知</w:t>
      </w:r>
      <w:r>
        <w:tab/>
      </w:r>
      <w:r>
        <w:fldChar w:fldCharType="begin"/>
      </w:r>
      <w:r>
        <w:instrText xml:space="preserve"> PAGEREF _Toc6920 \h </w:instrText>
      </w:r>
      <w:r>
        <w:fldChar w:fldCharType="separate"/>
      </w:r>
      <w:r>
        <w:t>9</w:t>
      </w:r>
      <w:r>
        <w:fldChar w:fldCharType="end"/>
      </w:r>
      <w:r>
        <w:fldChar w:fldCharType="end"/>
      </w:r>
    </w:p>
    <w:p w14:paraId="29BABABC">
      <w:pPr>
        <w:pStyle w:val="23"/>
        <w:tabs>
          <w:tab w:val="right" w:leader="dot" w:pos="9298"/>
        </w:tabs>
      </w:pPr>
      <w:r>
        <w:fldChar w:fldCharType="begin"/>
      </w:r>
      <w:r>
        <w:instrText xml:space="preserve"> HYPERLINK \l "_Toc28007" </w:instrText>
      </w:r>
      <w:r>
        <w:fldChar w:fldCharType="separate"/>
      </w:r>
      <w:r>
        <w:rPr>
          <w:rFonts w:hint="eastAsia" w:ascii="宋体" w:hAnsi="宋体" w:cs="Times New Roman"/>
          <w:bCs/>
          <w:kern w:val="0"/>
          <w:szCs w:val="28"/>
        </w:rPr>
        <w:t xml:space="preserve">一、 </w:t>
      </w:r>
      <w:r>
        <w:rPr>
          <w:rFonts w:hint="eastAsia" w:ascii="宋体" w:hAnsi="宋体" w:cs="宋体"/>
          <w:bCs/>
          <w:kern w:val="0"/>
          <w:szCs w:val="28"/>
        </w:rPr>
        <w:t>总则</w:t>
      </w:r>
      <w:r>
        <w:tab/>
      </w:r>
      <w:r>
        <w:fldChar w:fldCharType="begin"/>
      </w:r>
      <w:r>
        <w:instrText xml:space="preserve"> PAGEREF _Toc28007 \h </w:instrText>
      </w:r>
      <w:r>
        <w:fldChar w:fldCharType="separate"/>
      </w:r>
      <w:r>
        <w:t>9</w:t>
      </w:r>
      <w:r>
        <w:fldChar w:fldCharType="end"/>
      </w:r>
      <w:r>
        <w:fldChar w:fldCharType="end"/>
      </w:r>
    </w:p>
    <w:p w14:paraId="344053A8">
      <w:pPr>
        <w:pStyle w:val="23"/>
        <w:tabs>
          <w:tab w:val="right" w:leader="dot" w:pos="9298"/>
        </w:tabs>
      </w:pPr>
      <w:r>
        <w:fldChar w:fldCharType="begin"/>
      </w:r>
      <w:r>
        <w:instrText xml:space="preserve"> HYPERLINK \l "_Toc32266" </w:instrText>
      </w:r>
      <w:r>
        <w:fldChar w:fldCharType="separate"/>
      </w:r>
      <w:r>
        <w:rPr>
          <w:rFonts w:hint="eastAsia" w:ascii="宋体" w:hAnsi="宋体" w:cs="Times New Roman"/>
          <w:bCs/>
          <w:kern w:val="0"/>
          <w:szCs w:val="28"/>
        </w:rPr>
        <w:t xml:space="preserve">二、 </w:t>
      </w:r>
      <w:r>
        <w:rPr>
          <w:rFonts w:hint="eastAsia" w:ascii="宋体" w:hAnsi="宋体" w:cs="宋体"/>
          <w:bCs/>
          <w:kern w:val="0"/>
          <w:szCs w:val="28"/>
        </w:rPr>
        <w:t>竞争性磋商文件</w:t>
      </w:r>
      <w:r>
        <w:tab/>
      </w:r>
      <w:r>
        <w:fldChar w:fldCharType="begin"/>
      </w:r>
      <w:r>
        <w:instrText xml:space="preserve"> PAGEREF _Toc32266 \h </w:instrText>
      </w:r>
      <w:r>
        <w:fldChar w:fldCharType="separate"/>
      </w:r>
      <w:r>
        <w:t>12</w:t>
      </w:r>
      <w:r>
        <w:fldChar w:fldCharType="end"/>
      </w:r>
      <w:r>
        <w:fldChar w:fldCharType="end"/>
      </w:r>
    </w:p>
    <w:p w14:paraId="3B731D04">
      <w:pPr>
        <w:pStyle w:val="23"/>
        <w:tabs>
          <w:tab w:val="right" w:leader="dot" w:pos="9298"/>
        </w:tabs>
      </w:pPr>
      <w:r>
        <w:fldChar w:fldCharType="begin"/>
      </w:r>
      <w:r>
        <w:instrText xml:space="preserve"> HYPERLINK \l "_Toc6828" </w:instrText>
      </w:r>
      <w:r>
        <w:fldChar w:fldCharType="separate"/>
      </w:r>
      <w:r>
        <w:rPr>
          <w:rFonts w:hint="eastAsia" w:ascii="宋体" w:hAnsi="宋体" w:cs="Times New Roman"/>
          <w:bCs/>
          <w:kern w:val="0"/>
          <w:szCs w:val="28"/>
        </w:rPr>
        <w:t xml:space="preserve">三、 </w:t>
      </w:r>
      <w:r>
        <w:rPr>
          <w:rFonts w:hint="eastAsia" w:ascii="宋体" w:hAnsi="宋体" w:cs="宋体"/>
          <w:bCs/>
          <w:kern w:val="0"/>
          <w:szCs w:val="28"/>
        </w:rPr>
        <w:t>磋商响应文件</w:t>
      </w:r>
      <w:r>
        <w:tab/>
      </w:r>
      <w:r>
        <w:fldChar w:fldCharType="begin"/>
      </w:r>
      <w:r>
        <w:instrText xml:space="preserve"> PAGEREF _Toc6828 \h </w:instrText>
      </w:r>
      <w:r>
        <w:fldChar w:fldCharType="separate"/>
      </w:r>
      <w:r>
        <w:t>14</w:t>
      </w:r>
      <w:r>
        <w:fldChar w:fldCharType="end"/>
      </w:r>
      <w:r>
        <w:fldChar w:fldCharType="end"/>
      </w:r>
    </w:p>
    <w:p w14:paraId="55999E38">
      <w:pPr>
        <w:pStyle w:val="23"/>
        <w:tabs>
          <w:tab w:val="right" w:leader="dot" w:pos="9298"/>
        </w:tabs>
      </w:pPr>
      <w:r>
        <w:fldChar w:fldCharType="begin"/>
      </w:r>
      <w:r>
        <w:instrText xml:space="preserve"> HYPERLINK \l "_Toc29399" </w:instrText>
      </w:r>
      <w:r>
        <w:fldChar w:fldCharType="separate"/>
      </w:r>
      <w:r>
        <w:rPr>
          <w:rFonts w:hint="eastAsia" w:ascii="宋体" w:hAnsi="宋体" w:cs="Times New Roman"/>
          <w:bCs/>
          <w:kern w:val="0"/>
          <w:szCs w:val="28"/>
        </w:rPr>
        <w:t xml:space="preserve">四、 </w:t>
      </w:r>
      <w:r>
        <w:rPr>
          <w:rFonts w:hint="eastAsia" w:ascii="宋体" w:hAnsi="宋体" w:cs="宋体"/>
          <w:bCs/>
          <w:kern w:val="0"/>
          <w:szCs w:val="28"/>
        </w:rPr>
        <w:t>磋商响应文件的递交</w:t>
      </w:r>
      <w:r>
        <w:tab/>
      </w:r>
      <w:r>
        <w:fldChar w:fldCharType="begin"/>
      </w:r>
      <w:r>
        <w:instrText xml:space="preserve"> PAGEREF _Toc29399 \h </w:instrText>
      </w:r>
      <w:r>
        <w:fldChar w:fldCharType="separate"/>
      </w:r>
      <w:r>
        <w:t>17</w:t>
      </w:r>
      <w:r>
        <w:fldChar w:fldCharType="end"/>
      </w:r>
      <w:r>
        <w:fldChar w:fldCharType="end"/>
      </w:r>
    </w:p>
    <w:p w14:paraId="3F1B66B7">
      <w:pPr>
        <w:pStyle w:val="23"/>
        <w:tabs>
          <w:tab w:val="right" w:leader="dot" w:pos="9298"/>
        </w:tabs>
      </w:pPr>
      <w:r>
        <w:fldChar w:fldCharType="begin"/>
      </w:r>
      <w:r>
        <w:instrText xml:space="preserve"> HYPERLINK \l "_Toc3902" </w:instrText>
      </w:r>
      <w:r>
        <w:fldChar w:fldCharType="separate"/>
      </w:r>
      <w:r>
        <w:rPr>
          <w:rFonts w:hint="eastAsia" w:ascii="宋体" w:hAnsi="宋体" w:cs="Times New Roman"/>
          <w:bCs/>
          <w:kern w:val="0"/>
          <w:szCs w:val="28"/>
        </w:rPr>
        <w:t xml:space="preserve">五、 </w:t>
      </w:r>
      <w:r>
        <w:rPr>
          <w:rFonts w:hint="eastAsia" w:ascii="宋体" w:hAnsi="宋体" w:cs="宋体"/>
          <w:bCs/>
          <w:kern w:val="0"/>
          <w:szCs w:val="28"/>
        </w:rPr>
        <w:t>磋商、评审、定标</w:t>
      </w:r>
      <w:r>
        <w:tab/>
      </w:r>
      <w:r>
        <w:fldChar w:fldCharType="begin"/>
      </w:r>
      <w:r>
        <w:instrText xml:space="preserve"> PAGEREF _Toc3902 \h </w:instrText>
      </w:r>
      <w:r>
        <w:fldChar w:fldCharType="separate"/>
      </w:r>
      <w:r>
        <w:t>17</w:t>
      </w:r>
      <w:r>
        <w:fldChar w:fldCharType="end"/>
      </w:r>
      <w:r>
        <w:fldChar w:fldCharType="end"/>
      </w:r>
    </w:p>
    <w:p w14:paraId="2936702B">
      <w:pPr>
        <w:pStyle w:val="23"/>
        <w:tabs>
          <w:tab w:val="right" w:leader="dot" w:pos="9298"/>
        </w:tabs>
      </w:pPr>
      <w:r>
        <w:fldChar w:fldCharType="begin"/>
      </w:r>
      <w:r>
        <w:instrText xml:space="preserve"> HYPERLINK \l "_Toc786" </w:instrText>
      </w:r>
      <w:r>
        <w:fldChar w:fldCharType="separate"/>
      </w:r>
      <w:r>
        <w:rPr>
          <w:rFonts w:hint="eastAsia" w:ascii="宋体" w:hAnsi="宋体" w:cs="宋体"/>
          <w:bCs/>
          <w:kern w:val="0"/>
          <w:szCs w:val="28"/>
        </w:rPr>
        <w:t>六、签订合同</w:t>
      </w:r>
      <w:r>
        <w:tab/>
      </w:r>
      <w:r>
        <w:fldChar w:fldCharType="begin"/>
      </w:r>
      <w:r>
        <w:instrText xml:space="preserve"> PAGEREF _Toc786 \h </w:instrText>
      </w:r>
      <w:r>
        <w:fldChar w:fldCharType="separate"/>
      </w:r>
      <w:r>
        <w:t>21</w:t>
      </w:r>
      <w:r>
        <w:fldChar w:fldCharType="end"/>
      </w:r>
      <w:r>
        <w:fldChar w:fldCharType="end"/>
      </w:r>
    </w:p>
    <w:p w14:paraId="5F3FF414">
      <w:pPr>
        <w:pStyle w:val="23"/>
        <w:tabs>
          <w:tab w:val="right" w:leader="dot" w:pos="9298"/>
        </w:tabs>
      </w:pPr>
      <w:r>
        <w:fldChar w:fldCharType="begin"/>
      </w:r>
      <w:r>
        <w:instrText xml:space="preserve"> HYPERLINK \l "_Toc21099" </w:instrText>
      </w:r>
      <w:r>
        <w:fldChar w:fldCharType="separate"/>
      </w:r>
      <w:r>
        <w:rPr>
          <w:rFonts w:hint="eastAsia" w:ascii="宋体" w:hAnsi="宋体" w:cs="宋体"/>
          <w:bCs/>
          <w:kern w:val="0"/>
          <w:szCs w:val="28"/>
        </w:rPr>
        <w:t>七、代理服务费</w:t>
      </w:r>
      <w:r>
        <w:tab/>
      </w:r>
      <w:r>
        <w:fldChar w:fldCharType="begin"/>
      </w:r>
      <w:r>
        <w:instrText xml:space="preserve"> PAGEREF _Toc21099 \h </w:instrText>
      </w:r>
      <w:r>
        <w:fldChar w:fldCharType="separate"/>
      </w:r>
      <w:r>
        <w:t>22</w:t>
      </w:r>
      <w:r>
        <w:fldChar w:fldCharType="end"/>
      </w:r>
      <w:r>
        <w:fldChar w:fldCharType="end"/>
      </w:r>
    </w:p>
    <w:p w14:paraId="5F37040F">
      <w:pPr>
        <w:pStyle w:val="23"/>
        <w:tabs>
          <w:tab w:val="right" w:leader="dot" w:pos="9298"/>
        </w:tabs>
      </w:pPr>
      <w:r>
        <w:fldChar w:fldCharType="begin"/>
      </w:r>
      <w:r>
        <w:instrText xml:space="preserve"> HYPERLINK \l "_Toc4623" </w:instrText>
      </w:r>
      <w:r>
        <w:fldChar w:fldCharType="separate"/>
      </w:r>
      <w:r>
        <w:rPr>
          <w:rFonts w:hint="eastAsia" w:ascii="宋体" w:hAnsi="宋体" w:cs="宋体"/>
          <w:bCs/>
          <w:kern w:val="0"/>
          <w:szCs w:val="28"/>
        </w:rPr>
        <w:t>八、履约验收</w:t>
      </w:r>
      <w:r>
        <w:tab/>
      </w:r>
      <w:r>
        <w:fldChar w:fldCharType="begin"/>
      </w:r>
      <w:r>
        <w:instrText xml:space="preserve"> PAGEREF _Toc4623 \h </w:instrText>
      </w:r>
      <w:r>
        <w:fldChar w:fldCharType="separate"/>
      </w:r>
      <w:r>
        <w:t>22</w:t>
      </w:r>
      <w:r>
        <w:fldChar w:fldCharType="end"/>
      </w:r>
      <w:r>
        <w:fldChar w:fldCharType="end"/>
      </w:r>
    </w:p>
    <w:p w14:paraId="3B849296">
      <w:pPr>
        <w:pStyle w:val="23"/>
        <w:tabs>
          <w:tab w:val="right" w:leader="dot" w:pos="9298"/>
        </w:tabs>
      </w:pPr>
      <w:r>
        <w:fldChar w:fldCharType="begin"/>
      </w:r>
      <w:r>
        <w:instrText xml:space="preserve"> HYPERLINK \l "_Toc32648" </w:instrText>
      </w:r>
      <w:r>
        <w:fldChar w:fldCharType="separate"/>
      </w:r>
      <w:r>
        <w:rPr>
          <w:rFonts w:hint="eastAsia" w:ascii="宋体" w:hAnsi="宋体" w:cs="宋体"/>
          <w:bCs/>
          <w:kern w:val="0"/>
          <w:szCs w:val="28"/>
        </w:rPr>
        <w:t>九、质疑和投诉</w:t>
      </w:r>
      <w:r>
        <w:tab/>
      </w:r>
      <w:r>
        <w:fldChar w:fldCharType="begin"/>
      </w:r>
      <w:r>
        <w:instrText xml:space="preserve"> PAGEREF _Toc32648 \h </w:instrText>
      </w:r>
      <w:r>
        <w:fldChar w:fldCharType="separate"/>
      </w:r>
      <w:r>
        <w:t>22</w:t>
      </w:r>
      <w:r>
        <w:fldChar w:fldCharType="end"/>
      </w:r>
      <w:r>
        <w:fldChar w:fldCharType="end"/>
      </w:r>
    </w:p>
    <w:p w14:paraId="01BDFEC4">
      <w:pPr>
        <w:pStyle w:val="21"/>
        <w:tabs>
          <w:tab w:val="right" w:leader="dot" w:pos="9298"/>
        </w:tabs>
      </w:pPr>
      <w:r>
        <w:fldChar w:fldCharType="begin"/>
      </w:r>
      <w:r>
        <w:instrText xml:space="preserve"> HYPERLINK \l "_Toc20895" </w:instrText>
      </w:r>
      <w:r>
        <w:fldChar w:fldCharType="separate"/>
      </w:r>
      <w:r>
        <w:rPr>
          <w:rFonts w:hint="eastAsia"/>
        </w:rPr>
        <w:t>第四部分  评审办法</w:t>
      </w:r>
      <w:r>
        <w:tab/>
      </w:r>
      <w:r>
        <w:fldChar w:fldCharType="begin"/>
      </w:r>
      <w:r>
        <w:instrText xml:space="preserve"> PAGEREF _Toc20895 \h </w:instrText>
      </w:r>
      <w:r>
        <w:fldChar w:fldCharType="separate"/>
      </w:r>
      <w:r>
        <w:t>24</w:t>
      </w:r>
      <w:r>
        <w:fldChar w:fldCharType="end"/>
      </w:r>
      <w:r>
        <w:fldChar w:fldCharType="end"/>
      </w:r>
    </w:p>
    <w:p w14:paraId="42BC3295">
      <w:pPr>
        <w:pStyle w:val="21"/>
        <w:tabs>
          <w:tab w:val="right" w:leader="dot" w:pos="9298"/>
        </w:tabs>
      </w:pPr>
      <w:r>
        <w:fldChar w:fldCharType="begin"/>
      </w:r>
      <w:r>
        <w:instrText xml:space="preserve"> HYPERLINK \l "_Toc27840" </w:instrText>
      </w:r>
      <w:r>
        <w:fldChar w:fldCharType="separate"/>
      </w:r>
      <w:r>
        <w:rPr>
          <w:rFonts w:hint="eastAsia" w:asciiTheme="minorEastAsia" w:hAnsiTheme="minorEastAsia" w:cstheme="minorEastAsia"/>
          <w:szCs w:val="36"/>
        </w:rPr>
        <w:t>第五部分  采购要求</w:t>
      </w:r>
      <w:r>
        <w:tab/>
      </w:r>
      <w:r>
        <w:fldChar w:fldCharType="begin"/>
      </w:r>
      <w:r>
        <w:instrText xml:space="preserve"> PAGEREF _Toc27840 \h </w:instrText>
      </w:r>
      <w:r>
        <w:fldChar w:fldCharType="separate"/>
      </w:r>
      <w:r>
        <w:t>30</w:t>
      </w:r>
      <w:r>
        <w:fldChar w:fldCharType="end"/>
      </w:r>
      <w:r>
        <w:fldChar w:fldCharType="end"/>
      </w:r>
    </w:p>
    <w:p w14:paraId="6CE6D8DD">
      <w:pPr>
        <w:pStyle w:val="21"/>
        <w:tabs>
          <w:tab w:val="right" w:leader="dot" w:pos="9298"/>
        </w:tabs>
      </w:pPr>
      <w:r>
        <w:fldChar w:fldCharType="begin"/>
      </w:r>
      <w:r>
        <w:instrText xml:space="preserve"> HYPERLINK \l "_Toc1119" </w:instrText>
      </w:r>
      <w:r>
        <w:fldChar w:fldCharType="separate"/>
      </w:r>
      <w:r>
        <w:rPr>
          <w:rFonts w:hint="eastAsia"/>
        </w:rPr>
        <w:t xml:space="preserve">第六部分  </w:t>
      </w:r>
      <w:r>
        <w:t>合同</w:t>
      </w:r>
      <w:r>
        <w:rPr>
          <w:rFonts w:hint="eastAsia"/>
        </w:rPr>
        <w:t>主要</w:t>
      </w:r>
      <w:r>
        <w:t>条款</w:t>
      </w:r>
      <w:r>
        <w:rPr>
          <w:rFonts w:hint="eastAsia"/>
        </w:rPr>
        <w:t>（参考合同）</w:t>
      </w:r>
      <w:r>
        <w:tab/>
      </w:r>
      <w:r>
        <w:fldChar w:fldCharType="begin"/>
      </w:r>
      <w:r>
        <w:instrText xml:space="preserve"> PAGEREF _Toc1119 \h </w:instrText>
      </w:r>
      <w:r>
        <w:fldChar w:fldCharType="separate"/>
      </w:r>
      <w:r>
        <w:t>33</w:t>
      </w:r>
      <w:r>
        <w:fldChar w:fldCharType="end"/>
      </w:r>
      <w:r>
        <w:fldChar w:fldCharType="end"/>
      </w:r>
    </w:p>
    <w:p w14:paraId="32DE6EDC">
      <w:pPr>
        <w:pStyle w:val="21"/>
        <w:tabs>
          <w:tab w:val="right" w:leader="dot" w:pos="9298"/>
        </w:tabs>
      </w:pPr>
      <w:r>
        <w:fldChar w:fldCharType="begin"/>
      </w:r>
      <w:r>
        <w:instrText xml:space="preserve"> HYPERLINK \l "_Toc27380" </w:instrText>
      </w:r>
      <w:r>
        <w:fldChar w:fldCharType="separate"/>
      </w:r>
      <w:r>
        <w:rPr>
          <w:rFonts w:hint="eastAsia" w:asciiTheme="minorEastAsia" w:hAnsiTheme="minorEastAsia" w:cstheme="minorEastAsia"/>
          <w:szCs w:val="36"/>
        </w:rPr>
        <w:t xml:space="preserve">第七部分  </w:t>
      </w:r>
      <w:r>
        <w:rPr>
          <w:rFonts w:hint="eastAsia" w:ascii="宋体" w:hAnsi="宋体" w:cs="宋体"/>
          <w:szCs w:val="36"/>
        </w:rPr>
        <w:t>磋商响应文件格式</w:t>
      </w:r>
      <w:r>
        <w:tab/>
      </w:r>
      <w:r>
        <w:fldChar w:fldCharType="begin"/>
      </w:r>
      <w:r>
        <w:instrText xml:space="preserve"> PAGEREF _Toc27380 \h </w:instrText>
      </w:r>
      <w:r>
        <w:fldChar w:fldCharType="separate"/>
      </w:r>
      <w:r>
        <w:t>46</w:t>
      </w:r>
      <w:r>
        <w:fldChar w:fldCharType="end"/>
      </w:r>
      <w:r>
        <w:fldChar w:fldCharType="end"/>
      </w:r>
    </w:p>
    <w:p w14:paraId="40372897">
      <w:pPr>
        <w:pStyle w:val="23"/>
        <w:tabs>
          <w:tab w:val="right" w:leader="dot" w:pos="9298"/>
        </w:tabs>
      </w:pPr>
      <w:r>
        <w:fldChar w:fldCharType="begin"/>
      </w:r>
      <w:r>
        <w:instrText xml:space="preserve"> HYPERLINK \l "_Toc13711" </w:instrText>
      </w:r>
      <w:r>
        <w:fldChar w:fldCharType="separate"/>
      </w:r>
      <w:r>
        <w:rPr>
          <w:rFonts w:hint="eastAsia" w:asciiTheme="minorEastAsia" w:hAnsiTheme="minorEastAsia" w:cstheme="minorEastAsia"/>
          <w:szCs w:val="36"/>
        </w:rPr>
        <w:t>第一章  响应函</w:t>
      </w:r>
      <w:r>
        <w:tab/>
      </w:r>
      <w:r>
        <w:fldChar w:fldCharType="begin"/>
      </w:r>
      <w:r>
        <w:instrText xml:space="preserve"> PAGEREF _Toc13711 \h </w:instrText>
      </w:r>
      <w:r>
        <w:fldChar w:fldCharType="separate"/>
      </w:r>
      <w:r>
        <w:t>48</w:t>
      </w:r>
      <w:r>
        <w:fldChar w:fldCharType="end"/>
      </w:r>
      <w:r>
        <w:fldChar w:fldCharType="end"/>
      </w:r>
    </w:p>
    <w:p w14:paraId="03A1E951">
      <w:pPr>
        <w:pStyle w:val="23"/>
        <w:tabs>
          <w:tab w:val="right" w:leader="dot" w:pos="9298"/>
        </w:tabs>
      </w:pPr>
      <w:r>
        <w:fldChar w:fldCharType="begin"/>
      </w:r>
      <w:r>
        <w:instrText xml:space="preserve"> HYPERLINK \l "_Toc1694" </w:instrText>
      </w:r>
      <w:r>
        <w:fldChar w:fldCharType="separate"/>
      </w:r>
      <w:r>
        <w:rPr>
          <w:rFonts w:hint="eastAsia" w:asciiTheme="minorEastAsia" w:hAnsiTheme="minorEastAsia" w:cstheme="minorEastAsia"/>
          <w:szCs w:val="36"/>
        </w:rPr>
        <w:t>第二章  磋商一览表</w:t>
      </w:r>
      <w:r>
        <w:tab/>
      </w:r>
      <w:r>
        <w:fldChar w:fldCharType="begin"/>
      </w:r>
      <w:r>
        <w:instrText xml:space="preserve"> PAGEREF _Toc1694 \h </w:instrText>
      </w:r>
      <w:r>
        <w:fldChar w:fldCharType="separate"/>
      </w:r>
      <w:r>
        <w:t>49</w:t>
      </w:r>
      <w:r>
        <w:fldChar w:fldCharType="end"/>
      </w:r>
      <w:r>
        <w:fldChar w:fldCharType="end"/>
      </w:r>
    </w:p>
    <w:p w14:paraId="63CC447A">
      <w:pPr>
        <w:pStyle w:val="23"/>
        <w:tabs>
          <w:tab w:val="right" w:leader="dot" w:pos="9298"/>
        </w:tabs>
      </w:pPr>
      <w:r>
        <w:fldChar w:fldCharType="begin"/>
      </w:r>
      <w:r>
        <w:instrText xml:space="preserve"> HYPERLINK \l "_Toc15612" </w:instrText>
      </w:r>
      <w:r>
        <w:fldChar w:fldCharType="separate"/>
      </w:r>
      <w:r>
        <w:rPr>
          <w:rFonts w:hint="eastAsia"/>
        </w:rPr>
        <w:t>第三章  分项报价表</w:t>
      </w:r>
      <w:r>
        <w:tab/>
      </w:r>
      <w:r>
        <w:fldChar w:fldCharType="begin"/>
      </w:r>
      <w:r>
        <w:instrText xml:space="preserve"> PAGEREF _Toc15612 \h </w:instrText>
      </w:r>
      <w:r>
        <w:fldChar w:fldCharType="separate"/>
      </w:r>
      <w:r>
        <w:t>50</w:t>
      </w:r>
      <w:r>
        <w:fldChar w:fldCharType="end"/>
      </w:r>
      <w:r>
        <w:fldChar w:fldCharType="end"/>
      </w:r>
    </w:p>
    <w:p w14:paraId="6D72AEEC">
      <w:pPr>
        <w:pStyle w:val="23"/>
        <w:tabs>
          <w:tab w:val="right" w:leader="dot" w:pos="9298"/>
        </w:tabs>
      </w:pPr>
      <w:r>
        <w:fldChar w:fldCharType="begin"/>
      </w:r>
      <w:r>
        <w:instrText xml:space="preserve"> HYPERLINK \l "_Toc10414" </w:instrText>
      </w:r>
      <w:r>
        <w:fldChar w:fldCharType="separate"/>
      </w:r>
      <w:r>
        <w:rPr>
          <w:rFonts w:hint="eastAsia"/>
        </w:rPr>
        <w:t>第四章  供应商资质证明资料</w:t>
      </w:r>
      <w:r>
        <w:tab/>
      </w:r>
      <w:r>
        <w:fldChar w:fldCharType="begin"/>
      </w:r>
      <w:r>
        <w:instrText xml:space="preserve"> PAGEREF _Toc10414 \h </w:instrText>
      </w:r>
      <w:r>
        <w:fldChar w:fldCharType="separate"/>
      </w:r>
      <w:r>
        <w:t>51</w:t>
      </w:r>
      <w:r>
        <w:fldChar w:fldCharType="end"/>
      </w:r>
      <w:r>
        <w:fldChar w:fldCharType="end"/>
      </w:r>
    </w:p>
    <w:p w14:paraId="1B80654F">
      <w:pPr>
        <w:pStyle w:val="23"/>
        <w:tabs>
          <w:tab w:val="right" w:leader="dot" w:pos="9298"/>
        </w:tabs>
      </w:pPr>
      <w:r>
        <w:fldChar w:fldCharType="begin"/>
      </w:r>
      <w:r>
        <w:instrText xml:space="preserve"> HYPERLINK \l "_Toc22246" </w:instrText>
      </w:r>
      <w:r>
        <w:fldChar w:fldCharType="separate"/>
      </w:r>
      <w:r>
        <w:rPr>
          <w:rFonts w:hint="eastAsia"/>
        </w:rPr>
        <w:t>第五章  商务和技术响应偏离表</w:t>
      </w:r>
      <w:r>
        <w:tab/>
      </w:r>
      <w:r>
        <w:fldChar w:fldCharType="begin"/>
      </w:r>
      <w:r>
        <w:instrText xml:space="preserve"> PAGEREF _Toc22246 \h </w:instrText>
      </w:r>
      <w:r>
        <w:fldChar w:fldCharType="separate"/>
      </w:r>
      <w:r>
        <w:t>58</w:t>
      </w:r>
      <w:r>
        <w:fldChar w:fldCharType="end"/>
      </w:r>
      <w:r>
        <w:fldChar w:fldCharType="end"/>
      </w:r>
    </w:p>
    <w:p w14:paraId="349B1633">
      <w:pPr>
        <w:pStyle w:val="23"/>
        <w:tabs>
          <w:tab w:val="right" w:leader="dot" w:pos="9298"/>
        </w:tabs>
      </w:pPr>
      <w:r>
        <w:fldChar w:fldCharType="begin"/>
      </w:r>
      <w:r>
        <w:instrText xml:space="preserve"> HYPERLINK \l "_Toc24390" </w:instrText>
      </w:r>
      <w:r>
        <w:fldChar w:fldCharType="separate"/>
      </w:r>
      <w:r>
        <w:rPr>
          <w:rFonts w:hint="eastAsia"/>
          <w:szCs w:val="28"/>
        </w:rPr>
        <w:t>第六章技术支持资料</w:t>
      </w:r>
      <w:r>
        <w:tab/>
      </w:r>
      <w:r>
        <w:fldChar w:fldCharType="begin"/>
      </w:r>
      <w:r>
        <w:instrText xml:space="preserve"> PAGEREF _Toc24390 \h </w:instrText>
      </w:r>
      <w:r>
        <w:fldChar w:fldCharType="separate"/>
      </w:r>
      <w:r>
        <w:t>60</w:t>
      </w:r>
      <w:r>
        <w:fldChar w:fldCharType="end"/>
      </w:r>
      <w:r>
        <w:fldChar w:fldCharType="end"/>
      </w:r>
    </w:p>
    <w:p w14:paraId="3FA3A925">
      <w:pPr>
        <w:pStyle w:val="23"/>
        <w:tabs>
          <w:tab w:val="right" w:leader="dot" w:pos="9298"/>
        </w:tabs>
      </w:pPr>
      <w:r>
        <w:fldChar w:fldCharType="begin"/>
      </w:r>
      <w:r>
        <w:instrText xml:space="preserve"> HYPERLINK \l "_Toc6202" </w:instrText>
      </w:r>
      <w:r>
        <w:fldChar w:fldCharType="separate"/>
      </w:r>
      <w:r>
        <w:rPr>
          <w:rFonts w:hint="eastAsia"/>
        </w:rPr>
        <w:t>第七章  供应商业绩一览表</w:t>
      </w:r>
      <w:r>
        <w:tab/>
      </w:r>
      <w:r>
        <w:fldChar w:fldCharType="begin"/>
      </w:r>
      <w:r>
        <w:instrText xml:space="preserve"> PAGEREF _Toc6202 \h </w:instrText>
      </w:r>
      <w:r>
        <w:fldChar w:fldCharType="separate"/>
      </w:r>
      <w:r>
        <w:t>61</w:t>
      </w:r>
      <w:r>
        <w:fldChar w:fldCharType="end"/>
      </w:r>
      <w:r>
        <w:fldChar w:fldCharType="end"/>
      </w:r>
    </w:p>
    <w:p w14:paraId="433A6195">
      <w:pPr>
        <w:pStyle w:val="23"/>
        <w:tabs>
          <w:tab w:val="right" w:leader="dot" w:pos="9298"/>
        </w:tabs>
      </w:pPr>
      <w:r>
        <w:fldChar w:fldCharType="begin"/>
      </w:r>
      <w:r>
        <w:instrText xml:space="preserve"> HYPERLINK \l "_Toc5521" </w:instrText>
      </w:r>
      <w:r>
        <w:fldChar w:fldCharType="separate"/>
      </w:r>
      <w:r>
        <w:rPr>
          <w:rFonts w:hint="eastAsia"/>
        </w:rPr>
        <w:t>第八章  供应商认为有必要说明的其他问题</w:t>
      </w:r>
      <w:r>
        <w:tab/>
      </w:r>
      <w:r>
        <w:fldChar w:fldCharType="begin"/>
      </w:r>
      <w:r>
        <w:instrText xml:space="preserve"> PAGEREF _Toc5521 \h </w:instrText>
      </w:r>
      <w:r>
        <w:fldChar w:fldCharType="separate"/>
      </w:r>
      <w:r>
        <w:t>62</w:t>
      </w:r>
      <w:r>
        <w:fldChar w:fldCharType="end"/>
      </w:r>
      <w:r>
        <w:fldChar w:fldCharType="end"/>
      </w:r>
    </w:p>
    <w:p w14:paraId="410122D2">
      <w:pPr>
        <w:pStyle w:val="23"/>
        <w:tabs>
          <w:tab w:val="right" w:leader="dot" w:pos="9298"/>
        </w:tabs>
      </w:pPr>
      <w:r>
        <w:fldChar w:fldCharType="begin"/>
      </w:r>
      <w:r>
        <w:instrText xml:space="preserve"> HYPERLINK \l "_Toc2473" </w:instrText>
      </w:r>
      <w:r>
        <w:fldChar w:fldCharType="separate"/>
      </w:r>
      <w:r>
        <w:rPr>
          <w:rFonts w:hint="eastAsia" w:asciiTheme="minorEastAsia" w:hAnsiTheme="minorEastAsia" w:cstheme="minorEastAsia"/>
          <w:szCs w:val="36"/>
        </w:rPr>
        <w:t>第九章  供应商承诺书</w:t>
      </w:r>
      <w:r>
        <w:tab/>
      </w:r>
      <w:r>
        <w:fldChar w:fldCharType="begin"/>
      </w:r>
      <w:r>
        <w:instrText xml:space="preserve"> PAGEREF _Toc2473 \h </w:instrText>
      </w:r>
      <w:r>
        <w:fldChar w:fldCharType="separate"/>
      </w:r>
      <w:r>
        <w:t>63</w:t>
      </w:r>
      <w:r>
        <w:fldChar w:fldCharType="end"/>
      </w:r>
      <w:r>
        <w:fldChar w:fldCharType="end"/>
      </w:r>
    </w:p>
    <w:p w14:paraId="18A01D24">
      <w:pPr>
        <w:pStyle w:val="23"/>
        <w:tabs>
          <w:tab w:val="right" w:leader="dot" w:pos="9298"/>
        </w:tabs>
      </w:pPr>
      <w:r>
        <w:fldChar w:fldCharType="begin"/>
      </w:r>
      <w:r>
        <w:instrText xml:space="preserve"> HYPERLINK \l "_Toc31485" </w:instrText>
      </w:r>
      <w:r>
        <w:fldChar w:fldCharType="separate"/>
      </w:r>
      <w:r>
        <w:rPr>
          <w:rFonts w:hint="eastAsia" w:asciiTheme="minorEastAsia" w:hAnsiTheme="minorEastAsia" w:cstheme="minorEastAsia"/>
        </w:rPr>
        <w:t>附件一：封袋正面标识式样</w:t>
      </w:r>
      <w:r>
        <w:tab/>
      </w:r>
      <w:r>
        <w:fldChar w:fldCharType="begin"/>
      </w:r>
      <w:r>
        <w:instrText xml:space="preserve"> PAGEREF _Toc31485 \h </w:instrText>
      </w:r>
      <w:r>
        <w:fldChar w:fldCharType="separate"/>
      </w:r>
      <w:r>
        <w:t>66</w:t>
      </w:r>
      <w:r>
        <w:fldChar w:fldCharType="end"/>
      </w:r>
      <w:r>
        <w:fldChar w:fldCharType="end"/>
      </w:r>
    </w:p>
    <w:p w14:paraId="437454DF">
      <w:pPr>
        <w:pStyle w:val="23"/>
        <w:tabs>
          <w:tab w:val="right" w:leader="dot" w:pos="9298"/>
        </w:tabs>
      </w:pPr>
      <w:r>
        <w:fldChar w:fldCharType="begin"/>
      </w:r>
      <w:r>
        <w:instrText xml:space="preserve"> HYPERLINK \l "_Toc18523" </w:instrText>
      </w:r>
      <w:r>
        <w:fldChar w:fldCharType="separate"/>
      </w:r>
      <w:r>
        <w:rPr>
          <w:rFonts w:hint="eastAsia" w:ascii="宋体" w:hAnsi="宋体" w:cs="宋体"/>
        </w:rPr>
        <w:t>附件二、中小企业申明</w:t>
      </w:r>
      <w:r>
        <w:tab/>
      </w:r>
      <w:r>
        <w:fldChar w:fldCharType="begin"/>
      </w:r>
      <w:r>
        <w:instrText xml:space="preserve"> PAGEREF _Toc18523 \h </w:instrText>
      </w:r>
      <w:r>
        <w:fldChar w:fldCharType="separate"/>
      </w:r>
      <w:r>
        <w:t>68</w:t>
      </w:r>
      <w:r>
        <w:fldChar w:fldCharType="end"/>
      </w:r>
      <w:r>
        <w:fldChar w:fldCharType="end"/>
      </w:r>
    </w:p>
    <w:p w14:paraId="78518A33">
      <w:pPr>
        <w:pStyle w:val="23"/>
        <w:tabs>
          <w:tab w:val="right" w:leader="dot" w:pos="9298"/>
        </w:tabs>
      </w:pPr>
      <w:r>
        <w:fldChar w:fldCharType="begin"/>
      </w:r>
      <w:r>
        <w:instrText xml:space="preserve"> HYPERLINK \l "_Toc7588" </w:instrText>
      </w:r>
      <w:r>
        <w:fldChar w:fldCharType="separate"/>
      </w:r>
      <w:r>
        <w:rPr>
          <w:rFonts w:hint="eastAsia"/>
        </w:rPr>
        <w:t>附件三、残疾人福利性单位声明</w:t>
      </w:r>
      <w:r>
        <w:tab/>
      </w:r>
      <w:r>
        <w:fldChar w:fldCharType="begin"/>
      </w:r>
      <w:r>
        <w:instrText xml:space="preserve"> PAGEREF _Toc7588 \h </w:instrText>
      </w:r>
      <w:r>
        <w:fldChar w:fldCharType="separate"/>
      </w:r>
      <w:r>
        <w:t>69</w:t>
      </w:r>
      <w:r>
        <w:fldChar w:fldCharType="end"/>
      </w:r>
      <w:r>
        <w:fldChar w:fldCharType="end"/>
      </w:r>
    </w:p>
    <w:p w14:paraId="70E9BD0B">
      <w:pPr>
        <w:pStyle w:val="23"/>
        <w:tabs>
          <w:tab w:val="right" w:leader="dot" w:pos="9298"/>
        </w:tabs>
      </w:pPr>
      <w:r>
        <w:fldChar w:fldCharType="begin"/>
      </w:r>
      <w:r>
        <w:instrText xml:space="preserve"> HYPERLINK \l "_Toc16717" </w:instrText>
      </w:r>
      <w:r>
        <w:fldChar w:fldCharType="separate"/>
      </w:r>
      <w:r>
        <w:rPr>
          <w:rFonts w:hint="eastAsia"/>
        </w:rPr>
        <w:t>附件四、监狱企业证明文件</w:t>
      </w:r>
      <w:r>
        <w:tab/>
      </w:r>
      <w:r>
        <w:fldChar w:fldCharType="begin"/>
      </w:r>
      <w:r>
        <w:instrText xml:space="preserve"> PAGEREF _Toc16717 \h </w:instrText>
      </w:r>
      <w:r>
        <w:fldChar w:fldCharType="separate"/>
      </w:r>
      <w:r>
        <w:t>70</w:t>
      </w:r>
      <w:r>
        <w:fldChar w:fldCharType="end"/>
      </w:r>
      <w:r>
        <w:fldChar w:fldCharType="end"/>
      </w:r>
    </w:p>
    <w:p w14:paraId="3BA278AA">
      <w:pPr>
        <w:pStyle w:val="23"/>
        <w:tabs>
          <w:tab w:val="right" w:leader="dot" w:pos="9298"/>
        </w:tabs>
      </w:pPr>
      <w:r>
        <w:fldChar w:fldCharType="begin"/>
      </w:r>
      <w:r>
        <w:instrText xml:space="preserve"> HYPERLINK \l "_Toc6319" </w:instrText>
      </w:r>
      <w:r>
        <w:fldChar w:fldCharType="separate"/>
      </w:r>
      <w:r>
        <w:rPr>
          <w:rFonts w:hint="eastAsia" w:ascii="宋体" w:hAnsi="宋体" w:cs="宋体"/>
        </w:rPr>
        <w:t>附件五、“节能产品”，“环境标志产品”证明材料</w:t>
      </w:r>
      <w:r>
        <w:tab/>
      </w:r>
      <w:r>
        <w:fldChar w:fldCharType="begin"/>
      </w:r>
      <w:r>
        <w:instrText xml:space="preserve"> PAGEREF _Toc6319 \h </w:instrText>
      </w:r>
      <w:r>
        <w:fldChar w:fldCharType="separate"/>
      </w:r>
      <w:r>
        <w:t>70</w:t>
      </w:r>
      <w:r>
        <w:fldChar w:fldCharType="end"/>
      </w:r>
      <w:r>
        <w:fldChar w:fldCharType="end"/>
      </w:r>
    </w:p>
    <w:p w14:paraId="12CE2592">
      <w:pPr>
        <w:pStyle w:val="23"/>
        <w:tabs>
          <w:tab w:val="right" w:leader="dot" w:pos="9298"/>
        </w:tabs>
      </w:pPr>
      <w:r>
        <w:fldChar w:fldCharType="begin"/>
      </w:r>
      <w:r>
        <w:instrText xml:space="preserve"> HYPERLINK \l "_Toc1188" </w:instrText>
      </w:r>
      <w:r>
        <w:fldChar w:fldCharType="separate"/>
      </w:r>
      <w:r>
        <w:rPr>
          <w:rFonts w:hint="eastAsia"/>
        </w:rPr>
        <w:t>附件六、质疑函范本</w:t>
      </w:r>
      <w:r>
        <w:tab/>
      </w:r>
      <w:r>
        <w:fldChar w:fldCharType="begin"/>
      </w:r>
      <w:r>
        <w:instrText xml:space="preserve"> PAGEREF _Toc1188 \h </w:instrText>
      </w:r>
      <w:r>
        <w:fldChar w:fldCharType="separate"/>
      </w:r>
      <w:r>
        <w:t>71</w:t>
      </w:r>
      <w:r>
        <w:fldChar w:fldCharType="end"/>
      </w:r>
      <w:r>
        <w:fldChar w:fldCharType="end"/>
      </w:r>
    </w:p>
    <w:p w14:paraId="7868F32B">
      <w:pPr>
        <w:pStyle w:val="4"/>
        <w:spacing w:line="240" w:lineRule="auto"/>
        <w:rPr>
          <w:rFonts w:asciiTheme="minorEastAsia" w:hAnsiTheme="minorEastAsia" w:eastAsiaTheme="minorEastAsia" w:cstheme="minorEastAsia"/>
          <w:b w:val="0"/>
          <w:sz w:val="24"/>
          <w:szCs w:val="24"/>
        </w:rPr>
        <w:sectPr>
          <w:footerReference r:id="rId7" w:type="default"/>
          <w:pgSz w:w="11906" w:h="16838"/>
          <w:pgMar w:top="1440" w:right="1304" w:bottom="1440" w:left="1304" w:header="851" w:footer="992" w:gutter="0"/>
          <w:pgNumType w:fmt="decimal" w:start="1"/>
          <w:cols w:space="0" w:num="1"/>
          <w:docGrid w:type="lines" w:linePitch="325" w:charSpace="0"/>
        </w:sectPr>
      </w:pPr>
      <w:r>
        <w:rPr>
          <w:rFonts w:asciiTheme="minorEastAsia" w:hAnsiTheme="minorEastAsia" w:eastAsiaTheme="minorEastAsia" w:cstheme="minorEastAsia"/>
          <w:szCs w:val="24"/>
        </w:rPr>
        <w:fldChar w:fldCharType="end"/>
      </w:r>
    </w:p>
    <w:p w14:paraId="3B5C5586">
      <w:pPr>
        <w:pStyle w:val="4"/>
        <w:spacing w:before="312" w:beforeLines="100" w:after="468" w:afterLines="150" w:line="600" w:lineRule="exact"/>
        <w:rPr>
          <w:rFonts w:asciiTheme="minorEastAsia" w:hAnsiTheme="minorEastAsia" w:eastAsiaTheme="minorEastAsia" w:cstheme="minorEastAsia"/>
          <w:sz w:val="36"/>
          <w:szCs w:val="36"/>
        </w:rPr>
      </w:pPr>
      <w:bookmarkStart w:id="1" w:name="_Toc23156"/>
      <w:bookmarkStart w:id="2" w:name="_Toc26575"/>
      <w:bookmarkStart w:id="3" w:name="_Toc20781"/>
      <w:r>
        <w:rPr>
          <w:rFonts w:hint="eastAsia" w:asciiTheme="minorEastAsia" w:hAnsiTheme="minorEastAsia" w:eastAsiaTheme="minorEastAsia" w:cstheme="minorEastAsia"/>
          <w:sz w:val="36"/>
          <w:szCs w:val="36"/>
        </w:rPr>
        <w:t xml:space="preserve">第一部分  </w:t>
      </w:r>
      <w:bookmarkEnd w:id="1"/>
      <w:bookmarkEnd w:id="2"/>
      <w:r>
        <w:rPr>
          <w:rFonts w:hint="eastAsia" w:asciiTheme="minorEastAsia" w:hAnsiTheme="minorEastAsia" w:eastAsiaTheme="minorEastAsia" w:cstheme="minorEastAsia"/>
          <w:sz w:val="36"/>
          <w:szCs w:val="36"/>
        </w:rPr>
        <w:t>竞争性磋商公告</w:t>
      </w:r>
      <w:bookmarkEnd w:id="3"/>
    </w:p>
    <w:p w14:paraId="4AF77E6E">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Theme="minorEastAsia" w:hAnsiTheme="minorEastAsia" w:cstheme="minorEastAsia"/>
          <w:kern w:val="0"/>
          <w:sz w:val="24"/>
          <w:szCs w:val="24"/>
          <w:lang w:eastAsia="zh-CN"/>
        </w:rPr>
        <w:t>西安市扶贫信息监测中心</w:t>
      </w:r>
      <w:r>
        <w:rPr>
          <w:rFonts w:hint="eastAsia" w:asciiTheme="minorEastAsia" w:hAnsiTheme="minorEastAsia" w:cstheme="minorEastAsia"/>
          <w:kern w:val="0"/>
          <w:sz w:val="24"/>
          <w:szCs w:val="24"/>
        </w:rPr>
        <w:t>的委托，就</w:t>
      </w:r>
      <w:r>
        <w:rPr>
          <w:rFonts w:hint="eastAsia" w:asciiTheme="minorEastAsia" w:hAnsiTheme="minorEastAsia" w:cstheme="minorEastAsia"/>
          <w:kern w:val="0"/>
          <w:sz w:val="24"/>
          <w:szCs w:val="24"/>
          <w:lang w:eastAsia="zh-CN"/>
        </w:rPr>
        <w:t>西安市扶贫信息监测中心巩固脱贫攻坚成果和防返贫监测数据质量评估及分析服务项目</w:t>
      </w:r>
      <w:r>
        <w:rPr>
          <w:rFonts w:hint="eastAsia" w:asciiTheme="minorEastAsia" w:hAnsiTheme="minorEastAsia" w:cstheme="minorEastAsia"/>
          <w:kern w:val="0"/>
          <w:sz w:val="24"/>
          <w:szCs w:val="24"/>
        </w:rPr>
        <w:t>进行竞争性磋商，欢迎符合资格条件的、有能力提供本次项目所需货物和服务的供应商参加磋商。</w:t>
      </w:r>
    </w:p>
    <w:p w14:paraId="4C71FD1A">
      <w:pPr>
        <w:widowControl/>
        <w:numPr>
          <w:ilvl w:val="0"/>
          <w:numId w:val="0"/>
        </w:numPr>
        <w:wordWrap w:val="0"/>
        <w:snapToGrid w:val="0"/>
        <w:spacing w:line="360" w:lineRule="auto"/>
        <w:ind w:left="-60" w:leftChars="0" w:firstLine="480" w:firstLineChars="0"/>
        <w:jc w:val="left"/>
        <w:rPr>
          <w:rFonts w:asciiTheme="minorEastAsia" w:hAnsiTheme="minorEastAsia" w:cstheme="minorEastAsia"/>
          <w:kern w:val="0"/>
          <w:sz w:val="24"/>
          <w:szCs w:val="24"/>
        </w:rPr>
      </w:pPr>
      <w:r>
        <w:rPr>
          <w:rFonts w:asciiTheme="minorEastAsia" w:hAnsiTheme="minorEastAsia" w:eastAsiaTheme="minorEastAsia" w:cstheme="minorEastAsia"/>
          <w:kern w:val="0"/>
          <w:sz w:val="24"/>
          <w:szCs w:val="24"/>
          <w:lang w:val="en-US" w:eastAsia="zh-CN" w:bidi="ar-SA"/>
        </w:rPr>
        <w:t>一、</w:t>
      </w: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西安市扶贫信息监测中心巩固脱贫攻坚成果和防返贫监测数据质量评估及分析服务项目</w:t>
      </w:r>
    </w:p>
    <w:p w14:paraId="56CE5AD5">
      <w:pPr>
        <w:widowControl/>
        <w:numPr>
          <w:ilvl w:val="0"/>
          <w:numId w:val="0"/>
        </w:numPr>
        <w:tabs>
          <w:tab w:val="left" w:pos="1620"/>
        </w:tabs>
        <w:wordWrap w:val="0"/>
        <w:snapToGrid w:val="0"/>
        <w:spacing w:line="360" w:lineRule="auto"/>
        <w:ind w:left="-60" w:leftChars="0" w:firstLine="480" w:firstLineChars="0"/>
        <w:jc w:val="left"/>
        <w:rPr>
          <w:rFonts w:asciiTheme="minorEastAsia" w:hAnsiTheme="minorEastAsia" w:cstheme="minorEastAsia"/>
          <w:kern w:val="0"/>
          <w:sz w:val="24"/>
          <w:szCs w:val="24"/>
        </w:rPr>
      </w:pPr>
      <w:r>
        <w:rPr>
          <w:rFonts w:asciiTheme="minorEastAsia" w:hAnsiTheme="minorEastAsia" w:eastAsiaTheme="minorEastAsia" w:cstheme="minorEastAsia"/>
          <w:kern w:val="0"/>
          <w:sz w:val="24"/>
          <w:szCs w:val="24"/>
          <w:lang w:val="en-US" w:eastAsia="zh-CN" w:bidi="ar-SA"/>
        </w:rPr>
        <w:t>二、</w:t>
      </w:r>
      <w:r>
        <w:rPr>
          <w:rFonts w:hint="eastAsia" w:asciiTheme="minorEastAsia" w:hAnsiTheme="minorEastAsia" w:cstheme="minorEastAsia"/>
          <w:kern w:val="0"/>
          <w:sz w:val="24"/>
          <w:szCs w:val="24"/>
        </w:rPr>
        <w:t>项目编号：</w:t>
      </w:r>
      <w:r>
        <w:rPr>
          <w:rFonts w:hint="eastAsia" w:asciiTheme="minorEastAsia" w:hAnsiTheme="minorEastAsia" w:cstheme="minorEastAsia"/>
          <w:kern w:val="0"/>
          <w:sz w:val="24"/>
          <w:szCs w:val="24"/>
          <w:lang w:eastAsia="zh-CN"/>
        </w:rPr>
        <w:t>SXWZ2025ZB-JCZX-192</w:t>
      </w:r>
    </w:p>
    <w:p w14:paraId="0ACF61A4">
      <w:pPr>
        <w:widowControl/>
        <w:numPr>
          <w:ilvl w:val="0"/>
          <w:numId w:val="0"/>
        </w:numPr>
        <w:wordWrap w:val="0"/>
        <w:snapToGrid w:val="0"/>
        <w:spacing w:line="360" w:lineRule="auto"/>
        <w:ind w:left="-60" w:leftChars="0" w:firstLine="480" w:firstLineChars="0"/>
        <w:jc w:val="left"/>
        <w:rPr>
          <w:rFonts w:ascii="宋体" w:cs="宋体"/>
          <w:kern w:val="0"/>
          <w:sz w:val="24"/>
          <w:szCs w:val="24"/>
        </w:rPr>
      </w:pPr>
      <w:bookmarkStart w:id="4" w:name="_Toc20220_WPSOffice_Level2"/>
      <w:r>
        <w:rPr>
          <w:rFonts w:ascii="宋体" w:cs="宋体" w:hAnsiTheme="minorHAnsi" w:eastAsiaTheme="minorEastAsia"/>
          <w:kern w:val="0"/>
          <w:sz w:val="24"/>
          <w:szCs w:val="24"/>
          <w:lang w:val="en-US" w:eastAsia="zh-CN" w:bidi="ar-SA"/>
        </w:rPr>
        <w:t>三、</w:t>
      </w:r>
      <w:r>
        <w:rPr>
          <w:rFonts w:hint="eastAsia" w:ascii="宋体" w:hAnsi="宋体" w:cs="宋体"/>
          <w:kern w:val="0"/>
          <w:sz w:val="24"/>
          <w:szCs w:val="24"/>
        </w:rPr>
        <w:t>采购人名称：</w:t>
      </w:r>
      <w:bookmarkEnd w:id="4"/>
      <w:r>
        <w:rPr>
          <w:rFonts w:hint="eastAsia" w:asciiTheme="minorEastAsia" w:hAnsiTheme="minorEastAsia" w:cstheme="minorEastAsia"/>
          <w:kern w:val="0"/>
          <w:sz w:val="24"/>
          <w:szCs w:val="24"/>
          <w:lang w:eastAsia="zh-CN"/>
        </w:rPr>
        <w:t>西安市扶贫信息监测中心</w:t>
      </w:r>
    </w:p>
    <w:p w14:paraId="655422EB">
      <w:pPr>
        <w:widowControl/>
        <w:tabs>
          <w:tab w:val="left" w:pos="0"/>
        </w:tabs>
        <w:wordWrap w:val="0"/>
        <w:spacing w:line="360" w:lineRule="auto"/>
        <w:ind w:firstLine="960" w:firstLineChars="4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highlight w:val="none"/>
        </w:rPr>
        <w:t>地址：</w:t>
      </w:r>
      <w:r>
        <w:rPr>
          <w:rFonts w:hint="eastAsia" w:ascii="宋体" w:hAnsi="宋体" w:cs="宋体"/>
          <w:kern w:val="0"/>
          <w:sz w:val="24"/>
          <w:szCs w:val="24"/>
          <w:highlight w:val="none"/>
          <w:lang w:val="en-US" w:eastAsia="zh-CN"/>
        </w:rPr>
        <w:t>西安市未央区凤城八路109号</w:t>
      </w:r>
    </w:p>
    <w:p w14:paraId="2ECDE389">
      <w:pPr>
        <w:widowControl/>
        <w:tabs>
          <w:tab w:val="left" w:pos="0"/>
        </w:tabs>
        <w:wordWrap w:val="0"/>
        <w:spacing w:line="360" w:lineRule="auto"/>
        <w:ind w:firstLine="960" w:firstLineChars="400"/>
        <w:jc w:val="left"/>
        <w:rPr>
          <w:rFonts w:hint="default" w:ascii="宋体" w:hAnsi="宋体" w:cs="宋体" w:eastAsiaTheme="minorEastAsia"/>
          <w:kern w:val="0"/>
          <w:sz w:val="24"/>
          <w:szCs w:val="24"/>
          <w:highlight w:val="none"/>
          <w:lang w:val="en-US" w:eastAsia="zh-CN"/>
        </w:rPr>
      </w:pPr>
      <w:r>
        <w:rPr>
          <w:rFonts w:ascii="宋体" w:hAnsi="宋体" w:cs="宋体"/>
          <w:kern w:val="0"/>
          <w:sz w:val="24"/>
          <w:szCs w:val="24"/>
          <w:highlight w:val="none"/>
        </w:rPr>
        <w:t>联</w:t>
      </w:r>
      <w:r>
        <w:rPr>
          <w:rFonts w:hint="eastAsia" w:ascii="宋体" w:hAnsi="宋体" w:cs="宋体"/>
          <w:kern w:val="0"/>
          <w:sz w:val="24"/>
          <w:szCs w:val="24"/>
          <w:highlight w:val="none"/>
        </w:rPr>
        <w:t>系方式：</w:t>
      </w:r>
      <w:r>
        <w:rPr>
          <w:rFonts w:hint="eastAsia" w:ascii="宋体" w:hAnsi="宋体" w:cs="宋体"/>
          <w:kern w:val="0"/>
          <w:sz w:val="24"/>
          <w:szCs w:val="24"/>
          <w:highlight w:val="none"/>
          <w:lang w:val="en-US" w:eastAsia="zh-CN"/>
        </w:rPr>
        <w:t>029-86787100</w:t>
      </w:r>
    </w:p>
    <w:p w14:paraId="02487B15">
      <w:pPr>
        <w:widowControl/>
        <w:numPr>
          <w:ilvl w:val="0"/>
          <w:numId w:val="0"/>
        </w:numPr>
        <w:tabs>
          <w:tab w:val="left" w:pos="1620"/>
        </w:tabs>
        <w:wordWrap w:val="0"/>
        <w:spacing w:line="360" w:lineRule="auto"/>
        <w:ind w:left="-60" w:leftChars="0" w:firstLine="420" w:firstLineChars="0"/>
        <w:jc w:val="left"/>
        <w:rPr>
          <w:rFonts w:ascii="宋体" w:hAnsi="宋体" w:cs="宋体"/>
          <w:kern w:val="0"/>
          <w:sz w:val="24"/>
          <w:szCs w:val="24"/>
        </w:rPr>
      </w:pPr>
      <w:r>
        <w:rPr>
          <w:rFonts w:ascii="宋体" w:hAnsi="宋体" w:cs="宋体" w:eastAsiaTheme="minorEastAsia"/>
          <w:kern w:val="0"/>
          <w:sz w:val="24"/>
          <w:szCs w:val="24"/>
          <w:lang w:val="en-US" w:eastAsia="zh-CN" w:bidi="ar-SA"/>
        </w:rPr>
        <w:t>四、</w:t>
      </w: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14:paraId="4FF5879A">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地址：西安市雁塔区唐延路35号旺座现代城C座2502室</w:t>
      </w:r>
    </w:p>
    <w:p w14:paraId="7FD07BA5">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14:paraId="33D5BA62">
      <w:pPr>
        <w:widowControl/>
        <w:numPr>
          <w:ilvl w:val="0"/>
          <w:numId w:val="0"/>
        </w:numPr>
        <w:tabs>
          <w:tab w:val="left" w:pos="1620"/>
        </w:tabs>
        <w:wordWrap w:val="0"/>
        <w:snapToGrid w:val="0"/>
        <w:spacing w:line="360" w:lineRule="auto"/>
        <w:ind w:left="-60" w:leftChars="0" w:firstLine="480" w:firstLineChars="0"/>
        <w:jc w:val="left"/>
        <w:rPr>
          <w:rFonts w:asciiTheme="minorEastAsia" w:hAnsiTheme="minorEastAsia" w:cstheme="minorEastAsia"/>
          <w:kern w:val="0"/>
          <w:sz w:val="24"/>
          <w:szCs w:val="24"/>
        </w:rPr>
      </w:pPr>
      <w:r>
        <w:rPr>
          <w:rFonts w:asciiTheme="minorEastAsia" w:hAnsiTheme="minorEastAsia" w:eastAsiaTheme="minorEastAsia" w:cstheme="minorEastAsia"/>
          <w:kern w:val="0"/>
          <w:sz w:val="24"/>
          <w:szCs w:val="24"/>
          <w:lang w:val="en-US" w:eastAsia="zh-CN" w:bidi="ar-SA"/>
        </w:rPr>
        <w:t>五、</w:t>
      </w:r>
      <w:r>
        <w:rPr>
          <w:rFonts w:hint="eastAsia" w:asciiTheme="minorEastAsia" w:hAnsiTheme="minorEastAsia" w:cstheme="minorEastAsia"/>
          <w:kern w:val="0"/>
          <w:sz w:val="24"/>
          <w:szCs w:val="24"/>
        </w:rPr>
        <w:t>采购内容和要求：</w:t>
      </w:r>
    </w:p>
    <w:p w14:paraId="1BAC22CA">
      <w:pPr>
        <w:widowControl/>
        <w:numPr>
          <w:ilvl w:val="0"/>
          <w:numId w:val="0"/>
        </w:numPr>
        <w:tabs>
          <w:tab w:val="left" w:pos="1620"/>
        </w:tabs>
        <w:wordWrap w:val="0"/>
        <w:snapToGrid w:val="0"/>
        <w:spacing w:line="360" w:lineRule="auto"/>
        <w:ind w:left="-60" w:leftChars="0" w:firstLine="1024" w:firstLineChars="427"/>
        <w:jc w:val="left"/>
        <w:rPr>
          <w:rFonts w:hint="eastAsia" w:ascii="宋体" w:hAnsi="宋体" w:cs="宋体"/>
          <w:kern w:val="0"/>
          <w:sz w:val="24"/>
          <w:szCs w:val="24"/>
        </w:rPr>
      </w:pPr>
      <w:r>
        <w:rPr>
          <w:rFonts w:hint="eastAsia" w:ascii="宋体" w:hAnsi="宋体" w:cs="宋体"/>
          <w:kern w:val="0"/>
          <w:sz w:val="24"/>
          <w:szCs w:val="24"/>
        </w:rPr>
        <w:t>采购内容：巩固脱贫攻坚成果和防返贫监测数据质量评估及分析</w:t>
      </w:r>
    </w:p>
    <w:p w14:paraId="63F67582">
      <w:pPr>
        <w:widowControl/>
        <w:numPr>
          <w:ilvl w:val="0"/>
          <w:numId w:val="0"/>
        </w:numPr>
        <w:tabs>
          <w:tab w:val="left" w:pos="1620"/>
        </w:tabs>
        <w:wordWrap w:val="0"/>
        <w:snapToGrid w:val="0"/>
        <w:spacing w:line="360" w:lineRule="auto"/>
        <w:ind w:left="-60" w:leftChars="0" w:firstLine="2222" w:firstLineChars="926"/>
        <w:jc w:val="left"/>
        <w:rPr>
          <w:rFonts w:asciiTheme="minorEastAsia" w:hAnsiTheme="minorEastAsia" w:cstheme="minorEastAsia"/>
          <w:kern w:val="0"/>
          <w:sz w:val="24"/>
          <w:szCs w:val="24"/>
        </w:rPr>
      </w:pPr>
      <w:r>
        <w:rPr>
          <w:rFonts w:hint="eastAsia" w:ascii="宋体" w:hAnsi="宋体" w:cs="宋体"/>
          <w:kern w:val="0"/>
          <w:sz w:val="24"/>
          <w:szCs w:val="24"/>
        </w:rPr>
        <w:t>服务项目</w:t>
      </w:r>
    </w:p>
    <w:p w14:paraId="472971C8">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采购预算/最高限价:2</w:t>
      </w:r>
      <w:r>
        <w:rPr>
          <w:rFonts w:hint="eastAsia" w:ascii="宋体" w:hAnsi="宋体" w:cs="宋体"/>
          <w:kern w:val="0"/>
          <w:sz w:val="24"/>
          <w:szCs w:val="24"/>
          <w:lang w:val="en-US" w:eastAsia="zh-CN"/>
        </w:rPr>
        <w:t>5000</w:t>
      </w:r>
      <w:r>
        <w:rPr>
          <w:rFonts w:hint="eastAsia" w:ascii="宋体" w:hAnsi="宋体" w:cs="宋体"/>
          <w:kern w:val="0"/>
          <w:sz w:val="24"/>
          <w:szCs w:val="24"/>
        </w:rPr>
        <w:t>0.00元</w:t>
      </w:r>
    </w:p>
    <w:p w14:paraId="6ABA9872">
      <w:pPr>
        <w:widowControl/>
        <w:numPr>
          <w:ilvl w:val="0"/>
          <w:numId w:val="0"/>
        </w:numPr>
        <w:tabs>
          <w:tab w:val="left" w:pos="1620"/>
        </w:tabs>
        <w:wordWrap w:val="0"/>
        <w:snapToGrid w:val="0"/>
        <w:spacing w:line="360" w:lineRule="auto"/>
        <w:ind w:left="-60" w:leftChars="0" w:firstLine="48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bidi="ar-SA"/>
        </w:rPr>
        <w:t>六</w:t>
      </w:r>
      <w:r>
        <w:rPr>
          <w:rFonts w:asciiTheme="minorEastAsia" w:hAnsiTheme="minorEastAsia" w:eastAsiaTheme="minorEastAsia" w:cstheme="minorEastAsia"/>
          <w:kern w:val="0"/>
          <w:sz w:val="24"/>
          <w:szCs w:val="24"/>
          <w:lang w:val="en-US" w:eastAsia="zh-CN" w:bidi="ar-SA"/>
        </w:rPr>
        <w:t>、</w:t>
      </w:r>
      <w:r>
        <w:rPr>
          <w:rFonts w:hint="eastAsia" w:asciiTheme="minorEastAsia" w:hAnsiTheme="minorEastAsia" w:cstheme="minorEastAsia"/>
          <w:kern w:val="0"/>
          <w:sz w:val="24"/>
          <w:szCs w:val="24"/>
        </w:rPr>
        <w:t>供应商资质要求：</w:t>
      </w:r>
    </w:p>
    <w:p w14:paraId="221D86BD">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14:paraId="131313D8">
      <w:pPr>
        <w:snapToGrid w:val="0"/>
        <w:spacing w:line="360" w:lineRule="auto"/>
        <w:ind w:left="63" w:firstLine="567"/>
        <w:jc w:val="left"/>
        <w:rPr>
          <w:rFonts w:hint="eastAsia" w:ascii="宋体" w:hAnsi="宋体" w:cs="宋体"/>
          <w:bCs/>
          <w:kern w:val="0"/>
          <w:sz w:val="24"/>
          <w:szCs w:val="24"/>
        </w:rPr>
      </w:pPr>
      <w:r>
        <w:rPr>
          <w:rFonts w:hint="eastAsia" w:ascii="宋体" w:hAnsi="宋体" w:cs="宋体"/>
          <w:bCs/>
          <w:kern w:val="0"/>
          <w:sz w:val="24"/>
          <w:szCs w:val="24"/>
        </w:rPr>
        <w:t>1、提供合格有效的法人或其他组织的营业执照等证明文件，自然人参与的提供其身份证原件；</w:t>
      </w:r>
    </w:p>
    <w:p w14:paraId="7E02CD22">
      <w:pPr>
        <w:snapToGrid w:val="0"/>
        <w:spacing w:line="360" w:lineRule="auto"/>
        <w:ind w:left="63" w:firstLine="567"/>
        <w:jc w:val="left"/>
        <w:rPr>
          <w:rFonts w:hint="eastAsia" w:ascii="宋体" w:hAnsi="宋体" w:cs="宋体"/>
          <w:bCs/>
          <w:kern w:val="0"/>
          <w:sz w:val="24"/>
          <w:szCs w:val="24"/>
        </w:rPr>
      </w:pPr>
      <w:r>
        <w:rPr>
          <w:rFonts w:hint="eastAsia" w:ascii="宋体" w:hAnsi="宋体" w:cs="宋体"/>
          <w:bCs/>
          <w:kern w:val="0"/>
          <w:sz w:val="24"/>
          <w:szCs w:val="24"/>
        </w:rPr>
        <w:t>2、社会保障资金缴纳证明：提供2024年5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14:paraId="23798591">
      <w:pPr>
        <w:snapToGrid w:val="0"/>
        <w:spacing w:line="360" w:lineRule="auto"/>
        <w:ind w:left="63" w:firstLine="567"/>
        <w:jc w:val="left"/>
        <w:rPr>
          <w:rFonts w:hint="eastAsia" w:ascii="宋体" w:hAnsi="宋体" w:cs="宋体"/>
          <w:bCs/>
          <w:kern w:val="0"/>
          <w:sz w:val="24"/>
          <w:szCs w:val="24"/>
        </w:rPr>
      </w:pPr>
      <w:r>
        <w:rPr>
          <w:rFonts w:hint="eastAsia" w:ascii="宋体" w:hAnsi="宋体" w:cs="宋体"/>
          <w:bCs/>
          <w:kern w:val="0"/>
          <w:sz w:val="24"/>
          <w:szCs w:val="24"/>
        </w:rPr>
        <w:t>3、税收缴纳证明：提供2024年5月至今已缴纳的至少一个月的纳税证明或完税证明；依法免税的单位应提供相关证明材料；</w:t>
      </w:r>
    </w:p>
    <w:p w14:paraId="69D0127A">
      <w:pPr>
        <w:snapToGrid w:val="0"/>
        <w:spacing w:line="360" w:lineRule="auto"/>
        <w:ind w:left="63" w:firstLine="567"/>
        <w:jc w:val="left"/>
        <w:rPr>
          <w:rFonts w:hint="eastAsia" w:ascii="宋体" w:hAnsi="宋体" w:cs="宋体"/>
          <w:bCs/>
          <w:kern w:val="0"/>
          <w:sz w:val="24"/>
          <w:szCs w:val="24"/>
        </w:rPr>
      </w:pPr>
      <w:r>
        <w:rPr>
          <w:rFonts w:hint="eastAsia" w:ascii="宋体" w:hAnsi="宋体" w:cs="宋体"/>
          <w:bCs/>
          <w:kern w:val="0"/>
          <w:sz w:val="24"/>
          <w:szCs w:val="24"/>
        </w:rPr>
        <w:t>4、财务状况证明：提供2024年度经审计的财务报告（注册会计师统一监管平台申请赋码可查询）或开标前六个月内其基本账户银行出具的资信证明（附开户许可证或基本账户证明）；</w:t>
      </w:r>
    </w:p>
    <w:p w14:paraId="7739F73B">
      <w:pPr>
        <w:snapToGrid w:val="0"/>
        <w:spacing w:line="360" w:lineRule="auto"/>
        <w:ind w:left="63" w:firstLine="567"/>
        <w:jc w:val="left"/>
        <w:rPr>
          <w:rFonts w:hint="eastAsia" w:ascii="宋体" w:hAnsi="宋体" w:cs="宋体"/>
          <w:bCs/>
          <w:kern w:val="0"/>
          <w:sz w:val="24"/>
          <w:szCs w:val="24"/>
        </w:rPr>
      </w:pPr>
      <w:r>
        <w:rPr>
          <w:rFonts w:hint="eastAsia" w:ascii="宋体" w:hAnsi="宋体" w:cs="宋体"/>
          <w:bCs/>
          <w:kern w:val="0"/>
          <w:sz w:val="24"/>
          <w:szCs w:val="24"/>
        </w:rPr>
        <w:t>5、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7C62A62E">
      <w:pPr>
        <w:snapToGrid w:val="0"/>
        <w:spacing w:line="360" w:lineRule="auto"/>
        <w:ind w:left="63" w:firstLine="567"/>
        <w:jc w:val="left"/>
        <w:rPr>
          <w:rFonts w:hint="eastAsia" w:ascii="宋体" w:hAnsi="宋体" w:cs="宋体"/>
          <w:bCs/>
          <w:kern w:val="0"/>
          <w:sz w:val="24"/>
          <w:szCs w:val="24"/>
        </w:rPr>
      </w:pPr>
      <w:r>
        <w:rPr>
          <w:rFonts w:hint="eastAsia" w:ascii="宋体" w:hAnsi="宋体" w:cs="宋体"/>
          <w:bCs/>
          <w:kern w:val="0"/>
          <w:sz w:val="24"/>
          <w:szCs w:val="24"/>
        </w:rPr>
        <w:t>6、非法定代表人参加磋商的，须提供法定代表人授权委托书及被授权人身份证原件；法定代表人参加磋商时,只须提供法定代表人身份证原件；</w:t>
      </w:r>
    </w:p>
    <w:p w14:paraId="6A56CD92">
      <w:pPr>
        <w:snapToGrid w:val="0"/>
        <w:spacing w:line="360" w:lineRule="auto"/>
        <w:ind w:left="63" w:firstLine="567"/>
        <w:jc w:val="left"/>
        <w:rPr>
          <w:rFonts w:hint="eastAsia" w:ascii="宋体" w:hAnsi="宋体" w:cs="宋体"/>
          <w:bCs/>
          <w:kern w:val="0"/>
          <w:sz w:val="24"/>
          <w:szCs w:val="24"/>
        </w:rPr>
      </w:pPr>
      <w:r>
        <w:rPr>
          <w:rFonts w:hint="eastAsia" w:ascii="宋体" w:hAnsi="宋体" w:cs="宋体"/>
          <w:bCs/>
          <w:kern w:val="0"/>
          <w:sz w:val="24"/>
          <w:szCs w:val="24"/>
        </w:rPr>
        <w:t>7、本项目专门面向中小企业采购。</w:t>
      </w:r>
    </w:p>
    <w:p w14:paraId="570BD9C8">
      <w:pPr>
        <w:snapToGrid w:val="0"/>
        <w:spacing w:line="360" w:lineRule="auto"/>
        <w:ind w:left="63" w:firstLine="567"/>
        <w:jc w:val="left"/>
        <w:rPr>
          <w:rFonts w:ascii="宋体" w:hAnsi="宋体" w:cs="宋体"/>
          <w:bCs/>
          <w:kern w:val="0"/>
          <w:sz w:val="24"/>
          <w:szCs w:val="24"/>
        </w:rPr>
      </w:pPr>
      <w:r>
        <w:rPr>
          <w:rFonts w:hint="eastAsia" w:ascii="宋体" w:hAnsi="宋体" w:cs="宋体"/>
          <w:bCs/>
          <w:kern w:val="0"/>
          <w:sz w:val="24"/>
          <w:szCs w:val="24"/>
        </w:rPr>
        <w:t>8、本项目不接受联合体磋商。</w:t>
      </w:r>
    </w:p>
    <w:p w14:paraId="74C87703">
      <w:pPr>
        <w:widowControl/>
        <w:numPr>
          <w:ilvl w:val="0"/>
          <w:numId w:val="0"/>
        </w:numPr>
        <w:tabs>
          <w:tab w:val="left" w:pos="1620"/>
        </w:tabs>
        <w:wordWrap w:val="0"/>
        <w:snapToGrid w:val="0"/>
        <w:spacing w:line="360" w:lineRule="auto"/>
        <w:ind w:left="-60" w:leftChars="0" w:firstLine="480" w:firstLineChars="0"/>
        <w:jc w:val="left"/>
        <w:rPr>
          <w:rFonts w:asciiTheme="minorEastAsia" w:hAnsiTheme="minorEastAsia" w:cstheme="minorEastAsia"/>
          <w:kern w:val="0"/>
          <w:sz w:val="24"/>
          <w:szCs w:val="24"/>
        </w:rPr>
      </w:pPr>
      <w:r>
        <w:rPr>
          <w:rFonts w:asciiTheme="minorEastAsia" w:hAnsiTheme="minorEastAsia" w:eastAsiaTheme="minorEastAsia" w:cstheme="minorEastAsia"/>
          <w:kern w:val="0"/>
          <w:sz w:val="24"/>
          <w:szCs w:val="24"/>
          <w:lang w:val="en-US" w:eastAsia="zh-CN" w:bidi="ar-SA"/>
        </w:rPr>
        <w:t>八、</w:t>
      </w:r>
      <w:r>
        <w:rPr>
          <w:rFonts w:hint="eastAsia" w:asciiTheme="minorEastAsia" w:hAnsiTheme="minorEastAsia" w:cstheme="minorEastAsia"/>
          <w:kern w:val="0"/>
          <w:sz w:val="24"/>
          <w:szCs w:val="24"/>
        </w:rPr>
        <w:t xml:space="preserve">采购项目需要落实的政府采购政策： </w:t>
      </w:r>
    </w:p>
    <w:p w14:paraId="41E3708C">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14:paraId="1AABA56A">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（1）《政府采购促进中小企业发展管理办法》（财库〔2020〕46号）；</w:t>
      </w:r>
    </w:p>
    <w:p w14:paraId="7321C458">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14:paraId="30BF2EBA">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14:paraId="0A0198E1">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（4）《节能产品政府采购实施意见》（财库[2004]185号）；</w:t>
      </w:r>
    </w:p>
    <w:p w14:paraId="7B32C9CB">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（5）《环境标志产品政府采购实施的意见》（财库[2006]90号）；</w:t>
      </w:r>
    </w:p>
    <w:p w14:paraId="3766024F">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14:paraId="348F42D5">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14:paraId="550C6C75">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 xml:space="preserve">（8）《陕西省财政厅关于加快推进我省中小企业政府采购信用融资工作的通知》 （陕财办采〔2020〕15号） </w:t>
      </w:r>
    </w:p>
    <w:p w14:paraId="7C040B6D">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（9）《关于进一步加强政府绿色采购有关问题的通知》 （陕财办采〔2021〕29号）</w:t>
      </w:r>
    </w:p>
    <w:p w14:paraId="36A068D8">
      <w:pPr>
        <w:widowControl/>
        <w:tabs>
          <w:tab w:val="left" w:pos="1620"/>
        </w:tabs>
        <w:wordWrap w:val="0"/>
        <w:snapToGrid w:val="0"/>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（10）《陕西省财政厅、中国人民银行西安分行关于深入推进政府采购信用融资业务的通知》 （陕财办采〔2023〕5号）</w:t>
      </w:r>
    </w:p>
    <w:p w14:paraId="2AEDB3D2">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（11）其他需要落实的政府采购政策。</w:t>
      </w:r>
    </w:p>
    <w:p w14:paraId="2A738A0E">
      <w:pPr>
        <w:widowControl/>
        <w:numPr>
          <w:ilvl w:val="0"/>
          <w:numId w:val="0"/>
        </w:numPr>
        <w:tabs>
          <w:tab w:val="left" w:pos="1620"/>
        </w:tabs>
        <w:wordWrap w:val="0"/>
        <w:snapToGrid w:val="0"/>
        <w:spacing w:line="360" w:lineRule="auto"/>
        <w:ind w:left="-60" w:leftChars="0" w:firstLine="480" w:firstLineChars="0"/>
        <w:jc w:val="left"/>
        <w:rPr>
          <w:rFonts w:asciiTheme="minorEastAsia" w:hAnsiTheme="minorEastAsia" w:cstheme="minorEastAsia"/>
          <w:kern w:val="0"/>
          <w:sz w:val="24"/>
          <w:szCs w:val="24"/>
        </w:rPr>
      </w:pPr>
      <w:r>
        <w:rPr>
          <w:rFonts w:asciiTheme="minorEastAsia" w:hAnsiTheme="minorEastAsia" w:eastAsiaTheme="minorEastAsia" w:cstheme="minorEastAsia"/>
          <w:kern w:val="0"/>
          <w:sz w:val="24"/>
          <w:szCs w:val="24"/>
          <w:lang w:val="en-US" w:eastAsia="zh-CN" w:bidi="ar-SA"/>
        </w:rPr>
        <w:t>九、</w:t>
      </w:r>
      <w:r>
        <w:rPr>
          <w:rFonts w:hint="eastAsia" w:ascii="宋体" w:hAnsi="宋体" w:cs="宋体"/>
          <w:kern w:val="0"/>
          <w:sz w:val="24"/>
          <w:szCs w:val="24"/>
        </w:rPr>
        <w:t>竞争性磋商文件</w:t>
      </w:r>
      <w:r>
        <w:rPr>
          <w:rFonts w:hint="eastAsia" w:asciiTheme="minorEastAsia" w:hAnsiTheme="minorEastAsia" w:cstheme="minorEastAsia"/>
          <w:kern w:val="0"/>
          <w:sz w:val="24"/>
          <w:szCs w:val="24"/>
        </w:rPr>
        <w:t>发售：</w:t>
      </w:r>
    </w:p>
    <w:p w14:paraId="493A050B">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kern w:val="0"/>
          <w:sz w:val="24"/>
          <w:szCs w:val="24"/>
        </w:rPr>
        <w:t>1、发售时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color w:val="000000"/>
          <w:sz w:val="24"/>
          <w:szCs w:val="24"/>
          <w:highlight w:val="none"/>
        </w:rPr>
        <w:t>2025年</w:t>
      </w:r>
      <w:r>
        <w:rPr>
          <w:rFonts w:hint="eastAsia" w:asciiTheme="minorEastAsia" w:hAnsiTheme="minorEastAsia" w:cstheme="minorEastAsia"/>
          <w:b/>
          <w:bCs/>
          <w:color w:val="000000"/>
          <w:sz w:val="24"/>
          <w:szCs w:val="24"/>
          <w:highlight w:val="none"/>
          <w:lang w:val="en-US" w:eastAsia="zh-CN"/>
        </w:rPr>
        <w:t>08</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01</w:t>
      </w:r>
      <w:r>
        <w:rPr>
          <w:rFonts w:hint="eastAsia" w:asciiTheme="minorEastAsia" w:hAnsiTheme="minorEastAsia" w:cstheme="minorEastAsia"/>
          <w:b/>
          <w:bCs/>
          <w:color w:val="000000"/>
          <w:sz w:val="24"/>
          <w:szCs w:val="24"/>
          <w:highlight w:val="none"/>
        </w:rPr>
        <w:t>日起至2025年</w:t>
      </w:r>
      <w:r>
        <w:rPr>
          <w:rFonts w:hint="eastAsia" w:asciiTheme="minorEastAsia" w:hAnsiTheme="minorEastAsia" w:cstheme="minorEastAsia"/>
          <w:b/>
          <w:bCs/>
          <w:color w:val="000000"/>
          <w:sz w:val="24"/>
          <w:szCs w:val="24"/>
          <w:highlight w:val="none"/>
          <w:lang w:val="en-US" w:eastAsia="zh-CN"/>
        </w:rPr>
        <w:t>08</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08</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color w:val="000000"/>
          <w:sz w:val="24"/>
          <w:szCs w:val="24"/>
          <w:highlight w:val="none"/>
        </w:rPr>
        <w:t>止</w:t>
      </w:r>
    </w:p>
    <w:p w14:paraId="42ED2B5C">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（上午09:00～12:00，下午14:00～17:00发售,法定节假日除外）</w:t>
      </w:r>
    </w:p>
    <w:p w14:paraId="3E255DF7">
      <w:pPr>
        <w:widowControl/>
        <w:wordWrap w:val="0"/>
        <w:snapToGrid w:val="0"/>
        <w:spacing w:line="360" w:lineRule="auto"/>
        <w:ind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2、发售地点：西安市雁塔区唐延路35号旺座现代城C座2502室</w:t>
      </w:r>
    </w:p>
    <w:p w14:paraId="6D22AFB5">
      <w:pPr>
        <w:widowControl/>
        <w:wordWrap w:val="0"/>
        <w:snapToGrid w:val="0"/>
        <w:spacing w:line="360" w:lineRule="auto"/>
        <w:ind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3、文件售价：¥0元/套。售后不退，谢绝邮寄。</w:t>
      </w:r>
    </w:p>
    <w:p w14:paraId="23537C9B">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注：（1）供应商领取标书时，请携带单位介绍信及经办人身份证原件及复印件加盖公章；（2）提示：请供应商按照陕西省财政厅关于政府采购供应商注册登记有关事项的通知中的要求，通过陕西省政府采购网（http://www.ccgp-shaanxi.gov.cn/）注册登记加入陕西省政府采购供应商库。</w:t>
      </w:r>
    </w:p>
    <w:p w14:paraId="742727BA">
      <w:pPr>
        <w:widowControl/>
        <w:numPr>
          <w:ilvl w:val="0"/>
          <w:numId w:val="0"/>
        </w:numPr>
        <w:tabs>
          <w:tab w:val="left" w:pos="1620"/>
        </w:tabs>
        <w:wordWrap w:val="0"/>
        <w:snapToGrid w:val="0"/>
        <w:spacing w:line="360" w:lineRule="auto"/>
        <w:ind w:left="-60" w:leftChars="0" w:firstLine="480" w:firstLineChars="0"/>
        <w:jc w:val="left"/>
        <w:rPr>
          <w:rFonts w:asciiTheme="minorEastAsia" w:hAnsiTheme="minorEastAsia" w:cstheme="minorEastAsia"/>
          <w:kern w:val="0"/>
          <w:sz w:val="24"/>
          <w:szCs w:val="24"/>
          <w:highlight w:val="none"/>
        </w:rPr>
      </w:pPr>
      <w:r>
        <w:rPr>
          <w:rFonts w:asciiTheme="minorEastAsia" w:hAnsiTheme="minorEastAsia" w:eastAsiaTheme="minorEastAsia" w:cstheme="minorEastAsia"/>
          <w:kern w:val="0"/>
          <w:sz w:val="24"/>
          <w:szCs w:val="24"/>
          <w:highlight w:val="none"/>
          <w:lang w:val="en-US" w:eastAsia="zh-CN" w:bidi="ar-SA"/>
        </w:rPr>
        <w:t>十、</w:t>
      </w:r>
      <w:r>
        <w:rPr>
          <w:rFonts w:hint="eastAsia" w:ascii="宋体" w:hAnsi="宋体" w:cs="宋体"/>
          <w:kern w:val="0"/>
          <w:sz w:val="24"/>
          <w:szCs w:val="24"/>
          <w:highlight w:val="none"/>
        </w:rPr>
        <w:t>磋商响应文件递交截止时间及磋商时间和地点</w:t>
      </w:r>
      <w:r>
        <w:rPr>
          <w:rFonts w:hint="eastAsia" w:asciiTheme="minorEastAsia" w:hAnsiTheme="minorEastAsia" w:cstheme="minorEastAsia"/>
          <w:kern w:val="0"/>
          <w:sz w:val="24"/>
          <w:szCs w:val="24"/>
          <w:highlight w:val="none"/>
        </w:rPr>
        <w:t>：</w:t>
      </w:r>
    </w:p>
    <w:p w14:paraId="4C807B28">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1、磋商响应文件递交截止时</w:t>
      </w:r>
      <w:r>
        <w:rPr>
          <w:rFonts w:hint="eastAsia" w:asciiTheme="minorEastAsia" w:hAnsiTheme="minorEastAsia" w:cstheme="minorEastAsia"/>
          <w:color w:val="000000"/>
          <w:sz w:val="24"/>
          <w:szCs w:val="24"/>
          <w:highlight w:val="none"/>
        </w:rPr>
        <w:t>间：</w:t>
      </w:r>
      <w:r>
        <w:rPr>
          <w:rFonts w:hint="eastAsia" w:asciiTheme="minorEastAsia" w:hAnsiTheme="minorEastAsia" w:cstheme="minorEastAsia"/>
          <w:b/>
          <w:bCs/>
          <w:kern w:val="0"/>
          <w:sz w:val="24"/>
          <w:szCs w:val="24"/>
          <w:highlight w:val="none"/>
        </w:rPr>
        <w:t>2025年</w:t>
      </w:r>
      <w:r>
        <w:rPr>
          <w:rFonts w:hint="eastAsia" w:asciiTheme="minorEastAsia" w:hAnsiTheme="minorEastAsia" w:cstheme="minorEastAsia"/>
          <w:b/>
          <w:bCs/>
          <w:kern w:val="0"/>
          <w:sz w:val="24"/>
          <w:szCs w:val="24"/>
          <w:highlight w:val="none"/>
          <w:lang w:val="en-US" w:eastAsia="zh-CN"/>
        </w:rPr>
        <w:t>08</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12</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14</w:t>
      </w:r>
      <w:r>
        <w:rPr>
          <w:rFonts w:hint="eastAsia" w:asciiTheme="minorEastAsia" w:hAnsiTheme="minorEastAsia" w:cstheme="minorEastAsia"/>
          <w:b/>
          <w:bCs/>
          <w:kern w:val="0"/>
          <w:sz w:val="24"/>
          <w:szCs w:val="24"/>
          <w:highlight w:val="none"/>
        </w:rPr>
        <w:t>:30时</w:t>
      </w:r>
    </w:p>
    <w:p w14:paraId="6767475B">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2、磋商时间：</w:t>
      </w:r>
      <w:r>
        <w:rPr>
          <w:rFonts w:hint="eastAsia" w:asciiTheme="minorEastAsia" w:hAnsiTheme="minorEastAsia" w:cstheme="minorEastAsia"/>
          <w:b/>
          <w:bCs/>
          <w:kern w:val="0"/>
          <w:sz w:val="24"/>
          <w:szCs w:val="24"/>
          <w:highlight w:val="none"/>
        </w:rPr>
        <w:t>2025年</w:t>
      </w:r>
      <w:r>
        <w:rPr>
          <w:rFonts w:hint="eastAsia" w:asciiTheme="minorEastAsia" w:hAnsiTheme="minorEastAsia" w:cstheme="minorEastAsia"/>
          <w:b/>
          <w:bCs/>
          <w:kern w:val="0"/>
          <w:sz w:val="24"/>
          <w:szCs w:val="24"/>
          <w:highlight w:val="none"/>
          <w:lang w:val="en-US" w:eastAsia="zh-CN"/>
        </w:rPr>
        <w:t>08</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12</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14</w:t>
      </w:r>
      <w:r>
        <w:rPr>
          <w:rFonts w:hint="eastAsia" w:asciiTheme="minorEastAsia" w:hAnsiTheme="minorEastAsia" w:cstheme="minorEastAsia"/>
          <w:b/>
          <w:bCs/>
          <w:kern w:val="0"/>
          <w:sz w:val="24"/>
          <w:szCs w:val="24"/>
          <w:highlight w:val="none"/>
        </w:rPr>
        <w:t>:30时</w:t>
      </w:r>
    </w:p>
    <w:p w14:paraId="050CEB8C">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3、磋商地点：西安市雁塔区唐延路35号旺座现代城C座2503综合开标大厅</w:t>
      </w:r>
    </w:p>
    <w:p w14:paraId="040AB552">
      <w:pPr>
        <w:widowControl/>
        <w:numPr>
          <w:ilvl w:val="0"/>
          <w:numId w:val="0"/>
        </w:numPr>
        <w:tabs>
          <w:tab w:val="left" w:pos="1620"/>
        </w:tabs>
        <w:wordWrap w:val="0"/>
        <w:snapToGrid w:val="0"/>
        <w:spacing w:line="360" w:lineRule="auto"/>
        <w:ind w:left="-60" w:leftChars="0" w:firstLine="480" w:firstLineChars="0"/>
        <w:jc w:val="left"/>
        <w:rPr>
          <w:rFonts w:asciiTheme="minorEastAsia" w:hAnsiTheme="minorEastAsia" w:cstheme="minorEastAsia"/>
          <w:kern w:val="0"/>
          <w:sz w:val="24"/>
          <w:szCs w:val="24"/>
        </w:rPr>
      </w:pPr>
      <w:r>
        <w:rPr>
          <w:rFonts w:asciiTheme="minorEastAsia" w:hAnsiTheme="minorEastAsia" w:eastAsiaTheme="minorEastAsia" w:cstheme="minorEastAsia"/>
          <w:kern w:val="0"/>
          <w:sz w:val="24"/>
          <w:szCs w:val="24"/>
          <w:lang w:val="en-US" w:eastAsia="zh-CN" w:bidi="ar-SA"/>
        </w:rPr>
        <w:t>十一、</w:t>
      </w:r>
      <w:r>
        <w:rPr>
          <w:rFonts w:hint="eastAsia" w:asciiTheme="minorEastAsia" w:hAnsiTheme="minorEastAsia" w:cstheme="minorEastAsia"/>
          <w:kern w:val="0"/>
          <w:sz w:val="24"/>
          <w:szCs w:val="24"/>
        </w:rPr>
        <w:t>其它应说明的事项：</w:t>
      </w:r>
    </w:p>
    <w:p w14:paraId="5FDEC030">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1、采购项目联系人：刘嘉辉  崔方明  许芳芳  陈晓航</w:t>
      </w:r>
    </w:p>
    <w:p w14:paraId="177C8413">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联系方式（电话/传真）：029-88319689-8004</w:t>
      </w:r>
    </w:p>
    <w:p w14:paraId="7761A3F4">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14:paraId="2E73A15A">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14:paraId="59AE7040">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14:paraId="35D9F69D">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w:t>
      </w:r>
      <w:r>
        <w:rPr>
          <w:rFonts w:hint="eastAsia" w:ascii="宋体" w:hAnsi="宋体" w:cs="宋体"/>
          <w:kern w:val="0"/>
          <w:sz w:val="24"/>
          <w:szCs w:val="24"/>
        </w:rPr>
        <w:t>竞争性磋商公告的公告期限为5个工作日。</w:t>
      </w:r>
    </w:p>
    <w:p w14:paraId="16AA7578">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14:paraId="4C8F5F4F">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14:paraId="6BCEB8BB">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14:paraId="4414B00B">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2025年</w:t>
      </w:r>
      <w:r>
        <w:rPr>
          <w:rFonts w:hint="eastAsia" w:asciiTheme="minorEastAsia" w:hAnsiTheme="minorEastAsia" w:cstheme="minorEastAsia"/>
          <w:kern w:val="0"/>
          <w:sz w:val="24"/>
          <w:szCs w:val="24"/>
          <w:highlight w:val="none"/>
          <w:lang w:val="en-US" w:eastAsia="zh-CN"/>
        </w:rPr>
        <w:t>08</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01</w:t>
      </w:r>
      <w:r>
        <w:rPr>
          <w:rFonts w:hint="eastAsia" w:asciiTheme="minorEastAsia" w:hAnsiTheme="minorEastAsia" w:cstheme="minorEastAsia"/>
          <w:kern w:val="0"/>
          <w:sz w:val="24"/>
          <w:szCs w:val="24"/>
          <w:highlight w:val="none"/>
        </w:rPr>
        <w:t>日</w:t>
      </w:r>
    </w:p>
    <w:p w14:paraId="099BAEA3">
      <w:pPr>
        <w:rPr>
          <w:rFonts w:asciiTheme="minorEastAsia" w:hAnsiTheme="minorEastAsia" w:cstheme="minorEastAsia"/>
          <w:kern w:val="0"/>
          <w:sz w:val="24"/>
          <w:szCs w:val="24"/>
        </w:rPr>
      </w:pPr>
      <w:r>
        <w:rPr>
          <w:rFonts w:hint="eastAsia" w:asciiTheme="minorEastAsia" w:hAnsiTheme="minorEastAsia" w:cstheme="minorEastAsia"/>
          <w:kern w:val="0"/>
          <w:sz w:val="24"/>
          <w:szCs w:val="24"/>
        </w:rPr>
        <w:br w:type="page"/>
      </w:r>
    </w:p>
    <w:p w14:paraId="6B12688F">
      <w:pPr>
        <w:pStyle w:val="4"/>
        <w:spacing w:before="312" w:beforeLines="100" w:after="156" w:afterLines="50" w:line="600" w:lineRule="exact"/>
        <w:rPr>
          <w:rFonts w:asciiTheme="minorEastAsia" w:hAnsiTheme="minorEastAsia" w:eastAsiaTheme="minorEastAsia" w:cstheme="minorEastAsia"/>
          <w:sz w:val="36"/>
          <w:szCs w:val="36"/>
        </w:rPr>
      </w:pPr>
      <w:bookmarkStart w:id="5" w:name="_Toc438048787"/>
      <w:bookmarkStart w:id="6" w:name="_Toc8689"/>
      <w:bookmarkStart w:id="7" w:name="_Toc30089"/>
      <w:bookmarkStart w:id="8" w:name="_Toc22356"/>
      <w:bookmarkStart w:id="9" w:name="_Toc338"/>
      <w:bookmarkStart w:id="10" w:name="_Toc19272"/>
      <w:bookmarkStart w:id="11" w:name="_Toc262"/>
      <w:r>
        <w:rPr>
          <w:rFonts w:hint="eastAsia" w:asciiTheme="minorEastAsia" w:hAnsiTheme="minorEastAsia" w:eastAsiaTheme="minorEastAsia" w:cstheme="minorEastAsia"/>
          <w:sz w:val="36"/>
          <w:szCs w:val="36"/>
        </w:rPr>
        <w:t xml:space="preserve">第二部分  </w:t>
      </w:r>
      <w:bookmarkEnd w:id="5"/>
      <w:bookmarkEnd w:id="6"/>
      <w:bookmarkEnd w:id="7"/>
      <w:r>
        <w:rPr>
          <w:rFonts w:hint="eastAsia" w:ascii="宋体" w:hAnsi="宋体" w:cs="宋体"/>
          <w:sz w:val="36"/>
          <w:szCs w:val="36"/>
        </w:rPr>
        <w:t>供应商须知前附表</w:t>
      </w:r>
      <w:bookmarkEnd w:id="8"/>
    </w:p>
    <w:tbl>
      <w:tblPr>
        <w:tblStyle w:val="29"/>
        <w:tblpPr w:leftFromText="180" w:rightFromText="180" w:vertAnchor="text" w:horzAnchor="page" w:tblpX="1130" w:tblpY="309"/>
        <w:tblOverlap w:val="never"/>
        <w:tblW w:w="96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966"/>
        <w:gridCol w:w="8193"/>
      </w:tblGrid>
      <w:tr w14:paraId="20393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14:paraId="76C49660">
            <w:pPr>
              <w:spacing w:before="156"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66" w:type="dxa"/>
            <w:vAlign w:val="center"/>
          </w:tcPr>
          <w:p w14:paraId="6F04BBAC">
            <w:pPr>
              <w:spacing w:before="156"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193" w:type="dxa"/>
            <w:vAlign w:val="center"/>
          </w:tcPr>
          <w:p w14:paraId="6C1D2540">
            <w:pPr>
              <w:spacing w:before="156"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14:paraId="3AE59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Merge w:val="restart"/>
            <w:vAlign w:val="center"/>
          </w:tcPr>
          <w:p w14:paraId="702D5145">
            <w:pPr>
              <w:spacing w:before="156"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66" w:type="dxa"/>
            <w:vAlign w:val="center"/>
          </w:tcPr>
          <w:p w14:paraId="1821C42C">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193" w:type="dxa"/>
            <w:vAlign w:val="center"/>
          </w:tcPr>
          <w:p w14:paraId="248C1B46">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西安市扶贫信息监测中心巩固脱贫攻坚成果和防返贫监测数据质量评估及分析服务项目</w:t>
            </w:r>
          </w:p>
        </w:tc>
      </w:tr>
      <w:tr w14:paraId="5C25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Merge w:val="continue"/>
            <w:vAlign w:val="center"/>
          </w:tcPr>
          <w:p w14:paraId="253D07A3">
            <w:pPr>
              <w:spacing w:before="156" w:beforeLines="50" w:line="360" w:lineRule="auto"/>
              <w:jc w:val="center"/>
              <w:rPr>
                <w:rFonts w:asciiTheme="minorEastAsia" w:hAnsiTheme="minorEastAsia" w:cstheme="minorEastAsia"/>
                <w:bCs/>
                <w:szCs w:val="21"/>
              </w:rPr>
            </w:pPr>
          </w:p>
        </w:tc>
        <w:tc>
          <w:tcPr>
            <w:tcW w:w="966" w:type="dxa"/>
            <w:vAlign w:val="center"/>
          </w:tcPr>
          <w:p w14:paraId="075F3FC3">
            <w:pPr>
              <w:pStyle w:val="15"/>
              <w:jc w:val="left"/>
              <w:rPr>
                <w:rFonts w:asciiTheme="minorEastAsia" w:hAnsiTheme="minorEastAsia" w:cstheme="minorEastAsia"/>
              </w:rPr>
            </w:pPr>
            <w:r>
              <w:rPr>
                <w:rFonts w:hint="eastAsia" w:hAnsi="宋体" w:cs="宋体"/>
              </w:rPr>
              <w:t>采购预算</w:t>
            </w:r>
          </w:p>
        </w:tc>
        <w:tc>
          <w:tcPr>
            <w:tcW w:w="8193" w:type="dxa"/>
            <w:vAlign w:val="center"/>
          </w:tcPr>
          <w:p w14:paraId="5F813504">
            <w:pPr>
              <w:pStyle w:val="15"/>
              <w:jc w:val="left"/>
              <w:rPr>
                <w:rFonts w:asciiTheme="minorEastAsia" w:hAnsiTheme="minorEastAsia" w:cstheme="minorEastAsia"/>
              </w:rPr>
            </w:pPr>
            <w:r>
              <w:rPr>
                <w:rFonts w:hint="eastAsia" w:hAnsi="宋体" w:cs="宋体"/>
              </w:rPr>
              <w:t>2</w:t>
            </w:r>
            <w:r>
              <w:rPr>
                <w:rFonts w:hint="eastAsia" w:hAnsi="宋体" w:cs="宋体"/>
                <w:lang w:val="en-US" w:eastAsia="zh-CN"/>
              </w:rPr>
              <w:t>50</w:t>
            </w:r>
            <w:r>
              <w:rPr>
                <w:rFonts w:hint="eastAsia" w:hAnsi="宋体" w:cs="宋体"/>
              </w:rPr>
              <w:t>000.00元</w:t>
            </w:r>
          </w:p>
        </w:tc>
      </w:tr>
      <w:tr w14:paraId="6B7F1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Merge w:val="continue"/>
            <w:vAlign w:val="center"/>
          </w:tcPr>
          <w:p w14:paraId="549A9562">
            <w:pPr>
              <w:spacing w:before="156" w:beforeLines="50" w:line="360" w:lineRule="auto"/>
              <w:jc w:val="center"/>
              <w:rPr>
                <w:rFonts w:asciiTheme="minorEastAsia" w:hAnsiTheme="minorEastAsia" w:cstheme="minorEastAsia"/>
                <w:bCs/>
                <w:szCs w:val="21"/>
              </w:rPr>
            </w:pPr>
          </w:p>
        </w:tc>
        <w:tc>
          <w:tcPr>
            <w:tcW w:w="966" w:type="dxa"/>
            <w:vAlign w:val="center"/>
          </w:tcPr>
          <w:p w14:paraId="061BF9B7">
            <w:pPr>
              <w:spacing w:line="360" w:lineRule="auto"/>
              <w:rPr>
                <w:rFonts w:asciiTheme="minorEastAsia" w:hAnsiTheme="minorEastAsia" w:cstheme="minorEastAsia"/>
                <w:szCs w:val="21"/>
              </w:rPr>
            </w:pPr>
            <w:r>
              <w:rPr>
                <w:rFonts w:hint="eastAsia" w:ascii="宋体" w:hAnsi="宋体" w:cs="宋体"/>
                <w:szCs w:val="21"/>
              </w:rPr>
              <w:t>公告媒体</w:t>
            </w:r>
          </w:p>
        </w:tc>
        <w:tc>
          <w:tcPr>
            <w:tcW w:w="8193" w:type="dxa"/>
            <w:vAlign w:val="center"/>
          </w:tcPr>
          <w:p w14:paraId="2F8ADA50">
            <w:pPr>
              <w:spacing w:line="360" w:lineRule="auto"/>
              <w:rPr>
                <w:rFonts w:asciiTheme="minorEastAsia" w:hAnsiTheme="minorEastAsia" w:cstheme="minorEastAsia"/>
                <w:szCs w:val="21"/>
              </w:rPr>
            </w:pPr>
            <w:r>
              <w:rPr>
                <w:rFonts w:hint="eastAsia" w:asciiTheme="minorEastAsia" w:hAnsiTheme="minorEastAsia" w:cstheme="minorEastAsia"/>
                <w:szCs w:val="21"/>
              </w:rPr>
              <w:t>陕西省政府采购网</w:t>
            </w:r>
          </w:p>
        </w:tc>
      </w:tr>
      <w:tr w14:paraId="1BD66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540" w:type="dxa"/>
            <w:vAlign w:val="center"/>
          </w:tcPr>
          <w:p w14:paraId="2D068B25">
            <w:pPr>
              <w:spacing w:before="156"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66" w:type="dxa"/>
            <w:vAlign w:val="center"/>
          </w:tcPr>
          <w:p w14:paraId="2E9962B7">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193" w:type="dxa"/>
            <w:vAlign w:val="center"/>
          </w:tcPr>
          <w:p w14:paraId="7EB1E07B">
            <w:pPr>
              <w:widowControl/>
              <w:wordWrap w:val="0"/>
              <w:spacing w:line="360" w:lineRule="auto"/>
              <w:rPr>
                <w:rFonts w:hint="eastAsia" w:eastAsiaTheme="minorEastAsia"/>
                <w:lang w:eastAsia="zh-CN"/>
              </w:rPr>
            </w:pPr>
            <w:r>
              <w:rPr>
                <w:rFonts w:hint="eastAsia"/>
              </w:rPr>
              <w:t>采购人名称：</w:t>
            </w:r>
            <w:r>
              <w:rPr>
                <w:rFonts w:hint="eastAsia" w:asciiTheme="minorEastAsia" w:hAnsiTheme="minorEastAsia" w:cstheme="minorEastAsia"/>
                <w:szCs w:val="21"/>
                <w:lang w:eastAsia="zh-CN"/>
              </w:rPr>
              <w:t>西安市扶贫信息监测中心</w:t>
            </w:r>
          </w:p>
          <w:p w14:paraId="1A57B9B8">
            <w:pPr>
              <w:widowControl/>
              <w:wordWrap w:val="0"/>
              <w:spacing w:line="360" w:lineRule="auto"/>
              <w:rPr>
                <w:rFonts w:hint="eastAsia"/>
                <w:highlight w:val="none"/>
              </w:rPr>
            </w:pPr>
            <w:r>
              <w:rPr>
                <w:rFonts w:hint="eastAsia"/>
                <w:highlight w:val="none"/>
              </w:rPr>
              <w:t>地址：西安市未央区凤城八路109号</w:t>
            </w:r>
          </w:p>
          <w:p w14:paraId="2D5A940B">
            <w:pPr>
              <w:widowControl/>
              <w:wordWrap w:val="0"/>
              <w:spacing w:line="360" w:lineRule="auto"/>
              <w:rPr>
                <w:rFonts w:hint="eastAsia"/>
                <w:highlight w:val="none"/>
              </w:rPr>
            </w:pPr>
            <w:r>
              <w:rPr>
                <w:rFonts w:hint="eastAsia"/>
                <w:highlight w:val="none"/>
              </w:rPr>
              <w:t>联系方式：029-86787100</w:t>
            </w:r>
          </w:p>
          <w:p w14:paraId="49AA0D72">
            <w:pPr>
              <w:widowControl/>
              <w:wordWrap w:val="0"/>
              <w:spacing w:line="360" w:lineRule="auto"/>
              <w:rPr>
                <w:rFonts w:hint="default" w:eastAsiaTheme="minorEastAsia"/>
                <w:lang w:val="en-US" w:eastAsia="zh-CN"/>
              </w:rPr>
            </w:pPr>
            <w:r>
              <w:rPr>
                <w:rFonts w:hint="eastAsia"/>
                <w:highlight w:val="none"/>
              </w:rPr>
              <w:t>联 系 人：</w:t>
            </w:r>
            <w:r>
              <w:rPr>
                <w:rFonts w:hint="eastAsia"/>
                <w:highlight w:val="none"/>
                <w:lang w:val="en-US" w:eastAsia="zh-CN"/>
              </w:rPr>
              <w:t>任</w:t>
            </w:r>
            <w:r>
              <w:rPr>
                <w:rFonts w:hint="eastAsia"/>
                <w:highlight w:val="none"/>
              </w:rPr>
              <w:t>老师</w:t>
            </w:r>
          </w:p>
        </w:tc>
      </w:tr>
      <w:tr w14:paraId="482F1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atLeast"/>
        </w:trPr>
        <w:tc>
          <w:tcPr>
            <w:tcW w:w="540" w:type="dxa"/>
            <w:tcBorders>
              <w:top w:val="single" w:color="auto" w:sz="4" w:space="0"/>
            </w:tcBorders>
            <w:vAlign w:val="center"/>
          </w:tcPr>
          <w:p w14:paraId="7596DDC3">
            <w:pPr>
              <w:spacing w:before="156"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66" w:type="dxa"/>
            <w:tcBorders>
              <w:top w:val="single" w:color="auto" w:sz="4" w:space="0"/>
            </w:tcBorders>
            <w:vAlign w:val="center"/>
          </w:tcPr>
          <w:p w14:paraId="41412219">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193" w:type="dxa"/>
            <w:tcBorders>
              <w:top w:val="single" w:color="auto" w:sz="4" w:space="0"/>
            </w:tcBorders>
            <w:vAlign w:val="center"/>
          </w:tcPr>
          <w:p w14:paraId="3CE1541F">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14:paraId="39D974E2">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址：西安市雁塔区唐延路35号旺座现代城C座250</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室</w:t>
            </w:r>
          </w:p>
          <w:p w14:paraId="0914298E">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联   系   人：刘嘉辉</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 xml:space="preserve">崔方明  许芳芳  </w:t>
            </w:r>
            <w:r>
              <w:rPr>
                <w:rFonts w:hint="eastAsia" w:asciiTheme="minorEastAsia" w:hAnsiTheme="minorEastAsia" w:cstheme="minorEastAsia"/>
                <w:szCs w:val="21"/>
                <w:lang w:val="en-US" w:eastAsia="zh-CN"/>
              </w:rPr>
              <w:t>陈晓航</w:t>
            </w:r>
          </w:p>
          <w:p w14:paraId="30E8D9F3">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话：029-88319689-8004</w:t>
            </w:r>
          </w:p>
          <w:p w14:paraId="6C557371">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14:paraId="27DD9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14:paraId="3D3C189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66" w:type="dxa"/>
            <w:vAlign w:val="center"/>
          </w:tcPr>
          <w:p w14:paraId="70DAA9AC">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193" w:type="dxa"/>
            <w:vAlign w:val="center"/>
          </w:tcPr>
          <w:p w14:paraId="6E820E29">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不接受联合体磋商</w:t>
            </w:r>
          </w:p>
        </w:tc>
      </w:tr>
      <w:tr w14:paraId="4FC90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14:paraId="3BAE0A2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66" w:type="dxa"/>
            <w:vAlign w:val="center"/>
          </w:tcPr>
          <w:p w14:paraId="76E66A1D">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14:paraId="3EBCDA73">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193" w:type="dxa"/>
            <w:vAlign w:val="center"/>
          </w:tcPr>
          <w:p w14:paraId="58643B18">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14:paraId="42BC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540" w:type="dxa"/>
            <w:vAlign w:val="center"/>
          </w:tcPr>
          <w:p w14:paraId="37432753">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66" w:type="dxa"/>
            <w:vAlign w:val="center"/>
          </w:tcPr>
          <w:p w14:paraId="537CA32E">
            <w:pPr>
              <w:spacing w:line="360" w:lineRule="auto"/>
              <w:rPr>
                <w:rFonts w:asciiTheme="minorEastAsia" w:hAnsiTheme="minorEastAsia" w:cstheme="minorEastAsia"/>
                <w:szCs w:val="21"/>
              </w:rPr>
            </w:pPr>
            <w:r>
              <w:rPr>
                <w:rFonts w:hint="eastAsia" w:asciiTheme="minorEastAsia" w:hAnsiTheme="minorEastAsia" w:cstheme="minorEastAsia"/>
                <w:szCs w:val="21"/>
              </w:rPr>
              <w:t>打包</w:t>
            </w:r>
          </w:p>
        </w:tc>
        <w:tc>
          <w:tcPr>
            <w:tcW w:w="8193" w:type="dxa"/>
            <w:vAlign w:val="center"/>
          </w:tcPr>
          <w:p w14:paraId="0EC58730">
            <w:pPr>
              <w:spacing w:line="360" w:lineRule="auto"/>
              <w:rPr>
                <w:rFonts w:asciiTheme="minorEastAsia" w:hAnsiTheme="minorEastAsia" w:cstheme="minorEastAsia"/>
                <w:szCs w:val="21"/>
              </w:rPr>
            </w:pPr>
            <w:r>
              <w:rPr>
                <w:rFonts w:hint="eastAsia" w:ascii="宋体" w:cs="宋体"/>
                <w:szCs w:val="21"/>
              </w:rPr>
              <w:t>本次采购不分包，供应商可根据自身的资质情况和经营范围对本项目进行磋商，不得自行分解或只对本次项目中的品目进行不完全磋商，任何不完全的磋商将按无效磋商处理。</w:t>
            </w:r>
          </w:p>
        </w:tc>
      </w:tr>
      <w:tr w14:paraId="4F7DA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14:paraId="10FB62E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66" w:type="dxa"/>
            <w:vAlign w:val="center"/>
          </w:tcPr>
          <w:p w14:paraId="0670F03A">
            <w:pPr>
              <w:spacing w:line="360" w:lineRule="auto"/>
              <w:rPr>
                <w:rFonts w:asciiTheme="minorEastAsia" w:hAnsiTheme="minorEastAsia" w:cstheme="minorEastAsia"/>
                <w:szCs w:val="21"/>
              </w:rPr>
            </w:pPr>
            <w:r>
              <w:rPr>
                <w:rFonts w:hint="eastAsia" w:asciiTheme="minorEastAsia" w:hAnsiTheme="minorEastAsia" w:cstheme="minorEastAsia"/>
                <w:szCs w:val="21"/>
              </w:rPr>
              <w:t>磋商</w:t>
            </w:r>
          </w:p>
          <w:p w14:paraId="078BA56F">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193" w:type="dxa"/>
            <w:vAlign w:val="center"/>
          </w:tcPr>
          <w:p w14:paraId="5B07B70A">
            <w:pPr>
              <w:spacing w:line="360" w:lineRule="auto"/>
              <w:rPr>
                <w:rFonts w:asciiTheme="minorEastAsia" w:hAnsiTheme="minorEastAsia" w:cstheme="minorEastAsia"/>
                <w:szCs w:val="21"/>
              </w:rPr>
            </w:pPr>
            <w:r>
              <w:rPr>
                <w:rFonts w:hint="eastAsia" w:ascii="宋体" w:hAnsi="宋体" w:cs="宋体"/>
                <w:szCs w:val="21"/>
              </w:rPr>
              <w:t>自磋商响应文件递交截止之日起90 日历日。</w:t>
            </w:r>
          </w:p>
        </w:tc>
      </w:tr>
      <w:tr w14:paraId="49837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65" w:hRule="atLeast"/>
        </w:trPr>
        <w:tc>
          <w:tcPr>
            <w:tcW w:w="540" w:type="dxa"/>
            <w:vAlign w:val="center"/>
          </w:tcPr>
          <w:p w14:paraId="6CA520B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66" w:type="dxa"/>
            <w:vAlign w:val="center"/>
          </w:tcPr>
          <w:p w14:paraId="5E9DDBEC">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14:paraId="1676610F">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14:paraId="1822D6EF">
            <w:pPr>
              <w:snapToGrid w:val="0"/>
              <w:spacing w:line="360" w:lineRule="auto"/>
              <w:ind w:firstLine="472" w:firstLineChars="225"/>
              <w:jc w:val="left"/>
              <w:rPr>
                <w:rFonts w:ascii="宋体" w:hAnsi="宋体" w:cs="宋体"/>
                <w:bCs/>
                <w:kern w:val="0"/>
                <w:szCs w:val="21"/>
              </w:rPr>
            </w:pPr>
            <w:r>
              <w:rPr>
                <w:rFonts w:hint="eastAsia" w:ascii="宋体" w:hAnsi="宋体" w:cs="宋体"/>
                <w:bCs/>
                <w:kern w:val="0"/>
                <w:szCs w:val="21"/>
              </w:rPr>
              <w:t>符合《中华人民共和国政府采购法》第二十二条规定，并提供以下材料：</w:t>
            </w:r>
          </w:p>
          <w:p w14:paraId="343246FF">
            <w:pPr>
              <w:adjustRightInd w:val="0"/>
              <w:snapToGrid w:val="0"/>
              <w:spacing w:line="360" w:lineRule="auto"/>
              <w:ind w:firstLine="422" w:firstLineChars="200"/>
              <w:rPr>
                <w:szCs w:val="20"/>
              </w:rPr>
            </w:pPr>
            <w:r>
              <w:rPr>
                <w:rFonts w:hint="eastAsia"/>
                <w:b/>
                <w:bCs/>
                <w:szCs w:val="20"/>
              </w:rPr>
              <w:t>1、</w:t>
            </w:r>
            <w:r>
              <w:rPr>
                <w:rFonts w:hint="eastAsia"/>
                <w:b w:val="0"/>
                <w:bCs w:val="0"/>
                <w:szCs w:val="20"/>
              </w:rPr>
              <w:t>提供合格有效的法人或其他组织的营业执照等证明文件，自然人参与的提供其身份证原件</w:t>
            </w:r>
            <w:r>
              <w:rPr>
                <w:rFonts w:hint="eastAsia" w:ascii="宋体" w:hAnsi="宋体"/>
                <w:sz w:val="24"/>
                <w:szCs w:val="24"/>
              </w:rPr>
              <w:t>；</w:t>
            </w:r>
            <w:r>
              <w:rPr>
                <w:rFonts w:hint="eastAsia"/>
                <w:b/>
                <w:bCs/>
                <w:szCs w:val="20"/>
              </w:rPr>
              <w:t>提供复印件加盖供应商鲜章。</w:t>
            </w:r>
          </w:p>
          <w:p w14:paraId="14BDE2AF">
            <w:pPr>
              <w:adjustRightInd w:val="0"/>
              <w:snapToGrid w:val="0"/>
              <w:spacing w:line="360" w:lineRule="auto"/>
              <w:ind w:firstLine="420" w:firstLineChars="200"/>
              <w:rPr>
                <w:szCs w:val="20"/>
              </w:rPr>
            </w:pPr>
            <w:r>
              <w:rPr>
                <w:rFonts w:hint="eastAsia"/>
                <w:szCs w:val="20"/>
              </w:rPr>
              <w:t>2、社会保障资金缴纳证明：提供2024年5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b/>
                <w:bCs/>
                <w:szCs w:val="20"/>
              </w:rPr>
              <w:t>提供复印件加盖供应商鲜章。</w:t>
            </w:r>
          </w:p>
          <w:p w14:paraId="746C55D0">
            <w:pPr>
              <w:adjustRightInd w:val="0"/>
              <w:snapToGrid w:val="0"/>
              <w:spacing w:line="360" w:lineRule="auto"/>
              <w:ind w:firstLine="420" w:firstLineChars="200"/>
              <w:rPr>
                <w:szCs w:val="20"/>
              </w:rPr>
            </w:pPr>
            <w:r>
              <w:rPr>
                <w:rFonts w:hint="eastAsia"/>
                <w:szCs w:val="20"/>
              </w:rPr>
              <w:t>3、税收缴纳证明：提供2024年5月至今已缴纳的至少一个月的纳税证明或完税证明；依法免税的单位应提供相关证明材料；</w:t>
            </w:r>
            <w:r>
              <w:rPr>
                <w:rFonts w:hint="eastAsia"/>
                <w:b/>
                <w:bCs/>
                <w:szCs w:val="20"/>
              </w:rPr>
              <w:t>提供复印件加盖供应商鲜章。</w:t>
            </w:r>
          </w:p>
          <w:p w14:paraId="3F057763">
            <w:pPr>
              <w:adjustRightInd w:val="0"/>
              <w:snapToGrid w:val="0"/>
              <w:spacing w:line="360" w:lineRule="auto"/>
              <w:ind w:firstLine="420" w:firstLineChars="200"/>
              <w:rPr>
                <w:szCs w:val="20"/>
              </w:rPr>
            </w:pPr>
            <w:r>
              <w:rPr>
                <w:rFonts w:hint="eastAsia"/>
                <w:szCs w:val="20"/>
              </w:rPr>
              <w:t>4、财务状况证明：提供2024年度经审计的财务报告（注册会计师统一监管平台申请赋码可查询）或开标前六个月内其基本账户银行出具的资信证明（附开户许可证或基本账户证明）；</w:t>
            </w:r>
            <w:r>
              <w:rPr>
                <w:rFonts w:hint="eastAsia"/>
                <w:b/>
                <w:bCs/>
                <w:szCs w:val="20"/>
              </w:rPr>
              <w:t>提供复印件加盖供应商鲜章。</w:t>
            </w:r>
          </w:p>
          <w:p w14:paraId="795CC746">
            <w:pPr>
              <w:adjustRightInd w:val="0"/>
              <w:snapToGrid w:val="0"/>
              <w:spacing w:line="360" w:lineRule="auto"/>
              <w:ind w:firstLine="420" w:firstLineChars="200"/>
              <w:rPr>
                <w:szCs w:val="20"/>
              </w:rPr>
            </w:pPr>
            <w:r>
              <w:rPr>
                <w:rFonts w:hint="eastAsia"/>
                <w:szCs w:val="20"/>
              </w:rPr>
              <w:t>5、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r>
              <w:rPr>
                <w:rFonts w:hint="eastAsia"/>
                <w:b/>
                <w:bCs/>
                <w:szCs w:val="20"/>
              </w:rPr>
              <w:t>提供声明原件，格式可参考招标文件第七部分。</w:t>
            </w:r>
          </w:p>
          <w:p w14:paraId="50EED0D0">
            <w:pPr>
              <w:adjustRightInd w:val="0"/>
              <w:snapToGrid w:val="0"/>
              <w:spacing w:line="360" w:lineRule="auto"/>
              <w:ind w:firstLine="420" w:firstLineChars="200"/>
              <w:rPr>
                <w:szCs w:val="20"/>
              </w:rPr>
            </w:pPr>
            <w:r>
              <w:rPr>
                <w:rFonts w:hint="eastAsia"/>
                <w:szCs w:val="20"/>
              </w:rPr>
              <w:t>6、非法定代表人参加磋商的，须提供法定代表人授权委托书及被授权人身份证原件；法定代表人参加磋商时,只须提供法定代表人身份证原件；</w:t>
            </w:r>
          </w:p>
          <w:p w14:paraId="73B17C64">
            <w:pPr>
              <w:pStyle w:val="10"/>
              <w:spacing w:line="360" w:lineRule="auto"/>
              <w:ind w:firstLineChars="200"/>
              <w:rPr>
                <w:rFonts w:hint="eastAsia"/>
                <w:b/>
                <w:bCs/>
                <w:lang w:val="en-US" w:eastAsia="zh-CN"/>
              </w:rPr>
            </w:pPr>
            <w:r>
              <w:rPr>
                <w:rFonts w:hint="eastAsia"/>
                <w:b/>
                <w:bCs/>
                <w:lang w:val="en-US" w:eastAsia="zh-CN"/>
              </w:rPr>
              <w:t>7、本项目专门面向中小企业采购，供应商须提供中小企业申明。</w:t>
            </w:r>
          </w:p>
          <w:p w14:paraId="4E7934C7">
            <w:pPr>
              <w:pStyle w:val="10"/>
              <w:spacing w:line="360" w:lineRule="auto"/>
              <w:ind w:firstLineChars="200"/>
            </w:pPr>
            <w:r>
              <w:rPr>
                <w:rFonts w:hint="eastAsia"/>
                <w:lang w:val="en-US" w:eastAsia="zh-CN"/>
              </w:rPr>
              <w:t>8</w:t>
            </w:r>
            <w:r>
              <w:rPr>
                <w:rFonts w:hint="eastAsia"/>
              </w:rPr>
              <w:t>、本项目不接受联合体磋商。</w:t>
            </w:r>
          </w:p>
          <w:p w14:paraId="694C152D">
            <w:pPr>
              <w:pStyle w:val="10"/>
              <w:spacing w:line="360" w:lineRule="auto"/>
              <w:ind w:firstLine="422" w:firstLineChars="200"/>
              <w:rPr>
                <w:b/>
                <w:bCs/>
              </w:rPr>
            </w:pPr>
            <w:r>
              <w:rPr>
                <w:rFonts w:hint="eastAsia"/>
                <w:b/>
                <w:bCs/>
              </w:rPr>
              <w:t>注：</w:t>
            </w:r>
          </w:p>
          <w:p w14:paraId="71BFD5DD">
            <w:pPr>
              <w:pStyle w:val="10"/>
              <w:spacing w:line="360" w:lineRule="auto"/>
              <w:ind w:firstLine="422" w:firstLineChars="200"/>
              <w:rPr>
                <w:rFonts w:asciiTheme="minorEastAsia" w:hAnsiTheme="minorEastAsia" w:cstheme="minorEastAsia"/>
                <w:b/>
                <w:bCs/>
                <w:szCs w:val="21"/>
              </w:rPr>
            </w:pPr>
            <w:r>
              <w:rPr>
                <w:rFonts w:ascii="Calibri" w:hAnsi="Calibri" w:cs="Calibri"/>
                <w:b/>
                <w:bCs/>
                <w:szCs w:val="21"/>
              </w:rPr>
              <w:t>①</w:t>
            </w:r>
            <w:r>
              <w:rPr>
                <w:rFonts w:hint="eastAsia" w:asciiTheme="minorEastAsia" w:hAnsiTheme="minorEastAsia" w:cstheme="minorEastAsia"/>
                <w:b/>
                <w:bCs/>
                <w:szCs w:val="21"/>
              </w:rPr>
              <w:t>供应商应在磋商文件正本中附按照上述要求须提供的资格证明文件（身份证原件除外），作为资格审查的依据，资审时凡有一项不合格者，均按无效磋商处理。</w:t>
            </w:r>
          </w:p>
          <w:p w14:paraId="1F2B72A8">
            <w:pPr>
              <w:pStyle w:val="10"/>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供应商自行承担所提供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14:paraId="25DF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53" w:hRule="atLeast"/>
        </w:trPr>
        <w:tc>
          <w:tcPr>
            <w:tcW w:w="540" w:type="dxa"/>
            <w:vAlign w:val="center"/>
          </w:tcPr>
          <w:p w14:paraId="5DA375A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66" w:type="dxa"/>
            <w:vAlign w:val="center"/>
          </w:tcPr>
          <w:p w14:paraId="464DB976">
            <w:pPr>
              <w:jc w:val="center"/>
              <w:rPr>
                <w:rFonts w:ascii="宋体" w:hAnsi="宋体" w:cs="宋体"/>
                <w:color w:val="000000"/>
                <w:szCs w:val="21"/>
              </w:rPr>
            </w:pPr>
            <w:r>
              <w:rPr>
                <w:rFonts w:hint="eastAsia" w:ascii="宋体" w:hAnsi="宋体" w:cs="宋体"/>
                <w:color w:val="000000"/>
                <w:szCs w:val="21"/>
              </w:rPr>
              <w:t>磋商</w:t>
            </w:r>
          </w:p>
          <w:p w14:paraId="55CC8E33">
            <w:pPr>
              <w:jc w:val="center"/>
              <w:rPr>
                <w:rFonts w:asciiTheme="minorEastAsia" w:hAnsiTheme="minorEastAsia" w:cstheme="minorEastAsia"/>
                <w:szCs w:val="21"/>
              </w:rPr>
            </w:pPr>
            <w:r>
              <w:rPr>
                <w:rFonts w:hint="eastAsia" w:ascii="宋体" w:hAnsi="宋体" w:cs="宋体"/>
                <w:color w:val="000000"/>
                <w:szCs w:val="21"/>
              </w:rPr>
              <w:t>保证金要求</w:t>
            </w:r>
          </w:p>
        </w:tc>
        <w:tc>
          <w:tcPr>
            <w:tcW w:w="8193" w:type="dxa"/>
          </w:tcPr>
          <w:p w14:paraId="03F67533">
            <w:pPr>
              <w:spacing w:line="500" w:lineRule="exact"/>
              <w:jc w:val="left"/>
              <w:rPr>
                <w:rFonts w:asciiTheme="minorEastAsia" w:hAnsiTheme="minorEastAsia" w:cstheme="minorEastAsia"/>
                <w:szCs w:val="21"/>
              </w:rPr>
            </w:pPr>
            <w:r>
              <w:rPr>
                <w:rFonts w:hint="eastAsia" w:ascii="宋体" w:hAnsi="宋体" w:cs="宋体"/>
                <w:szCs w:val="21"/>
              </w:rPr>
              <w:t>无</w:t>
            </w:r>
          </w:p>
        </w:tc>
      </w:tr>
      <w:tr w14:paraId="338B7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5" w:hRule="atLeast"/>
        </w:trPr>
        <w:tc>
          <w:tcPr>
            <w:tcW w:w="540" w:type="dxa"/>
            <w:vAlign w:val="center"/>
          </w:tcPr>
          <w:p w14:paraId="3965777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66" w:type="dxa"/>
            <w:vAlign w:val="center"/>
          </w:tcPr>
          <w:p w14:paraId="6CD43F8F">
            <w:pPr>
              <w:spacing w:line="360" w:lineRule="auto"/>
              <w:rPr>
                <w:rFonts w:asciiTheme="minorEastAsia" w:hAnsiTheme="minorEastAsia" w:cstheme="minorEastAsia"/>
                <w:szCs w:val="21"/>
              </w:rPr>
            </w:pPr>
            <w:r>
              <w:rPr>
                <w:rFonts w:hint="eastAsia" w:asciiTheme="minorEastAsia" w:hAnsiTheme="minorEastAsia" w:cstheme="minorEastAsia"/>
                <w:szCs w:val="21"/>
              </w:rPr>
              <w:t>磋商</w:t>
            </w:r>
          </w:p>
          <w:p w14:paraId="6237457A">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193" w:type="dxa"/>
            <w:vAlign w:val="center"/>
          </w:tcPr>
          <w:p w14:paraId="2AB1351A">
            <w:pPr>
              <w:adjustRightInd w:val="0"/>
              <w:snapToGrid w:val="0"/>
              <w:spacing w:line="360" w:lineRule="auto"/>
              <w:ind w:firstLine="420" w:firstLineChars="200"/>
              <w:rPr>
                <w:rFonts w:asciiTheme="minorEastAsia" w:hAnsiTheme="minorEastAsia" w:cstheme="minorEastAsia"/>
                <w:szCs w:val="21"/>
              </w:rPr>
            </w:pPr>
            <w:r>
              <w:rPr>
                <w:rFonts w:hint="eastAsia" w:ascii="宋体" w:hAnsi="宋体" w:cs="宋体"/>
                <w:szCs w:val="21"/>
              </w:rPr>
              <w:t>磋商响应文件</w:t>
            </w:r>
            <w:r>
              <w:rPr>
                <w:rFonts w:hint="eastAsia" w:ascii="宋体" w:hAnsi="宋体" w:cs="宋体"/>
                <w:color w:val="000000"/>
                <w:szCs w:val="21"/>
              </w:rPr>
              <w:t>正本一份、副本叁份</w:t>
            </w:r>
            <w:r>
              <w:rPr>
                <w:rFonts w:hint="eastAsia" w:ascii="宋体" w:hAnsi="宋体" w:cs="宋体"/>
                <w:szCs w:val="21"/>
              </w:rPr>
              <w:t>，分别胶装装订成册，且封面须清楚地标明“正本”或“副本”；若正本和副本不符，以正本书面文件为准；同时提供与正本内容一致的电子版（</w:t>
            </w:r>
            <w:r>
              <w:rPr>
                <w:rFonts w:ascii="宋体" w:hAnsi="宋体" w:cs="宋体"/>
                <w:szCs w:val="21"/>
              </w:rPr>
              <w:t>U</w:t>
            </w:r>
            <w:r>
              <w:rPr>
                <w:rFonts w:hint="eastAsia" w:ascii="宋体" w:hAnsi="宋体" w:cs="宋体"/>
                <w:szCs w:val="21"/>
              </w:rPr>
              <w:t>盘、</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与</w:t>
            </w:r>
            <w:r>
              <w:rPr>
                <w:rFonts w:ascii="宋体" w:hAnsi="宋体" w:cs="宋体"/>
                <w:b/>
                <w:bCs/>
                <w:szCs w:val="21"/>
              </w:rPr>
              <w:t>WORD</w:t>
            </w:r>
            <w:r>
              <w:rPr>
                <w:rFonts w:hint="eastAsia" w:ascii="宋体" w:hAnsi="宋体" w:cs="宋体"/>
                <w:b/>
                <w:bCs/>
                <w:szCs w:val="21"/>
              </w:rPr>
              <w:t>格式各一份</w:t>
            </w:r>
            <w:r>
              <w:rPr>
                <w:rFonts w:hint="eastAsia" w:ascii="宋体" w:hAnsi="宋体" w:cs="宋体"/>
                <w:szCs w:val="21"/>
              </w:rPr>
              <w:t>）、磋商一览表一份</w:t>
            </w:r>
            <w:r>
              <w:rPr>
                <w:rFonts w:hint="eastAsia" w:ascii="宋体" w:hAnsi="宋体" w:cs="宋体"/>
                <w:b/>
                <w:bCs/>
                <w:szCs w:val="21"/>
              </w:rPr>
              <w:t>（用于磋商单独提交的“磋商一览表”应为原件）。</w:t>
            </w:r>
          </w:p>
        </w:tc>
      </w:tr>
      <w:tr w14:paraId="48C9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540" w:type="dxa"/>
            <w:vAlign w:val="center"/>
          </w:tcPr>
          <w:p w14:paraId="7C5D2E0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66" w:type="dxa"/>
            <w:vAlign w:val="center"/>
          </w:tcPr>
          <w:p w14:paraId="53D69800">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193" w:type="dxa"/>
            <w:vAlign w:val="center"/>
          </w:tcPr>
          <w:p w14:paraId="75700829">
            <w:pPr>
              <w:adjustRightInd w:val="0"/>
              <w:snapToGrid w:val="0"/>
              <w:spacing w:line="360" w:lineRule="auto"/>
              <w:ind w:firstLine="420" w:firstLineChars="200"/>
              <w:rPr>
                <w:rFonts w:ascii="宋体" w:cs="宋体"/>
                <w:kern w:val="0"/>
                <w:szCs w:val="21"/>
              </w:rPr>
            </w:pPr>
            <w:r>
              <w:rPr>
                <w:rFonts w:hint="eastAsia" w:ascii="宋体" w:hAnsi="宋体" w:cs="宋体"/>
                <w:szCs w:val="21"/>
              </w:rPr>
              <w:t>磋商响应文件正本、所有的副本、电子版本、磋商一览表需分开密封装在单独的封袋中（封袋不得有破损），且在封袋正面标明“正本”“副本”“电子版”“磋商一览表”字样。封袋应加贴封条，并在封线处加盖供应商</w:t>
            </w:r>
            <w:r>
              <w:rPr>
                <w:rFonts w:hint="eastAsia" w:ascii="宋体" w:hAnsi="宋体" w:cs="宋体"/>
                <w:color w:val="000000"/>
                <w:szCs w:val="21"/>
              </w:rPr>
              <w:t>鲜章，封袋正面要粘贴供应商全称、项目名称、编号、包号等标识</w:t>
            </w:r>
            <w:r>
              <w:rPr>
                <w:rFonts w:hint="eastAsia" w:ascii="宋体" w:hAnsi="宋体" w:cs="宋体"/>
                <w:szCs w:val="21"/>
              </w:rPr>
              <w:t>，且</w:t>
            </w:r>
            <w:r>
              <w:rPr>
                <w:rFonts w:hint="eastAsia" w:ascii="宋体" w:hAnsi="宋体" w:cs="宋体"/>
                <w:kern w:val="0"/>
                <w:szCs w:val="21"/>
              </w:rPr>
              <w:t>磋商响应文件袋上应加盖供应商公章（</w:t>
            </w:r>
            <w:r>
              <w:rPr>
                <w:rFonts w:hint="eastAsia" w:ascii="宋体" w:hAnsi="宋体" w:cs="宋体"/>
                <w:szCs w:val="21"/>
              </w:rPr>
              <w:t>封面标识见磋商响应文件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14:paraId="09C610CD">
            <w:pPr>
              <w:adjustRightInd w:val="0"/>
              <w:snapToGrid w:val="0"/>
              <w:spacing w:line="360" w:lineRule="auto"/>
              <w:ind w:firstLine="422" w:firstLineChars="200"/>
              <w:rPr>
                <w:rFonts w:asciiTheme="minorEastAsia" w:hAnsiTheme="minorEastAsia" w:cstheme="minorEastAsia"/>
                <w:szCs w:val="21"/>
              </w:rPr>
            </w:pPr>
            <w:r>
              <w:rPr>
                <w:rFonts w:hint="eastAsia" w:ascii="宋体" w:hAnsi="宋体" w:cs="宋体"/>
                <w:b/>
                <w:bCs/>
                <w:szCs w:val="21"/>
              </w:rPr>
              <w:t>如果供应商未按上述要求密封及加写标记，误投或过早启封的磋商响应文件，将自行承担其磋商响应文件被拒收的风险。</w:t>
            </w:r>
          </w:p>
        </w:tc>
      </w:tr>
      <w:tr w14:paraId="2C78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7C625FD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66" w:type="dxa"/>
            <w:vAlign w:val="center"/>
          </w:tcPr>
          <w:p w14:paraId="63767F1E">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193" w:type="dxa"/>
            <w:vAlign w:val="center"/>
          </w:tcPr>
          <w:p w14:paraId="79106C11">
            <w:pPr>
              <w:spacing w:line="360" w:lineRule="auto"/>
              <w:rPr>
                <w:rFonts w:asciiTheme="minorEastAsia" w:hAnsiTheme="minorEastAsia" w:cstheme="minorEastAsia"/>
                <w:b/>
                <w:bCs/>
                <w:color w:val="000000"/>
                <w:szCs w:val="21"/>
              </w:rPr>
            </w:pPr>
            <w:r>
              <w:rPr>
                <w:rFonts w:hint="eastAsia" w:ascii="宋体" w:hAnsi="宋体" w:cs="宋体"/>
                <w:szCs w:val="21"/>
              </w:rPr>
              <w:t>磋商多轮报价，综合评分（详见第四部分）</w:t>
            </w:r>
          </w:p>
        </w:tc>
      </w:tr>
      <w:tr w14:paraId="4CAF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7FB386C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13</w:t>
            </w:r>
          </w:p>
        </w:tc>
        <w:tc>
          <w:tcPr>
            <w:tcW w:w="966" w:type="dxa"/>
            <w:vAlign w:val="center"/>
          </w:tcPr>
          <w:p w14:paraId="048CD7BA">
            <w:pPr>
              <w:spacing w:line="360" w:lineRule="auto"/>
              <w:jc w:val="center"/>
              <w:rPr>
                <w:rFonts w:ascii="宋体" w:hAnsi="宋体" w:cs="宋体"/>
                <w:kern w:val="0"/>
                <w:szCs w:val="21"/>
              </w:rPr>
            </w:pPr>
            <w:r>
              <w:rPr>
                <w:rFonts w:hint="eastAsia" w:ascii="宋体" w:hAnsi="宋体" w:cs="宋体"/>
                <w:kern w:val="0"/>
                <w:szCs w:val="21"/>
              </w:rPr>
              <w:t>履约保</w:t>
            </w:r>
          </w:p>
          <w:p w14:paraId="5357ADDE">
            <w:pPr>
              <w:spacing w:line="360" w:lineRule="auto"/>
              <w:jc w:val="center"/>
              <w:rPr>
                <w:rFonts w:asciiTheme="minorEastAsia" w:hAnsiTheme="minorEastAsia" w:cstheme="minorEastAsia"/>
                <w:color w:val="000000"/>
                <w:szCs w:val="21"/>
              </w:rPr>
            </w:pPr>
            <w:r>
              <w:rPr>
                <w:rFonts w:hint="eastAsia" w:ascii="宋体" w:hAnsi="宋体" w:cs="宋体"/>
                <w:kern w:val="0"/>
                <w:szCs w:val="21"/>
              </w:rPr>
              <w:t>证金</w:t>
            </w:r>
          </w:p>
        </w:tc>
        <w:tc>
          <w:tcPr>
            <w:tcW w:w="8193" w:type="dxa"/>
            <w:vAlign w:val="center"/>
          </w:tcPr>
          <w:p w14:paraId="526473CF">
            <w:pPr>
              <w:spacing w:line="360" w:lineRule="auto"/>
              <w:ind w:firstLine="420" w:firstLineChars="200"/>
              <w:jc w:val="left"/>
            </w:pPr>
            <w:r>
              <w:rPr>
                <w:rFonts w:hint="eastAsia" w:ascii="宋体" w:hAnsi="宋体" w:cs="宋体"/>
                <w:kern w:val="0"/>
                <w:szCs w:val="21"/>
              </w:rPr>
              <w:t>不要求提供</w:t>
            </w:r>
          </w:p>
        </w:tc>
      </w:tr>
      <w:tr w14:paraId="1890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421041DF">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14</w:t>
            </w:r>
          </w:p>
        </w:tc>
        <w:tc>
          <w:tcPr>
            <w:tcW w:w="966" w:type="dxa"/>
            <w:vAlign w:val="center"/>
          </w:tcPr>
          <w:p w14:paraId="771F54F8">
            <w:pPr>
              <w:spacing w:line="360" w:lineRule="auto"/>
              <w:jc w:val="center"/>
              <w:rPr>
                <w:rFonts w:asciiTheme="minorEastAsia" w:hAnsiTheme="minorEastAsia" w:cstheme="minorEastAsia"/>
                <w:color w:val="000000"/>
                <w:szCs w:val="21"/>
              </w:rPr>
            </w:pPr>
            <w:r>
              <w:rPr>
                <w:rFonts w:hint="eastAsia" w:ascii="宋体" w:hAnsi="宋体" w:cs="宋体"/>
                <w:szCs w:val="21"/>
              </w:rPr>
              <w:t>履约验收</w:t>
            </w:r>
          </w:p>
        </w:tc>
        <w:tc>
          <w:tcPr>
            <w:tcW w:w="8193" w:type="dxa"/>
            <w:vAlign w:val="center"/>
          </w:tcPr>
          <w:p w14:paraId="03945C64">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14:paraId="7EE69F4B">
            <w:pPr>
              <w:spacing w:line="360" w:lineRule="auto"/>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14:paraId="51256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00E405AB">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15</w:t>
            </w:r>
          </w:p>
        </w:tc>
        <w:tc>
          <w:tcPr>
            <w:tcW w:w="966" w:type="dxa"/>
            <w:vAlign w:val="center"/>
          </w:tcPr>
          <w:p w14:paraId="4AF13C0D">
            <w:pPr>
              <w:spacing w:line="360" w:lineRule="auto"/>
              <w:rPr>
                <w:rFonts w:ascii="仿宋" w:hAnsi="仿宋"/>
              </w:rPr>
            </w:pPr>
            <w:r>
              <w:rPr>
                <w:rFonts w:hint="eastAsia" w:ascii="宋体" w:hAnsi="宋体" w:eastAsia="宋体" w:cs="宋体"/>
                <w:szCs w:val="21"/>
              </w:rPr>
              <w:t>项目性质</w:t>
            </w:r>
          </w:p>
        </w:tc>
        <w:tc>
          <w:tcPr>
            <w:tcW w:w="8193" w:type="dxa"/>
            <w:vAlign w:val="center"/>
          </w:tcPr>
          <w:p w14:paraId="3EEF605C">
            <w:pPr>
              <w:spacing w:line="360" w:lineRule="auto"/>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非专门面向中小企业采购</w:t>
            </w:r>
          </w:p>
          <w:p w14:paraId="2636A50B">
            <w:pPr>
              <w:spacing w:line="360" w:lineRule="auto"/>
              <w:rPr>
                <w:rFonts w:ascii="宋体" w:hAnsi="宋体" w:eastAsia="宋体" w:cs="宋体"/>
                <w:szCs w:val="21"/>
              </w:rPr>
            </w:pPr>
            <w:r>
              <w:rPr>
                <w:rFonts w:hint="eastAsia" w:ascii="宋体" w:hAnsi="宋体" w:eastAsia="宋体" w:cs="宋体"/>
                <w:szCs w:val="21"/>
              </w:rPr>
              <w:t>对符合《政府采购促进中小企业发展管理办法》(财库{2020}46号)及</w:t>
            </w:r>
            <w:r>
              <w:t>《关于进一步加大政府采购支持中小企业力度的通知》（财库〔2022〕19号）的规定</w:t>
            </w:r>
            <w:r>
              <w:rPr>
                <w:rFonts w:hint="eastAsia" w:ascii="宋体" w:hAnsi="宋体" w:eastAsia="宋体" w:cs="宋体"/>
                <w:szCs w:val="21"/>
              </w:rPr>
              <w:t>小微企业(监狱企业视同小型、微型企业)的报价给予</w:t>
            </w:r>
            <w:r>
              <w:rPr>
                <w:rFonts w:hint="eastAsia" w:ascii="宋体" w:hAnsi="宋体" w:eastAsia="宋体" w:cs="宋体"/>
                <w:szCs w:val="21"/>
                <w:u w:val="single"/>
              </w:rPr>
              <w:t xml:space="preserve"> 10</w:t>
            </w:r>
            <w:r>
              <w:rPr>
                <w:rFonts w:hint="eastAsia" w:ascii="宋体" w:hAnsi="宋体" w:eastAsia="宋体" w:cs="宋体"/>
                <w:szCs w:val="21"/>
              </w:rPr>
              <w:t>％(6％-10％)的扣除,用扣除后的价格参加评审。</w:t>
            </w:r>
          </w:p>
          <w:p w14:paraId="1B5F9A4A">
            <w:pPr>
              <w:spacing w:line="360" w:lineRule="auto"/>
              <w:jc w:val="left"/>
              <w:rPr>
                <w:rFonts w:ascii="宋体" w:hAnsi="宋体" w:eastAsia="宋体" w:cs="宋体"/>
                <w:szCs w:val="21"/>
              </w:rPr>
            </w:pPr>
            <w:r>
              <w:rPr>
                <w:rFonts w:hint="eastAsia" w:ascii="宋体" w:hAnsi="宋体" w:eastAsia="宋体" w:cs="宋体"/>
                <w:szCs w:val="21"/>
              </w:rPr>
              <w:t>根据《政府采购促进中小企业发展暂行办法》，投标人提供的《中小企业声明函》</w:t>
            </w:r>
            <w:r>
              <w:rPr>
                <w:rFonts w:hint="eastAsia" w:ascii="宋体" w:hAnsi="宋体" w:eastAsia="宋体" w:cs="宋体"/>
                <w:b/>
                <w:bCs/>
                <w:szCs w:val="21"/>
              </w:rPr>
              <w:t>（附件二）</w:t>
            </w:r>
            <w:r>
              <w:rPr>
                <w:rFonts w:hint="eastAsia" w:ascii="宋体" w:hAnsi="宋体" w:eastAsia="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14:paraId="7D2B9A10">
            <w:pPr>
              <w:spacing w:line="360" w:lineRule="auto"/>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专门面向中小企业采购</w:t>
            </w:r>
          </w:p>
          <w:p w14:paraId="0226978F">
            <w:pPr>
              <w:spacing w:line="360" w:lineRule="auto"/>
              <w:jc w:val="left"/>
              <w:rPr>
                <w:rFonts w:ascii="仿宋" w:hAnsi="仿宋"/>
              </w:rPr>
            </w:pPr>
            <w:r>
              <w:rPr>
                <w:rFonts w:hint="eastAsia" w:ascii="宋体" w:hAnsi="宋体" w:eastAsia="宋体" w:cs="宋体"/>
                <w:szCs w:val="21"/>
              </w:rPr>
              <w:t>仅允许中小企业或小型、微型企业参与投标。</w:t>
            </w:r>
          </w:p>
        </w:tc>
      </w:tr>
      <w:tr w14:paraId="6600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540" w:type="dxa"/>
            <w:vAlign w:val="center"/>
          </w:tcPr>
          <w:p w14:paraId="7D5F02B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16</w:t>
            </w:r>
          </w:p>
        </w:tc>
        <w:tc>
          <w:tcPr>
            <w:tcW w:w="966" w:type="dxa"/>
            <w:vAlign w:val="center"/>
          </w:tcPr>
          <w:p w14:paraId="599BF4C9">
            <w:pPr>
              <w:pStyle w:val="15"/>
              <w:spacing w:line="336" w:lineRule="auto"/>
              <w:jc w:val="left"/>
              <w:rPr>
                <w:rFonts w:ascii="仿宋" w:hAnsi="仿宋"/>
              </w:rPr>
            </w:pPr>
            <w:r>
              <w:rPr>
                <w:rFonts w:hint="eastAsia" w:ascii="仿宋" w:hAnsi="仿宋"/>
              </w:rPr>
              <w:t>供应商信用查询</w:t>
            </w:r>
          </w:p>
        </w:tc>
        <w:tc>
          <w:tcPr>
            <w:tcW w:w="8193" w:type="dxa"/>
            <w:vAlign w:val="center"/>
          </w:tcPr>
          <w:p w14:paraId="01B3370B">
            <w:pPr>
              <w:pStyle w:val="15"/>
              <w:jc w:val="left"/>
              <w:rPr>
                <w:rFonts w:ascii="仿宋" w:hAnsi="仿宋"/>
              </w:rPr>
            </w:pPr>
            <w:r>
              <w:rPr>
                <w:rFonts w:ascii="仿宋" w:hAnsi="仿宋"/>
              </w:rPr>
              <w:t>1</w:t>
            </w:r>
            <w:r>
              <w:rPr>
                <w:rFonts w:hint="eastAsia" w:ascii="仿宋" w:hAnsi="仿宋"/>
              </w:rPr>
              <w:t>、“信用中国”（www.creditchina.gov.cn）和“中国政府采购”（ccgp.gov.cn）为供应商信用信息查询渠道。</w:t>
            </w:r>
          </w:p>
          <w:p w14:paraId="19B5CE37">
            <w:pPr>
              <w:pStyle w:val="15"/>
              <w:jc w:val="left"/>
              <w:rPr>
                <w:rFonts w:ascii="仿宋" w:hAnsi="仿宋"/>
              </w:rPr>
            </w:pPr>
            <w:r>
              <w:rPr>
                <w:rFonts w:hint="eastAsia" w:ascii="仿宋" w:hAnsi="仿宋"/>
              </w:rPr>
              <w:t>2、供应商自行查询上述记录；</w:t>
            </w:r>
          </w:p>
          <w:p w14:paraId="6DCA5198">
            <w:pPr>
              <w:pStyle w:val="15"/>
              <w:spacing w:line="336" w:lineRule="auto"/>
              <w:jc w:val="left"/>
              <w:rPr>
                <w:rFonts w:ascii="仿宋" w:hAnsi="仿宋"/>
              </w:rPr>
            </w:pPr>
            <w:r>
              <w:rPr>
                <w:rFonts w:ascii="仿宋" w:hAnsi="仿宋"/>
              </w:rPr>
              <w:t>3</w:t>
            </w:r>
            <w:r>
              <w:rPr>
                <w:rFonts w:hint="eastAsia" w:ascii="仿宋" w:hAnsi="仿宋"/>
              </w:rPr>
              <w:t>、如果供应商在磋商截止时间前已列入失信被执行人、重大税收违法案件当事人名单、政府采购严重违法失信行为记录名单，其响应无效。</w:t>
            </w:r>
          </w:p>
        </w:tc>
      </w:tr>
      <w:tr w14:paraId="7D597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2A6B40FD">
            <w:pPr>
              <w:spacing w:line="360" w:lineRule="auto"/>
              <w:jc w:val="center"/>
              <w:rPr>
                <w:rFonts w:asciiTheme="minorEastAsia" w:hAnsiTheme="minorEastAsia" w:cstheme="minorEastAsia"/>
                <w:szCs w:val="21"/>
              </w:rPr>
            </w:pPr>
            <w:r>
              <w:rPr>
                <w:rFonts w:hint="eastAsia" w:ascii="宋体"/>
                <w:szCs w:val="21"/>
              </w:rPr>
              <w:t>17</w:t>
            </w:r>
          </w:p>
        </w:tc>
        <w:tc>
          <w:tcPr>
            <w:tcW w:w="966" w:type="dxa"/>
            <w:vAlign w:val="center"/>
          </w:tcPr>
          <w:p w14:paraId="704D8D03">
            <w:pPr>
              <w:spacing w:line="360" w:lineRule="auto"/>
              <w:jc w:val="center"/>
              <w:rPr>
                <w:rFonts w:ascii="仿宋" w:hAnsi="仿宋"/>
              </w:rPr>
            </w:pPr>
            <w:r>
              <w:rPr>
                <w:rFonts w:hint="eastAsia" w:ascii="宋体" w:hAnsi="宋体" w:cs="宋体"/>
                <w:color w:val="000000"/>
                <w:szCs w:val="21"/>
              </w:rPr>
              <w:t>弃标须知</w:t>
            </w:r>
          </w:p>
        </w:tc>
        <w:tc>
          <w:tcPr>
            <w:tcW w:w="8193" w:type="dxa"/>
            <w:vAlign w:val="center"/>
          </w:tcPr>
          <w:p w14:paraId="241BB8E3">
            <w:pPr>
              <w:spacing w:line="360" w:lineRule="auto"/>
              <w:ind w:firstLine="420" w:firstLineChars="200"/>
              <w:jc w:val="left"/>
              <w:rPr>
                <w:rFonts w:ascii="仿宋" w:hAnsi="仿宋"/>
              </w:rPr>
            </w:pPr>
            <w:r>
              <w:rPr>
                <w:rFonts w:hint="eastAsia" w:ascii="宋体" w:hAnsi="宋体" w:cs="宋体"/>
                <w:szCs w:val="21"/>
              </w:rPr>
              <w:t>根据市财函｛2021｝431号文第16条规定：供应商登记免费领取磋商响应文件的，如不参与项目磋商，应在递交磋商（或相应）文件截止时间前一日以书面形式告知招标代理机构。否则，招标代理机构可以向财政部门反应情况并提供佐证。供应商一年内累计出现三次该情形，将被监管部门记录为失信行为。</w:t>
            </w:r>
          </w:p>
        </w:tc>
      </w:tr>
      <w:tr w14:paraId="3DD27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14:paraId="3D886F5E">
            <w:pPr>
              <w:spacing w:line="360" w:lineRule="auto"/>
              <w:jc w:val="center"/>
              <w:rPr>
                <w:rFonts w:hint="default" w:ascii="宋体" w:eastAsiaTheme="minorEastAsia"/>
                <w:szCs w:val="21"/>
                <w:lang w:val="en-US" w:eastAsia="zh-CN"/>
              </w:rPr>
            </w:pPr>
            <w:r>
              <w:rPr>
                <w:rFonts w:hint="eastAsia" w:ascii="宋体"/>
                <w:szCs w:val="21"/>
                <w:lang w:val="en-US" w:eastAsia="zh-CN"/>
              </w:rPr>
              <w:t>18</w:t>
            </w:r>
          </w:p>
        </w:tc>
        <w:tc>
          <w:tcPr>
            <w:tcW w:w="966" w:type="dxa"/>
            <w:vAlign w:val="center"/>
          </w:tcPr>
          <w:p w14:paraId="60C6EDF8">
            <w:pPr>
              <w:spacing w:line="360" w:lineRule="auto"/>
              <w:jc w:val="both"/>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本项所属行业</w:t>
            </w:r>
          </w:p>
        </w:tc>
        <w:tc>
          <w:tcPr>
            <w:tcW w:w="8193" w:type="dxa"/>
            <w:vAlign w:val="center"/>
          </w:tcPr>
          <w:p w14:paraId="299233AA">
            <w:pPr>
              <w:rPr>
                <w:rFonts w:ascii="宋体" w:hAnsi="宋体" w:cs="宋体"/>
                <w:szCs w:val="21"/>
              </w:rPr>
            </w:pPr>
            <w:r>
              <w:rPr>
                <w:rFonts w:hint="eastAsia" w:ascii="宋体" w:hAnsi="宋体" w:cs="宋体"/>
                <w:szCs w:val="21"/>
              </w:rPr>
              <w:t>租赁和商务服务业</w:t>
            </w:r>
          </w:p>
        </w:tc>
      </w:tr>
    </w:tbl>
    <w:p w14:paraId="6C9102E9">
      <w:r>
        <w:rPr>
          <w:rFonts w:hint="eastAsia"/>
        </w:rPr>
        <w:br w:type="page"/>
      </w:r>
    </w:p>
    <w:bookmarkEnd w:id="9"/>
    <w:bookmarkEnd w:id="10"/>
    <w:p w14:paraId="141721A6">
      <w:pPr>
        <w:pStyle w:val="4"/>
        <w:keepLines w:val="0"/>
        <w:ind w:firstLine="643" w:firstLineChars="200"/>
        <w:rPr>
          <w:rFonts w:ascii="宋体" w:hAnsi="宋体" w:cs="宋体"/>
        </w:rPr>
      </w:pPr>
      <w:bookmarkStart w:id="12" w:name="_Toc27173"/>
      <w:bookmarkStart w:id="13" w:name="_Toc26164"/>
      <w:bookmarkStart w:id="14" w:name="_Toc25094"/>
      <w:bookmarkStart w:id="15" w:name="_Toc6920"/>
      <w:bookmarkStart w:id="16" w:name="_Toc3298"/>
      <w:bookmarkStart w:id="17" w:name="_Toc12904"/>
      <w:r>
        <w:rPr>
          <w:rFonts w:hint="eastAsia" w:ascii="宋体" w:hAnsi="宋体" w:cs="宋体"/>
        </w:rPr>
        <w:t>第三部分 供应商须知</w:t>
      </w:r>
      <w:bookmarkEnd w:id="12"/>
      <w:bookmarkEnd w:id="13"/>
      <w:bookmarkEnd w:id="14"/>
      <w:bookmarkEnd w:id="15"/>
    </w:p>
    <w:p w14:paraId="19E964C9">
      <w:pPr>
        <w:widowControl/>
        <w:numPr>
          <w:ilvl w:val="0"/>
          <w:numId w:val="2"/>
        </w:numPr>
        <w:spacing w:line="360" w:lineRule="auto"/>
        <w:ind w:left="2507" w:firstLine="643"/>
        <w:jc w:val="left"/>
        <w:outlineLvl w:val="1"/>
        <w:rPr>
          <w:rFonts w:ascii="宋体" w:hAnsi="宋体" w:cs="宋体"/>
          <w:b/>
          <w:bCs/>
          <w:kern w:val="0"/>
          <w:sz w:val="32"/>
          <w:szCs w:val="28"/>
        </w:rPr>
      </w:pPr>
      <w:bookmarkStart w:id="18" w:name="_Toc10909"/>
      <w:bookmarkStart w:id="19" w:name="_Toc12064"/>
      <w:bookmarkStart w:id="20" w:name="_Toc12403"/>
      <w:bookmarkStart w:id="21" w:name="_Toc26739"/>
      <w:bookmarkStart w:id="22" w:name="_Toc28007"/>
      <w:r>
        <w:rPr>
          <w:rFonts w:hint="eastAsia" w:ascii="宋体" w:hAnsi="宋体" w:cs="宋体"/>
          <w:b/>
          <w:bCs/>
          <w:kern w:val="0"/>
          <w:sz w:val="32"/>
          <w:szCs w:val="28"/>
        </w:rPr>
        <w:t>总则</w:t>
      </w:r>
      <w:bookmarkEnd w:id="18"/>
      <w:bookmarkEnd w:id="19"/>
      <w:bookmarkEnd w:id="20"/>
      <w:bookmarkEnd w:id="21"/>
      <w:bookmarkEnd w:id="22"/>
    </w:p>
    <w:p w14:paraId="375FD1FB">
      <w:pPr>
        <w:pStyle w:val="7"/>
        <w:ind w:firstLine="562"/>
        <w:rPr>
          <w:rFonts w:ascii="宋体" w:hAnsi="宋体" w:cs="宋体"/>
        </w:rPr>
      </w:pPr>
      <w:bookmarkStart w:id="23" w:name="_Toc358364319"/>
      <w:bookmarkStart w:id="24" w:name="_Toc9257"/>
      <w:bookmarkStart w:id="25" w:name="_Toc380336725"/>
      <w:bookmarkStart w:id="26" w:name="_Toc6742"/>
      <w:r>
        <w:rPr>
          <w:rFonts w:ascii="宋体" w:hAnsi="宋体" w:cs="宋体"/>
        </w:rPr>
        <w:t>1、</w:t>
      </w:r>
      <w:r>
        <w:rPr>
          <w:rFonts w:hint="eastAsia" w:ascii="宋体" w:hAnsi="宋体" w:cs="宋体"/>
        </w:rPr>
        <w:t>适用范围</w:t>
      </w:r>
      <w:bookmarkEnd w:id="23"/>
      <w:bookmarkEnd w:id="24"/>
      <w:bookmarkEnd w:id="25"/>
      <w:bookmarkEnd w:id="26"/>
    </w:p>
    <w:p w14:paraId="58C06633">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本磋商文件适用于本次采购活动的全过程。</w:t>
      </w:r>
    </w:p>
    <w:p w14:paraId="7C9097E2">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本次采购属政府采购，采购人、采购代理机构、供应商、磋商小组的相关行为均受《中华人民共和国政府采购法》及实施条例、财政部规章及政府采购项目所在地有关法规</w:t>
      </w:r>
      <w:r>
        <w:rPr>
          <w:rFonts w:hint="eastAsia" w:ascii="宋体" w:hAnsi="宋体" w:cs="宋体"/>
          <w:color w:val="000000" w:themeColor="text1"/>
          <w:kern w:val="0"/>
          <w:sz w:val="24"/>
          <w:szCs w:val="24"/>
          <w14:textFill>
            <w14:solidFill>
              <w14:schemeClr w14:val="tx1"/>
            </w14:solidFill>
          </w14:textFill>
        </w:rPr>
        <w:t>、规章</w:t>
      </w:r>
      <w:r>
        <w:rPr>
          <w:rFonts w:hint="eastAsia" w:ascii="宋体" w:hAnsi="宋体" w:cs="宋体"/>
          <w:kern w:val="0"/>
          <w:sz w:val="24"/>
          <w:szCs w:val="24"/>
        </w:rPr>
        <w:t>的约束，其权利受到上述法律法规的保护。</w:t>
      </w:r>
    </w:p>
    <w:p w14:paraId="4D2974D4">
      <w:pPr>
        <w:pStyle w:val="7"/>
        <w:ind w:firstLine="562"/>
        <w:rPr>
          <w:rFonts w:ascii="宋体" w:hAnsi="宋体" w:cs="宋体"/>
        </w:rPr>
      </w:pPr>
      <w:bookmarkStart w:id="27" w:name="_Toc7922"/>
      <w:bookmarkStart w:id="28" w:name="_Toc380336726"/>
      <w:bookmarkStart w:id="29" w:name="_Toc11287"/>
      <w:bookmarkStart w:id="30" w:name="_Toc358364320"/>
      <w:r>
        <w:rPr>
          <w:rFonts w:ascii="宋体" w:hAnsi="宋体" w:cs="宋体"/>
        </w:rPr>
        <w:t>2、</w:t>
      </w:r>
      <w:r>
        <w:rPr>
          <w:rFonts w:hint="eastAsia" w:ascii="宋体" w:hAnsi="宋体" w:cs="宋体"/>
        </w:rPr>
        <w:t>定义</w:t>
      </w:r>
      <w:bookmarkEnd w:id="27"/>
      <w:bookmarkEnd w:id="28"/>
      <w:bookmarkEnd w:id="29"/>
      <w:bookmarkEnd w:id="30"/>
    </w:p>
    <w:p w14:paraId="3161F74E">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2.1 “采购人”是指依法进行政府采购的国家机关、事业单位、团体组织。本次政府采购的采购人名称、地址、电话见供应商须知前附表。</w:t>
      </w:r>
    </w:p>
    <w:p w14:paraId="7BA6CE43">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2.2 “采购代理机构”是指接受采购人委托，代理采购项目的集中采购机构和其他采购代理机构。本次采购代理机构名称、地址、电话见供应商须知前附表。</w:t>
      </w:r>
    </w:p>
    <w:p w14:paraId="6ED9675B">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2.3 “供应商”是</w:t>
      </w:r>
      <w:r>
        <w:rPr>
          <w:rFonts w:hint="eastAsia" w:ascii="宋体" w:hAnsi="宋体" w:cs="宋体"/>
          <w:sz w:val="24"/>
          <w:szCs w:val="24"/>
        </w:rPr>
        <w:t>参与本项目磋商活动的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14:paraId="4CD8C7F7">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2.4 “货物” 是指各种形态和种类的物品，包括原材料、燃料</w:t>
      </w:r>
      <w:r>
        <w:rPr>
          <w:rFonts w:hint="eastAsia" w:ascii="宋体" w:hAnsi="宋体" w:cs="宋体"/>
          <w:color w:val="000000" w:themeColor="text1"/>
          <w:kern w:val="0"/>
          <w:sz w:val="24"/>
          <w:szCs w:val="24"/>
          <w14:textFill>
            <w14:solidFill>
              <w14:schemeClr w14:val="tx1"/>
            </w14:solidFill>
          </w14:textFill>
        </w:rPr>
        <w:t>、产品、等</w:t>
      </w:r>
      <w:r>
        <w:rPr>
          <w:rFonts w:hint="eastAsia" w:ascii="宋体" w:hAnsi="宋体" w:cs="宋体"/>
          <w:kern w:val="0"/>
          <w:sz w:val="24"/>
          <w:szCs w:val="24"/>
        </w:rPr>
        <w:t>。按照财政部《政府采购进口产品管理办法》（财库[2007]119号）的有关规定，本磋商文件涉及的所有采购内容除特别标注为“可接受进口产品”外，均必须采购国产产品。进口产品特指“通过中国海关报关验放进入中国境内且产自关境外的产品”。</w:t>
      </w:r>
    </w:p>
    <w:p w14:paraId="02871AEA">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2.5 “服务”指除了货物和工程外的其他政府采购对象。包含除货物以外规定由供应商承担的与货物有关的辅助服务。</w:t>
      </w:r>
    </w:p>
    <w:p w14:paraId="0EFD259E">
      <w:pPr>
        <w:pStyle w:val="7"/>
        <w:spacing w:line="500" w:lineRule="exact"/>
        <w:ind w:firstLine="562"/>
        <w:rPr>
          <w:rFonts w:ascii="宋体" w:hAnsi="宋体" w:cs="宋体"/>
          <w:szCs w:val="28"/>
        </w:rPr>
      </w:pPr>
      <w:bookmarkStart w:id="31" w:name="_Toc23781"/>
      <w:bookmarkStart w:id="32" w:name="_Toc380336727"/>
      <w:bookmarkStart w:id="33" w:name="_Toc358364321"/>
      <w:bookmarkStart w:id="34" w:name="_Toc17676"/>
      <w:r>
        <w:rPr>
          <w:rFonts w:ascii="宋体" w:hAnsi="宋体" w:cs="宋体"/>
          <w:szCs w:val="28"/>
        </w:rPr>
        <w:t>3、</w:t>
      </w:r>
      <w:r>
        <w:rPr>
          <w:rFonts w:hint="eastAsia" w:ascii="宋体" w:hAnsi="宋体" w:cs="宋体"/>
          <w:szCs w:val="28"/>
        </w:rPr>
        <w:t>合格的</w:t>
      </w:r>
      <w:bookmarkEnd w:id="31"/>
      <w:bookmarkEnd w:id="32"/>
      <w:bookmarkEnd w:id="33"/>
      <w:bookmarkEnd w:id="34"/>
      <w:r>
        <w:rPr>
          <w:rFonts w:hint="eastAsia" w:ascii="宋体" w:hAnsi="宋体" w:cs="宋体"/>
          <w:szCs w:val="28"/>
        </w:rPr>
        <w:t>供应商</w:t>
      </w:r>
    </w:p>
    <w:p w14:paraId="22097B0C">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3.1具有本项目生产、制造、加工、供应或实施能力，符合、承认并承诺履行本磋商文件各项规定的国内供应商。</w:t>
      </w:r>
    </w:p>
    <w:p w14:paraId="47F997C9">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3.2供应商应遵守有关的国家法律、法规和条例，具备《中华人民共和国政府采购法》和本文件中规定的条件：</w:t>
      </w:r>
    </w:p>
    <w:p w14:paraId="5C88CD48">
      <w:pPr>
        <w:numPr>
          <w:ilvl w:val="0"/>
          <w:numId w:val="3"/>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具有独立承担民事责任的能力；</w:t>
      </w:r>
    </w:p>
    <w:p w14:paraId="3DD8FE45">
      <w:pPr>
        <w:numPr>
          <w:ilvl w:val="0"/>
          <w:numId w:val="3"/>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14:paraId="553B23CB">
      <w:pPr>
        <w:numPr>
          <w:ilvl w:val="0"/>
          <w:numId w:val="3"/>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具有履行合同所必需的产品和专业技术能力；</w:t>
      </w:r>
    </w:p>
    <w:p w14:paraId="2AB32A29">
      <w:pPr>
        <w:numPr>
          <w:ilvl w:val="0"/>
          <w:numId w:val="3"/>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14:paraId="5367CA3C">
      <w:pPr>
        <w:numPr>
          <w:ilvl w:val="0"/>
          <w:numId w:val="3"/>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14:paraId="2D9CDFAB">
      <w:pPr>
        <w:numPr>
          <w:ilvl w:val="0"/>
          <w:numId w:val="3"/>
        </w:numPr>
        <w:spacing w:line="500" w:lineRule="exact"/>
        <w:ind w:left="6" w:firstLine="480" w:firstLineChars="200"/>
        <w:jc w:val="left"/>
        <w:rPr>
          <w:rFonts w:ascii="宋体" w:hAnsi="宋体" w:cs="宋体"/>
          <w:sz w:val="24"/>
          <w:szCs w:val="24"/>
        </w:rPr>
      </w:pPr>
      <w:r>
        <w:rPr>
          <w:rFonts w:hint="eastAsia" w:ascii="宋体" w:hAnsi="宋体" w:cs="宋体"/>
          <w:sz w:val="24"/>
          <w:szCs w:val="24"/>
        </w:rPr>
        <w:t>法律、行政法规规定的其他条件。</w:t>
      </w:r>
    </w:p>
    <w:p w14:paraId="1A267B28">
      <w:pPr>
        <w:tabs>
          <w:tab w:val="left" w:pos="0"/>
        </w:tabs>
        <w:spacing w:line="500" w:lineRule="exact"/>
        <w:ind w:left="6" w:firstLine="499" w:firstLineChars="208"/>
        <w:rPr>
          <w:rFonts w:ascii="宋体" w:hAnsi="宋体" w:cs="宋体"/>
          <w:sz w:val="24"/>
          <w:szCs w:val="24"/>
        </w:rPr>
      </w:pPr>
      <w:r>
        <w:rPr>
          <w:rFonts w:hint="eastAsia" w:ascii="宋体" w:hAnsi="宋体" w:cs="宋体"/>
          <w:sz w:val="24"/>
          <w:szCs w:val="24"/>
        </w:rPr>
        <w:t>3.3供应商购买磋商文件时应登记备案，并提供有效联系方式。</w:t>
      </w:r>
    </w:p>
    <w:p w14:paraId="03AF869C">
      <w:pPr>
        <w:tabs>
          <w:tab w:val="left" w:pos="0"/>
        </w:tabs>
        <w:spacing w:line="500" w:lineRule="exact"/>
        <w:ind w:left="5" w:firstLine="518" w:firstLineChars="216"/>
        <w:rPr>
          <w:rFonts w:ascii="宋体" w:hAnsi="宋体" w:cs="宋体"/>
          <w:sz w:val="24"/>
          <w:szCs w:val="24"/>
        </w:rPr>
      </w:pPr>
      <w:r>
        <w:rPr>
          <w:rFonts w:hint="eastAsia" w:ascii="宋体" w:hAnsi="宋体" w:cs="宋体"/>
          <w:sz w:val="24"/>
          <w:szCs w:val="24"/>
        </w:rPr>
        <w:t>3.4如供应商代表不是法定代表人，须持有《法定代表人授权委托书》 (按磋商文件提供的格式填写)。</w:t>
      </w:r>
    </w:p>
    <w:p w14:paraId="44C1E555">
      <w:pPr>
        <w:tabs>
          <w:tab w:val="left" w:pos="0"/>
        </w:tabs>
        <w:spacing w:line="500" w:lineRule="exact"/>
        <w:ind w:left="5" w:firstLine="518" w:firstLineChars="216"/>
        <w:rPr>
          <w:rFonts w:ascii="宋体" w:hAnsi="宋体" w:cs="宋体"/>
          <w:kern w:val="0"/>
          <w:sz w:val="24"/>
          <w:szCs w:val="24"/>
        </w:rPr>
      </w:pPr>
      <w:r>
        <w:rPr>
          <w:rFonts w:hint="eastAsia" w:ascii="宋体" w:hAnsi="宋体" w:cs="宋体"/>
          <w:sz w:val="24"/>
          <w:szCs w:val="24"/>
        </w:rPr>
        <w:t>3.5供应商应独立于采购人，不得直接或间接地与采购人为采购本次招标的货物进行设计、编制技术规格和其它文件所委托的咨询公司或其附属机构有任何关联。</w:t>
      </w:r>
    </w:p>
    <w:p w14:paraId="6C1FD668">
      <w:pPr>
        <w:tabs>
          <w:tab w:val="left" w:pos="0"/>
        </w:tabs>
        <w:spacing w:line="500" w:lineRule="exact"/>
        <w:ind w:left="5" w:firstLine="518" w:firstLineChars="216"/>
        <w:rPr>
          <w:rFonts w:ascii="宋体" w:hAnsi="宋体" w:cs="宋体"/>
          <w:kern w:val="0"/>
          <w:sz w:val="24"/>
          <w:szCs w:val="24"/>
        </w:rPr>
      </w:pPr>
      <w:r>
        <w:rPr>
          <w:rFonts w:hint="eastAsia" w:ascii="宋体" w:hAnsi="宋体" w:cs="宋体"/>
          <w:kern w:val="0"/>
          <w:sz w:val="24"/>
          <w:szCs w:val="24"/>
        </w:rPr>
        <w:t>3.6供应商不得存在下列情形之一</w:t>
      </w:r>
      <w:r>
        <w:rPr>
          <w:rFonts w:hint="eastAsia" w:ascii="宋体" w:hAnsi="宋体" w:cs="宋体"/>
          <w:sz w:val="24"/>
          <w:szCs w:val="24"/>
        </w:rPr>
        <w:t>：</w:t>
      </w:r>
    </w:p>
    <w:p w14:paraId="6FEDAB85">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（1）与采购人或采购代理机构存在隶属关系或者其他利害关系；</w:t>
      </w:r>
    </w:p>
    <w:p w14:paraId="2DC1D6BB">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（2）与其他供应商的法定代表人（或者负责人）为同一人，或者与其他供应商存在直接控股、管理关系；</w:t>
      </w:r>
    </w:p>
    <w:p w14:paraId="0E815754">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1991A67D">
      <w:pPr>
        <w:tabs>
          <w:tab w:val="left" w:pos="0"/>
        </w:tabs>
        <w:spacing w:line="500" w:lineRule="exact"/>
        <w:ind w:left="5" w:firstLine="444" w:firstLineChars="185"/>
        <w:rPr>
          <w:rFonts w:ascii="宋体" w:hAnsi="宋体" w:cs="宋体"/>
          <w:b/>
          <w:bCs/>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在投标截止日前被列入失信被执行人、重大税收违法案件当事人名单、政府采购严重违法失信行为记录名单（处罚期限届满的除外）（以信用中国网（</w:t>
      </w:r>
      <w:r>
        <w:rPr>
          <w:rFonts w:hint="eastAsia" w:ascii="宋体" w:hAnsi="宋体" w:cs="宋体"/>
          <w:b/>
          <w:bCs/>
          <w:kern w:val="0"/>
          <w:sz w:val="24"/>
          <w:szCs w:val="24"/>
        </w:rPr>
        <w:drawing>
          <wp:inline distT="0" distB="0" distL="114300" distR="114300">
            <wp:extent cx="190500" cy="142875"/>
            <wp:effectExtent l="0" t="0" r="0" b="9525"/>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28"/>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www.creditchina.gov.cn）、中国政府采购网（</w:t>
      </w:r>
      <w:r>
        <w:rPr>
          <w:rFonts w:hint="eastAsia" w:ascii="宋体" w:hAnsi="宋体" w:cs="宋体"/>
          <w:b/>
          <w:bCs/>
          <w:kern w:val="0"/>
          <w:sz w:val="24"/>
          <w:szCs w:val="24"/>
        </w:rPr>
        <w:drawing>
          <wp:inline distT="0" distB="0" distL="114300" distR="114300">
            <wp:extent cx="190500" cy="142875"/>
            <wp:effectExtent l="0" t="0" r="0" b="9525"/>
            <wp:docPr id="1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7"/>
                    <pic:cNvPicPr>
                      <a:picLocks noChangeAspect="1"/>
                    </pic:cNvPicPr>
                  </pic:nvPicPr>
                  <pic:blipFill>
                    <a:blip r:embed="rId28"/>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www.ccgp.gov.cn）查询结果为准、如相关失信记录已失效，供应商需提供相关证明资料）。</w:t>
      </w:r>
    </w:p>
    <w:p w14:paraId="36F2A4AD">
      <w:pPr>
        <w:spacing w:line="360" w:lineRule="auto"/>
        <w:rPr>
          <w:rFonts w:ascii="宋体" w:hAnsi="宋体" w:cs="宋体"/>
          <w:kern w:val="0"/>
          <w:sz w:val="24"/>
          <w:szCs w:val="24"/>
        </w:rPr>
      </w:pPr>
      <w:r>
        <w:rPr>
          <w:rFonts w:hint="eastAsia"/>
        </w:rPr>
        <w:t xml:space="preserve"> </w:t>
      </w:r>
      <w:r>
        <w:rPr>
          <w:rFonts w:hint="eastAsia" w:ascii="宋体" w:hAnsi="宋体" w:cs="宋体"/>
          <w:kern w:val="0"/>
          <w:sz w:val="24"/>
          <w:szCs w:val="24"/>
        </w:rPr>
        <w:t xml:space="preserve">  （5）为本项目提供整体设计、规范编制或者项目管理、监理、检测、咨询服务；</w:t>
      </w:r>
    </w:p>
    <w:p w14:paraId="3F790D46">
      <w:pPr>
        <w:pStyle w:val="7"/>
        <w:spacing w:line="500" w:lineRule="exact"/>
        <w:ind w:firstLine="562"/>
        <w:rPr>
          <w:rFonts w:ascii="宋体" w:hAnsi="宋体" w:cs="宋体"/>
          <w:szCs w:val="28"/>
        </w:rPr>
      </w:pPr>
      <w:bookmarkStart w:id="35" w:name="_Toc22444"/>
      <w:bookmarkStart w:id="36" w:name="_Toc380336728"/>
      <w:bookmarkStart w:id="37" w:name="_Toc540"/>
      <w:bookmarkStart w:id="38" w:name="_Toc358364322"/>
      <w:r>
        <w:rPr>
          <w:rFonts w:ascii="宋体" w:hAnsi="宋体" w:cs="宋体"/>
          <w:szCs w:val="28"/>
        </w:rPr>
        <w:t>4、</w:t>
      </w:r>
      <w:r>
        <w:rPr>
          <w:rFonts w:hint="eastAsia" w:ascii="宋体" w:hAnsi="宋体" w:cs="宋体"/>
          <w:szCs w:val="28"/>
        </w:rPr>
        <w:t>费用</w:t>
      </w:r>
      <w:bookmarkEnd w:id="35"/>
      <w:bookmarkEnd w:id="36"/>
      <w:bookmarkEnd w:id="37"/>
      <w:bookmarkEnd w:id="38"/>
    </w:p>
    <w:p w14:paraId="7F508628">
      <w:pPr>
        <w:widowControl/>
        <w:wordWrap w:val="0"/>
        <w:snapToGrid w:val="0"/>
        <w:spacing w:before="156" w:beforeLines="50" w:line="360" w:lineRule="auto"/>
        <w:ind w:right="-90" w:rightChars="-43" w:firstLine="480" w:firstLineChars="200"/>
        <w:jc w:val="left"/>
        <w:rPr>
          <w:rFonts w:ascii="宋体" w:hAnsi="宋体" w:cs="宋体"/>
          <w:kern w:val="0"/>
          <w:sz w:val="24"/>
          <w:szCs w:val="24"/>
        </w:rPr>
      </w:pPr>
      <w:r>
        <w:rPr>
          <w:rFonts w:hint="eastAsia" w:ascii="宋体" w:hAnsi="宋体" w:cs="宋体"/>
          <w:kern w:val="0"/>
          <w:sz w:val="24"/>
          <w:szCs w:val="24"/>
        </w:rPr>
        <w:t>供应商应承担所有与准备和参加磋商有关的费用，采购代理机构（或采购人)在任何情况下均无义务和责任承担这些费用。</w:t>
      </w:r>
    </w:p>
    <w:p w14:paraId="7133C7D6">
      <w:pPr>
        <w:pStyle w:val="7"/>
        <w:spacing w:line="500" w:lineRule="exact"/>
        <w:ind w:firstLine="562"/>
        <w:rPr>
          <w:rFonts w:ascii="宋体" w:hAnsi="宋体" w:cs="宋体"/>
          <w:szCs w:val="28"/>
        </w:rPr>
      </w:pPr>
      <w:r>
        <w:rPr>
          <w:rFonts w:ascii="宋体" w:hAnsi="宋体" w:cs="宋体"/>
          <w:szCs w:val="28"/>
        </w:rPr>
        <w:t>5、</w:t>
      </w:r>
      <w:r>
        <w:rPr>
          <w:rFonts w:hint="eastAsia" w:ascii="宋体" w:hAnsi="宋体" w:cs="宋体"/>
          <w:szCs w:val="28"/>
        </w:rPr>
        <w:t>采购进口产品</w:t>
      </w:r>
    </w:p>
    <w:p w14:paraId="19CA7351">
      <w:pPr>
        <w:widowControl/>
        <w:wordWrap w:val="0"/>
        <w:snapToGrid w:val="0"/>
        <w:spacing w:before="156" w:beforeLines="50" w:line="360" w:lineRule="auto"/>
        <w:ind w:right="-90" w:rightChars="-43" w:firstLine="480" w:firstLineChars="200"/>
        <w:jc w:val="left"/>
        <w:rPr>
          <w:rFonts w:ascii="宋体" w:hAnsi="宋体" w:cs="宋体"/>
          <w:sz w:val="24"/>
          <w:szCs w:val="24"/>
        </w:rPr>
      </w:pPr>
      <w:r>
        <w:rPr>
          <w:rFonts w:hint="eastAsia" w:ascii="宋体" w:hAnsi="宋体" w:cs="宋体"/>
          <w:sz w:val="24"/>
          <w:szCs w:val="24"/>
        </w:rPr>
        <w:t>5.1 除公告或第五部分采购要求标明允许采购进口产品外，本项目拒绝进口产品参加采购活动。</w:t>
      </w:r>
    </w:p>
    <w:p w14:paraId="16D2EF7A">
      <w:pPr>
        <w:widowControl/>
        <w:wordWrap w:val="0"/>
        <w:snapToGrid w:val="0"/>
        <w:spacing w:line="360" w:lineRule="auto"/>
        <w:ind w:right="-92" w:rightChars="-44" w:firstLine="480" w:firstLineChars="200"/>
        <w:jc w:val="left"/>
        <w:rPr>
          <w:rFonts w:ascii="宋体" w:hAnsi="宋体" w:cs="宋体"/>
          <w:sz w:val="24"/>
          <w:szCs w:val="24"/>
        </w:rPr>
      </w:pPr>
      <w:r>
        <w:rPr>
          <w:rFonts w:hint="eastAsia" w:ascii="宋体" w:hAnsi="宋体" w:cs="宋体"/>
          <w:sz w:val="24"/>
          <w:szCs w:val="24"/>
        </w:rPr>
        <w:t>5.2 本项目第五部分采购要求中同意购买进口产品的，采购活动不限制满足磋商文件要求的国产产品参与本次采购。</w:t>
      </w:r>
    </w:p>
    <w:p w14:paraId="448C1006">
      <w:pPr>
        <w:pStyle w:val="7"/>
        <w:spacing w:after="312" w:afterLines="100" w:line="500" w:lineRule="exact"/>
        <w:ind w:left="630"/>
        <w:rPr>
          <w:rFonts w:ascii="宋体" w:hAnsi="宋体" w:cs="宋体"/>
          <w:szCs w:val="28"/>
        </w:rPr>
      </w:pPr>
      <w:r>
        <w:rPr>
          <w:rFonts w:hint="eastAsia" w:ascii="宋体" w:hAnsi="宋体" w:cs="宋体"/>
          <w:szCs w:val="28"/>
        </w:rPr>
        <w:t>6、政府采购政策支持</w:t>
      </w:r>
    </w:p>
    <w:p w14:paraId="79C18661">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6.1 对列入财政部、国家发改委发布的《节能产品政府采购清单》且属于应当“强制采购的节能产品”，按照规定实行强制采购。 </w:t>
      </w:r>
    </w:p>
    <w:p w14:paraId="5B5868D1">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6.2 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4F555477">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6.3 产品同时属于“非强制采购节能产品”、环境标志产品的，评审时只有其中一项能享受优先待遇（供应商自行选择，并在报价文件中填写相关信息及数据）。</w:t>
      </w:r>
    </w:p>
    <w:p w14:paraId="0541DB93">
      <w:pPr>
        <w:widowControl/>
        <w:wordWrap w:val="0"/>
        <w:snapToGrid w:val="0"/>
        <w:spacing w:line="360" w:lineRule="auto"/>
        <w:ind w:right="-92" w:rightChars="-44" w:firstLine="480" w:firstLineChars="200"/>
        <w:jc w:val="left"/>
        <w:rPr>
          <w:rFonts w:ascii="宋体" w:hAnsi="宋体" w:cs="宋体"/>
          <w:kern w:val="0"/>
          <w:sz w:val="24"/>
          <w:szCs w:val="24"/>
        </w:rPr>
      </w:pPr>
    </w:p>
    <w:p w14:paraId="0D725D11">
      <w:pPr>
        <w:rPr>
          <w:rFonts w:ascii="宋体" w:hAnsi="宋体" w:eastAsia="宋体" w:cs="宋体"/>
          <w:sz w:val="28"/>
          <w:szCs w:val="28"/>
        </w:rPr>
      </w:pPr>
      <w:r>
        <w:rPr>
          <w:rFonts w:hint="eastAsia"/>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4"/>
          <w:szCs w:val="24"/>
        </w:rPr>
        <w:t xml:space="preserve"> </w:t>
      </w:r>
    </w:p>
    <w:p w14:paraId="256B717E">
      <w:pPr>
        <w:widowControl/>
        <w:wordWrap w:val="0"/>
        <w:snapToGrid w:val="0"/>
        <w:spacing w:line="360" w:lineRule="auto"/>
        <w:ind w:right="-92" w:rightChars="-44" w:firstLine="480" w:firstLineChars="200"/>
        <w:jc w:val="left"/>
        <w:rPr>
          <w:rFonts w:ascii="宋体" w:hAnsi="宋体" w:cs="宋体"/>
          <w:kern w:val="0"/>
          <w:sz w:val="24"/>
          <w:szCs w:val="24"/>
        </w:rPr>
      </w:pPr>
    </w:p>
    <w:p w14:paraId="0C51575A">
      <w:pPr>
        <w:widowControl/>
        <w:wordWrap w:val="0"/>
        <w:snapToGrid w:val="0"/>
        <w:spacing w:line="360" w:lineRule="auto"/>
        <w:ind w:right="-90" w:rightChars="-43" w:firstLine="480" w:firstLineChars="200"/>
        <w:jc w:val="left"/>
        <w:rPr>
          <w:rFonts w:ascii="宋体" w:hAnsi="宋体" w:cs="宋体"/>
          <w:kern w:val="0"/>
          <w:sz w:val="24"/>
          <w:szCs w:val="24"/>
        </w:rPr>
      </w:pPr>
    </w:p>
    <w:p w14:paraId="15FE3240">
      <w:pPr>
        <w:widowControl/>
        <w:spacing w:line="360" w:lineRule="auto"/>
        <w:outlineLvl w:val="1"/>
        <w:rPr>
          <w:rFonts w:ascii="宋体" w:hAnsi="宋体" w:cs="宋体"/>
          <w:b/>
          <w:bCs/>
          <w:kern w:val="0"/>
          <w:sz w:val="32"/>
          <w:szCs w:val="28"/>
        </w:rPr>
        <w:sectPr>
          <w:pgSz w:w="11906" w:h="16838"/>
          <w:pgMar w:top="1440" w:right="1706" w:bottom="1440" w:left="1800" w:header="851" w:footer="992" w:gutter="0"/>
          <w:pgNumType w:fmt="decimal"/>
          <w:cols w:space="720" w:num="1"/>
          <w:docGrid w:type="lines" w:linePitch="312" w:charSpace="0"/>
        </w:sectPr>
      </w:pPr>
    </w:p>
    <w:p w14:paraId="7D851615">
      <w:pPr>
        <w:widowControl/>
        <w:numPr>
          <w:ilvl w:val="0"/>
          <w:numId w:val="2"/>
        </w:numPr>
        <w:spacing w:line="360" w:lineRule="auto"/>
        <w:ind w:left="2507" w:firstLine="643"/>
        <w:jc w:val="left"/>
        <w:outlineLvl w:val="1"/>
        <w:rPr>
          <w:rFonts w:ascii="宋体" w:hAnsi="宋体" w:cs="宋体"/>
          <w:b/>
          <w:bCs/>
          <w:kern w:val="0"/>
          <w:sz w:val="32"/>
          <w:szCs w:val="28"/>
        </w:rPr>
      </w:pPr>
      <w:bookmarkStart w:id="39" w:name="_Toc1811"/>
      <w:bookmarkStart w:id="40" w:name="_Toc32266"/>
      <w:bookmarkStart w:id="41" w:name="_Toc24962"/>
      <w:bookmarkStart w:id="42" w:name="_Toc19246"/>
      <w:r>
        <w:rPr>
          <w:rFonts w:hint="eastAsia" w:ascii="宋体" w:hAnsi="宋体" w:cs="宋体"/>
          <w:b/>
          <w:bCs/>
          <w:kern w:val="0"/>
          <w:sz w:val="32"/>
          <w:szCs w:val="28"/>
        </w:rPr>
        <w:t>竞争性磋商文件</w:t>
      </w:r>
      <w:bookmarkEnd w:id="39"/>
      <w:bookmarkEnd w:id="40"/>
      <w:bookmarkEnd w:id="41"/>
      <w:bookmarkEnd w:id="42"/>
    </w:p>
    <w:p w14:paraId="4B06A189">
      <w:pPr>
        <w:pStyle w:val="7"/>
        <w:ind w:firstLine="420"/>
        <w:rPr>
          <w:rFonts w:ascii="宋体" w:hAnsi="宋体" w:cs="宋体"/>
        </w:rPr>
      </w:pPr>
      <w:bookmarkStart w:id="43" w:name="_Toc5801"/>
      <w:bookmarkStart w:id="44" w:name="_Toc23299"/>
      <w:bookmarkStart w:id="45" w:name="_Toc25919"/>
      <w:r>
        <w:rPr>
          <w:rFonts w:ascii="宋体" w:hAnsi="宋体" w:cs="宋体"/>
        </w:rPr>
        <w:t>1、</w:t>
      </w:r>
      <w:r>
        <w:rPr>
          <w:rFonts w:hint="eastAsia" w:ascii="宋体" w:hAnsi="宋体" w:cs="宋体"/>
        </w:rPr>
        <w:t>竞争性磋商文件的构成</w:t>
      </w:r>
      <w:bookmarkEnd w:id="43"/>
    </w:p>
    <w:p w14:paraId="4273823B">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14:paraId="11CD5142">
      <w:pPr>
        <w:numPr>
          <w:ilvl w:val="0"/>
          <w:numId w:val="4"/>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竞争性磋商公告；</w:t>
      </w:r>
    </w:p>
    <w:p w14:paraId="5E94D817">
      <w:pPr>
        <w:numPr>
          <w:ilvl w:val="0"/>
          <w:numId w:val="4"/>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供应商须知前附表；</w:t>
      </w:r>
    </w:p>
    <w:p w14:paraId="4239373A">
      <w:pPr>
        <w:numPr>
          <w:ilvl w:val="0"/>
          <w:numId w:val="4"/>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w:t>
      </w:r>
    </w:p>
    <w:p w14:paraId="0935304A">
      <w:pPr>
        <w:numPr>
          <w:ilvl w:val="0"/>
          <w:numId w:val="4"/>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评审标准；</w:t>
      </w:r>
    </w:p>
    <w:p w14:paraId="014BF093">
      <w:pPr>
        <w:numPr>
          <w:ilvl w:val="0"/>
          <w:numId w:val="4"/>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采购要求；</w:t>
      </w:r>
    </w:p>
    <w:p w14:paraId="1F4C2FF2">
      <w:pPr>
        <w:numPr>
          <w:ilvl w:val="0"/>
          <w:numId w:val="4"/>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合同条款；</w:t>
      </w:r>
    </w:p>
    <w:p w14:paraId="33A2496A">
      <w:pPr>
        <w:numPr>
          <w:ilvl w:val="0"/>
          <w:numId w:val="4"/>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磋商响应文件格式。</w:t>
      </w:r>
    </w:p>
    <w:p w14:paraId="5EB28419">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14:paraId="121EE806">
      <w:pPr>
        <w:pStyle w:val="7"/>
        <w:ind w:firstLine="420"/>
        <w:rPr>
          <w:rFonts w:ascii="宋体" w:hAnsi="宋体" w:cs="宋体"/>
        </w:rPr>
      </w:pPr>
      <w:bookmarkStart w:id="46" w:name="_Toc19797"/>
      <w:r>
        <w:rPr>
          <w:rFonts w:ascii="宋体" w:hAnsi="宋体" w:cs="宋体"/>
        </w:rPr>
        <w:t>2、</w:t>
      </w:r>
      <w:r>
        <w:rPr>
          <w:rFonts w:hint="eastAsia" w:ascii="宋体" w:hAnsi="宋体" w:cs="宋体"/>
        </w:rPr>
        <w:t>竞争性磋商文件的澄清</w:t>
      </w:r>
      <w:bookmarkEnd w:id="46"/>
    </w:p>
    <w:p w14:paraId="344032C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 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14:paraId="319E90CD">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2.2任何对竞争性磋商文件进行询问或要求进行澄清的供应商，均应在收到竞争性磋商文件后二日内按竞争性磋商文件中的通讯地址以书面形式递交代理机构，采购人或代理机构对收到的任何询问或澄清要求将在三个工作日内作出书面答复。</w:t>
      </w:r>
    </w:p>
    <w:p w14:paraId="0D0F7560">
      <w:pPr>
        <w:pStyle w:val="7"/>
        <w:ind w:firstLine="420"/>
        <w:rPr>
          <w:rFonts w:ascii="宋体" w:hAnsi="宋体" w:cs="宋体"/>
        </w:rPr>
      </w:pPr>
      <w:bookmarkStart w:id="47" w:name="_Toc6390"/>
      <w:r>
        <w:rPr>
          <w:rFonts w:ascii="宋体" w:hAnsi="宋体" w:cs="宋体"/>
        </w:rPr>
        <w:t>3、</w:t>
      </w:r>
      <w:r>
        <w:rPr>
          <w:rFonts w:hint="eastAsia" w:ascii="宋体" w:hAnsi="宋体" w:cs="宋体"/>
        </w:rPr>
        <w:t>竞争性磋商文件的修改</w:t>
      </w:r>
      <w:bookmarkEnd w:id="47"/>
    </w:p>
    <w:p w14:paraId="7C54C098">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3.1 在磋商截止时间五日前，无论出于何种原因，代理机构可主动地或在解答供应商提出的澄清问题时，对竞争性磋商文件进行修改。竞争性磋商文件的澄清和修改将以书面形式通知所有供应商，并作为竞争性磋商文件的补充，与其具有同等法律效力。</w:t>
      </w:r>
    </w:p>
    <w:p w14:paraId="2BDE104B">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3.2 为方便供应商对竞争性磋商文件修改或澄清内容有充分的时间进行补充修改，代理机构可适当延长磋商截止时间和磋商时间，在竞争性磋商文件要求提交磋商响应文件的截止期三日前，将变更时间书面通知所有购买竞争性磋商文件的供应商。</w:t>
      </w:r>
    </w:p>
    <w:p w14:paraId="726332DD">
      <w:pPr>
        <w:pStyle w:val="7"/>
        <w:ind w:firstLine="420"/>
        <w:rPr>
          <w:rFonts w:ascii="宋体" w:hAnsi="宋体" w:cs="宋体"/>
        </w:rPr>
      </w:pPr>
      <w:bookmarkStart w:id="48" w:name="_Toc31188"/>
      <w:r>
        <w:rPr>
          <w:rFonts w:ascii="宋体" w:hAnsi="宋体" w:cs="宋体"/>
        </w:rPr>
        <w:t>4、</w:t>
      </w:r>
      <w:r>
        <w:rPr>
          <w:rFonts w:hint="eastAsia" w:ascii="宋体" w:hAnsi="宋体" w:cs="宋体"/>
        </w:rPr>
        <w:t>竞争性磋商文件的获取</w:t>
      </w:r>
      <w:bookmarkEnd w:id="48"/>
    </w:p>
    <w:p w14:paraId="6446DC16">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供应商必须从代理机构购买竞争性磋商文件，供应商自行转让或复制竞争性磋商文件视为无效。竞争性磋商文件一经售出，一律不退，仅作为本次竞争性磋商使用。</w:t>
      </w:r>
    </w:p>
    <w:p w14:paraId="161D6327">
      <w:pPr>
        <w:pStyle w:val="7"/>
        <w:ind w:firstLine="420"/>
        <w:rPr>
          <w:rFonts w:ascii="宋体" w:hAnsi="宋体" w:cs="宋体"/>
        </w:rPr>
      </w:pPr>
      <w:bookmarkStart w:id="49" w:name="_Toc5095"/>
      <w:r>
        <w:rPr>
          <w:rFonts w:ascii="宋体" w:hAnsi="宋体" w:cs="宋体"/>
        </w:rPr>
        <w:t>5、</w:t>
      </w:r>
      <w:r>
        <w:rPr>
          <w:rFonts w:hint="eastAsia" w:ascii="宋体" w:hAnsi="宋体" w:cs="宋体"/>
        </w:rPr>
        <w:t>竞争性磋商文件的解释权归代理机构。</w:t>
      </w:r>
      <w:bookmarkEnd w:id="49"/>
    </w:p>
    <w:p w14:paraId="3FCC4045">
      <w:pPr>
        <w:widowControl/>
        <w:numPr>
          <w:ilvl w:val="0"/>
          <w:numId w:val="2"/>
        </w:numPr>
        <w:spacing w:line="360" w:lineRule="auto"/>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pgNumType w:fmt="decimal"/>
          <w:cols w:space="720" w:num="1"/>
          <w:docGrid w:type="lines" w:linePitch="312" w:charSpace="0"/>
        </w:sectPr>
      </w:pPr>
    </w:p>
    <w:p w14:paraId="3E9C6775">
      <w:pPr>
        <w:widowControl/>
        <w:numPr>
          <w:ilvl w:val="0"/>
          <w:numId w:val="2"/>
        </w:numPr>
        <w:spacing w:line="360" w:lineRule="auto"/>
        <w:ind w:left="2507" w:firstLine="643"/>
        <w:jc w:val="left"/>
        <w:outlineLvl w:val="1"/>
        <w:rPr>
          <w:rFonts w:ascii="宋体" w:hAnsi="宋体" w:cs="宋体"/>
          <w:b/>
          <w:bCs/>
          <w:kern w:val="0"/>
          <w:sz w:val="32"/>
          <w:szCs w:val="28"/>
        </w:rPr>
      </w:pPr>
      <w:r>
        <w:rPr>
          <w:rFonts w:hint="eastAsia" w:ascii="宋体" w:hAnsi="宋体" w:cs="宋体"/>
          <w:b/>
          <w:bCs/>
          <w:kern w:val="0"/>
          <w:sz w:val="32"/>
          <w:szCs w:val="28"/>
        </w:rPr>
        <w:t xml:space="preserve"> </w:t>
      </w:r>
      <w:bookmarkStart w:id="50" w:name="_Toc6828"/>
      <w:bookmarkStart w:id="51" w:name="_Toc2741"/>
      <w:r>
        <w:rPr>
          <w:rFonts w:hint="eastAsia" w:ascii="宋体" w:hAnsi="宋体" w:cs="宋体"/>
          <w:b/>
          <w:bCs/>
          <w:kern w:val="0"/>
          <w:sz w:val="32"/>
          <w:szCs w:val="28"/>
        </w:rPr>
        <w:t>磋商响应文件</w:t>
      </w:r>
      <w:bookmarkEnd w:id="44"/>
      <w:bookmarkEnd w:id="45"/>
      <w:bookmarkEnd w:id="50"/>
      <w:bookmarkEnd w:id="51"/>
    </w:p>
    <w:p w14:paraId="0891E4B9">
      <w:pPr>
        <w:pStyle w:val="7"/>
        <w:numPr>
          <w:ilvl w:val="0"/>
          <w:numId w:val="5"/>
        </w:numPr>
        <w:rPr>
          <w:rFonts w:ascii="宋体" w:hAnsi="宋体" w:cs="宋体"/>
        </w:rPr>
      </w:pPr>
      <w:bookmarkStart w:id="52" w:name="_Toc17549"/>
      <w:r>
        <w:rPr>
          <w:rFonts w:hint="eastAsia" w:ascii="宋体" w:hAnsi="宋体" w:cs="宋体"/>
        </w:rPr>
        <w:t>磋商响应文件的编制</w:t>
      </w:r>
      <w:bookmarkEnd w:id="52"/>
    </w:p>
    <w:p w14:paraId="4FE7690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磋商响应文件必须根据代理机构发售的竞争性磋商文件格式和顺序认真编制。具体内容包括：</w:t>
      </w:r>
    </w:p>
    <w:p w14:paraId="7DD58807">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响应函；</w:t>
      </w:r>
    </w:p>
    <w:p w14:paraId="6711BB01">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磋商一览表 ；</w:t>
      </w:r>
    </w:p>
    <w:p w14:paraId="72188BFD">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分项报价表；</w:t>
      </w:r>
    </w:p>
    <w:p w14:paraId="799DB79E">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供应商资质证明资料；</w:t>
      </w:r>
    </w:p>
    <w:p w14:paraId="5A1A584D">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（5）</w:t>
      </w:r>
      <w:r>
        <w:rPr>
          <w:rFonts w:hint="eastAsia" w:ascii="宋体" w:hAnsi="宋体" w:cs="宋体"/>
          <w:sz w:val="24"/>
          <w:szCs w:val="24"/>
        </w:rPr>
        <w:t>商务和技术响应偏离表；</w:t>
      </w:r>
    </w:p>
    <w:p w14:paraId="3751215C">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（6）</w:t>
      </w:r>
      <w:r>
        <w:rPr>
          <w:rFonts w:hint="eastAsia" w:ascii="宋体" w:hAnsi="宋体" w:cs="宋体"/>
          <w:sz w:val="24"/>
          <w:szCs w:val="24"/>
        </w:rPr>
        <w:t>技术支持资料；</w:t>
      </w:r>
    </w:p>
    <w:p w14:paraId="723C5048">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（7）</w:t>
      </w:r>
      <w:r>
        <w:rPr>
          <w:rFonts w:hint="eastAsia" w:ascii="宋体" w:hAnsi="宋体" w:cs="宋体"/>
          <w:sz w:val="24"/>
          <w:szCs w:val="24"/>
        </w:rPr>
        <w:t>供应商业绩一览表；</w:t>
      </w:r>
    </w:p>
    <w:p w14:paraId="6EF08C59">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（8）</w:t>
      </w:r>
      <w:r>
        <w:rPr>
          <w:rFonts w:hint="eastAsia" w:ascii="宋体" w:hAnsi="宋体" w:cs="宋体"/>
          <w:sz w:val="24"/>
          <w:szCs w:val="24"/>
        </w:rPr>
        <w:t>供应商认为有必要说明的其他问题；</w:t>
      </w:r>
    </w:p>
    <w:p w14:paraId="5248B3BE">
      <w:pPr>
        <w:tabs>
          <w:tab w:val="left" w:pos="0"/>
        </w:tabs>
        <w:adjustRightInd w:val="0"/>
        <w:snapToGrid w:val="0"/>
        <w:spacing w:line="440" w:lineRule="exact"/>
        <w:ind w:left="210" w:firstLine="420"/>
        <w:jc w:val="left"/>
        <w:rPr>
          <w:rFonts w:ascii="宋体" w:hAnsi="宋体" w:cs="宋体"/>
          <w:sz w:val="24"/>
          <w:szCs w:val="24"/>
        </w:rPr>
      </w:pPr>
      <w:r>
        <w:rPr>
          <w:rFonts w:ascii="宋体" w:hAnsi="宋体" w:cs="宋体"/>
          <w:sz w:val="24"/>
          <w:szCs w:val="24"/>
        </w:rPr>
        <w:t>（9）</w:t>
      </w:r>
      <w:r>
        <w:rPr>
          <w:rFonts w:hint="eastAsia" w:ascii="宋体" w:hAnsi="宋体" w:cs="宋体"/>
          <w:sz w:val="24"/>
          <w:szCs w:val="24"/>
        </w:rPr>
        <w:t>供应商承诺书；</w:t>
      </w:r>
    </w:p>
    <w:p w14:paraId="7EA0C6D6">
      <w:pPr>
        <w:pStyle w:val="7"/>
        <w:numPr>
          <w:ilvl w:val="0"/>
          <w:numId w:val="5"/>
        </w:numPr>
        <w:rPr>
          <w:rFonts w:ascii="宋体" w:hAnsi="宋体" w:cs="宋体"/>
        </w:rPr>
      </w:pPr>
      <w:bookmarkStart w:id="53" w:name="_Toc29200"/>
      <w:r>
        <w:rPr>
          <w:rFonts w:hint="eastAsia" w:ascii="宋体" w:hAnsi="宋体" w:cs="宋体"/>
        </w:rPr>
        <w:t>磋商货币</w:t>
      </w:r>
      <w:bookmarkEnd w:id="53"/>
    </w:p>
    <w:p w14:paraId="071DC638">
      <w:pPr>
        <w:widowControl/>
        <w:spacing w:line="360" w:lineRule="auto"/>
        <w:ind w:firstLine="480" w:firstLineChars="200"/>
        <w:rPr>
          <w:rFonts w:ascii="宋体" w:hAnsi="宋体" w:cs="宋体"/>
          <w:sz w:val="24"/>
          <w:szCs w:val="24"/>
        </w:rPr>
      </w:pPr>
      <w:r>
        <w:rPr>
          <w:rFonts w:hint="eastAsia" w:ascii="宋体" w:hAnsi="宋体" w:cs="宋体"/>
          <w:kern w:val="0"/>
          <w:sz w:val="24"/>
        </w:rPr>
        <w:t>采购人只接受人民币作为唯一磋商货币。</w:t>
      </w:r>
    </w:p>
    <w:p w14:paraId="297FB151">
      <w:pPr>
        <w:pStyle w:val="7"/>
        <w:numPr>
          <w:ilvl w:val="0"/>
          <w:numId w:val="5"/>
        </w:numPr>
        <w:rPr>
          <w:rFonts w:ascii="宋体" w:hAnsi="宋体" w:cs="宋体"/>
        </w:rPr>
      </w:pPr>
      <w:bookmarkStart w:id="54" w:name="_Toc19668"/>
      <w:r>
        <w:rPr>
          <w:rFonts w:hint="eastAsia" w:ascii="宋体" w:hAnsi="宋体" w:cs="宋体"/>
        </w:rPr>
        <w:t>响应报价</w:t>
      </w:r>
    </w:p>
    <w:p w14:paraId="2631C2A2">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3.1供应商应在响应报价表中标明本次招标所要求的设计服务且验收合格的所有费用，包括总报价、货物报价、技术培训费（如果有）、检测费、人工费、税金及进口产品（如果有）国家按现行税收政策征收的一切税费等。在合同实施期间，响应报价表中标明本项目所需的总价，不受市场价变化的影响，不受实际数量变化的影响。任何有选择的报价将不予接受，否则按无效响应处理。</w:t>
      </w:r>
    </w:p>
    <w:p w14:paraId="28883B69">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3.2供应商成交后承担服务过程中发生的安全事故产生的所有法律及经济责任。</w:t>
      </w:r>
    </w:p>
    <w:p w14:paraId="1833DE1F">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3.3响应报价表成交的价格，在合同执行过程中，不得以任何理由变更。</w:t>
      </w:r>
    </w:p>
    <w:p w14:paraId="7D164AA5">
      <w:pPr>
        <w:tabs>
          <w:tab w:val="left" w:pos="0"/>
        </w:tabs>
        <w:adjustRightInd w:val="0"/>
        <w:snapToGrid w:val="0"/>
        <w:spacing w:line="440" w:lineRule="exact"/>
        <w:ind w:firstLine="482" w:firstLineChars="200"/>
        <w:jc w:val="left"/>
        <w:rPr>
          <w:rFonts w:ascii="宋体" w:hAnsi="宋体" w:eastAsia="宋体" w:cs="宋体"/>
          <w:color w:val="0000FF"/>
          <w:sz w:val="24"/>
          <w:szCs w:val="24"/>
        </w:rPr>
      </w:pPr>
      <w:r>
        <w:rPr>
          <w:rFonts w:hint="eastAsia" w:ascii="宋体" w:hAnsi="宋体" w:cs="宋体"/>
          <w:b/>
          <w:bCs/>
          <w:sz w:val="24"/>
          <w:szCs w:val="24"/>
        </w:rPr>
        <w:t>3.4供应商应在磋商响应文件中的磋商一览表上，标明总报价、服务期等磋商文件要求的其他内容；任何有选择的报价不予接受。</w:t>
      </w:r>
    </w:p>
    <w:p w14:paraId="6FA30F10">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3.5</w:t>
      </w:r>
      <w:r>
        <w:rPr>
          <w:rFonts w:hint="eastAsia" w:asciiTheme="minorEastAsia" w:hAnsiTheme="minorEastAsia" w:cstheme="minorEastAsia"/>
          <w:sz w:val="24"/>
          <w:szCs w:val="24"/>
        </w:rPr>
        <w:t>采用综合评分法的，</w:t>
      </w:r>
      <w:r>
        <w:rPr>
          <w:rFonts w:hint="eastAsia" w:ascii="宋体" w:hAnsi="宋体" w:cs="宋体"/>
          <w:sz w:val="24"/>
          <w:szCs w:val="24"/>
        </w:rPr>
        <w:t>最低报价不是成交的唯一依据。</w:t>
      </w:r>
    </w:p>
    <w:p w14:paraId="7476E982">
      <w:pPr>
        <w:pStyle w:val="7"/>
        <w:numPr>
          <w:ilvl w:val="0"/>
          <w:numId w:val="5"/>
        </w:numPr>
        <w:rPr>
          <w:rFonts w:ascii="宋体" w:hAnsi="宋体" w:cs="宋体"/>
        </w:rPr>
      </w:pPr>
      <w:r>
        <w:rPr>
          <w:rFonts w:hint="eastAsia" w:ascii="宋体" w:hAnsi="宋体" w:cs="宋体"/>
        </w:rPr>
        <w:t>磋商有效期</w:t>
      </w:r>
      <w:bookmarkEnd w:id="54"/>
    </w:p>
    <w:p w14:paraId="203A4A8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磋商有效期见供应商须知前附表，磋商有效期短于此规定期限的磋商响应文件，视为无效文件，其磋商响应文件将被拒绝。成交单位的磋商响应文件有效期延长至合同执行完毕。</w:t>
      </w:r>
    </w:p>
    <w:p w14:paraId="7143252E">
      <w:pPr>
        <w:pStyle w:val="7"/>
        <w:numPr>
          <w:ilvl w:val="0"/>
          <w:numId w:val="5"/>
        </w:numPr>
        <w:rPr>
          <w:rFonts w:ascii="宋体" w:hAnsi="宋体" w:cs="宋体"/>
          <w:szCs w:val="32"/>
        </w:rPr>
      </w:pPr>
      <w:bookmarkStart w:id="55" w:name="_Toc24827"/>
      <w:r>
        <w:rPr>
          <w:rFonts w:hint="eastAsia" w:ascii="宋体" w:hAnsi="宋体" w:cs="宋体"/>
        </w:rPr>
        <w:t>磋商响应文件的格式、装订、密封和签署</w:t>
      </w:r>
      <w:bookmarkEnd w:id="55"/>
    </w:p>
    <w:p w14:paraId="0EACEA5E">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5.1供应商须依据竞争性磋商文件内容和磋商响应文件格式的要求编制磋商响应文件；</w:t>
      </w:r>
    </w:p>
    <w:p w14:paraId="763840A8">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磋商响应文件的正本须打印或用不褪色蓝（黑）墨水（汁）书写，磋商响应文件的打印（</w:t>
      </w:r>
      <w:r>
        <w:rPr>
          <w:rFonts w:hint="eastAsia" w:ascii="宋体" w:hAnsi="宋体" w:cs="宋体"/>
          <w:b/>
          <w:bCs/>
          <w:sz w:val="24"/>
          <w:szCs w:val="24"/>
        </w:rPr>
        <w:t>建议双面打印</w:t>
      </w:r>
      <w:r>
        <w:rPr>
          <w:rFonts w:hint="eastAsia" w:ascii="宋体" w:hAnsi="宋体" w:cs="宋体"/>
          <w:sz w:val="24"/>
          <w:szCs w:val="24"/>
        </w:rPr>
        <w:t>）和书写应清楚工整，任何行间插字、涂改和增删，必须由供应商的法定代表人或其授权代表签字或加盖个人印章，字迹潦草或表达不清或可能导致非唯一理解的磋商响应文件可能视为无效文件；所有的副本可以为正本的复印件。</w:t>
      </w:r>
    </w:p>
    <w:p w14:paraId="0B50701B">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5.2磋商响应文件的装订</w:t>
      </w:r>
    </w:p>
    <w:p w14:paraId="542CD14D">
      <w:pPr>
        <w:tabs>
          <w:tab w:val="left" w:pos="0"/>
        </w:tabs>
        <w:spacing w:line="360" w:lineRule="auto"/>
        <w:ind w:firstLine="480" w:firstLineChars="200"/>
        <w:rPr>
          <w:rFonts w:ascii="宋体" w:hAnsi="宋体" w:cs="宋体"/>
          <w:b/>
          <w:bCs/>
          <w:sz w:val="24"/>
          <w:szCs w:val="24"/>
        </w:rPr>
      </w:pPr>
      <w:r>
        <w:rPr>
          <w:rFonts w:hint="eastAsia" w:ascii="宋体" w:hAnsi="宋体" w:cs="宋体"/>
          <w:sz w:val="24"/>
          <w:szCs w:val="24"/>
        </w:rPr>
        <w:t>磋商响应文件</w:t>
      </w:r>
      <w:r>
        <w:rPr>
          <w:rFonts w:hint="eastAsia" w:ascii="宋体" w:hAnsi="宋体" w:cs="宋体"/>
          <w:b/>
          <w:bCs/>
          <w:sz w:val="24"/>
          <w:szCs w:val="24"/>
        </w:rPr>
        <w:t>正本壹份、副本叁份</w:t>
      </w:r>
      <w:r>
        <w:rPr>
          <w:rFonts w:hint="eastAsia" w:ascii="宋体" w:hAnsi="宋体" w:cs="宋体"/>
          <w:sz w:val="24"/>
          <w:szCs w:val="24"/>
        </w:rPr>
        <w:t>，分别胶装装订成册，且封面须清楚地标明“正本”或“副本”；若正本和副本不符，以正本书面文件为准；同时提供与正本内容一致的</w:t>
      </w:r>
      <w:bookmarkStart w:id="56" w:name="OLE_LINK13"/>
      <w:r>
        <w:rPr>
          <w:rFonts w:hint="eastAsia" w:ascii="宋体" w:hAnsi="宋体" w:cs="宋体"/>
          <w:sz w:val="24"/>
          <w:szCs w:val="24"/>
        </w:rPr>
        <w:t>电子版</w:t>
      </w:r>
      <w:bookmarkEnd w:id="56"/>
      <w:r>
        <w:rPr>
          <w:rFonts w:hint="eastAsia" w:ascii="宋体" w:hAnsi="宋体" w:cs="宋体"/>
          <w:sz w:val="24"/>
          <w:szCs w:val="24"/>
        </w:rPr>
        <w:t>（</w:t>
      </w:r>
      <w:r>
        <w:rPr>
          <w:rFonts w:hint="eastAsia" w:ascii="宋体" w:hAnsi="宋体" w:cs="宋体"/>
          <w:b/>
          <w:bCs/>
          <w:sz w:val="24"/>
          <w:szCs w:val="24"/>
        </w:rPr>
        <w:t>U盘</w:t>
      </w:r>
      <w:r>
        <w:rPr>
          <w:rFonts w:hint="eastAsia" w:ascii="宋体" w:hAnsi="宋体" w:cs="宋体"/>
          <w:sz w:val="24"/>
          <w:szCs w:val="24"/>
        </w:rPr>
        <w:t>、</w:t>
      </w:r>
      <w:r>
        <w:rPr>
          <w:rFonts w:hint="eastAsia" w:ascii="宋体" w:hAnsi="宋体" w:cs="宋体"/>
          <w:b/>
          <w:bCs/>
          <w:sz w:val="24"/>
          <w:szCs w:val="24"/>
        </w:rPr>
        <w:t>电子文档应为PDF与WORD格式各一份</w:t>
      </w:r>
      <w:r>
        <w:rPr>
          <w:rFonts w:hint="eastAsia" w:ascii="宋体" w:hAnsi="宋体" w:cs="宋体"/>
          <w:sz w:val="24"/>
          <w:szCs w:val="24"/>
        </w:rPr>
        <w:t>）、磋商一览表壹份</w:t>
      </w:r>
      <w:r>
        <w:rPr>
          <w:rFonts w:hint="eastAsia" w:ascii="宋体" w:hAnsi="宋体" w:cs="宋体"/>
          <w:b/>
          <w:bCs/>
          <w:sz w:val="24"/>
          <w:szCs w:val="24"/>
        </w:rPr>
        <w:t>（</w:t>
      </w:r>
      <w:r>
        <w:rPr>
          <w:rFonts w:hint="eastAsia" w:ascii="宋体" w:hAnsi="宋体" w:cs="宋体"/>
          <w:sz w:val="24"/>
          <w:szCs w:val="24"/>
        </w:rPr>
        <w:t>单独提交的“磋商一览表”应为原件</w:t>
      </w:r>
      <w:r>
        <w:rPr>
          <w:rFonts w:hint="eastAsia" w:ascii="宋体" w:hAnsi="宋体" w:cs="宋体"/>
          <w:b/>
          <w:bCs/>
          <w:sz w:val="24"/>
          <w:szCs w:val="24"/>
        </w:rPr>
        <w:t>）。</w:t>
      </w:r>
    </w:p>
    <w:p w14:paraId="7975F917">
      <w:pPr>
        <w:spacing w:line="360" w:lineRule="auto"/>
        <w:ind w:firstLine="480" w:firstLineChars="200"/>
        <w:jc w:val="left"/>
        <w:rPr>
          <w:rFonts w:ascii="宋体" w:hAnsi="宋体" w:cs="宋体"/>
          <w:sz w:val="24"/>
          <w:szCs w:val="24"/>
        </w:rPr>
      </w:pPr>
      <w:r>
        <w:rPr>
          <w:rFonts w:hint="eastAsia" w:ascii="宋体" w:hAnsi="宋体" w:cs="宋体"/>
          <w:sz w:val="24"/>
          <w:szCs w:val="24"/>
        </w:rPr>
        <w:t>5.3磋商响应文件的签署</w:t>
      </w:r>
    </w:p>
    <w:p w14:paraId="17F80376">
      <w:pPr>
        <w:numPr>
          <w:ilvl w:val="0"/>
          <w:numId w:val="0"/>
        </w:numPr>
        <w:spacing w:line="360" w:lineRule="auto"/>
        <w:ind w:left="0" w:leftChars="0" w:firstLine="420" w:firstLineChars="0"/>
        <w:jc w:val="left"/>
        <w:rPr>
          <w:rFonts w:ascii="宋体" w:hAnsi="宋体" w:cs="宋体"/>
          <w:sz w:val="24"/>
          <w:szCs w:val="24"/>
        </w:rPr>
      </w:pPr>
      <w:r>
        <w:rPr>
          <w:rFonts w:hint="default" w:ascii="宋体" w:hAnsi="宋体" w:cs="宋体" w:eastAsiaTheme="minorEastAsia"/>
          <w:kern w:val="2"/>
          <w:sz w:val="24"/>
          <w:szCs w:val="24"/>
          <w:lang w:val="en-US" w:eastAsia="zh-CN" w:bidi="ar-SA"/>
        </w:rPr>
        <w:t>（1）</w:t>
      </w:r>
      <w:r>
        <w:rPr>
          <w:rFonts w:hint="eastAsia" w:ascii="宋体" w:hAnsi="宋体" w:cs="宋体"/>
          <w:sz w:val="24"/>
          <w:szCs w:val="24"/>
        </w:rPr>
        <w:t>供应商在磋商响应文件中指定的页面的落款处，按竞争性磋商文件要求由供应商的法定代表人或其授权代表在规定的签章处签字或盖章。</w:t>
      </w:r>
    </w:p>
    <w:p w14:paraId="7D50F6F7">
      <w:pPr>
        <w:numPr>
          <w:ilvl w:val="0"/>
          <w:numId w:val="0"/>
        </w:numPr>
        <w:spacing w:line="360" w:lineRule="auto"/>
        <w:ind w:left="0" w:leftChars="0" w:firstLine="420" w:firstLineChars="0"/>
        <w:jc w:val="left"/>
        <w:rPr>
          <w:rFonts w:ascii="宋体" w:hAnsi="宋体" w:cs="宋体"/>
          <w:sz w:val="24"/>
          <w:szCs w:val="24"/>
        </w:rPr>
      </w:pPr>
      <w:r>
        <w:rPr>
          <w:rFonts w:hint="default" w:ascii="宋体" w:hAnsi="宋体" w:cs="宋体" w:eastAsiaTheme="minorEastAsia"/>
          <w:kern w:val="2"/>
          <w:sz w:val="24"/>
          <w:szCs w:val="24"/>
          <w:lang w:val="en-US" w:eastAsia="zh-CN" w:bidi="ar-SA"/>
        </w:rPr>
        <w:t>（2）</w:t>
      </w:r>
      <w:r>
        <w:rPr>
          <w:rFonts w:hint="eastAsia" w:ascii="宋体" w:hAnsi="宋体" w:cs="宋体"/>
          <w:sz w:val="24"/>
          <w:szCs w:val="24"/>
        </w:rPr>
        <w:t>供应商应按照磋商文件要求，在每一份磋商响应文件的正本和副本封面下方以及其他磋商文件要求的位置填写供应商全称并加盖公章。</w:t>
      </w:r>
    </w:p>
    <w:p w14:paraId="4C7C6E83">
      <w:pPr>
        <w:numPr>
          <w:ilvl w:val="0"/>
          <w:numId w:val="0"/>
        </w:numPr>
        <w:spacing w:line="360" w:lineRule="auto"/>
        <w:ind w:left="0" w:leftChars="0" w:firstLine="420" w:firstLineChars="0"/>
        <w:jc w:val="left"/>
        <w:rPr>
          <w:rFonts w:ascii="宋体" w:hAnsi="宋体" w:cs="宋体"/>
          <w:sz w:val="24"/>
          <w:szCs w:val="24"/>
        </w:rPr>
      </w:pPr>
      <w:r>
        <w:rPr>
          <w:rFonts w:hint="default" w:ascii="宋体" w:hAnsi="宋体" w:cs="宋体" w:eastAsiaTheme="minorEastAsia"/>
          <w:kern w:val="2"/>
          <w:sz w:val="24"/>
          <w:szCs w:val="24"/>
          <w:lang w:val="en-US" w:eastAsia="zh-CN" w:bidi="ar-SA"/>
        </w:rPr>
        <w:t>（3）</w:t>
      </w:r>
      <w:r>
        <w:rPr>
          <w:rFonts w:hint="eastAsia" w:ascii="宋体" w:hAnsi="宋体" w:cs="宋体"/>
          <w:sz w:val="24"/>
          <w:szCs w:val="24"/>
        </w:rPr>
        <w:t>磋商响应文件应字迹清楚、内容齐全、不得涂改或增删。如有修改和增删，必须有供应商公章及法定代表人或其授权代表签字。</w:t>
      </w:r>
    </w:p>
    <w:p w14:paraId="63287071">
      <w:pPr>
        <w:numPr>
          <w:ilvl w:val="0"/>
          <w:numId w:val="0"/>
        </w:numPr>
        <w:spacing w:line="360" w:lineRule="auto"/>
        <w:ind w:left="0" w:leftChars="0" w:firstLine="420" w:firstLineChars="0"/>
        <w:jc w:val="left"/>
        <w:rPr>
          <w:rFonts w:ascii="宋体" w:hAnsi="宋体" w:cs="宋体"/>
          <w:sz w:val="24"/>
          <w:szCs w:val="24"/>
        </w:rPr>
      </w:pPr>
      <w:r>
        <w:rPr>
          <w:rFonts w:hint="default" w:ascii="宋体" w:hAnsi="宋体" w:cs="宋体" w:eastAsiaTheme="minorEastAsia"/>
          <w:kern w:val="2"/>
          <w:sz w:val="24"/>
          <w:szCs w:val="24"/>
          <w:lang w:val="en-US" w:eastAsia="zh-CN" w:bidi="ar-SA"/>
        </w:rPr>
        <w:t>（4）</w:t>
      </w:r>
      <w:r>
        <w:rPr>
          <w:rFonts w:hint="eastAsia" w:ascii="宋体" w:hAnsi="宋体" w:cs="宋体"/>
          <w:sz w:val="24"/>
          <w:szCs w:val="24"/>
        </w:rPr>
        <w:t>因磋商响应文件字迹潦草或表达不清所引起的不利后果由供应商承担。</w:t>
      </w:r>
    </w:p>
    <w:p w14:paraId="7C9217DA">
      <w:pPr>
        <w:spacing w:line="360" w:lineRule="auto"/>
        <w:ind w:firstLine="480" w:firstLineChars="200"/>
        <w:jc w:val="left"/>
        <w:rPr>
          <w:rFonts w:ascii="宋体" w:hAnsi="宋体" w:cs="宋体"/>
          <w:sz w:val="24"/>
          <w:szCs w:val="24"/>
        </w:rPr>
      </w:pPr>
      <w:r>
        <w:rPr>
          <w:rFonts w:hint="eastAsia" w:ascii="宋体" w:hAnsi="宋体" w:cs="宋体"/>
          <w:sz w:val="24"/>
          <w:szCs w:val="24"/>
        </w:rPr>
        <w:t>5.4磋商响应文件的密封</w:t>
      </w:r>
    </w:p>
    <w:p w14:paraId="6002B648">
      <w:pPr>
        <w:spacing w:line="360" w:lineRule="auto"/>
        <w:ind w:firstLine="480" w:firstLineChars="200"/>
        <w:jc w:val="left"/>
        <w:rPr>
          <w:rFonts w:ascii="宋体" w:hAnsi="宋体" w:cs="宋体"/>
          <w:kern w:val="0"/>
          <w:sz w:val="24"/>
        </w:rPr>
      </w:pPr>
      <w:r>
        <w:rPr>
          <w:rFonts w:hint="eastAsia" w:ascii="宋体" w:hAnsi="宋体" w:cs="宋体"/>
          <w:sz w:val="24"/>
          <w:szCs w:val="24"/>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 w:val="24"/>
        </w:rPr>
        <w:t>磋商响应文件袋上应加盖供应商公章（</w:t>
      </w:r>
      <w:r>
        <w:rPr>
          <w:rFonts w:hint="eastAsia" w:ascii="宋体" w:hAnsi="宋体" w:cs="宋体"/>
          <w:sz w:val="24"/>
          <w:szCs w:val="24"/>
        </w:rPr>
        <w:t>封面标识见竞争性磋商文件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rPr>
        <w:t>如果未按上述规定进行密封，供应商的磋商响应文件有权被拒绝</w:t>
      </w:r>
      <w:r>
        <w:rPr>
          <w:rFonts w:hint="eastAsia" w:ascii="宋体" w:hAnsi="宋体" w:cs="宋体"/>
          <w:sz w:val="24"/>
          <w:szCs w:val="24"/>
        </w:rPr>
        <w:t>。</w:t>
      </w:r>
    </w:p>
    <w:p w14:paraId="6D5CDD25">
      <w:pPr>
        <w:spacing w:line="360" w:lineRule="auto"/>
        <w:ind w:firstLine="480" w:firstLineChars="200"/>
        <w:jc w:val="left"/>
        <w:rPr>
          <w:rFonts w:ascii="宋体" w:hAnsi="宋体" w:cs="宋体"/>
          <w:kern w:val="0"/>
          <w:sz w:val="24"/>
        </w:rPr>
      </w:pPr>
      <w:r>
        <w:rPr>
          <w:rFonts w:hint="eastAsia" w:ascii="宋体" w:hAnsi="宋体" w:cs="宋体"/>
          <w:sz w:val="24"/>
          <w:szCs w:val="24"/>
        </w:rPr>
        <w:t>如果供应商未按上述要求密封及加写标记，误投或过早启封的磋商响应文件，将自行承担其磋商响应文件被视为无效磋商响应文件的风险。</w:t>
      </w:r>
    </w:p>
    <w:p w14:paraId="65C0456B">
      <w:pPr>
        <w:spacing w:line="360" w:lineRule="auto"/>
        <w:ind w:firstLine="480" w:firstLineChars="200"/>
        <w:rPr>
          <w:rFonts w:ascii="宋体" w:hAnsi="宋体" w:cs="宋体"/>
          <w:sz w:val="24"/>
          <w:szCs w:val="24"/>
        </w:rPr>
      </w:pPr>
      <w:r>
        <w:rPr>
          <w:rFonts w:hint="eastAsia" w:ascii="宋体" w:hAnsi="宋体" w:cs="宋体"/>
          <w:sz w:val="24"/>
          <w:szCs w:val="24"/>
        </w:rPr>
        <w:t>5.5本次磋商只接受简体中文文字的磋商响应文件；如磋商响应文件中出现外文资料，必须配以中文译文。否则，由此引发的一切责任由供应商自负。</w:t>
      </w:r>
    </w:p>
    <w:p w14:paraId="59DE1698">
      <w:pPr>
        <w:widowControl/>
        <w:spacing w:line="360" w:lineRule="auto"/>
        <w:ind w:firstLine="480" w:firstLineChars="200"/>
        <w:rPr>
          <w:rFonts w:ascii="宋体" w:hAnsi="宋体" w:cs="宋体"/>
          <w:kern w:val="0"/>
          <w:sz w:val="24"/>
        </w:rPr>
      </w:pPr>
      <w:r>
        <w:rPr>
          <w:rFonts w:hint="eastAsia" w:ascii="宋体" w:hAnsi="宋体" w:cs="宋体"/>
          <w:kern w:val="0"/>
          <w:sz w:val="24"/>
        </w:rPr>
        <w:t>5.6拒绝接受以电话、传真、电子邮件形式的磋商。</w:t>
      </w:r>
    </w:p>
    <w:p w14:paraId="40A77456">
      <w:pPr>
        <w:spacing w:line="360" w:lineRule="auto"/>
        <w:ind w:firstLine="480" w:firstLineChars="200"/>
        <w:jc w:val="left"/>
        <w:rPr>
          <w:rFonts w:ascii="宋体" w:hAnsi="宋体" w:cs="宋体"/>
          <w:sz w:val="24"/>
          <w:szCs w:val="24"/>
        </w:rPr>
      </w:pPr>
    </w:p>
    <w:p w14:paraId="514BC04E">
      <w:pPr>
        <w:widowControl/>
        <w:numPr>
          <w:ilvl w:val="0"/>
          <w:numId w:val="2"/>
        </w:numPr>
        <w:spacing w:line="360" w:lineRule="auto"/>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pgNumType w:fmt="decimal"/>
          <w:cols w:space="720" w:num="1"/>
          <w:docGrid w:type="lines" w:linePitch="312" w:charSpace="0"/>
        </w:sectPr>
      </w:pPr>
      <w:bookmarkStart w:id="57" w:name="_Toc3736"/>
    </w:p>
    <w:p w14:paraId="623FFED6">
      <w:pPr>
        <w:widowControl/>
        <w:numPr>
          <w:ilvl w:val="0"/>
          <w:numId w:val="2"/>
        </w:numPr>
        <w:spacing w:line="360" w:lineRule="auto"/>
        <w:ind w:left="2507" w:firstLine="643"/>
        <w:outlineLvl w:val="1"/>
        <w:rPr>
          <w:rFonts w:ascii="宋体" w:hAnsi="宋体" w:cs="宋体"/>
          <w:b/>
          <w:bCs/>
          <w:kern w:val="0"/>
          <w:sz w:val="32"/>
          <w:szCs w:val="28"/>
        </w:rPr>
      </w:pPr>
      <w:bookmarkStart w:id="58" w:name="_Toc7624"/>
      <w:bookmarkStart w:id="59" w:name="_Toc21747"/>
      <w:bookmarkStart w:id="60" w:name="_Toc29399"/>
      <w:bookmarkStart w:id="61" w:name="_Toc2312"/>
      <w:bookmarkStart w:id="62" w:name="_Toc3565"/>
      <w:r>
        <w:rPr>
          <w:rFonts w:hint="eastAsia" w:ascii="宋体" w:hAnsi="宋体" w:cs="宋体"/>
          <w:b/>
          <w:bCs/>
          <w:kern w:val="0"/>
          <w:sz w:val="32"/>
          <w:szCs w:val="28"/>
        </w:rPr>
        <w:t>磋商响应文件的递交</w:t>
      </w:r>
      <w:bookmarkEnd w:id="58"/>
      <w:bookmarkEnd w:id="59"/>
      <w:bookmarkEnd w:id="60"/>
      <w:bookmarkEnd w:id="61"/>
      <w:bookmarkEnd w:id="62"/>
    </w:p>
    <w:bookmarkEnd w:id="57"/>
    <w:p w14:paraId="65B33F72">
      <w:pPr>
        <w:pStyle w:val="7"/>
        <w:ind w:firstLine="562" w:firstLineChars="200"/>
        <w:rPr>
          <w:rFonts w:ascii="宋体" w:hAnsi="宋体" w:cs="宋体"/>
        </w:rPr>
      </w:pPr>
      <w:bookmarkStart w:id="63" w:name="_Toc3685"/>
      <w:r>
        <w:rPr>
          <w:rFonts w:ascii="宋体" w:hAnsi="宋体" w:cs="宋体"/>
        </w:rPr>
        <w:t>1、</w:t>
      </w:r>
      <w:r>
        <w:rPr>
          <w:rFonts w:hint="eastAsia" w:ascii="宋体" w:hAnsi="宋体" w:cs="宋体"/>
        </w:rPr>
        <w:t>磋商响应文件递交</w:t>
      </w:r>
      <w:bookmarkEnd w:id="63"/>
    </w:p>
    <w:p w14:paraId="1A1B5CCC">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1.1供应商必须在竞争性磋商文件规定的磋商响应文件递交截止时间之前，将全部磋商响应文件递交至代理机构项目工作人员；代理机构项目承办人在竞争性磋商文件规定的磋商响应文件递交截止时间前，只负责磋商响应文件的接收、清点、造册登记工作，并请供应商代表签字确认，对其有效性不负任何责任。</w:t>
      </w:r>
    </w:p>
    <w:p w14:paraId="79833600">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1.2代理机构在宣布递交磋商响应文件时间截止之后，拒绝接收任何人送达、递交的磋商响应文件；</w:t>
      </w:r>
    </w:p>
    <w:p w14:paraId="5936AE02">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1.3代理机构不接受邮寄的磋商响应文件；</w:t>
      </w:r>
    </w:p>
    <w:p w14:paraId="7142497C">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1.4无论供应商成交与否，其磋商响应文件恕不退还。</w:t>
      </w:r>
    </w:p>
    <w:p w14:paraId="163180BE">
      <w:pPr>
        <w:pStyle w:val="7"/>
        <w:ind w:firstLine="562" w:firstLineChars="200"/>
        <w:rPr>
          <w:rFonts w:ascii="宋体" w:hAnsi="宋体" w:cs="宋体"/>
        </w:rPr>
      </w:pPr>
      <w:bookmarkStart w:id="64" w:name="_Toc12741"/>
      <w:r>
        <w:rPr>
          <w:rFonts w:ascii="宋体" w:hAnsi="宋体" w:cs="宋体"/>
        </w:rPr>
        <w:t>2、</w:t>
      </w:r>
      <w:r>
        <w:rPr>
          <w:rFonts w:hint="eastAsia" w:ascii="宋体" w:hAnsi="宋体" w:cs="宋体"/>
        </w:rPr>
        <w:t>磋商响应文件的修改和撤回</w:t>
      </w:r>
      <w:bookmarkEnd w:id="64"/>
    </w:p>
    <w:p w14:paraId="2904454E">
      <w:pPr>
        <w:spacing w:line="360" w:lineRule="auto"/>
        <w:ind w:firstLine="360" w:firstLineChars="150"/>
        <w:rPr>
          <w:rFonts w:ascii="宋体" w:hAnsi="宋体"/>
          <w:sz w:val="24"/>
        </w:rPr>
      </w:pPr>
      <w:r>
        <w:rPr>
          <w:rFonts w:hint="eastAsia" w:ascii="宋体" w:hAnsi="宋体"/>
          <w:sz w:val="24"/>
        </w:rPr>
        <w:t>（1）磋商文件递交后，如果</w:t>
      </w:r>
      <w:r>
        <w:rPr>
          <w:rFonts w:hint="eastAsia" w:ascii="宋体" w:hAnsi="宋体" w:cs="宋体"/>
          <w:sz w:val="24"/>
          <w:szCs w:val="24"/>
        </w:rPr>
        <w:t>供应商</w:t>
      </w:r>
      <w:r>
        <w:rPr>
          <w:rFonts w:hint="eastAsia" w:ascii="宋体" w:hAnsi="宋体"/>
          <w:sz w:val="24"/>
        </w:rPr>
        <w:t>提出书面修改、补充和撤回磋商文件要求，在投标截止时间前以书面形式送达采购代理机构；</w:t>
      </w:r>
    </w:p>
    <w:p w14:paraId="1B4479E6">
      <w:pPr>
        <w:spacing w:line="500" w:lineRule="exact"/>
        <w:ind w:firstLine="480" w:firstLineChars="200"/>
        <w:jc w:val="left"/>
        <w:rPr>
          <w:rFonts w:ascii="宋体" w:hAnsi="宋体"/>
          <w:sz w:val="24"/>
        </w:rPr>
      </w:pPr>
      <w:r>
        <w:rPr>
          <w:rFonts w:hint="eastAsia" w:ascii="宋体" w:hAnsi="宋体"/>
          <w:sz w:val="24"/>
        </w:rPr>
        <w:t>（2）供应商修改磋商文件的书面材料，须密封送达采购代理机构，修改或补充的内容应按磋商文件要求签署、盖章、密封、标记，</w:t>
      </w:r>
      <w:r>
        <w:rPr>
          <w:rFonts w:hint="eastAsia" w:asciiTheme="minorEastAsia" w:hAnsiTheme="minorEastAsia" w:cstheme="minorEastAsia"/>
          <w:sz w:val="24"/>
          <w:szCs w:val="24"/>
        </w:rPr>
        <w:t>同时应在封套上标明“修改投标文件(并注明项目编号)”和“开标时启封”字样</w:t>
      </w:r>
      <w:r>
        <w:rPr>
          <w:rFonts w:hint="eastAsia" w:ascii="宋体" w:hAnsi="宋体"/>
          <w:sz w:val="24"/>
        </w:rPr>
        <w:t>，并作为磋商文件的组成部分；</w:t>
      </w:r>
    </w:p>
    <w:p w14:paraId="28B05C33">
      <w:pPr>
        <w:spacing w:line="360" w:lineRule="auto"/>
        <w:ind w:firstLine="360" w:firstLineChars="150"/>
        <w:rPr>
          <w:rFonts w:ascii="宋体" w:hAnsi="宋体"/>
          <w:sz w:val="24"/>
        </w:rPr>
      </w:pPr>
      <w:r>
        <w:rPr>
          <w:rFonts w:hint="eastAsia" w:ascii="宋体" w:hAnsi="宋体"/>
          <w:sz w:val="24"/>
        </w:rPr>
        <w:t>（3）撤回磋商文件应以书面的形式通知采购代理机构。采取书面形式撤回磋商文件，随后必须补充有法定代表人或被授权人签署的要求撤回磋商文件的正式文件；撤回磋商文件的时间以送达采购代理机构到达日期为准；</w:t>
      </w:r>
    </w:p>
    <w:p w14:paraId="3D7C8CD5">
      <w:pPr>
        <w:spacing w:line="360" w:lineRule="auto"/>
        <w:ind w:firstLine="360" w:firstLineChars="150"/>
        <w:rPr>
          <w:rFonts w:ascii="宋体" w:hAnsi="宋体"/>
          <w:sz w:val="24"/>
        </w:rPr>
      </w:pPr>
      <w:r>
        <w:rPr>
          <w:rFonts w:hint="eastAsia" w:ascii="宋体" w:hAnsi="宋体"/>
          <w:sz w:val="24"/>
        </w:rPr>
        <w:t>（4）在投标截止时间后到磋商文件规定的投标有效期满之间的这段时间内，供应商不得撤回其磋商文件；</w:t>
      </w:r>
    </w:p>
    <w:p w14:paraId="202C97C9">
      <w:pPr>
        <w:widowControl/>
        <w:tabs>
          <w:tab w:val="left" w:pos="0"/>
        </w:tabs>
        <w:spacing w:line="460" w:lineRule="exact"/>
        <w:ind w:firstLine="480" w:firstLineChars="200"/>
        <w:jc w:val="left"/>
        <w:rPr>
          <w:rFonts w:ascii="宋体" w:hAnsi="宋体" w:cs="宋体"/>
          <w:sz w:val="24"/>
          <w:szCs w:val="24"/>
        </w:rPr>
      </w:pPr>
      <w:r>
        <w:rPr>
          <w:rFonts w:hint="eastAsia" w:ascii="宋体" w:hAnsi="宋体"/>
          <w:sz w:val="24"/>
        </w:rPr>
        <w:t>（5）</w:t>
      </w:r>
      <w:r>
        <w:rPr>
          <w:rFonts w:hint="eastAsia" w:ascii="宋体" w:hAnsi="宋体" w:cs="宋体"/>
          <w:sz w:val="24"/>
          <w:szCs w:val="24"/>
        </w:rPr>
        <w:t>在磋商截止时间之后，供应商不得对其递交的磋商响应文件做任何修改或撤回。</w:t>
      </w:r>
    </w:p>
    <w:p w14:paraId="1AA7891F">
      <w:pPr>
        <w:pStyle w:val="2"/>
        <w:ind w:left="0" w:leftChars="0" w:firstLine="0"/>
      </w:pPr>
    </w:p>
    <w:p w14:paraId="29C82333">
      <w:pPr>
        <w:widowControl/>
        <w:numPr>
          <w:ilvl w:val="0"/>
          <w:numId w:val="2"/>
        </w:numPr>
        <w:spacing w:line="360" w:lineRule="auto"/>
        <w:ind w:left="2507" w:firstLine="643"/>
        <w:jc w:val="left"/>
        <w:outlineLvl w:val="1"/>
        <w:rPr>
          <w:rFonts w:ascii="宋体" w:hAnsi="宋体" w:cs="宋体"/>
          <w:b/>
          <w:bCs/>
          <w:kern w:val="0"/>
          <w:sz w:val="32"/>
          <w:szCs w:val="28"/>
        </w:rPr>
      </w:pPr>
      <w:bookmarkStart w:id="65" w:name="_Toc30333"/>
      <w:bookmarkStart w:id="66" w:name="_Toc3902"/>
      <w:bookmarkStart w:id="67" w:name="_Toc27217"/>
      <w:bookmarkStart w:id="68" w:name="_Toc14415"/>
      <w:bookmarkStart w:id="69" w:name="_Toc22341"/>
      <w:bookmarkStart w:id="70" w:name="_Toc27066"/>
      <w:r>
        <w:rPr>
          <w:rFonts w:hint="eastAsia" w:ascii="宋体" w:hAnsi="宋体" w:cs="宋体"/>
          <w:b/>
          <w:bCs/>
          <w:kern w:val="0"/>
          <w:sz w:val="32"/>
          <w:szCs w:val="28"/>
        </w:rPr>
        <w:t>磋商、评审、定标</w:t>
      </w:r>
      <w:bookmarkEnd w:id="65"/>
      <w:bookmarkEnd w:id="66"/>
      <w:bookmarkEnd w:id="67"/>
      <w:bookmarkEnd w:id="68"/>
      <w:bookmarkEnd w:id="69"/>
      <w:bookmarkEnd w:id="70"/>
    </w:p>
    <w:p w14:paraId="1E464369">
      <w:pPr>
        <w:pStyle w:val="7"/>
        <w:numPr>
          <w:ilvl w:val="0"/>
          <w:numId w:val="6"/>
        </w:numPr>
        <w:ind w:firstLine="562" w:firstLineChars="200"/>
        <w:rPr>
          <w:rFonts w:ascii="宋体" w:hAnsi="宋体" w:cs="宋体"/>
        </w:rPr>
      </w:pPr>
      <w:r>
        <w:rPr>
          <w:rFonts w:hint="eastAsia" w:ascii="宋体" w:hAnsi="宋体" w:cs="宋体"/>
        </w:rPr>
        <w:t>磋商</w:t>
      </w:r>
    </w:p>
    <w:p w14:paraId="35DC16A8">
      <w:pPr>
        <w:widowControl/>
        <w:tabs>
          <w:tab w:val="left" w:pos="0"/>
        </w:tabs>
        <w:spacing w:line="500" w:lineRule="exact"/>
        <w:ind w:firstLine="480" w:firstLineChars="200"/>
        <w:jc w:val="left"/>
        <w:rPr>
          <w:rFonts w:ascii="宋体"/>
          <w:sz w:val="24"/>
          <w:szCs w:val="24"/>
        </w:rPr>
      </w:pPr>
      <w:r>
        <w:rPr>
          <w:rFonts w:hint="eastAsia" w:asciiTheme="minorEastAsia" w:hAnsiTheme="minorEastAsia" w:cstheme="minorEastAsia"/>
          <w:sz w:val="24"/>
          <w:szCs w:val="24"/>
        </w:rPr>
        <w:t>1.1采购代理机构按磋商公告中规定的时间和地点接收供应商递交的响应文件，主持磋商会议，邀请供应商代表参加。</w:t>
      </w:r>
    </w:p>
    <w:p w14:paraId="6A7B0918">
      <w:pPr>
        <w:widowControl/>
        <w:tabs>
          <w:tab w:val="left" w:pos="0"/>
        </w:tabs>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sz w:val="24"/>
          <w:szCs w:val="24"/>
        </w:rPr>
        <w:t xml:space="preserve">1.2 </w:t>
      </w:r>
      <w:r>
        <w:rPr>
          <w:rFonts w:hint="eastAsia" w:ascii="宋体" w:hAnsi="宋体" w:cs="宋体"/>
          <w:sz w:val="24"/>
          <w:szCs w:val="24"/>
        </w:rPr>
        <w:t>磋商</w:t>
      </w:r>
      <w:r>
        <w:rPr>
          <w:rFonts w:hint="eastAsia" w:asciiTheme="minorEastAsia" w:hAnsiTheme="minorEastAsia" w:cstheme="minorEastAsia"/>
          <w:sz w:val="24"/>
          <w:szCs w:val="24"/>
        </w:rPr>
        <w:t>时，由供应商或者其推选的代表检查响应文件的密封情况；经确认无误后，由采购代理机构工作人员拆封。代理机构指定专人负责将供应商的名称、项目名称、响应价格等进行记录，并存档备案。</w:t>
      </w:r>
    </w:p>
    <w:p w14:paraId="516EF7A8">
      <w:pPr>
        <w:tabs>
          <w:tab w:val="left" w:pos="0"/>
        </w:tabs>
        <w:spacing w:line="360" w:lineRule="auto"/>
        <w:ind w:firstLine="480" w:firstLineChars="200"/>
        <w:jc w:val="left"/>
        <w:rPr>
          <w:rFonts w:ascii="宋体" w:hAnsi="宋体" w:cs="宋体"/>
          <w:kern w:val="0"/>
          <w:sz w:val="24"/>
        </w:rPr>
      </w:pPr>
      <w:r>
        <w:rPr>
          <w:rFonts w:hint="eastAsia" w:ascii="宋体" w:hAnsi="宋体" w:cs="宋体"/>
          <w:kern w:val="0"/>
          <w:sz w:val="24"/>
        </w:rPr>
        <w:t>1.3磋商时，磋商响应文件中出现下列情况，修正原则为：</w:t>
      </w:r>
    </w:p>
    <w:p w14:paraId="3FA3E0A1">
      <w:pPr>
        <w:widowControl/>
        <w:numPr>
          <w:ilvl w:val="0"/>
          <w:numId w:val="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磋商文件中磋商一览表（报价表）内容与响应文件中相应内容不一致的，以磋商一览表（报价表）为准；报价精确到小数点后两位，不进行四舍五入；</w:t>
      </w:r>
    </w:p>
    <w:p w14:paraId="377FE618">
      <w:pPr>
        <w:widowControl/>
        <w:numPr>
          <w:ilvl w:val="0"/>
          <w:numId w:val="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14:paraId="1F43A945">
      <w:pPr>
        <w:widowControl/>
        <w:numPr>
          <w:ilvl w:val="0"/>
          <w:numId w:val="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单价金额小数点或者百分比有明显错位的，以磋商一览表的总价为准，并修改单价；</w:t>
      </w:r>
    </w:p>
    <w:p w14:paraId="6AA96279">
      <w:pPr>
        <w:widowControl/>
        <w:numPr>
          <w:ilvl w:val="0"/>
          <w:numId w:val="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14:paraId="5FC49B32">
      <w:pPr>
        <w:widowControl/>
        <w:numPr>
          <w:ilvl w:val="0"/>
          <w:numId w:val="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响应文件正本与副本不一致的，以正本为准；</w:t>
      </w:r>
    </w:p>
    <w:p w14:paraId="69247EEC">
      <w:pPr>
        <w:widowControl/>
        <w:numPr>
          <w:ilvl w:val="0"/>
          <w:numId w:val="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磋商响应文件中单独密封递交的磋商一览表内容与磋商响应文件中明细表内容与正本不一致的，以单独密封递交的磋商一览表为准。</w:t>
      </w:r>
    </w:p>
    <w:p w14:paraId="372B3279">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rPr>
        <w:t>同时出现两种以上不一致的，按照前款规定的顺序修正。修正后的报价按照</w:t>
      </w:r>
      <w:r>
        <w:rPr>
          <w:rFonts w:hint="eastAsia" w:ascii="宋体" w:hAnsi="宋体" w:cs="宋体"/>
          <w:sz w:val="24"/>
        </w:rPr>
        <w:t>《政府采购竞争性磋商采购方式管理暂行办法》</w:t>
      </w:r>
      <w:r>
        <w:rPr>
          <w:rFonts w:hint="eastAsia" w:asciiTheme="minorEastAsia" w:hAnsiTheme="minorEastAsia" w:cstheme="minorEastAsia"/>
          <w:kern w:val="0"/>
          <w:sz w:val="24"/>
          <w:szCs w:val="24"/>
        </w:rPr>
        <w:t>的规定经供应商确认后产生约束力，供应商不确认的，其响应无效。</w:t>
      </w:r>
    </w:p>
    <w:p w14:paraId="44CCFEF3">
      <w:pPr>
        <w:pStyle w:val="7"/>
        <w:numPr>
          <w:ilvl w:val="0"/>
          <w:numId w:val="6"/>
        </w:numPr>
        <w:rPr>
          <w:rFonts w:ascii="宋体" w:hAnsi="宋体" w:cs="宋体"/>
        </w:rPr>
      </w:pPr>
      <w:r>
        <w:rPr>
          <w:rFonts w:hint="eastAsia" w:ascii="宋体" w:hAnsi="宋体" w:cs="宋体"/>
        </w:rPr>
        <w:t>磋商小组</w:t>
      </w:r>
    </w:p>
    <w:p w14:paraId="15078769">
      <w:pPr>
        <w:widowControl/>
        <w:spacing w:line="360" w:lineRule="auto"/>
        <w:ind w:firstLine="480" w:firstLineChars="200"/>
        <w:rPr>
          <w:rFonts w:ascii="宋体" w:hAnsi="宋体" w:cs="宋体"/>
          <w:kern w:val="0"/>
          <w:sz w:val="24"/>
        </w:rPr>
      </w:pPr>
      <w:r>
        <w:rPr>
          <w:rFonts w:hint="eastAsia" w:ascii="宋体" w:hAnsi="宋体" w:cs="宋体"/>
          <w:kern w:val="0"/>
          <w:sz w:val="24"/>
        </w:rPr>
        <w:t>2.1采购人将根据本次采购项目的特点，参照《中华人民共和国政府采购法》及</w:t>
      </w:r>
      <w:r>
        <w:rPr>
          <w:rFonts w:hint="eastAsia" w:ascii="宋体" w:hAnsi="宋体" w:cs="宋体"/>
          <w:sz w:val="24"/>
        </w:rPr>
        <w:t>《政府采购竞争性磋商采购方式管理暂行办法》</w:t>
      </w:r>
      <w:r>
        <w:rPr>
          <w:rFonts w:hint="eastAsia" w:ascii="宋体" w:hAnsi="宋体" w:cs="宋体"/>
          <w:kern w:val="0"/>
          <w:sz w:val="24"/>
        </w:rPr>
        <w:t>等有关规定组建磋商小组。</w:t>
      </w:r>
    </w:p>
    <w:p w14:paraId="7410A9E6">
      <w:pPr>
        <w:widowControl/>
        <w:spacing w:line="360" w:lineRule="auto"/>
        <w:ind w:firstLine="480" w:firstLineChars="200"/>
        <w:rPr>
          <w:rFonts w:ascii="宋体" w:hAnsi="宋体" w:cs="宋体"/>
          <w:kern w:val="0"/>
          <w:sz w:val="24"/>
        </w:rPr>
      </w:pPr>
      <w:r>
        <w:rPr>
          <w:rFonts w:hint="eastAsia" w:ascii="宋体" w:hAnsi="宋体" w:cs="宋体"/>
          <w:kern w:val="0"/>
          <w:sz w:val="24"/>
        </w:rPr>
        <w:t>2.2磋商小组由采购人代表和有关技术、经济等方面的专家组成，磋商小组产生方式符合国家和地方有关评审专家产生方式的规定。磋商小组负责评审活动。</w:t>
      </w:r>
    </w:p>
    <w:p w14:paraId="1FD813FB">
      <w:pPr>
        <w:widowControl/>
        <w:spacing w:line="360" w:lineRule="auto"/>
        <w:ind w:firstLine="480" w:firstLineChars="200"/>
        <w:rPr>
          <w:rFonts w:ascii="宋体" w:hAnsi="宋体" w:cs="宋体"/>
          <w:kern w:val="0"/>
          <w:sz w:val="24"/>
        </w:rPr>
      </w:pPr>
      <w:r>
        <w:rPr>
          <w:rFonts w:hint="eastAsia" w:ascii="宋体" w:hAnsi="宋体" w:cs="宋体"/>
          <w:kern w:val="0"/>
          <w:sz w:val="24"/>
        </w:rPr>
        <w:t>2.3磋商小组成员有下列情形之一的，应当回避：</w:t>
      </w:r>
    </w:p>
    <w:p w14:paraId="2341E486">
      <w:pPr>
        <w:widowControl/>
        <w:spacing w:line="360" w:lineRule="auto"/>
        <w:ind w:firstLine="480" w:firstLineChars="200"/>
        <w:rPr>
          <w:rFonts w:ascii="宋体" w:hAnsi="宋体" w:cs="宋体"/>
          <w:kern w:val="0"/>
          <w:sz w:val="24"/>
        </w:rPr>
      </w:pPr>
      <w:r>
        <w:rPr>
          <w:rFonts w:hint="eastAsia" w:ascii="宋体" w:hAnsi="宋体" w:cs="宋体"/>
          <w:kern w:val="0"/>
          <w:sz w:val="24"/>
        </w:rPr>
        <w:t>2.3.1参加采购活动前3年内，与投标人存在劳动关系，或者担任过投标人的董事、监事，或者是投标人的控股股东或实际控制人；</w:t>
      </w:r>
    </w:p>
    <w:p w14:paraId="5073788E">
      <w:pPr>
        <w:widowControl/>
        <w:spacing w:line="360" w:lineRule="auto"/>
        <w:ind w:firstLine="480" w:firstLineChars="200"/>
        <w:rPr>
          <w:rFonts w:ascii="宋体" w:hAnsi="宋体" w:cs="宋体"/>
          <w:kern w:val="0"/>
          <w:sz w:val="24"/>
        </w:rPr>
      </w:pPr>
      <w:r>
        <w:rPr>
          <w:rFonts w:hint="eastAsia" w:ascii="宋体" w:hAnsi="宋体" w:cs="宋体"/>
          <w:kern w:val="0"/>
          <w:sz w:val="24"/>
        </w:rPr>
        <w:t>2.3.2参加采购活动前3年内与投标人发生过法律纠纷；</w:t>
      </w:r>
    </w:p>
    <w:p w14:paraId="6B9CBCE9">
      <w:pPr>
        <w:widowControl/>
        <w:spacing w:line="360" w:lineRule="auto"/>
        <w:ind w:firstLine="480" w:firstLineChars="200"/>
        <w:rPr>
          <w:rFonts w:ascii="宋体" w:hAnsi="宋体" w:cs="宋体"/>
          <w:kern w:val="0"/>
          <w:sz w:val="24"/>
        </w:rPr>
      </w:pPr>
      <w:r>
        <w:rPr>
          <w:rFonts w:hint="eastAsia" w:ascii="宋体" w:hAnsi="宋体" w:cs="宋体"/>
          <w:kern w:val="0"/>
          <w:sz w:val="24"/>
        </w:rPr>
        <w:t>2.3.3与投标人的法定代表人或者负责人有夫妻、直系血亲、三代以内旁系血亲或者近姻亲关系；</w:t>
      </w:r>
    </w:p>
    <w:p w14:paraId="758DAFDE">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2.3.4与投标人有其他可能影响政府采购活动公平、公正进行的关系。评审专家发现本人与参加采购活动的投标人有利害关系的,应当主动提出回避。采购人或者采购代理机构发现评审专家与参加采购活动的投标人有利害关系的,应当要求其回避。</w:t>
      </w:r>
    </w:p>
    <w:p w14:paraId="43EE3038">
      <w:pPr>
        <w:widowControl/>
        <w:spacing w:line="360" w:lineRule="auto"/>
        <w:ind w:firstLine="480" w:firstLineChars="200"/>
        <w:rPr>
          <w:rFonts w:eastAsia="宋体"/>
        </w:rPr>
      </w:pPr>
      <w:r>
        <w:rPr>
          <w:rFonts w:hint="eastAsia" w:ascii="宋体" w:hAnsi="宋体" w:cs="宋体"/>
          <w:kern w:val="0"/>
          <w:sz w:val="24"/>
        </w:rPr>
        <w:t>2.4磋商小组对各供应商的磋商响应文件进行审查、评估和比较，并推荐出成交候选人。</w:t>
      </w:r>
    </w:p>
    <w:p w14:paraId="1A9C1B5E">
      <w:pPr>
        <w:pStyle w:val="7"/>
        <w:numPr>
          <w:ilvl w:val="0"/>
          <w:numId w:val="6"/>
        </w:numPr>
        <w:rPr>
          <w:rFonts w:ascii="宋体" w:hAnsi="宋体" w:cs="宋体"/>
        </w:rPr>
      </w:pPr>
      <w:bookmarkStart w:id="71" w:name="_Toc27940"/>
      <w:bookmarkStart w:id="72" w:name="_Toc386129876"/>
      <w:bookmarkStart w:id="73" w:name="_Toc28085"/>
      <w:bookmarkStart w:id="74" w:name="_Toc385958808"/>
      <w:r>
        <w:rPr>
          <w:rFonts w:hint="eastAsia" w:ascii="宋体" w:hAnsi="宋体" w:cs="宋体"/>
        </w:rPr>
        <w:t>磋商响应文件初审</w:t>
      </w:r>
      <w:bookmarkEnd w:id="71"/>
      <w:bookmarkEnd w:id="72"/>
      <w:bookmarkEnd w:id="73"/>
      <w:bookmarkEnd w:id="74"/>
    </w:p>
    <w:p w14:paraId="44FC4C70">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3.1磋商响应文件的资格性审查</w:t>
      </w:r>
    </w:p>
    <w:p w14:paraId="35D2B904">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依据法律法规和竞争性磋商文件的规定，由采购人或采购代理机构对磋商响应文件中的资格证明文件等进行审查，以确保供应商是否具备相应资格。</w:t>
      </w:r>
    </w:p>
    <w:p w14:paraId="5D8E6D7A">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3.2磋商响应文件符合性审查</w:t>
      </w:r>
    </w:p>
    <w:p w14:paraId="2E6D1447">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w:t>
      </w:r>
      <w:r>
        <w:rPr>
          <w:rFonts w:hint="eastAsia" w:ascii="宋体" w:hAnsi="宋体" w:cs="宋体"/>
          <w:kern w:val="0"/>
          <w:sz w:val="24"/>
        </w:rPr>
        <w:t>法律法规和竞争性磋商文件的规定，由磋商小组对符合资格要求的供应商的响应文件有效性、完整性和对磋商文件的响应程度进行符合性审查，以确定是否对磋商文件的实质性内容作出响应，下列情况有一项不满足者（但不限于）不得进入下一轮评审：</w:t>
      </w:r>
    </w:p>
    <w:tbl>
      <w:tblPr>
        <w:tblStyle w:val="30"/>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33"/>
        <w:gridCol w:w="6924"/>
      </w:tblGrid>
      <w:tr w14:paraId="7033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restart"/>
            <w:vAlign w:val="center"/>
          </w:tcPr>
          <w:p w14:paraId="0CD1EB11">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符合性</w:t>
            </w:r>
          </w:p>
          <w:p w14:paraId="3083F3B1">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审查</w:t>
            </w:r>
          </w:p>
        </w:tc>
        <w:tc>
          <w:tcPr>
            <w:tcW w:w="333" w:type="dxa"/>
          </w:tcPr>
          <w:p w14:paraId="4294AE99">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1</w:t>
            </w:r>
          </w:p>
        </w:tc>
        <w:tc>
          <w:tcPr>
            <w:tcW w:w="6924" w:type="dxa"/>
          </w:tcPr>
          <w:p w14:paraId="0A70182E">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供应商名称是否与营业执照、资质证书一致</w:t>
            </w:r>
          </w:p>
        </w:tc>
      </w:tr>
      <w:tr w14:paraId="0573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14:paraId="47354413">
            <w:pPr>
              <w:overflowPunct w:val="0"/>
              <w:adjustRightInd w:val="0"/>
              <w:snapToGrid w:val="0"/>
              <w:spacing w:line="500" w:lineRule="exact"/>
              <w:rPr>
                <w:rFonts w:asciiTheme="minorEastAsia" w:hAnsiTheme="minorEastAsia" w:cstheme="minorEastAsia"/>
                <w:kern w:val="0"/>
                <w:sz w:val="22"/>
              </w:rPr>
            </w:pPr>
          </w:p>
        </w:tc>
        <w:tc>
          <w:tcPr>
            <w:tcW w:w="333" w:type="dxa"/>
          </w:tcPr>
          <w:p w14:paraId="7AD44B73">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2</w:t>
            </w:r>
          </w:p>
        </w:tc>
        <w:tc>
          <w:tcPr>
            <w:tcW w:w="6924" w:type="dxa"/>
          </w:tcPr>
          <w:p w14:paraId="3FAE0B42">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响应报价是否超过预算或最高限价</w:t>
            </w:r>
          </w:p>
        </w:tc>
      </w:tr>
      <w:tr w14:paraId="4420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14:paraId="4138C410">
            <w:pPr>
              <w:overflowPunct w:val="0"/>
              <w:adjustRightInd w:val="0"/>
              <w:snapToGrid w:val="0"/>
              <w:spacing w:line="500" w:lineRule="exact"/>
              <w:rPr>
                <w:rFonts w:asciiTheme="minorEastAsia" w:hAnsiTheme="minorEastAsia" w:cstheme="minorEastAsia"/>
                <w:kern w:val="0"/>
                <w:sz w:val="22"/>
              </w:rPr>
            </w:pPr>
          </w:p>
        </w:tc>
        <w:tc>
          <w:tcPr>
            <w:tcW w:w="333" w:type="dxa"/>
          </w:tcPr>
          <w:p w14:paraId="7EF67125">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3</w:t>
            </w:r>
          </w:p>
        </w:tc>
        <w:tc>
          <w:tcPr>
            <w:tcW w:w="6924" w:type="dxa"/>
          </w:tcPr>
          <w:p w14:paraId="73EB1CD6">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响应文件签字、盖章是否满足竞争性磋商文件要求</w:t>
            </w:r>
          </w:p>
        </w:tc>
      </w:tr>
      <w:tr w14:paraId="1F59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14:paraId="03891B01">
            <w:pPr>
              <w:overflowPunct w:val="0"/>
              <w:adjustRightInd w:val="0"/>
              <w:snapToGrid w:val="0"/>
              <w:spacing w:line="500" w:lineRule="exact"/>
              <w:rPr>
                <w:rFonts w:asciiTheme="minorEastAsia" w:hAnsiTheme="minorEastAsia" w:cstheme="minorEastAsia"/>
                <w:kern w:val="0"/>
                <w:sz w:val="22"/>
              </w:rPr>
            </w:pPr>
          </w:p>
        </w:tc>
        <w:tc>
          <w:tcPr>
            <w:tcW w:w="333" w:type="dxa"/>
          </w:tcPr>
          <w:p w14:paraId="51D35A0B">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4</w:t>
            </w:r>
          </w:p>
        </w:tc>
        <w:tc>
          <w:tcPr>
            <w:tcW w:w="6924" w:type="dxa"/>
          </w:tcPr>
          <w:p w14:paraId="139CC536">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磋商有效期是否满足竞争性磋商文件要求</w:t>
            </w:r>
          </w:p>
        </w:tc>
      </w:tr>
      <w:tr w14:paraId="2AC7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14:paraId="3DD08895">
            <w:pPr>
              <w:overflowPunct w:val="0"/>
              <w:adjustRightInd w:val="0"/>
              <w:snapToGrid w:val="0"/>
              <w:spacing w:line="500" w:lineRule="exact"/>
              <w:rPr>
                <w:rFonts w:asciiTheme="minorEastAsia" w:hAnsiTheme="minorEastAsia" w:cstheme="minorEastAsia"/>
                <w:kern w:val="0"/>
                <w:sz w:val="22"/>
              </w:rPr>
            </w:pPr>
          </w:p>
        </w:tc>
        <w:tc>
          <w:tcPr>
            <w:tcW w:w="333" w:type="dxa"/>
          </w:tcPr>
          <w:p w14:paraId="4DCE8A9B">
            <w:pPr>
              <w:overflowPunct w:val="0"/>
              <w:adjustRightInd w:val="0"/>
              <w:snapToGrid w:val="0"/>
              <w:spacing w:line="500" w:lineRule="exact"/>
              <w:rPr>
                <w:rFonts w:eastAsia="宋体" w:asciiTheme="minorEastAsia" w:hAnsiTheme="minorEastAsia" w:cstheme="minorEastAsia"/>
                <w:kern w:val="0"/>
                <w:sz w:val="22"/>
              </w:rPr>
            </w:pPr>
            <w:r>
              <w:rPr>
                <w:rFonts w:hint="eastAsia" w:asciiTheme="minorEastAsia" w:hAnsiTheme="minorEastAsia" w:cstheme="minorEastAsia"/>
                <w:kern w:val="0"/>
                <w:sz w:val="22"/>
              </w:rPr>
              <w:t>5</w:t>
            </w:r>
          </w:p>
        </w:tc>
        <w:tc>
          <w:tcPr>
            <w:tcW w:w="6924" w:type="dxa"/>
          </w:tcPr>
          <w:p w14:paraId="4525C7B2">
            <w:pPr>
              <w:overflowPunct w:val="0"/>
              <w:adjustRightInd w:val="0"/>
              <w:snapToGrid w:val="0"/>
              <w:spacing w:line="500" w:lineRule="exact"/>
              <w:rPr>
                <w:rFonts w:asciiTheme="minorEastAsia" w:hAnsiTheme="minorEastAsia" w:cstheme="minorEastAsia"/>
                <w:kern w:val="0"/>
                <w:sz w:val="22"/>
              </w:rPr>
            </w:pPr>
            <w:r>
              <w:rPr>
                <w:rFonts w:hint="eastAsia" w:ascii="宋体" w:hAnsi="宋体" w:cs="宋体"/>
                <w:sz w:val="22"/>
              </w:rPr>
              <w:t>与磋商文件商务要求条款不一致或增加了采购人难以接受的条款</w:t>
            </w:r>
          </w:p>
        </w:tc>
      </w:tr>
      <w:tr w14:paraId="1522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22" w:type="dxa"/>
            <w:vMerge w:val="continue"/>
          </w:tcPr>
          <w:p w14:paraId="47BA2368">
            <w:pPr>
              <w:overflowPunct w:val="0"/>
              <w:adjustRightInd w:val="0"/>
              <w:snapToGrid w:val="0"/>
              <w:spacing w:line="500" w:lineRule="exact"/>
              <w:rPr>
                <w:rFonts w:asciiTheme="minorEastAsia" w:hAnsiTheme="minorEastAsia" w:cstheme="minorEastAsia"/>
                <w:kern w:val="0"/>
                <w:sz w:val="22"/>
              </w:rPr>
            </w:pPr>
          </w:p>
        </w:tc>
        <w:tc>
          <w:tcPr>
            <w:tcW w:w="333" w:type="dxa"/>
          </w:tcPr>
          <w:p w14:paraId="25F12F9C">
            <w:pPr>
              <w:overflowPunct w:val="0"/>
              <w:adjustRightInd w:val="0"/>
              <w:snapToGrid w:val="0"/>
              <w:spacing w:line="500" w:lineRule="exact"/>
              <w:rPr>
                <w:rFonts w:eastAsia="宋体" w:asciiTheme="minorEastAsia" w:hAnsiTheme="minorEastAsia" w:cstheme="minorEastAsia"/>
                <w:kern w:val="0"/>
                <w:sz w:val="22"/>
              </w:rPr>
            </w:pPr>
            <w:r>
              <w:rPr>
                <w:rFonts w:hint="eastAsia" w:asciiTheme="minorEastAsia" w:hAnsiTheme="minorEastAsia" w:cstheme="minorEastAsia"/>
                <w:kern w:val="0"/>
                <w:sz w:val="22"/>
              </w:rPr>
              <w:t>6</w:t>
            </w:r>
          </w:p>
        </w:tc>
        <w:tc>
          <w:tcPr>
            <w:tcW w:w="6924" w:type="dxa"/>
          </w:tcPr>
          <w:p w14:paraId="2FC71652">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是否符合法律法规和磋商文件规定的其他实质性要求</w:t>
            </w:r>
          </w:p>
        </w:tc>
      </w:tr>
    </w:tbl>
    <w:p w14:paraId="065AA428">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3.3经过对供应商及磋商响应文件审查，出现下列情况者（但不限于），视为未响应磋商文件实质性条款，其响应文件按无效处理。</w:t>
      </w:r>
    </w:p>
    <w:p w14:paraId="4B97FCA0">
      <w:pPr>
        <w:numPr>
          <w:ilvl w:val="0"/>
          <w:numId w:val="8"/>
        </w:numPr>
        <w:spacing w:line="360" w:lineRule="auto"/>
        <w:ind w:firstLine="480" w:firstLineChars="200"/>
        <w:rPr>
          <w:rFonts w:ascii="宋体" w:hAnsi="宋体" w:cs="宋体"/>
          <w:sz w:val="24"/>
        </w:rPr>
      </w:pPr>
      <w:r>
        <w:rPr>
          <w:rFonts w:hint="eastAsia" w:ascii="宋体" w:hAnsi="宋体" w:cs="宋体"/>
          <w:sz w:val="24"/>
        </w:rPr>
        <w:t>供应商的响应报价超过采购预算或最高限价；</w:t>
      </w:r>
    </w:p>
    <w:p w14:paraId="2C5AF302">
      <w:pPr>
        <w:numPr>
          <w:ilvl w:val="0"/>
          <w:numId w:val="8"/>
        </w:numPr>
        <w:spacing w:line="360" w:lineRule="auto"/>
        <w:ind w:firstLine="480" w:firstLineChars="200"/>
        <w:rPr>
          <w:rFonts w:ascii="宋体" w:hAnsi="宋体" w:cs="宋体"/>
          <w:sz w:val="24"/>
        </w:rPr>
      </w:pPr>
      <w:r>
        <w:rPr>
          <w:rFonts w:hint="eastAsia" w:ascii="宋体" w:hAnsi="宋体" w:cs="宋体"/>
          <w:sz w:val="24"/>
        </w:rPr>
        <w:t>供应商未经过正常渠道购买竞争性磋商文件，或供应商名称与购买竞争性磋商文件时登记的供应商名称不符的；</w:t>
      </w:r>
    </w:p>
    <w:p w14:paraId="1417238D">
      <w:pPr>
        <w:numPr>
          <w:ilvl w:val="0"/>
          <w:numId w:val="8"/>
        </w:numPr>
        <w:spacing w:line="360" w:lineRule="auto"/>
        <w:ind w:firstLine="480" w:firstLineChars="200"/>
        <w:rPr>
          <w:rFonts w:ascii="宋体" w:hAnsi="宋体" w:cs="宋体"/>
          <w:sz w:val="24"/>
        </w:rPr>
      </w:pPr>
      <w:r>
        <w:rPr>
          <w:rFonts w:hint="eastAsia" w:ascii="宋体" w:hAnsi="宋体" w:cs="宋体"/>
          <w:sz w:val="24"/>
        </w:rPr>
        <w:t>磋商响应文件的签署、盖章不符合竞争性磋商文件要求；无磋商有效期或有效期达不到竞争性磋商文件要求的；</w:t>
      </w:r>
    </w:p>
    <w:p w14:paraId="44299EDA">
      <w:pPr>
        <w:numPr>
          <w:ilvl w:val="0"/>
          <w:numId w:val="8"/>
        </w:numPr>
        <w:spacing w:line="360" w:lineRule="auto"/>
        <w:ind w:firstLine="480" w:firstLineChars="200"/>
        <w:rPr>
          <w:rFonts w:ascii="宋体" w:hAnsi="宋体" w:cs="宋体"/>
          <w:sz w:val="24"/>
        </w:rPr>
      </w:pPr>
      <w:r>
        <w:rPr>
          <w:rFonts w:hint="eastAsia" w:ascii="宋体" w:hAnsi="宋体" w:cs="宋体"/>
          <w:sz w:val="24"/>
        </w:rPr>
        <w:t>供应商针对同一项目递交两份或多份内容不同的磋商响应文件，未书面声明哪一份是有效的或出现选择性报价的；</w:t>
      </w:r>
    </w:p>
    <w:p w14:paraId="5C353B7D">
      <w:pPr>
        <w:numPr>
          <w:ilvl w:val="0"/>
          <w:numId w:val="8"/>
        </w:numPr>
        <w:spacing w:line="360" w:lineRule="auto"/>
        <w:ind w:firstLine="480" w:firstLineChars="200"/>
        <w:rPr>
          <w:rFonts w:ascii="宋体" w:hAnsi="宋体" w:cs="宋体"/>
          <w:sz w:val="24"/>
        </w:rPr>
      </w:pPr>
      <w:r>
        <w:rPr>
          <w:rFonts w:hint="eastAsia" w:ascii="宋体" w:hAnsi="宋体" w:cs="宋体"/>
          <w:sz w:val="24"/>
        </w:rPr>
        <w:t>供应商未按竞争性磋商文件要求提供产品的技术参数及产品供货渠道不明确的；</w:t>
      </w:r>
    </w:p>
    <w:p w14:paraId="1FD6EE04">
      <w:pPr>
        <w:numPr>
          <w:ilvl w:val="0"/>
          <w:numId w:val="8"/>
        </w:numPr>
        <w:spacing w:line="360" w:lineRule="auto"/>
        <w:ind w:firstLine="480" w:firstLineChars="200"/>
        <w:rPr>
          <w:rFonts w:ascii="宋体" w:hAnsi="宋体" w:cs="宋体"/>
          <w:sz w:val="24"/>
        </w:rPr>
      </w:pPr>
      <w:r>
        <w:rPr>
          <w:rFonts w:hint="eastAsia" w:ascii="宋体" w:hAnsi="宋体" w:cs="宋体"/>
          <w:sz w:val="24"/>
        </w:rPr>
        <w:t>响应报价出现漏项或与要求不符的；</w:t>
      </w:r>
    </w:p>
    <w:p w14:paraId="644FAEEF">
      <w:pPr>
        <w:numPr>
          <w:ilvl w:val="0"/>
          <w:numId w:val="8"/>
        </w:numPr>
        <w:spacing w:line="360" w:lineRule="auto"/>
        <w:ind w:firstLine="480" w:firstLineChars="200"/>
        <w:rPr>
          <w:rFonts w:ascii="宋体" w:hAnsi="宋体" w:cs="宋体"/>
          <w:sz w:val="24"/>
        </w:rPr>
      </w:pPr>
      <w:r>
        <w:rPr>
          <w:rFonts w:hint="eastAsia" w:ascii="宋体" w:hAnsi="宋体" w:cs="宋体"/>
          <w:sz w:val="24"/>
        </w:rPr>
        <w:t>经磋商小组一致认定响应性能指标与竞争性磋商文件要求出现重大负偏差的；或者提供虚假证明（包括第三方的虚假证明），除按无效文件处理外，还将按照政府采购法的有关规定进行处罚；</w:t>
      </w:r>
    </w:p>
    <w:p w14:paraId="4A691208">
      <w:pPr>
        <w:numPr>
          <w:ilvl w:val="0"/>
          <w:numId w:val="8"/>
        </w:numPr>
        <w:spacing w:line="360" w:lineRule="auto"/>
        <w:ind w:firstLine="480" w:firstLineChars="200"/>
        <w:rPr>
          <w:rFonts w:ascii="宋体" w:hAnsi="宋体" w:cs="宋体"/>
          <w:sz w:val="24"/>
        </w:rPr>
      </w:pPr>
      <w:r>
        <w:rPr>
          <w:rFonts w:hint="eastAsia" w:ascii="宋体" w:hAnsi="宋体" w:cs="宋体"/>
          <w:sz w:val="24"/>
        </w:rPr>
        <w:t>磋商响应文件在商务响应方面（付款方式、交货期、质保期、服务期等）与竞争性磋商文件要求不一致或附加了采购单位难以接受的条件或条款的；</w:t>
      </w:r>
    </w:p>
    <w:p w14:paraId="5DB76C23">
      <w:pPr>
        <w:numPr>
          <w:ilvl w:val="0"/>
          <w:numId w:val="8"/>
        </w:numPr>
        <w:spacing w:line="360" w:lineRule="auto"/>
        <w:ind w:firstLine="480" w:firstLineChars="200"/>
        <w:rPr>
          <w:rFonts w:ascii="宋体" w:hAnsi="宋体" w:cs="宋体"/>
          <w:kern w:val="0"/>
          <w:sz w:val="24"/>
        </w:rPr>
      </w:pPr>
      <w:r>
        <w:rPr>
          <w:rFonts w:hint="eastAsia" w:ascii="宋体" w:hAnsi="宋体" w:cs="宋体"/>
          <w:sz w:val="24"/>
        </w:rPr>
        <w:t>如澄清、说明的内容与磋商响应文件内容有重大相悖或矛盾，将被认定为无效磋商。</w:t>
      </w:r>
    </w:p>
    <w:p w14:paraId="631EF3A4">
      <w:pPr>
        <w:pStyle w:val="7"/>
        <w:numPr>
          <w:ilvl w:val="0"/>
          <w:numId w:val="6"/>
        </w:numPr>
        <w:rPr>
          <w:rFonts w:ascii="宋体" w:hAnsi="宋体" w:cs="宋体"/>
        </w:rPr>
      </w:pPr>
      <w:bookmarkStart w:id="75" w:name="_Toc17705"/>
      <w:r>
        <w:rPr>
          <w:rFonts w:hint="eastAsia" w:ascii="宋体" w:hAnsi="宋体" w:cs="宋体"/>
        </w:rPr>
        <w:t>磋商响应文件澄清</w:t>
      </w:r>
      <w:bookmarkEnd w:id="75"/>
    </w:p>
    <w:p w14:paraId="29430A70">
      <w:pPr>
        <w:overflowPunct w:val="0"/>
        <w:adjustRightInd w:val="0"/>
        <w:snapToGrid w:val="0"/>
        <w:spacing w:line="360" w:lineRule="auto"/>
        <w:ind w:firstLine="480" w:firstLineChars="200"/>
        <w:rPr>
          <w:rFonts w:ascii="宋体" w:hAnsi="宋体" w:cs="宋体"/>
          <w:sz w:val="24"/>
        </w:rPr>
      </w:pPr>
      <w:r>
        <w:rPr>
          <w:rFonts w:hint="eastAsia" w:ascii="宋体" w:hAnsi="宋体" w:cs="宋体"/>
          <w:sz w:val="24"/>
          <w:szCs w:val="24"/>
        </w:rPr>
        <w:t>4.1在评审期间,采购代理机构可根据磋商小组对其磋商响应文件有疑义不清楚的内容，要求供应商对其磋商响应文件进行澄清，有关澄清的要求和答复应以书面形式</w:t>
      </w:r>
      <w:r>
        <w:rPr>
          <w:rFonts w:hint="eastAsia" w:ascii="宋体" w:hAnsi="宋体" w:cs="宋体"/>
          <w:sz w:val="24"/>
        </w:rPr>
        <w:t>提交，</w:t>
      </w:r>
      <w:r>
        <w:rPr>
          <w:rFonts w:hint="eastAsia" w:ascii="宋体" w:hAnsi="宋体" w:cs="宋体"/>
          <w:sz w:val="24"/>
          <w:szCs w:val="24"/>
        </w:rPr>
        <w:t>如磋商小组未变动实质性采购需求，供应商</w:t>
      </w:r>
      <w:r>
        <w:rPr>
          <w:rFonts w:hint="eastAsia" w:ascii="宋体" w:hAnsi="宋体" w:cs="宋体"/>
          <w:sz w:val="24"/>
        </w:rPr>
        <w:t>不得对实质性内容进行变动。</w:t>
      </w:r>
    </w:p>
    <w:p w14:paraId="2A124E2A">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4.2供应商应采用书面形式进行澄清或说明，但不得超出磋商响应文件的范围或改变磋商响应文件的实质性内容。</w:t>
      </w:r>
    </w:p>
    <w:p w14:paraId="1AC79CE6">
      <w:pPr>
        <w:pStyle w:val="7"/>
        <w:numPr>
          <w:ilvl w:val="0"/>
          <w:numId w:val="6"/>
        </w:numPr>
        <w:rPr>
          <w:rFonts w:ascii="宋体" w:hAnsi="宋体" w:cs="宋体"/>
        </w:rPr>
      </w:pPr>
      <w:r>
        <w:rPr>
          <w:rFonts w:hint="eastAsia" w:ascii="宋体" w:hAnsi="宋体" w:cs="宋体"/>
        </w:rPr>
        <w:t>评审</w:t>
      </w:r>
    </w:p>
    <w:p w14:paraId="272A88DB">
      <w:pPr>
        <w:spacing w:line="360" w:lineRule="auto"/>
        <w:ind w:firstLine="480" w:firstLineChars="200"/>
        <w:rPr>
          <w:rFonts w:ascii="宋体" w:hAnsi="宋体" w:cs="宋体"/>
          <w:sz w:val="24"/>
        </w:rPr>
      </w:pPr>
      <w:bookmarkStart w:id="76" w:name="_Toc12947"/>
      <w:r>
        <w:rPr>
          <w:rFonts w:hint="eastAsia" w:ascii="宋体" w:hAnsi="宋体" w:cs="宋体"/>
          <w:sz w:val="24"/>
        </w:rPr>
        <w:t xml:space="preserve">5.1磋商小组有权对在磋商、评审过程中出现的一切问题，根据《中华人民共和国政府采购法》和《政府采购竞争性磋商采购方式管理暂行办法》的条款，本着公开、公平、公正的原则进行处理。 </w:t>
      </w:r>
    </w:p>
    <w:p w14:paraId="29D8893A">
      <w:pPr>
        <w:spacing w:line="360" w:lineRule="auto"/>
        <w:ind w:firstLine="480" w:firstLineChars="200"/>
      </w:pPr>
      <w:r>
        <w:rPr>
          <w:rFonts w:hint="eastAsia" w:ascii="宋体" w:hAnsi="宋体" w:eastAsia="宋体" w:cs="宋体"/>
          <w:sz w:val="24"/>
        </w:rPr>
        <w:t>5.2磋商小组按照第四部分“评审标准”规定的方法、评审因素、标准和程序对投标文件进行评审。第四部分“评审标准”没有规定的方法、评审因素和标准，不作为评审依据。</w:t>
      </w:r>
    </w:p>
    <w:p w14:paraId="7DED94AF">
      <w:pPr>
        <w:spacing w:line="360" w:lineRule="auto"/>
        <w:ind w:firstLine="480" w:firstLineChars="200"/>
        <w:rPr>
          <w:rFonts w:ascii="宋体" w:hAnsi="宋体" w:cs="宋体"/>
          <w:sz w:val="24"/>
        </w:rPr>
      </w:pPr>
      <w:r>
        <w:rPr>
          <w:rFonts w:hint="eastAsia" w:ascii="宋体" w:hAnsi="宋体" w:cs="宋体"/>
          <w:sz w:val="24"/>
        </w:rPr>
        <w:t>5.3磋商流程</w:t>
      </w:r>
    </w:p>
    <w:p w14:paraId="2C93C4E5">
      <w:pPr>
        <w:numPr>
          <w:ilvl w:val="0"/>
          <w:numId w:val="9"/>
        </w:numPr>
        <w:spacing w:line="360" w:lineRule="auto"/>
        <w:rPr>
          <w:rFonts w:ascii="宋体" w:hAnsi="宋体" w:cs="宋体"/>
          <w:sz w:val="24"/>
        </w:rPr>
      </w:pPr>
      <w:r>
        <w:rPr>
          <w:rFonts w:hint="eastAsia" w:ascii="宋体" w:hAnsi="宋体" w:cs="宋体"/>
          <w:sz w:val="24"/>
        </w:rPr>
        <w:t>磋商小组对供应商作符合性审查，只有通过符合性审查的供应商，才能进入第二阶段的磋商，否则被淘汰。</w:t>
      </w:r>
    </w:p>
    <w:p w14:paraId="60247538">
      <w:pPr>
        <w:numPr>
          <w:ilvl w:val="0"/>
          <w:numId w:val="9"/>
        </w:numPr>
        <w:spacing w:line="360" w:lineRule="auto"/>
        <w:rPr>
          <w:rFonts w:ascii="宋体" w:hAnsi="宋体" w:cs="宋体"/>
          <w:sz w:val="24"/>
        </w:rPr>
      </w:pPr>
      <w:r>
        <w:rPr>
          <w:rFonts w:hint="eastAsia" w:ascii="宋体" w:hAnsi="宋体" w:cs="宋体"/>
          <w:sz w:val="24"/>
        </w:rPr>
        <w:t>磋商小组所有成员集中与单一供应商分别进行磋商（磋商轮次为多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14:paraId="71143F41">
      <w:pPr>
        <w:numPr>
          <w:ilvl w:val="0"/>
          <w:numId w:val="9"/>
        </w:numPr>
        <w:spacing w:line="360" w:lineRule="auto"/>
        <w:rPr>
          <w:rFonts w:ascii="宋体" w:hAnsi="宋体" w:cs="宋体"/>
          <w:sz w:val="24"/>
        </w:rPr>
      </w:pPr>
      <w:r>
        <w:rPr>
          <w:rFonts w:hint="eastAsia" w:ascii="宋体" w:hAnsi="宋体" w:cs="宋体"/>
          <w:kern w:val="0"/>
          <w:sz w:val="24"/>
          <w:szCs w:val="24"/>
        </w:rPr>
        <w:t xml:space="preserve"> 如磋商小组认为某个供应商最终报价明显不合理且低于其他通过符合性审查供应商的最终报价，有可能影响服务质量或者不能诚信履约的，应当在评标现场要求供应商提供书面说明及相关证明材料。供应商未提供或提供的相关证明材料不能证明其报价合理性的，将视为无效投标。</w:t>
      </w:r>
    </w:p>
    <w:p w14:paraId="6DCC4E54">
      <w:pPr>
        <w:numPr>
          <w:ilvl w:val="0"/>
          <w:numId w:val="9"/>
        </w:numPr>
        <w:spacing w:line="360" w:lineRule="auto"/>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w:t>
      </w:r>
    </w:p>
    <w:p w14:paraId="3100D232">
      <w:pPr>
        <w:numPr>
          <w:ilvl w:val="0"/>
          <w:numId w:val="9"/>
        </w:numPr>
        <w:spacing w:line="360" w:lineRule="auto"/>
        <w:rPr>
          <w:rFonts w:ascii="宋体" w:hAnsi="宋体" w:cs="宋体"/>
          <w:sz w:val="24"/>
          <w:shd w:val="clear" w:color="FFFFFF" w:fill="D9D9D9"/>
        </w:rPr>
      </w:pPr>
      <w:r>
        <w:rPr>
          <w:rFonts w:hint="eastAsia" w:ascii="宋体" w:hAnsi="宋体" w:cs="宋体"/>
          <w:sz w:val="24"/>
        </w:rPr>
        <w:t>磋商结束后，磋商小组要求参加磋商的各供应商在规定的时间内集中提交最终报价。</w:t>
      </w:r>
    </w:p>
    <w:p w14:paraId="46EAE50E">
      <w:pPr>
        <w:widowControl/>
        <w:numPr>
          <w:ilvl w:val="0"/>
          <w:numId w:val="9"/>
        </w:numPr>
        <w:spacing w:line="360" w:lineRule="auto"/>
        <w:jc w:val="left"/>
        <w:rPr>
          <w:rFonts w:ascii="宋体" w:hAnsi="宋体" w:cs="宋体"/>
          <w:sz w:val="24"/>
        </w:rPr>
      </w:pPr>
      <w:r>
        <w:rPr>
          <w:rFonts w:hint="eastAsia" w:ascii="宋体" w:hAnsi="宋体" w:cs="宋体"/>
          <w:sz w:val="24"/>
          <w:szCs w:val="24"/>
        </w:rPr>
        <w:t>在确定最终采购需求和提交最后报价的供应商后，由磋商小组采用综合评分法对提交最后报价的供应商进行综合评分。</w:t>
      </w:r>
      <w:r>
        <w:rPr>
          <w:rFonts w:hint="eastAsia" w:ascii="宋体" w:hAnsi="宋体" w:cs="宋体"/>
          <w:sz w:val="24"/>
        </w:rPr>
        <w:t>磋商小组第四部分评分标准规定的各项因素进行比较、自主打分、综合评审。磋商小组将评审得分汇总后，按评审总得分由高到低汇总排序，推荐3名成交候选人；</w:t>
      </w:r>
      <w:r>
        <w:rPr>
          <w:rFonts w:hint="eastAsia" w:ascii="宋体" w:hAnsi="宋体" w:cs="宋体"/>
          <w:sz w:val="24"/>
          <w:szCs w:val="24"/>
        </w:rPr>
        <w:t>评审得分相同的，按照最后报价由低到高的顺序推荐。评审得分且最后报价相同的，按照技术指标优劣顺序推荐。</w:t>
      </w:r>
    </w:p>
    <w:p w14:paraId="092FE2EA">
      <w:pPr>
        <w:pStyle w:val="7"/>
        <w:numPr>
          <w:ilvl w:val="0"/>
          <w:numId w:val="6"/>
        </w:numPr>
        <w:rPr>
          <w:rFonts w:ascii="宋体" w:hAnsi="宋体" w:cs="宋体"/>
        </w:rPr>
      </w:pPr>
      <w:r>
        <w:rPr>
          <w:rFonts w:hint="eastAsia" w:ascii="宋体" w:hAnsi="宋体" w:cs="宋体"/>
        </w:rPr>
        <w:t>定标</w:t>
      </w:r>
      <w:bookmarkEnd w:id="76"/>
    </w:p>
    <w:p w14:paraId="4BA3FA2F">
      <w:pPr>
        <w:spacing w:line="360" w:lineRule="auto"/>
        <w:ind w:firstLine="420" w:firstLineChars="175"/>
        <w:rPr>
          <w:rFonts w:ascii="宋体" w:hAnsi="宋体" w:eastAsia="宋体" w:cs="宋体"/>
          <w:sz w:val="24"/>
        </w:rPr>
      </w:pPr>
      <w:r>
        <w:rPr>
          <w:rFonts w:hint="eastAsia" w:ascii="宋体" w:hAnsi="宋体" w:eastAsia="宋体" w:cs="宋体"/>
          <w:sz w:val="24"/>
        </w:rPr>
        <w:t>6.1代理机构在评审结束后</w:t>
      </w:r>
      <w:r>
        <w:rPr>
          <w:rFonts w:hint="eastAsia" w:ascii="宋体" w:hAnsi="宋体" w:cs="宋体"/>
          <w:sz w:val="24"/>
        </w:rPr>
        <w:t>1</w:t>
      </w:r>
      <w:r>
        <w:rPr>
          <w:rFonts w:hint="eastAsia" w:ascii="宋体" w:hAnsi="宋体" w:eastAsia="宋体" w:cs="宋体"/>
          <w:sz w:val="24"/>
        </w:rPr>
        <w:t>个工作日内将评审报告送达采购单位，采购人应当在收到评审报告后</w:t>
      </w:r>
      <w:r>
        <w:rPr>
          <w:rFonts w:hint="eastAsia" w:ascii="宋体" w:hAnsi="宋体" w:cs="宋体"/>
          <w:sz w:val="24"/>
        </w:rPr>
        <w:t>4</w:t>
      </w:r>
      <w:r>
        <w:rPr>
          <w:rFonts w:hint="eastAsia" w:ascii="宋体" w:hAnsi="宋体" w:eastAsia="宋体" w:cs="宋体"/>
          <w:sz w:val="24"/>
        </w:rPr>
        <w:t>个工作日内，按照评审报告中推荐的成交候选人顺序确认第一成交候选人为成交单位，同时书面复函代理机构；</w:t>
      </w:r>
    </w:p>
    <w:p w14:paraId="2B7D39C6">
      <w:pPr>
        <w:spacing w:line="360" w:lineRule="auto"/>
        <w:ind w:firstLine="420" w:firstLineChars="175"/>
        <w:rPr>
          <w:rFonts w:ascii="宋体" w:hAnsi="宋体" w:cs="宋体"/>
          <w:sz w:val="24"/>
        </w:rPr>
      </w:pPr>
      <w:r>
        <w:rPr>
          <w:rFonts w:hint="eastAsia" w:ascii="宋体" w:hAnsi="宋体" w:cs="宋体"/>
          <w:sz w:val="24"/>
        </w:rPr>
        <w:t>6.2代理机构收到采购单位“成交复函”后1个工作日内，在财政部门指定的政府采购信息媒体上发布公告，并向成交供应商发出“成交通知书”。</w:t>
      </w:r>
    </w:p>
    <w:p w14:paraId="42EA8770">
      <w:pPr>
        <w:widowControl/>
        <w:spacing w:line="360" w:lineRule="auto"/>
        <w:jc w:val="center"/>
        <w:outlineLvl w:val="1"/>
        <w:rPr>
          <w:rFonts w:ascii="宋体" w:hAnsi="宋体" w:cs="宋体"/>
          <w:b/>
          <w:bCs/>
          <w:kern w:val="0"/>
          <w:sz w:val="32"/>
          <w:szCs w:val="28"/>
        </w:rPr>
      </w:pPr>
      <w:bookmarkStart w:id="77" w:name="_Toc794"/>
      <w:bookmarkStart w:id="78" w:name="_Toc19972"/>
      <w:bookmarkStart w:id="79" w:name="_Toc786"/>
      <w:bookmarkStart w:id="80" w:name="_Toc25308"/>
      <w:bookmarkStart w:id="81" w:name="_Toc11742"/>
      <w:bookmarkStart w:id="82" w:name="_Toc740"/>
      <w:r>
        <w:rPr>
          <w:rFonts w:hint="eastAsia" w:ascii="宋体" w:hAnsi="宋体" w:cs="宋体"/>
          <w:b/>
          <w:bCs/>
          <w:kern w:val="0"/>
          <w:sz w:val="32"/>
          <w:szCs w:val="28"/>
        </w:rPr>
        <w:t>六、签订合同</w:t>
      </w:r>
      <w:bookmarkEnd w:id="77"/>
      <w:bookmarkEnd w:id="78"/>
      <w:bookmarkEnd w:id="79"/>
      <w:bookmarkEnd w:id="80"/>
      <w:bookmarkEnd w:id="81"/>
      <w:bookmarkEnd w:id="82"/>
    </w:p>
    <w:p w14:paraId="06C6EEB0">
      <w:pPr>
        <w:numPr>
          <w:ilvl w:val="0"/>
          <w:numId w:val="10"/>
        </w:numPr>
        <w:spacing w:line="360" w:lineRule="auto"/>
        <w:ind w:firstLine="480" w:firstLineChars="200"/>
        <w:jc w:val="left"/>
        <w:rPr>
          <w:rFonts w:ascii="宋体" w:hAnsi="宋体" w:cs="宋体"/>
          <w:sz w:val="24"/>
        </w:rPr>
      </w:pPr>
      <w:r>
        <w:rPr>
          <w:rFonts w:hint="eastAsia" w:ascii="宋体" w:hAnsi="宋体" w:cs="宋体"/>
          <w:sz w:val="24"/>
        </w:rPr>
        <w:t>成交后，成交供应商与采购人洽谈合同条款，采购人应当自中标通知书发出之日起三十日内并签订供货合同，</w:t>
      </w:r>
      <w:r>
        <w:rPr>
          <w:rFonts w:ascii="宋体" w:hAnsi="宋体"/>
          <w:sz w:val="24"/>
        </w:rPr>
        <w:t>合同的标的</w:t>
      </w:r>
      <w:r>
        <w:rPr>
          <w:rFonts w:hint="eastAsia" w:ascii="宋体" w:hAnsi="宋体"/>
          <w:sz w:val="24"/>
        </w:rPr>
        <w:t>、</w:t>
      </w:r>
      <w:r>
        <w:rPr>
          <w:rFonts w:ascii="宋体" w:hAnsi="宋体"/>
          <w:sz w:val="24"/>
        </w:rPr>
        <w:t>价款</w:t>
      </w:r>
      <w:r>
        <w:rPr>
          <w:rFonts w:hint="eastAsia" w:ascii="宋体" w:hAnsi="宋体"/>
          <w:sz w:val="24"/>
        </w:rPr>
        <w:t>、</w:t>
      </w:r>
      <w:r>
        <w:rPr>
          <w:rFonts w:ascii="宋体" w:hAnsi="宋体"/>
          <w:sz w:val="24"/>
        </w:rPr>
        <w:t>质量、履行期限等主要条款应当与</w:t>
      </w:r>
      <w:r>
        <w:rPr>
          <w:rFonts w:hint="eastAsia" w:ascii="宋体" w:hAnsi="宋体"/>
          <w:sz w:val="24"/>
        </w:rPr>
        <w:t>招标</w:t>
      </w:r>
      <w:r>
        <w:rPr>
          <w:rFonts w:ascii="宋体" w:hAnsi="宋体"/>
          <w:sz w:val="24"/>
        </w:rPr>
        <w:t>文件和</w:t>
      </w:r>
      <w:r>
        <w:rPr>
          <w:rFonts w:hint="eastAsia" w:ascii="宋体" w:hAnsi="宋体"/>
          <w:sz w:val="24"/>
        </w:rPr>
        <w:t>中标人</w:t>
      </w:r>
      <w:r>
        <w:rPr>
          <w:rFonts w:ascii="宋体" w:hAnsi="宋体"/>
          <w:sz w:val="24"/>
        </w:rPr>
        <w:t>的</w:t>
      </w:r>
      <w:r>
        <w:rPr>
          <w:rFonts w:hint="eastAsia" w:ascii="宋体" w:hAnsi="宋体"/>
          <w:sz w:val="24"/>
        </w:rPr>
        <w:t>投标</w:t>
      </w:r>
      <w:r>
        <w:rPr>
          <w:rFonts w:ascii="宋体" w:hAnsi="宋体"/>
          <w:sz w:val="24"/>
        </w:rPr>
        <w:t>文件</w:t>
      </w:r>
      <w:r>
        <w:rPr>
          <w:rFonts w:hint="eastAsia" w:ascii="宋体" w:hAnsi="宋体"/>
          <w:sz w:val="24"/>
        </w:rPr>
        <w:t>内容</w:t>
      </w:r>
      <w:r>
        <w:rPr>
          <w:rFonts w:ascii="宋体" w:hAnsi="宋体"/>
          <w:sz w:val="24"/>
        </w:rPr>
        <w:t>一致</w:t>
      </w:r>
      <w:r>
        <w:rPr>
          <w:rFonts w:hint="eastAsia" w:ascii="宋体" w:hAnsi="宋体"/>
          <w:sz w:val="24"/>
        </w:rPr>
        <w:t>；</w:t>
      </w:r>
      <w:r>
        <w:rPr>
          <w:rFonts w:ascii="宋体" w:hAnsi="宋体"/>
          <w:sz w:val="24"/>
        </w:rPr>
        <w:t>采购人或</w:t>
      </w:r>
      <w:r>
        <w:rPr>
          <w:rFonts w:hint="eastAsia" w:ascii="宋体" w:hAnsi="宋体"/>
          <w:sz w:val="24"/>
        </w:rPr>
        <w:t>中标人</w:t>
      </w:r>
      <w:r>
        <w:rPr>
          <w:rFonts w:ascii="宋体" w:hAnsi="宋体"/>
          <w:sz w:val="24"/>
        </w:rPr>
        <w:t>不得拒绝</w:t>
      </w:r>
      <w:r>
        <w:rPr>
          <w:rFonts w:hint="eastAsia" w:ascii="宋体" w:hAnsi="宋体"/>
          <w:sz w:val="24"/>
        </w:rPr>
        <w:t>或</w:t>
      </w:r>
      <w:r>
        <w:rPr>
          <w:rFonts w:ascii="宋体" w:hAnsi="宋体"/>
          <w:sz w:val="24"/>
        </w:rPr>
        <w:t>拖延与另一方签订合同,采购人和</w:t>
      </w:r>
      <w:r>
        <w:rPr>
          <w:rFonts w:hint="eastAsia" w:ascii="宋体" w:hAnsi="宋体"/>
          <w:sz w:val="24"/>
        </w:rPr>
        <w:t>中标人</w:t>
      </w:r>
      <w:r>
        <w:rPr>
          <w:rFonts w:ascii="宋体" w:hAnsi="宋体"/>
          <w:sz w:val="24"/>
        </w:rPr>
        <w:t>不得再行订立背离</w:t>
      </w:r>
      <w:r>
        <w:rPr>
          <w:rFonts w:hint="eastAsia" w:ascii="宋体" w:hAnsi="宋体"/>
          <w:sz w:val="24"/>
        </w:rPr>
        <w:t>招标</w:t>
      </w:r>
      <w:r>
        <w:rPr>
          <w:rFonts w:ascii="宋体" w:hAnsi="宋体"/>
          <w:sz w:val="24"/>
        </w:rPr>
        <w:t>文件</w:t>
      </w:r>
      <w:r>
        <w:rPr>
          <w:rFonts w:hint="eastAsia" w:ascii="宋体" w:hAnsi="宋体"/>
          <w:sz w:val="24"/>
        </w:rPr>
        <w:t>、投标</w:t>
      </w:r>
      <w:r>
        <w:rPr>
          <w:rFonts w:ascii="宋体" w:hAnsi="宋体"/>
          <w:sz w:val="24"/>
        </w:rPr>
        <w:t>文件实质性内容的其他协议或其他附加条件</w:t>
      </w:r>
      <w:r>
        <w:rPr>
          <w:rFonts w:hint="eastAsia" w:ascii="宋体" w:hAnsi="宋体"/>
          <w:sz w:val="24"/>
        </w:rPr>
        <w:t>，合同签订后</w:t>
      </w:r>
      <w:r>
        <w:rPr>
          <w:rFonts w:hint="eastAsia" w:ascii="宋体" w:hAnsi="宋体" w:cs="宋体"/>
          <w:sz w:val="24"/>
        </w:rPr>
        <w:t>同时送代理机构归档，竞争性磋商文件及成交供应商的磋商响应文件均作为合同的组成部分。</w:t>
      </w:r>
    </w:p>
    <w:p w14:paraId="0EBAD870">
      <w:pPr>
        <w:pStyle w:val="6"/>
        <w:spacing w:line="360" w:lineRule="auto"/>
        <w:rPr>
          <w:rFonts w:eastAsia="宋体"/>
        </w:rPr>
      </w:pPr>
      <w:r>
        <w:rPr>
          <w:rFonts w:hint="eastAsia" w:ascii="宋体" w:hAnsi="宋体" w:cs="宋体"/>
          <w:sz w:val="24"/>
        </w:rPr>
        <w:t xml:space="preserve">   2、政府采购合同履行中，采购人需追加与合同标的相同的货物、工程或者服务的，在不改变合同其他条款的前提下，可以根据相关政策法规与中标人协商签订补充合同。</w:t>
      </w:r>
    </w:p>
    <w:p w14:paraId="2BB391AF">
      <w:pPr>
        <w:spacing w:line="360" w:lineRule="auto"/>
        <w:ind w:firstLine="480" w:firstLineChars="200"/>
        <w:jc w:val="left"/>
        <w:rPr>
          <w:rFonts w:ascii="宋体" w:hAnsi="宋体" w:cs="宋体"/>
          <w:sz w:val="24"/>
        </w:rPr>
      </w:pPr>
      <w:r>
        <w:rPr>
          <w:rFonts w:hint="eastAsia" w:ascii="宋体" w:hAnsi="宋体" w:cs="宋体"/>
          <w:sz w:val="24"/>
        </w:rPr>
        <w:t>3、根据需要，代理机构应协助采购人监督、协调和处理履约过程中出现的</w:t>
      </w:r>
    </w:p>
    <w:p w14:paraId="6E1FC70D">
      <w:pPr>
        <w:spacing w:line="360" w:lineRule="auto"/>
        <w:jc w:val="left"/>
        <w:rPr>
          <w:rFonts w:ascii="宋体" w:hAnsi="宋体" w:cs="宋体"/>
          <w:sz w:val="24"/>
        </w:rPr>
      </w:pPr>
      <w:r>
        <w:rPr>
          <w:rFonts w:hint="eastAsia" w:ascii="宋体" w:hAnsi="宋体" w:cs="宋体"/>
          <w:sz w:val="24"/>
        </w:rPr>
        <w:t>问题。</w:t>
      </w:r>
    </w:p>
    <w:p w14:paraId="331F6A20">
      <w:pPr>
        <w:spacing w:line="460" w:lineRule="exact"/>
        <w:ind w:firstLine="480" w:firstLineChars="200"/>
        <w:rPr>
          <w:rFonts w:ascii="宋体" w:hAnsi="宋体"/>
          <w:sz w:val="24"/>
        </w:rPr>
      </w:pPr>
      <w:r>
        <w:rPr>
          <w:rFonts w:hint="eastAsia" w:ascii="宋体" w:hAnsi="宋体"/>
          <w:sz w:val="24"/>
        </w:rPr>
        <w:t>4、中标人</w:t>
      </w:r>
      <w:r>
        <w:rPr>
          <w:rFonts w:ascii="宋体" w:hAnsi="宋体"/>
          <w:sz w:val="24"/>
        </w:rPr>
        <w:t>应当按照合同约定履行义务，完成</w:t>
      </w:r>
      <w:r>
        <w:rPr>
          <w:rFonts w:hint="eastAsia" w:ascii="宋体" w:hAnsi="宋体"/>
          <w:sz w:val="24"/>
        </w:rPr>
        <w:t>中标</w:t>
      </w:r>
      <w:r>
        <w:rPr>
          <w:rFonts w:ascii="宋体" w:hAnsi="宋体"/>
          <w:sz w:val="24"/>
        </w:rPr>
        <w:t>的项目。</w:t>
      </w:r>
      <w:r>
        <w:rPr>
          <w:rFonts w:hint="eastAsia" w:ascii="宋体" w:hAnsi="宋体"/>
          <w:sz w:val="24"/>
        </w:rPr>
        <w:t>中标人</w:t>
      </w:r>
      <w:r>
        <w:rPr>
          <w:rFonts w:ascii="宋体" w:hAnsi="宋体"/>
          <w:sz w:val="24"/>
        </w:rPr>
        <w:t>不得向他人转让</w:t>
      </w:r>
      <w:r>
        <w:rPr>
          <w:rFonts w:hint="eastAsia" w:ascii="宋体" w:hAnsi="宋体"/>
          <w:sz w:val="24"/>
        </w:rPr>
        <w:t>中标</w:t>
      </w:r>
      <w:r>
        <w:rPr>
          <w:rFonts w:ascii="宋体" w:hAnsi="宋体"/>
          <w:sz w:val="24"/>
        </w:rPr>
        <w:t>的</w:t>
      </w:r>
      <w:r>
        <w:rPr>
          <w:rFonts w:hint="eastAsia" w:ascii="宋体" w:hAnsi="宋体"/>
          <w:sz w:val="24"/>
        </w:rPr>
        <w:t>项目</w:t>
      </w:r>
      <w:r>
        <w:rPr>
          <w:rFonts w:ascii="宋体" w:hAnsi="宋体"/>
          <w:sz w:val="24"/>
        </w:rPr>
        <w:t>。</w:t>
      </w:r>
    </w:p>
    <w:p w14:paraId="0F7DF1BD">
      <w:pPr>
        <w:spacing w:line="460" w:lineRule="exact"/>
        <w:ind w:firstLine="480" w:firstLineChars="200"/>
      </w:pPr>
      <w:r>
        <w:rPr>
          <w:rFonts w:hint="eastAsia" w:ascii="宋体" w:hAnsi="宋体"/>
          <w:sz w:val="24"/>
        </w:rPr>
        <w:t>5、</w:t>
      </w:r>
      <w:r>
        <w:rPr>
          <w:rFonts w:ascii="宋体" w:hAnsi="宋体"/>
          <w:sz w:val="24"/>
        </w:rPr>
        <w:t>政府采购管理部门</w:t>
      </w:r>
      <w:r>
        <w:rPr>
          <w:rFonts w:hint="eastAsia" w:ascii="宋体" w:hAnsi="宋体"/>
          <w:sz w:val="24"/>
        </w:rPr>
        <w:t>在合同履行期间以及履行期后，可以随时检查项目的执行情况，对采购标准、采购内容进行调查核实，并对发现的问题进行处理。</w:t>
      </w:r>
    </w:p>
    <w:p w14:paraId="7F8B1543">
      <w:pPr>
        <w:pStyle w:val="6"/>
        <w:ind w:left="420" w:leftChars="200"/>
      </w:pPr>
    </w:p>
    <w:p w14:paraId="3B6B8FC1">
      <w:pPr>
        <w:widowControl/>
        <w:spacing w:line="360" w:lineRule="auto"/>
        <w:jc w:val="center"/>
        <w:outlineLvl w:val="1"/>
        <w:rPr>
          <w:rFonts w:ascii="宋体" w:hAnsi="宋体" w:cs="宋体"/>
          <w:b/>
          <w:bCs/>
          <w:kern w:val="0"/>
          <w:sz w:val="32"/>
          <w:szCs w:val="28"/>
        </w:rPr>
      </w:pPr>
      <w:bookmarkStart w:id="83" w:name="_Toc21099"/>
      <w:bookmarkStart w:id="84" w:name="_Toc28603"/>
      <w:bookmarkStart w:id="85" w:name="_Toc26132"/>
      <w:bookmarkStart w:id="86" w:name="_Toc28110"/>
      <w:bookmarkStart w:id="87" w:name="_Toc6476"/>
      <w:bookmarkStart w:id="88" w:name="_Toc8089"/>
      <w:r>
        <w:rPr>
          <w:rFonts w:hint="eastAsia" w:ascii="宋体" w:hAnsi="宋体" w:cs="宋体"/>
          <w:b/>
          <w:bCs/>
          <w:kern w:val="0"/>
          <w:sz w:val="32"/>
          <w:szCs w:val="28"/>
        </w:rPr>
        <w:t>七、代理服务费</w:t>
      </w:r>
      <w:bookmarkEnd w:id="83"/>
      <w:bookmarkEnd w:id="84"/>
      <w:bookmarkEnd w:id="85"/>
      <w:bookmarkEnd w:id="86"/>
      <w:bookmarkEnd w:id="87"/>
      <w:bookmarkEnd w:id="88"/>
    </w:p>
    <w:p w14:paraId="33C871E3">
      <w:pPr>
        <w:spacing w:line="560" w:lineRule="exact"/>
        <w:ind w:firstLine="480" w:firstLineChars="200"/>
        <w:jc w:val="left"/>
        <w:rPr>
          <w:rFonts w:ascii="宋体" w:hAnsi="宋体" w:cs="宋体"/>
          <w:sz w:val="24"/>
          <w:szCs w:val="24"/>
        </w:rPr>
      </w:pPr>
      <w:r>
        <w:rPr>
          <w:rFonts w:hint="eastAsia" w:ascii="宋体" w:hAnsi="宋体" w:cs="宋体"/>
          <w:sz w:val="24"/>
          <w:szCs w:val="24"/>
        </w:rPr>
        <w:t>1、以本采购项目中标价为基数，参照国家计委关于印发《招标代理服务收费管理暂行办法》的通知（计价格[2002]1980号）和发改办价格[2003]857号规定，由中标人在领取中标通知书时向代理机构缴纳。</w:t>
      </w:r>
    </w:p>
    <w:p w14:paraId="01C39093">
      <w:pPr>
        <w:spacing w:line="560" w:lineRule="exact"/>
        <w:ind w:firstLine="480" w:firstLineChars="200"/>
        <w:jc w:val="left"/>
        <w:rPr>
          <w:rFonts w:ascii="宋体" w:hAnsi="宋体" w:cs="宋体"/>
          <w:sz w:val="24"/>
          <w:szCs w:val="24"/>
        </w:rPr>
      </w:pPr>
      <w:r>
        <w:rPr>
          <w:rFonts w:hint="eastAsia" w:ascii="宋体" w:hAnsi="宋体" w:cs="宋体"/>
          <w:sz w:val="24"/>
          <w:szCs w:val="24"/>
        </w:rPr>
        <w:t>2、</w:t>
      </w:r>
      <w:r>
        <w:rPr>
          <w:rFonts w:hint="eastAsia" w:asciiTheme="minorEastAsia" w:hAnsiTheme="minorEastAsia" w:cstheme="minorEastAsia"/>
          <w:sz w:val="24"/>
          <w:szCs w:val="24"/>
        </w:rPr>
        <w:t>供应商将招标代理服务费计入投标报价但不单独列明，中标单位在领取中标通知书前，须向采购代理机构一次性支付招标代理服务费；代理服务费以转账、电汇或现金等形式交纳</w:t>
      </w:r>
      <w:r>
        <w:rPr>
          <w:rFonts w:hint="eastAsia" w:ascii="宋体" w:hAnsi="宋体" w:cs="宋体"/>
          <w:sz w:val="24"/>
          <w:szCs w:val="24"/>
        </w:rPr>
        <w:t>。</w:t>
      </w:r>
    </w:p>
    <w:p w14:paraId="12ABDCC1">
      <w:pPr>
        <w:widowControl/>
        <w:spacing w:line="360" w:lineRule="auto"/>
        <w:jc w:val="center"/>
        <w:outlineLvl w:val="1"/>
        <w:rPr>
          <w:rFonts w:ascii="宋体" w:hAnsi="宋体" w:cs="宋体"/>
          <w:b/>
          <w:bCs/>
          <w:kern w:val="0"/>
          <w:sz w:val="32"/>
          <w:szCs w:val="28"/>
        </w:rPr>
      </w:pPr>
      <w:bookmarkStart w:id="89" w:name="_Toc4623"/>
      <w:bookmarkStart w:id="90" w:name="_Toc32579"/>
      <w:r>
        <w:rPr>
          <w:rFonts w:hint="eastAsia" w:ascii="宋体" w:hAnsi="宋体" w:cs="宋体"/>
          <w:b/>
          <w:bCs/>
          <w:kern w:val="0"/>
          <w:sz w:val="32"/>
          <w:szCs w:val="28"/>
        </w:rPr>
        <w:t>八、履约验收</w:t>
      </w:r>
      <w:bookmarkEnd w:id="89"/>
      <w:bookmarkEnd w:id="90"/>
    </w:p>
    <w:p w14:paraId="67D41BFA">
      <w:pPr>
        <w:spacing w:line="560" w:lineRule="exact"/>
        <w:ind w:firstLine="480" w:firstLineChars="200"/>
        <w:jc w:val="left"/>
        <w:rPr>
          <w:rFonts w:ascii="宋体" w:hAnsi="宋体" w:cs="宋体"/>
          <w:sz w:val="24"/>
          <w:szCs w:val="24"/>
        </w:rPr>
      </w:pPr>
      <w:r>
        <w:rPr>
          <w:rFonts w:hint="eastAsia" w:ascii="宋体" w:hAnsi="宋体" w:cs="宋体"/>
          <w:sz w:val="24"/>
          <w:szCs w:val="24"/>
        </w:rPr>
        <w:t>1、政府采购合同的履行、违约责任和解决争议的方法等适用《中华人民共和国民法典》。采购人按照政府采购合同规定的技术、服务、安全标准组织对供应商履约情况进行验收，并出具验收书。</w:t>
      </w:r>
    </w:p>
    <w:p w14:paraId="158C83BA">
      <w:pPr>
        <w:spacing w:line="560" w:lineRule="exact"/>
        <w:ind w:firstLine="480" w:firstLineChars="200"/>
        <w:jc w:val="left"/>
        <w:rPr>
          <w:rFonts w:ascii="宋体" w:hAnsi="宋体" w:cs="宋体"/>
          <w:sz w:val="24"/>
          <w:szCs w:val="24"/>
        </w:rPr>
      </w:pPr>
      <w:r>
        <w:rPr>
          <w:rFonts w:hint="eastAsia" w:ascii="宋体" w:hAnsi="宋体" w:cs="宋体"/>
          <w:sz w:val="24"/>
          <w:szCs w:val="24"/>
        </w:rPr>
        <w:t>2、履约验收的费用及要求详见“供应商须知前附表”</w:t>
      </w:r>
    </w:p>
    <w:p w14:paraId="1805CA25">
      <w:pPr>
        <w:widowControl/>
        <w:spacing w:line="360" w:lineRule="auto"/>
        <w:jc w:val="center"/>
        <w:outlineLvl w:val="1"/>
        <w:rPr>
          <w:rFonts w:ascii="宋体" w:hAnsi="宋体" w:cs="宋体"/>
          <w:b/>
          <w:bCs/>
          <w:kern w:val="0"/>
          <w:sz w:val="32"/>
          <w:szCs w:val="28"/>
        </w:rPr>
      </w:pPr>
      <w:bookmarkStart w:id="91" w:name="_Toc28287"/>
      <w:bookmarkStart w:id="92" w:name="_Toc32648"/>
      <w:bookmarkStart w:id="93" w:name="_Toc16736"/>
      <w:r>
        <w:rPr>
          <w:rFonts w:hint="eastAsia" w:ascii="宋体" w:hAnsi="宋体" w:cs="宋体"/>
          <w:b/>
          <w:bCs/>
          <w:kern w:val="0"/>
          <w:sz w:val="32"/>
          <w:szCs w:val="28"/>
        </w:rPr>
        <w:t>九、质疑和投诉</w:t>
      </w:r>
      <w:bookmarkEnd w:id="91"/>
      <w:bookmarkEnd w:id="92"/>
      <w:bookmarkEnd w:id="93"/>
    </w:p>
    <w:p w14:paraId="05E4D5E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14:paraId="5ECCC71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14:paraId="4552A0D8">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9.2 质疑文件应当包括下列主要内容：</w:t>
      </w:r>
    </w:p>
    <w:p w14:paraId="4DFBD0C4">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14:paraId="4AD45CB8">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14:paraId="4E0548AE">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14:paraId="30B37872">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4）提出质疑的日期。</w:t>
      </w:r>
    </w:p>
    <w:p w14:paraId="17325D35">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9.3 质疑函应当署名。质疑供应商为自然人的，应当由本人签字；质疑供应商为法人或者其他组织的，应当由法定代表人或者主要负责人签字盖章并加盖公章。</w:t>
      </w:r>
    </w:p>
    <w:p w14:paraId="7712ABDF">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9.4 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511026D2">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9.5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1498AD33">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9.6质疑供应商对采购人、采购代理机构的质疑答复不满意，或者采购人、采购代理机构未在规定期限内作出答复的，可以在答复期满后15个工作日内向采购人的同级政府采购监督管理部门提起投诉。</w:t>
      </w:r>
    </w:p>
    <w:p w14:paraId="642AECC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9.7 质疑受理部门：陕西万泽招标有限公司。</w:t>
      </w:r>
    </w:p>
    <w:p w14:paraId="1025F7D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9.8 提交质疑文件地点：</w:t>
      </w:r>
      <w:r>
        <w:rPr>
          <w:rFonts w:hint="eastAsia" w:ascii="宋体" w:hAnsi="宋体" w:cs="宋体"/>
          <w:kern w:val="0"/>
          <w:sz w:val="24"/>
          <w:szCs w:val="24"/>
        </w:rPr>
        <w:t>西安市高新区唐延路旺座现代城C座25楼2502室</w:t>
      </w:r>
      <w:r>
        <w:rPr>
          <w:rFonts w:hint="eastAsia" w:asciiTheme="minorEastAsia" w:hAnsiTheme="minorEastAsia" w:cstheme="minorEastAsia"/>
          <w:sz w:val="24"/>
          <w:szCs w:val="24"/>
        </w:rPr>
        <w:t>。</w:t>
      </w:r>
    </w:p>
    <w:p w14:paraId="333557B3">
      <w:pPr>
        <w:spacing w:line="360" w:lineRule="auto"/>
        <w:ind w:right="-319" w:rightChars="-152"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9.9 本次采购活动中，采购代理机构对质疑回复等文件的送达方式为现场取件。</w:t>
      </w:r>
    </w:p>
    <w:p w14:paraId="6C95CC3B">
      <w:pPr>
        <w:ind w:firstLine="480" w:firstLineChars="200"/>
      </w:pPr>
      <w:r>
        <w:rPr>
          <w:rFonts w:hint="eastAsia" w:asciiTheme="minorEastAsia" w:hAnsiTheme="minorEastAsia" w:cstheme="minorEastAsia"/>
          <w:sz w:val="24"/>
          <w:szCs w:val="24"/>
        </w:rPr>
        <w:t>9.10 质疑函应当使用中文。质疑函范本详见附件六。</w:t>
      </w:r>
    </w:p>
    <w:p w14:paraId="2A83E22E">
      <w:r>
        <w:rPr>
          <w:rFonts w:hint="eastAsia"/>
        </w:rPr>
        <w:br w:type="page"/>
      </w:r>
    </w:p>
    <w:p w14:paraId="06163214">
      <w:pPr>
        <w:pStyle w:val="4"/>
      </w:pPr>
      <w:bookmarkStart w:id="94" w:name="_Toc20895"/>
      <w:r>
        <w:rPr>
          <w:rFonts w:hint="eastAsia"/>
        </w:rPr>
        <w:t xml:space="preserve">第四部分  </w:t>
      </w:r>
      <w:bookmarkEnd w:id="16"/>
      <w:r>
        <w:rPr>
          <w:rFonts w:hint="eastAsia"/>
        </w:rPr>
        <w:t>评审办法</w:t>
      </w:r>
      <w:bookmarkEnd w:id="17"/>
      <w:bookmarkEnd w:id="94"/>
    </w:p>
    <w:p w14:paraId="6930C87F">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本次评标采用综合评分法，综合评分因素的主要因素为价格、技术、业绩、服务等以及对招标文件的响应程度。每一供应商的最终得分为所有评委评分的算数平均值。</w:t>
      </w:r>
    </w:p>
    <w:p w14:paraId="420A1A99">
      <w:pPr>
        <w:spacing w:line="500" w:lineRule="exact"/>
        <w:ind w:firstLine="482" w:firstLineChars="200"/>
        <w:jc w:val="center"/>
      </w:pPr>
      <w:r>
        <w:rPr>
          <w:rFonts w:hint="eastAsia" w:asciiTheme="minorEastAsia" w:hAnsiTheme="minorEastAsia" w:cstheme="minorEastAsia"/>
          <w:b/>
          <w:bCs/>
          <w:sz w:val="24"/>
          <w:szCs w:val="24"/>
        </w:rPr>
        <w:t>评审标准</w:t>
      </w:r>
    </w:p>
    <w:tbl>
      <w:tblPr>
        <w:tblStyle w:val="29"/>
        <w:tblpPr w:leftFromText="180" w:rightFromText="180" w:vertAnchor="text" w:horzAnchor="page" w:tblpX="1767" w:tblpY="365"/>
        <w:tblOverlap w:val="never"/>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700"/>
        <w:gridCol w:w="925"/>
        <w:gridCol w:w="4810"/>
        <w:gridCol w:w="1321"/>
      </w:tblGrid>
      <w:tr w14:paraId="2B33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121" w:type="dxa"/>
            <w:vAlign w:val="center"/>
          </w:tcPr>
          <w:p w14:paraId="684AE939">
            <w:pPr>
              <w:pStyle w:val="16"/>
              <w:rPr>
                <w:rFonts w:ascii="宋体" w:hAnsi="宋体" w:cs="宋体"/>
                <w:b/>
                <w:bCs/>
                <w:sz w:val="21"/>
                <w:szCs w:val="21"/>
              </w:rPr>
            </w:pPr>
            <w:r>
              <w:rPr>
                <w:rFonts w:hint="eastAsia" w:ascii="宋体" w:hAnsi="宋体" w:cs="宋体"/>
                <w:b/>
                <w:bCs/>
                <w:sz w:val="21"/>
                <w:szCs w:val="21"/>
              </w:rPr>
              <w:t>评审项及最高得分</w:t>
            </w:r>
          </w:p>
        </w:tc>
        <w:tc>
          <w:tcPr>
            <w:tcW w:w="700" w:type="dxa"/>
            <w:vAlign w:val="center"/>
          </w:tcPr>
          <w:p w14:paraId="1B4B7C70">
            <w:pPr>
              <w:jc w:val="center"/>
              <w:rPr>
                <w:rFonts w:ascii="宋体" w:hAnsi="宋体" w:cs="宋体"/>
                <w:b/>
                <w:bCs/>
                <w:szCs w:val="21"/>
              </w:rPr>
            </w:pPr>
            <w:r>
              <w:rPr>
                <w:rFonts w:hint="eastAsia" w:ascii="宋体" w:hAnsi="宋体" w:cs="宋体"/>
                <w:b/>
                <w:bCs/>
                <w:szCs w:val="21"/>
              </w:rPr>
              <w:t>评审</w:t>
            </w:r>
          </w:p>
          <w:p w14:paraId="54182691">
            <w:pPr>
              <w:jc w:val="center"/>
              <w:rPr>
                <w:rFonts w:ascii="宋体" w:hAnsi="宋体" w:cs="宋体"/>
                <w:b/>
                <w:bCs/>
                <w:szCs w:val="21"/>
              </w:rPr>
            </w:pPr>
            <w:r>
              <w:rPr>
                <w:rFonts w:hint="eastAsia" w:ascii="宋体" w:hAnsi="宋体" w:cs="宋体"/>
                <w:b/>
                <w:bCs/>
                <w:szCs w:val="21"/>
              </w:rPr>
              <w:t>内容</w:t>
            </w:r>
          </w:p>
        </w:tc>
        <w:tc>
          <w:tcPr>
            <w:tcW w:w="925" w:type="dxa"/>
            <w:vAlign w:val="center"/>
          </w:tcPr>
          <w:p w14:paraId="6A1FA0A3">
            <w:pPr>
              <w:jc w:val="center"/>
              <w:rPr>
                <w:rFonts w:ascii="宋体" w:hAnsi="宋体" w:cs="宋体"/>
                <w:b/>
                <w:bCs/>
                <w:szCs w:val="21"/>
              </w:rPr>
            </w:pPr>
            <w:r>
              <w:rPr>
                <w:rFonts w:hint="eastAsia" w:ascii="宋体" w:hAnsi="宋体" w:cs="宋体"/>
                <w:b/>
                <w:bCs/>
                <w:szCs w:val="21"/>
              </w:rPr>
              <w:t>分项</w:t>
            </w:r>
          </w:p>
          <w:p w14:paraId="4D704584">
            <w:pPr>
              <w:jc w:val="center"/>
              <w:rPr>
                <w:rFonts w:ascii="宋体" w:hAnsi="宋体" w:cs="宋体"/>
                <w:b/>
                <w:bCs/>
                <w:szCs w:val="21"/>
              </w:rPr>
            </w:pPr>
            <w:r>
              <w:rPr>
                <w:rFonts w:hint="eastAsia" w:ascii="宋体" w:hAnsi="宋体" w:cs="宋体"/>
                <w:b/>
                <w:bCs/>
                <w:szCs w:val="21"/>
              </w:rPr>
              <w:t>得分</w:t>
            </w:r>
          </w:p>
        </w:tc>
        <w:tc>
          <w:tcPr>
            <w:tcW w:w="4810" w:type="dxa"/>
            <w:vAlign w:val="center"/>
          </w:tcPr>
          <w:p w14:paraId="121F5910">
            <w:pPr>
              <w:jc w:val="center"/>
              <w:rPr>
                <w:rFonts w:ascii="宋体" w:hAnsi="宋体" w:cs="宋体"/>
                <w:b/>
                <w:bCs/>
                <w:szCs w:val="21"/>
              </w:rPr>
            </w:pPr>
            <w:r>
              <w:rPr>
                <w:rFonts w:hint="eastAsia" w:ascii="宋体" w:hAnsi="宋体" w:cs="宋体"/>
                <w:b/>
                <w:bCs/>
                <w:szCs w:val="21"/>
              </w:rPr>
              <w:t>评审要素</w:t>
            </w:r>
          </w:p>
          <w:p w14:paraId="4495F4FA">
            <w:pPr>
              <w:jc w:val="center"/>
              <w:rPr>
                <w:rFonts w:ascii="宋体" w:hAnsi="宋体" w:cs="宋体"/>
                <w:b/>
                <w:bCs/>
                <w:szCs w:val="21"/>
              </w:rPr>
            </w:pPr>
          </w:p>
        </w:tc>
        <w:tc>
          <w:tcPr>
            <w:tcW w:w="1321" w:type="dxa"/>
            <w:vAlign w:val="center"/>
          </w:tcPr>
          <w:p w14:paraId="1065A836">
            <w:pPr>
              <w:jc w:val="center"/>
              <w:rPr>
                <w:rFonts w:ascii="宋体" w:hAnsi="宋体" w:cs="宋体"/>
                <w:b/>
                <w:bCs/>
                <w:szCs w:val="21"/>
              </w:rPr>
            </w:pPr>
            <w:r>
              <w:rPr>
                <w:rFonts w:hint="eastAsia" w:ascii="宋体" w:hAnsi="宋体" w:cs="宋体"/>
                <w:b/>
                <w:bCs/>
                <w:szCs w:val="21"/>
              </w:rPr>
              <w:t>备注</w:t>
            </w:r>
          </w:p>
        </w:tc>
      </w:tr>
      <w:tr w14:paraId="5F0C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trPr>
        <w:tc>
          <w:tcPr>
            <w:tcW w:w="1121" w:type="dxa"/>
            <w:vAlign w:val="center"/>
          </w:tcPr>
          <w:p w14:paraId="2CD84BB3">
            <w:pPr>
              <w:jc w:val="center"/>
              <w:rPr>
                <w:rFonts w:ascii="宋体" w:hAnsi="宋体" w:cs="宋体"/>
                <w:b/>
                <w:bCs/>
                <w:szCs w:val="21"/>
              </w:rPr>
            </w:pPr>
            <w:r>
              <w:rPr>
                <w:rFonts w:hint="eastAsia" w:ascii="宋体" w:hAnsi="宋体" w:cs="宋体"/>
                <w:szCs w:val="21"/>
              </w:rPr>
              <w:t>价格部分（</w:t>
            </w:r>
            <w:r>
              <w:rPr>
                <w:rFonts w:hint="eastAsia" w:ascii="宋体" w:hAnsi="宋体" w:cs="宋体"/>
                <w:szCs w:val="21"/>
                <w:lang w:val="en-US" w:eastAsia="zh-CN"/>
              </w:rPr>
              <w:t>15</w:t>
            </w:r>
            <w:r>
              <w:rPr>
                <w:rFonts w:hint="eastAsia" w:ascii="宋体" w:hAnsi="宋体" w:cs="宋体"/>
                <w:szCs w:val="21"/>
              </w:rPr>
              <w:t>分）</w:t>
            </w:r>
          </w:p>
        </w:tc>
        <w:tc>
          <w:tcPr>
            <w:tcW w:w="700" w:type="dxa"/>
            <w:vAlign w:val="center"/>
          </w:tcPr>
          <w:p w14:paraId="132614C6">
            <w:pPr>
              <w:rPr>
                <w:rFonts w:ascii="宋体" w:hAnsi="宋体" w:cs="宋体"/>
                <w:b/>
                <w:bCs/>
                <w:szCs w:val="21"/>
              </w:rPr>
            </w:pPr>
            <w:r>
              <w:rPr>
                <w:rFonts w:hint="eastAsia" w:ascii="宋体" w:hAnsi="宋体" w:cs="宋体"/>
                <w:szCs w:val="21"/>
              </w:rPr>
              <w:t>响应报价得分</w:t>
            </w:r>
          </w:p>
        </w:tc>
        <w:tc>
          <w:tcPr>
            <w:tcW w:w="925" w:type="dxa"/>
            <w:vAlign w:val="center"/>
          </w:tcPr>
          <w:p w14:paraId="12223BD8">
            <w:pPr>
              <w:rPr>
                <w:rFonts w:ascii="宋体" w:hAnsi="宋体" w:cs="宋体"/>
                <w:b/>
                <w:bCs/>
                <w:szCs w:val="21"/>
              </w:rPr>
            </w:pPr>
            <w:r>
              <w:rPr>
                <w:rFonts w:hint="eastAsia" w:ascii="宋体" w:hAnsi="宋体" w:cs="宋体"/>
                <w:szCs w:val="21"/>
                <w:lang w:val="en-US" w:eastAsia="zh-CN"/>
              </w:rPr>
              <w:t>15</w:t>
            </w:r>
            <w:r>
              <w:rPr>
                <w:rFonts w:hint="eastAsia" w:ascii="宋体" w:hAnsi="宋体" w:cs="宋体"/>
                <w:szCs w:val="21"/>
              </w:rPr>
              <w:t>分</w:t>
            </w:r>
          </w:p>
        </w:tc>
        <w:tc>
          <w:tcPr>
            <w:tcW w:w="4810" w:type="dxa"/>
            <w:vAlign w:val="center"/>
          </w:tcPr>
          <w:p w14:paraId="02C3754C">
            <w:pPr>
              <w:pStyle w:val="71"/>
              <w:ind w:firstLine="0" w:firstLineChars="0"/>
              <w:rPr>
                <w:rFonts w:hint="eastAsia" w:ascii="宋体" w:hAnsi="宋体" w:eastAsia="宋体" w:cs="宋体"/>
                <w:szCs w:val="21"/>
              </w:rPr>
            </w:pPr>
            <w:r>
              <w:rPr>
                <w:rFonts w:hint="eastAsia" w:ascii="宋体" w:hAnsi="宋体" w:eastAsia="宋体" w:cs="宋体"/>
                <w:szCs w:val="21"/>
              </w:rPr>
              <w:t>1、经初审合格的磋商文件，其磋商报价为有效磋商报价；</w:t>
            </w:r>
          </w:p>
          <w:p w14:paraId="553BB554">
            <w:pPr>
              <w:pStyle w:val="71"/>
              <w:ind w:firstLine="0" w:firstLineChars="0"/>
              <w:rPr>
                <w:rFonts w:hint="eastAsia" w:ascii="宋体" w:hAnsi="宋体" w:eastAsia="宋体" w:cs="宋体"/>
                <w:szCs w:val="21"/>
              </w:rPr>
            </w:pPr>
            <w:r>
              <w:rPr>
                <w:rFonts w:hint="eastAsia" w:ascii="宋体" w:hAnsi="宋体" w:eastAsia="宋体" w:cs="宋体"/>
                <w:szCs w:val="21"/>
              </w:rPr>
              <w:t>2、满足磋商文件要求且最终提交价格最低的响应报价为评标基准价。</w:t>
            </w:r>
          </w:p>
          <w:p w14:paraId="193137A5">
            <w:pPr>
              <w:pStyle w:val="71"/>
              <w:ind w:firstLine="0" w:firstLineChars="0"/>
              <w:rPr>
                <w:rFonts w:hint="eastAsia" w:ascii="宋体" w:hAnsi="宋体" w:eastAsia="宋体" w:cs="宋体"/>
                <w:szCs w:val="21"/>
              </w:rPr>
            </w:pPr>
            <w:r>
              <w:rPr>
                <w:rFonts w:hint="eastAsia" w:ascii="宋体" w:hAnsi="宋体" w:eastAsia="宋体" w:cs="宋体"/>
                <w:szCs w:val="21"/>
              </w:rPr>
              <w:t>3、响应报价得分=(评审基准价／最终响应报价)×15</w:t>
            </w:r>
          </w:p>
          <w:p w14:paraId="773165D5">
            <w:pPr>
              <w:pStyle w:val="71"/>
              <w:ind w:firstLine="0" w:firstLineChars="0"/>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、磋商报价不完整的，本项得0分。</w:t>
            </w:r>
          </w:p>
        </w:tc>
        <w:tc>
          <w:tcPr>
            <w:tcW w:w="1321" w:type="dxa"/>
            <w:vAlign w:val="center"/>
          </w:tcPr>
          <w:p w14:paraId="78E3652A">
            <w:pPr>
              <w:pStyle w:val="71"/>
              <w:ind w:firstLine="0" w:firstLineChars="0"/>
              <w:rPr>
                <w:rFonts w:ascii="宋体" w:hAnsi="宋体" w:cs="宋体"/>
                <w:szCs w:val="21"/>
              </w:rPr>
            </w:pPr>
            <w:r>
              <w:rPr>
                <w:rFonts w:hint="eastAsia" w:ascii="宋体" w:hAnsi="宋体" w:cs="宋体"/>
                <w:szCs w:val="21"/>
              </w:rPr>
              <w:t>报价政策性优惠见评分办法备注</w:t>
            </w:r>
          </w:p>
        </w:tc>
      </w:tr>
      <w:tr w14:paraId="6691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1121" w:type="dxa"/>
            <w:vMerge w:val="restart"/>
            <w:vAlign w:val="center"/>
          </w:tcPr>
          <w:p w14:paraId="787E9D6F">
            <w:pPr>
              <w:jc w:val="center"/>
              <w:rPr>
                <w:rFonts w:ascii="宋体" w:hAnsi="宋体" w:cs="宋体"/>
                <w:szCs w:val="21"/>
              </w:rPr>
            </w:pPr>
            <w:r>
              <w:rPr>
                <w:rFonts w:hint="eastAsia" w:ascii="宋体" w:hAnsi="宋体" w:cs="宋体"/>
                <w:szCs w:val="21"/>
              </w:rPr>
              <w:t>技术部分（</w:t>
            </w:r>
            <w:r>
              <w:rPr>
                <w:rFonts w:hint="eastAsia" w:ascii="宋体" w:hAnsi="宋体" w:cs="宋体"/>
                <w:szCs w:val="21"/>
                <w:lang w:val="en-US" w:eastAsia="zh-CN"/>
              </w:rPr>
              <w:t>66</w:t>
            </w:r>
            <w:r>
              <w:rPr>
                <w:rFonts w:hint="eastAsia" w:ascii="宋体" w:hAnsi="宋体" w:cs="宋体"/>
                <w:szCs w:val="21"/>
              </w:rPr>
              <w:t>分）</w:t>
            </w:r>
          </w:p>
          <w:p w14:paraId="12005BC5"/>
        </w:tc>
        <w:tc>
          <w:tcPr>
            <w:tcW w:w="700" w:type="dxa"/>
            <w:vAlign w:val="center"/>
          </w:tcPr>
          <w:p w14:paraId="2A493981">
            <w:pPr>
              <w:rPr>
                <w:rFonts w:ascii="宋体" w:hAnsi="宋体" w:eastAsia="宋体" w:cs="宋体"/>
                <w:bCs/>
                <w:szCs w:val="21"/>
              </w:rPr>
            </w:pPr>
            <w:r>
              <w:rPr>
                <w:rFonts w:hint="eastAsia" w:ascii="宋体" w:hAnsi="宋体" w:eastAsia="宋体" w:cs="宋体"/>
                <w:bCs/>
                <w:szCs w:val="21"/>
              </w:rPr>
              <w:t>项目实施方案</w:t>
            </w:r>
          </w:p>
        </w:tc>
        <w:tc>
          <w:tcPr>
            <w:tcW w:w="925" w:type="dxa"/>
            <w:vAlign w:val="center"/>
          </w:tcPr>
          <w:p w14:paraId="141336F6">
            <w:pPr>
              <w:rPr>
                <w:rFonts w:ascii="宋体" w:hAnsi="宋体" w:cs="宋体"/>
                <w:szCs w:val="21"/>
              </w:rPr>
            </w:pPr>
            <w:r>
              <w:rPr>
                <w:rFonts w:hint="eastAsia" w:ascii="宋体" w:hAnsi="宋体" w:cs="宋体"/>
                <w:szCs w:val="21"/>
              </w:rPr>
              <w:t>15分</w:t>
            </w:r>
          </w:p>
        </w:tc>
        <w:tc>
          <w:tcPr>
            <w:tcW w:w="4810" w:type="dxa"/>
            <w:vAlign w:val="center"/>
          </w:tcPr>
          <w:p w14:paraId="109A620D">
            <w:pPr>
              <w:pStyle w:val="8"/>
              <w:numPr>
                <w:ilvl w:val="0"/>
                <w:numId w:val="0"/>
              </w:numPr>
              <w:rPr>
                <w:rFonts w:hint="eastAsia" w:ascii="宋体" w:hAnsi="宋体" w:cs="宋体"/>
                <w:b w:val="0"/>
                <w:bCs/>
                <w:sz w:val="21"/>
                <w:szCs w:val="21"/>
                <w:lang w:val="en-US" w:eastAsia="zh-CN"/>
              </w:rPr>
            </w:pPr>
            <w:r>
              <w:rPr>
                <w:rFonts w:hint="eastAsia" w:ascii="宋体" w:hAnsi="宋体" w:eastAsia="宋体" w:cs="宋体"/>
                <w:b w:val="0"/>
                <w:bCs/>
                <w:kern w:val="2"/>
                <w:sz w:val="21"/>
                <w:szCs w:val="21"/>
                <w:lang w:val="en-US" w:eastAsia="zh-CN" w:bidi="ar-SA"/>
              </w:rPr>
              <w:t>1、</w:t>
            </w:r>
            <w:r>
              <w:rPr>
                <w:rFonts w:hint="eastAsia" w:ascii="宋体" w:hAnsi="宋体" w:cs="宋体"/>
                <w:b w:val="0"/>
                <w:bCs/>
                <w:sz w:val="21"/>
                <w:szCs w:val="21"/>
                <w:lang w:val="en-US" w:eastAsia="zh-CN"/>
              </w:rPr>
              <w:t>项目实施方案对本项目需求响应程度高，完全涵盖且不限于项目需求、工作任务、组织实施等工作，政策把握到位，对相关工作安排和需求理解透彻，方案设计科学合理，服务方案的专业化、个性化优势突出，具体方案内容完整详实，切实可行，得15分；</w:t>
            </w:r>
          </w:p>
          <w:p w14:paraId="7691153B">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1"/>
                <w:szCs w:val="22"/>
                <w:lang w:val="en-US" w:eastAsia="zh-CN" w:bidi="ar-SA"/>
              </w:rPr>
              <w:t>2、</w:t>
            </w:r>
            <w:r>
              <w:rPr>
                <w:rFonts w:hint="eastAsia"/>
                <w:lang w:val="en-US" w:eastAsia="zh-CN"/>
              </w:rPr>
              <w:t>项目实施方案对本项目需求响应程度较高，能够涵盖需求内容、工作任务、组织实施等工作，对政策有一定了解，对相关工作安排和需求有一定理解，方案设计较为科学合理，服务方案的专业化、个性化较为突出，具体方案内容较为完整细致，可行性较强，得12分；</w:t>
            </w:r>
          </w:p>
          <w:p w14:paraId="6C5C531B">
            <w:pPr>
              <w:numPr>
                <w:ilvl w:val="0"/>
                <w:numId w:val="0"/>
              </w:numPr>
              <w:ind w:leftChars="0"/>
              <w:rPr>
                <w:rFonts w:hint="eastAsia"/>
                <w:lang w:val="en-US" w:eastAsia="zh-CN"/>
              </w:rPr>
            </w:pPr>
            <w:r>
              <w:rPr>
                <w:rFonts w:hint="eastAsia"/>
                <w:lang w:val="en-US" w:eastAsia="zh-CN"/>
              </w:rPr>
              <w:t>3、项目实施方案基本能够响应本项目需求，大部分涵盖需求内容、工作任务、组织实施等工作，对政策及相关工作安排和需求理解不够深入，方案设计基本合理可行，服务方案的缺乏专业化、个性化设计，具体方案内容基本完整，可行性一般，得9分；</w:t>
            </w:r>
          </w:p>
          <w:p w14:paraId="0B059E60">
            <w:pPr>
              <w:numPr>
                <w:ilvl w:val="0"/>
                <w:numId w:val="0"/>
              </w:numPr>
              <w:ind w:leftChars="0"/>
              <w:rPr>
                <w:rFonts w:hint="eastAsia"/>
                <w:lang w:val="en-US" w:eastAsia="zh-CN"/>
              </w:rPr>
            </w:pPr>
            <w:r>
              <w:rPr>
                <w:rFonts w:hint="eastAsia"/>
                <w:lang w:val="en-US" w:eastAsia="zh-CN"/>
              </w:rPr>
              <w:t>4、项目实施方案基本能够响应本项目需求，部分涵盖需求内容、工作任务、组织实施等工作，对政策及相关工作安排和需求理解深入程度较差，方案设计合理可行性较差，服务方案的专业化、个性化较差，具体方案内容大部分完整，可行性较差，得6分；</w:t>
            </w:r>
          </w:p>
          <w:p w14:paraId="6E83CFBA">
            <w:pPr>
              <w:numPr>
                <w:ilvl w:val="0"/>
                <w:numId w:val="0"/>
              </w:numPr>
              <w:ind w:leftChars="0"/>
              <w:rPr>
                <w:rFonts w:hint="eastAsia"/>
                <w:lang w:val="en-US" w:eastAsia="zh-CN"/>
              </w:rPr>
            </w:pPr>
            <w:r>
              <w:rPr>
                <w:rFonts w:hint="eastAsia"/>
                <w:lang w:val="en-US" w:eastAsia="zh-CN"/>
              </w:rPr>
              <w:t>5、项目实施方案部分能够响应本项目需求，需求内容、工作任务、组织实施等工作内容有缺失，对政策及相关工作安排和需求理解深入程度差，方案设计合理可行性差，服务方案的专业化、个性化差，具体方案内容完整性，可行性差，得3分；</w:t>
            </w:r>
          </w:p>
          <w:p w14:paraId="0E151DFA">
            <w:pPr>
              <w:numPr>
                <w:ilvl w:val="0"/>
                <w:numId w:val="0"/>
              </w:numPr>
              <w:ind w:leftChars="0"/>
              <w:rPr>
                <w:rFonts w:hint="default"/>
                <w:lang w:val="en-US" w:eastAsia="zh-CN"/>
              </w:rPr>
            </w:pPr>
            <w:r>
              <w:rPr>
                <w:rFonts w:hint="eastAsia"/>
                <w:lang w:val="en-US" w:eastAsia="zh-CN"/>
              </w:rPr>
              <w:t>6、未提供不得分。</w:t>
            </w:r>
          </w:p>
        </w:tc>
        <w:tc>
          <w:tcPr>
            <w:tcW w:w="1321" w:type="dxa"/>
            <w:vMerge w:val="restart"/>
            <w:vAlign w:val="center"/>
          </w:tcPr>
          <w:p w14:paraId="0ED5ADD8">
            <w:pPr>
              <w:rPr>
                <w:rFonts w:ascii="宋体" w:hAnsi="宋体" w:cs="宋体"/>
                <w:szCs w:val="21"/>
              </w:rPr>
            </w:pPr>
          </w:p>
        </w:tc>
      </w:tr>
      <w:tr w14:paraId="2A21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trPr>
        <w:tc>
          <w:tcPr>
            <w:tcW w:w="1121" w:type="dxa"/>
            <w:vMerge w:val="continue"/>
            <w:vAlign w:val="center"/>
          </w:tcPr>
          <w:p w14:paraId="2A72EA08">
            <w:pPr>
              <w:pStyle w:val="8"/>
              <w:rPr>
                <w:rFonts w:hint="default"/>
              </w:rPr>
            </w:pPr>
          </w:p>
        </w:tc>
        <w:tc>
          <w:tcPr>
            <w:tcW w:w="700" w:type="dxa"/>
            <w:vAlign w:val="center"/>
          </w:tcPr>
          <w:p w14:paraId="6324C292">
            <w:pPr>
              <w:rPr>
                <w:rFonts w:hint="default" w:ascii="宋体" w:hAnsi="宋体" w:cs="宋体" w:eastAsiaTheme="minorEastAsia"/>
                <w:szCs w:val="21"/>
                <w:lang w:val="en-US" w:eastAsia="zh-CN"/>
              </w:rPr>
            </w:pPr>
            <w:r>
              <w:rPr>
                <w:rFonts w:hint="eastAsia" w:ascii="宋体" w:hAnsi="宋体" w:cs="宋体"/>
                <w:szCs w:val="21"/>
                <w:lang w:val="en-US" w:eastAsia="zh-CN"/>
              </w:rPr>
              <w:t>需求理解</w:t>
            </w:r>
          </w:p>
        </w:tc>
        <w:tc>
          <w:tcPr>
            <w:tcW w:w="925" w:type="dxa"/>
            <w:vAlign w:val="center"/>
          </w:tcPr>
          <w:p w14:paraId="0FA2070A">
            <w:pPr>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分</w:t>
            </w:r>
          </w:p>
        </w:tc>
        <w:tc>
          <w:tcPr>
            <w:tcW w:w="4810" w:type="dxa"/>
            <w:vAlign w:val="center"/>
          </w:tcPr>
          <w:p w14:paraId="6C9270B3">
            <w:pPr>
              <w:pStyle w:val="8"/>
              <w:numPr>
                <w:ilvl w:val="0"/>
                <w:numId w:val="0"/>
              </w:numPr>
              <w:rPr>
                <w:rFonts w:hint="eastAsia" w:ascii="宋体" w:hAnsi="宋体" w:cs="宋体"/>
                <w:b w:val="0"/>
                <w:bCs/>
                <w:sz w:val="21"/>
                <w:szCs w:val="21"/>
                <w:lang w:val="en-US" w:eastAsia="zh-CN"/>
              </w:rPr>
            </w:pPr>
            <w:r>
              <w:rPr>
                <w:rFonts w:hint="eastAsia" w:ascii="宋体" w:hAnsi="宋体" w:eastAsia="宋体" w:cs="宋体"/>
                <w:b w:val="0"/>
                <w:bCs/>
                <w:kern w:val="2"/>
                <w:sz w:val="21"/>
                <w:szCs w:val="21"/>
                <w:lang w:val="en-US" w:eastAsia="zh-CN" w:bidi="ar-SA"/>
              </w:rPr>
              <w:t>1、</w:t>
            </w:r>
            <w:r>
              <w:rPr>
                <w:rFonts w:hint="eastAsia" w:ascii="宋体" w:hAnsi="宋体" w:cs="宋体"/>
                <w:b w:val="0"/>
                <w:bCs/>
                <w:sz w:val="21"/>
                <w:szCs w:val="21"/>
                <w:lang w:val="en-US" w:eastAsia="zh-CN"/>
              </w:rPr>
              <w:t>熟悉脱贫攻坚期和过渡期相关政策，能够把握本项目各项任务内容的要点，明确需要解决的问题，并对采购人目前已开展此项目相关服务的工作及部署有深刻的认识和了解，依据本项目任务内容，能够制定有针对性、可操作性的方案，得8分；</w:t>
            </w:r>
          </w:p>
          <w:p w14:paraId="332F0054">
            <w:pPr>
              <w:numPr>
                <w:ilvl w:val="0"/>
                <w:numId w:val="0"/>
              </w:numPr>
              <w:rPr>
                <w:rFonts w:hint="eastAsia"/>
                <w:lang w:eastAsia="zh-CN"/>
              </w:rPr>
            </w:pPr>
            <w:r>
              <w:rPr>
                <w:rFonts w:hint="eastAsia" w:asciiTheme="minorHAnsi" w:hAnsiTheme="minorHAnsi" w:eastAsiaTheme="minorEastAsia" w:cstheme="minorBidi"/>
                <w:kern w:val="2"/>
                <w:sz w:val="21"/>
                <w:szCs w:val="22"/>
                <w:lang w:val="en-US" w:eastAsia="zh-CN" w:bidi="ar-SA"/>
              </w:rPr>
              <w:t>2、</w:t>
            </w:r>
            <w:r>
              <w:rPr>
                <w:rFonts w:hint="eastAsia"/>
                <w:lang w:eastAsia="zh-CN"/>
              </w:rPr>
              <w:t>较熟悉脱贫攻坚期和过渡期相关政策，较能把握本项目各项任务内容的要点，较明确需要解决的问题，并对采购人目前已开展此项目相关服务的工作及部署有较深刻的认识和了解，依据本项目任务内容，能够制定较有针对性、可操作性的方案，得</w:t>
            </w:r>
            <w:r>
              <w:rPr>
                <w:rFonts w:hint="eastAsia"/>
                <w:lang w:val="en-US" w:eastAsia="zh-CN"/>
              </w:rPr>
              <w:t>6</w:t>
            </w:r>
            <w:r>
              <w:rPr>
                <w:rFonts w:hint="eastAsia"/>
                <w:lang w:eastAsia="zh-CN"/>
              </w:rPr>
              <w:t>分；</w:t>
            </w:r>
          </w:p>
          <w:p w14:paraId="5ADE7A6B">
            <w:pPr>
              <w:numPr>
                <w:ilvl w:val="0"/>
                <w:numId w:val="0"/>
              </w:numPr>
              <w:rPr>
                <w:rFonts w:hint="eastAsia"/>
                <w:lang w:eastAsia="zh-CN"/>
              </w:rPr>
            </w:pPr>
            <w:r>
              <w:rPr>
                <w:rFonts w:hint="eastAsia" w:asciiTheme="minorHAnsi" w:hAnsiTheme="minorHAnsi" w:eastAsiaTheme="minorEastAsia" w:cstheme="minorBidi"/>
                <w:kern w:val="2"/>
                <w:sz w:val="21"/>
                <w:szCs w:val="22"/>
                <w:lang w:val="en-US" w:eastAsia="zh-CN" w:bidi="ar-SA"/>
              </w:rPr>
              <w:t>3、</w:t>
            </w:r>
            <w:r>
              <w:rPr>
                <w:rFonts w:hint="eastAsia"/>
                <w:lang w:eastAsia="zh-CN"/>
              </w:rPr>
              <w:t>基本熟悉脱贫攻坚期和过渡期相关政策，基本把握本项目各项任务内容的要点，基本明确需要解决的问题，并对采购人目前已开展此项目相关服务的工作及部署有一定的认识和了解，依据本项目任务内容，制定的方案的针对性、可操作性一般，得</w:t>
            </w:r>
            <w:r>
              <w:rPr>
                <w:rFonts w:hint="eastAsia"/>
                <w:lang w:val="en-US" w:eastAsia="zh-CN"/>
              </w:rPr>
              <w:t>4</w:t>
            </w:r>
            <w:r>
              <w:rPr>
                <w:rFonts w:hint="eastAsia"/>
                <w:lang w:eastAsia="zh-CN"/>
              </w:rPr>
              <w:t>分；</w:t>
            </w:r>
          </w:p>
          <w:p w14:paraId="1459D616">
            <w:pPr>
              <w:numPr>
                <w:ilvl w:val="0"/>
                <w:numId w:val="0"/>
              </w:numPr>
              <w:rPr>
                <w:rFonts w:hint="default"/>
                <w:lang w:val="en-US" w:eastAsia="zh-CN"/>
              </w:rPr>
            </w:pPr>
            <w:r>
              <w:rPr>
                <w:rFonts w:hint="eastAsia"/>
                <w:lang w:val="en-US" w:eastAsia="zh-CN"/>
              </w:rPr>
              <w:t>4、不熟悉脱贫攻坚期和过渡期相关政策，不能把握本项目各项任务内容的要点，不能明确需要解决的问题，对采购人目前已开展此项目相关服务的工作及部署不了解，依据本项目任务内容，不能制定有针对性、可操作性的方案，得2分</w:t>
            </w:r>
          </w:p>
          <w:p w14:paraId="343AAC6E">
            <w:pPr>
              <w:numPr>
                <w:ilvl w:val="0"/>
                <w:numId w:val="0"/>
              </w:numPr>
              <w:rPr>
                <w:rFonts w:hint="eastAsia"/>
                <w:lang w:eastAsia="zh-CN"/>
              </w:rPr>
            </w:pPr>
            <w:r>
              <w:rPr>
                <w:rFonts w:hint="eastAsia" w:cstheme="minorBidi"/>
                <w:kern w:val="2"/>
                <w:sz w:val="21"/>
                <w:szCs w:val="22"/>
                <w:lang w:val="en-US" w:eastAsia="zh-CN" w:bidi="ar-SA"/>
              </w:rPr>
              <w:t>5</w:t>
            </w:r>
            <w:r>
              <w:rPr>
                <w:rFonts w:hint="eastAsia" w:asciiTheme="minorHAnsi" w:hAnsiTheme="minorHAnsi" w:eastAsiaTheme="minorEastAsia" w:cstheme="minorBidi"/>
                <w:kern w:val="2"/>
                <w:sz w:val="21"/>
                <w:szCs w:val="22"/>
                <w:lang w:val="en-US" w:eastAsia="zh-CN" w:bidi="ar-SA"/>
              </w:rPr>
              <w:t>、</w:t>
            </w:r>
            <w:r>
              <w:rPr>
                <w:rFonts w:hint="eastAsia"/>
                <w:lang w:val="en-US" w:eastAsia="zh-CN"/>
              </w:rPr>
              <w:t>未提供不得分。</w:t>
            </w:r>
          </w:p>
        </w:tc>
        <w:tc>
          <w:tcPr>
            <w:tcW w:w="1321" w:type="dxa"/>
            <w:vMerge w:val="continue"/>
            <w:vAlign w:val="center"/>
          </w:tcPr>
          <w:p w14:paraId="4DC9D075">
            <w:pPr>
              <w:rPr>
                <w:rFonts w:ascii="宋体" w:hAnsi="宋体" w:cs="宋体"/>
                <w:szCs w:val="21"/>
              </w:rPr>
            </w:pPr>
          </w:p>
        </w:tc>
      </w:tr>
      <w:tr w14:paraId="5D44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trPr>
        <w:tc>
          <w:tcPr>
            <w:tcW w:w="1121" w:type="dxa"/>
            <w:vMerge w:val="continue"/>
            <w:vAlign w:val="center"/>
          </w:tcPr>
          <w:p w14:paraId="1CBF26E5">
            <w:pPr>
              <w:pStyle w:val="8"/>
              <w:rPr>
                <w:rFonts w:hint="default"/>
              </w:rPr>
            </w:pPr>
          </w:p>
        </w:tc>
        <w:tc>
          <w:tcPr>
            <w:tcW w:w="700" w:type="dxa"/>
            <w:vAlign w:val="center"/>
          </w:tcPr>
          <w:p w14:paraId="55F136B1">
            <w:pPr>
              <w:rPr>
                <w:rFonts w:hint="eastAsia" w:ascii="宋体" w:hAnsi="宋体" w:eastAsia="宋体" w:cs="宋体"/>
                <w:szCs w:val="21"/>
                <w:lang w:val="en-US" w:eastAsia="zh-CN"/>
              </w:rPr>
            </w:pPr>
            <w:r>
              <w:rPr>
                <w:rFonts w:hint="eastAsia" w:ascii="宋体" w:hAnsi="宋体" w:eastAsia="宋体" w:cs="宋体"/>
                <w:szCs w:val="21"/>
              </w:rPr>
              <w:t>数据质量分析服务</w:t>
            </w:r>
            <w:r>
              <w:rPr>
                <w:rFonts w:hint="eastAsia" w:ascii="宋体" w:hAnsi="宋体" w:eastAsia="宋体" w:cs="宋体"/>
                <w:szCs w:val="21"/>
                <w:lang w:val="en-US" w:eastAsia="zh-CN"/>
              </w:rPr>
              <w:t>方案</w:t>
            </w:r>
          </w:p>
        </w:tc>
        <w:tc>
          <w:tcPr>
            <w:tcW w:w="925" w:type="dxa"/>
            <w:vAlign w:val="center"/>
          </w:tcPr>
          <w:p w14:paraId="288CB5E9">
            <w:pPr>
              <w:rPr>
                <w:rFonts w:ascii="宋体" w:hAnsi="宋体" w:eastAsia="宋体" w:cs="宋体"/>
                <w:szCs w:val="21"/>
              </w:rPr>
            </w:pPr>
            <w:r>
              <w:rPr>
                <w:rFonts w:hint="eastAsia" w:ascii="宋体" w:hAnsi="宋体" w:cs="宋体"/>
                <w:szCs w:val="21"/>
                <w:lang w:val="en-US" w:eastAsia="zh-CN"/>
              </w:rPr>
              <w:t>12</w:t>
            </w:r>
            <w:r>
              <w:rPr>
                <w:rFonts w:hint="eastAsia" w:ascii="宋体" w:hAnsi="宋体" w:cs="宋体"/>
                <w:szCs w:val="21"/>
              </w:rPr>
              <w:t>分</w:t>
            </w:r>
          </w:p>
        </w:tc>
        <w:tc>
          <w:tcPr>
            <w:tcW w:w="4810" w:type="dxa"/>
            <w:vAlign w:val="center"/>
          </w:tcPr>
          <w:p w14:paraId="5A83F7E0">
            <w:pPr>
              <w:pStyle w:val="8"/>
              <w:numPr>
                <w:ilvl w:val="0"/>
                <w:numId w:val="11"/>
              </w:numP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方案全面、可行，数据质量分析完全满足招标文件要求，涵盖脱贫户（人口）、出列村、防止返贫监测对象基础信息，帮扶主体、帮扶项目、务工就业监测、帮扶项目资产等内容，所提交的成果物有针对性，可推进各级农业农村部门开展数据整改工作，得12分；</w:t>
            </w:r>
          </w:p>
          <w:p w14:paraId="2FE3D24C">
            <w:pPr>
              <w:numPr>
                <w:ilvl w:val="0"/>
                <w:numId w:val="11"/>
              </w:numPr>
              <w:rPr>
                <w:rFonts w:hint="eastAsia"/>
                <w:lang w:val="en-US" w:eastAsia="zh-CN"/>
              </w:rPr>
            </w:pPr>
            <w:r>
              <w:rPr>
                <w:rFonts w:hint="eastAsia"/>
                <w:lang w:val="en-US" w:eastAsia="zh-CN"/>
              </w:rPr>
              <w:t>方案较全面、较可行，数据质量分析满足招标文件要求，涵盖脱贫户（人口）、出列村、防止返贫监测对象基础信息，帮扶主体、帮扶项目、务工就业监测、帮扶项目资产等内容，所提交的成果物较有针对性，可推进各级农业农村部门开展数据整改工作，得9分；</w:t>
            </w:r>
          </w:p>
          <w:p w14:paraId="5989905C">
            <w:pPr>
              <w:numPr>
                <w:ilvl w:val="0"/>
                <w:numId w:val="11"/>
              </w:numPr>
              <w:rPr>
                <w:rFonts w:hint="eastAsia"/>
                <w:lang w:val="en-US" w:eastAsia="zh-CN"/>
              </w:rPr>
            </w:pPr>
            <w:r>
              <w:rPr>
                <w:rFonts w:hint="eastAsia"/>
                <w:lang w:val="en-US" w:eastAsia="zh-CN"/>
              </w:rPr>
              <w:t>方案不够全面、可行，数据质量分析较满足招标文件要求，涵盖脱贫户（人口）、出列村、防止返贫监测对象基础信息，帮扶主体、帮扶项目、务工就业监测、帮扶项目资产等大部分内容，所提交的成果物的针对性一般，较能推进各级农业农村部门开展数据整改工作，得6分；</w:t>
            </w:r>
          </w:p>
          <w:p w14:paraId="66FD3EA7">
            <w:pPr>
              <w:numPr>
                <w:ilvl w:val="0"/>
                <w:numId w:val="11"/>
              </w:numPr>
              <w:rPr>
                <w:rFonts w:hint="eastAsia"/>
                <w:lang w:val="en-US" w:eastAsia="zh-CN"/>
              </w:rPr>
            </w:pPr>
            <w:r>
              <w:rPr>
                <w:rFonts w:hint="eastAsia"/>
                <w:lang w:val="en-US" w:eastAsia="zh-CN"/>
              </w:rPr>
              <w:t>方案不全面、不可行，数据质量分析不满足招标文件要求，没有涵盖脱贫户（人口）、出列村、防止返贫监测对象基础信息，帮扶主体、帮扶项目、务工就业监测、帮扶项目资产等内容，所提交的成果物没有针对性，不能推进各级农业农村部门开展数据整改工作，得3分；</w:t>
            </w:r>
          </w:p>
          <w:p w14:paraId="0DFD80FC">
            <w:pPr>
              <w:numPr>
                <w:ilvl w:val="0"/>
                <w:numId w:val="11"/>
              </w:numPr>
              <w:rPr>
                <w:rFonts w:hint="eastAsia"/>
                <w:lang w:val="en-US" w:eastAsia="zh-CN"/>
              </w:rPr>
            </w:pPr>
            <w:r>
              <w:rPr>
                <w:rFonts w:hint="eastAsia"/>
                <w:lang w:val="en-US" w:eastAsia="zh-CN"/>
              </w:rPr>
              <w:t>未提供不得分。</w:t>
            </w:r>
          </w:p>
        </w:tc>
        <w:tc>
          <w:tcPr>
            <w:tcW w:w="1321" w:type="dxa"/>
            <w:vMerge w:val="continue"/>
            <w:vAlign w:val="center"/>
          </w:tcPr>
          <w:p w14:paraId="04571748">
            <w:pPr>
              <w:rPr>
                <w:rFonts w:ascii="宋体" w:hAnsi="宋体" w:cs="宋体"/>
                <w:szCs w:val="21"/>
              </w:rPr>
            </w:pPr>
          </w:p>
        </w:tc>
      </w:tr>
      <w:tr w14:paraId="6AD6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trPr>
        <w:tc>
          <w:tcPr>
            <w:tcW w:w="1121" w:type="dxa"/>
            <w:vMerge w:val="continue"/>
            <w:vAlign w:val="center"/>
          </w:tcPr>
          <w:p w14:paraId="6B781BDF">
            <w:pPr>
              <w:pStyle w:val="8"/>
              <w:rPr>
                <w:rFonts w:hint="default"/>
              </w:rPr>
            </w:pPr>
          </w:p>
        </w:tc>
        <w:tc>
          <w:tcPr>
            <w:tcW w:w="700" w:type="dxa"/>
            <w:vAlign w:val="center"/>
          </w:tcPr>
          <w:p w14:paraId="6986D1EE">
            <w:pPr>
              <w:rPr>
                <w:rFonts w:ascii="宋体" w:hAnsi="宋体" w:eastAsia="宋体" w:cs="宋体"/>
                <w:bCs/>
                <w:szCs w:val="21"/>
              </w:rPr>
            </w:pPr>
            <w:r>
              <w:rPr>
                <w:rFonts w:hint="eastAsia" w:ascii="宋体" w:hAnsi="宋体" w:eastAsia="宋体" w:cs="宋体"/>
                <w:bCs/>
                <w:szCs w:val="21"/>
              </w:rPr>
              <w:t>项目团队人员配置方案</w:t>
            </w:r>
          </w:p>
        </w:tc>
        <w:tc>
          <w:tcPr>
            <w:tcW w:w="925" w:type="dxa"/>
            <w:vAlign w:val="center"/>
          </w:tcPr>
          <w:p w14:paraId="7D333B81">
            <w:pPr>
              <w:rPr>
                <w:rFonts w:ascii="宋体" w:hAnsi="宋体" w:eastAsia="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分</w:t>
            </w:r>
          </w:p>
        </w:tc>
        <w:tc>
          <w:tcPr>
            <w:tcW w:w="4810" w:type="dxa"/>
            <w:vAlign w:val="center"/>
          </w:tcPr>
          <w:p w14:paraId="62404D8E">
            <w:pPr>
              <w:pStyle w:val="8"/>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（1）项目负责人：拟配备的项目负责人具备相关专业高级职称的，得4分；具备相关专业中级职称的，得2分；未提供不得分。</w:t>
            </w:r>
          </w:p>
          <w:p w14:paraId="45F35F9A">
            <w:pPr>
              <w:pStyle w:val="6"/>
              <w:rPr>
                <w:rFonts w:hint="eastAsia" w:ascii="宋体" w:hAnsi="宋体" w:cs="宋体"/>
                <w:szCs w:val="21"/>
              </w:rPr>
            </w:pPr>
            <w:r>
              <w:rPr>
                <w:rFonts w:hint="eastAsia"/>
                <w:lang w:val="en-US" w:eastAsia="zh-CN"/>
              </w:rPr>
              <w:t>（2）项目组人员：</w:t>
            </w:r>
            <w:r>
              <w:rPr>
                <w:rFonts w:hint="eastAsia" w:ascii="宋体" w:hAnsi="宋体" w:cs="宋体"/>
                <w:szCs w:val="21"/>
              </w:rPr>
              <w:t>服务团队有专职的专业技术人员负责本次项目的维护与技术服务，提供专职专业技术人员的服务经验、技术资格证书等，根据专业技术人员情况进行</w:t>
            </w:r>
            <w:r>
              <w:rPr>
                <w:rFonts w:hint="eastAsia" w:ascii="宋体" w:hAnsi="宋体" w:cs="宋体"/>
                <w:szCs w:val="21"/>
                <w:lang w:val="en-US" w:eastAsia="zh-CN"/>
              </w:rPr>
              <w:t>横向对比，综合赋分</w:t>
            </w:r>
            <w:r>
              <w:rPr>
                <w:rFonts w:hint="eastAsia" w:ascii="宋体" w:hAnsi="宋体" w:cs="宋体"/>
                <w:szCs w:val="21"/>
              </w:rPr>
              <w:t>：</w:t>
            </w:r>
          </w:p>
          <w:p w14:paraId="24A77788">
            <w:pPr>
              <w:pStyle w:val="6"/>
              <w:rPr>
                <w:rFonts w:hint="eastAsia" w:ascii="宋体" w:hAnsi="宋体" w:cs="宋体"/>
                <w:szCs w:val="21"/>
              </w:rPr>
            </w:pPr>
            <w:r>
              <w:rPr>
                <w:rFonts w:hint="eastAsia" w:ascii="宋体" w:hAnsi="宋体" w:cs="宋体"/>
                <w:szCs w:val="21"/>
              </w:rPr>
              <w:t>1.专职技术人员经验丰富，有相应技术资格证书，综合服务能力强，得</w:t>
            </w:r>
            <w:r>
              <w:rPr>
                <w:rFonts w:hint="eastAsia" w:ascii="宋体" w:hAnsi="宋体" w:cs="宋体"/>
                <w:szCs w:val="21"/>
                <w:lang w:val="en-US" w:eastAsia="zh-CN"/>
              </w:rPr>
              <w:t>6</w:t>
            </w:r>
            <w:r>
              <w:rPr>
                <w:rFonts w:hint="eastAsia" w:ascii="宋体" w:hAnsi="宋体" w:cs="宋体"/>
                <w:szCs w:val="21"/>
              </w:rPr>
              <w:t>分；</w:t>
            </w:r>
          </w:p>
          <w:p w14:paraId="47A1550D">
            <w:pPr>
              <w:pStyle w:val="6"/>
              <w:rPr>
                <w:rFonts w:hint="eastAsia" w:ascii="宋体" w:hAnsi="宋体" w:cs="宋体"/>
                <w:szCs w:val="21"/>
              </w:rPr>
            </w:pPr>
            <w:r>
              <w:rPr>
                <w:rFonts w:hint="eastAsia" w:ascii="宋体" w:hAnsi="宋体" w:cs="宋体"/>
                <w:szCs w:val="21"/>
              </w:rPr>
              <w:t>2.专职技术人员具备一定的服务能力，有服务经验，有技术资格证书，得</w:t>
            </w:r>
            <w:r>
              <w:rPr>
                <w:rFonts w:hint="eastAsia" w:ascii="宋体" w:hAnsi="宋体" w:cs="宋体"/>
                <w:szCs w:val="21"/>
                <w:lang w:val="en-US" w:eastAsia="zh-CN"/>
              </w:rPr>
              <w:t>4</w:t>
            </w:r>
            <w:r>
              <w:rPr>
                <w:rFonts w:hint="eastAsia" w:ascii="宋体" w:hAnsi="宋体" w:cs="宋体"/>
                <w:szCs w:val="21"/>
              </w:rPr>
              <w:t>分；</w:t>
            </w:r>
          </w:p>
          <w:p w14:paraId="1348B9DA">
            <w:pPr>
              <w:pStyle w:val="6"/>
              <w:rPr>
                <w:rFonts w:hint="eastAsia" w:ascii="宋体" w:hAnsi="宋体" w:cs="宋体"/>
                <w:szCs w:val="21"/>
              </w:rPr>
            </w:pPr>
            <w:r>
              <w:rPr>
                <w:rFonts w:hint="eastAsia" w:ascii="宋体" w:hAnsi="宋体" w:cs="宋体"/>
                <w:szCs w:val="21"/>
              </w:rPr>
              <w:t>3.专职技术人员综合服务能力一般，缺少类似项目服务经验，缺少技术资格证明，得</w:t>
            </w:r>
            <w:r>
              <w:rPr>
                <w:rFonts w:hint="eastAsia" w:ascii="宋体" w:hAnsi="宋体" w:cs="宋体"/>
                <w:szCs w:val="21"/>
                <w:lang w:val="en-US" w:eastAsia="zh-CN"/>
              </w:rPr>
              <w:t>2</w:t>
            </w:r>
            <w:r>
              <w:rPr>
                <w:rFonts w:hint="eastAsia" w:ascii="宋体" w:hAnsi="宋体" w:cs="宋体"/>
                <w:szCs w:val="21"/>
              </w:rPr>
              <w:t>分。</w:t>
            </w:r>
          </w:p>
          <w:p w14:paraId="5C860C40">
            <w:pPr>
              <w:pStyle w:val="6"/>
              <w:rPr>
                <w:rFonts w:hint="eastAsia"/>
                <w:lang w:val="en-US" w:eastAsia="zh-CN"/>
              </w:rPr>
            </w:pPr>
            <w:r>
              <w:rPr>
                <w:rFonts w:hint="eastAsia" w:ascii="宋体" w:hAnsi="宋体" w:cs="宋体"/>
                <w:szCs w:val="21"/>
              </w:rPr>
              <w:t>4、未提供不得分。</w:t>
            </w:r>
          </w:p>
          <w:p w14:paraId="457B48DC">
            <w:pPr>
              <w:pStyle w:val="8"/>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注：1.相关专业指：统计类或经济类或计算机类等专业。</w:t>
            </w:r>
          </w:p>
          <w:p w14:paraId="1C132018">
            <w:pPr>
              <w:numPr>
                <w:ilvl w:val="0"/>
                <w:numId w:val="0"/>
              </w:numPr>
              <w:rPr>
                <w:rFonts w:hint="default"/>
                <w:lang w:val="en-US" w:eastAsia="zh-CN"/>
              </w:rPr>
            </w:pPr>
            <w:r>
              <w:rPr>
                <w:rFonts w:hint="eastAsia" w:ascii="宋体" w:hAnsi="宋体" w:eastAsia="宋体" w:cs="宋体"/>
                <w:b/>
                <w:bCs w:val="0"/>
                <w:kern w:val="2"/>
                <w:sz w:val="21"/>
                <w:szCs w:val="21"/>
                <w:lang w:val="en-US" w:eastAsia="zh-CN" w:bidi="ar-SA"/>
              </w:rPr>
              <w:t>2.</w:t>
            </w:r>
            <w:r>
              <w:rPr>
                <w:rFonts w:hint="eastAsia" w:ascii="宋体" w:hAnsi="宋体" w:cs="宋体"/>
                <w:b/>
                <w:bCs w:val="0"/>
                <w:sz w:val="21"/>
                <w:szCs w:val="21"/>
                <w:lang w:val="en-US" w:eastAsia="zh-CN"/>
              </w:rPr>
              <w:t>须提供证书复印件并加盖单位公章，未提供或未按要求提供的不得分，同时具备同一种证书的多个级别的，按最高级别计算。3、上述人员需提供供应商本单位与其个人签定的劳动合同或者开标截止时间前由供应商为其缴纳2024年7月至今连续3个月的社保交纳证明材料，未提供不得分。项目具体实施人员需为项目投标文件中安排人员。</w:t>
            </w:r>
          </w:p>
        </w:tc>
        <w:tc>
          <w:tcPr>
            <w:tcW w:w="1321" w:type="dxa"/>
            <w:vAlign w:val="center"/>
          </w:tcPr>
          <w:p w14:paraId="52212CB9">
            <w:pPr>
              <w:rPr>
                <w:rFonts w:ascii="宋体" w:hAnsi="宋体" w:cs="宋体"/>
                <w:szCs w:val="21"/>
              </w:rPr>
            </w:pPr>
          </w:p>
        </w:tc>
      </w:tr>
      <w:tr w14:paraId="17C4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1121" w:type="dxa"/>
            <w:vMerge w:val="continue"/>
            <w:vAlign w:val="center"/>
          </w:tcPr>
          <w:p w14:paraId="1FE99A63"/>
        </w:tc>
        <w:tc>
          <w:tcPr>
            <w:tcW w:w="700" w:type="dxa"/>
            <w:vAlign w:val="center"/>
          </w:tcPr>
          <w:p w14:paraId="018FAE14">
            <w:pPr>
              <w:rPr>
                <w:rFonts w:hint="eastAsia" w:ascii="宋体" w:hAnsi="宋体" w:cs="宋体" w:eastAsiaTheme="minorEastAsia"/>
                <w:szCs w:val="21"/>
                <w:lang w:val="en-US" w:eastAsia="zh-CN"/>
              </w:rPr>
            </w:pPr>
            <w:r>
              <w:rPr>
                <w:rFonts w:hint="eastAsia" w:ascii="宋体" w:hAnsi="宋体" w:cs="宋体"/>
                <w:szCs w:val="21"/>
              </w:rPr>
              <w:t>咨询服务</w:t>
            </w:r>
            <w:r>
              <w:rPr>
                <w:rFonts w:hint="eastAsia" w:ascii="宋体" w:hAnsi="宋体" w:cs="宋体"/>
                <w:szCs w:val="21"/>
                <w:lang w:val="en-US" w:eastAsia="zh-CN"/>
              </w:rPr>
              <w:t>方案</w:t>
            </w:r>
          </w:p>
        </w:tc>
        <w:tc>
          <w:tcPr>
            <w:tcW w:w="925" w:type="dxa"/>
            <w:vAlign w:val="center"/>
          </w:tcPr>
          <w:p w14:paraId="79EDE486">
            <w:pPr>
              <w:rPr>
                <w:rFonts w:ascii="宋体" w:hAnsi="宋体" w:eastAsia="宋体" w:cs="宋体"/>
                <w:szCs w:val="21"/>
              </w:rPr>
            </w:pPr>
            <w:r>
              <w:rPr>
                <w:rFonts w:hint="eastAsia" w:ascii="宋体" w:hAnsi="宋体" w:cs="宋体"/>
                <w:szCs w:val="21"/>
                <w:lang w:val="en-US" w:eastAsia="zh-CN"/>
              </w:rPr>
              <w:t>7</w:t>
            </w:r>
            <w:r>
              <w:rPr>
                <w:rFonts w:hint="eastAsia" w:ascii="宋体" w:hAnsi="宋体" w:cs="宋体"/>
                <w:szCs w:val="21"/>
              </w:rPr>
              <w:t>分</w:t>
            </w:r>
          </w:p>
        </w:tc>
        <w:tc>
          <w:tcPr>
            <w:tcW w:w="4810" w:type="dxa"/>
            <w:vAlign w:val="center"/>
          </w:tcPr>
          <w:p w14:paraId="7B04A921">
            <w:pPr>
              <w:pStyle w:val="8"/>
              <w:numPr>
                <w:ilvl w:val="0"/>
                <w:numId w:val="0"/>
              </w:numPr>
              <w:rPr>
                <w:rFonts w:ascii="Calibri" w:hAnsi="Calibri"/>
                <w:b w:val="0"/>
                <w:sz w:val="21"/>
              </w:rPr>
            </w:pPr>
            <w:r>
              <w:rPr>
                <w:rFonts w:hint="eastAsia" w:ascii="Calibri" w:hAnsi="Calibri" w:eastAsia="宋体" w:cs="Times New Roman"/>
                <w:b w:val="0"/>
                <w:kern w:val="2"/>
                <w:sz w:val="21"/>
                <w:szCs w:val="22"/>
                <w:lang w:val="en-US" w:eastAsia="zh-CN" w:bidi="ar-SA"/>
              </w:rPr>
              <w:t>（1）</w:t>
            </w:r>
            <w:r>
              <w:rPr>
                <w:rFonts w:ascii="Calibri" w:hAnsi="Calibri"/>
                <w:b w:val="0"/>
                <w:sz w:val="21"/>
              </w:rPr>
              <w:t>供应商提供针对本项目具体可行</w:t>
            </w:r>
            <w:r>
              <w:rPr>
                <w:rFonts w:hint="eastAsia" w:ascii="Calibri" w:hAnsi="Calibri"/>
                <w:b w:val="0"/>
                <w:sz w:val="21"/>
                <w:lang w:val="en-US" w:eastAsia="zh-CN"/>
              </w:rPr>
              <w:t>的</w:t>
            </w:r>
            <w:r>
              <w:rPr>
                <w:rFonts w:hint="eastAsia" w:ascii="Calibri" w:hAnsi="Calibri"/>
                <w:b w:val="0"/>
                <w:sz w:val="21"/>
              </w:rPr>
              <w:t>咨询服务方案</w:t>
            </w:r>
            <w:r>
              <w:rPr>
                <w:rFonts w:ascii="Calibri" w:hAnsi="Calibri"/>
                <w:b w:val="0"/>
                <w:sz w:val="21"/>
              </w:rPr>
              <w:t>。</w:t>
            </w:r>
          </w:p>
          <w:p w14:paraId="607DF5DC">
            <w:pPr>
              <w:pStyle w:val="8"/>
              <w:numPr>
                <w:ilvl w:val="0"/>
                <w:numId w:val="0"/>
              </w:numPr>
              <w:rPr>
                <w:rFonts w:hint="eastAsia" w:ascii="Calibri" w:hAnsi="Calibri"/>
                <w:b w:val="0"/>
                <w:sz w:val="21"/>
                <w:lang w:val="en-US" w:eastAsia="zh-CN"/>
              </w:rPr>
            </w:pPr>
            <w:r>
              <w:rPr>
                <w:rFonts w:hint="eastAsia" w:ascii="Calibri" w:hAnsi="Calibri"/>
                <w:b w:val="0"/>
                <w:sz w:val="21"/>
                <w:lang w:val="en-US" w:eastAsia="zh-CN"/>
              </w:rPr>
              <w:t>①方案全面、可行，能够提供多渠道全方位的服务模式，明确解决途径、响应时间快，得6分</w:t>
            </w:r>
          </w:p>
          <w:p w14:paraId="24BC1C22">
            <w:pPr>
              <w:pStyle w:val="8"/>
              <w:numPr>
                <w:ilvl w:val="0"/>
                <w:numId w:val="0"/>
              </w:numPr>
              <w:rPr>
                <w:rFonts w:hint="eastAsia" w:ascii="Calibri" w:hAnsi="Calibri"/>
                <w:b w:val="0"/>
                <w:sz w:val="21"/>
                <w:lang w:val="en-US" w:eastAsia="zh-CN"/>
              </w:rPr>
            </w:pPr>
            <w:r>
              <w:rPr>
                <w:rFonts w:hint="eastAsia" w:ascii="Calibri" w:hAnsi="Calibri"/>
                <w:b w:val="0"/>
                <w:sz w:val="21"/>
                <w:lang w:val="en-US" w:eastAsia="zh-CN"/>
              </w:rPr>
              <w:t>②方案较全面、较可行，能够提供较好的服务模式，较明确解决途径、响应时间较快，得4分</w:t>
            </w:r>
          </w:p>
          <w:p w14:paraId="08C40B92">
            <w:pPr>
              <w:pStyle w:val="8"/>
              <w:numPr>
                <w:ilvl w:val="0"/>
                <w:numId w:val="0"/>
              </w:numPr>
              <w:rPr>
                <w:rFonts w:hint="eastAsia" w:ascii="Calibri" w:hAnsi="Calibri"/>
                <w:b w:val="0"/>
                <w:sz w:val="21"/>
                <w:lang w:val="en-US" w:eastAsia="zh-CN"/>
              </w:rPr>
            </w:pPr>
            <w:r>
              <w:rPr>
                <w:rFonts w:hint="eastAsia" w:ascii="Calibri" w:hAnsi="Calibri"/>
                <w:b w:val="0"/>
                <w:sz w:val="21"/>
                <w:lang w:val="en-US" w:eastAsia="zh-CN"/>
              </w:rPr>
              <w:t>③方案不全面、不可行，不能提供多渠道全方位的服务模式或较好的服务模式，不能明确解决途径、响应时间不明确，得2分</w:t>
            </w:r>
          </w:p>
          <w:p w14:paraId="77F47E67">
            <w:pPr>
              <w:pStyle w:val="8"/>
              <w:numPr>
                <w:ilvl w:val="0"/>
                <w:numId w:val="0"/>
              </w:numPr>
              <w:rPr>
                <w:rFonts w:ascii="Calibri" w:hAnsi="Calibri"/>
                <w:b w:val="0"/>
                <w:sz w:val="21"/>
              </w:rPr>
            </w:pPr>
            <w:r>
              <w:rPr>
                <w:rFonts w:hint="eastAsia" w:ascii="Calibri" w:hAnsi="Calibri"/>
                <w:b w:val="0"/>
                <w:sz w:val="21"/>
                <w:lang w:val="en-US" w:eastAsia="zh-CN"/>
              </w:rPr>
              <w:t>④</w:t>
            </w:r>
            <w:r>
              <w:rPr>
                <w:rFonts w:ascii="Calibri" w:hAnsi="Calibri"/>
                <w:b w:val="0"/>
                <w:sz w:val="21"/>
              </w:rPr>
              <w:t>未提供不得分。</w:t>
            </w:r>
          </w:p>
          <w:p w14:paraId="4F267E89">
            <w:pPr>
              <w:pStyle w:val="8"/>
              <w:numPr>
                <w:ilvl w:val="0"/>
                <w:numId w:val="0"/>
              </w:numPr>
              <w:rPr>
                <w:rFonts w:hint="default" w:eastAsia="宋体"/>
                <w:lang w:val="en-US" w:eastAsia="zh-CN"/>
              </w:rPr>
            </w:pPr>
            <w:r>
              <w:rPr>
                <w:rFonts w:hint="eastAsia" w:ascii="Calibri" w:hAnsi="Calibri"/>
                <w:b w:val="0"/>
                <w:sz w:val="21"/>
                <w:lang w:eastAsia="zh-CN"/>
              </w:rPr>
              <w:t>（</w:t>
            </w:r>
            <w:r>
              <w:rPr>
                <w:rFonts w:hint="eastAsia" w:ascii="Calibri" w:hAnsi="Calibri"/>
                <w:b w:val="0"/>
                <w:sz w:val="21"/>
                <w:lang w:val="en-US" w:eastAsia="zh-CN"/>
              </w:rPr>
              <w:t>2</w:t>
            </w:r>
            <w:r>
              <w:rPr>
                <w:rFonts w:hint="eastAsia" w:ascii="Calibri" w:hAnsi="Calibri"/>
                <w:b w:val="0"/>
                <w:sz w:val="21"/>
                <w:lang w:eastAsia="zh-CN"/>
              </w:rPr>
              <w:t>）</w:t>
            </w:r>
            <w:r>
              <w:rPr>
                <w:rFonts w:ascii="Calibri" w:hAnsi="Calibri"/>
                <w:b w:val="0"/>
                <w:sz w:val="21"/>
              </w:rPr>
              <w:t>提供针对本项目</w:t>
            </w:r>
            <w:r>
              <w:rPr>
                <w:rFonts w:hint="eastAsia" w:ascii="Calibri" w:hAnsi="Calibri"/>
                <w:b w:val="0"/>
                <w:sz w:val="21"/>
              </w:rPr>
              <w:t>咨询服务</w:t>
            </w:r>
            <w:r>
              <w:rPr>
                <w:rFonts w:hint="eastAsia" w:ascii="Calibri" w:hAnsi="Calibri"/>
                <w:b w:val="0"/>
                <w:sz w:val="21"/>
                <w:lang w:val="en-US" w:eastAsia="zh-CN"/>
              </w:rPr>
              <w:t>承诺函，得1分。</w:t>
            </w:r>
          </w:p>
        </w:tc>
        <w:tc>
          <w:tcPr>
            <w:tcW w:w="1321" w:type="dxa"/>
            <w:vAlign w:val="center"/>
          </w:tcPr>
          <w:p w14:paraId="20090CE6">
            <w:pPr>
              <w:rPr>
                <w:rFonts w:ascii="宋体" w:hAnsi="宋体" w:cs="宋体"/>
                <w:szCs w:val="21"/>
              </w:rPr>
            </w:pPr>
          </w:p>
        </w:tc>
      </w:tr>
      <w:tr w14:paraId="1D95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1121" w:type="dxa"/>
            <w:vMerge w:val="continue"/>
            <w:vAlign w:val="center"/>
          </w:tcPr>
          <w:p w14:paraId="7DD85331"/>
        </w:tc>
        <w:tc>
          <w:tcPr>
            <w:tcW w:w="700" w:type="dxa"/>
            <w:vAlign w:val="center"/>
          </w:tcPr>
          <w:p w14:paraId="56FF519D">
            <w:pPr>
              <w:rPr>
                <w:rFonts w:hint="default" w:ascii="宋体" w:hAnsi="宋体" w:cs="宋体" w:eastAsiaTheme="minorEastAsia"/>
                <w:sz w:val="24"/>
                <w:szCs w:val="24"/>
                <w:lang w:val="en-US" w:eastAsia="zh-CN"/>
              </w:rPr>
            </w:pPr>
            <w:r>
              <w:rPr>
                <w:rFonts w:hint="eastAsia" w:ascii="Calibri" w:hAnsi="Calibri" w:eastAsia="宋体" w:cs="Times New Roman"/>
                <w:lang w:val="en-US" w:eastAsia="zh-CN"/>
              </w:rPr>
              <w:t>信息安全保密措施</w:t>
            </w:r>
          </w:p>
        </w:tc>
        <w:tc>
          <w:tcPr>
            <w:tcW w:w="925" w:type="dxa"/>
            <w:vAlign w:val="center"/>
          </w:tcPr>
          <w:p w14:paraId="7048D304">
            <w:pPr>
              <w:rPr>
                <w:rFonts w:ascii="宋体" w:hAnsi="宋体" w:cs="宋体"/>
                <w:sz w:val="24"/>
                <w:szCs w:val="24"/>
              </w:rPr>
            </w:pPr>
            <w:r>
              <w:rPr>
                <w:rFonts w:hint="eastAsia" w:ascii="宋体" w:hAnsi="宋体" w:cs="Calibri"/>
                <w:szCs w:val="21"/>
                <w:lang w:val="en-US" w:eastAsia="zh-CN"/>
              </w:rPr>
              <w:t>8</w:t>
            </w:r>
            <w:r>
              <w:rPr>
                <w:rFonts w:hint="eastAsia" w:ascii="宋体" w:hAnsi="宋体" w:cs="Calibri"/>
                <w:szCs w:val="21"/>
              </w:rPr>
              <w:t>分</w:t>
            </w:r>
          </w:p>
        </w:tc>
        <w:tc>
          <w:tcPr>
            <w:tcW w:w="4810" w:type="dxa"/>
            <w:vAlign w:val="center"/>
          </w:tcPr>
          <w:p w14:paraId="275C5464">
            <w:pPr>
              <w:pStyle w:val="8"/>
              <w:numPr>
                <w:ilvl w:val="0"/>
                <w:numId w:val="0"/>
              </w:numPr>
              <w:rPr>
                <w:rFonts w:hint="eastAsia" w:ascii="Calibri" w:hAnsi="Calibri"/>
                <w:b w:val="0"/>
                <w:sz w:val="21"/>
                <w:lang w:val="en-US" w:eastAsia="zh-CN"/>
              </w:rPr>
            </w:pPr>
            <w:r>
              <w:rPr>
                <w:rFonts w:hint="eastAsia" w:ascii="Calibri" w:hAnsi="Calibri" w:eastAsia="宋体" w:cs="Times New Roman"/>
                <w:b w:val="0"/>
                <w:kern w:val="2"/>
                <w:sz w:val="21"/>
                <w:szCs w:val="22"/>
                <w:lang w:val="en-US" w:eastAsia="zh-CN" w:bidi="ar-SA"/>
              </w:rPr>
              <w:t>1、</w:t>
            </w:r>
            <w:r>
              <w:rPr>
                <w:rFonts w:hint="eastAsia" w:ascii="Calibri" w:hAnsi="Calibri"/>
                <w:b w:val="0"/>
                <w:sz w:val="21"/>
                <w:lang w:val="en-US" w:eastAsia="zh-CN"/>
              </w:rPr>
              <w:t>保密措施规范化、制度化，保密方案严谨周密，切实可行，能够全面、合理预测保密措施实施中的困难及风险，对于泄密风险制定了有力的应对措施，得8分；</w:t>
            </w:r>
          </w:p>
          <w:p w14:paraId="54DC527F">
            <w:pPr>
              <w:numPr>
                <w:ilvl w:val="0"/>
                <w:numId w:val="0"/>
              </w:numPr>
              <w:rPr>
                <w:rFonts w:hint="eastAsia"/>
                <w:lang w:val="en-US" w:eastAsia="zh-CN"/>
              </w:rPr>
            </w:pPr>
            <w:r>
              <w:rPr>
                <w:rFonts w:hint="eastAsia" w:asciiTheme="minorHAnsi" w:hAnsiTheme="minorHAnsi" w:eastAsiaTheme="minorEastAsia" w:cstheme="minorBidi"/>
                <w:kern w:val="2"/>
                <w:sz w:val="21"/>
                <w:szCs w:val="22"/>
                <w:lang w:val="en-US" w:eastAsia="zh-CN" w:bidi="ar-SA"/>
              </w:rPr>
              <w:t>2、</w:t>
            </w:r>
            <w:r>
              <w:rPr>
                <w:rFonts w:hint="eastAsia"/>
                <w:lang w:val="en-US" w:eastAsia="zh-CN"/>
              </w:rPr>
              <w:t>保密措施较为规范化、制度化，保密方案较为严谨周密，可行性较强，能够较为全面、合理预测保密措施实施中的困难及风险，对于泄密风险制定了较为有力的应对措施，得6分；</w:t>
            </w:r>
          </w:p>
          <w:p w14:paraId="5F4D1B9B">
            <w:pPr>
              <w:numPr>
                <w:ilvl w:val="0"/>
                <w:numId w:val="0"/>
              </w:numPr>
              <w:rPr>
                <w:rFonts w:hint="eastAsia"/>
                <w:lang w:val="en-US" w:eastAsia="zh-CN"/>
              </w:rPr>
            </w:pPr>
            <w:r>
              <w:rPr>
                <w:rFonts w:hint="eastAsia"/>
                <w:lang w:val="en-US" w:eastAsia="zh-CN"/>
              </w:rPr>
              <w:t>3、保密措施的规范化、制度化程度一般，保密方案的严谨周密性一般，可行性一般，基本预测保密措施实施中的困难及风险，对于泄密风险制定的应对措施一般，得4分；</w:t>
            </w:r>
          </w:p>
          <w:p w14:paraId="7B1113BE">
            <w:pPr>
              <w:numPr>
                <w:ilvl w:val="0"/>
                <w:numId w:val="0"/>
              </w:numPr>
              <w:rPr>
                <w:rFonts w:hint="eastAsia"/>
                <w:lang w:val="en-US" w:eastAsia="zh-CN"/>
              </w:rPr>
            </w:pPr>
            <w:r>
              <w:rPr>
                <w:rFonts w:hint="eastAsia"/>
                <w:lang w:val="en-US" w:eastAsia="zh-CN"/>
              </w:rPr>
              <w:t>4、缺乏制定规范化、制度化的保密措施，保密方案可行性较差，未能全面预测保密措施实施中的困难及风险，对于泄密风险制定的应对措施不完备，得2分。</w:t>
            </w:r>
          </w:p>
          <w:p w14:paraId="06FFE13B">
            <w:pPr>
              <w:numPr>
                <w:ilvl w:val="0"/>
                <w:numId w:val="0"/>
              </w:numPr>
              <w:rPr>
                <w:rFonts w:hint="default"/>
                <w:lang w:val="en-US" w:eastAsia="zh-CN"/>
              </w:rPr>
            </w:pPr>
            <w:r>
              <w:rPr>
                <w:rFonts w:hint="eastAsia"/>
                <w:lang w:val="en-US" w:eastAsia="zh-CN"/>
              </w:rPr>
              <w:t>5、未提供不得分。</w:t>
            </w:r>
          </w:p>
        </w:tc>
        <w:tc>
          <w:tcPr>
            <w:tcW w:w="1321" w:type="dxa"/>
            <w:vAlign w:val="center"/>
          </w:tcPr>
          <w:p w14:paraId="3353CA07">
            <w:pPr>
              <w:rPr>
                <w:rFonts w:ascii="宋体" w:hAnsi="宋体" w:cs="宋体"/>
                <w:szCs w:val="21"/>
              </w:rPr>
            </w:pPr>
          </w:p>
        </w:tc>
      </w:tr>
      <w:tr w14:paraId="36FD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2" w:hRule="atLeast"/>
        </w:trPr>
        <w:tc>
          <w:tcPr>
            <w:tcW w:w="1121" w:type="dxa"/>
            <w:vMerge w:val="continue"/>
            <w:vAlign w:val="center"/>
          </w:tcPr>
          <w:p w14:paraId="7F99243C">
            <w:pPr>
              <w:jc w:val="center"/>
              <w:rPr>
                <w:rFonts w:hAnsi="宋体"/>
                <w:b/>
                <w:bCs/>
                <w:szCs w:val="21"/>
              </w:rPr>
            </w:pPr>
          </w:p>
        </w:tc>
        <w:tc>
          <w:tcPr>
            <w:tcW w:w="700" w:type="dxa"/>
            <w:vAlign w:val="center"/>
          </w:tcPr>
          <w:p w14:paraId="1D75B99B">
            <w:pPr>
              <w:jc w:val="center"/>
              <w:rPr>
                <w:rFonts w:hAnsi="宋体"/>
                <w:szCs w:val="21"/>
              </w:rPr>
            </w:pPr>
            <w:r>
              <w:rPr>
                <w:rFonts w:hint="eastAsia" w:hAnsi="宋体"/>
                <w:szCs w:val="21"/>
              </w:rPr>
              <w:t>应急方案</w:t>
            </w:r>
          </w:p>
        </w:tc>
        <w:tc>
          <w:tcPr>
            <w:tcW w:w="925" w:type="dxa"/>
            <w:vAlign w:val="center"/>
          </w:tcPr>
          <w:p w14:paraId="2B096C14">
            <w:pPr>
              <w:rPr>
                <w:rFonts w:hAnsi="宋体"/>
                <w:szCs w:val="21"/>
              </w:rPr>
            </w:pPr>
            <w:r>
              <w:rPr>
                <w:rFonts w:hint="eastAsia" w:hAnsi="宋体"/>
                <w:szCs w:val="21"/>
                <w:lang w:val="en-US" w:eastAsia="zh-CN"/>
              </w:rPr>
              <w:t>6</w:t>
            </w:r>
            <w:r>
              <w:rPr>
                <w:rFonts w:hint="eastAsia" w:hAnsi="宋体"/>
                <w:szCs w:val="21"/>
              </w:rPr>
              <w:t>分</w:t>
            </w:r>
          </w:p>
        </w:tc>
        <w:tc>
          <w:tcPr>
            <w:tcW w:w="4810" w:type="dxa"/>
            <w:vAlign w:val="center"/>
          </w:tcPr>
          <w:p w14:paraId="149D129D">
            <w:pPr>
              <w:rPr>
                <w:rFonts w:ascii="宋体" w:hAnsi="宋体" w:cs="宋体"/>
                <w:szCs w:val="21"/>
              </w:rPr>
            </w:pPr>
            <w:r>
              <w:rPr>
                <w:rFonts w:hint="eastAsia" w:ascii="宋体" w:hAnsi="宋体" w:cs="宋体"/>
                <w:szCs w:val="21"/>
              </w:rPr>
              <w:t>供应商</w:t>
            </w:r>
            <w:r>
              <w:rPr>
                <w:rFonts w:hint="eastAsia" w:ascii="宋体" w:hAnsi="宋体" w:cs="宋体"/>
                <w:szCs w:val="21"/>
                <w:lang w:val="en-US" w:eastAsia="zh-CN"/>
              </w:rPr>
              <w:t>提供</w:t>
            </w:r>
            <w:r>
              <w:rPr>
                <w:rFonts w:hint="eastAsia" w:ascii="宋体" w:hAnsi="宋体" w:cs="宋体"/>
                <w:szCs w:val="21"/>
              </w:rPr>
              <w:t>项目</w:t>
            </w:r>
            <w:r>
              <w:rPr>
                <w:rFonts w:hint="eastAsia" w:ascii="宋体" w:hAnsi="宋体" w:cs="宋体"/>
                <w:szCs w:val="21"/>
                <w:lang w:val="en-US" w:eastAsia="zh-CN"/>
              </w:rPr>
              <w:t>服务过程中针对</w:t>
            </w:r>
            <w:r>
              <w:rPr>
                <w:rFonts w:hint="eastAsia" w:ascii="宋体" w:hAnsi="宋体" w:cs="宋体"/>
                <w:szCs w:val="21"/>
              </w:rPr>
              <w:t>采购人应急预案，包括不限于</w:t>
            </w:r>
            <w:r>
              <w:rPr>
                <w:rFonts w:hint="eastAsia" w:ascii="宋体" w:hAnsi="宋体" w:cs="宋体"/>
                <w:szCs w:val="21"/>
                <w:lang w:val="en-US" w:eastAsia="zh-CN"/>
              </w:rPr>
              <w:t>①项目服务过程中数据损坏的补救②数据质量分析与实际所呈现数据快报的不一致处理方法③项目实施过程中可能出现的问题的应急方案</w:t>
            </w:r>
            <w:r>
              <w:rPr>
                <w:rFonts w:hint="eastAsia" w:ascii="宋体" w:hAnsi="宋体" w:cs="宋体"/>
                <w:szCs w:val="21"/>
              </w:rPr>
              <w:t>等进行详细说明。</w:t>
            </w:r>
          </w:p>
          <w:p w14:paraId="663B3F29">
            <w:pPr>
              <w:pStyle w:val="28"/>
              <w:ind w:firstLine="0" w:firstLineChars="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rPr>
              <w:t>完全满足采购需求并符合本项目实施特点的得</w:t>
            </w:r>
            <w:r>
              <w:rPr>
                <w:rFonts w:hint="eastAsia" w:ascii="宋体" w:hAnsi="宋体" w:cs="宋体"/>
                <w:sz w:val="21"/>
                <w:szCs w:val="21"/>
                <w:lang w:val="en-US" w:eastAsia="zh-CN"/>
              </w:rPr>
              <w:t>6</w:t>
            </w:r>
            <w:r>
              <w:rPr>
                <w:rFonts w:hint="eastAsia" w:ascii="宋体" w:hAnsi="宋体" w:cs="宋体"/>
                <w:sz w:val="21"/>
                <w:szCs w:val="21"/>
              </w:rPr>
              <w:t xml:space="preserve"> 分；以上方面中每缺少一方面内容扣 2 分；每有一处内容与实际需求不符或不满足要求或与本项目需求不切合或直接套用其他项目内容的扣1分，扣完为止。</w:t>
            </w:r>
          </w:p>
          <w:p w14:paraId="2B507338">
            <w:pPr>
              <w:rPr>
                <w:rFonts w:ascii="宋体" w:hAnsi="宋体" w:cs="宋体"/>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未提供不得分。</w:t>
            </w:r>
          </w:p>
        </w:tc>
        <w:tc>
          <w:tcPr>
            <w:tcW w:w="1321" w:type="dxa"/>
            <w:vAlign w:val="center"/>
          </w:tcPr>
          <w:p w14:paraId="6FE1E61F">
            <w:pPr>
              <w:rPr>
                <w:rFonts w:ascii="宋体" w:hAnsi="宋体" w:cs="宋体"/>
                <w:b/>
                <w:bCs/>
                <w:szCs w:val="21"/>
              </w:rPr>
            </w:pPr>
          </w:p>
        </w:tc>
      </w:tr>
      <w:tr w14:paraId="2D08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trPr>
        <w:tc>
          <w:tcPr>
            <w:tcW w:w="1121" w:type="dxa"/>
            <w:vMerge w:val="restart"/>
            <w:vAlign w:val="center"/>
          </w:tcPr>
          <w:p w14:paraId="4AB6285E">
            <w:pPr>
              <w:jc w:val="center"/>
              <w:rPr>
                <w:rFonts w:hAnsi="宋体" w:eastAsia="宋体"/>
                <w:szCs w:val="21"/>
              </w:rPr>
            </w:pPr>
            <w:r>
              <w:rPr>
                <w:rFonts w:hint="eastAsia" w:hAnsi="宋体"/>
                <w:szCs w:val="21"/>
              </w:rPr>
              <w:t>商务部分</w:t>
            </w:r>
            <w:r>
              <w:rPr>
                <w:rFonts w:hint="eastAsia" w:hAnsi="宋体"/>
                <w:szCs w:val="21"/>
                <w:lang w:val="en-US" w:eastAsia="zh-CN"/>
              </w:rPr>
              <w:t>19</w:t>
            </w:r>
            <w:r>
              <w:rPr>
                <w:rFonts w:hint="eastAsia" w:hAnsi="宋体"/>
                <w:szCs w:val="21"/>
              </w:rPr>
              <w:t>分</w:t>
            </w:r>
          </w:p>
        </w:tc>
        <w:tc>
          <w:tcPr>
            <w:tcW w:w="700" w:type="dxa"/>
            <w:vAlign w:val="center"/>
          </w:tcPr>
          <w:p w14:paraId="0B1ADDBA">
            <w:pPr>
              <w:jc w:val="center"/>
              <w:rPr>
                <w:rFonts w:ascii="宋体" w:hAnsi="宋体" w:cs="宋体"/>
                <w:szCs w:val="21"/>
                <w:highlight w:val="none"/>
              </w:rPr>
            </w:pPr>
            <w:r>
              <w:rPr>
                <w:rFonts w:hint="eastAsia" w:hAnsi="宋体"/>
                <w:szCs w:val="21"/>
                <w:highlight w:val="none"/>
              </w:rPr>
              <w:t>售后服务方案</w:t>
            </w:r>
          </w:p>
        </w:tc>
        <w:tc>
          <w:tcPr>
            <w:tcW w:w="925" w:type="dxa"/>
            <w:vAlign w:val="center"/>
          </w:tcPr>
          <w:p w14:paraId="726A9368">
            <w:pPr>
              <w:rPr>
                <w:rFonts w:ascii="宋体" w:hAnsi="宋体" w:eastAsia="宋体" w:cs="宋体"/>
                <w:szCs w:val="21"/>
                <w:highlight w:val="none"/>
              </w:rPr>
            </w:pPr>
            <w:r>
              <w:rPr>
                <w:rFonts w:hint="eastAsia" w:hAnsi="宋体"/>
                <w:szCs w:val="21"/>
                <w:highlight w:val="none"/>
                <w:lang w:val="en-US" w:eastAsia="zh-CN"/>
              </w:rPr>
              <w:t>6</w:t>
            </w:r>
            <w:r>
              <w:rPr>
                <w:rFonts w:hint="eastAsia" w:hAnsi="宋体"/>
                <w:szCs w:val="21"/>
                <w:highlight w:val="none"/>
              </w:rPr>
              <w:t>分</w:t>
            </w:r>
          </w:p>
        </w:tc>
        <w:tc>
          <w:tcPr>
            <w:tcW w:w="4810" w:type="dxa"/>
            <w:vAlign w:val="center"/>
          </w:tcPr>
          <w:p w14:paraId="4D5E50A3">
            <w:pPr>
              <w:pStyle w:val="28"/>
              <w:ind w:firstLine="0" w:firstLineChars="0"/>
              <w:rPr>
                <w:rFonts w:hint="eastAsia" w:ascii="宋体" w:hAnsi="宋体" w:cs="宋体"/>
                <w:sz w:val="21"/>
                <w:szCs w:val="21"/>
                <w:lang w:eastAsia="zh-CN"/>
              </w:rPr>
            </w:pPr>
            <w:r>
              <w:rPr>
                <w:rFonts w:hint="eastAsia" w:ascii="宋体" w:hAnsi="宋体" w:cs="宋体"/>
                <w:sz w:val="21"/>
                <w:szCs w:val="21"/>
              </w:rPr>
              <w:t>提供具体的售后服务方案，包含①售后内容与措施、②响应时限、③售后服务承诺等</w:t>
            </w:r>
            <w:r>
              <w:rPr>
                <w:rFonts w:hint="eastAsia" w:ascii="宋体" w:hAnsi="宋体" w:cs="宋体"/>
                <w:sz w:val="21"/>
                <w:szCs w:val="21"/>
                <w:lang w:eastAsia="zh-CN"/>
              </w:rPr>
              <w:t>。</w:t>
            </w:r>
          </w:p>
          <w:p w14:paraId="64621B00">
            <w:pPr>
              <w:pStyle w:val="28"/>
              <w:ind w:firstLine="0" w:firstLineChars="0"/>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rPr>
              <w:t>完全满足采购需求并符合本项目实施特点的得</w:t>
            </w:r>
            <w:r>
              <w:rPr>
                <w:rFonts w:hint="eastAsia" w:ascii="宋体" w:hAnsi="宋体" w:cs="宋体"/>
                <w:sz w:val="21"/>
                <w:szCs w:val="21"/>
                <w:lang w:val="en-US" w:eastAsia="zh-CN"/>
              </w:rPr>
              <w:t>6</w:t>
            </w:r>
            <w:r>
              <w:rPr>
                <w:rFonts w:hint="eastAsia" w:ascii="宋体" w:hAnsi="宋体" w:cs="宋体"/>
                <w:sz w:val="21"/>
                <w:szCs w:val="21"/>
              </w:rPr>
              <w:t xml:space="preserve"> 分；以上方面中每缺少一方面内容扣 2 分；每有一处内容与实际需求不符或不满足要求或与本项目需求不切合或直接套用其他项目内容的扣1分，扣完为止。</w:t>
            </w:r>
          </w:p>
          <w:p w14:paraId="2CC56078">
            <w:pPr>
              <w:pStyle w:val="6"/>
              <w:rPr>
                <w:highlight w:val="none"/>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未提供不得分。</w:t>
            </w:r>
          </w:p>
        </w:tc>
        <w:tc>
          <w:tcPr>
            <w:tcW w:w="1321" w:type="dxa"/>
            <w:vAlign w:val="center"/>
          </w:tcPr>
          <w:p w14:paraId="0F2C3B69">
            <w:pPr>
              <w:rPr>
                <w:rFonts w:ascii="宋体" w:hAnsi="宋体" w:cs="宋体"/>
                <w:szCs w:val="21"/>
              </w:rPr>
            </w:pPr>
          </w:p>
        </w:tc>
      </w:tr>
      <w:tr w14:paraId="0504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trPr>
        <w:tc>
          <w:tcPr>
            <w:tcW w:w="1121" w:type="dxa"/>
            <w:vMerge w:val="continue"/>
            <w:vAlign w:val="center"/>
          </w:tcPr>
          <w:p w14:paraId="2E47EA4D">
            <w:pPr>
              <w:jc w:val="center"/>
              <w:rPr>
                <w:rFonts w:hint="eastAsia" w:hAnsi="宋体"/>
                <w:szCs w:val="21"/>
              </w:rPr>
            </w:pPr>
          </w:p>
        </w:tc>
        <w:tc>
          <w:tcPr>
            <w:tcW w:w="700" w:type="dxa"/>
            <w:vAlign w:val="center"/>
          </w:tcPr>
          <w:p w14:paraId="0375735D">
            <w:pPr>
              <w:jc w:val="center"/>
              <w:rPr>
                <w:rFonts w:hint="eastAsia" w:hAnsi="宋体" w:eastAsiaTheme="minorEastAsia"/>
                <w:szCs w:val="21"/>
                <w:highlight w:val="none"/>
                <w:lang w:val="en-US" w:eastAsia="zh-CN"/>
              </w:rPr>
            </w:pPr>
            <w:r>
              <w:rPr>
                <w:rFonts w:hint="eastAsia" w:hAnsi="宋体"/>
                <w:szCs w:val="21"/>
                <w:highlight w:val="none"/>
                <w:lang w:val="en-US" w:eastAsia="zh-CN"/>
              </w:rPr>
              <w:t>履约能力</w:t>
            </w:r>
          </w:p>
        </w:tc>
        <w:tc>
          <w:tcPr>
            <w:tcW w:w="925" w:type="dxa"/>
            <w:vAlign w:val="center"/>
          </w:tcPr>
          <w:p w14:paraId="55E9B607">
            <w:pPr>
              <w:rPr>
                <w:rFonts w:hint="default" w:hAnsi="宋体" w:eastAsiaTheme="minorEastAsia"/>
                <w:szCs w:val="21"/>
                <w:highlight w:val="none"/>
                <w:lang w:val="en-US" w:eastAsia="zh-CN"/>
              </w:rPr>
            </w:pPr>
            <w:r>
              <w:rPr>
                <w:rFonts w:hint="eastAsia" w:hAnsi="宋体"/>
                <w:szCs w:val="21"/>
                <w:highlight w:val="none"/>
                <w:lang w:val="en-US" w:eastAsia="zh-CN"/>
              </w:rPr>
              <w:t>3分</w:t>
            </w:r>
          </w:p>
        </w:tc>
        <w:tc>
          <w:tcPr>
            <w:tcW w:w="4810" w:type="dxa"/>
            <w:vAlign w:val="center"/>
          </w:tcPr>
          <w:p w14:paraId="48CCE335">
            <w:pPr>
              <w:numPr>
                <w:ilvl w:val="0"/>
                <w:numId w:val="12"/>
              </w:numPr>
              <w:rPr>
                <w:rFonts w:hint="default"/>
                <w:lang w:val="en-US" w:eastAsia="zh-CN"/>
              </w:rPr>
            </w:pPr>
            <w:r>
              <w:rPr>
                <w:rFonts w:hint="default"/>
                <w:lang w:val="en-US" w:eastAsia="zh-CN"/>
              </w:rPr>
              <w:t>具有信息技术服务管理体系认证证书（ISO/IEC20000），得1分；</w:t>
            </w:r>
          </w:p>
          <w:p w14:paraId="12F24515">
            <w:pPr>
              <w:numPr>
                <w:ilvl w:val="0"/>
                <w:numId w:val="0"/>
              </w:numPr>
              <w:rPr>
                <w:rFonts w:hint="default"/>
                <w:lang w:val="en-US" w:eastAsia="zh-CN"/>
              </w:rPr>
            </w:pPr>
            <w:r>
              <w:rPr>
                <w:rFonts w:hint="default"/>
                <w:lang w:val="en-US" w:eastAsia="zh-CN"/>
              </w:rPr>
              <w:t>（2）具有信息安全管理体系认证证书（ISO27001），得1 分。</w:t>
            </w:r>
          </w:p>
          <w:p w14:paraId="6A6833D8">
            <w:pPr>
              <w:numPr>
                <w:ilvl w:val="0"/>
                <w:numId w:val="0"/>
              </w:numPr>
              <w:rPr>
                <w:rFonts w:hint="default"/>
                <w:lang w:val="en-US" w:eastAsia="zh-CN"/>
              </w:rPr>
            </w:pPr>
            <w:r>
              <w:rPr>
                <w:rFonts w:hint="default"/>
                <w:lang w:val="en-US" w:eastAsia="zh-CN"/>
              </w:rPr>
              <w:t xml:space="preserve">（3）管理体系认证证书（ISO9001），得1分 </w:t>
            </w:r>
          </w:p>
          <w:p w14:paraId="220D05D4">
            <w:pPr>
              <w:numPr>
                <w:ilvl w:val="0"/>
                <w:numId w:val="0"/>
              </w:numPr>
              <w:rPr>
                <w:rFonts w:hint="default"/>
                <w:lang w:val="en-US" w:eastAsia="zh-CN"/>
              </w:rPr>
            </w:pPr>
            <w:r>
              <w:rPr>
                <w:rFonts w:hint="default"/>
                <w:b/>
                <w:bCs/>
                <w:lang w:val="en-US" w:eastAsia="zh-CN"/>
              </w:rPr>
              <w:t>注：提供证明材料复印件加盖供应商公章。</w:t>
            </w:r>
          </w:p>
        </w:tc>
        <w:tc>
          <w:tcPr>
            <w:tcW w:w="1321" w:type="dxa"/>
            <w:vAlign w:val="center"/>
          </w:tcPr>
          <w:p w14:paraId="3F5005BC">
            <w:pPr>
              <w:rPr>
                <w:rFonts w:ascii="宋体" w:hAnsi="宋体" w:cs="宋体"/>
                <w:szCs w:val="21"/>
              </w:rPr>
            </w:pPr>
          </w:p>
        </w:tc>
      </w:tr>
      <w:tr w14:paraId="66E7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trPr>
        <w:tc>
          <w:tcPr>
            <w:tcW w:w="1121" w:type="dxa"/>
            <w:vMerge w:val="continue"/>
            <w:vAlign w:val="center"/>
          </w:tcPr>
          <w:p w14:paraId="3D88F2AC">
            <w:pPr>
              <w:jc w:val="center"/>
              <w:rPr>
                <w:rFonts w:hAnsi="宋体"/>
                <w:szCs w:val="21"/>
              </w:rPr>
            </w:pPr>
          </w:p>
        </w:tc>
        <w:tc>
          <w:tcPr>
            <w:tcW w:w="700" w:type="dxa"/>
            <w:shd w:val="clear" w:color="auto" w:fill="auto"/>
            <w:vAlign w:val="center"/>
          </w:tcPr>
          <w:p w14:paraId="12E6EBC2">
            <w:pPr>
              <w:jc w:val="center"/>
              <w:rPr>
                <w:rFonts w:hAnsi="宋体"/>
                <w:bCs/>
                <w:szCs w:val="21"/>
              </w:rPr>
            </w:pPr>
            <w:r>
              <w:rPr>
                <w:rFonts w:hint="eastAsia" w:hAnsi="宋体"/>
                <w:szCs w:val="21"/>
              </w:rPr>
              <w:t>业绩</w:t>
            </w:r>
          </w:p>
        </w:tc>
        <w:tc>
          <w:tcPr>
            <w:tcW w:w="925" w:type="dxa"/>
            <w:shd w:val="clear" w:color="auto" w:fill="auto"/>
            <w:vAlign w:val="center"/>
          </w:tcPr>
          <w:p w14:paraId="6C9DBE13">
            <w:pPr>
              <w:rPr>
                <w:rFonts w:hAnsi="宋体"/>
                <w:szCs w:val="21"/>
              </w:rPr>
            </w:pPr>
            <w:r>
              <w:rPr>
                <w:rFonts w:hint="eastAsia" w:hAnsi="宋体"/>
                <w:szCs w:val="21"/>
              </w:rPr>
              <w:t>10分</w:t>
            </w:r>
          </w:p>
        </w:tc>
        <w:tc>
          <w:tcPr>
            <w:tcW w:w="4810" w:type="dxa"/>
            <w:shd w:val="clear" w:color="auto" w:fill="auto"/>
            <w:vAlign w:val="center"/>
          </w:tcPr>
          <w:p w14:paraId="0F52CFE9">
            <w:pPr>
              <w:rPr>
                <w:rFonts w:hint="eastAsia" w:hAnsi="宋体" w:eastAsia="宋体"/>
                <w:szCs w:val="21"/>
              </w:rPr>
            </w:pPr>
            <w:r>
              <w:rPr>
                <w:rFonts w:hint="eastAsia" w:hAnsi="宋体" w:eastAsia="宋体"/>
                <w:szCs w:val="21"/>
              </w:rPr>
              <w:t>供应商提供近3年（自2022年1月1日起至递交响应文件截止日止）以来（以合同签订日期为准）独立承担的同类项目业绩，每提供一份有效的业绩证明材料得2分，最高得10分。</w:t>
            </w:r>
          </w:p>
          <w:p w14:paraId="67BB9527">
            <w:pPr>
              <w:rPr>
                <w:rFonts w:hint="eastAsia" w:hAnsi="宋体" w:eastAsia="宋体"/>
                <w:b/>
                <w:bCs/>
                <w:szCs w:val="21"/>
              </w:rPr>
            </w:pPr>
            <w:r>
              <w:rPr>
                <w:rFonts w:hint="eastAsia" w:hAnsi="宋体" w:eastAsia="宋体"/>
                <w:b/>
                <w:bCs/>
                <w:szCs w:val="21"/>
              </w:rPr>
              <w:t>注：1.同类项目指数据加工处理分析项目业绩：包含不限于数据质量分析（数据治理）或数据抽取服务或数据分析等数据咨询服务类项目。</w:t>
            </w:r>
          </w:p>
          <w:p w14:paraId="50A0DA44">
            <w:pPr>
              <w:rPr>
                <w:rFonts w:hint="eastAsia" w:hAnsi="宋体" w:eastAsia="宋体"/>
                <w:b/>
                <w:bCs/>
                <w:szCs w:val="21"/>
              </w:rPr>
            </w:pPr>
            <w:r>
              <w:rPr>
                <w:rFonts w:hint="eastAsia" w:hAnsi="宋体" w:eastAsia="宋体"/>
                <w:b/>
                <w:bCs/>
                <w:szCs w:val="21"/>
              </w:rPr>
              <w:t>2.须提供业绩合同关键页（含：首页、服务内容信息页、合同金额页、签字盖章页）。复印件加盖公章，时间以合同签订日期为准。合同签订方必须是供应商自身，不符合上述要求或未按要求提供有效证明文件的业绩，在评审时将不予承认。</w:t>
            </w:r>
          </w:p>
          <w:p w14:paraId="47675A17">
            <w:pPr>
              <w:rPr>
                <w:rFonts w:hAnsi="宋体" w:eastAsia="宋体"/>
                <w:szCs w:val="21"/>
              </w:rPr>
            </w:pPr>
            <w:r>
              <w:rPr>
                <w:rFonts w:hint="eastAsia" w:hAnsi="宋体" w:eastAsia="宋体"/>
                <w:b/>
                <w:bCs/>
                <w:szCs w:val="21"/>
              </w:rPr>
              <w:t>3.供应商提供虚假合同的，按虚假投标处理。</w:t>
            </w:r>
          </w:p>
        </w:tc>
        <w:tc>
          <w:tcPr>
            <w:tcW w:w="1321" w:type="dxa"/>
          </w:tcPr>
          <w:p w14:paraId="150B4F55">
            <w:pPr>
              <w:rPr>
                <w:rFonts w:hAnsi="宋体" w:cs="宋体"/>
                <w:szCs w:val="21"/>
              </w:rPr>
            </w:pPr>
          </w:p>
        </w:tc>
      </w:tr>
      <w:tr w14:paraId="4D14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trPr>
        <w:tc>
          <w:tcPr>
            <w:tcW w:w="1121" w:type="dxa"/>
            <w:vAlign w:val="center"/>
          </w:tcPr>
          <w:p w14:paraId="4D62155B">
            <w:pPr>
              <w:rPr>
                <w:rFonts w:hAnsi="宋体"/>
                <w:szCs w:val="21"/>
              </w:rPr>
            </w:pPr>
            <w:r>
              <w:rPr>
                <w:rFonts w:hint="eastAsia" w:hAnsi="宋体"/>
                <w:szCs w:val="21"/>
              </w:rPr>
              <w:t>备注</w:t>
            </w:r>
          </w:p>
        </w:tc>
        <w:tc>
          <w:tcPr>
            <w:tcW w:w="7756" w:type="dxa"/>
            <w:gridSpan w:val="4"/>
          </w:tcPr>
          <w:p w14:paraId="269F396E">
            <w:pPr>
              <w:rPr>
                <w:rFonts w:hAnsi="宋体"/>
                <w:szCs w:val="21"/>
              </w:rPr>
            </w:pPr>
            <w:r>
              <w:rPr>
                <w:rFonts w:hint="eastAsia" w:hAnsi="宋体"/>
                <w:szCs w:val="21"/>
              </w:rPr>
              <w:t>1）各评委独立打分。</w:t>
            </w:r>
          </w:p>
          <w:p w14:paraId="56FA16C4">
            <w:pPr>
              <w:rPr>
                <w:rFonts w:hAnsi="宋体"/>
                <w:szCs w:val="21"/>
              </w:rPr>
            </w:pPr>
            <w:r>
              <w:rPr>
                <w:rFonts w:hint="eastAsia" w:hAnsi="宋体"/>
                <w:szCs w:val="21"/>
              </w:rPr>
              <w:t>2）评委打分超过得分界限或未按本表规定赋分时，该评委的打分无效，不计入汇总分。</w:t>
            </w:r>
          </w:p>
          <w:p w14:paraId="109C7E86">
            <w:pPr>
              <w:rPr>
                <w:rFonts w:hAnsi="宋体"/>
                <w:szCs w:val="21"/>
              </w:rPr>
            </w:pPr>
            <w:r>
              <w:rPr>
                <w:rFonts w:hint="eastAsia" w:hAnsi="宋体"/>
                <w:szCs w:val="21"/>
              </w:rPr>
              <w:t>3）若出现综合得分相同的，按响应报价由低到高顺序排列名次；得分且响应报价相同的，按技术指标得分顺序排列名次。</w:t>
            </w:r>
          </w:p>
          <w:p w14:paraId="79E16E52">
            <w:pPr>
              <w:rPr>
                <w:rFonts w:hAnsi="宋体"/>
                <w:szCs w:val="21"/>
              </w:rPr>
            </w:pPr>
            <w:r>
              <w:rPr>
                <w:rFonts w:hint="eastAsia" w:hAnsi="宋体"/>
                <w:szCs w:val="21"/>
              </w:rPr>
              <w:t>4）最终结果数字保留二位小数，不进行四舍五入。</w:t>
            </w:r>
          </w:p>
        </w:tc>
      </w:tr>
    </w:tbl>
    <w:p w14:paraId="51FFE75D">
      <w:pPr>
        <w:ind w:firstLine="240" w:firstLineChars="100"/>
        <w:rPr>
          <w:rFonts w:ascii="宋体" w:hAnsi="宋体" w:cs="宋体"/>
          <w:sz w:val="24"/>
          <w:szCs w:val="24"/>
        </w:rPr>
      </w:pPr>
      <w:r>
        <w:rPr>
          <w:rFonts w:hint="eastAsia" w:ascii="宋体" w:hAnsi="宋体" w:cs="宋体"/>
          <w:sz w:val="24"/>
          <w:szCs w:val="24"/>
        </w:rPr>
        <w:t>备注：</w:t>
      </w:r>
    </w:p>
    <w:p w14:paraId="71571011">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14:paraId="1906DA69">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根据《政府采购促进中小企业发展管理办法》（财库</w:t>
      </w:r>
      <w:r>
        <w:rPr>
          <w:rFonts w:ascii="宋体" w:hAnsi="宋体" w:cs="宋体"/>
          <w:sz w:val="24"/>
          <w:szCs w:val="24"/>
        </w:rPr>
        <w:t>[20</w:t>
      </w:r>
      <w:r>
        <w:rPr>
          <w:rFonts w:hint="eastAsia" w:ascii="宋体" w:hAnsi="宋体" w:cs="宋体"/>
          <w:sz w:val="24"/>
          <w:szCs w:val="24"/>
        </w:rPr>
        <w:t>20</w:t>
      </w:r>
      <w:r>
        <w:rPr>
          <w:rFonts w:ascii="宋体" w:hAnsi="宋体" w:cs="宋体"/>
          <w:sz w:val="24"/>
          <w:szCs w:val="24"/>
        </w:rPr>
        <w:t>]</w:t>
      </w:r>
      <w:r>
        <w:rPr>
          <w:rFonts w:hint="eastAsia" w:ascii="宋体" w:hAnsi="宋体" w:cs="宋体"/>
          <w:sz w:val="24"/>
          <w:szCs w:val="24"/>
        </w:rPr>
        <w:t>46号）及《关于进一步加大政府采购支持中小企业力度的通知》（财库〔2022〕19号）的规定，对于非专门面向中小企业的项目，对小型和微型企业产品的价格给予10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14:paraId="6249E8B7">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14:paraId="15CA2612">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14:paraId="014D819D">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14:paraId="50DFD416">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14:paraId="03EDC10F">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14:paraId="035031D5">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1BF488CF">
      <w:pPr>
        <w:ind w:firstLine="480" w:firstLineChars="200"/>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14:paraId="0C4948C6">
      <w:pPr>
        <w:pStyle w:val="4"/>
        <w:pageBreakBefore/>
        <w:spacing w:before="325" w:beforeLines="100" w:after="325" w:afterLines="100" w:line="500" w:lineRule="exact"/>
        <w:rPr>
          <w:rFonts w:asciiTheme="minorEastAsia" w:hAnsiTheme="minorEastAsia" w:cstheme="minorEastAsia"/>
          <w:szCs w:val="32"/>
        </w:rPr>
      </w:pPr>
      <w:bookmarkStart w:id="95" w:name="_Toc15136"/>
      <w:bookmarkStart w:id="96" w:name="_Toc27840"/>
      <w:bookmarkStart w:id="97" w:name="_Toc19586"/>
      <w:bookmarkStart w:id="98" w:name="_Toc473"/>
      <w:r>
        <w:rPr>
          <w:rFonts w:hint="eastAsia" w:asciiTheme="minorEastAsia" w:hAnsiTheme="minorEastAsia" w:eastAsiaTheme="minorEastAsia" w:cstheme="minorEastAsia"/>
          <w:sz w:val="36"/>
          <w:szCs w:val="36"/>
        </w:rPr>
        <w:t>第五部分  采购要求</w:t>
      </w:r>
      <w:bookmarkEnd w:id="95"/>
      <w:bookmarkEnd w:id="96"/>
    </w:p>
    <w:p w14:paraId="2CFDC651">
      <w:pPr>
        <w:spacing w:line="360" w:lineRule="auto"/>
        <w:rPr>
          <w:rFonts w:ascii="宋体" w:hAnsi="宋体" w:eastAsia="宋体" w:cs="宋体"/>
          <w:b/>
          <w:sz w:val="24"/>
          <w:szCs w:val="24"/>
        </w:rPr>
      </w:pPr>
      <w:r>
        <w:rPr>
          <w:rFonts w:hint="eastAsia" w:ascii="宋体" w:hAnsi="宋体" w:eastAsia="宋体" w:cs="宋体"/>
          <w:b/>
          <w:sz w:val="24"/>
          <w:szCs w:val="24"/>
        </w:rPr>
        <w:t>一、商务要求</w:t>
      </w:r>
    </w:p>
    <w:p w14:paraId="74BAA6FE">
      <w:pPr>
        <w:spacing w:line="360" w:lineRule="auto"/>
        <w:ind w:right="57" w:rightChars="27"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1、项目名称：</w:t>
      </w:r>
      <w:r>
        <w:rPr>
          <w:rFonts w:hint="eastAsia" w:ascii="宋体" w:hAnsi="宋体" w:eastAsia="宋体" w:cs="宋体"/>
          <w:kern w:val="0"/>
          <w:sz w:val="24"/>
          <w:szCs w:val="24"/>
          <w:lang w:eastAsia="zh-CN"/>
        </w:rPr>
        <w:t>西安市扶贫信息监测中心巩固脱贫攻坚成果和防返贫监测数据质量评估及分析服务项目</w:t>
      </w:r>
    </w:p>
    <w:p w14:paraId="49B6DD25">
      <w:pPr>
        <w:widowControl/>
        <w:spacing w:line="360" w:lineRule="auto"/>
        <w:ind w:right="57" w:rightChars="27" w:firstLine="480" w:firstLineChars="200"/>
        <w:jc w:val="left"/>
        <w:rPr>
          <w:rFonts w:ascii="宋体" w:hAnsi="宋体" w:eastAsia="宋体" w:cs="宋体"/>
          <w:kern w:val="0"/>
          <w:sz w:val="24"/>
          <w:szCs w:val="24"/>
        </w:rPr>
      </w:pPr>
      <w:r>
        <w:rPr>
          <w:rFonts w:hint="eastAsia" w:ascii="宋体" w:hAnsi="宋体" w:eastAsia="宋体" w:cs="宋体"/>
          <w:bCs/>
          <w:sz w:val="24"/>
          <w:szCs w:val="24"/>
        </w:rPr>
        <w:t>2、</w:t>
      </w:r>
      <w:r>
        <w:rPr>
          <w:rFonts w:hint="eastAsia" w:ascii="宋体" w:hAnsi="宋体" w:eastAsia="宋体" w:cs="宋体"/>
          <w:kern w:val="0"/>
          <w:sz w:val="24"/>
          <w:szCs w:val="24"/>
        </w:rPr>
        <w:t>服务期：自合同签订之日起1年；</w:t>
      </w:r>
    </w:p>
    <w:p w14:paraId="072A6A60">
      <w:pPr>
        <w:tabs>
          <w:tab w:val="left" w:pos="42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、服务地点：</w:t>
      </w:r>
      <w:r>
        <w:rPr>
          <w:rFonts w:hint="eastAsia" w:ascii="宋体" w:hAnsi="宋体" w:eastAsia="宋体" w:cs="宋体"/>
          <w:bCs/>
          <w:sz w:val="24"/>
          <w:szCs w:val="24"/>
          <w:lang w:eastAsia="zh-CN"/>
        </w:rPr>
        <w:t>西安市扶贫信息监测中心</w:t>
      </w:r>
      <w:r>
        <w:rPr>
          <w:rFonts w:hint="eastAsia" w:ascii="新宋体" w:hAnsi="新宋体" w:eastAsia="新宋体" w:cs="新宋体"/>
          <w:kern w:val="0"/>
          <w:sz w:val="24"/>
          <w:szCs w:val="24"/>
          <w:lang w:val="en-US" w:eastAsia="zh-CN"/>
        </w:rPr>
        <w:t>指定地点</w:t>
      </w:r>
      <w:r>
        <w:rPr>
          <w:rFonts w:hint="eastAsia" w:ascii="宋体" w:hAnsi="宋体" w:eastAsia="宋体" w:cs="宋体"/>
          <w:bCs/>
          <w:sz w:val="24"/>
          <w:szCs w:val="24"/>
        </w:rPr>
        <w:t>。</w:t>
      </w:r>
    </w:p>
    <w:p w14:paraId="2A78F5AC">
      <w:pPr>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、款项结算：</w:t>
      </w:r>
    </w:p>
    <w:p w14:paraId="18AC3D51">
      <w:pPr>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付款按以下分期方式进行:</w:t>
      </w:r>
    </w:p>
    <w:p w14:paraId="1CCAF68E">
      <w:pPr>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(1)首期款:合同签订后 20 日内，甲方向乙方支付合同总金额的 40%，即人民币【】元(大写:);</w:t>
      </w:r>
    </w:p>
    <w:p w14:paraId="5CC6B0C0">
      <w:pPr>
        <w:tabs>
          <w:tab w:val="left" w:pos="4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(2)尾款:项目全部完成并经甲方验收合格后20日内，甲方向乙方支付合同剩余 60%，即人民币【】元(大写:)。</w:t>
      </w:r>
    </w:p>
    <w:p w14:paraId="7526165D">
      <w:pPr>
        <w:tabs>
          <w:tab w:val="left" w:pos="420"/>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乙方应在每次收款前 10 日内向甲方出具等额合法有效发票。</w:t>
      </w:r>
    </w:p>
    <w:p w14:paraId="4B8E70A6">
      <w:pPr>
        <w:tabs>
          <w:tab w:val="left" w:pos="420"/>
        </w:tabs>
        <w:spacing w:line="360" w:lineRule="auto"/>
        <w:ind w:firstLine="480" w:firstLineChars="200"/>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、其他商务要求：详见第六部分合同条款</w:t>
      </w:r>
    </w:p>
    <w:bookmarkEnd w:id="97"/>
    <w:p w14:paraId="72B378E5">
      <w:pPr>
        <w:numPr>
          <w:ilvl w:val="0"/>
          <w:numId w:val="13"/>
        </w:numPr>
        <w:spacing w:line="360" w:lineRule="auto"/>
        <w:rPr>
          <w:rFonts w:ascii="宋体" w:hAnsi="宋体" w:eastAsia="宋体" w:cs="宋体"/>
          <w:b/>
          <w:bCs/>
          <w:sz w:val="24"/>
          <w:szCs w:val="24"/>
        </w:rPr>
      </w:pPr>
      <w:bookmarkStart w:id="99" w:name="_Toc31963"/>
      <w:r>
        <w:rPr>
          <w:rFonts w:hint="eastAsia" w:ascii="宋体" w:hAnsi="宋体" w:eastAsia="宋体" w:cs="宋体"/>
          <w:b/>
          <w:bCs/>
          <w:sz w:val="24"/>
          <w:szCs w:val="24"/>
        </w:rPr>
        <w:t>项目概况及内容</w:t>
      </w:r>
    </w:p>
    <w:p w14:paraId="46794B09">
      <w:pPr>
        <w:pStyle w:val="19"/>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项目概况</w:t>
      </w:r>
    </w:p>
    <w:p w14:paraId="4813396A">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2025年是“十四五”收官之年，也是巩固拓展脱贫攻坚成果同乡村振兴有效衔接5年过渡期的最后一年。全面贯彻落实《中共中央 国务院关于进一步深化农村改革 扎实推进乡村全面振兴的意见》和《农业农村部落实中共中央国务院关于进一步深化农村改革扎实推进乡村全面振兴工作部署的实施意见》关于提升防止返贫致贫监测帮扶效能、稳定脱贫人口务工规模、分类推进帮扶产业提质增效，守牢不发生规模性返贫致贫底线。全面清查脱贫攻坚国家投入形成资产，建立统一的资产登记管理台账等要求。</w:t>
      </w:r>
    </w:p>
    <w:p w14:paraId="51318B2C">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充分利用脱贫攻坚期建档立卡数据，过渡期防止返贫致贫监测帮扶、务工就业、资金项目资产、易地搬迁后扶、乡村建设等模块数据，以及行业部门交换的数据，为巩固拓展脱贫攻坚成果同乡村振兴有效衔接、提高监测帮扶质效、优化完善帮扶政策、推进帮扶产业高质量发展、加强帮扶项目资产规范管理等工作提供数据质量分析服务。</w:t>
      </w:r>
    </w:p>
    <w:p w14:paraId="2CEE0646">
      <w:pPr>
        <w:pStyle w:val="19"/>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服务内容</w:t>
      </w:r>
    </w:p>
    <w:p w14:paraId="52322B55">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数据质量评估服务。每月对数据进行质量全面评估(含基础信息模块、务工监测模块、项目资金模块和乡村建设模块)，提供分县统计表和到人到户疑似问题数据。通过数据质量分析，发现全国防止返贫监测和衔接推进乡村振兴信息系统中存在的空项、错项、重复项、逻辑错误等疑似问题数据，及其反映的工作问题，指导各地农业农村部门开展数据质量提升工作，确保“账账相符”“账实相符”，为宏观决策和工作指导提供高质量数据保障。</w:t>
      </w:r>
    </w:p>
    <w:p w14:paraId="66B7E49D">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数据分析服务。每月针对年度重点工作、热点问题，对相关数据进行分析，形成数据快报。充分利用全国防止返贫监测和衔接推进乡村振兴信息系统数据和行业部门交换数据，每月针对年度重点工作、热点问题，对相关数据进行分析，形成数据快报，快报主题不限于巩固脱贫攻坚成果、防止返贫监测对象、务工就业等。</w:t>
      </w:r>
    </w:p>
    <w:p w14:paraId="64EE02BC">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3.咨询服务。针对问题数据抽取口径和数据分析框架思路提供培训等咨询服务。</w:t>
      </w:r>
    </w:p>
    <w:p w14:paraId="6D8195C9">
      <w:pPr>
        <w:pStyle w:val="19"/>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技术要求</w:t>
      </w:r>
    </w:p>
    <w:p w14:paraId="2A3D516C">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政策法规类</w:t>
      </w:r>
    </w:p>
    <w:p w14:paraId="3DBD10F8">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《中共中央国务院关于进一步深化农村改革 扎实推进乡村全面振兴的意见》</w:t>
      </w:r>
    </w:p>
    <w:p w14:paraId="7DBBBAC8">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《农业农村部落实中共中央国务院关于进一步深化农村改革扎实推进乡村全面振兴工作部署的实施意见》</w:t>
      </w:r>
    </w:p>
    <w:p w14:paraId="38ADF2C1">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《中共陕西省委 陕西省人民政府关于进一步深化农村改革扎实推进乡村全面振兴的实施意见》</w:t>
      </w:r>
    </w:p>
    <w:p w14:paraId="47E4A97E">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服务标准要求</w:t>
      </w:r>
    </w:p>
    <w:p w14:paraId="6159BBD7">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反馈问题数据与中、省披露规则口径一致。</w:t>
      </w:r>
    </w:p>
    <w:p w14:paraId="21CF88EF">
      <w:pPr>
        <w:pStyle w:val="19"/>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服务要求</w:t>
      </w:r>
    </w:p>
    <w:p w14:paraId="251CA375">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1.供应商负责提供服务方案；</w:t>
      </w:r>
    </w:p>
    <w:p w14:paraId="73EB6821">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2.供应商负责向采购方提供完整的验收文档资料作为验收依据；</w:t>
      </w:r>
    </w:p>
    <w:p w14:paraId="5A532B34">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3.供应商负责按时完成采购方交办的突击性数据抽取及分析工作；</w:t>
      </w:r>
    </w:p>
    <w:p w14:paraId="193F4A84">
      <w:pPr>
        <w:pStyle w:val="1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4.供应商负责在合同期内向采购方提供全国防止返贫监测和衔接推进乡村振兴信息系统数据质量分析工作，并提供到户到人疑似问题数据清单和疑似问题数据分县统计表；</w:t>
      </w:r>
    </w:p>
    <w:p w14:paraId="702EDF23">
      <w:pPr>
        <w:pStyle w:val="1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5.供应商负责在合同期内向采购方提供防止返贫致贫监测帮扶数据快报。</w:t>
      </w:r>
      <w:r>
        <w:rPr>
          <w:rFonts w:ascii="宋体" w:hAnsi="宋体" w:eastAsia="宋体" w:cs="宋体"/>
          <w:sz w:val="24"/>
          <w:szCs w:val="24"/>
        </w:rPr>
        <w:t>。</w:t>
      </w:r>
    </w:p>
    <w:p w14:paraId="19D3D3F9">
      <w:pPr>
        <w:pStyle w:val="19"/>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（五）其他</w:t>
      </w:r>
    </w:p>
    <w:p w14:paraId="1257080D">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1、进度要求</w:t>
      </w:r>
    </w:p>
    <w:p w14:paraId="181CC15A">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①合同签约后7个工作日提供数据质量分析服务</w:t>
      </w:r>
    </w:p>
    <w:p w14:paraId="7BB6D201">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②按照合同约定提供数据分析服务，形成数据快报。</w:t>
      </w:r>
    </w:p>
    <w:p w14:paraId="2F0AEB36">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2、成果交付要求</w:t>
      </w:r>
    </w:p>
    <w:p w14:paraId="603559B7">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数据质量分析到户到人疑似问题数据和分县统计表，数据快报。</w:t>
      </w:r>
    </w:p>
    <w:p w14:paraId="2FCB4A09">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3、质量验收标准或规范</w:t>
      </w:r>
    </w:p>
    <w:p w14:paraId="644CCD18">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数据质量分析成果物与中、省披露的规则一致，数据快报内容详实、及时上报，满足工作要求。</w:t>
      </w:r>
    </w:p>
    <w:p w14:paraId="5CE40FDA">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评估防返贫监测数据质量、筛查疑似问题数据、满足单位对防返贫监测数据统计和分析质量全面评估(含基础信息模块、务工监测模块、项目资金模块和乡村建设模块)，提供分县统计表和到人到户疑似问题数据。</w:t>
      </w:r>
    </w:p>
    <w:p w14:paraId="07A1FC33">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②每月针对年度重点工作、热点问题，对相关数据进行分析，形成数据快报，快报主题不限于巩固脱贫攻坚成果、防止返贫监测对象、低收入群体等。</w:t>
      </w:r>
    </w:p>
    <w:p w14:paraId="2A072BAB">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4、违约责任</w:t>
      </w:r>
    </w:p>
    <w:p w14:paraId="3DD23302">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①未能按期提供购买服务，每逾期[1]日，供应商须向采购方支付本合同总价款[1]‰的违约金。合同逾期[20]日的，采购方有权无责终止合同且保留追究供应商违约责任的权力。</w:t>
      </w:r>
    </w:p>
    <w:p w14:paraId="7B0509D2">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提供的服务不符合要求的，由供应商负责更正和修改，由此产生的费用由供应商承担。更改修改后仍不符合需求的，采购方有权终止合同并追究供应商违约责任，供应商应退还已收取的全部费用，并按照合同总额20%向采购方支付违约金并赔偿损失。</w:t>
      </w:r>
    </w:p>
    <w:p w14:paraId="226A77A9">
      <w:pPr>
        <w:pStyle w:val="19"/>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③采购方数据属采购方所有，供应商应负责数据备份并进行保密，并对采购方数据丢失、泄露或损坏承担责任。</w:t>
      </w:r>
    </w:p>
    <w:p w14:paraId="5683B13B">
      <w:pPr>
        <w:pStyle w:val="19"/>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br w:type="page"/>
      </w:r>
    </w:p>
    <w:p w14:paraId="50410651">
      <w:pPr>
        <w:pStyle w:val="19"/>
      </w:pPr>
    </w:p>
    <w:bookmarkEnd w:id="99"/>
    <w:p w14:paraId="6790723D">
      <w:pPr>
        <w:pStyle w:val="4"/>
        <w:rPr>
          <w:rStyle w:val="76"/>
          <w:rFonts w:hint="eastAsia" w:eastAsia="宋体"/>
          <w:b/>
          <w:highlight w:val="none"/>
          <w:lang w:eastAsia="zh-CN"/>
        </w:rPr>
      </w:pPr>
      <w:bookmarkStart w:id="100" w:name="_Toc1119"/>
      <w:r>
        <w:rPr>
          <w:rFonts w:hint="eastAsia"/>
          <w:highlight w:val="none"/>
        </w:rPr>
        <w:t xml:space="preserve">第六部分 </w:t>
      </w:r>
      <w:bookmarkEnd w:id="100"/>
      <w:bookmarkStart w:id="101" w:name="_Toc5164"/>
      <w:r>
        <w:rPr>
          <w:highlight w:val="none"/>
        </w:rPr>
        <w:t>合同条款</w:t>
      </w:r>
      <w:bookmarkEnd w:id="101"/>
      <w:r>
        <w:rPr>
          <w:rFonts w:hint="eastAsia"/>
          <w:highlight w:val="none"/>
          <w:lang w:eastAsia="zh-CN"/>
        </w:rPr>
        <w:t>（</w:t>
      </w:r>
      <w:r>
        <w:rPr>
          <w:rFonts w:hint="eastAsia"/>
          <w:highlight w:val="none"/>
          <w:lang w:val="en-US" w:eastAsia="zh-CN"/>
        </w:rPr>
        <w:t>参考合同</w:t>
      </w:r>
      <w:r>
        <w:rPr>
          <w:rFonts w:hint="eastAsia"/>
          <w:highlight w:val="none"/>
          <w:lang w:eastAsia="zh-CN"/>
        </w:rPr>
        <w:t>）</w:t>
      </w:r>
    </w:p>
    <w:p w14:paraId="7D4BDE95"/>
    <w:p w14:paraId="415A34B8">
      <w:pPr>
        <w:spacing w:line="360" w:lineRule="auto"/>
        <w:jc w:val="center"/>
        <w:rPr>
          <w:rFonts w:hint="eastAsia" w:ascii="宋体" w:hAnsi="宋体" w:cs="宋体"/>
          <w:b/>
          <w:sz w:val="52"/>
        </w:rPr>
      </w:pPr>
    </w:p>
    <w:p w14:paraId="7BEEA436">
      <w:pPr>
        <w:spacing w:line="360" w:lineRule="auto"/>
        <w:jc w:val="center"/>
        <w:rPr>
          <w:rFonts w:hint="eastAsia" w:ascii="宋体" w:hAnsi="宋体" w:cs="宋体"/>
          <w:b/>
          <w:sz w:val="44"/>
          <w:szCs w:val="44"/>
        </w:rPr>
      </w:pPr>
      <w:r>
        <w:rPr>
          <w:rFonts w:hint="eastAsia" w:ascii="宋体" w:hAnsi="宋体" w:cs="宋体"/>
          <w:b/>
          <w:sz w:val="44"/>
          <w:szCs w:val="44"/>
        </w:rPr>
        <w:t>巩固脱贫攻坚成果和防返贫监测数据质量评估及分析服务项目合同</w:t>
      </w:r>
    </w:p>
    <w:p w14:paraId="2F27ED31">
      <w:pPr>
        <w:spacing w:line="360" w:lineRule="auto"/>
        <w:rPr>
          <w:rFonts w:hint="eastAsia" w:ascii="宋体" w:hAnsi="宋体" w:eastAsia="宋体" w:cs="宋体"/>
          <w:b/>
          <w:sz w:val="32"/>
          <w:szCs w:val="32"/>
          <w:lang w:eastAsia="zh-CN"/>
        </w:rPr>
      </w:pPr>
    </w:p>
    <w:p w14:paraId="564F9600">
      <w:pPr>
        <w:spacing w:line="360" w:lineRule="auto"/>
        <w:jc w:val="center"/>
        <w:rPr>
          <w:rFonts w:hint="eastAsia" w:ascii="宋体" w:hAnsi="宋体" w:cs="宋体"/>
          <w:b/>
          <w:sz w:val="32"/>
          <w:szCs w:val="32"/>
        </w:rPr>
      </w:pPr>
    </w:p>
    <w:p w14:paraId="0299E5AA">
      <w:pPr>
        <w:spacing w:line="360" w:lineRule="auto"/>
        <w:jc w:val="center"/>
        <w:rPr>
          <w:rFonts w:hint="eastAsia" w:ascii="宋体" w:hAnsi="宋体" w:cs="宋体"/>
          <w:b/>
          <w:sz w:val="52"/>
        </w:rPr>
      </w:pPr>
    </w:p>
    <w:p w14:paraId="7C4A1A8C">
      <w:pPr>
        <w:spacing w:line="360" w:lineRule="auto"/>
        <w:jc w:val="center"/>
        <w:rPr>
          <w:rFonts w:hint="eastAsia" w:ascii="宋体" w:hAnsi="宋体" w:cs="宋体"/>
          <w:b/>
          <w:sz w:val="36"/>
        </w:rPr>
      </w:pPr>
    </w:p>
    <w:p w14:paraId="57D594B0">
      <w:pPr>
        <w:spacing w:line="360" w:lineRule="auto"/>
        <w:rPr>
          <w:rFonts w:hint="eastAsia" w:ascii="宋体" w:hAnsi="宋体" w:cs="宋体"/>
          <w:b/>
          <w:sz w:val="36"/>
        </w:rPr>
      </w:pPr>
    </w:p>
    <w:p w14:paraId="5DCE3D40">
      <w:pPr>
        <w:spacing w:line="360" w:lineRule="auto"/>
        <w:rPr>
          <w:rFonts w:hint="eastAsia" w:ascii="宋体" w:hAnsi="宋体" w:cs="宋体"/>
          <w:b/>
          <w:sz w:val="36"/>
        </w:rPr>
      </w:pPr>
    </w:p>
    <w:p w14:paraId="384A411B">
      <w:pPr>
        <w:spacing w:line="360" w:lineRule="auto"/>
        <w:rPr>
          <w:rFonts w:hint="eastAsia" w:ascii="宋体" w:hAnsi="宋体" w:cs="宋体"/>
          <w:b/>
          <w:sz w:val="36"/>
        </w:rPr>
      </w:pPr>
    </w:p>
    <w:p w14:paraId="2CC22086">
      <w:pPr>
        <w:spacing w:line="360" w:lineRule="auto"/>
        <w:rPr>
          <w:rFonts w:hint="eastAsia" w:ascii="宋体" w:hAnsi="宋体" w:cs="宋体"/>
          <w:b/>
          <w:sz w:val="32"/>
          <w:szCs w:val="32"/>
        </w:rPr>
      </w:pPr>
    </w:p>
    <w:p w14:paraId="4C964EF4">
      <w:pPr>
        <w:widowControl/>
        <w:spacing w:line="360" w:lineRule="auto"/>
        <w:ind w:firstLine="640" w:firstLineChars="200"/>
        <w:jc w:val="left"/>
        <w:rPr>
          <w:rFonts w:hint="eastAsia" w:ascii="宋体" w:hAnsi="宋体" w:cs="宋体"/>
          <w:sz w:val="32"/>
          <w:szCs w:val="32"/>
        </w:rPr>
      </w:pPr>
      <w:r>
        <w:rPr>
          <w:rFonts w:hint="eastAsia" w:ascii="宋体" w:hAnsi="宋体" w:cs="宋体"/>
          <w:sz w:val="32"/>
          <w:szCs w:val="32"/>
        </w:rPr>
        <w:t>委托方（甲方）：</w:t>
      </w:r>
    </w:p>
    <w:p w14:paraId="19854F4F">
      <w:pPr>
        <w:widowControl/>
        <w:spacing w:line="360" w:lineRule="auto"/>
        <w:ind w:firstLine="640" w:firstLineChars="200"/>
        <w:jc w:val="left"/>
        <w:rPr>
          <w:rFonts w:hint="eastAsia" w:ascii="宋体" w:hAnsi="宋体" w:cs="宋体"/>
          <w:sz w:val="32"/>
          <w:szCs w:val="32"/>
          <w:u w:val="single"/>
        </w:rPr>
      </w:pPr>
      <w:r>
        <w:rPr>
          <w:rFonts w:hint="eastAsia" w:ascii="宋体" w:hAnsi="宋体" w:cs="宋体"/>
          <w:sz w:val="32"/>
          <w:szCs w:val="32"/>
        </w:rPr>
        <w:t>受托方（乙方）：</w:t>
      </w:r>
    </w:p>
    <w:p w14:paraId="5237A713">
      <w:pPr>
        <w:spacing w:line="360" w:lineRule="auto"/>
        <w:jc w:val="center"/>
        <w:rPr>
          <w:rFonts w:hint="eastAsia" w:ascii="宋体" w:hAnsi="宋体" w:cs="宋体"/>
          <w:sz w:val="32"/>
        </w:rPr>
      </w:pPr>
    </w:p>
    <w:p w14:paraId="3AF9ED7C">
      <w:pPr>
        <w:spacing w:line="360" w:lineRule="auto"/>
        <w:jc w:val="center"/>
        <w:rPr>
          <w:rFonts w:hint="eastAsia" w:ascii="宋体" w:hAnsi="宋体" w:cs="宋体"/>
          <w:sz w:val="32"/>
        </w:rPr>
      </w:pPr>
    </w:p>
    <w:p w14:paraId="0D09C04F">
      <w:pPr>
        <w:spacing w:line="360" w:lineRule="auto"/>
        <w:jc w:val="center"/>
        <w:rPr>
          <w:rFonts w:ascii="宋体" w:hAnsi="宋体" w:cs="宋体"/>
          <w:sz w:val="32"/>
        </w:rPr>
      </w:pPr>
      <w:r>
        <w:rPr>
          <w:rFonts w:hint="eastAsia" w:ascii="宋体" w:hAnsi="宋体" w:cs="宋体"/>
          <w:sz w:val="32"/>
        </w:rPr>
        <w:t>202</w:t>
      </w:r>
      <w:r>
        <w:rPr>
          <w:rFonts w:hint="eastAsia" w:ascii="宋体" w:hAnsi="宋体" w:cs="宋体"/>
          <w:sz w:val="32"/>
          <w:lang w:val="en-US" w:eastAsia="zh-CN"/>
        </w:rPr>
        <w:t>5</w:t>
      </w:r>
      <w:r>
        <w:rPr>
          <w:rFonts w:hint="eastAsia" w:ascii="宋体" w:hAnsi="宋体" w:cs="宋体"/>
          <w:sz w:val="32"/>
        </w:rPr>
        <w:t>年</w:t>
      </w:r>
      <w:r>
        <w:rPr>
          <w:rFonts w:hint="eastAsia" w:ascii="宋体" w:hAnsi="宋体" w:cs="宋体"/>
          <w:sz w:val="32"/>
          <w:lang w:val="en-US" w:eastAsia="zh-CN"/>
        </w:rPr>
        <w:t xml:space="preserve"> </w:t>
      </w:r>
      <w:r>
        <w:rPr>
          <w:rFonts w:hint="eastAsia" w:ascii="宋体" w:hAnsi="宋体" w:cs="宋体"/>
          <w:sz w:val="32"/>
        </w:rPr>
        <w:t>月</w:t>
      </w:r>
    </w:p>
    <w:p w14:paraId="255F04F7">
      <w:pPr>
        <w:pStyle w:val="2"/>
        <w:rPr>
          <w:rFonts w:hint="eastAsia"/>
        </w:rPr>
        <w:sectPr>
          <w:headerReference r:id="rId9" w:type="first"/>
          <w:footerReference r:id="rId12" w:type="first"/>
          <w:footerReference r:id="rId10" w:type="default"/>
          <w:headerReference r:id="rId8" w:type="even"/>
          <w:footerReference r:id="rId11" w:type="even"/>
          <w:pgSz w:w="11906" w:h="16838"/>
          <w:pgMar w:top="1440" w:right="1418" w:bottom="1440" w:left="1418" w:header="851" w:footer="992" w:gutter="0"/>
          <w:pgNumType w:fmt="decimal" w:start="17"/>
          <w:cols w:space="720" w:num="1"/>
          <w:titlePg/>
          <w:docGrid w:type="lines" w:linePitch="312" w:charSpace="0"/>
        </w:sectPr>
      </w:pPr>
    </w:p>
    <w:p w14:paraId="440906ED">
      <w:pPr>
        <w:spacing w:line="360" w:lineRule="auto"/>
        <w:jc w:val="center"/>
        <w:rPr>
          <w:rFonts w:hint="eastAsia" w:ascii="宋体" w:hAnsi="宋体" w:cs="宋体"/>
          <w:b/>
          <w:sz w:val="28"/>
          <w:szCs w:val="28"/>
        </w:rPr>
      </w:pPr>
      <w:r>
        <w:rPr>
          <w:rFonts w:hint="eastAsia" w:ascii="宋体" w:hAnsi="宋体" w:cs="宋体"/>
          <w:b/>
          <w:sz w:val="28"/>
          <w:szCs w:val="28"/>
        </w:rPr>
        <w:t>目 录</w:t>
      </w:r>
    </w:p>
    <w:p w14:paraId="6E59BFAD">
      <w:pPr>
        <w:spacing w:line="360" w:lineRule="auto"/>
        <w:jc w:val="center"/>
        <w:rPr>
          <w:rFonts w:hint="eastAsia" w:ascii="宋体" w:hAnsi="宋体" w:cs="宋体"/>
          <w:b/>
          <w:sz w:val="24"/>
        </w:rPr>
      </w:pPr>
    </w:p>
    <w:p w14:paraId="565A7DA9">
      <w:pPr>
        <w:pStyle w:val="23"/>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_Toc29700 </w:instrText>
      </w:r>
      <w:r>
        <w:rPr>
          <w:rFonts w:hint="eastAsia" w:ascii="宋体" w:hAnsi="宋体" w:eastAsia="宋体" w:cs="宋体"/>
          <w:sz w:val="32"/>
          <w:szCs w:val="32"/>
        </w:rPr>
        <w:fldChar w:fldCharType="separate"/>
      </w:r>
      <w:r>
        <w:rPr>
          <w:rFonts w:hint="eastAsia" w:ascii="宋体" w:hAnsi="宋体" w:eastAsia="宋体" w:cs="宋体"/>
          <w:sz w:val="32"/>
          <w:szCs w:val="32"/>
        </w:rPr>
        <w:t>一、 项目目标、任务和要求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_Toc29700 \h </w:instrText>
      </w:r>
      <w:r>
        <w:rPr>
          <w:rFonts w:hint="eastAsia" w:ascii="宋体" w:hAnsi="宋体" w:eastAsia="宋体" w:cs="宋体"/>
          <w:sz w:val="32"/>
          <w:szCs w:val="32"/>
        </w:rPr>
        <w:fldChar w:fldCharType="separate"/>
      </w:r>
      <w:r>
        <w:rPr>
          <w:rFonts w:hint="eastAsia" w:ascii="宋体" w:hAnsi="宋体" w:eastAsia="宋体" w:cs="宋体"/>
          <w:sz w:val="32"/>
          <w:szCs w:val="32"/>
        </w:rPr>
        <w:t>36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319E715F">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_Toc26091 </w:instrText>
      </w:r>
      <w:r>
        <w:rPr>
          <w:rFonts w:hint="eastAsia" w:ascii="宋体" w:hAnsi="宋体" w:eastAsia="宋体" w:cs="宋体"/>
          <w:i/>
          <w:sz w:val="32"/>
          <w:szCs w:val="32"/>
        </w:rPr>
        <w:fldChar w:fldCharType="separate"/>
      </w:r>
      <w:r>
        <w:rPr>
          <w:rFonts w:hint="eastAsia" w:ascii="宋体" w:hAnsi="宋体" w:eastAsia="宋体" w:cs="宋体"/>
          <w:sz w:val="32"/>
          <w:szCs w:val="32"/>
        </w:rPr>
        <w:t>二、双方权利与义务</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_Toc26091 \h </w:instrText>
      </w:r>
      <w:r>
        <w:rPr>
          <w:rFonts w:hint="eastAsia" w:ascii="宋体" w:hAnsi="宋体" w:eastAsia="宋体" w:cs="宋体"/>
          <w:sz w:val="32"/>
          <w:szCs w:val="32"/>
        </w:rPr>
        <w:fldChar w:fldCharType="separate"/>
      </w:r>
      <w:r>
        <w:rPr>
          <w:rFonts w:hint="eastAsia" w:ascii="宋体" w:hAnsi="宋体" w:eastAsia="宋体" w:cs="宋体"/>
          <w:sz w:val="32"/>
          <w:szCs w:val="32"/>
        </w:rPr>
        <w:t>36</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069CE3DD">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_Toc15810 </w:instrText>
      </w:r>
      <w:r>
        <w:rPr>
          <w:rFonts w:hint="eastAsia" w:ascii="宋体" w:hAnsi="宋体" w:eastAsia="宋体" w:cs="宋体"/>
          <w:i/>
          <w:sz w:val="32"/>
          <w:szCs w:val="32"/>
        </w:rPr>
        <w:fldChar w:fldCharType="separate"/>
      </w:r>
      <w:r>
        <w:rPr>
          <w:rFonts w:hint="eastAsia" w:ascii="宋体" w:hAnsi="宋体" w:eastAsia="宋体" w:cs="宋体"/>
          <w:sz w:val="32"/>
          <w:szCs w:val="32"/>
        </w:rPr>
        <w:t>三、工作流程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_Toc15810 \h </w:instrText>
      </w:r>
      <w:r>
        <w:rPr>
          <w:rFonts w:hint="eastAsia" w:ascii="宋体" w:hAnsi="宋体" w:eastAsia="宋体" w:cs="宋体"/>
          <w:sz w:val="32"/>
          <w:szCs w:val="32"/>
        </w:rPr>
        <w:fldChar w:fldCharType="separate"/>
      </w:r>
      <w:r>
        <w:rPr>
          <w:rFonts w:hint="eastAsia" w:ascii="宋体" w:hAnsi="宋体" w:eastAsia="宋体" w:cs="宋体"/>
          <w:sz w:val="32"/>
          <w:szCs w:val="32"/>
        </w:rPr>
        <w:t>37</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0C383BF7">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_Toc15945 </w:instrText>
      </w:r>
      <w:r>
        <w:rPr>
          <w:rFonts w:hint="eastAsia" w:ascii="宋体" w:hAnsi="宋体" w:eastAsia="宋体" w:cs="宋体"/>
          <w:i/>
          <w:sz w:val="32"/>
          <w:szCs w:val="32"/>
        </w:rPr>
        <w:fldChar w:fldCharType="separate"/>
      </w:r>
      <w:r>
        <w:rPr>
          <w:rFonts w:hint="eastAsia" w:ascii="宋体" w:hAnsi="宋体" w:eastAsia="宋体" w:cs="宋体"/>
          <w:sz w:val="32"/>
          <w:szCs w:val="32"/>
        </w:rPr>
        <w:t>四、合同价款及支付</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_Toc15945 \h </w:instrText>
      </w:r>
      <w:r>
        <w:rPr>
          <w:rFonts w:hint="eastAsia" w:ascii="宋体" w:hAnsi="宋体" w:eastAsia="宋体" w:cs="宋体"/>
          <w:sz w:val="32"/>
          <w:szCs w:val="32"/>
        </w:rPr>
        <w:fldChar w:fldCharType="separate"/>
      </w:r>
      <w:r>
        <w:rPr>
          <w:rFonts w:hint="eastAsia" w:ascii="宋体" w:hAnsi="宋体" w:eastAsia="宋体" w:cs="宋体"/>
          <w:sz w:val="32"/>
          <w:szCs w:val="32"/>
        </w:rPr>
        <w:t>37</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7E217C9A">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_Toc12932 </w:instrText>
      </w:r>
      <w:r>
        <w:rPr>
          <w:rFonts w:hint="eastAsia" w:ascii="宋体" w:hAnsi="宋体" w:eastAsia="宋体" w:cs="宋体"/>
          <w:i/>
          <w:sz w:val="32"/>
          <w:szCs w:val="32"/>
        </w:rPr>
        <w:fldChar w:fldCharType="separate"/>
      </w:r>
      <w:r>
        <w:rPr>
          <w:rFonts w:hint="eastAsia" w:ascii="宋体" w:hAnsi="宋体" w:eastAsia="宋体" w:cs="宋体"/>
          <w:sz w:val="32"/>
          <w:szCs w:val="32"/>
        </w:rPr>
        <w:t>五、保密条款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_Toc12932 \h </w:instrText>
      </w:r>
      <w:r>
        <w:rPr>
          <w:rFonts w:hint="eastAsia" w:ascii="宋体" w:hAnsi="宋体" w:eastAsia="宋体" w:cs="宋体"/>
          <w:sz w:val="32"/>
          <w:szCs w:val="32"/>
        </w:rPr>
        <w:fldChar w:fldCharType="separate"/>
      </w:r>
      <w:r>
        <w:rPr>
          <w:rFonts w:hint="eastAsia" w:ascii="宋体" w:hAnsi="宋体" w:eastAsia="宋体" w:cs="宋体"/>
          <w:sz w:val="32"/>
          <w:szCs w:val="32"/>
        </w:rPr>
        <w:t>38</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53191752">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_Toc2706 </w:instrText>
      </w:r>
      <w:r>
        <w:rPr>
          <w:rFonts w:hint="eastAsia" w:ascii="宋体" w:hAnsi="宋体" w:eastAsia="宋体" w:cs="宋体"/>
          <w:i/>
          <w:sz w:val="32"/>
          <w:szCs w:val="32"/>
        </w:rPr>
        <w:fldChar w:fldCharType="separate"/>
      </w:r>
      <w:r>
        <w:rPr>
          <w:rFonts w:hint="eastAsia" w:ascii="宋体" w:hAnsi="宋体" w:eastAsia="宋体" w:cs="宋体"/>
          <w:sz w:val="32"/>
          <w:szCs w:val="32"/>
        </w:rPr>
        <w:t>六、合同生效、变更、终止</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_Toc2706 \h </w:instrText>
      </w:r>
      <w:r>
        <w:rPr>
          <w:rFonts w:hint="eastAsia" w:ascii="宋体" w:hAnsi="宋体" w:eastAsia="宋体" w:cs="宋体"/>
          <w:sz w:val="32"/>
          <w:szCs w:val="32"/>
        </w:rPr>
        <w:fldChar w:fldCharType="separate"/>
      </w:r>
      <w:r>
        <w:rPr>
          <w:rFonts w:hint="eastAsia" w:ascii="宋体" w:hAnsi="宋体" w:eastAsia="宋体" w:cs="宋体"/>
          <w:sz w:val="32"/>
          <w:szCs w:val="32"/>
        </w:rPr>
        <w:t>38</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32606B52">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_Toc24983 </w:instrText>
      </w:r>
      <w:r>
        <w:rPr>
          <w:rFonts w:hint="eastAsia" w:ascii="宋体" w:hAnsi="宋体" w:eastAsia="宋体" w:cs="宋体"/>
          <w:i/>
          <w:sz w:val="32"/>
          <w:szCs w:val="32"/>
        </w:rPr>
        <w:fldChar w:fldCharType="separate"/>
      </w:r>
      <w:r>
        <w:rPr>
          <w:rFonts w:hint="eastAsia" w:ascii="宋体" w:hAnsi="宋体" w:eastAsia="宋体" w:cs="宋体"/>
          <w:sz w:val="32"/>
          <w:szCs w:val="32"/>
        </w:rPr>
        <w:t>七、违约责任</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_Toc24983 \h </w:instrText>
      </w:r>
      <w:r>
        <w:rPr>
          <w:rFonts w:hint="eastAsia" w:ascii="宋体" w:hAnsi="宋体" w:eastAsia="宋体" w:cs="宋体"/>
          <w:sz w:val="32"/>
          <w:szCs w:val="32"/>
        </w:rPr>
        <w:fldChar w:fldCharType="separate"/>
      </w:r>
      <w:r>
        <w:rPr>
          <w:rFonts w:hint="eastAsia" w:ascii="宋体" w:hAnsi="宋体" w:eastAsia="宋体" w:cs="宋体"/>
          <w:sz w:val="32"/>
          <w:szCs w:val="32"/>
        </w:rPr>
        <w:t>39</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43A5D878">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_Toc1709 </w:instrText>
      </w:r>
      <w:r>
        <w:rPr>
          <w:rFonts w:hint="eastAsia" w:ascii="宋体" w:hAnsi="宋体" w:eastAsia="宋体" w:cs="宋体"/>
          <w:i/>
          <w:sz w:val="32"/>
          <w:szCs w:val="32"/>
        </w:rPr>
        <w:fldChar w:fldCharType="separate"/>
      </w:r>
      <w:r>
        <w:rPr>
          <w:rFonts w:hint="eastAsia" w:ascii="宋体" w:hAnsi="宋体" w:eastAsia="宋体" w:cs="宋体"/>
          <w:sz w:val="32"/>
          <w:szCs w:val="32"/>
        </w:rPr>
        <w:t>八、不可抗力</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_Toc1709 \h </w:instrText>
      </w:r>
      <w:r>
        <w:rPr>
          <w:rFonts w:hint="eastAsia" w:ascii="宋体" w:hAnsi="宋体" w:eastAsia="宋体" w:cs="宋体"/>
          <w:sz w:val="32"/>
          <w:szCs w:val="32"/>
        </w:rPr>
        <w:fldChar w:fldCharType="separate"/>
      </w:r>
      <w:r>
        <w:rPr>
          <w:rFonts w:hint="eastAsia" w:ascii="宋体" w:hAnsi="宋体" w:eastAsia="宋体" w:cs="宋体"/>
          <w:sz w:val="32"/>
          <w:szCs w:val="32"/>
        </w:rPr>
        <w:t>39</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50D705B3">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_Toc489 </w:instrText>
      </w:r>
      <w:r>
        <w:rPr>
          <w:rFonts w:hint="eastAsia" w:ascii="宋体" w:hAnsi="宋体" w:eastAsia="宋体" w:cs="宋体"/>
          <w:i/>
          <w:sz w:val="32"/>
          <w:szCs w:val="32"/>
        </w:rPr>
        <w:fldChar w:fldCharType="separate"/>
      </w:r>
      <w:r>
        <w:rPr>
          <w:rFonts w:hint="eastAsia" w:ascii="宋体" w:hAnsi="宋体" w:eastAsia="宋体" w:cs="宋体"/>
          <w:sz w:val="32"/>
          <w:szCs w:val="32"/>
        </w:rPr>
        <w:t>九、解决争议的方法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_Toc489 \h </w:instrText>
      </w:r>
      <w:r>
        <w:rPr>
          <w:rFonts w:hint="eastAsia" w:ascii="宋体" w:hAnsi="宋体" w:eastAsia="宋体" w:cs="宋体"/>
          <w:sz w:val="32"/>
          <w:szCs w:val="32"/>
        </w:rPr>
        <w:fldChar w:fldCharType="separate"/>
      </w:r>
      <w:r>
        <w:rPr>
          <w:rFonts w:hint="eastAsia" w:ascii="宋体" w:hAnsi="宋体" w:eastAsia="宋体" w:cs="宋体"/>
          <w:sz w:val="32"/>
          <w:szCs w:val="32"/>
        </w:rPr>
        <w:t>40</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3B73CF39">
      <w:pPr>
        <w:pStyle w:val="23"/>
        <w:tabs>
          <w:tab w:val="right" w:leader="dot" w:pos="8306"/>
        </w:tabs>
        <w:rPr>
          <w:rFonts w:hint="eastAsia" w:ascii="宋体" w:hAnsi="宋体" w:eastAsia="宋体" w:cs="宋体"/>
          <w:sz w:val="32"/>
          <w:szCs w:val="32"/>
        </w:rPr>
      </w:pPr>
      <w:r>
        <w:rPr>
          <w:rFonts w:hint="eastAsia" w:ascii="宋体" w:hAnsi="宋体" w:eastAsia="宋体" w:cs="宋体"/>
          <w:i/>
          <w:sz w:val="32"/>
          <w:szCs w:val="32"/>
        </w:rPr>
        <w:fldChar w:fldCharType="begin"/>
      </w:r>
      <w:r>
        <w:rPr>
          <w:rFonts w:hint="eastAsia" w:ascii="宋体" w:hAnsi="宋体" w:eastAsia="宋体" w:cs="宋体"/>
          <w:i/>
          <w:sz w:val="32"/>
          <w:szCs w:val="32"/>
        </w:rPr>
        <w:instrText xml:space="preserve"> HYPERLINK \l _Toc21992 </w:instrText>
      </w:r>
      <w:r>
        <w:rPr>
          <w:rFonts w:hint="eastAsia" w:ascii="宋体" w:hAnsi="宋体" w:eastAsia="宋体" w:cs="宋体"/>
          <w:i/>
          <w:sz w:val="32"/>
          <w:szCs w:val="32"/>
        </w:rPr>
        <w:fldChar w:fldCharType="separate"/>
      </w:r>
      <w:r>
        <w:rPr>
          <w:rFonts w:hint="eastAsia" w:ascii="宋体" w:hAnsi="宋体" w:eastAsia="宋体" w:cs="宋体"/>
          <w:sz w:val="32"/>
          <w:szCs w:val="32"/>
        </w:rPr>
        <w:t>十、其他条款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_Toc21992 \h </w:instrText>
      </w:r>
      <w:r>
        <w:rPr>
          <w:rFonts w:hint="eastAsia" w:ascii="宋体" w:hAnsi="宋体" w:eastAsia="宋体" w:cs="宋体"/>
          <w:sz w:val="32"/>
          <w:szCs w:val="32"/>
        </w:rPr>
        <w:fldChar w:fldCharType="separate"/>
      </w:r>
      <w:r>
        <w:rPr>
          <w:rFonts w:hint="eastAsia" w:ascii="宋体" w:hAnsi="宋体" w:eastAsia="宋体" w:cs="宋体"/>
          <w:sz w:val="32"/>
          <w:szCs w:val="32"/>
        </w:rPr>
        <w:t>40</w:t>
      </w:r>
      <w:r>
        <w:rPr>
          <w:rFonts w:hint="eastAsia" w:ascii="宋体" w:hAnsi="宋体" w:eastAsia="宋体" w:cs="宋体"/>
          <w:sz w:val="32"/>
          <w:szCs w:val="32"/>
        </w:rPr>
        <w:fldChar w:fldCharType="end"/>
      </w:r>
      <w:r>
        <w:rPr>
          <w:rFonts w:hint="eastAsia" w:ascii="宋体" w:hAnsi="宋体" w:eastAsia="宋体" w:cs="宋体"/>
          <w:i/>
          <w:sz w:val="32"/>
          <w:szCs w:val="32"/>
        </w:rPr>
        <w:fldChar w:fldCharType="end"/>
      </w:r>
    </w:p>
    <w:p w14:paraId="33DD9774">
      <w:pPr>
        <w:pStyle w:val="14"/>
        <w:tabs>
          <w:tab w:val="right" w:leader="dot" w:pos="8306"/>
        </w:tabs>
        <w:rPr>
          <w:rFonts w:hint="eastAsia" w:ascii="宋体" w:hAnsi="宋体" w:eastAsia="宋体" w:cs="宋体"/>
          <w:sz w:val="32"/>
          <w:szCs w:val="32"/>
        </w:rPr>
      </w:pPr>
      <w:r>
        <w:rPr>
          <w:rFonts w:hint="eastAsia" w:ascii="宋体" w:hAnsi="宋体" w:eastAsia="宋体" w:cs="宋体"/>
          <w:i w:val="0"/>
          <w:sz w:val="32"/>
          <w:szCs w:val="32"/>
        </w:rPr>
        <w:fldChar w:fldCharType="begin"/>
      </w:r>
      <w:r>
        <w:rPr>
          <w:rFonts w:hint="eastAsia" w:ascii="宋体" w:hAnsi="宋体" w:eastAsia="宋体" w:cs="宋体"/>
          <w:i w:val="0"/>
          <w:sz w:val="32"/>
          <w:szCs w:val="32"/>
        </w:rPr>
        <w:instrText xml:space="preserve"> HYPERLINK \l _Toc14664 </w:instrText>
      </w:r>
      <w:r>
        <w:rPr>
          <w:rFonts w:hint="eastAsia" w:ascii="宋体" w:hAnsi="宋体" w:eastAsia="宋体" w:cs="宋体"/>
          <w:i w:val="0"/>
          <w:sz w:val="32"/>
          <w:szCs w:val="32"/>
        </w:rPr>
        <w:fldChar w:fldCharType="separate"/>
      </w:r>
      <w:r>
        <w:rPr>
          <w:rFonts w:hint="eastAsia" w:ascii="宋体" w:hAnsi="宋体" w:eastAsia="宋体" w:cs="宋体"/>
          <w:sz w:val="32"/>
          <w:szCs w:val="32"/>
        </w:rPr>
        <w:t>附件1 系统功能列表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_Toc14664 \h </w:instrText>
      </w:r>
      <w:r>
        <w:rPr>
          <w:rFonts w:hint="eastAsia" w:ascii="宋体" w:hAnsi="宋体" w:eastAsia="宋体" w:cs="宋体"/>
          <w:sz w:val="32"/>
          <w:szCs w:val="32"/>
        </w:rPr>
        <w:fldChar w:fldCharType="separate"/>
      </w:r>
      <w:r>
        <w:rPr>
          <w:rFonts w:hint="eastAsia" w:ascii="宋体" w:hAnsi="宋体" w:eastAsia="宋体" w:cs="宋体"/>
          <w:sz w:val="32"/>
          <w:szCs w:val="32"/>
        </w:rPr>
        <w:t>42</w:t>
      </w:r>
      <w:r>
        <w:rPr>
          <w:rFonts w:hint="eastAsia" w:ascii="宋体" w:hAnsi="宋体" w:eastAsia="宋体" w:cs="宋体"/>
          <w:sz w:val="32"/>
          <w:szCs w:val="32"/>
        </w:rPr>
        <w:fldChar w:fldCharType="end"/>
      </w:r>
      <w:r>
        <w:rPr>
          <w:rFonts w:hint="eastAsia" w:ascii="宋体" w:hAnsi="宋体" w:eastAsia="宋体" w:cs="宋体"/>
          <w:i w:val="0"/>
          <w:sz w:val="32"/>
          <w:szCs w:val="32"/>
        </w:rPr>
        <w:fldChar w:fldCharType="end"/>
      </w:r>
    </w:p>
    <w:p w14:paraId="56DEFF18">
      <w:pPr>
        <w:pStyle w:val="14"/>
        <w:tabs>
          <w:tab w:val="right" w:leader="dot" w:pos="8306"/>
        </w:tabs>
        <w:rPr>
          <w:rFonts w:hint="eastAsia" w:ascii="宋体" w:hAnsi="宋体" w:eastAsia="宋体" w:cs="宋体"/>
          <w:sz w:val="32"/>
          <w:szCs w:val="32"/>
        </w:rPr>
      </w:pPr>
      <w:r>
        <w:rPr>
          <w:rFonts w:hint="eastAsia" w:ascii="宋体" w:hAnsi="宋体" w:eastAsia="宋体" w:cs="宋体"/>
          <w:i w:val="0"/>
          <w:sz w:val="32"/>
          <w:szCs w:val="32"/>
        </w:rPr>
        <w:fldChar w:fldCharType="begin"/>
      </w:r>
      <w:r>
        <w:rPr>
          <w:rFonts w:hint="eastAsia" w:ascii="宋体" w:hAnsi="宋体" w:eastAsia="宋体" w:cs="宋体"/>
          <w:i w:val="0"/>
          <w:sz w:val="32"/>
          <w:szCs w:val="32"/>
        </w:rPr>
        <w:instrText xml:space="preserve"> HYPERLINK \l _Toc8131 </w:instrText>
      </w:r>
      <w:r>
        <w:rPr>
          <w:rFonts w:hint="eastAsia" w:ascii="宋体" w:hAnsi="宋体" w:eastAsia="宋体" w:cs="宋体"/>
          <w:i w:val="0"/>
          <w:sz w:val="32"/>
          <w:szCs w:val="32"/>
        </w:rPr>
        <w:fldChar w:fldCharType="separate"/>
      </w:r>
      <w:r>
        <w:rPr>
          <w:rFonts w:hint="eastAsia" w:ascii="宋体" w:hAnsi="宋体" w:eastAsia="宋体" w:cs="宋体"/>
          <w:sz w:val="32"/>
          <w:szCs w:val="32"/>
        </w:rPr>
        <w:t>附件2 信息安全保密协议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_Toc8131 \h </w:instrText>
      </w:r>
      <w:r>
        <w:rPr>
          <w:rFonts w:hint="eastAsia" w:ascii="宋体" w:hAnsi="宋体" w:eastAsia="宋体" w:cs="宋体"/>
          <w:sz w:val="32"/>
          <w:szCs w:val="32"/>
        </w:rPr>
        <w:fldChar w:fldCharType="separate"/>
      </w:r>
      <w:r>
        <w:rPr>
          <w:rFonts w:hint="eastAsia" w:ascii="宋体" w:hAnsi="宋体" w:eastAsia="宋体" w:cs="宋体"/>
          <w:sz w:val="32"/>
          <w:szCs w:val="32"/>
        </w:rPr>
        <w:t>45</w:t>
      </w:r>
      <w:r>
        <w:rPr>
          <w:rFonts w:hint="eastAsia" w:ascii="宋体" w:hAnsi="宋体" w:eastAsia="宋体" w:cs="宋体"/>
          <w:sz w:val="32"/>
          <w:szCs w:val="32"/>
        </w:rPr>
        <w:fldChar w:fldCharType="end"/>
      </w:r>
      <w:r>
        <w:rPr>
          <w:rFonts w:hint="eastAsia" w:ascii="宋体" w:hAnsi="宋体" w:eastAsia="宋体" w:cs="宋体"/>
          <w:i w:val="0"/>
          <w:sz w:val="32"/>
          <w:szCs w:val="32"/>
        </w:rPr>
        <w:fldChar w:fldCharType="end"/>
      </w:r>
    </w:p>
    <w:p w14:paraId="119D5517">
      <w:pPr>
        <w:pStyle w:val="14"/>
        <w:tabs>
          <w:tab w:val="right" w:leader="dot" w:pos="8476"/>
        </w:tabs>
        <w:spacing w:line="360" w:lineRule="auto"/>
        <w:ind w:left="0"/>
        <w:rPr>
          <w:rFonts w:hint="eastAsia" w:ascii="宋体" w:hAnsi="宋体" w:eastAsia="宋体" w:cs="宋体"/>
          <w:i w:val="0"/>
          <w:iCs w:val="0"/>
          <w:sz w:val="32"/>
          <w:szCs w:val="32"/>
        </w:rPr>
      </w:pPr>
      <w:r>
        <w:rPr>
          <w:rFonts w:hint="eastAsia" w:ascii="宋体" w:hAnsi="宋体" w:eastAsia="宋体" w:cs="宋体"/>
          <w:i w:val="0"/>
          <w:sz w:val="32"/>
          <w:szCs w:val="32"/>
        </w:rPr>
        <w:fldChar w:fldCharType="end"/>
      </w:r>
    </w:p>
    <w:p w14:paraId="09B2D4C1">
      <w:pPr>
        <w:spacing w:line="360" w:lineRule="auto"/>
        <w:rPr>
          <w:rFonts w:hint="eastAsia" w:ascii="宋体" w:hAnsi="宋体" w:cs="宋体"/>
          <w:b/>
          <w:sz w:val="36"/>
        </w:rPr>
      </w:pPr>
    </w:p>
    <w:p w14:paraId="7CA769D5">
      <w:pPr>
        <w:spacing w:line="360" w:lineRule="auto"/>
        <w:rPr>
          <w:rFonts w:hint="eastAsia" w:ascii="宋体" w:hAnsi="宋体" w:cs="宋体"/>
          <w:b/>
          <w:sz w:val="36"/>
        </w:rPr>
      </w:pPr>
    </w:p>
    <w:p w14:paraId="2A229524">
      <w:pPr>
        <w:spacing w:line="360" w:lineRule="auto"/>
        <w:rPr>
          <w:rFonts w:hint="eastAsia" w:ascii="宋体" w:hAnsi="宋体" w:cs="宋体"/>
          <w:b/>
          <w:sz w:val="36"/>
        </w:rPr>
      </w:pPr>
    </w:p>
    <w:p w14:paraId="5A24A2A5">
      <w:pPr>
        <w:spacing w:line="360" w:lineRule="auto"/>
        <w:rPr>
          <w:rFonts w:hint="eastAsia" w:ascii="宋体" w:hAnsi="宋体" w:cs="宋体"/>
          <w:b/>
          <w:sz w:val="36"/>
        </w:rPr>
      </w:pPr>
    </w:p>
    <w:p w14:paraId="69532D11">
      <w:pPr>
        <w:spacing w:line="360" w:lineRule="auto"/>
        <w:rPr>
          <w:rFonts w:hint="eastAsia" w:ascii="宋体" w:hAnsi="宋体" w:cs="宋体"/>
          <w:b/>
          <w:sz w:val="36"/>
        </w:rPr>
      </w:pPr>
    </w:p>
    <w:p w14:paraId="6245188C">
      <w:pPr>
        <w:spacing w:line="360" w:lineRule="auto"/>
        <w:rPr>
          <w:rFonts w:hint="eastAsia" w:ascii="宋体" w:hAnsi="宋体" w:cs="宋体"/>
          <w:b/>
          <w:sz w:val="36"/>
        </w:rPr>
      </w:pPr>
      <w:r>
        <w:rPr>
          <w:rFonts w:hint="eastAsia" w:ascii="宋体" w:hAnsi="宋体" w:cs="宋体"/>
          <w:b/>
          <w:sz w:val="36"/>
        </w:rPr>
        <w:br w:type="page"/>
      </w:r>
    </w:p>
    <w:p w14:paraId="57042A23">
      <w:pPr>
        <w:spacing w:line="500" w:lineRule="exact"/>
        <w:ind w:firstLine="480" w:firstLineChars="200"/>
        <w:rPr>
          <w:rFonts w:ascii="宋体" w:hAnsi="宋体"/>
          <w:sz w:val="24"/>
        </w:rPr>
      </w:pPr>
      <w:r>
        <w:rPr>
          <w:rFonts w:ascii="宋体" w:hAnsi="宋体"/>
          <w:sz w:val="24"/>
        </w:rPr>
        <w:t>委托方（甲方）：</w:t>
      </w:r>
    </w:p>
    <w:p w14:paraId="5B9858E2">
      <w:pPr>
        <w:spacing w:line="500" w:lineRule="exact"/>
        <w:ind w:firstLine="480" w:firstLineChars="200"/>
        <w:rPr>
          <w:rFonts w:hint="eastAsia" w:ascii="宋体" w:hAnsi="宋体"/>
          <w:sz w:val="24"/>
        </w:rPr>
      </w:pPr>
      <w:r>
        <w:rPr>
          <w:rFonts w:hint="eastAsia" w:ascii="宋体" w:hAnsi="宋体"/>
          <w:sz w:val="24"/>
        </w:rPr>
        <w:t>统一社会信用代码：</w:t>
      </w:r>
    </w:p>
    <w:p w14:paraId="005A40EA">
      <w:pPr>
        <w:spacing w:line="50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西安市未央区凤城八路109号二号楼八层</w:t>
      </w:r>
    </w:p>
    <w:p w14:paraId="204B09DA">
      <w:pPr>
        <w:spacing w:line="500" w:lineRule="exact"/>
        <w:ind w:firstLine="480" w:firstLineChars="200"/>
        <w:rPr>
          <w:rFonts w:hint="eastAsia" w:ascii="宋体" w:hAnsi="宋体" w:eastAsia="宋体"/>
          <w:sz w:val="24"/>
          <w:lang w:eastAsia="zh-CN"/>
        </w:rPr>
      </w:pPr>
      <w:r>
        <w:rPr>
          <w:rFonts w:hint="eastAsia" w:ascii="宋体" w:hAnsi="宋体"/>
          <w:sz w:val="24"/>
        </w:rPr>
        <w:t>联系人：</w:t>
      </w:r>
      <w:r>
        <w:rPr>
          <w:rFonts w:hint="eastAsia" w:ascii="宋体" w:hAnsi="宋体"/>
          <w:color w:val="000000"/>
          <w:sz w:val="24"/>
          <w:u w:val="single"/>
          <w:lang w:eastAsia="zh-CN"/>
        </w:rPr>
        <w:t>任娜</w:t>
      </w:r>
    </w:p>
    <w:p w14:paraId="1AB8ABF4">
      <w:pPr>
        <w:spacing w:line="500" w:lineRule="exact"/>
        <w:ind w:firstLine="480" w:firstLineChars="200"/>
        <w:rPr>
          <w:rFonts w:hint="default" w:ascii="宋体" w:hAnsi="宋体" w:eastAsia="宋体"/>
          <w:sz w:val="24"/>
          <w:u w:val="single"/>
          <w:lang w:val="en-US" w:eastAsia="zh-CN"/>
        </w:rPr>
      </w:pPr>
      <w:r>
        <w:rPr>
          <w:rFonts w:hint="eastAsia" w:ascii="宋体" w:hAnsi="宋体"/>
          <w:sz w:val="24"/>
        </w:rPr>
        <w:t xml:space="preserve">电 </w:t>
      </w:r>
      <w:r>
        <w:rPr>
          <w:rFonts w:ascii="宋体" w:hAnsi="宋体"/>
          <w:sz w:val="24"/>
        </w:rPr>
        <w:t xml:space="preserve"> </w:t>
      </w:r>
      <w:r>
        <w:rPr>
          <w:rFonts w:hint="eastAsia" w:ascii="宋体" w:hAnsi="宋体"/>
          <w:sz w:val="24"/>
        </w:rPr>
        <w:t>话：</w:t>
      </w:r>
      <w:bookmarkStart w:id="205" w:name="_GoBack"/>
      <w:bookmarkEnd w:id="205"/>
    </w:p>
    <w:p w14:paraId="358FB84D">
      <w:pPr>
        <w:spacing w:line="360" w:lineRule="auto"/>
        <w:rPr>
          <w:rFonts w:hint="eastAsia" w:ascii="宋体" w:hAnsi="宋体" w:cs="宋体"/>
          <w:sz w:val="24"/>
        </w:rPr>
      </w:pPr>
    </w:p>
    <w:p w14:paraId="721D799C">
      <w:pPr>
        <w:spacing w:line="360" w:lineRule="auto"/>
        <w:rPr>
          <w:rFonts w:hint="eastAsia" w:ascii="宋体" w:hAnsi="宋体" w:cs="宋体"/>
          <w:sz w:val="24"/>
        </w:rPr>
      </w:pPr>
    </w:p>
    <w:p w14:paraId="289CF8EB">
      <w:pPr>
        <w:spacing w:line="360" w:lineRule="auto"/>
        <w:ind w:firstLine="480" w:firstLineChars="200"/>
        <w:rPr>
          <w:rFonts w:hint="eastAsia" w:ascii="宋体" w:hAnsi="宋体" w:cs="宋体"/>
          <w:sz w:val="24"/>
        </w:rPr>
      </w:pPr>
      <w:r>
        <w:rPr>
          <w:rFonts w:hint="eastAsia" w:ascii="宋体" w:hAnsi="宋体" w:cs="宋体"/>
          <w:sz w:val="24"/>
        </w:rPr>
        <w:t>受托方（乙方）：</w:t>
      </w:r>
    </w:p>
    <w:p w14:paraId="1AA4A6ED">
      <w:pPr>
        <w:spacing w:line="360" w:lineRule="auto"/>
        <w:ind w:firstLine="480" w:firstLineChars="200"/>
        <w:rPr>
          <w:rFonts w:hint="eastAsia" w:ascii="宋体" w:hAnsi="宋体" w:cs="宋体"/>
          <w:sz w:val="24"/>
        </w:rPr>
      </w:pPr>
      <w:r>
        <w:rPr>
          <w:rFonts w:hint="eastAsia" w:ascii="宋体" w:hAnsi="宋体" w:cs="宋体"/>
          <w:sz w:val="24"/>
        </w:rPr>
        <w:t>联系地址：</w:t>
      </w:r>
    </w:p>
    <w:p w14:paraId="5973E5A4">
      <w:pPr>
        <w:spacing w:line="360" w:lineRule="auto"/>
        <w:ind w:firstLine="480" w:firstLineChars="200"/>
        <w:rPr>
          <w:rFonts w:hint="eastAsia" w:ascii="宋体" w:hAnsi="宋体" w:cs="宋体"/>
          <w:sz w:val="24"/>
        </w:rPr>
      </w:pPr>
      <w:r>
        <w:rPr>
          <w:rFonts w:hint="eastAsia" w:ascii="宋体" w:hAnsi="宋体" w:cs="宋体"/>
          <w:sz w:val="24"/>
        </w:rPr>
        <w:t>电话：</w:t>
      </w:r>
    </w:p>
    <w:p w14:paraId="7FE21069">
      <w:pPr>
        <w:spacing w:line="360" w:lineRule="auto"/>
        <w:ind w:firstLine="480" w:firstLineChars="200"/>
        <w:rPr>
          <w:rFonts w:hint="eastAsia" w:ascii="宋体" w:hAnsi="宋体" w:cs="宋体"/>
          <w:sz w:val="24"/>
        </w:rPr>
      </w:pPr>
      <w:r>
        <w:rPr>
          <w:rFonts w:hint="eastAsia" w:ascii="宋体" w:hAnsi="宋体" w:cs="宋体"/>
          <w:sz w:val="24"/>
        </w:rPr>
        <w:t>传真：</w:t>
      </w:r>
    </w:p>
    <w:p w14:paraId="1101A5AC">
      <w:pPr>
        <w:spacing w:line="360" w:lineRule="auto"/>
        <w:ind w:firstLine="480" w:firstLineChars="200"/>
        <w:rPr>
          <w:rFonts w:hint="eastAsia" w:ascii="宋体" w:hAnsi="宋体" w:cs="宋体"/>
          <w:sz w:val="24"/>
        </w:rPr>
      </w:pPr>
      <w:r>
        <w:rPr>
          <w:rFonts w:hint="eastAsia" w:ascii="宋体" w:hAnsi="宋体" w:cs="宋体"/>
          <w:sz w:val="24"/>
        </w:rPr>
        <w:t>联系人：</w:t>
      </w:r>
    </w:p>
    <w:p w14:paraId="4677C134">
      <w:pPr>
        <w:spacing w:line="360" w:lineRule="auto"/>
        <w:ind w:firstLine="480" w:firstLineChars="200"/>
        <w:rPr>
          <w:rFonts w:hint="eastAsia" w:ascii="宋体" w:hAnsi="宋体" w:cs="宋体"/>
          <w:sz w:val="24"/>
        </w:rPr>
      </w:pPr>
      <w:r>
        <w:rPr>
          <w:rFonts w:hint="eastAsia" w:ascii="宋体" w:hAnsi="宋体" w:cs="宋体"/>
          <w:sz w:val="24"/>
        </w:rPr>
        <w:t>E-Mail地址：</w:t>
      </w:r>
    </w:p>
    <w:p w14:paraId="70C8094D">
      <w:pPr>
        <w:spacing w:line="360" w:lineRule="auto"/>
        <w:rPr>
          <w:rFonts w:hint="eastAsia" w:ascii="宋体" w:hAnsi="宋体" w:cs="宋体"/>
          <w:sz w:val="24"/>
        </w:rPr>
      </w:pPr>
    </w:p>
    <w:p w14:paraId="756C372D">
      <w:pPr>
        <w:spacing w:line="360" w:lineRule="auto"/>
        <w:rPr>
          <w:rFonts w:hint="eastAsia" w:ascii="宋体" w:hAnsi="宋体" w:cs="宋体"/>
          <w:sz w:val="24"/>
        </w:rPr>
      </w:pPr>
    </w:p>
    <w:p w14:paraId="3B4F823B">
      <w:pPr>
        <w:spacing w:line="360" w:lineRule="auto"/>
        <w:ind w:firstLine="480" w:firstLineChars="200"/>
        <w:rPr>
          <w:rFonts w:hint="eastAsia" w:ascii="宋体" w:hAnsi="宋体" w:cs="宋体"/>
          <w:sz w:val="24"/>
        </w:rPr>
      </w:pPr>
    </w:p>
    <w:p w14:paraId="7EAA7114">
      <w:pPr>
        <w:spacing w:line="360" w:lineRule="auto"/>
        <w:ind w:firstLine="480" w:firstLineChars="200"/>
        <w:rPr>
          <w:rFonts w:hint="eastAsia" w:ascii="宋体" w:hAnsi="宋体" w:cs="宋体"/>
          <w:sz w:val="24"/>
        </w:rPr>
      </w:pPr>
    </w:p>
    <w:p w14:paraId="480916B4">
      <w:pPr>
        <w:spacing w:line="360" w:lineRule="auto"/>
        <w:ind w:firstLine="480" w:firstLineChars="200"/>
        <w:rPr>
          <w:rFonts w:hint="eastAsia" w:ascii="宋体" w:hAnsi="宋体" w:cs="宋体"/>
          <w:sz w:val="24"/>
        </w:rPr>
      </w:pPr>
      <w:r>
        <w:rPr>
          <w:rFonts w:hint="eastAsia" w:ascii="宋体" w:hAnsi="宋体" w:cs="宋体"/>
          <w:sz w:val="24"/>
        </w:rPr>
        <w:t>依据《中华人民共和国民法典》的规定，甲、乙双方就</w:t>
      </w:r>
      <w:r>
        <w:rPr>
          <w:rFonts w:hint="eastAsia" w:ascii="宋体" w:hAnsi="宋体" w:cs="宋体"/>
          <w:sz w:val="24"/>
          <w:u w:val="single"/>
        </w:rPr>
        <w:t>巩固脱贫攻坚成果和防返贫监测数据质量评估及分析服务项目</w:t>
      </w:r>
      <w:r>
        <w:rPr>
          <w:rFonts w:hint="eastAsia" w:ascii="宋体" w:hAnsi="宋体" w:cs="宋体"/>
          <w:sz w:val="24"/>
        </w:rPr>
        <w:t>经协商一致，签订本合同，并保证严格履行。</w:t>
      </w:r>
    </w:p>
    <w:p w14:paraId="5E0A50CC">
      <w:pPr>
        <w:spacing w:line="360" w:lineRule="auto"/>
        <w:ind w:firstLine="480" w:firstLineChars="200"/>
        <w:rPr>
          <w:rFonts w:hint="eastAsia" w:ascii="宋体" w:hAnsi="宋体" w:cs="宋体"/>
          <w:sz w:val="28"/>
          <w:szCs w:val="28"/>
        </w:rPr>
      </w:pPr>
      <w:r>
        <w:rPr>
          <w:rFonts w:hint="eastAsia" w:ascii="宋体" w:hAnsi="宋体" w:cs="宋体"/>
          <w:sz w:val="24"/>
        </w:rPr>
        <w:t>本合同中，甲方为委托方，乙方为受托方，双方享有法律规定和本合同约定的权利和义务。</w:t>
      </w:r>
    </w:p>
    <w:p w14:paraId="2EF8C14F">
      <w:pPr>
        <w:pStyle w:val="25"/>
        <w:spacing w:line="360" w:lineRule="auto"/>
        <w:rPr>
          <w:rFonts w:hint="eastAsia" w:ascii="宋体" w:hAnsi="宋体" w:eastAsia="宋体" w:cs="宋体"/>
          <w:sz w:val="28"/>
          <w:szCs w:val="28"/>
        </w:rPr>
        <w:sectPr>
          <w:footerReference r:id="rId15" w:type="first"/>
          <w:footerReference r:id="rId13" w:type="default"/>
          <w:footerReference r:id="rId14" w:type="even"/>
          <w:pgSz w:w="11906" w:h="16838"/>
          <w:pgMar w:top="1440" w:right="1800" w:bottom="1440" w:left="1800" w:header="851" w:footer="992" w:gutter="0"/>
          <w:pgNumType w:fmt="decimal" w:start="34"/>
          <w:cols w:space="720" w:num="1"/>
          <w:docGrid w:type="lines" w:linePitch="312" w:charSpace="0"/>
        </w:sectPr>
      </w:pPr>
    </w:p>
    <w:p w14:paraId="05C6388A">
      <w:pPr>
        <w:pStyle w:val="5"/>
        <w:numPr>
          <w:ilvl w:val="0"/>
          <w:numId w:val="14"/>
        </w:numPr>
        <w:ind w:firstLine="472" w:firstLineChars="196"/>
        <w:rPr>
          <w:rFonts w:hint="eastAsia" w:ascii="宋体" w:hAnsi="宋体" w:cs="宋体"/>
          <w:sz w:val="24"/>
          <w:szCs w:val="24"/>
        </w:rPr>
      </w:pPr>
      <w:bookmarkStart w:id="102" w:name="_Toc86030700"/>
      <w:bookmarkStart w:id="103" w:name="_Toc86030603"/>
      <w:bookmarkStart w:id="104" w:name="_Toc271703273"/>
      <w:bookmarkStart w:id="105" w:name="_Toc29700"/>
      <w:r>
        <w:rPr>
          <w:rFonts w:hint="eastAsia" w:ascii="宋体" w:hAnsi="宋体" w:cs="宋体"/>
          <w:sz w:val="24"/>
          <w:szCs w:val="24"/>
        </w:rPr>
        <w:t>项目</w:t>
      </w:r>
      <w:bookmarkEnd w:id="102"/>
      <w:bookmarkEnd w:id="103"/>
      <w:bookmarkEnd w:id="104"/>
      <w:r>
        <w:rPr>
          <w:rFonts w:hint="eastAsia" w:ascii="宋体" w:hAnsi="宋体" w:cs="宋体"/>
          <w:sz w:val="24"/>
          <w:szCs w:val="24"/>
        </w:rPr>
        <w:t>目标、任务和要求</w:t>
      </w:r>
      <w:bookmarkEnd w:id="105"/>
    </w:p>
    <w:p w14:paraId="2CBEED84">
      <w:pPr>
        <w:numPr>
          <w:ilvl w:val="0"/>
          <w:numId w:val="15"/>
        </w:numPr>
        <w:spacing w:line="360" w:lineRule="auto"/>
        <w:ind w:firstLine="480" w:firstLineChars="200"/>
        <w:rPr>
          <w:rFonts w:hint="eastAsia" w:ascii="宋体" w:hAnsi="宋体" w:cs="宋体"/>
          <w:sz w:val="24"/>
        </w:rPr>
      </w:pPr>
      <w:r>
        <w:rPr>
          <w:rFonts w:hint="eastAsia" w:ascii="宋体" w:hAnsi="宋体" w:cs="宋体"/>
          <w:sz w:val="24"/>
        </w:rPr>
        <w:t>项目名称：巩固脱贫攻坚成果和防返贫监测数据质量评估及分析服务项目</w:t>
      </w:r>
    </w:p>
    <w:p w14:paraId="7EFC1DDD">
      <w:pPr>
        <w:spacing w:line="360" w:lineRule="auto"/>
        <w:ind w:firstLine="480" w:firstLineChars="200"/>
        <w:rPr>
          <w:rFonts w:ascii="宋体" w:hAnsi="宋体" w:cs="宋体"/>
          <w:sz w:val="24"/>
        </w:rPr>
      </w:pPr>
      <w:r>
        <w:rPr>
          <w:rFonts w:hint="eastAsia" w:ascii="宋体" w:hAnsi="宋体" w:cs="宋体"/>
          <w:sz w:val="24"/>
        </w:rPr>
        <w:t>（二）项目任务：</w:t>
      </w:r>
      <w:r>
        <w:rPr>
          <w:rFonts w:hint="eastAsia" w:ascii="宋体" w:hAnsi="宋体" w:cs="宋体"/>
          <w:b/>
          <w:bCs/>
          <w:sz w:val="24"/>
        </w:rPr>
        <w:t>一是按照甲方要求每月对数据进行质量全面评估</w:t>
      </w:r>
      <w:r>
        <w:rPr>
          <w:rFonts w:hint="eastAsia" w:ascii="宋体" w:hAnsi="宋体" w:cs="宋体"/>
          <w:sz w:val="24"/>
        </w:rPr>
        <w:t>（含基础信息模块、务工监测模块、项目资金模块和乡村建设模块），提供分县统计表和到人到户疑似问题数据；</w:t>
      </w:r>
      <w:r>
        <w:rPr>
          <w:rFonts w:hint="eastAsia" w:ascii="宋体" w:hAnsi="宋体" w:cs="宋体"/>
          <w:b/>
          <w:bCs/>
          <w:sz w:val="24"/>
        </w:rPr>
        <w:t>二是每月针对年度重点工作、热点问题，对相关数据进行分析，形成数据快报</w:t>
      </w:r>
      <w:r>
        <w:rPr>
          <w:rFonts w:hint="eastAsia" w:ascii="宋体" w:hAnsi="宋体" w:cs="宋体"/>
          <w:sz w:val="24"/>
        </w:rPr>
        <w:t>，快报主题不限于巩固脱贫攻坚成果、防止返贫监测对象、收入下降、低收入群体等。</w:t>
      </w:r>
      <w:r>
        <w:rPr>
          <w:rFonts w:hint="eastAsia" w:ascii="宋体" w:hAnsi="宋体" w:cs="宋体"/>
          <w:b/>
          <w:bCs/>
          <w:sz w:val="24"/>
        </w:rPr>
        <w:t>三是针对问题数据抽取口径和数据分析框架思路提供培训等咨询服务</w:t>
      </w:r>
      <w:r>
        <w:rPr>
          <w:rFonts w:hint="eastAsia" w:ascii="宋体" w:hAnsi="宋体" w:cs="宋体"/>
          <w:sz w:val="24"/>
        </w:rPr>
        <w:t>。</w:t>
      </w:r>
    </w:p>
    <w:p w14:paraId="64E98CAC">
      <w:pPr>
        <w:spacing w:line="360" w:lineRule="auto"/>
        <w:ind w:firstLine="480" w:firstLineChars="200"/>
        <w:rPr>
          <w:rFonts w:hint="eastAsia" w:ascii="宋体" w:hAnsi="宋体" w:cs="宋体"/>
          <w:sz w:val="24"/>
        </w:rPr>
      </w:pPr>
      <w:r>
        <w:rPr>
          <w:rFonts w:hint="eastAsia" w:ascii="宋体" w:hAnsi="宋体" w:cs="宋体"/>
          <w:sz w:val="24"/>
        </w:rPr>
        <w:t>（三）产品功能描述</w:t>
      </w:r>
    </w:p>
    <w:p w14:paraId="3254C48B">
      <w:pPr>
        <w:spacing w:line="360" w:lineRule="auto"/>
        <w:ind w:firstLine="480" w:firstLineChars="200"/>
        <w:rPr>
          <w:rFonts w:hint="eastAsia" w:ascii="宋体" w:hAnsi="宋体" w:cs="宋体"/>
          <w:sz w:val="24"/>
        </w:rPr>
      </w:pPr>
      <w:r>
        <w:rPr>
          <w:rFonts w:hint="eastAsia" w:ascii="宋体" w:hAnsi="宋体" w:cs="宋体"/>
          <w:sz w:val="24"/>
        </w:rPr>
        <w:t>巩固脱贫成果和防返贫监测信息系统（以下简称“产品”），是评估防返贫监测数据质量、筛查疑似问题数据、满足乡村振兴部门对防返贫监测数据统计和分析需求的软件产品。详见附件1系统功能列表。</w:t>
      </w:r>
    </w:p>
    <w:p w14:paraId="0F988605">
      <w:pPr>
        <w:spacing w:line="360" w:lineRule="auto"/>
        <w:ind w:firstLine="480" w:firstLineChars="200"/>
        <w:rPr>
          <w:rFonts w:hint="eastAsia" w:ascii="宋体" w:hAnsi="宋体" w:cs="宋体"/>
          <w:sz w:val="24"/>
        </w:rPr>
      </w:pPr>
      <w:r>
        <w:rPr>
          <w:rFonts w:hint="eastAsia" w:ascii="宋体" w:hAnsi="宋体" w:cs="宋体"/>
          <w:sz w:val="24"/>
        </w:rPr>
        <w:t>（四）项目周期</w:t>
      </w:r>
    </w:p>
    <w:p w14:paraId="09535DC4">
      <w:pPr>
        <w:spacing w:line="360" w:lineRule="auto"/>
        <w:ind w:firstLine="480" w:firstLineChars="200"/>
        <w:rPr>
          <w:rFonts w:hint="eastAsia" w:ascii="宋体" w:hAnsi="宋体" w:cs="宋体"/>
          <w:sz w:val="24"/>
        </w:rPr>
      </w:pPr>
      <w:r>
        <w:rPr>
          <w:rFonts w:hint="eastAsia" w:ascii="宋体" w:hAnsi="宋体" w:cs="宋体"/>
          <w:sz w:val="24"/>
        </w:rPr>
        <w:t>服务开通之日起一年。</w:t>
      </w:r>
    </w:p>
    <w:p w14:paraId="564353B1">
      <w:pPr>
        <w:pStyle w:val="5"/>
        <w:numPr>
          <w:ilvl w:val="0"/>
          <w:numId w:val="0"/>
        </w:numPr>
        <w:ind w:firstLine="472" w:firstLineChars="196"/>
        <w:rPr>
          <w:rFonts w:hint="eastAsia" w:ascii="宋体" w:hAnsi="宋体" w:cs="宋体"/>
          <w:sz w:val="24"/>
          <w:szCs w:val="24"/>
        </w:rPr>
      </w:pPr>
      <w:bookmarkStart w:id="106" w:name="_Toc86030701"/>
      <w:bookmarkStart w:id="107" w:name="_Toc26091"/>
      <w:bookmarkStart w:id="108" w:name="_Toc271703274"/>
      <w:bookmarkStart w:id="109" w:name="_Toc86030604"/>
      <w:r>
        <w:rPr>
          <w:rFonts w:hint="eastAsia" w:ascii="宋体" w:hAnsi="宋体" w:cs="宋体"/>
          <w:sz w:val="24"/>
          <w:szCs w:val="24"/>
        </w:rPr>
        <w:t>二、双方权利与义务</w:t>
      </w:r>
      <w:bookmarkEnd w:id="106"/>
      <w:bookmarkEnd w:id="107"/>
      <w:bookmarkEnd w:id="108"/>
      <w:bookmarkEnd w:id="109"/>
    </w:p>
    <w:p w14:paraId="30725EAC">
      <w:pPr>
        <w:spacing w:line="360" w:lineRule="auto"/>
        <w:ind w:firstLine="482" w:firstLineChars="200"/>
        <w:rPr>
          <w:rFonts w:hint="eastAsia" w:ascii="宋体" w:hAnsi="宋体" w:cs="宋体"/>
          <w:b/>
          <w:sz w:val="24"/>
        </w:rPr>
      </w:pPr>
      <w:r>
        <w:rPr>
          <w:rFonts w:hint="eastAsia" w:ascii="宋体" w:hAnsi="宋体" w:cs="宋体"/>
          <w:b/>
          <w:sz w:val="24"/>
        </w:rPr>
        <w:t>（一）甲方权利与义务</w:t>
      </w:r>
    </w:p>
    <w:p w14:paraId="51BB4849">
      <w:pPr>
        <w:spacing w:line="360" w:lineRule="auto"/>
        <w:ind w:firstLine="480" w:firstLineChars="200"/>
        <w:rPr>
          <w:rFonts w:hint="eastAsia" w:ascii="宋体" w:hAnsi="宋体" w:cs="宋体"/>
          <w:sz w:val="24"/>
        </w:rPr>
      </w:pPr>
      <w:r>
        <w:rPr>
          <w:rFonts w:hint="eastAsia" w:ascii="宋体" w:hAnsi="宋体" w:cs="宋体"/>
          <w:sz w:val="24"/>
        </w:rPr>
        <w:t>1.协调相关部门和人员配合本合同执行，提供与项目相关的政策文件。</w:t>
      </w:r>
    </w:p>
    <w:p w14:paraId="6C1F0565">
      <w:pPr>
        <w:spacing w:line="360" w:lineRule="auto"/>
        <w:ind w:firstLine="480" w:firstLineChars="200"/>
        <w:rPr>
          <w:rFonts w:hint="eastAsia" w:ascii="宋体" w:hAnsi="宋体" w:cs="宋体"/>
          <w:sz w:val="24"/>
        </w:rPr>
      </w:pPr>
      <w:r>
        <w:rPr>
          <w:rFonts w:hint="eastAsia" w:ascii="宋体" w:hAnsi="宋体" w:cs="宋体"/>
          <w:sz w:val="24"/>
        </w:rPr>
        <w:t>2.甲方知晓并同意乙方将产品部署至乙方提供的云服务器上，以便甲方汇总和监测下辖各区县的数据质量情况。</w:t>
      </w:r>
    </w:p>
    <w:p w14:paraId="188A2320">
      <w:pPr>
        <w:spacing w:line="360" w:lineRule="auto"/>
        <w:ind w:firstLine="480" w:firstLineChars="200"/>
        <w:rPr>
          <w:rFonts w:hint="eastAsia" w:ascii="宋体" w:hAnsi="宋体" w:cs="宋体"/>
          <w:sz w:val="24"/>
        </w:rPr>
      </w:pPr>
      <w:r>
        <w:rPr>
          <w:rFonts w:hint="eastAsia" w:ascii="宋体" w:hAnsi="宋体" w:cs="宋体"/>
          <w:sz w:val="24"/>
        </w:rPr>
        <w:t>3.组织、协调和配合乙方完成数据抽取指标确认和数据质量评估规则的梳理工作，对乙方提出的数据抽取口径等待确认问题，甲方应尽快予以答复，以便乙方更新产品功能。</w:t>
      </w:r>
    </w:p>
    <w:p w14:paraId="66DF1BF7">
      <w:pPr>
        <w:spacing w:line="360" w:lineRule="auto"/>
        <w:ind w:firstLine="480" w:firstLineChars="200"/>
        <w:rPr>
          <w:rFonts w:hint="eastAsia" w:ascii="宋体" w:hAnsi="宋体" w:cs="宋体"/>
          <w:sz w:val="24"/>
        </w:rPr>
      </w:pPr>
      <w:r>
        <w:rPr>
          <w:rFonts w:hint="eastAsia" w:ascii="宋体" w:hAnsi="宋体" w:cs="宋体"/>
          <w:sz w:val="24"/>
        </w:rPr>
        <w:t>4.提供对接联系人和电话。如以上信息发生变更，甲方应及时告知乙方，乙方收到变更通知后，应立即变更相关信息，如因乙方未及时变更信息导致的数据泄露等问题的，后果由乙方承担，否则</w:t>
      </w:r>
      <w:r>
        <w:rPr>
          <w:rFonts w:hint="eastAsia" w:ascii="宋体" w:hAnsi="宋体" w:cs="宋体"/>
          <w:sz w:val="24"/>
          <w:lang w:val="en-US" w:eastAsia="zh-CN"/>
        </w:rPr>
        <w:t>由</w:t>
      </w:r>
      <w:r>
        <w:rPr>
          <w:rFonts w:hint="eastAsia" w:ascii="宋体" w:hAnsi="宋体" w:cs="宋体"/>
          <w:sz w:val="24"/>
        </w:rPr>
        <w:t>甲方承担。</w:t>
      </w:r>
    </w:p>
    <w:p w14:paraId="6F05719F">
      <w:pPr>
        <w:spacing w:line="360" w:lineRule="auto"/>
        <w:ind w:firstLine="480" w:firstLineChars="200"/>
        <w:rPr>
          <w:rFonts w:hint="eastAsia" w:ascii="宋体" w:hAnsi="宋体" w:cs="宋体"/>
          <w:sz w:val="24"/>
        </w:rPr>
      </w:pPr>
      <w:r>
        <w:rPr>
          <w:rFonts w:hint="eastAsia" w:ascii="宋体" w:hAnsi="宋体" w:cs="宋体"/>
          <w:sz w:val="24"/>
        </w:rPr>
        <w:t>5.按合同约定支付费用。</w:t>
      </w:r>
    </w:p>
    <w:p w14:paraId="6C0CF3DD">
      <w:pPr>
        <w:spacing w:line="360" w:lineRule="auto"/>
        <w:ind w:firstLine="482" w:firstLineChars="200"/>
        <w:rPr>
          <w:rFonts w:hint="eastAsia" w:ascii="宋体" w:hAnsi="宋体" w:cs="宋体"/>
          <w:b/>
          <w:sz w:val="24"/>
        </w:rPr>
      </w:pPr>
      <w:r>
        <w:rPr>
          <w:rFonts w:hint="eastAsia" w:ascii="宋体" w:hAnsi="宋体" w:cs="宋体"/>
          <w:b/>
          <w:sz w:val="24"/>
        </w:rPr>
        <w:t xml:space="preserve">（二）乙方权利与义务 </w:t>
      </w:r>
    </w:p>
    <w:p w14:paraId="764256E5">
      <w:pPr>
        <w:spacing w:line="360" w:lineRule="auto"/>
        <w:ind w:firstLine="480" w:firstLineChars="200"/>
        <w:rPr>
          <w:rFonts w:hint="eastAsia" w:ascii="宋体" w:hAnsi="宋体" w:cs="宋体"/>
          <w:sz w:val="24"/>
        </w:rPr>
      </w:pPr>
      <w:bookmarkStart w:id="110" w:name="_Toc86030605"/>
      <w:bookmarkStart w:id="111" w:name="_Toc86030702"/>
      <w:r>
        <w:rPr>
          <w:rFonts w:hint="eastAsia" w:ascii="宋体" w:hAnsi="宋体" w:cs="宋体"/>
          <w:sz w:val="24"/>
        </w:rPr>
        <w:t>1.合同期期内提供产品服务及相关技术支持服务。</w:t>
      </w:r>
    </w:p>
    <w:p w14:paraId="50C359D8">
      <w:pPr>
        <w:spacing w:line="360" w:lineRule="auto"/>
        <w:ind w:firstLine="480" w:firstLineChars="200"/>
        <w:rPr>
          <w:rFonts w:hint="eastAsia" w:ascii="宋体" w:hAnsi="宋体" w:cs="宋体"/>
          <w:sz w:val="24"/>
        </w:rPr>
      </w:pPr>
      <w:r>
        <w:rPr>
          <w:rFonts w:hint="eastAsia" w:ascii="宋体" w:hAnsi="宋体" w:cs="宋体"/>
          <w:sz w:val="24"/>
        </w:rPr>
        <w:t>2.乙方将产品部署至乙方提供的云服务器上。</w:t>
      </w:r>
    </w:p>
    <w:p w14:paraId="7FCB8871">
      <w:pPr>
        <w:spacing w:line="360" w:lineRule="auto"/>
        <w:ind w:firstLine="480" w:firstLineChars="200"/>
        <w:rPr>
          <w:rFonts w:hint="eastAsia" w:ascii="宋体" w:hAnsi="宋体" w:cs="宋体"/>
          <w:sz w:val="24"/>
        </w:rPr>
      </w:pPr>
      <w:r>
        <w:rPr>
          <w:rFonts w:hint="eastAsia" w:ascii="宋体" w:hAnsi="宋体" w:cs="宋体"/>
          <w:sz w:val="24"/>
        </w:rPr>
        <w:t>3.按照甲方要求，针对近期重点工作，梳理数据质量评估规则和监测对象预警规则。</w:t>
      </w:r>
    </w:p>
    <w:p w14:paraId="59AC9DFD">
      <w:pPr>
        <w:spacing w:line="360" w:lineRule="auto"/>
        <w:ind w:firstLine="480" w:firstLineChars="200"/>
        <w:rPr>
          <w:rFonts w:hint="eastAsia" w:ascii="宋体" w:hAnsi="宋体" w:cs="宋体"/>
          <w:sz w:val="24"/>
        </w:rPr>
      </w:pPr>
      <w:r>
        <w:rPr>
          <w:rFonts w:hint="eastAsia" w:ascii="宋体" w:hAnsi="宋体" w:cs="宋体"/>
          <w:sz w:val="24"/>
        </w:rPr>
        <w:t>4.提供服务甲方的专用电子邮箱地址、对接联系人和电话。如以上信息发生变更，乙方应及时告知甲方，甲方收到变更通知后，应立即变更相关信息，如由于甲方未及时变更信息导致的数据泄露等问题的，后果由甲方承担</w:t>
      </w:r>
      <w:r>
        <w:rPr>
          <w:rFonts w:hint="eastAsia" w:ascii="宋体" w:hAnsi="宋体" w:cs="宋体"/>
          <w:sz w:val="24"/>
          <w:lang w:eastAsia="zh-CN"/>
        </w:rPr>
        <w:t>，</w:t>
      </w:r>
      <w:r>
        <w:rPr>
          <w:rFonts w:hint="eastAsia" w:ascii="宋体" w:hAnsi="宋体" w:cs="宋体"/>
          <w:sz w:val="24"/>
          <w:lang w:val="en-US" w:eastAsia="zh-CN"/>
        </w:rPr>
        <w:t>否则由乙方承担</w:t>
      </w:r>
      <w:r>
        <w:rPr>
          <w:rFonts w:hint="eastAsia" w:ascii="宋体" w:hAnsi="宋体" w:cs="宋体"/>
          <w:sz w:val="24"/>
        </w:rPr>
        <w:t>。</w:t>
      </w:r>
    </w:p>
    <w:p w14:paraId="5B775791">
      <w:pPr>
        <w:spacing w:line="360" w:lineRule="auto"/>
        <w:ind w:firstLine="480" w:firstLineChars="200"/>
        <w:rPr>
          <w:rFonts w:hint="eastAsia" w:ascii="宋体" w:hAnsi="宋体" w:cs="宋体"/>
          <w:sz w:val="24"/>
        </w:rPr>
      </w:pPr>
      <w:r>
        <w:rPr>
          <w:rFonts w:hint="eastAsia" w:ascii="宋体" w:hAnsi="宋体" w:cs="宋体"/>
          <w:sz w:val="24"/>
        </w:rPr>
        <w:t>5.严格遵守保密协议（见附件2）。</w:t>
      </w:r>
    </w:p>
    <w:p w14:paraId="0E264D2F">
      <w:pPr>
        <w:pStyle w:val="5"/>
        <w:widowControl/>
        <w:numPr>
          <w:ilvl w:val="1"/>
          <w:numId w:val="0"/>
        </w:numPr>
        <w:spacing w:line="500" w:lineRule="exact"/>
        <w:ind w:firstLine="472" w:firstLineChars="196"/>
        <w:rPr>
          <w:rFonts w:hint="eastAsia" w:ascii="宋体" w:hAnsi="宋体" w:cs="宋体"/>
          <w:sz w:val="24"/>
          <w:szCs w:val="24"/>
        </w:rPr>
      </w:pPr>
      <w:bookmarkStart w:id="112" w:name="_Toc15810"/>
      <w:bookmarkStart w:id="113" w:name="_Toc8328"/>
      <w:r>
        <w:rPr>
          <w:rFonts w:hint="eastAsia" w:ascii="宋体" w:hAnsi="宋体" w:cs="宋体"/>
          <w:sz w:val="24"/>
          <w:szCs w:val="24"/>
        </w:rPr>
        <w:t>三、工作流程</w:t>
      </w:r>
      <w:bookmarkEnd w:id="112"/>
      <w:bookmarkEnd w:id="113"/>
    </w:p>
    <w:p w14:paraId="09DD585C">
      <w:pPr>
        <w:pStyle w:val="17"/>
        <w:widowControl/>
        <w:spacing w:line="500" w:lineRule="exact"/>
        <w:ind w:left="0" w:leftChars="0" w:firstLine="480" w:firstLineChars="200"/>
        <w:rPr>
          <w:rFonts w:hint="eastAsia" w:ascii="宋体" w:hAnsi="宋体" w:cs="宋体"/>
          <w:bCs/>
          <w:sz w:val="24"/>
        </w:rPr>
      </w:pPr>
      <w:r>
        <w:rPr>
          <w:rFonts w:hint="eastAsia" w:ascii="宋体" w:hAnsi="宋体" w:cs="宋体"/>
          <w:bCs/>
          <w:sz w:val="24"/>
        </w:rPr>
        <w:t>甲方安排下辖各区县依据乙方提供全国巩固脱贫攻坚成果和防返贫监测信息系统《数据导出指引》导出数据，各区县使用乙方提供的用户名密码登录至本产品后，将数据导入至相关模块，产品自主分析数据质量情况、预警监测对象，用户自行下载数据分析结果（含疑似问题数据清单和预警监测对象清单），具体功能列表见附件1。</w:t>
      </w:r>
    </w:p>
    <w:p w14:paraId="2F03234A">
      <w:pPr>
        <w:pStyle w:val="5"/>
        <w:numPr>
          <w:ilvl w:val="0"/>
          <w:numId w:val="0"/>
        </w:numPr>
        <w:ind w:firstLine="472" w:firstLineChars="196"/>
        <w:rPr>
          <w:rFonts w:hint="eastAsia" w:ascii="宋体" w:hAnsi="宋体" w:cs="宋体"/>
          <w:sz w:val="24"/>
          <w:szCs w:val="24"/>
        </w:rPr>
      </w:pPr>
      <w:bookmarkStart w:id="114" w:name="_Toc15945"/>
      <w:bookmarkStart w:id="115" w:name="_Toc271703278"/>
      <w:bookmarkStart w:id="116" w:name="_Toc86030615"/>
      <w:bookmarkStart w:id="117" w:name="_Toc271703279"/>
      <w:bookmarkStart w:id="118" w:name="_Toc86030712"/>
      <w:bookmarkStart w:id="119" w:name="_Toc271703280"/>
      <w:r>
        <w:rPr>
          <w:rFonts w:hint="eastAsia" w:ascii="宋体" w:hAnsi="宋体" w:cs="宋体"/>
          <w:sz w:val="24"/>
          <w:szCs w:val="24"/>
        </w:rPr>
        <w:t>四、合同价款及支付</w:t>
      </w:r>
      <w:bookmarkEnd w:id="114"/>
      <w:bookmarkEnd w:id="115"/>
    </w:p>
    <w:p w14:paraId="1CF16AAD">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（一）合同价款</w:t>
      </w:r>
    </w:p>
    <w:p w14:paraId="45838C2F">
      <w:pPr>
        <w:spacing w:line="360" w:lineRule="auto"/>
        <w:ind w:firstLine="480" w:firstLineChars="20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lang w:val="en-US" w:eastAsia="zh-CN"/>
        </w:rPr>
        <w:t xml:space="preserve">                      </w:t>
      </w:r>
      <w:r>
        <w:rPr>
          <w:rFonts w:hint="eastAsia" w:ascii="宋体" w:hAnsi="宋体" w:cs="宋体"/>
          <w:sz w:val="24"/>
        </w:rPr>
        <w:t>（小写）￥</w:t>
      </w:r>
      <w:r>
        <w:rPr>
          <w:rFonts w:hint="eastAsia" w:ascii="宋体" w:hAnsi="宋体" w:cs="宋体"/>
          <w:sz w:val="24"/>
          <w:u w:val="single"/>
          <w:lang w:val="en-US" w:eastAsia="zh-CN"/>
        </w:rPr>
        <w:t xml:space="preserve">              </w:t>
      </w:r>
      <w:r>
        <w:rPr>
          <w:rFonts w:hint="eastAsia" w:ascii="宋体" w:hAnsi="宋体" w:cs="宋体"/>
          <w:sz w:val="24"/>
        </w:rPr>
        <w:t>元。</w:t>
      </w:r>
    </w:p>
    <w:p w14:paraId="5F7899DD">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（二）支付方式</w:t>
      </w:r>
    </w:p>
    <w:p w14:paraId="4B78264F">
      <w:pPr>
        <w:spacing w:line="360" w:lineRule="auto"/>
        <w:ind w:firstLine="480" w:firstLineChars="200"/>
        <w:rPr>
          <w:rFonts w:hint="eastAsia" w:ascii="宋体" w:hAnsi="宋体" w:cs="宋体"/>
          <w:sz w:val="24"/>
        </w:rPr>
      </w:pPr>
      <w:r>
        <w:rPr>
          <w:rFonts w:hint="eastAsia" w:ascii="宋体" w:hAnsi="宋体" w:cs="宋体"/>
          <w:sz w:val="24"/>
        </w:rPr>
        <w:t>甲方按以下约定向乙方指定银行账户支付合同价款。</w:t>
      </w:r>
    </w:p>
    <w:p w14:paraId="05F790CC">
      <w:pPr>
        <w:spacing w:line="360" w:lineRule="auto"/>
        <w:ind w:firstLine="480" w:firstLineChars="200"/>
        <w:rPr>
          <w:rFonts w:hint="eastAsia" w:ascii="宋体" w:hAnsi="宋体" w:cs="宋体"/>
          <w:sz w:val="24"/>
        </w:rPr>
      </w:pPr>
      <w:r>
        <w:rPr>
          <w:rFonts w:hint="eastAsia" w:ascii="宋体" w:hAnsi="宋体" w:cs="宋体"/>
          <w:sz w:val="24"/>
        </w:rPr>
        <w:t>付款按以下分期方式进行：</w:t>
      </w:r>
    </w:p>
    <w:p w14:paraId="06B194C3">
      <w:pPr>
        <w:spacing w:line="360" w:lineRule="auto"/>
        <w:ind w:firstLine="480" w:firstLineChars="200"/>
        <w:rPr>
          <w:rFonts w:hint="eastAsia" w:ascii="宋体" w:hAnsi="宋体" w:cs="宋体"/>
          <w:sz w:val="24"/>
        </w:rPr>
      </w:pPr>
      <w:r>
        <w:rPr>
          <w:rFonts w:hint="eastAsia" w:ascii="宋体" w:hAnsi="宋体" w:cs="宋体"/>
          <w:sz w:val="24"/>
        </w:rPr>
        <w:t>（1）首期款：合同签订后</w:t>
      </w:r>
      <w:r>
        <w:rPr>
          <w:rFonts w:hint="eastAsia" w:ascii="宋体" w:hAnsi="宋体" w:cs="宋体"/>
          <w:sz w:val="24"/>
          <w:lang w:val="en-US" w:eastAsia="zh-CN"/>
        </w:rPr>
        <w:t>20</w:t>
      </w:r>
      <w:r>
        <w:rPr>
          <w:rFonts w:hint="eastAsia" w:ascii="宋体" w:hAnsi="宋体" w:cs="宋体"/>
          <w:sz w:val="24"/>
        </w:rPr>
        <w:t>日内，</w:t>
      </w:r>
      <w:r>
        <w:rPr>
          <w:rFonts w:hint="eastAsia" w:ascii="宋体" w:hAnsi="宋体" w:cs="宋体"/>
          <w:sz w:val="24"/>
          <w:lang w:eastAsia="zh-CN"/>
        </w:rPr>
        <w:t>甲</w:t>
      </w:r>
      <w:r>
        <w:rPr>
          <w:rFonts w:hint="eastAsia" w:ascii="宋体" w:hAnsi="宋体" w:cs="宋体"/>
          <w:sz w:val="24"/>
        </w:rPr>
        <w:t>方向</w:t>
      </w:r>
      <w:r>
        <w:rPr>
          <w:rFonts w:hint="eastAsia" w:ascii="宋体" w:hAnsi="宋体" w:cs="宋体"/>
          <w:sz w:val="24"/>
          <w:lang w:eastAsia="zh-CN"/>
        </w:rPr>
        <w:t>乙</w:t>
      </w:r>
      <w:r>
        <w:rPr>
          <w:rFonts w:hint="eastAsia" w:ascii="宋体" w:hAnsi="宋体" w:cs="宋体"/>
          <w:sz w:val="24"/>
        </w:rPr>
        <w:t>方支付合同总金额的40%，即人民币【】元（大写：）；</w:t>
      </w:r>
    </w:p>
    <w:p w14:paraId="234DA64D">
      <w:pPr>
        <w:spacing w:line="360" w:lineRule="auto"/>
        <w:ind w:firstLine="480" w:firstLineChars="200"/>
        <w:rPr>
          <w:rFonts w:hint="eastAsia" w:ascii="宋体" w:hAnsi="宋体" w:cs="宋体"/>
          <w:sz w:val="24"/>
        </w:rPr>
      </w:pPr>
      <w:r>
        <w:rPr>
          <w:rFonts w:hint="eastAsia" w:ascii="宋体" w:hAnsi="宋体" w:cs="宋体"/>
          <w:sz w:val="24"/>
        </w:rPr>
        <w:t>（2）尾款：项目全部完成并经</w:t>
      </w:r>
      <w:r>
        <w:rPr>
          <w:rFonts w:hint="eastAsia" w:ascii="宋体" w:hAnsi="宋体" w:cs="宋体"/>
          <w:sz w:val="24"/>
          <w:lang w:eastAsia="zh-CN"/>
        </w:rPr>
        <w:t>甲</w:t>
      </w:r>
      <w:r>
        <w:rPr>
          <w:rFonts w:hint="eastAsia" w:ascii="宋体" w:hAnsi="宋体" w:cs="宋体"/>
          <w:sz w:val="24"/>
        </w:rPr>
        <w:t>方验收合格后</w:t>
      </w:r>
      <w:r>
        <w:rPr>
          <w:rFonts w:hint="eastAsia" w:ascii="宋体" w:hAnsi="宋体" w:cs="宋体"/>
          <w:sz w:val="24"/>
          <w:lang w:val="en-US" w:eastAsia="zh-CN"/>
        </w:rPr>
        <w:t>20</w:t>
      </w:r>
      <w:r>
        <w:rPr>
          <w:rFonts w:hint="eastAsia" w:ascii="宋体" w:hAnsi="宋体" w:cs="宋体"/>
          <w:sz w:val="24"/>
        </w:rPr>
        <w:t>日内，</w:t>
      </w:r>
      <w:r>
        <w:rPr>
          <w:rFonts w:hint="eastAsia" w:ascii="宋体" w:hAnsi="宋体" w:cs="宋体"/>
          <w:sz w:val="24"/>
          <w:lang w:eastAsia="zh-CN"/>
        </w:rPr>
        <w:t>甲</w:t>
      </w:r>
      <w:r>
        <w:rPr>
          <w:rFonts w:hint="eastAsia" w:ascii="宋体" w:hAnsi="宋体" w:cs="宋体"/>
          <w:sz w:val="24"/>
        </w:rPr>
        <w:t>方向</w:t>
      </w:r>
      <w:r>
        <w:rPr>
          <w:rFonts w:hint="eastAsia" w:ascii="宋体" w:hAnsi="宋体" w:cs="宋体"/>
          <w:sz w:val="24"/>
          <w:lang w:eastAsia="zh-CN"/>
        </w:rPr>
        <w:t>乙</w:t>
      </w:r>
      <w:r>
        <w:rPr>
          <w:rFonts w:hint="eastAsia" w:ascii="宋体" w:hAnsi="宋体" w:cs="宋体"/>
          <w:sz w:val="24"/>
        </w:rPr>
        <w:t>方支付合同剩余60%，即人民币【】元（大写：）。</w:t>
      </w:r>
    </w:p>
    <w:p w14:paraId="77F5BC28">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乙</w:t>
      </w:r>
      <w:r>
        <w:rPr>
          <w:rFonts w:hint="eastAsia" w:ascii="宋体" w:hAnsi="宋体" w:cs="宋体"/>
          <w:sz w:val="24"/>
        </w:rPr>
        <w:t>方应在每次收款前</w:t>
      </w:r>
      <w:r>
        <w:rPr>
          <w:rFonts w:hint="eastAsia" w:ascii="宋体" w:hAnsi="宋体" w:cs="宋体"/>
          <w:sz w:val="24"/>
          <w:lang w:val="en-US" w:eastAsia="zh-CN"/>
        </w:rPr>
        <w:t>10</w:t>
      </w:r>
      <w:r>
        <w:rPr>
          <w:rFonts w:hint="eastAsia" w:ascii="宋体" w:hAnsi="宋体" w:cs="宋体"/>
          <w:sz w:val="24"/>
        </w:rPr>
        <w:t>日内向</w:t>
      </w:r>
      <w:r>
        <w:rPr>
          <w:rFonts w:hint="eastAsia" w:ascii="宋体" w:hAnsi="宋体" w:cs="宋体"/>
          <w:sz w:val="24"/>
          <w:lang w:eastAsia="zh-CN"/>
        </w:rPr>
        <w:t>甲</w:t>
      </w:r>
      <w:r>
        <w:rPr>
          <w:rFonts w:hint="eastAsia" w:ascii="宋体" w:hAnsi="宋体" w:cs="宋体"/>
          <w:sz w:val="24"/>
        </w:rPr>
        <w:t>方出具等额合法有效发票</w:t>
      </w:r>
      <w:r>
        <w:rPr>
          <w:rFonts w:hint="eastAsia" w:ascii="宋体" w:hAnsi="宋体" w:cs="宋体"/>
          <w:sz w:val="24"/>
          <w:lang w:eastAsia="zh-CN"/>
        </w:rPr>
        <w:t>。</w:t>
      </w:r>
    </w:p>
    <w:p w14:paraId="22370C56">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（三）乙方指定银行账户</w:t>
      </w:r>
    </w:p>
    <w:p w14:paraId="49EC52E7">
      <w:pPr>
        <w:spacing w:line="360" w:lineRule="auto"/>
        <w:ind w:firstLine="480" w:firstLineChars="200"/>
        <w:rPr>
          <w:rFonts w:hint="eastAsia" w:ascii="宋体" w:hAnsi="宋体" w:cs="宋体"/>
          <w:sz w:val="24"/>
        </w:rPr>
      </w:pPr>
      <w:r>
        <w:rPr>
          <w:rFonts w:hint="eastAsia" w:ascii="宋体" w:hAnsi="宋体" w:cs="宋体"/>
          <w:sz w:val="24"/>
        </w:rPr>
        <w:t>收款单位全称：</w:t>
      </w:r>
    </w:p>
    <w:p w14:paraId="49598B59">
      <w:pPr>
        <w:spacing w:line="360" w:lineRule="auto"/>
        <w:ind w:firstLine="480" w:firstLineChars="200"/>
        <w:rPr>
          <w:rFonts w:hint="eastAsia" w:ascii="宋体" w:hAnsi="宋体" w:cs="宋体"/>
          <w:sz w:val="24"/>
        </w:rPr>
      </w:pPr>
      <w:r>
        <w:rPr>
          <w:rFonts w:hint="eastAsia" w:ascii="宋体" w:hAnsi="宋体" w:cs="宋体"/>
          <w:sz w:val="24"/>
        </w:rPr>
        <w:t>收款单位开户银行全称：</w:t>
      </w:r>
    </w:p>
    <w:p w14:paraId="030E4621">
      <w:pPr>
        <w:spacing w:line="360" w:lineRule="auto"/>
        <w:ind w:firstLine="480" w:firstLineChars="200"/>
        <w:rPr>
          <w:rFonts w:hint="eastAsia" w:ascii="宋体" w:hAnsi="宋体" w:cs="宋体"/>
          <w:sz w:val="24"/>
        </w:rPr>
      </w:pPr>
      <w:r>
        <w:rPr>
          <w:rFonts w:hint="eastAsia" w:ascii="宋体" w:hAnsi="宋体" w:cs="宋体"/>
          <w:sz w:val="24"/>
        </w:rPr>
        <w:t>收款单位账户名称：</w:t>
      </w:r>
    </w:p>
    <w:p w14:paraId="398DDB30">
      <w:pPr>
        <w:spacing w:line="360" w:lineRule="auto"/>
        <w:ind w:firstLine="480" w:firstLineChars="200"/>
        <w:rPr>
          <w:rFonts w:hint="eastAsia" w:ascii="宋体" w:hAnsi="宋体" w:cs="宋体"/>
          <w:sz w:val="24"/>
          <w:u w:val="single"/>
        </w:rPr>
      </w:pPr>
      <w:r>
        <w:rPr>
          <w:rFonts w:hint="eastAsia" w:ascii="宋体" w:hAnsi="宋体" w:cs="宋体"/>
          <w:sz w:val="24"/>
        </w:rPr>
        <w:t>收款单位账号：</w:t>
      </w:r>
    </w:p>
    <w:p w14:paraId="0024CE33">
      <w:pPr>
        <w:pStyle w:val="5"/>
        <w:numPr>
          <w:ilvl w:val="0"/>
          <w:numId w:val="0"/>
        </w:numPr>
        <w:ind w:firstLine="472" w:firstLineChars="196"/>
        <w:rPr>
          <w:rFonts w:hint="eastAsia" w:ascii="宋体" w:hAnsi="宋体" w:cs="宋体"/>
          <w:sz w:val="24"/>
          <w:szCs w:val="24"/>
        </w:rPr>
      </w:pPr>
      <w:bookmarkStart w:id="120" w:name="_Toc12932"/>
      <w:r>
        <w:rPr>
          <w:rFonts w:hint="eastAsia" w:ascii="宋体" w:hAnsi="宋体" w:cs="宋体"/>
          <w:sz w:val="24"/>
          <w:szCs w:val="24"/>
        </w:rPr>
        <w:t>五、保密</w:t>
      </w:r>
      <w:bookmarkEnd w:id="116"/>
      <w:bookmarkEnd w:id="117"/>
      <w:bookmarkEnd w:id="118"/>
      <w:r>
        <w:rPr>
          <w:rFonts w:hint="eastAsia" w:ascii="宋体" w:hAnsi="宋体" w:cs="宋体"/>
          <w:sz w:val="24"/>
          <w:szCs w:val="24"/>
        </w:rPr>
        <w:t>条款</w:t>
      </w:r>
      <w:bookmarkEnd w:id="120"/>
    </w:p>
    <w:p w14:paraId="1D5C0D3D">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（一）甲方约束</w:t>
      </w:r>
    </w:p>
    <w:p w14:paraId="20391A71">
      <w:pPr>
        <w:pStyle w:val="17"/>
        <w:spacing w:line="360" w:lineRule="auto"/>
        <w:ind w:left="0" w:leftChars="0" w:firstLine="480" w:firstLineChars="200"/>
        <w:rPr>
          <w:rFonts w:hint="eastAsia" w:ascii="宋体" w:hAnsi="宋体" w:cs="宋体"/>
          <w:sz w:val="24"/>
        </w:rPr>
      </w:pPr>
      <w:r>
        <w:rPr>
          <w:rFonts w:hint="eastAsia" w:ascii="宋体" w:hAnsi="宋体" w:cs="宋体"/>
          <w:sz w:val="24"/>
        </w:rPr>
        <w:t>甲方在项目过程中知悉的商业秘密、版权、专利等，无论甲乙双方的后续合同是否成立，也不论本合同是否终止，均不得泄露或者不正当地授权他人或者在本合同范围之外使用。</w:t>
      </w:r>
    </w:p>
    <w:bookmarkEnd w:id="119"/>
    <w:p w14:paraId="4CE6674A">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（二）乙方约束</w:t>
      </w:r>
    </w:p>
    <w:p w14:paraId="46D50D7F">
      <w:pPr>
        <w:pStyle w:val="17"/>
        <w:spacing w:line="360" w:lineRule="auto"/>
        <w:ind w:left="0" w:leftChars="0" w:firstLine="480" w:firstLineChars="200"/>
        <w:rPr>
          <w:rFonts w:hint="eastAsia" w:ascii="宋体" w:hAnsi="宋体" w:cs="宋体"/>
          <w:sz w:val="24"/>
        </w:rPr>
      </w:pPr>
      <w:r>
        <w:rPr>
          <w:rFonts w:hint="eastAsia" w:ascii="宋体" w:hAnsi="宋体" w:cs="宋体"/>
          <w:sz w:val="24"/>
        </w:rPr>
        <w:t>事先未经甲方</w:t>
      </w:r>
      <w:r>
        <w:rPr>
          <w:rFonts w:hint="eastAsia" w:ascii="宋体" w:hAnsi="宋体" w:cs="宋体"/>
          <w:sz w:val="24"/>
          <w:lang w:val="en-US" w:eastAsia="zh-CN"/>
        </w:rPr>
        <w:t>书面</w:t>
      </w:r>
      <w:r>
        <w:rPr>
          <w:rFonts w:hint="eastAsia" w:ascii="宋体" w:hAnsi="宋体" w:cs="宋体"/>
          <w:sz w:val="24"/>
        </w:rPr>
        <w:t>同意，乙方不得以任何形式将项目过程中的数据及相关政策资料</w:t>
      </w:r>
      <w:r>
        <w:rPr>
          <w:rFonts w:hint="eastAsia" w:ascii="宋体" w:hAnsi="宋体" w:cs="宋体"/>
          <w:sz w:val="24"/>
          <w:lang w:val="en-US" w:eastAsia="zh-CN"/>
        </w:rPr>
        <w:t>等未公开信息</w:t>
      </w:r>
      <w:r>
        <w:rPr>
          <w:rFonts w:hint="eastAsia" w:ascii="宋体" w:hAnsi="宋体" w:cs="宋体"/>
          <w:sz w:val="24"/>
        </w:rPr>
        <w:t>提供给第三方或者不正当地授权他人或者在本合同范围之外使用。</w:t>
      </w:r>
    </w:p>
    <w:p w14:paraId="0DD24378">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（三）双方约束</w:t>
      </w:r>
    </w:p>
    <w:p w14:paraId="72D1B7B1">
      <w:pPr>
        <w:pStyle w:val="17"/>
        <w:spacing w:line="360" w:lineRule="auto"/>
        <w:ind w:left="0" w:leftChars="0" w:firstLine="480" w:firstLineChars="200"/>
        <w:rPr>
          <w:rFonts w:hint="eastAsia" w:ascii="宋体" w:hAnsi="宋体" w:cs="宋体"/>
          <w:sz w:val="24"/>
        </w:rPr>
      </w:pPr>
      <w:r>
        <w:rPr>
          <w:rFonts w:hint="eastAsia" w:ascii="宋体" w:hAnsi="宋体" w:cs="宋体"/>
          <w:sz w:val="24"/>
        </w:rPr>
        <w:t>事先未经双方协商共同书面确认，任何一方不得将合同、合同附件、与合同有关的计划和项目书及资料、对方的商业信息等泄露给其他单位和个人。</w:t>
      </w:r>
      <w:bookmarkStart w:id="121" w:name="_Toc271703281"/>
    </w:p>
    <w:p w14:paraId="499B9C84">
      <w:pPr>
        <w:pStyle w:val="5"/>
        <w:numPr>
          <w:ilvl w:val="0"/>
          <w:numId w:val="0"/>
        </w:numPr>
        <w:ind w:firstLine="472" w:firstLineChars="196"/>
        <w:rPr>
          <w:rFonts w:hint="eastAsia" w:ascii="宋体" w:hAnsi="宋体" w:cs="宋体"/>
          <w:sz w:val="24"/>
          <w:szCs w:val="24"/>
        </w:rPr>
      </w:pPr>
      <w:bookmarkStart w:id="122" w:name="_Toc2706"/>
      <w:r>
        <w:rPr>
          <w:rFonts w:hint="eastAsia" w:ascii="宋体" w:hAnsi="宋体" w:cs="宋体"/>
          <w:sz w:val="24"/>
          <w:szCs w:val="24"/>
        </w:rPr>
        <w:t>六、合同生效、变更、终止</w:t>
      </w:r>
      <w:bookmarkEnd w:id="121"/>
      <w:bookmarkEnd w:id="122"/>
    </w:p>
    <w:p w14:paraId="2AFA2BB6">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（一）合同生效</w:t>
      </w:r>
    </w:p>
    <w:p w14:paraId="1A816E8E">
      <w:pPr>
        <w:pStyle w:val="17"/>
        <w:spacing w:line="360" w:lineRule="auto"/>
        <w:ind w:left="0" w:leftChars="0" w:firstLine="480" w:firstLineChars="200"/>
        <w:rPr>
          <w:rFonts w:hint="eastAsia" w:ascii="宋体" w:hAnsi="宋体" w:cs="宋体"/>
          <w:sz w:val="24"/>
        </w:rPr>
      </w:pPr>
      <w:r>
        <w:rPr>
          <w:rFonts w:hint="eastAsia" w:ascii="宋体" w:hAnsi="宋体" w:cs="宋体"/>
          <w:sz w:val="24"/>
        </w:rPr>
        <w:t>本合同自签字盖章之日起生效。</w:t>
      </w:r>
    </w:p>
    <w:p w14:paraId="4FA0A308">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（二）合同变更</w:t>
      </w:r>
    </w:p>
    <w:p w14:paraId="158BB208">
      <w:pPr>
        <w:pStyle w:val="17"/>
        <w:spacing w:line="360" w:lineRule="auto"/>
        <w:ind w:left="0" w:leftChars="0" w:firstLine="480" w:firstLineChars="200"/>
        <w:rPr>
          <w:rFonts w:hint="eastAsia" w:ascii="宋体" w:hAnsi="宋体" w:cs="宋体"/>
          <w:sz w:val="24"/>
        </w:rPr>
      </w:pPr>
      <w:r>
        <w:rPr>
          <w:rFonts w:hint="eastAsia" w:ascii="宋体" w:hAnsi="宋体" w:cs="宋体"/>
          <w:sz w:val="24"/>
        </w:rPr>
        <w:t>合同变更应当采用书面形式，合同一方提出变更，应书面通知另一方，另一方应在15天内予以书面答复，合同的变更需经双方代表签字盖章。</w:t>
      </w:r>
    </w:p>
    <w:p w14:paraId="6693AFCD">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（三）合同终止</w:t>
      </w:r>
    </w:p>
    <w:p w14:paraId="412CCAE4">
      <w:pPr>
        <w:pStyle w:val="17"/>
        <w:spacing w:line="360" w:lineRule="auto"/>
        <w:ind w:left="0" w:leftChars="0" w:firstLine="480" w:firstLineChars="200"/>
        <w:rPr>
          <w:rFonts w:hint="eastAsia" w:ascii="宋体" w:hAnsi="宋体" w:cs="宋体"/>
          <w:sz w:val="24"/>
        </w:rPr>
      </w:pPr>
      <w:r>
        <w:rPr>
          <w:rFonts w:hint="eastAsia" w:ascii="宋体" w:hAnsi="宋体" w:cs="宋体"/>
          <w:sz w:val="24"/>
        </w:rPr>
        <w:t>1.有下列情形之一的，本合同终止：</w:t>
      </w:r>
    </w:p>
    <w:p w14:paraId="0EE90F16">
      <w:pPr>
        <w:pStyle w:val="17"/>
        <w:spacing w:line="360" w:lineRule="auto"/>
        <w:ind w:left="0" w:leftChars="0" w:firstLine="480" w:firstLineChars="200"/>
        <w:rPr>
          <w:rFonts w:hint="eastAsia" w:ascii="宋体" w:hAnsi="宋体" w:cs="宋体"/>
          <w:sz w:val="24"/>
        </w:rPr>
      </w:pPr>
      <w:r>
        <w:rPr>
          <w:rFonts w:hint="eastAsia" w:ascii="宋体" w:hAnsi="宋体" w:cs="宋体"/>
          <w:sz w:val="24"/>
        </w:rPr>
        <w:t>（1）本合同规定之双方义务已经按照约定履行完毕；</w:t>
      </w:r>
    </w:p>
    <w:p w14:paraId="11BB0C3F">
      <w:pPr>
        <w:pStyle w:val="17"/>
        <w:spacing w:line="360" w:lineRule="auto"/>
        <w:ind w:left="0" w:leftChars="0" w:firstLine="480" w:firstLineChars="200"/>
        <w:rPr>
          <w:rFonts w:hint="eastAsia" w:ascii="宋体" w:hAnsi="宋体" w:cs="宋体"/>
          <w:sz w:val="24"/>
        </w:rPr>
      </w:pPr>
      <w:r>
        <w:rPr>
          <w:rFonts w:hint="eastAsia" w:ascii="宋体" w:hAnsi="宋体" w:cs="宋体"/>
          <w:sz w:val="24"/>
        </w:rPr>
        <w:t>（2）合同解除；</w:t>
      </w:r>
    </w:p>
    <w:p w14:paraId="5916C3F8">
      <w:pPr>
        <w:pStyle w:val="17"/>
        <w:spacing w:line="360" w:lineRule="auto"/>
        <w:ind w:left="0" w:leftChars="0" w:firstLine="480" w:firstLineChars="200"/>
        <w:rPr>
          <w:rFonts w:hint="eastAsia" w:ascii="宋体" w:hAnsi="宋体" w:cs="宋体"/>
          <w:sz w:val="24"/>
        </w:rPr>
      </w:pPr>
      <w:r>
        <w:rPr>
          <w:rFonts w:hint="eastAsia" w:ascii="宋体" w:hAnsi="宋体" w:cs="宋体"/>
          <w:sz w:val="24"/>
        </w:rPr>
        <w:t>（3）法律规定或甲乙双方约定终止的其他情形。</w:t>
      </w:r>
    </w:p>
    <w:p w14:paraId="075D72CE">
      <w:pPr>
        <w:pStyle w:val="17"/>
        <w:spacing w:line="360" w:lineRule="auto"/>
        <w:ind w:left="0" w:leftChars="0" w:firstLine="480" w:firstLineChars="200"/>
        <w:rPr>
          <w:rFonts w:hint="eastAsia" w:ascii="宋体" w:hAnsi="宋体" w:cs="宋体"/>
          <w:sz w:val="24"/>
        </w:rPr>
      </w:pPr>
      <w:r>
        <w:rPr>
          <w:rFonts w:hint="eastAsia" w:ascii="宋体" w:hAnsi="宋体" w:cs="宋体"/>
          <w:sz w:val="24"/>
        </w:rPr>
        <w:t>2.合同终止后，双方应当遵循诚实信用原则，根据交易习惯继续履行通知、协助、保密等义务。</w:t>
      </w:r>
    </w:p>
    <w:p w14:paraId="4593E581">
      <w:pPr>
        <w:pStyle w:val="17"/>
        <w:spacing w:line="360" w:lineRule="auto"/>
        <w:ind w:left="0" w:leftChars="0" w:firstLine="480" w:firstLineChars="200"/>
        <w:rPr>
          <w:rFonts w:hint="eastAsia" w:ascii="宋体" w:hAnsi="宋体" w:cs="宋体"/>
          <w:sz w:val="24"/>
        </w:rPr>
      </w:pPr>
      <w:r>
        <w:rPr>
          <w:rFonts w:hint="eastAsia" w:ascii="宋体" w:hAnsi="宋体" w:cs="宋体"/>
          <w:sz w:val="24"/>
        </w:rPr>
        <w:t>3.下列情形下，当事人可以解除合同：</w:t>
      </w:r>
    </w:p>
    <w:p w14:paraId="4269F28A">
      <w:pPr>
        <w:pStyle w:val="17"/>
        <w:spacing w:line="360" w:lineRule="auto"/>
        <w:ind w:left="0" w:leftChars="0" w:firstLine="480" w:firstLineChars="200"/>
        <w:rPr>
          <w:rFonts w:hint="eastAsia" w:ascii="宋体" w:hAnsi="宋体" w:cs="宋体"/>
          <w:sz w:val="24"/>
        </w:rPr>
      </w:pPr>
      <w:r>
        <w:rPr>
          <w:rFonts w:hint="eastAsia" w:ascii="宋体" w:hAnsi="宋体" w:cs="宋体"/>
          <w:sz w:val="24"/>
        </w:rPr>
        <w:t>（1）由于不可抗力原因致使本合同无法履行；</w:t>
      </w:r>
    </w:p>
    <w:p w14:paraId="48BFBDEE">
      <w:pPr>
        <w:pStyle w:val="17"/>
        <w:spacing w:line="360" w:lineRule="auto"/>
        <w:ind w:left="0" w:leftChars="0" w:firstLine="480" w:firstLineChars="200"/>
        <w:rPr>
          <w:rFonts w:hint="eastAsia" w:ascii="宋体" w:hAnsi="宋体" w:cs="宋体"/>
          <w:sz w:val="24"/>
        </w:rPr>
      </w:pPr>
      <w:r>
        <w:rPr>
          <w:rFonts w:hint="eastAsia" w:ascii="宋体" w:hAnsi="宋体" w:cs="宋体"/>
          <w:sz w:val="24"/>
        </w:rPr>
        <w:t>（2）在履行合同期限届满之前，当事人一方明确表示或者以自己的行为表明不履行主要义务；</w:t>
      </w:r>
    </w:p>
    <w:p w14:paraId="65274B11">
      <w:pPr>
        <w:pStyle w:val="17"/>
        <w:spacing w:line="360" w:lineRule="auto"/>
        <w:ind w:left="0" w:leftChars="0" w:firstLine="480" w:firstLineChars="200"/>
        <w:rPr>
          <w:rFonts w:hint="eastAsia" w:ascii="宋体" w:hAnsi="宋体" w:cs="宋体"/>
          <w:sz w:val="24"/>
        </w:rPr>
      </w:pPr>
      <w:r>
        <w:rPr>
          <w:rFonts w:hint="eastAsia" w:ascii="宋体" w:hAnsi="宋体" w:cs="宋体"/>
          <w:sz w:val="24"/>
        </w:rPr>
        <w:t>（3）当事人一方延迟履行主要义务，经书面催告后在15天时限内仍未履行；</w:t>
      </w:r>
    </w:p>
    <w:p w14:paraId="683068A3">
      <w:pPr>
        <w:pStyle w:val="17"/>
        <w:spacing w:line="360" w:lineRule="auto"/>
        <w:ind w:left="0" w:leftChars="0" w:firstLine="480" w:firstLineChars="200"/>
        <w:rPr>
          <w:rFonts w:hint="eastAsia" w:ascii="宋体" w:hAnsi="宋体" w:cs="宋体"/>
          <w:sz w:val="24"/>
        </w:rPr>
      </w:pPr>
      <w:r>
        <w:rPr>
          <w:rFonts w:hint="eastAsia" w:ascii="宋体" w:hAnsi="宋体" w:cs="宋体"/>
          <w:sz w:val="24"/>
        </w:rPr>
        <w:t>（4）当事人一方延迟履行义务或者有其他违约行为致使不能实现合同目的；</w:t>
      </w:r>
    </w:p>
    <w:p w14:paraId="0F6D1FCE">
      <w:pPr>
        <w:pStyle w:val="17"/>
        <w:spacing w:line="360" w:lineRule="auto"/>
        <w:ind w:left="0" w:leftChars="0" w:firstLine="480" w:firstLineChars="200"/>
        <w:rPr>
          <w:rFonts w:hint="eastAsia" w:ascii="宋体" w:hAnsi="宋体" w:cs="宋体"/>
          <w:sz w:val="24"/>
        </w:rPr>
      </w:pPr>
      <w:r>
        <w:rPr>
          <w:rFonts w:hint="eastAsia" w:ascii="宋体" w:hAnsi="宋体" w:cs="宋体"/>
          <w:sz w:val="24"/>
        </w:rPr>
        <w:t>（5）法律规定的其他情形。</w:t>
      </w:r>
    </w:p>
    <w:p w14:paraId="491C358C">
      <w:pPr>
        <w:pStyle w:val="17"/>
        <w:spacing w:line="360" w:lineRule="auto"/>
        <w:ind w:left="0" w:leftChars="0" w:firstLine="480" w:firstLineChars="200"/>
        <w:rPr>
          <w:rFonts w:hint="eastAsia" w:ascii="宋体" w:hAnsi="宋体" w:cs="宋体"/>
          <w:sz w:val="24"/>
        </w:rPr>
      </w:pPr>
      <w:r>
        <w:rPr>
          <w:rFonts w:hint="eastAsia" w:ascii="宋体" w:hAnsi="宋体" w:cs="宋体"/>
          <w:sz w:val="24"/>
        </w:rPr>
        <w:t>4.当事人一方依照本合同约定主张解除合同的，应当以书面形式通知对方。本合同自通知到达对方时解除。对方有异议的，按照本合同关于争议解决的约定处理。</w:t>
      </w:r>
    </w:p>
    <w:p w14:paraId="2689E7D5">
      <w:pPr>
        <w:pStyle w:val="5"/>
        <w:numPr>
          <w:ilvl w:val="0"/>
          <w:numId w:val="0"/>
        </w:numPr>
        <w:ind w:firstLine="472" w:firstLineChars="196"/>
        <w:rPr>
          <w:rFonts w:hint="eastAsia" w:ascii="宋体" w:hAnsi="宋体" w:cs="宋体"/>
          <w:sz w:val="24"/>
          <w:szCs w:val="24"/>
        </w:rPr>
      </w:pPr>
      <w:bookmarkStart w:id="123" w:name="_Toc24983"/>
      <w:bookmarkStart w:id="124" w:name="_Toc271703282"/>
      <w:r>
        <w:rPr>
          <w:rFonts w:hint="eastAsia" w:ascii="宋体" w:hAnsi="宋体" w:cs="宋体"/>
          <w:sz w:val="24"/>
          <w:szCs w:val="24"/>
        </w:rPr>
        <w:t>七、违约责任</w:t>
      </w:r>
      <w:bookmarkEnd w:id="123"/>
      <w:bookmarkEnd w:id="124"/>
    </w:p>
    <w:p w14:paraId="5824FFA1">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（一）甲方违约</w:t>
      </w:r>
    </w:p>
    <w:p w14:paraId="43BEF57A">
      <w:pPr>
        <w:pStyle w:val="17"/>
        <w:spacing w:line="360" w:lineRule="auto"/>
        <w:ind w:left="0" w:leftChars="0" w:firstLine="480" w:firstLineChars="200"/>
        <w:rPr>
          <w:rFonts w:hint="eastAsia" w:ascii="宋体" w:hAnsi="宋体" w:cs="宋体"/>
          <w:sz w:val="24"/>
        </w:rPr>
      </w:pPr>
      <w:r>
        <w:rPr>
          <w:rFonts w:hint="eastAsia" w:ascii="宋体" w:hAnsi="宋体" w:cs="宋体"/>
          <w:sz w:val="24"/>
        </w:rPr>
        <w:t>甲方未能按合同约定向乙方支付价款，致使项目工作任务延误的由甲方承担相关责任。</w:t>
      </w:r>
    </w:p>
    <w:p w14:paraId="2E8931F8">
      <w:pPr>
        <w:pStyle w:val="17"/>
        <w:spacing w:line="360" w:lineRule="auto"/>
        <w:ind w:left="0" w:leftChars="0" w:firstLine="482" w:firstLineChars="200"/>
        <w:rPr>
          <w:rFonts w:hint="eastAsia" w:ascii="宋体" w:hAnsi="宋体" w:cs="宋体"/>
          <w:b/>
          <w:sz w:val="24"/>
        </w:rPr>
      </w:pPr>
      <w:r>
        <w:rPr>
          <w:rFonts w:hint="eastAsia" w:ascii="宋体" w:hAnsi="宋体" w:cs="宋体"/>
          <w:b/>
          <w:sz w:val="24"/>
        </w:rPr>
        <w:t>（二）乙方违约</w:t>
      </w:r>
    </w:p>
    <w:p w14:paraId="3F73BC71">
      <w:pPr>
        <w:pStyle w:val="17"/>
        <w:spacing w:line="360" w:lineRule="auto"/>
        <w:ind w:left="0" w:leftChars="0" w:firstLine="480" w:firstLineChars="200"/>
        <w:rPr>
          <w:rFonts w:hint="eastAsia" w:ascii="宋体" w:hAnsi="宋体" w:cs="宋体"/>
          <w:sz w:val="24"/>
        </w:rPr>
      </w:pPr>
      <w:r>
        <w:rPr>
          <w:rFonts w:hint="eastAsia" w:ascii="宋体" w:hAnsi="宋体" w:cs="宋体"/>
          <w:sz w:val="24"/>
        </w:rPr>
        <w:t>乙方在服务过程中提供的货物与合同约定不符，应当及时修正，直到符合合同约定为止。由于乙方原因造成项目工作任务延误，每延误一周，乙方应向甲方支付合同额的0.5 %的违约金，违约金总额不超过合同总额的</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同时</w:t>
      </w:r>
      <w:r>
        <w:rPr>
          <w:rFonts w:hint="eastAsia" w:ascii="宋体" w:hAnsi="宋体" w:cs="宋体"/>
          <w:sz w:val="24"/>
        </w:rPr>
        <w:t>甲方有权自动解除合同</w:t>
      </w:r>
      <w:r>
        <w:rPr>
          <w:rFonts w:hint="eastAsia" w:ascii="宋体" w:hAnsi="宋体" w:cs="宋体"/>
          <w:sz w:val="24"/>
          <w:lang w:eastAsia="zh-CN"/>
        </w:rPr>
        <w:t>，</w:t>
      </w:r>
      <w:r>
        <w:rPr>
          <w:rFonts w:hint="eastAsia" w:ascii="宋体" w:hAnsi="宋体" w:cs="宋体"/>
          <w:sz w:val="24"/>
          <w:lang w:val="en-US" w:eastAsia="zh-CN"/>
        </w:rPr>
        <w:t>乙方应退还已收取的款项</w:t>
      </w:r>
      <w:r>
        <w:rPr>
          <w:rFonts w:hint="eastAsia" w:ascii="宋体" w:hAnsi="宋体" w:cs="宋体"/>
          <w:sz w:val="24"/>
        </w:rPr>
        <w:t>。</w:t>
      </w:r>
    </w:p>
    <w:p w14:paraId="218897F4">
      <w:pPr>
        <w:pStyle w:val="5"/>
        <w:numPr>
          <w:ilvl w:val="0"/>
          <w:numId w:val="0"/>
        </w:numPr>
        <w:ind w:firstLine="472" w:firstLineChars="196"/>
        <w:rPr>
          <w:rFonts w:hint="eastAsia" w:ascii="宋体" w:hAnsi="宋体" w:cs="宋体"/>
          <w:sz w:val="24"/>
          <w:szCs w:val="24"/>
        </w:rPr>
      </w:pPr>
      <w:bookmarkStart w:id="125" w:name="_Toc271703283"/>
      <w:bookmarkStart w:id="126" w:name="_Toc1709"/>
      <w:r>
        <w:rPr>
          <w:rFonts w:hint="eastAsia" w:ascii="宋体" w:hAnsi="宋体" w:cs="宋体"/>
          <w:sz w:val="24"/>
          <w:szCs w:val="24"/>
        </w:rPr>
        <w:t>八、不可抗力</w:t>
      </w:r>
      <w:bookmarkEnd w:id="125"/>
      <w:bookmarkEnd w:id="126"/>
    </w:p>
    <w:p w14:paraId="329EF55F">
      <w:pPr>
        <w:pStyle w:val="17"/>
        <w:spacing w:line="360" w:lineRule="auto"/>
        <w:ind w:left="0" w:leftChars="0" w:firstLine="480" w:firstLineChars="200"/>
        <w:rPr>
          <w:rFonts w:hint="eastAsia" w:ascii="宋体" w:hAnsi="宋体" w:cs="宋体"/>
          <w:sz w:val="24"/>
        </w:rPr>
      </w:pPr>
      <w:r>
        <w:rPr>
          <w:rFonts w:hint="eastAsia" w:ascii="宋体" w:hAnsi="宋体" w:cs="宋体"/>
          <w:sz w:val="24"/>
        </w:rPr>
        <w:t>（一）不可抗力是指不能预见、不能避免并不能克服的客观情况。</w:t>
      </w:r>
    </w:p>
    <w:p w14:paraId="29639869">
      <w:pPr>
        <w:pStyle w:val="17"/>
        <w:spacing w:line="360" w:lineRule="auto"/>
        <w:ind w:left="0" w:leftChars="0" w:firstLine="480" w:firstLineChars="200"/>
        <w:rPr>
          <w:rFonts w:hint="eastAsia" w:ascii="宋体" w:hAnsi="宋体" w:cs="宋体"/>
          <w:sz w:val="24"/>
        </w:rPr>
      </w:pPr>
      <w:r>
        <w:rPr>
          <w:rFonts w:hint="eastAsia" w:ascii="宋体" w:hAnsi="宋体" w:cs="宋体"/>
          <w:sz w:val="24"/>
        </w:rPr>
        <w:t>（二）因不可抗力不能履行合同的，根据不可抗力的影响，部分或者全部免除责任，但双方另有约定的除外。当事人迟延履行后发生不可抗力的，不能免除责任。</w:t>
      </w:r>
    </w:p>
    <w:p w14:paraId="70F3E5B4">
      <w:pPr>
        <w:pStyle w:val="17"/>
        <w:spacing w:line="360" w:lineRule="auto"/>
        <w:ind w:left="0" w:leftChars="0" w:firstLine="480" w:firstLineChars="200"/>
        <w:rPr>
          <w:rFonts w:hint="eastAsia" w:ascii="宋体" w:hAnsi="宋体" w:cs="宋体"/>
          <w:sz w:val="24"/>
        </w:rPr>
      </w:pPr>
      <w:r>
        <w:rPr>
          <w:rFonts w:hint="eastAsia" w:ascii="宋体" w:hAnsi="宋体" w:cs="宋体"/>
          <w:sz w:val="24"/>
        </w:rPr>
        <w:t>（三）当事人一方因不可抗力不能履行合同的，应当及时通知对方，双方协商解决办法，以减轻可能给对方造成的损失，发生不可抗力的一方应当在15日内提供有效证明。</w:t>
      </w:r>
    </w:p>
    <w:p w14:paraId="177286B2">
      <w:pPr>
        <w:pStyle w:val="5"/>
        <w:numPr>
          <w:ilvl w:val="0"/>
          <w:numId w:val="0"/>
        </w:numPr>
        <w:ind w:firstLine="472" w:firstLineChars="196"/>
        <w:rPr>
          <w:rFonts w:hint="eastAsia" w:ascii="宋体" w:hAnsi="宋体" w:cs="宋体"/>
          <w:sz w:val="24"/>
          <w:szCs w:val="24"/>
        </w:rPr>
      </w:pPr>
      <w:bookmarkStart w:id="127" w:name="_Toc271703284"/>
      <w:bookmarkStart w:id="128" w:name="_Toc489"/>
      <w:r>
        <w:rPr>
          <w:rFonts w:hint="eastAsia" w:ascii="宋体" w:hAnsi="宋体" w:cs="宋体"/>
          <w:sz w:val="24"/>
          <w:szCs w:val="24"/>
        </w:rPr>
        <w:t>九、解决争议的方法</w:t>
      </w:r>
      <w:bookmarkEnd w:id="127"/>
      <w:bookmarkEnd w:id="128"/>
    </w:p>
    <w:p w14:paraId="7BF65FE7">
      <w:pPr>
        <w:spacing w:line="360" w:lineRule="auto"/>
        <w:ind w:firstLine="480" w:firstLineChars="200"/>
        <w:rPr>
          <w:rFonts w:hint="eastAsia" w:ascii="宋体" w:hAnsi="宋体" w:cs="宋体"/>
          <w:b/>
          <w:sz w:val="24"/>
        </w:rPr>
      </w:pPr>
      <w:r>
        <w:rPr>
          <w:rFonts w:hint="eastAsia" w:ascii="宋体" w:hAnsi="宋体" w:cs="宋体"/>
          <w:sz w:val="24"/>
        </w:rPr>
        <w:t>执行本合同发生争议，由当事人双方协商解决。</w:t>
      </w:r>
      <w:r>
        <w:rPr>
          <w:rFonts w:hint="eastAsia" w:ascii="宋体" w:hAnsi="宋体" w:cs="宋体"/>
          <w:b/>
          <w:sz w:val="24"/>
        </w:rPr>
        <w:t>协商、调解不成的，确定按以下第</w:t>
      </w:r>
      <w:r>
        <w:rPr>
          <w:rFonts w:hint="eastAsia" w:ascii="宋体" w:hAnsi="宋体" w:cs="宋体"/>
          <w:b/>
          <w:sz w:val="24"/>
          <w:u w:val="single"/>
        </w:rPr>
        <w:t xml:space="preserve"> 2 </w:t>
      </w:r>
      <w:r>
        <w:rPr>
          <w:rFonts w:hint="eastAsia" w:ascii="宋体" w:hAnsi="宋体" w:cs="宋体"/>
          <w:b/>
          <w:sz w:val="24"/>
        </w:rPr>
        <w:t>种方式处理：</w:t>
      </w:r>
    </w:p>
    <w:p w14:paraId="5DF28AE5">
      <w:pPr>
        <w:spacing w:line="360" w:lineRule="auto"/>
        <w:ind w:firstLine="480" w:firstLineChars="200"/>
        <w:rPr>
          <w:rFonts w:hint="eastAsia" w:ascii="宋体" w:hAnsi="宋体" w:cs="宋体"/>
          <w:sz w:val="24"/>
        </w:rPr>
      </w:pPr>
      <w:r>
        <w:rPr>
          <w:rFonts w:hint="eastAsia" w:ascii="宋体" w:hAnsi="宋体" w:cs="宋体"/>
          <w:sz w:val="24"/>
        </w:rPr>
        <w:t>1、提交</w:t>
      </w:r>
      <w:r>
        <w:rPr>
          <w:rFonts w:hint="eastAsia" w:ascii="宋体" w:hAnsi="宋体" w:cs="宋体"/>
          <w:sz w:val="24"/>
          <w:lang w:val="en-US" w:eastAsia="zh-CN"/>
        </w:rPr>
        <w:t>甲</w:t>
      </w:r>
      <w:r>
        <w:rPr>
          <w:rFonts w:hint="eastAsia" w:ascii="宋体" w:hAnsi="宋体" w:cs="宋体"/>
          <w:sz w:val="24"/>
        </w:rPr>
        <w:t>方仲裁委员会仲裁；</w:t>
      </w:r>
    </w:p>
    <w:p w14:paraId="5956007C">
      <w:pPr>
        <w:spacing w:line="360" w:lineRule="auto"/>
        <w:ind w:firstLine="480" w:firstLineChars="200"/>
        <w:rPr>
          <w:rFonts w:hint="eastAsia" w:ascii="宋体" w:hAnsi="宋体" w:cs="宋体"/>
          <w:sz w:val="24"/>
        </w:rPr>
      </w:pPr>
      <w:r>
        <w:rPr>
          <w:rFonts w:hint="eastAsia" w:ascii="宋体" w:hAnsi="宋体" w:cs="宋体"/>
          <w:sz w:val="24"/>
        </w:rPr>
        <w:t>2、依法向</w:t>
      </w:r>
      <w:r>
        <w:rPr>
          <w:rFonts w:hint="eastAsia" w:ascii="宋体" w:hAnsi="宋体" w:cs="宋体"/>
          <w:sz w:val="24"/>
          <w:lang w:val="en-US" w:eastAsia="zh-CN"/>
        </w:rPr>
        <w:t>甲</w:t>
      </w:r>
      <w:r>
        <w:rPr>
          <w:rFonts w:hint="eastAsia" w:ascii="宋体" w:hAnsi="宋体" w:cs="宋体"/>
          <w:sz w:val="24"/>
        </w:rPr>
        <w:t>方住所地有管辖权的人民法院提起诉讼。</w:t>
      </w:r>
    </w:p>
    <w:p w14:paraId="5003F430">
      <w:pPr>
        <w:pStyle w:val="17"/>
        <w:spacing w:line="360" w:lineRule="auto"/>
        <w:ind w:left="0" w:leftChars="0" w:firstLine="480" w:firstLineChars="200"/>
        <w:rPr>
          <w:rFonts w:hint="eastAsia" w:ascii="宋体" w:hAnsi="宋体" w:cs="宋体"/>
          <w:sz w:val="24"/>
        </w:rPr>
      </w:pPr>
      <w:r>
        <w:rPr>
          <w:rFonts w:hint="eastAsia" w:ascii="宋体" w:hAnsi="宋体" w:cs="宋体"/>
          <w:sz w:val="24"/>
        </w:rPr>
        <w:t>-争议处理期间，除在审理的部分以外，双方应继续执行合同的其他部分。</w:t>
      </w:r>
    </w:p>
    <w:p w14:paraId="15DEF733">
      <w:pPr>
        <w:pStyle w:val="5"/>
        <w:numPr>
          <w:ilvl w:val="0"/>
          <w:numId w:val="0"/>
        </w:numPr>
        <w:ind w:firstLine="472" w:firstLineChars="196"/>
        <w:rPr>
          <w:rFonts w:hint="eastAsia" w:ascii="宋体" w:hAnsi="宋体" w:cs="宋体"/>
          <w:sz w:val="24"/>
          <w:szCs w:val="24"/>
        </w:rPr>
      </w:pPr>
      <w:bookmarkStart w:id="129" w:name="_Toc21992"/>
      <w:bookmarkStart w:id="130" w:name="_Toc271703285"/>
      <w:r>
        <w:rPr>
          <w:rFonts w:hint="eastAsia" w:ascii="宋体" w:hAnsi="宋体" w:cs="宋体"/>
          <w:sz w:val="24"/>
          <w:szCs w:val="24"/>
        </w:rPr>
        <w:t>十、其他条款</w:t>
      </w:r>
      <w:bookmarkEnd w:id="129"/>
      <w:bookmarkEnd w:id="130"/>
    </w:p>
    <w:p w14:paraId="724D82F1">
      <w:pPr>
        <w:pStyle w:val="17"/>
        <w:spacing w:line="360" w:lineRule="auto"/>
        <w:ind w:left="0" w:leftChars="0" w:firstLine="480" w:firstLineChars="200"/>
        <w:rPr>
          <w:rFonts w:hint="eastAsia" w:ascii="宋体" w:hAnsi="宋体" w:cs="宋体"/>
          <w:sz w:val="24"/>
        </w:rPr>
      </w:pPr>
      <w:r>
        <w:rPr>
          <w:rFonts w:hint="eastAsia" w:ascii="宋体" w:hAnsi="宋体" w:cs="宋体"/>
          <w:sz w:val="24"/>
        </w:rPr>
        <w:t>（一）甲乙双方须提供的文件是本合同附件，所有附件是本合同必不可缺的部分，并与本合同具有同等法律效力。</w:t>
      </w:r>
    </w:p>
    <w:p w14:paraId="76DB23AB">
      <w:pPr>
        <w:pStyle w:val="17"/>
        <w:spacing w:line="360" w:lineRule="auto"/>
        <w:ind w:left="0" w:leftChars="0" w:firstLine="480" w:firstLineChars="200"/>
        <w:rPr>
          <w:rFonts w:hint="eastAsia" w:ascii="宋体" w:hAnsi="宋体" w:cs="宋体"/>
          <w:sz w:val="24"/>
        </w:rPr>
      </w:pPr>
      <w:r>
        <w:rPr>
          <w:rFonts w:hint="eastAsia" w:ascii="宋体" w:hAnsi="宋体" w:cs="宋体"/>
          <w:sz w:val="24"/>
        </w:rPr>
        <w:t>（二）与本合同有关的所有文件均用中文书写。合同未尽事宜，须经双方共同协商，做出书面补充合同，补充合同与本合同具有同等法律效力。</w:t>
      </w:r>
    </w:p>
    <w:p w14:paraId="74EA5EFF">
      <w:pPr>
        <w:pStyle w:val="17"/>
        <w:spacing w:line="360" w:lineRule="auto"/>
        <w:ind w:left="0" w:leftChars="0" w:firstLine="480" w:firstLineChars="200"/>
        <w:rPr>
          <w:rFonts w:hint="eastAsia" w:ascii="宋体" w:hAnsi="宋体" w:cs="宋体"/>
          <w:sz w:val="24"/>
        </w:rPr>
      </w:pPr>
      <w:r>
        <w:rPr>
          <w:rFonts w:hint="eastAsia" w:ascii="宋体" w:hAnsi="宋体" w:cs="宋体"/>
          <w:sz w:val="24"/>
        </w:rPr>
        <w:t>（三）乙方应当遵守中华人民共和国税收征收管理法、发票管理办法各自按章缴税。违反上述两项法规的，其责任双方自行负责，彼此不承担连带责任。</w:t>
      </w:r>
    </w:p>
    <w:p w14:paraId="5B8D2A67">
      <w:pPr>
        <w:pStyle w:val="17"/>
        <w:spacing w:line="360" w:lineRule="auto"/>
        <w:ind w:left="0" w:leftChars="0" w:firstLine="480" w:firstLineChars="200"/>
        <w:rPr>
          <w:rFonts w:hint="eastAsia" w:ascii="宋体" w:hAnsi="宋体" w:cs="宋体"/>
          <w:sz w:val="24"/>
        </w:rPr>
      </w:pPr>
      <w:r>
        <w:rPr>
          <w:rFonts w:hint="eastAsia" w:ascii="宋体" w:hAnsi="宋体" w:cs="宋体"/>
          <w:sz w:val="24"/>
        </w:rPr>
        <w:t>（四）本合同壹式</w:t>
      </w:r>
      <w:r>
        <w:rPr>
          <w:rFonts w:hint="eastAsia" w:ascii="宋体" w:hAnsi="宋体" w:cs="宋体"/>
          <w:sz w:val="24"/>
          <w:u w:val="single"/>
        </w:rPr>
        <w:t>叁</w:t>
      </w:r>
      <w:r>
        <w:rPr>
          <w:rFonts w:hint="eastAsia" w:ascii="宋体" w:hAnsi="宋体" w:cs="宋体"/>
          <w:sz w:val="24"/>
        </w:rPr>
        <w:t>份，签章原件，具有同等效力，甲方持</w:t>
      </w:r>
      <w:r>
        <w:rPr>
          <w:rFonts w:hint="eastAsia" w:ascii="宋体" w:hAnsi="宋体" w:cs="宋体"/>
          <w:sz w:val="24"/>
          <w:u w:val="single"/>
        </w:rPr>
        <w:t>贰</w:t>
      </w:r>
      <w:r>
        <w:rPr>
          <w:rFonts w:hint="eastAsia" w:ascii="宋体" w:hAnsi="宋体" w:cs="宋体"/>
          <w:sz w:val="24"/>
        </w:rPr>
        <w:t>份，乙方持</w:t>
      </w:r>
      <w:r>
        <w:rPr>
          <w:rFonts w:hint="eastAsia" w:ascii="宋体" w:hAnsi="宋体" w:cs="宋体"/>
          <w:sz w:val="24"/>
          <w:u w:val="single"/>
        </w:rPr>
        <w:t>壹</w:t>
      </w:r>
      <w:r>
        <w:rPr>
          <w:rFonts w:hint="eastAsia" w:ascii="宋体" w:hAnsi="宋体" w:cs="宋体"/>
          <w:sz w:val="24"/>
        </w:rPr>
        <w:t>份。</w:t>
      </w:r>
    </w:p>
    <w:p w14:paraId="7AE0E0E8">
      <w:pPr>
        <w:pStyle w:val="17"/>
        <w:spacing w:line="360" w:lineRule="auto"/>
        <w:ind w:left="0" w:leftChars="0" w:firstLine="480" w:firstLineChars="200"/>
        <w:rPr>
          <w:rFonts w:hint="eastAsia" w:ascii="宋体" w:hAnsi="宋体" w:cs="宋体"/>
          <w:sz w:val="24"/>
        </w:rPr>
      </w:pPr>
      <w:r>
        <w:rPr>
          <w:rFonts w:hint="eastAsia" w:ascii="宋体" w:hAnsi="宋体" w:cs="宋体"/>
          <w:sz w:val="24"/>
        </w:rPr>
        <w:t>（五）合同价款仅包括分析系统软件产品以及云服务费用。不含第三方软硬件如数据库、中间件等费用。</w:t>
      </w:r>
    </w:p>
    <w:p w14:paraId="69891254">
      <w:pPr>
        <w:pStyle w:val="17"/>
        <w:spacing w:line="360" w:lineRule="auto"/>
        <w:ind w:left="0" w:leftChars="0" w:firstLine="480" w:firstLineChars="200"/>
        <w:rPr>
          <w:rFonts w:hint="eastAsia" w:ascii="宋体" w:hAnsi="宋体" w:cs="宋体"/>
          <w:sz w:val="24"/>
        </w:rPr>
      </w:pPr>
      <w:r>
        <w:rPr>
          <w:rFonts w:hint="eastAsia" w:ascii="宋体" w:hAnsi="宋体" w:cs="宋体"/>
          <w:sz w:val="24"/>
        </w:rPr>
        <w:t>（六）产品相关技术支持方式包含远程调试，电子邮件、短信、微信及电话沟通。</w:t>
      </w:r>
    </w:p>
    <w:p w14:paraId="1D689602">
      <w:pPr>
        <w:pStyle w:val="17"/>
        <w:spacing w:line="360" w:lineRule="auto"/>
        <w:ind w:left="0" w:leftChars="0" w:firstLine="480" w:firstLineChars="200"/>
        <w:rPr>
          <w:rFonts w:hint="eastAsia" w:ascii="宋体" w:hAnsi="宋体" w:cs="宋体"/>
          <w:sz w:val="24"/>
        </w:rPr>
      </w:pPr>
      <w:r>
        <w:rPr>
          <w:rFonts w:hint="eastAsia" w:ascii="宋体" w:hAnsi="宋体" w:cs="宋体"/>
          <w:sz w:val="24"/>
        </w:rPr>
        <w:t>（七）本合同附件，包括：</w:t>
      </w:r>
    </w:p>
    <w:bookmarkEnd w:id="110"/>
    <w:bookmarkEnd w:id="111"/>
    <w:p w14:paraId="78233A7E">
      <w:pPr>
        <w:spacing w:line="360" w:lineRule="auto"/>
        <w:ind w:firstLine="480" w:firstLineChars="200"/>
        <w:rPr>
          <w:rFonts w:hint="eastAsia" w:ascii="宋体" w:hAnsi="宋体" w:cs="宋体"/>
          <w:sz w:val="24"/>
        </w:rPr>
      </w:pPr>
      <w:r>
        <w:rPr>
          <w:rFonts w:hint="eastAsia" w:ascii="宋体" w:hAnsi="宋体" w:cs="宋体"/>
          <w:sz w:val="24"/>
        </w:rPr>
        <w:t>附件1：系统功能列表</w:t>
      </w:r>
    </w:p>
    <w:p w14:paraId="6C82FA2A">
      <w:pPr>
        <w:spacing w:line="360" w:lineRule="auto"/>
        <w:ind w:firstLine="480" w:firstLineChars="200"/>
        <w:rPr>
          <w:rFonts w:hint="eastAsia" w:ascii="宋体" w:hAnsi="宋体" w:cs="宋体"/>
          <w:sz w:val="24"/>
        </w:rPr>
      </w:pPr>
      <w:r>
        <w:rPr>
          <w:rFonts w:hint="eastAsia" w:ascii="宋体" w:hAnsi="宋体" w:cs="宋体"/>
          <w:sz w:val="24"/>
        </w:rPr>
        <w:t>附件2：信息安全保密协议</w:t>
      </w:r>
    </w:p>
    <w:p w14:paraId="0B51A483">
      <w:pPr>
        <w:pStyle w:val="2"/>
        <w:rPr>
          <w:rFonts w:hint="eastAsia"/>
        </w:rPr>
      </w:pPr>
    </w:p>
    <w:p w14:paraId="459411FF">
      <w:pPr>
        <w:spacing w:line="360" w:lineRule="auto"/>
        <w:ind w:firstLine="560" w:firstLineChars="200"/>
        <w:jc w:val="right"/>
        <w:rPr>
          <w:rFonts w:hint="eastAsia" w:ascii="宋体" w:hAnsi="宋体" w:cs="宋体"/>
          <w:sz w:val="24"/>
        </w:rPr>
      </w:pPr>
      <w:r>
        <w:rPr>
          <w:rFonts w:hint="eastAsia" w:ascii="宋体" w:hAnsi="宋体" w:cs="宋体"/>
          <w:sz w:val="28"/>
          <w:szCs w:val="28"/>
        </w:rPr>
        <w:br w:type="page"/>
      </w:r>
      <w:r>
        <w:rPr>
          <w:rFonts w:hint="eastAsia" w:ascii="宋体" w:hAnsi="宋体" w:cs="宋体"/>
          <w:sz w:val="24"/>
        </w:rPr>
        <w:t>（此页无正文，为盖章页）</w:t>
      </w:r>
    </w:p>
    <w:p w14:paraId="42A0B3F2">
      <w:pPr>
        <w:spacing w:line="360" w:lineRule="auto"/>
        <w:ind w:firstLine="480" w:firstLineChars="200"/>
        <w:rPr>
          <w:rFonts w:hint="eastAsia" w:ascii="宋体" w:hAnsi="宋体" w:cs="宋体"/>
          <w:sz w:val="24"/>
        </w:rPr>
      </w:pPr>
    </w:p>
    <w:p w14:paraId="4625308F">
      <w:pPr>
        <w:spacing w:line="360" w:lineRule="auto"/>
        <w:ind w:firstLine="480" w:firstLineChars="200"/>
        <w:rPr>
          <w:rFonts w:hint="eastAsia" w:ascii="宋体" w:hAnsi="宋体" w:cs="宋体"/>
          <w:sz w:val="24"/>
        </w:rPr>
      </w:pPr>
    </w:p>
    <w:p w14:paraId="6BEC6AD7">
      <w:pPr>
        <w:spacing w:line="360" w:lineRule="auto"/>
        <w:ind w:firstLine="480" w:firstLineChars="200"/>
        <w:rPr>
          <w:rFonts w:hint="eastAsia" w:ascii="宋体" w:hAnsi="宋体" w:cs="宋体"/>
          <w:sz w:val="24"/>
          <w:u w:val="single"/>
        </w:rPr>
      </w:pPr>
      <w:r>
        <w:rPr>
          <w:rFonts w:hint="eastAsia" w:ascii="宋体" w:hAnsi="宋体" w:cs="宋体"/>
          <w:sz w:val="24"/>
        </w:rPr>
        <w:t>甲方：</w:t>
      </w:r>
    </w:p>
    <w:p w14:paraId="7FA7E419">
      <w:pPr>
        <w:spacing w:line="360" w:lineRule="auto"/>
        <w:ind w:firstLine="480" w:firstLineChars="200"/>
        <w:rPr>
          <w:rFonts w:hint="eastAsia" w:ascii="宋体" w:hAnsi="宋体" w:cs="宋体"/>
          <w:sz w:val="24"/>
        </w:rPr>
      </w:pPr>
      <w:r>
        <w:rPr>
          <w:rFonts w:hint="eastAsia" w:ascii="宋体" w:hAnsi="宋体" w:cs="宋体"/>
          <w:sz w:val="24"/>
        </w:rPr>
        <w:t xml:space="preserve">授权代表人签章：            </w:t>
      </w:r>
    </w:p>
    <w:p w14:paraId="187B5354">
      <w:pPr>
        <w:spacing w:line="360" w:lineRule="auto"/>
        <w:ind w:firstLine="480" w:firstLineChars="200"/>
        <w:rPr>
          <w:rFonts w:hint="eastAsia" w:ascii="宋体" w:hAnsi="宋体" w:cs="宋体"/>
          <w:sz w:val="24"/>
        </w:rPr>
      </w:pPr>
      <w:r>
        <w:rPr>
          <w:rFonts w:hint="eastAsia" w:ascii="宋体" w:hAnsi="宋体" w:cs="宋体"/>
          <w:sz w:val="24"/>
        </w:rPr>
        <w:t>日期：     年   月   日</w:t>
      </w:r>
    </w:p>
    <w:p w14:paraId="230930AA">
      <w:pPr>
        <w:spacing w:line="360" w:lineRule="auto"/>
        <w:rPr>
          <w:rFonts w:hint="eastAsia" w:ascii="宋体" w:hAnsi="宋体" w:cs="宋体"/>
          <w:sz w:val="24"/>
        </w:rPr>
      </w:pPr>
    </w:p>
    <w:p w14:paraId="6DBD2E54">
      <w:pPr>
        <w:spacing w:line="360" w:lineRule="auto"/>
        <w:rPr>
          <w:rFonts w:hint="eastAsia" w:ascii="宋体" w:hAnsi="宋体" w:cs="宋体"/>
          <w:sz w:val="24"/>
        </w:rPr>
      </w:pPr>
    </w:p>
    <w:p w14:paraId="30DAA288">
      <w:pPr>
        <w:spacing w:line="360" w:lineRule="auto"/>
        <w:rPr>
          <w:rFonts w:hint="eastAsia" w:ascii="宋体" w:hAnsi="宋体" w:cs="宋体"/>
          <w:sz w:val="24"/>
        </w:rPr>
      </w:pPr>
    </w:p>
    <w:p w14:paraId="7A52A76F">
      <w:pPr>
        <w:spacing w:line="360" w:lineRule="auto"/>
        <w:rPr>
          <w:rFonts w:hint="eastAsia" w:ascii="宋体" w:hAnsi="宋体" w:cs="宋体"/>
          <w:sz w:val="24"/>
        </w:rPr>
      </w:pPr>
    </w:p>
    <w:p w14:paraId="2869CC22">
      <w:pPr>
        <w:spacing w:line="360" w:lineRule="auto"/>
        <w:ind w:firstLine="480" w:firstLineChars="200"/>
        <w:rPr>
          <w:rFonts w:hint="eastAsia" w:ascii="宋体" w:hAnsi="宋体" w:cs="宋体"/>
          <w:sz w:val="24"/>
          <w:u w:val="single"/>
        </w:rPr>
      </w:pPr>
      <w:r>
        <w:rPr>
          <w:rFonts w:hint="eastAsia" w:ascii="宋体" w:hAnsi="宋体" w:cs="宋体"/>
          <w:sz w:val="24"/>
        </w:rPr>
        <w:t>乙方：</w:t>
      </w:r>
    </w:p>
    <w:p w14:paraId="062D4773">
      <w:pPr>
        <w:spacing w:line="360" w:lineRule="auto"/>
        <w:ind w:firstLine="480" w:firstLineChars="200"/>
        <w:rPr>
          <w:rFonts w:hint="eastAsia" w:ascii="宋体" w:hAnsi="宋体" w:cs="宋体"/>
          <w:sz w:val="24"/>
        </w:rPr>
      </w:pPr>
      <w:r>
        <w:rPr>
          <w:rFonts w:hint="eastAsia" w:ascii="宋体" w:hAnsi="宋体" w:cs="宋体"/>
          <w:sz w:val="24"/>
        </w:rPr>
        <w:t>授权代表人签章：</w:t>
      </w:r>
    </w:p>
    <w:p w14:paraId="41F4C36E">
      <w:pPr>
        <w:spacing w:line="360" w:lineRule="auto"/>
        <w:ind w:firstLine="480" w:firstLineChars="200"/>
        <w:rPr>
          <w:rFonts w:hint="eastAsia" w:ascii="宋体" w:hAnsi="宋体" w:cs="宋体"/>
          <w:sz w:val="24"/>
        </w:rPr>
      </w:pPr>
      <w:r>
        <w:rPr>
          <w:rFonts w:hint="eastAsia" w:ascii="宋体" w:hAnsi="宋体" w:cs="宋体"/>
          <w:sz w:val="24"/>
        </w:rPr>
        <w:t>日期：     年   月   日</w:t>
      </w:r>
    </w:p>
    <w:p w14:paraId="5CA46019">
      <w:pPr>
        <w:spacing w:line="360" w:lineRule="auto"/>
        <w:rPr>
          <w:rFonts w:hint="eastAsia" w:ascii="宋体" w:hAnsi="宋体" w:cs="宋体"/>
          <w:sz w:val="24"/>
        </w:rPr>
      </w:pPr>
    </w:p>
    <w:p w14:paraId="3C6E90E7">
      <w:pPr>
        <w:spacing w:line="360" w:lineRule="auto"/>
        <w:rPr>
          <w:rFonts w:hint="eastAsia" w:ascii="宋体" w:hAnsi="宋体" w:cs="宋体"/>
          <w:sz w:val="24"/>
        </w:rPr>
      </w:pPr>
    </w:p>
    <w:p w14:paraId="3620583E">
      <w:pPr>
        <w:spacing w:line="360" w:lineRule="auto"/>
        <w:ind w:firstLine="562" w:firstLineChars="200"/>
        <w:outlineLvl w:val="2"/>
        <w:rPr>
          <w:rFonts w:hint="eastAsia" w:ascii="宋体" w:hAnsi="宋体" w:cs="宋体"/>
          <w:b/>
          <w:sz w:val="28"/>
          <w:szCs w:val="28"/>
        </w:rPr>
        <w:sectPr>
          <w:pgSz w:w="11906" w:h="16838"/>
          <w:pgMar w:top="1440" w:right="1800" w:bottom="1440" w:left="1800" w:header="851" w:footer="992" w:gutter="0"/>
          <w:pgNumType w:fmt="decimal"/>
          <w:cols w:space="720" w:num="1"/>
          <w:docGrid w:type="lines" w:linePitch="312" w:charSpace="0"/>
        </w:sectPr>
      </w:pPr>
    </w:p>
    <w:p w14:paraId="5C6936A3">
      <w:pPr>
        <w:spacing w:line="360" w:lineRule="auto"/>
        <w:ind w:firstLine="562" w:firstLineChars="200"/>
        <w:outlineLvl w:val="2"/>
        <w:rPr>
          <w:rFonts w:hint="eastAsia" w:ascii="宋体" w:hAnsi="宋体" w:cs="宋体"/>
          <w:b/>
          <w:sz w:val="28"/>
          <w:szCs w:val="28"/>
        </w:rPr>
      </w:pPr>
      <w:bookmarkStart w:id="131" w:name="_Toc14664"/>
      <w:r>
        <w:rPr>
          <w:rFonts w:hint="eastAsia" w:ascii="宋体" w:hAnsi="宋体" w:cs="宋体"/>
          <w:b/>
          <w:sz w:val="28"/>
          <w:szCs w:val="28"/>
        </w:rPr>
        <w:t>附件1 系统功能列表</w:t>
      </w:r>
      <w:bookmarkEnd w:id="131"/>
    </w:p>
    <w:tbl>
      <w:tblPr>
        <w:tblStyle w:val="29"/>
        <w:tblW w:w="13955" w:type="dxa"/>
        <w:tblInd w:w="93" w:type="dxa"/>
        <w:tblLayout w:type="fixed"/>
        <w:tblCellMar>
          <w:top w:w="0" w:type="dxa"/>
          <w:left w:w="108" w:type="dxa"/>
          <w:bottom w:w="0" w:type="dxa"/>
          <w:right w:w="108" w:type="dxa"/>
        </w:tblCellMar>
      </w:tblPr>
      <w:tblGrid>
        <w:gridCol w:w="945"/>
        <w:gridCol w:w="2582"/>
        <w:gridCol w:w="2783"/>
        <w:gridCol w:w="7645"/>
      </w:tblGrid>
      <w:tr w14:paraId="50C66E94">
        <w:tblPrEx>
          <w:tblCellMar>
            <w:top w:w="0" w:type="dxa"/>
            <w:left w:w="108" w:type="dxa"/>
            <w:bottom w:w="0" w:type="dxa"/>
            <w:right w:w="108" w:type="dxa"/>
          </w:tblCellMar>
        </w:tblPrEx>
        <w:trPr>
          <w:trHeight w:val="270" w:hRule="atLeast"/>
          <w:tblHeader/>
        </w:trPr>
        <w:tc>
          <w:tcPr>
            <w:tcW w:w="945" w:type="dxa"/>
            <w:tcBorders>
              <w:top w:val="single" w:color="000000" w:sz="4" w:space="0"/>
              <w:left w:val="single" w:color="000000" w:sz="4" w:space="0"/>
              <w:bottom w:val="single" w:color="000000" w:sz="4" w:space="0"/>
              <w:right w:val="single" w:color="000000" w:sz="4" w:space="0"/>
            </w:tcBorders>
            <w:noWrap/>
            <w:vAlign w:val="center"/>
          </w:tcPr>
          <w:p w14:paraId="0FB184B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主菜单</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02FB1C2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一级菜单</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3AE7AFC2">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功能菜单</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1208E4A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功能描述</w:t>
            </w:r>
          </w:p>
        </w:tc>
      </w:tr>
      <w:tr w14:paraId="17876282">
        <w:tblPrEx>
          <w:tblCellMar>
            <w:top w:w="0" w:type="dxa"/>
            <w:left w:w="108" w:type="dxa"/>
            <w:bottom w:w="0" w:type="dxa"/>
            <w:right w:w="108" w:type="dxa"/>
          </w:tblCellMar>
        </w:tblPrEx>
        <w:trPr>
          <w:trHeight w:val="270"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71B679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首页</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0DA81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首页</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21C7F71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图形化分析展示</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42F7917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以图表方式展示本地区监测对象的统计分析信息，包括年龄分组情况、户数及人数、务工区域情况、健康状况、风险消除排名、省外务工情况、劳动能力情况、返贫致贫风险户风险消除情况、识别时人均收入情况。</w:t>
            </w:r>
          </w:p>
        </w:tc>
      </w:tr>
      <w:tr w14:paraId="413B1A3A">
        <w:tblPrEx>
          <w:tblCellMar>
            <w:top w:w="0" w:type="dxa"/>
            <w:left w:w="108" w:type="dxa"/>
            <w:bottom w:w="0" w:type="dxa"/>
            <w:right w:w="108" w:type="dxa"/>
          </w:tblCellMar>
        </w:tblPrEx>
        <w:trPr>
          <w:trHeight w:val="270" w:hRule="atLeast"/>
        </w:trPr>
        <w:tc>
          <w:tcPr>
            <w:tcW w:w="945" w:type="dxa"/>
            <w:vMerge w:val="restart"/>
            <w:tcBorders>
              <w:top w:val="single" w:color="000000" w:sz="4" w:space="0"/>
              <w:left w:val="single" w:color="000000" w:sz="4" w:space="0"/>
              <w:right w:val="single" w:color="000000" w:sz="4" w:space="0"/>
            </w:tcBorders>
            <w:noWrap/>
            <w:vAlign w:val="center"/>
          </w:tcPr>
          <w:p w14:paraId="666FCA97">
            <w:pPr>
              <w:jc w:val="center"/>
              <w:rPr>
                <w:rFonts w:ascii="宋体" w:hAnsi="宋体" w:cs="宋体"/>
                <w:color w:val="000000"/>
                <w:szCs w:val="21"/>
              </w:rPr>
            </w:pPr>
            <w:r>
              <w:rPr>
                <w:rFonts w:hint="eastAsia" w:ascii="宋体" w:hAnsi="宋体" w:cs="宋体"/>
                <w:color w:val="000000"/>
                <w:szCs w:val="21"/>
              </w:rPr>
              <w:t>数据质量评估</w:t>
            </w:r>
          </w:p>
        </w:tc>
        <w:tc>
          <w:tcPr>
            <w:tcW w:w="2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97756A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数据质量评估</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2D4D47C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县级数据质量开展情况统计</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2D40CD0">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统计全市各县每月的数据清洗工作的频率以及最新一次数据清洗的日期，便于把握县级是清洗的进度</w:t>
            </w:r>
          </w:p>
        </w:tc>
      </w:tr>
      <w:tr w14:paraId="53B19BEA">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64AAE49E">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EF897">
            <w:pPr>
              <w:jc w:val="center"/>
              <w:rPr>
                <w:rFonts w:hint="eastAsia" w:ascii="宋体" w:hAnsi="宋体" w:cs="宋体"/>
                <w:b/>
                <w:bCs/>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19049C8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县级数据质量结果情况分析</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0138D6D9">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（1）查询记录：根据行政区划、数据质量评估日期显示已操作的全部数据质量评估记录</w:t>
            </w:r>
          </w:p>
          <w:p w14:paraId="2AF04ACF">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（2）下载各县历史数据质量评估结果</w:t>
            </w:r>
          </w:p>
        </w:tc>
      </w:tr>
      <w:tr w14:paraId="310A9EEF">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6B193E4A">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E378A">
            <w:pPr>
              <w:jc w:val="center"/>
              <w:rPr>
                <w:rFonts w:hint="eastAsia" w:ascii="宋体" w:hAnsi="宋体" w:cs="宋体"/>
                <w:b/>
                <w:bCs/>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3958538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县级问题数据整改情况</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2380F8C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（1）查询记录：根据行政区划、月份查询当月历次问题数据情况</w:t>
            </w:r>
          </w:p>
          <w:p w14:paraId="538D9DB1">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（2）下载当月历次问题数据情况</w:t>
            </w:r>
          </w:p>
        </w:tc>
      </w:tr>
      <w:tr w14:paraId="2D551ECF">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69547F28">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0D547">
            <w:pPr>
              <w:jc w:val="center"/>
              <w:rPr>
                <w:rFonts w:hint="eastAsia" w:ascii="宋体" w:hAnsi="宋体" w:cs="宋体"/>
                <w:b/>
                <w:bCs/>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0"/>
            <w:vAlign w:val="center"/>
          </w:tcPr>
          <w:p w14:paraId="62972645">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市级数据质量评估</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1398B39E">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（1）设定数据质量评估考核时间点，分析全市数据质量情况</w:t>
            </w:r>
          </w:p>
          <w:p w14:paraId="6BB2ED54">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（2）下载全市分县数据质量评估统计大表以及问题数据明细</w:t>
            </w:r>
          </w:p>
        </w:tc>
      </w:tr>
      <w:tr w14:paraId="6603AB4F">
        <w:tblPrEx>
          <w:tblCellMar>
            <w:top w:w="0" w:type="dxa"/>
            <w:left w:w="108" w:type="dxa"/>
            <w:bottom w:w="0" w:type="dxa"/>
            <w:right w:w="108" w:type="dxa"/>
          </w:tblCellMar>
        </w:tblPrEx>
        <w:trPr>
          <w:trHeight w:val="27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14:paraId="5655F9D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w:t>
            </w:r>
          </w:p>
          <w:p w14:paraId="6C039BA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智能</w:t>
            </w:r>
          </w:p>
          <w:p w14:paraId="72B108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分析</w:t>
            </w:r>
          </w:p>
        </w:tc>
        <w:tc>
          <w:tcPr>
            <w:tcW w:w="2582" w:type="dxa"/>
            <w:vMerge w:val="restart"/>
            <w:tcBorders>
              <w:top w:val="single" w:color="000000" w:sz="4" w:space="0"/>
              <w:left w:val="single" w:color="000000" w:sz="4" w:space="0"/>
              <w:bottom w:val="single" w:color="000000" w:sz="4" w:space="0"/>
              <w:right w:val="single" w:color="000000" w:sz="4" w:space="0"/>
            </w:tcBorders>
            <w:noWrap/>
            <w:vAlign w:val="center"/>
          </w:tcPr>
          <w:p w14:paraId="08BDFE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查询</w:t>
            </w:r>
          </w:p>
        </w:tc>
        <w:tc>
          <w:tcPr>
            <w:tcW w:w="2783" w:type="dxa"/>
            <w:vMerge w:val="restart"/>
            <w:tcBorders>
              <w:top w:val="single" w:color="000000" w:sz="4" w:space="0"/>
              <w:left w:val="single" w:color="000000" w:sz="4" w:space="0"/>
              <w:bottom w:val="single" w:color="000000" w:sz="4" w:space="0"/>
              <w:right w:val="single" w:color="000000" w:sz="4" w:space="0"/>
            </w:tcBorders>
            <w:noWrap/>
            <w:vAlign w:val="center"/>
          </w:tcPr>
          <w:p w14:paraId="78EF3E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重点人群排查</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7378844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脱贫户内整户无劳力户查询</w:t>
            </w:r>
          </w:p>
        </w:tc>
      </w:tr>
      <w:tr w14:paraId="2D56D992">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5643993B">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399D221A">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2F0D44E7">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203A871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人均纯收入低于本地区监测范围</w:t>
            </w:r>
          </w:p>
        </w:tc>
      </w:tr>
      <w:tr w14:paraId="3BB892CD">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64B6C334">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551B6660">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3246A0D3">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2CD086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脱贫户工资性收入占年收入超过80%且务工时间低于6个月</w:t>
            </w:r>
          </w:p>
        </w:tc>
      </w:tr>
      <w:tr w14:paraId="45A72B2D">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2D3AC9C9">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60D60B52">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5B588C3F">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7283286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脱贫户家中唯一劳动力（有务工收入）健康状况为残疾或大病慢病患者</w:t>
            </w:r>
          </w:p>
        </w:tc>
      </w:tr>
      <w:tr w14:paraId="36C288F5">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5E669FBB">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7A1C4525">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3A2049A9">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2537624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脱贫户整户弱半劳动力（有务工收入）健康状况为残疾或大病慢病患者</w:t>
            </w:r>
          </w:p>
        </w:tc>
      </w:tr>
      <w:tr w14:paraId="4D58F660">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2C348C69">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133704A7">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3F54FBC1">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62F072E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脱贫户家中有重度持证残疾人</w:t>
            </w:r>
          </w:p>
        </w:tc>
      </w:tr>
      <w:tr w14:paraId="4E57E625">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0DA5B1D5">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756D1809">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5E4073E4">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5EBC65B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脱贫户整户为持证残疾人</w:t>
            </w:r>
          </w:p>
        </w:tc>
      </w:tr>
      <w:tr w14:paraId="50A917EA">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0981E19C">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39811E35">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470CD96F">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4C81936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脱贫户中有2022年新持证的20岁到45岁</w:t>
            </w:r>
          </w:p>
        </w:tc>
      </w:tr>
      <w:tr w14:paraId="6259FE91">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78A994F9">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3405E566">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067AA173">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6DA410A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脱贫户家中学龄前儿童和义务教育在校生4个及以上</w:t>
            </w:r>
          </w:p>
        </w:tc>
      </w:tr>
      <w:tr w14:paraId="06F805FF">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12BEDD5C">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240141AA">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0BA78F94">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1F6928B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脱贫户家中一半及以上成员患病</w:t>
            </w:r>
          </w:p>
        </w:tc>
      </w:tr>
      <w:tr w14:paraId="601B51A7">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3E26881B">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64DB5B4F">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2D9BEEB6">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4021E5D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脱贫户家中至少有1名非义务教育阶段在校生且人均纯收入低于2万元</w:t>
            </w:r>
          </w:p>
        </w:tc>
      </w:tr>
      <w:tr w14:paraId="46258C01">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174895FF">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01064A72">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1F841F72">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0A550C8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脱贫户整户为60岁及以上无劳动能力或16岁以下成员</w:t>
            </w:r>
          </w:p>
        </w:tc>
      </w:tr>
      <w:tr w14:paraId="52EC7161">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20BE3EBA">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36A5A429">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1D8B21F0">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25A373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监测户内整户无劳力户查询</w:t>
            </w:r>
          </w:p>
        </w:tc>
      </w:tr>
      <w:tr w14:paraId="70143056">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63D57C61">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6A5877F8">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61BBFF72">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52A3F16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监测户内整户低保户查询</w:t>
            </w:r>
          </w:p>
        </w:tc>
      </w:tr>
      <w:tr w14:paraId="37941572">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046E3112">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2484AFEF">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746F994E">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5422544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监测户内整户大病或重残户查询</w:t>
            </w:r>
          </w:p>
        </w:tc>
      </w:tr>
      <w:tr w14:paraId="30E8B8AC">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501D63B7">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1851FCB9">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6F791320">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03924C9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监测对象整户为丧失（无）或弱半劳动力的持证残疾人</w:t>
            </w:r>
          </w:p>
        </w:tc>
      </w:tr>
      <w:tr w14:paraId="60EDBF57">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007ADD98">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110FD2F0">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2EB58DBF">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438499E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监测对象家中学龄前儿童和义务教育在校生4个及以上</w:t>
            </w:r>
          </w:p>
        </w:tc>
      </w:tr>
      <w:tr w14:paraId="7D96BB6E">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3AEAEA0B">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02A9A284">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61FF8DCF">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4722B68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监测对象家中一半及以上成员患病</w:t>
            </w:r>
          </w:p>
        </w:tc>
      </w:tr>
      <w:tr w14:paraId="29FFD245">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698AB7D3">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1DB6172C">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6DA1774E">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7F8604B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监测对象家中至少有1名非义务教育阶段在校生且人均纯收入低于2万元</w:t>
            </w:r>
          </w:p>
        </w:tc>
      </w:tr>
      <w:tr w14:paraId="12C29FD3">
        <w:tblPrEx>
          <w:tblCellMar>
            <w:top w:w="0" w:type="dxa"/>
            <w:left w:w="108" w:type="dxa"/>
            <w:bottom w:w="0" w:type="dxa"/>
            <w:right w:w="108" w:type="dxa"/>
          </w:tblCellMar>
        </w:tblPrEx>
        <w:trPr>
          <w:trHeight w:val="285"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0B530083">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4E36BE22">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64F3DC1D">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190EA41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监测对象整户为</w:t>
            </w:r>
            <w:r>
              <w:rPr>
                <w:rFonts w:hint="eastAsia" w:ascii="宋体" w:hAnsi="宋体" w:cs="宋体"/>
                <w:color w:val="000000"/>
                <w:kern w:val="0"/>
                <w:sz w:val="24"/>
                <w:lang w:bidi="ar"/>
              </w:rPr>
              <w:t>60岁以上无劳动能力或16岁以下成员</w:t>
            </w:r>
          </w:p>
        </w:tc>
      </w:tr>
      <w:tr w14:paraId="7133A338">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78F30CCA">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0A5F776D">
            <w:pPr>
              <w:jc w:val="center"/>
              <w:rPr>
                <w:rFonts w:hint="eastAsia" w:ascii="宋体" w:hAnsi="宋体" w:cs="宋体"/>
                <w:color w:val="000000"/>
                <w:szCs w:val="21"/>
              </w:rPr>
            </w:pPr>
          </w:p>
        </w:tc>
        <w:tc>
          <w:tcPr>
            <w:tcW w:w="2783" w:type="dxa"/>
            <w:vMerge w:val="restart"/>
            <w:tcBorders>
              <w:top w:val="single" w:color="000000" w:sz="4" w:space="0"/>
              <w:left w:val="single" w:color="000000" w:sz="4" w:space="0"/>
              <w:bottom w:val="single" w:color="000000" w:sz="4" w:space="0"/>
              <w:right w:val="single" w:color="000000" w:sz="4" w:space="0"/>
            </w:tcBorders>
            <w:noWrap/>
            <w:vAlign w:val="center"/>
          </w:tcPr>
          <w:p w14:paraId="309120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年度收入预警</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1253C1A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脱贫户及监测户有工资性收入，但户内无人务工</w:t>
            </w:r>
          </w:p>
        </w:tc>
      </w:tr>
      <w:tr w14:paraId="18B4254F">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2089139D">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4CAF8290">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79470228">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1328EC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脱贫户及监测户内外出务工人口，但没有工资性收入</w:t>
            </w:r>
          </w:p>
        </w:tc>
      </w:tr>
      <w:tr w14:paraId="1D19FF1C">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10CF189C">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58AA515A">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1062E3BF">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1CABE52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脱贫户及监测户有60岁以上老人，但没有养老金收入</w:t>
            </w:r>
          </w:p>
        </w:tc>
      </w:tr>
      <w:tr w14:paraId="1F5A2087">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19CC6E41">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077D3BD6">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41B9711B">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749C54F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脱贫户及监测户有养老金收入，户内没有60岁以上老人</w:t>
            </w:r>
          </w:p>
        </w:tc>
      </w:tr>
      <w:tr w14:paraId="224ADB03">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7B7365DB">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39653D33">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6715DE88">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B9C364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脱贫户及监测户内有低保人口，但没有低保金收入</w:t>
            </w:r>
          </w:p>
        </w:tc>
      </w:tr>
      <w:tr w14:paraId="66FD7B09">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5367B59B">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287B40EA">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737029AC">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19C0DA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脱贫户及监测户有低保金收入，但户内没有低保人口</w:t>
            </w:r>
          </w:p>
        </w:tc>
      </w:tr>
      <w:tr w14:paraId="124B9421">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0C06B3E1">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119FE258">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129E245C">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04CDD13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脱贫户及监测户内有特困供养人口，但没有特困供养金收入</w:t>
            </w:r>
          </w:p>
        </w:tc>
      </w:tr>
      <w:tr w14:paraId="0D7D1FE5">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1F5E2BD9">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6C6D3CC4">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0D0D016B">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04E86A7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脱贫户及监测户有特困供养金收入，但户内没有特困供养人口</w:t>
            </w:r>
          </w:p>
        </w:tc>
      </w:tr>
      <w:tr w14:paraId="41D8F6EE">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4039070C">
            <w:pPr>
              <w:jc w:val="center"/>
              <w:rPr>
                <w:rFonts w:hint="eastAsia" w:ascii="宋体" w:hAnsi="宋体" w:cs="宋体"/>
                <w:color w:val="000000"/>
                <w:szCs w:val="21"/>
              </w:rPr>
            </w:pPr>
          </w:p>
        </w:tc>
        <w:tc>
          <w:tcPr>
            <w:tcW w:w="2582" w:type="dxa"/>
            <w:vMerge w:val="restart"/>
            <w:tcBorders>
              <w:top w:val="single" w:color="000000" w:sz="4" w:space="0"/>
              <w:left w:val="single" w:color="000000" w:sz="4" w:space="0"/>
              <w:bottom w:val="single" w:color="000000" w:sz="4" w:space="0"/>
              <w:right w:val="single" w:color="000000" w:sz="4" w:space="0"/>
            </w:tcBorders>
            <w:noWrap/>
            <w:vAlign w:val="center"/>
          </w:tcPr>
          <w:p w14:paraId="44D165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统计</w:t>
            </w:r>
          </w:p>
        </w:tc>
        <w:tc>
          <w:tcPr>
            <w:tcW w:w="2783" w:type="dxa"/>
            <w:vMerge w:val="restart"/>
            <w:tcBorders>
              <w:top w:val="single" w:color="000000" w:sz="4" w:space="0"/>
              <w:left w:val="single" w:color="000000" w:sz="4" w:space="0"/>
              <w:bottom w:val="single" w:color="000000" w:sz="4" w:space="0"/>
              <w:right w:val="single" w:color="000000" w:sz="4" w:space="0"/>
            </w:tcBorders>
            <w:noWrap/>
            <w:vAlign w:val="center"/>
          </w:tcPr>
          <w:p w14:paraId="0B66C9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务工数据统计</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4B5EAFD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脱贫人口务工去向分布</w:t>
            </w:r>
          </w:p>
        </w:tc>
      </w:tr>
      <w:tr w14:paraId="05B0A495">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5BA3E3B5">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4C8ADB2D">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3238F9E8">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077D90D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脱贫人口务工时长情况</w:t>
            </w:r>
          </w:p>
        </w:tc>
      </w:tr>
      <w:tr w14:paraId="7E8A9B8A">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782A7299">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501008A6">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74594170">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6287771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监测对象省外务工地情况</w:t>
            </w:r>
          </w:p>
        </w:tc>
      </w:tr>
      <w:tr w14:paraId="55FE8D79">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134BD3C2">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5132962B">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7F5FE995">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4E4165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监测对象务工时长情况</w:t>
            </w:r>
          </w:p>
        </w:tc>
      </w:tr>
      <w:tr w14:paraId="64C67C2A">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57518E19">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0F3D53DA">
            <w:pPr>
              <w:jc w:val="center"/>
              <w:rPr>
                <w:rFonts w:hint="eastAsia" w:ascii="宋体" w:hAnsi="宋体" w:cs="宋体"/>
                <w:color w:val="000000"/>
                <w:szCs w:val="21"/>
              </w:rPr>
            </w:pPr>
          </w:p>
        </w:tc>
        <w:tc>
          <w:tcPr>
            <w:tcW w:w="2783" w:type="dxa"/>
            <w:vMerge w:val="restart"/>
            <w:tcBorders>
              <w:top w:val="single" w:color="000000" w:sz="4" w:space="0"/>
              <w:left w:val="single" w:color="000000" w:sz="4" w:space="0"/>
              <w:bottom w:val="single" w:color="000000" w:sz="4" w:space="0"/>
              <w:right w:val="single" w:color="000000" w:sz="4" w:space="0"/>
            </w:tcBorders>
            <w:noWrap/>
            <w:vAlign w:val="center"/>
          </w:tcPr>
          <w:p w14:paraId="14D377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重点人群统计</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5BEC22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脱贫户内整户无劳动力规模</w:t>
            </w:r>
          </w:p>
        </w:tc>
      </w:tr>
      <w:tr w14:paraId="15E79894">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78F6DB86">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7D100888">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40A52E16">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238FBD7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脱贫户内整户无劳动力纳入到监测情况</w:t>
            </w:r>
          </w:p>
        </w:tc>
      </w:tr>
      <w:tr w14:paraId="33FF7509">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1B699E42">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1FEE33EA">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4A7AD315">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57E6E84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监测户内整户无劳动力规模</w:t>
            </w:r>
          </w:p>
        </w:tc>
      </w:tr>
      <w:tr w14:paraId="6802137B">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4A84D556">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79900D2D">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7402D8BF">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56F4496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监测户内整户无劳动力风险消除情况</w:t>
            </w:r>
          </w:p>
        </w:tc>
      </w:tr>
      <w:tr w14:paraId="7C2451C8">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7D80B476">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025EF9CA">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24C693B6">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2CC2FDC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未消除风险监测户内整户无劳动力规模</w:t>
            </w:r>
          </w:p>
        </w:tc>
      </w:tr>
      <w:tr w14:paraId="74F35479">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594754E5">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5E96D2C4">
            <w:pPr>
              <w:jc w:val="center"/>
              <w:rPr>
                <w:rFonts w:hint="eastAsia" w:ascii="宋体" w:hAnsi="宋体" w:cs="宋体"/>
                <w:color w:val="000000"/>
                <w:szCs w:val="21"/>
              </w:rPr>
            </w:pPr>
          </w:p>
        </w:tc>
        <w:tc>
          <w:tcPr>
            <w:tcW w:w="2783" w:type="dxa"/>
            <w:vMerge w:val="continue"/>
            <w:tcBorders>
              <w:top w:val="single" w:color="000000" w:sz="4" w:space="0"/>
              <w:left w:val="single" w:color="000000" w:sz="4" w:space="0"/>
              <w:bottom w:val="single" w:color="000000" w:sz="4" w:space="0"/>
              <w:right w:val="single" w:color="000000" w:sz="4" w:space="0"/>
            </w:tcBorders>
            <w:noWrap/>
            <w:vAlign w:val="center"/>
          </w:tcPr>
          <w:p w14:paraId="21190063">
            <w:pPr>
              <w:jc w:val="center"/>
              <w:rPr>
                <w:rFonts w:hint="eastAsia" w:ascii="宋体" w:hAnsi="宋体" w:cs="宋体"/>
                <w:color w:val="000000"/>
                <w:szCs w:val="21"/>
              </w:rPr>
            </w:pP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7384B51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1个月及以上未落实帮扶措施的监测户规模</w:t>
            </w:r>
          </w:p>
        </w:tc>
      </w:tr>
      <w:tr w14:paraId="69D88DBC">
        <w:tblPrEx>
          <w:tblCellMar>
            <w:top w:w="0" w:type="dxa"/>
            <w:left w:w="108" w:type="dxa"/>
            <w:bottom w:w="0" w:type="dxa"/>
            <w:right w:w="108" w:type="dxa"/>
          </w:tblCellMar>
        </w:tblPrEx>
        <w:trPr>
          <w:trHeight w:val="27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14:paraId="25A1DF0A">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系统</w:t>
            </w:r>
          </w:p>
          <w:p w14:paraId="01317A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管理</w:t>
            </w:r>
          </w:p>
        </w:tc>
        <w:tc>
          <w:tcPr>
            <w:tcW w:w="2582" w:type="dxa"/>
            <w:vMerge w:val="restart"/>
            <w:tcBorders>
              <w:top w:val="single" w:color="000000" w:sz="4" w:space="0"/>
              <w:left w:val="single" w:color="000000" w:sz="4" w:space="0"/>
              <w:bottom w:val="single" w:color="000000" w:sz="4" w:space="0"/>
              <w:right w:val="single" w:color="000000" w:sz="4" w:space="0"/>
            </w:tcBorders>
            <w:noWrap/>
            <w:vAlign w:val="center"/>
          </w:tcPr>
          <w:p w14:paraId="31D95A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系统管理</w:t>
            </w: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284F08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行政区划管理</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B140A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478E97FD">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5C307D8D">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6CB107F7">
            <w:pPr>
              <w:jc w:val="center"/>
              <w:rPr>
                <w:rFonts w:hint="eastAsia" w:ascii="宋体" w:hAnsi="宋体" w:cs="宋体"/>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57AC1B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用户管理</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F04A0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0B3AC4BA">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06BEC2CE">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44E9CE7A">
            <w:pPr>
              <w:jc w:val="center"/>
              <w:rPr>
                <w:rFonts w:hint="eastAsia" w:ascii="宋体" w:hAnsi="宋体" w:cs="宋体"/>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3AACE6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角色管理</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6FF071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72A91B38">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7035686B">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5ECFE461">
            <w:pPr>
              <w:jc w:val="center"/>
              <w:rPr>
                <w:rFonts w:hint="eastAsia" w:ascii="宋体" w:hAnsi="宋体" w:cs="宋体"/>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19F5C8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菜单管理</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0EF5FF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59EFD970">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61753B58">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308531AB">
            <w:pPr>
              <w:jc w:val="center"/>
              <w:rPr>
                <w:rFonts w:hint="eastAsia" w:ascii="宋体" w:hAnsi="宋体" w:cs="宋体"/>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2970C1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部门管理</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1042D0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45953B66">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2FBB46EE">
            <w:pPr>
              <w:jc w:val="center"/>
              <w:rPr>
                <w:rFonts w:hint="eastAsia" w:ascii="宋体" w:hAnsi="宋体" w:cs="宋体"/>
                <w:color w:val="000000"/>
                <w:szCs w:val="21"/>
              </w:rPr>
            </w:pPr>
          </w:p>
        </w:tc>
        <w:tc>
          <w:tcPr>
            <w:tcW w:w="2582" w:type="dxa"/>
            <w:vMerge w:val="restart"/>
            <w:tcBorders>
              <w:top w:val="single" w:color="000000" w:sz="4" w:space="0"/>
              <w:left w:val="single" w:color="000000" w:sz="4" w:space="0"/>
              <w:bottom w:val="single" w:color="000000" w:sz="4" w:space="0"/>
              <w:right w:val="single" w:color="000000" w:sz="4" w:space="0"/>
            </w:tcBorders>
            <w:noWrap/>
            <w:vAlign w:val="center"/>
          </w:tcPr>
          <w:p w14:paraId="3C23FF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系统设置</w:t>
            </w: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0DEDCE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数据字典</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B6855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15131013">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31D01F20">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32CEF3A7">
            <w:pPr>
              <w:jc w:val="center"/>
              <w:rPr>
                <w:rFonts w:hint="eastAsia" w:ascii="宋体" w:hAnsi="宋体" w:cs="宋体"/>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3171A3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预警规则设置</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4C88C8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0B402B34">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45BE40E1">
            <w:pPr>
              <w:jc w:val="center"/>
              <w:rPr>
                <w:rFonts w:hint="eastAsia" w:ascii="宋体" w:hAnsi="宋体" w:cs="宋体"/>
                <w:color w:val="000000"/>
                <w:szCs w:val="21"/>
              </w:rPr>
            </w:pPr>
          </w:p>
        </w:tc>
        <w:tc>
          <w:tcPr>
            <w:tcW w:w="2582" w:type="dxa"/>
            <w:vMerge w:val="restart"/>
            <w:tcBorders>
              <w:top w:val="single" w:color="000000" w:sz="4" w:space="0"/>
              <w:left w:val="single" w:color="000000" w:sz="4" w:space="0"/>
              <w:bottom w:val="single" w:color="000000" w:sz="4" w:space="0"/>
              <w:right w:val="single" w:color="000000" w:sz="4" w:space="0"/>
            </w:tcBorders>
            <w:noWrap/>
            <w:vAlign w:val="center"/>
          </w:tcPr>
          <w:p w14:paraId="711FBA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系统日志</w:t>
            </w: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04F5AB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登录日志</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32835B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34E21418">
        <w:tblPrEx>
          <w:tblCellMar>
            <w:top w:w="0" w:type="dxa"/>
            <w:left w:w="108" w:type="dxa"/>
            <w:bottom w:w="0" w:type="dxa"/>
            <w:right w:w="108" w:type="dxa"/>
          </w:tblCellMar>
        </w:tblPrEx>
        <w:trPr>
          <w:trHeight w:val="2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2031CDD9">
            <w:pPr>
              <w:jc w:val="center"/>
              <w:rPr>
                <w:rFonts w:hint="eastAsia" w:ascii="宋体" w:hAnsi="宋体" w:cs="宋体"/>
                <w:color w:val="000000"/>
                <w:szCs w:val="21"/>
              </w:rPr>
            </w:pPr>
          </w:p>
        </w:tc>
        <w:tc>
          <w:tcPr>
            <w:tcW w:w="2582" w:type="dxa"/>
            <w:vMerge w:val="continue"/>
            <w:tcBorders>
              <w:top w:val="single" w:color="000000" w:sz="4" w:space="0"/>
              <w:left w:val="single" w:color="000000" w:sz="4" w:space="0"/>
              <w:bottom w:val="single" w:color="000000" w:sz="4" w:space="0"/>
              <w:right w:val="single" w:color="000000" w:sz="4" w:space="0"/>
            </w:tcBorders>
            <w:noWrap/>
            <w:vAlign w:val="center"/>
          </w:tcPr>
          <w:p w14:paraId="422756C0">
            <w:pPr>
              <w:jc w:val="center"/>
              <w:rPr>
                <w:rFonts w:hint="eastAsia" w:ascii="宋体" w:hAnsi="宋体" w:cs="宋体"/>
                <w:color w:val="000000"/>
                <w:szCs w:val="21"/>
              </w:rPr>
            </w:pPr>
          </w:p>
        </w:tc>
        <w:tc>
          <w:tcPr>
            <w:tcW w:w="2783" w:type="dxa"/>
            <w:tcBorders>
              <w:top w:val="single" w:color="000000" w:sz="4" w:space="0"/>
              <w:left w:val="single" w:color="000000" w:sz="4" w:space="0"/>
              <w:bottom w:val="single" w:color="000000" w:sz="4" w:space="0"/>
              <w:right w:val="single" w:color="000000" w:sz="4" w:space="0"/>
            </w:tcBorders>
            <w:noWrap/>
            <w:vAlign w:val="center"/>
          </w:tcPr>
          <w:p w14:paraId="19AAA8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操作日志</w:t>
            </w:r>
          </w:p>
        </w:tc>
        <w:tc>
          <w:tcPr>
            <w:tcW w:w="7645" w:type="dxa"/>
            <w:tcBorders>
              <w:top w:val="single" w:color="000000" w:sz="4" w:space="0"/>
              <w:left w:val="single" w:color="000000" w:sz="4" w:space="0"/>
              <w:bottom w:val="single" w:color="000000" w:sz="4" w:space="0"/>
              <w:right w:val="single" w:color="000000" w:sz="4" w:space="0"/>
            </w:tcBorders>
            <w:noWrap w:val="0"/>
            <w:vAlign w:val="center"/>
          </w:tcPr>
          <w:p w14:paraId="547E2D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bl>
    <w:p w14:paraId="3CE61BCD">
      <w:pPr>
        <w:spacing w:line="360" w:lineRule="auto"/>
        <w:rPr>
          <w:rFonts w:hint="eastAsia" w:ascii="宋体" w:hAnsi="宋体" w:cs="宋体"/>
          <w:bCs/>
          <w:sz w:val="32"/>
          <w:szCs w:val="32"/>
        </w:rPr>
      </w:pPr>
    </w:p>
    <w:p w14:paraId="0513C129">
      <w:pPr>
        <w:pStyle w:val="2"/>
        <w:rPr>
          <w:rFonts w:hint="eastAsia"/>
        </w:rPr>
      </w:pPr>
    </w:p>
    <w:p w14:paraId="2E5E181F">
      <w:pPr>
        <w:spacing w:line="360" w:lineRule="auto"/>
        <w:ind w:firstLine="562" w:firstLineChars="200"/>
        <w:outlineLvl w:val="2"/>
        <w:rPr>
          <w:rFonts w:hint="eastAsia" w:ascii="宋体" w:hAnsi="宋体" w:cs="宋体"/>
          <w:b/>
          <w:sz w:val="28"/>
          <w:szCs w:val="28"/>
        </w:rPr>
        <w:sectPr>
          <w:pgSz w:w="16838" w:h="11906" w:orient="landscape"/>
          <w:pgMar w:top="1800" w:right="1440" w:bottom="1800" w:left="1440" w:header="851" w:footer="992" w:gutter="0"/>
          <w:pgNumType w:fmt="decimal"/>
          <w:cols w:space="720" w:num="1"/>
          <w:docGrid w:type="lines" w:linePitch="312" w:charSpace="0"/>
        </w:sectPr>
      </w:pPr>
      <w:bookmarkStart w:id="132" w:name="_Toc20673"/>
    </w:p>
    <w:p w14:paraId="501942DC">
      <w:pPr>
        <w:spacing w:line="360" w:lineRule="auto"/>
        <w:ind w:firstLine="562" w:firstLineChars="200"/>
        <w:outlineLvl w:val="2"/>
        <w:rPr>
          <w:rFonts w:hint="eastAsia" w:ascii="宋体" w:hAnsi="宋体" w:cs="宋体"/>
          <w:b/>
          <w:sz w:val="28"/>
          <w:szCs w:val="28"/>
        </w:rPr>
      </w:pPr>
      <w:bookmarkStart w:id="133" w:name="_Toc8131"/>
      <w:r>
        <w:rPr>
          <w:rFonts w:hint="eastAsia" w:ascii="宋体" w:hAnsi="宋体" w:cs="宋体"/>
          <w:b/>
          <w:sz w:val="28"/>
          <w:szCs w:val="28"/>
        </w:rPr>
        <w:t>附件2 信息安全保密协议</w:t>
      </w:r>
      <w:bookmarkEnd w:id="132"/>
      <w:bookmarkEnd w:id="133"/>
    </w:p>
    <w:p w14:paraId="76FACA65">
      <w:pPr>
        <w:spacing w:line="360" w:lineRule="auto"/>
        <w:ind w:firstLine="480" w:firstLineChars="200"/>
        <w:rPr>
          <w:rFonts w:hint="eastAsia" w:ascii="宋体" w:hAnsi="宋体" w:cs="宋体"/>
          <w:sz w:val="24"/>
        </w:rPr>
      </w:pPr>
      <w:r>
        <w:rPr>
          <w:rFonts w:hint="eastAsia" w:ascii="宋体" w:hAnsi="宋体" w:cs="宋体"/>
          <w:sz w:val="24"/>
        </w:rPr>
        <w:t>甲方：</w:t>
      </w:r>
    </w:p>
    <w:p w14:paraId="6308E7B1">
      <w:pPr>
        <w:spacing w:line="360" w:lineRule="auto"/>
        <w:ind w:firstLine="480" w:firstLineChars="200"/>
        <w:rPr>
          <w:rFonts w:hint="eastAsia" w:ascii="宋体" w:hAnsi="宋体" w:cs="宋体"/>
          <w:sz w:val="24"/>
        </w:rPr>
      </w:pPr>
      <w:r>
        <w:rPr>
          <w:rFonts w:hint="eastAsia" w:ascii="宋体" w:hAnsi="宋体" w:cs="宋体"/>
          <w:sz w:val="24"/>
        </w:rPr>
        <w:t>乙方：</w:t>
      </w:r>
    </w:p>
    <w:p w14:paraId="51EF3F3E">
      <w:pPr>
        <w:spacing w:line="360" w:lineRule="auto"/>
        <w:ind w:firstLine="480" w:firstLineChars="200"/>
        <w:rPr>
          <w:rFonts w:hint="eastAsia" w:ascii="宋体" w:hAnsi="宋体" w:cs="宋体"/>
          <w:sz w:val="24"/>
        </w:rPr>
      </w:pPr>
      <w:r>
        <w:rPr>
          <w:rFonts w:hint="eastAsia" w:ascii="宋体" w:hAnsi="宋体" w:cs="宋体"/>
          <w:sz w:val="24"/>
        </w:rPr>
        <w:t>为明确与甲方合作的软件公司人员应该履行的安全责任，确保信息安全，提高网络安全意识，根据《中华人民共和国计算机系统安全保护条例》、《计算机信息网络国际联网安全保护办法》，《互联网安全保护措施规定》等有关法律法规的规定，乙方及其人员应承担的保密义务如下：</w:t>
      </w:r>
    </w:p>
    <w:p w14:paraId="6FFC4D1B">
      <w:pPr>
        <w:spacing w:line="360" w:lineRule="auto"/>
        <w:ind w:firstLine="480" w:firstLineChars="200"/>
        <w:rPr>
          <w:rFonts w:hint="eastAsia" w:ascii="宋体" w:hAnsi="宋体" w:cs="宋体"/>
          <w:sz w:val="24"/>
        </w:rPr>
      </w:pPr>
      <w:r>
        <w:rPr>
          <w:rFonts w:hint="eastAsia" w:ascii="宋体" w:hAnsi="宋体" w:cs="宋体"/>
          <w:sz w:val="24"/>
        </w:rPr>
        <w:t>一、自觉遵守法律法规、行政法规和其他有关规定，不泄露国家秘密，不侵犯国家的、社会的、集体的利益和公民的合法权益，不从事危害计算机信息网络安全的活动。严格遵守甲方各项保密规定、制度，履行应承担的保密义务。</w:t>
      </w:r>
    </w:p>
    <w:p w14:paraId="3BEA6E46">
      <w:pPr>
        <w:spacing w:line="360" w:lineRule="auto"/>
        <w:ind w:firstLine="480" w:firstLineChars="200"/>
        <w:rPr>
          <w:rFonts w:hint="eastAsia" w:ascii="宋体" w:hAnsi="宋体" w:cs="宋体"/>
          <w:sz w:val="24"/>
        </w:rPr>
      </w:pPr>
      <w:r>
        <w:rPr>
          <w:rFonts w:hint="eastAsia" w:ascii="宋体" w:hAnsi="宋体" w:cs="宋体"/>
          <w:sz w:val="24"/>
        </w:rPr>
        <w:t>二、乙方应对员工培训信息安全技术，不断提高职业道德水平，安全意识和技能。规范操作行为，不得擅自超越权限，严禁违规操作。</w:t>
      </w:r>
    </w:p>
    <w:p w14:paraId="03228BCE">
      <w:pPr>
        <w:spacing w:line="360" w:lineRule="auto"/>
        <w:ind w:firstLine="480" w:firstLineChars="200"/>
        <w:rPr>
          <w:rFonts w:hint="eastAsia" w:ascii="宋体" w:hAnsi="宋体" w:cs="宋体"/>
          <w:sz w:val="24"/>
        </w:rPr>
      </w:pPr>
      <w:r>
        <w:rPr>
          <w:rFonts w:hint="eastAsia" w:ascii="宋体" w:hAnsi="宋体" w:cs="宋体"/>
          <w:sz w:val="24"/>
        </w:rPr>
        <w:t>三、严格保密，保管好甲方授予的一切系统权限，不得有意或无意向他人透露，不得以任何方式泄露所接触和知悉的甲方相关信息。</w:t>
      </w:r>
    </w:p>
    <w:p w14:paraId="0FD9A746">
      <w:pPr>
        <w:spacing w:line="360" w:lineRule="auto"/>
        <w:ind w:firstLine="480" w:firstLineChars="200"/>
        <w:rPr>
          <w:rFonts w:hint="eastAsia" w:ascii="宋体" w:hAnsi="宋体" w:cs="宋体"/>
          <w:sz w:val="24"/>
        </w:rPr>
      </w:pPr>
      <w:r>
        <w:rPr>
          <w:rFonts w:hint="eastAsia" w:ascii="宋体" w:hAnsi="宋体" w:cs="宋体"/>
          <w:sz w:val="24"/>
        </w:rPr>
        <w:t>四、未经甲方审查批准，乙方不得向第三方提供数据。因所从事本职工作的需要，要向第三方提供相关信息内容的，须经甲方</w:t>
      </w:r>
      <w:r>
        <w:rPr>
          <w:rFonts w:hint="eastAsia" w:ascii="宋体" w:hAnsi="宋体" w:cs="宋体"/>
          <w:sz w:val="24"/>
          <w:lang w:val="en-US" w:eastAsia="zh-CN"/>
        </w:rPr>
        <w:t>书面</w:t>
      </w:r>
      <w:r>
        <w:rPr>
          <w:rFonts w:hint="eastAsia" w:ascii="宋体" w:hAnsi="宋体" w:cs="宋体"/>
          <w:sz w:val="24"/>
        </w:rPr>
        <w:t>批准。</w:t>
      </w:r>
    </w:p>
    <w:p w14:paraId="19A1A6BE">
      <w:pPr>
        <w:spacing w:line="360" w:lineRule="auto"/>
        <w:ind w:firstLine="480" w:firstLineChars="200"/>
        <w:rPr>
          <w:rFonts w:hint="eastAsia" w:ascii="宋体" w:hAnsi="宋体" w:cs="宋体"/>
          <w:sz w:val="24"/>
        </w:rPr>
      </w:pPr>
      <w:r>
        <w:rPr>
          <w:rFonts w:hint="eastAsia" w:ascii="宋体" w:hAnsi="宋体" w:cs="宋体"/>
          <w:sz w:val="24"/>
        </w:rPr>
        <w:t>五、对已发生的信息安全事件，有责任及时向甲方汇报，并注意保密，避免产生不良的影响。</w:t>
      </w:r>
    </w:p>
    <w:p w14:paraId="744AFA02">
      <w:pPr>
        <w:spacing w:line="360" w:lineRule="auto"/>
        <w:ind w:firstLine="480" w:firstLineChars="200"/>
        <w:rPr>
          <w:rFonts w:hint="eastAsia" w:ascii="宋体" w:hAnsi="宋体" w:cs="宋体"/>
          <w:sz w:val="24"/>
        </w:rPr>
      </w:pPr>
      <w:r>
        <w:rPr>
          <w:rFonts w:hint="eastAsia" w:ascii="宋体" w:hAnsi="宋体" w:cs="宋体"/>
          <w:sz w:val="24"/>
        </w:rPr>
        <w:t>六、本保密协议壹式肆份，由甲乙双方分别保存，自签订盖章之日起生效。</w:t>
      </w:r>
    </w:p>
    <w:p w14:paraId="682086C7">
      <w:pPr>
        <w:spacing w:line="360" w:lineRule="auto"/>
        <w:rPr>
          <w:rFonts w:hint="eastAsia" w:ascii="宋体" w:hAnsi="宋体" w:cs="宋体"/>
          <w:sz w:val="24"/>
        </w:rPr>
      </w:pPr>
    </w:p>
    <w:p w14:paraId="4E070813">
      <w:pPr>
        <w:spacing w:line="360" w:lineRule="auto"/>
        <w:rPr>
          <w:rFonts w:hint="eastAsia" w:ascii="宋体" w:hAnsi="宋体" w:cs="宋体"/>
          <w:sz w:val="24"/>
        </w:rPr>
      </w:pPr>
      <w:r>
        <w:rPr>
          <w:rFonts w:hint="eastAsia" w:ascii="宋体" w:hAnsi="宋体" w:cs="宋体"/>
          <w:sz w:val="24"/>
        </w:rPr>
        <w:t>甲方：</w:t>
      </w:r>
      <w:r>
        <w:rPr>
          <w:rFonts w:hint="eastAsia" w:ascii="宋体" w:hAnsi="宋体" w:cs="宋体"/>
          <w:sz w:val="24"/>
        </w:rPr>
        <w:tab/>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乙方：</w:t>
      </w:r>
    </w:p>
    <w:p w14:paraId="45C3ED11">
      <w:pPr>
        <w:pStyle w:val="89"/>
        <w:rPr>
          <w:rFonts w:hint="eastAsia"/>
        </w:rPr>
      </w:pPr>
    </w:p>
    <w:p w14:paraId="32BE6D56">
      <w:pPr>
        <w:spacing w:line="360" w:lineRule="auto"/>
        <w:rPr>
          <w:rFonts w:hint="eastAsia" w:ascii="宋体" w:hAnsi="宋体" w:cs="宋体"/>
          <w:sz w:val="24"/>
        </w:rPr>
      </w:pPr>
      <w:r>
        <w:rPr>
          <w:rFonts w:hint="eastAsia" w:ascii="宋体" w:hAnsi="宋体" w:cs="宋体"/>
          <w:sz w:val="24"/>
        </w:rPr>
        <w:t>经办人（签章）：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经办人（签章）：</w:t>
      </w:r>
    </w:p>
    <w:p w14:paraId="54566D75">
      <w:pPr>
        <w:pStyle w:val="89"/>
        <w:rPr>
          <w:rFonts w:hint="eastAsia"/>
        </w:rPr>
      </w:pPr>
    </w:p>
    <w:p w14:paraId="3B39FD72">
      <w:pPr>
        <w:rPr>
          <w:rFonts w:ascii="宋体" w:cs="宋体"/>
          <w:bCs/>
          <w:color w:val="000000"/>
          <w:kern w:val="0"/>
          <w:sz w:val="48"/>
          <w:szCs w:val="48"/>
        </w:rPr>
      </w:pPr>
      <w:r>
        <w:rPr>
          <w:rFonts w:hint="eastAsia" w:ascii="宋体" w:hAnsi="宋体" w:cs="宋体"/>
          <w:sz w:val="24"/>
        </w:rPr>
        <w:t xml:space="preserve">日 </w:t>
      </w:r>
      <w:r>
        <w:rPr>
          <w:rFonts w:ascii="宋体" w:hAnsi="宋体" w:cs="宋体"/>
          <w:sz w:val="24"/>
        </w:rPr>
        <w:t xml:space="preserve"> </w:t>
      </w:r>
      <w:r>
        <w:rPr>
          <w:rFonts w:hint="eastAsia" w:ascii="宋体" w:hAnsi="宋体" w:cs="宋体"/>
          <w:sz w:val="24"/>
        </w:rPr>
        <w:t>期：</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日 </w:t>
      </w:r>
      <w:r>
        <w:rPr>
          <w:rFonts w:ascii="宋体" w:hAnsi="宋体" w:cs="宋体"/>
          <w:sz w:val="24"/>
        </w:rPr>
        <w:t xml:space="preserve"> </w:t>
      </w:r>
      <w:r>
        <w:rPr>
          <w:rFonts w:hint="eastAsia" w:ascii="宋体" w:hAnsi="宋体" w:cs="宋体"/>
          <w:sz w:val="24"/>
        </w:rPr>
        <w:t>期</w:t>
      </w:r>
      <w:r>
        <w:rPr>
          <w:rFonts w:hint="eastAsia" w:ascii="宋体" w:hAnsi="宋体" w:cs="宋体"/>
          <w:sz w:val="24"/>
          <w:lang w:eastAsia="zh-CN"/>
        </w:rPr>
        <w:t>：</w:t>
      </w:r>
      <w:r>
        <w:rPr>
          <w:rFonts w:hint="eastAsia" w:ascii="宋体" w:cs="宋体"/>
          <w:bCs/>
          <w:color w:val="000000"/>
          <w:kern w:val="0"/>
          <w:sz w:val="48"/>
          <w:szCs w:val="48"/>
        </w:rPr>
        <w:br w:type="page"/>
      </w:r>
    </w:p>
    <w:p w14:paraId="256C2ACE">
      <w:pPr>
        <w:pStyle w:val="4"/>
        <w:keepNext w:val="0"/>
        <w:pageBreakBefore/>
        <w:spacing w:before="325" w:beforeLines="100" w:after="487" w:afterLines="150" w:line="500" w:lineRule="exact"/>
        <w:rPr>
          <w:rFonts w:asciiTheme="minorEastAsia" w:hAnsiTheme="minorEastAsia" w:eastAsiaTheme="minorEastAsia" w:cstheme="minorEastAsia"/>
        </w:rPr>
      </w:pPr>
      <w:bookmarkStart w:id="134" w:name="_Toc30713"/>
      <w:bookmarkStart w:id="135" w:name="_Toc27380"/>
      <w:r>
        <w:rPr>
          <w:rFonts w:hint="eastAsia" w:asciiTheme="minorEastAsia" w:hAnsiTheme="minorEastAsia" w:eastAsiaTheme="minorEastAsia" w:cstheme="minorEastAsia"/>
          <w:sz w:val="36"/>
          <w:szCs w:val="36"/>
        </w:rPr>
        <w:t xml:space="preserve">第七部分  </w:t>
      </w:r>
      <w:bookmarkEnd w:id="134"/>
      <w:r>
        <w:rPr>
          <w:rFonts w:hint="eastAsia" w:ascii="宋体" w:hAnsi="宋体" w:cs="宋体"/>
          <w:sz w:val="36"/>
          <w:szCs w:val="36"/>
        </w:rPr>
        <w:t>磋商响应文件格式</w:t>
      </w:r>
      <w:bookmarkEnd w:id="135"/>
    </w:p>
    <w:p w14:paraId="79A416F1">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w:t>
      </w:r>
      <w:r>
        <w:rPr>
          <w:rFonts w:hint="eastAsia" w:asciiTheme="minorEastAsia" w:hAnsiTheme="minorEastAsia" w:cstheme="minorEastAsia"/>
          <w:b/>
          <w:w w:val="120"/>
          <w:sz w:val="28"/>
          <w:szCs w:val="28"/>
          <w:lang w:eastAsia="zh-CN"/>
        </w:rPr>
        <w:t>SXWZ2025ZB-JCZX-192</w:t>
      </w:r>
      <w:r>
        <w:rPr>
          <w:rFonts w:hint="eastAsia" w:asciiTheme="minorEastAsia" w:hAnsiTheme="minorEastAsia" w:cstheme="minorEastAsia"/>
          <w:b/>
          <w:w w:val="120"/>
          <w:sz w:val="28"/>
          <w:szCs w:val="28"/>
        </w:rPr>
        <w:t xml:space="preserve">      （正本或副本）</w:t>
      </w:r>
    </w:p>
    <w:p w14:paraId="241EB2CB">
      <w:pPr>
        <w:snapToGrid w:val="0"/>
        <w:spacing w:line="360" w:lineRule="auto"/>
        <w:ind w:right="-99" w:rightChars="-47"/>
        <w:rPr>
          <w:rFonts w:asciiTheme="minorEastAsia" w:hAnsiTheme="minorEastAsia" w:cstheme="minorEastAsia"/>
          <w:b/>
          <w:bCs/>
          <w:sz w:val="72"/>
          <w:szCs w:val="72"/>
        </w:rPr>
      </w:pPr>
    </w:p>
    <w:p w14:paraId="21DCBCAC">
      <w:pPr>
        <w:snapToGrid w:val="0"/>
        <w:spacing w:line="480" w:lineRule="auto"/>
        <w:jc w:val="center"/>
        <w:rPr>
          <w:rFonts w:hint="eastAsia" w:asciiTheme="minorEastAsia" w:hAnsiTheme="minorEastAsia" w:eastAsiaTheme="minorEastAsia" w:cstheme="minorEastAsia"/>
          <w:b/>
          <w:bCs/>
          <w:sz w:val="72"/>
          <w:szCs w:val="72"/>
          <w:lang w:eastAsia="zh-CN"/>
        </w:rPr>
      </w:pPr>
      <w:r>
        <w:rPr>
          <w:rFonts w:hint="eastAsia" w:asciiTheme="minorEastAsia" w:hAnsiTheme="minorEastAsia" w:cstheme="minorEastAsia"/>
          <w:b/>
          <w:bCs/>
          <w:sz w:val="52"/>
          <w:szCs w:val="52"/>
          <w:lang w:eastAsia="zh-CN"/>
        </w:rPr>
        <w:t>西安市扶贫信息监测中心巩固脱贫攻坚成果和防返贫监测数据质量评估及分析服务项目</w:t>
      </w:r>
    </w:p>
    <w:p w14:paraId="08AA20BD">
      <w:pPr>
        <w:snapToGrid w:val="0"/>
        <w:spacing w:line="480" w:lineRule="auto"/>
        <w:jc w:val="center"/>
        <w:rPr>
          <w:rFonts w:asciiTheme="minorEastAsia" w:hAnsiTheme="minorEastAsia" w:cstheme="minorEastAsia"/>
          <w:b/>
          <w:bCs/>
          <w:sz w:val="72"/>
          <w:szCs w:val="72"/>
        </w:rPr>
      </w:pPr>
    </w:p>
    <w:p w14:paraId="63FBD3FC">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响应文件</w:t>
      </w:r>
    </w:p>
    <w:p w14:paraId="37F65B2E">
      <w:pPr>
        <w:snapToGrid w:val="0"/>
        <w:spacing w:line="480" w:lineRule="auto"/>
        <w:ind w:firstLine="1600" w:firstLineChars="500"/>
        <w:jc w:val="left"/>
        <w:rPr>
          <w:rFonts w:asciiTheme="minorEastAsia" w:hAnsiTheme="minorEastAsia" w:cstheme="minorEastAsia"/>
          <w:sz w:val="32"/>
          <w:szCs w:val="32"/>
          <w:lang w:val="zh-CN"/>
        </w:rPr>
      </w:pPr>
    </w:p>
    <w:p w14:paraId="45CBB57A">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供应商（单位名称及公章）：</w:t>
      </w:r>
    </w:p>
    <w:p w14:paraId="1A3CF8FA">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p>
    <w:p w14:paraId="0FABC4A0">
      <w:pPr>
        <w:pageBreakBefore/>
        <w:spacing w:before="325" w:beforeLines="100" w:after="487"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14:paraId="7DE67DD4">
      <w:pPr>
        <w:pStyle w:val="15"/>
        <w:snapToGrid w:val="0"/>
        <w:spacing w:line="480" w:lineRule="auto"/>
        <w:ind w:firstLine="562" w:firstLineChars="200"/>
        <w:jc w:val="left"/>
        <w:rPr>
          <w:rFonts w:asciiTheme="minorEastAsia" w:hAnsiTheme="minorEastAsia" w:cstheme="minorEastAsia"/>
          <w:b/>
          <w:bCs/>
          <w:sz w:val="28"/>
          <w:szCs w:val="28"/>
        </w:rPr>
      </w:pPr>
      <w:bookmarkStart w:id="136" w:name="_Toc21472"/>
      <w:r>
        <w:rPr>
          <w:rFonts w:hint="eastAsia" w:asciiTheme="minorEastAsia" w:hAnsiTheme="minorEastAsia" w:cstheme="minorEastAsia"/>
          <w:b/>
          <w:bCs/>
          <w:sz w:val="28"/>
          <w:szCs w:val="28"/>
        </w:rPr>
        <w:t>第一章   响应函</w:t>
      </w:r>
    </w:p>
    <w:p w14:paraId="57924656">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 xml:space="preserve">章   </w:t>
      </w:r>
      <w:r>
        <w:rPr>
          <w:rFonts w:hint="eastAsia" w:asciiTheme="minorEastAsia" w:hAnsiTheme="minorEastAsia" w:cstheme="minorEastAsia"/>
          <w:b/>
          <w:sz w:val="28"/>
          <w:szCs w:val="28"/>
        </w:rPr>
        <w:t xml:space="preserve">磋商一览表 </w:t>
      </w:r>
    </w:p>
    <w:p w14:paraId="67378455">
      <w:pPr>
        <w:pStyle w:val="15"/>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14:paraId="548EC1D5">
      <w:pPr>
        <w:pStyle w:val="15"/>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第四</w:t>
      </w:r>
      <w:r>
        <w:rPr>
          <w:rFonts w:hint="eastAsia" w:asciiTheme="minorEastAsia" w:hAnsiTheme="minorEastAsia" w:cstheme="minorEastAsia"/>
          <w:b/>
          <w:bCs/>
          <w:sz w:val="28"/>
          <w:szCs w:val="28"/>
        </w:rPr>
        <w:t xml:space="preserve">章   </w:t>
      </w:r>
      <w:r>
        <w:rPr>
          <w:rFonts w:hint="eastAsia" w:asciiTheme="minorEastAsia" w:hAnsiTheme="minorEastAsia" w:cstheme="minorEastAsia"/>
          <w:b/>
          <w:sz w:val="28"/>
          <w:szCs w:val="28"/>
        </w:rPr>
        <w:t>供应商资质证明资料</w:t>
      </w:r>
    </w:p>
    <w:p w14:paraId="064847BB">
      <w:pPr>
        <w:pStyle w:val="15"/>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14:paraId="22786005">
      <w:pPr>
        <w:pStyle w:val="15"/>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技术支持资料</w:t>
      </w:r>
    </w:p>
    <w:p w14:paraId="7741A042">
      <w:pPr>
        <w:pStyle w:val="15"/>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 xml:space="preserve">章   </w:t>
      </w:r>
      <w:r>
        <w:rPr>
          <w:rFonts w:hint="eastAsia" w:asciiTheme="minorEastAsia" w:hAnsiTheme="minorEastAsia" w:cstheme="minorEastAsia"/>
          <w:b/>
          <w:sz w:val="28"/>
          <w:szCs w:val="28"/>
        </w:rPr>
        <w:t>供应商业绩一览表</w:t>
      </w:r>
    </w:p>
    <w:p w14:paraId="3493F2D9">
      <w:pPr>
        <w:pStyle w:val="15"/>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 xml:space="preserve">章   </w:t>
      </w:r>
      <w:r>
        <w:rPr>
          <w:rFonts w:hint="eastAsia" w:asciiTheme="minorEastAsia" w:hAnsiTheme="minorEastAsia" w:cstheme="minorEastAsia"/>
          <w:b/>
          <w:sz w:val="28"/>
          <w:szCs w:val="28"/>
        </w:rPr>
        <w:t>供应商认为有必要说明的其他问题</w:t>
      </w:r>
    </w:p>
    <w:p w14:paraId="681547B4">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第九章   供应商承诺书</w:t>
      </w:r>
    </w:p>
    <w:p w14:paraId="5B06C0EB">
      <w:pPr>
        <w:pStyle w:val="5"/>
        <w:pageBreakBefore/>
        <w:spacing w:before="325" w:beforeLines="100" w:after="487" w:afterLines="150" w:line="500" w:lineRule="exact"/>
        <w:rPr>
          <w:rFonts w:asciiTheme="minorEastAsia" w:hAnsiTheme="minorEastAsia" w:eastAsiaTheme="minorEastAsia" w:cstheme="minorEastAsia"/>
          <w:sz w:val="36"/>
          <w:szCs w:val="36"/>
        </w:rPr>
      </w:pPr>
      <w:bookmarkStart w:id="137" w:name="_Toc13711"/>
      <w:r>
        <w:rPr>
          <w:rFonts w:hint="eastAsia" w:asciiTheme="minorEastAsia" w:hAnsiTheme="minorEastAsia" w:eastAsiaTheme="minorEastAsia" w:cstheme="minorEastAsia"/>
          <w:sz w:val="36"/>
          <w:szCs w:val="36"/>
        </w:rPr>
        <w:t xml:space="preserve">第一章  </w:t>
      </w:r>
      <w:bookmarkEnd w:id="136"/>
      <w:r>
        <w:rPr>
          <w:rFonts w:hint="eastAsia" w:asciiTheme="minorEastAsia" w:hAnsiTheme="minorEastAsia" w:eastAsiaTheme="minorEastAsia" w:cstheme="minorEastAsia"/>
          <w:sz w:val="36"/>
          <w:szCs w:val="36"/>
        </w:rPr>
        <w:t>响应函</w:t>
      </w:r>
      <w:bookmarkEnd w:id="137"/>
    </w:p>
    <w:p w14:paraId="53E64DA6">
      <w:pPr>
        <w:adjustRightInd w:val="0"/>
        <w:snapToGrid w:val="0"/>
        <w:spacing w:line="276" w:lineRule="auto"/>
        <w:jc w:val="left"/>
        <w:rPr>
          <w:rFonts w:ascii="宋体" w:cs="宋体"/>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陕西万泽招标有限公司</w:t>
      </w:r>
      <w:r>
        <w:rPr>
          <w:rFonts w:hint="eastAsia" w:ascii="宋体" w:hAnsi="宋体" w:cs="宋体"/>
          <w:bCs/>
          <w:color w:val="000000" w:themeColor="text1"/>
          <w:sz w:val="32"/>
          <w:szCs w:val="32"/>
          <w14:textFill>
            <w14:solidFill>
              <w14:schemeClr w14:val="tx1"/>
            </w14:solidFill>
          </w14:textFill>
        </w:rPr>
        <w:t>：</w:t>
      </w:r>
    </w:p>
    <w:p w14:paraId="453DC307">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我单位收到项目名称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编号为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的竞争性磋商文件，经详细研究，我公司决定参加本次磋商活动。为此，我方郑重承诺以下诸点，并负法律责任。</w:t>
      </w:r>
    </w:p>
    <w:p w14:paraId="6D6FC8B2">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、愿意按照竞争性磋商文件中的全部要求，提供合格的产品及完善的技术服务，履行合同的责任和义务。</w:t>
      </w:r>
    </w:p>
    <w:p w14:paraId="747336BE">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、按照竞争性磋商文件的规定，我公司的响应总报价为：</w:t>
      </w:r>
    </w:p>
    <w:p w14:paraId="03080E63">
      <w:pPr>
        <w:adjustRightInd w:val="0"/>
        <w:snapToGrid w:val="0"/>
        <w:spacing w:line="360" w:lineRule="auto"/>
        <w:ind w:firstLine="480" w:firstLineChars="200"/>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人民币（大</w:t>
      </w:r>
      <w:r>
        <w:rPr>
          <w:rFonts w:hint="eastAsia" w:ascii="宋体" w:hAnsi="宋体" w:cs="宋体"/>
          <w:color w:val="000000" w:themeColor="text1"/>
          <w:sz w:val="24"/>
          <w:szCs w:val="24"/>
          <w14:textFill>
            <w14:solidFill>
              <w14:schemeClr w14:val="tx1"/>
            </w14:solidFill>
          </w14:textFill>
        </w:rPr>
        <w:t>写）</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；（小写）</w:t>
      </w:r>
      <w:r>
        <w:rPr>
          <w:rFonts w:hint="eastAsia"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w:t>
      </w:r>
    </w:p>
    <w:p w14:paraId="671CAD13">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、我方提交的磋商响应文件正本壹份、副本叁份，电子文档壹份、</w:t>
      </w:r>
      <w:r>
        <w:rPr>
          <w:rFonts w:hint="eastAsia" w:ascii="宋体" w:hAnsi="宋体" w:cs="宋体"/>
          <w:color w:val="000000" w:themeColor="text1"/>
          <w:sz w:val="24"/>
          <w:szCs w:val="24"/>
          <w14:textFill>
            <w14:solidFill>
              <w14:schemeClr w14:val="tx1"/>
            </w14:solidFill>
          </w14:textFill>
        </w:rPr>
        <w:t>磋商一览表壹份</w:t>
      </w:r>
      <w:r>
        <w:rPr>
          <w:rFonts w:hint="eastAsia" w:ascii="宋体" w:hAnsi="宋体" w:cs="宋体"/>
          <w:color w:val="000000" w:themeColor="text1"/>
          <w:sz w:val="24"/>
          <w14:textFill>
            <w14:solidFill>
              <w14:schemeClr w14:val="tx1"/>
            </w14:solidFill>
          </w14:textFill>
        </w:rPr>
        <w:t>。</w:t>
      </w:r>
    </w:p>
    <w:p w14:paraId="5228AC30">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、我们已详细阅读了竞争性磋商文件，完全理解并同意放弃提出含糊不清和误解问题的权力。</w:t>
      </w:r>
    </w:p>
    <w:p w14:paraId="7D6288B2">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、如果我方在磋商后到规定的磋商有效期内撤回磋商响应文件及承诺，我们的保证金将被对方没收。</w:t>
      </w:r>
    </w:p>
    <w:p w14:paraId="48231E02">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、同意向贵方提供贵方可能要求的、与本次磋商有关的任何证据资料。</w:t>
      </w:r>
    </w:p>
    <w:p w14:paraId="06430A9F">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、我方承诺磋商有效期为磋商后</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9</w:t>
      </w:r>
      <w:r>
        <w:rPr>
          <w:rFonts w:ascii="宋体" w:hAnsi="宋体" w:cs="宋体"/>
          <w:color w:val="000000" w:themeColor="text1"/>
          <w:sz w:val="24"/>
          <w:u w:val="single"/>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日历日内有效。</w:t>
      </w:r>
    </w:p>
    <w:p w14:paraId="54FB2BB6">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、所有关于本次磋商的函电，请按下列地址联系：</w:t>
      </w:r>
    </w:p>
    <w:p w14:paraId="42C8B690">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14:paraId="29109D29">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负责人</w:t>
      </w:r>
      <w:r>
        <w:rPr>
          <w:rFonts w:hint="eastAsia" w:ascii="宋体" w:hAnsi="宋体" w:cs="宋体"/>
          <w:color w:val="000000" w:themeColor="text1"/>
          <w:sz w:val="24"/>
          <w:lang w:eastAsia="zh-CN"/>
          <w14:textFill>
            <w14:solidFill>
              <w14:schemeClr w14:val="tx1"/>
            </w14:solidFill>
          </w14:textFill>
        </w:rPr>
        <w:t>）</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14:paraId="7D6A087B">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14:paraId="67D447AC">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14:paraId="55CE8E64">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p w14:paraId="7039644C">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p w14:paraId="64C9ACDF">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27F9CB31">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w:t>
      </w:r>
    </w:p>
    <w:p w14:paraId="34F4EB05">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14:paraId="46BF2046">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p>
    <w:p w14:paraId="17D0D3CD">
      <w:pPr>
        <w:pStyle w:val="5"/>
        <w:spacing w:before="325" w:beforeLines="100" w:after="487" w:afterLines="150" w:line="500" w:lineRule="exact"/>
        <w:rPr>
          <w:rFonts w:asciiTheme="minorEastAsia" w:hAnsiTheme="minorEastAsia" w:eastAsiaTheme="minorEastAsia" w:cstheme="minorEastAsia"/>
          <w:sz w:val="36"/>
          <w:szCs w:val="36"/>
        </w:rPr>
      </w:pPr>
      <w:bookmarkStart w:id="138" w:name="_Toc15401"/>
      <w:bookmarkStart w:id="139" w:name="_Toc1694"/>
      <w:r>
        <w:rPr>
          <w:rFonts w:hint="eastAsia" w:asciiTheme="minorEastAsia" w:hAnsiTheme="minorEastAsia" w:eastAsiaTheme="minorEastAsia" w:cstheme="minorEastAsia"/>
          <w:sz w:val="36"/>
          <w:szCs w:val="36"/>
        </w:rPr>
        <w:t>第二章  磋商一览表</w:t>
      </w:r>
      <w:bookmarkEnd w:id="138"/>
      <w:bookmarkEnd w:id="139"/>
    </w:p>
    <w:p w14:paraId="6B9A0382">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p>
    <w:p w14:paraId="02E19318">
      <w:pPr>
        <w:kinsoku w:val="0"/>
        <w:spacing w:line="360" w:lineRule="auto"/>
        <w:jc w:val="left"/>
      </w:pPr>
      <w:r>
        <w:rPr>
          <w:rFonts w:hint="eastAsia" w:asciiTheme="minorEastAsia" w:hAnsiTheme="minorEastAsia" w:cstheme="minorEastAsia"/>
          <w:sz w:val="28"/>
          <w:szCs w:val="28"/>
        </w:rPr>
        <w:t>项目编号：</w:t>
      </w:r>
    </w:p>
    <w:p w14:paraId="5367609D">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9"/>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8"/>
        <w:gridCol w:w="3191"/>
        <w:gridCol w:w="3828"/>
      </w:tblGrid>
      <w:tr w14:paraId="28C8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2998" w:type="dxa"/>
            <w:tcBorders>
              <w:tl2br w:val="single" w:color="auto" w:sz="4" w:space="0"/>
            </w:tcBorders>
          </w:tcPr>
          <w:p w14:paraId="747CFDA7">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14:paraId="069A973C">
            <w:pPr>
              <w:kinsoku w:val="0"/>
              <w:spacing w:line="48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响应内容</w:t>
            </w:r>
          </w:p>
        </w:tc>
        <w:tc>
          <w:tcPr>
            <w:tcW w:w="3191" w:type="dxa"/>
            <w:vAlign w:val="center"/>
          </w:tcPr>
          <w:p w14:paraId="6134F149">
            <w:pPr>
              <w:kinsoku w:val="0"/>
              <w:spacing w:line="480" w:lineRule="auto"/>
              <w:jc w:val="center"/>
              <w:rPr>
                <w:rFonts w:ascii="宋体" w:hAnsi="宋体" w:cs="宋体"/>
                <w:szCs w:val="21"/>
              </w:rPr>
            </w:pPr>
            <w:r>
              <w:rPr>
                <w:rFonts w:hint="eastAsia" w:ascii="宋体" w:hAnsi="宋体" w:cs="宋体"/>
                <w:color w:val="000000" w:themeColor="text1"/>
                <w:szCs w:val="21"/>
                <w14:textFill>
                  <w14:solidFill>
                    <w14:schemeClr w14:val="tx1"/>
                  </w14:solidFill>
                </w14:textFill>
              </w:rPr>
              <w:t>磋商总报价（元）</w:t>
            </w:r>
          </w:p>
        </w:tc>
        <w:tc>
          <w:tcPr>
            <w:tcW w:w="3828" w:type="dxa"/>
            <w:vAlign w:val="center"/>
          </w:tcPr>
          <w:p w14:paraId="0E3629AE">
            <w:pPr>
              <w:kinsoku w:val="0"/>
              <w:spacing w:line="480" w:lineRule="auto"/>
              <w:jc w:val="center"/>
              <w:rPr>
                <w:rFonts w:ascii="宋体" w:hAnsi="宋体" w:cs="宋体"/>
                <w:szCs w:val="21"/>
              </w:rPr>
            </w:pPr>
            <w:r>
              <w:rPr>
                <w:rFonts w:hint="eastAsia" w:ascii="宋体" w:hAnsi="宋体" w:cs="宋体"/>
                <w:szCs w:val="21"/>
              </w:rPr>
              <w:t>服务期</w:t>
            </w:r>
          </w:p>
        </w:tc>
      </w:tr>
      <w:tr w14:paraId="4735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2998" w:type="dxa"/>
            <w:vAlign w:val="center"/>
          </w:tcPr>
          <w:p w14:paraId="785F164F">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西安市扶贫信息监测中心巩固脱贫攻坚成果和防返贫监测数据质量评估及分析服务项目</w:t>
            </w:r>
          </w:p>
        </w:tc>
        <w:tc>
          <w:tcPr>
            <w:tcW w:w="3191" w:type="dxa"/>
            <w:vAlign w:val="center"/>
          </w:tcPr>
          <w:p w14:paraId="182713A2">
            <w:pPr>
              <w:pStyle w:val="6"/>
            </w:pPr>
          </w:p>
        </w:tc>
        <w:tc>
          <w:tcPr>
            <w:tcW w:w="3828" w:type="dxa"/>
            <w:vAlign w:val="center"/>
          </w:tcPr>
          <w:p w14:paraId="2EAAD28B">
            <w:pPr>
              <w:kinsoku w:val="0"/>
              <w:spacing w:line="480" w:lineRule="auto"/>
              <w:ind w:firstLine="420" w:firstLineChars="200"/>
              <w:jc w:val="left"/>
              <w:rPr>
                <w:rFonts w:ascii="宋体" w:hAnsi="宋体" w:cs="宋体"/>
                <w:szCs w:val="21"/>
              </w:rPr>
            </w:pPr>
          </w:p>
        </w:tc>
      </w:tr>
      <w:tr w14:paraId="31CF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0017" w:type="dxa"/>
            <w:gridSpan w:val="3"/>
            <w:vAlign w:val="center"/>
          </w:tcPr>
          <w:p w14:paraId="369838DA">
            <w:pPr>
              <w:pStyle w:val="6"/>
              <w:ind w:firstLine="420" w:firstLineChars="200"/>
            </w:pPr>
            <w:r>
              <w:t>备</w:t>
            </w:r>
            <w:r>
              <w:rPr>
                <w:rFonts w:hint="eastAsia"/>
              </w:rPr>
              <w:t xml:space="preserve">注：1、表内报价内容以元为单位，精确到小数点后两位。 </w:t>
            </w:r>
          </w:p>
          <w:p w14:paraId="0AEF1147">
            <w:pPr>
              <w:pStyle w:val="6"/>
            </w:pPr>
            <w:r>
              <w:rPr>
                <w:rFonts w:hint="eastAsia"/>
              </w:rPr>
              <w:t xml:space="preserve">          2、</w:t>
            </w:r>
            <w:r>
              <w:rPr>
                <w:rFonts w:hint="eastAsia" w:ascii="宋体" w:hAnsi="宋体" w:cs="宋体"/>
                <w:szCs w:val="21"/>
              </w:rPr>
              <w:t>服务期</w:t>
            </w:r>
            <w:r>
              <w:rPr>
                <w:rFonts w:hint="eastAsia"/>
              </w:rPr>
              <w:t>见第五部分采购要求。</w:t>
            </w:r>
          </w:p>
        </w:tc>
      </w:tr>
    </w:tbl>
    <w:p w14:paraId="56DC24DF">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w:t>
      </w:r>
    </w:p>
    <w:p w14:paraId="25CC7FDF">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14:paraId="308A9904">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供应商（单位名称及公章）：</w:t>
      </w:r>
    </w:p>
    <w:p w14:paraId="7BF24CBF">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p>
    <w:p w14:paraId="71BA3084">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期：年月日</w:t>
      </w:r>
    </w:p>
    <w:p w14:paraId="63211E5D">
      <w:pPr>
        <w:jc w:val="left"/>
        <w:rPr>
          <w:rFonts w:asciiTheme="minorEastAsia" w:hAnsiTheme="minorEastAsia" w:cstheme="minorEastAsia"/>
          <w:b/>
          <w:sz w:val="32"/>
        </w:rPr>
        <w:sectPr>
          <w:headerReference r:id="rId16" w:type="default"/>
          <w:footerReference r:id="rId17" w:type="default"/>
          <w:pgSz w:w="11906" w:h="16838"/>
          <w:pgMar w:top="1440" w:right="1304" w:bottom="1440" w:left="1304" w:header="851" w:footer="992" w:gutter="0"/>
          <w:pgNumType w:fmt="decimal"/>
          <w:cols w:space="0" w:num="1"/>
          <w:docGrid w:type="lines" w:linePitch="325" w:charSpace="0"/>
        </w:sectPr>
      </w:pPr>
      <w:r>
        <w:rPr>
          <w:rFonts w:hint="eastAsia" w:asciiTheme="minorEastAsia" w:hAnsiTheme="minorEastAsia" w:cstheme="minorEastAsia"/>
          <w:b/>
          <w:sz w:val="32"/>
        </w:rPr>
        <w:br w:type="page"/>
      </w:r>
    </w:p>
    <w:p w14:paraId="25E3A55C">
      <w:pPr>
        <w:ind w:firstLine="1060"/>
        <w:rPr>
          <w:rFonts w:asciiTheme="minorEastAsia" w:hAnsiTheme="minorEastAsia" w:cstheme="minorEastAsia"/>
        </w:rPr>
      </w:pPr>
    </w:p>
    <w:p w14:paraId="28398513">
      <w:pPr>
        <w:pStyle w:val="5"/>
      </w:pPr>
      <w:bookmarkStart w:id="140" w:name="_Toc15612"/>
      <w:r>
        <w:rPr>
          <w:rFonts w:hint="eastAsia"/>
          <w:sz w:val="28"/>
          <w:szCs w:val="28"/>
        </w:rPr>
        <w:t>第三章  分项报价表</w:t>
      </w:r>
      <w:bookmarkEnd w:id="140"/>
    </w:p>
    <w:p w14:paraId="1516DA26">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p>
    <w:p w14:paraId="53A0410E">
      <w:pPr>
        <w:kinsoku w:val="0"/>
        <w:spacing w:line="360" w:lineRule="auto"/>
        <w:jc w:val="left"/>
      </w:pPr>
      <w:r>
        <w:rPr>
          <w:rFonts w:hint="eastAsia" w:asciiTheme="minorEastAsia" w:hAnsiTheme="minorEastAsia" w:cstheme="minorEastAsia"/>
          <w:sz w:val="28"/>
          <w:szCs w:val="28"/>
        </w:rPr>
        <w:t>项目编号：</w:t>
      </w:r>
    </w:p>
    <w:p w14:paraId="0E9C3D32">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 页，第 页</w:t>
      </w:r>
    </w:p>
    <w:tbl>
      <w:tblPr>
        <w:tblStyle w:val="29"/>
        <w:tblpPr w:leftFromText="180" w:rightFromText="180" w:vertAnchor="text" w:horzAnchor="page" w:tblpX="1847" w:tblpY="373"/>
        <w:tblOverlap w:val="never"/>
        <w:tblW w:w="8346" w:type="dxa"/>
        <w:tblInd w:w="0" w:type="dxa"/>
        <w:tblLayout w:type="fixed"/>
        <w:tblCellMar>
          <w:top w:w="0" w:type="dxa"/>
          <w:left w:w="28" w:type="dxa"/>
          <w:bottom w:w="0" w:type="dxa"/>
          <w:right w:w="28" w:type="dxa"/>
        </w:tblCellMar>
      </w:tblPr>
      <w:tblGrid>
        <w:gridCol w:w="820"/>
        <w:gridCol w:w="523"/>
        <w:gridCol w:w="778"/>
        <w:gridCol w:w="1531"/>
        <w:gridCol w:w="1083"/>
        <w:gridCol w:w="1275"/>
        <w:gridCol w:w="1190"/>
        <w:gridCol w:w="1146"/>
      </w:tblGrid>
      <w:tr w14:paraId="38DA2CE5">
        <w:tblPrEx>
          <w:tblCellMar>
            <w:top w:w="0" w:type="dxa"/>
            <w:left w:w="28" w:type="dxa"/>
            <w:bottom w:w="0" w:type="dxa"/>
            <w:right w:w="28" w:type="dxa"/>
          </w:tblCellMar>
        </w:tblPrEx>
        <w:trPr>
          <w:trHeight w:val="832" w:hRule="atLeast"/>
        </w:trPr>
        <w:tc>
          <w:tcPr>
            <w:tcW w:w="820" w:type="dxa"/>
            <w:vMerge w:val="restart"/>
            <w:tcBorders>
              <w:top w:val="single" w:color="auto" w:sz="6" w:space="0"/>
              <w:left w:val="single" w:color="auto" w:sz="6" w:space="0"/>
              <w:right w:val="single" w:color="auto" w:sz="4" w:space="0"/>
            </w:tcBorders>
            <w:vAlign w:val="center"/>
          </w:tcPr>
          <w:p w14:paraId="7D16A15F">
            <w:pPr>
              <w:jc w:val="left"/>
              <w:rPr>
                <w:rFonts w:hint="eastAsia" w:ascii="宋体" w:hAnsi="宋体"/>
                <w:sz w:val="22"/>
              </w:rPr>
            </w:pPr>
            <w:r>
              <w:rPr>
                <w:rFonts w:hint="eastAsia" w:ascii="宋体" w:hAnsi="宋体"/>
                <w:sz w:val="22"/>
              </w:rPr>
              <w:t>服务</w:t>
            </w:r>
          </w:p>
          <w:p w14:paraId="6839C4BA">
            <w:pPr>
              <w:jc w:val="left"/>
              <w:rPr>
                <w:rFonts w:ascii="宋体"/>
                <w:sz w:val="22"/>
              </w:rPr>
            </w:pPr>
            <w:r>
              <w:rPr>
                <w:rFonts w:hint="eastAsia" w:ascii="宋体" w:hAnsi="宋体"/>
                <w:sz w:val="22"/>
              </w:rPr>
              <w:t>费用</w:t>
            </w:r>
          </w:p>
        </w:tc>
        <w:tc>
          <w:tcPr>
            <w:tcW w:w="523" w:type="dxa"/>
            <w:tcBorders>
              <w:top w:val="single" w:color="auto" w:sz="6" w:space="0"/>
              <w:left w:val="single" w:color="auto" w:sz="4" w:space="0"/>
              <w:bottom w:val="single" w:color="auto" w:sz="6" w:space="0"/>
            </w:tcBorders>
            <w:vAlign w:val="center"/>
          </w:tcPr>
          <w:p w14:paraId="0B3D004B">
            <w:pPr>
              <w:spacing w:after="120"/>
              <w:jc w:val="center"/>
              <w:rPr>
                <w:rFonts w:ascii="宋体"/>
                <w:sz w:val="22"/>
              </w:rPr>
            </w:pPr>
            <w:r>
              <w:rPr>
                <w:rFonts w:hint="eastAsia" w:ascii="宋体" w:hAnsi="宋体"/>
                <w:sz w:val="22"/>
              </w:rPr>
              <w:t>序号</w:t>
            </w:r>
          </w:p>
        </w:tc>
        <w:tc>
          <w:tcPr>
            <w:tcW w:w="778" w:type="dxa"/>
            <w:tcBorders>
              <w:top w:val="single" w:color="auto" w:sz="6" w:space="0"/>
              <w:left w:val="single" w:color="auto" w:sz="6" w:space="0"/>
              <w:bottom w:val="single" w:color="auto" w:sz="6" w:space="0"/>
              <w:right w:val="single" w:color="auto" w:sz="6" w:space="0"/>
            </w:tcBorders>
            <w:vAlign w:val="center"/>
          </w:tcPr>
          <w:p w14:paraId="3E41063A">
            <w:pPr>
              <w:spacing w:after="120"/>
              <w:jc w:val="center"/>
              <w:rPr>
                <w:rFonts w:ascii="宋体"/>
                <w:sz w:val="22"/>
              </w:rPr>
            </w:pPr>
            <w:r>
              <w:rPr>
                <w:rFonts w:hint="eastAsia" w:ascii="宋体" w:hAnsi="宋体"/>
                <w:sz w:val="22"/>
              </w:rPr>
              <w:t>名称</w:t>
            </w:r>
          </w:p>
        </w:tc>
        <w:tc>
          <w:tcPr>
            <w:tcW w:w="1531" w:type="dxa"/>
            <w:tcBorders>
              <w:top w:val="single" w:color="auto" w:sz="6" w:space="0"/>
              <w:left w:val="single" w:color="auto" w:sz="6" w:space="0"/>
              <w:bottom w:val="single" w:color="auto" w:sz="6" w:space="0"/>
              <w:right w:val="single" w:color="auto" w:sz="6" w:space="0"/>
            </w:tcBorders>
            <w:vAlign w:val="center"/>
          </w:tcPr>
          <w:p w14:paraId="5F98B5C3">
            <w:pPr>
              <w:spacing w:after="120"/>
              <w:jc w:val="center"/>
              <w:rPr>
                <w:rFonts w:ascii="宋体"/>
                <w:sz w:val="22"/>
              </w:rPr>
            </w:pPr>
            <w:r>
              <w:rPr>
                <w:rFonts w:hint="eastAsia" w:ascii="宋体" w:hAnsi="宋体"/>
                <w:sz w:val="22"/>
              </w:rPr>
              <w:t>服务</w:t>
            </w:r>
            <w:r>
              <w:rPr>
                <w:rFonts w:ascii="宋体" w:hAnsi="宋体"/>
                <w:sz w:val="22"/>
              </w:rPr>
              <w:t>/</w:t>
            </w:r>
            <w:r>
              <w:rPr>
                <w:rFonts w:hint="eastAsia" w:ascii="宋体" w:hAnsi="宋体"/>
                <w:sz w:val="22"/>
              </w:rPr>
              <w:t>费用类型</w:t>
            </w:r>
          </w:p>
        </w:tc>
        <w:tc>
          <w:tcPr>
            <w:tcW w:w="1083" w:type="dxa"/>
            <w:tcBorders>
              <w:top w:val="single" w:color="auto" w:sz="6" w:space="0"/>
              <w:left w:val="single" w:color="auto" w:sz="6" w:space="0"/>
              <w:bottom w:val="single" w:color="auto" w:sz="6" w:space="0"/>
              <w:right w:val="single" w:color="auto" w:sz="6" w:space="0"/>
            </w:tcBorders>
            <w:vAlign w:val="center"/>
          </w:tcPr>
          <w:p w14:paraId="0081D9C1">
            <w:pPr>
              <w:spacing w:before="159" w:beforeLines="50" w:after="120"/>
              <w:jc w:val="center"/>
              <w:rPr>
                <w:rFonts w:ascii="宋体"/>
                <w:sz w:val="22"/>
              </w:rPr>
            </w:pPr>
            <w:r>
              <w:rPr>
                <w:rFonts w:hint="eastAsia" w:ascii="宋体" w:hAnsi="宋体"/>
                <w:sz w:val="22"/>
              </w:rPr>
              <w:t>服务商</w:t>
            </w:r>
          </w:p>
        </w:tc>
        <w:tc>
          <w:tcPr>
            <w:tcW w:w="1275" w:type="dxa"/>
            <w:tcBorders>
              <w:top w:val="single" w:color="auto" w:sz="6" w:space="0"/>
              <w:left w:val="single" w:color="auto" w:sz="6" w:space="0"/>
              <w:bottom w:val="single" w:color="auto" w:sz="6" w:space="0"/>
              <w:right w:val="single" w:color="auto" w:sz="6" w:space="0"/>
            </w:tcBorders>
            <w:vAlign w:val="center"/>
          </w:tcPr>
          <w:p w14:paraId="108B6169">
            <w:pPr>
              <w:spacing w:after="120"/>
              <w:jc w:val="center"/>
              <w:rPr>
                <w:rFonts w:ascii="宋体"/>
                <w:sz w:val="22"/>
              </w:rPr>
            </w:pPr>
            <w:r>
              <w:rPr>
                <w:rFonts w:hint="eastAsia" w:ascii="宋体" w:hAnsi="宋体"/>
                <w:sz w:val="22"/>
              </w:rPr>
              <w:t>数量/单位</w:t>
            </w:r>
          </w:p>
        </w:tc>
        <w:tc>
          <w:tcPr>
            <w:tcW w:w="1190" w:type="dxa"/>
            <w:tcBorders>
              <w:top w:val="single" w:color="auto" w:sz="6" w:space="0"/>
              <w:left w:val="single" w:color="auto" w:sz="6" w:space="0"/>
              <w:bottom w:val="single" w:color="auto" w:sz="6" w:space="0"/>
              <w:right w:val="single" w:color="auto" w:sz="6" w:space="0"/>
            </w:tcBorders>
            <w:vAlign w:val="center"/>
          </w:tcPr>
          <w:p w14:paraId="4E24B7A3">
            <w:pPr>
              <w:spacing w:after="120"/>
              <w:jc w:val="center"/>
              <w:rPr>
                <w:rFonts w:ascii="宋体"/>
                <w:sz w:val="22"/>
              </w:rPr>
            </w:pPr>
            <w:r>
              <w:rPr>
                <w:rFonts w:hint="eastAsia" w:ascii="宋体" w:hAnsi="宋体"/>
                <w:sz w:val="22"/>
              </w:rPr>
              <w:t>单价</w:t>
            </w:r>
          </w:p>
          <w:p w14:paraId="71A5B9EC">
            <w:pPr>
              <w:spacing w:after="120"/>
              <w:jc w:val="center"/>
              <w:rPr>
                <w:rFonts w:ascii="宋体"/>
                <w:bCs/>
                <w:sz w:val="22"/>
              </w:rPr>
            </w:pPr>
            <w:r>
              <w:rPr>
                <w:rFonts w:hint="eastAsia" w:ascii="宋体" w:hAnsi="宋体"/>
                <w:sz w:val="22"/>
              </w:rPr>
              <w:t>（元）</w:t>
            </w:r>
          </w:p>
        </w:tc>
        <w:tc>
          <w:tcPr>
            <w:tcW w:w="1146" w:type="dxa"/>
            <w:tcBorders>
              <w:top w:val="single" w:color="auto" w:sz="6" w:space="0"/>
              <w:left w:val="single" w:color="auto" w:sz="6" w:space="0"/>
              <w:bottom w:val="single" w:color="auto" w:sz="6" w:space="0"/>
              <w:right w:val="single" w:color="auto" w:sz="6" w:space="0"/>
            </w:tcBorders>
            <w:vAlign w:val="center"/>
          </w:tcPr>
          <w:p w14:paraId="7DDA82D3">
            <w:pPr>
              <w:spacing w:after="120"/>
              <w:jc w:val="center"/>
              <w:rPr>
                <w:rFonts w:ascii="宋体"/>
                <w:bCs/>
                <w:sz w:val="22"/>
              </w:rPr>
            </w:pPr>
            <w:r>
              <w:rPr>
                <w:rFonts w:hint="eastAsia" w:ascii="宋体" w:hAnsi="宋体"/>
                <w:bCs/>
                <w:sz w:val="22"/>
              </w:rPr>
              <w:t>总价</w:t>
            </w:r>
          </w:p>
          <w:p w14:paraId="42D9CEAA">
            <w:pPr>
              <w:spacing w:after="120"/>
              <w:jc w:val="center"/>
              <w:rPr>
                <w:rFonts w:ascii="宋体"/>
                <w:bCs/>
                <w:sz w:val="22"/>
              </w:rPr>
            </w:pPr>
            <w:r>
              <w:rPr>
                <w:rFonts w:hint="eastAsia" w:ascii="宋体" w:hAnsi="宋体"/>
                <w:bCs/>
                <w:sz w:val="22"/>
              </w:rPr>
              <w:t>（元）</w:t>
            </w:r>
          </w:p>
        </w:tc>
      </w:tr>
      <w:tr w14:paraId="3071A14D">
        <w:tblPrEx>
          <w:tblCellMar>
            <w:top w:w="0" w:type="dxa"/>
            <w:left w:w="28" w:type="dxa"/>
            <w:bottom w:w="0" w:type="dxa"/>
            <w:right w:w="28" w:type="dxa"/>
          </w:tblCellMar>
        </w:tblPrEx>
        <w:trPr>
          <w:trHeight w:val="696" w:hRule="atLeast"/>
        </w:trPr>
        <w:tc>
          <w:tcPr>
            <w:tcW w:w="820" w:type="dxa"/>
            <w:vMerge w:val="continue"/>
            <w:tcBorders>
              <w:left w:val="single" w:color="auto" w:sz="6" w:space="0"/>
              <w:right w:val="single" w:color="auto" w:sz="4" w:space="0"/>
            </w:tcBorders>
            <w:vAlign w:val="center"/>
          </w:tcPr>
          <w:p w14:paraId="24F91E91">
            <w:pPr>
              <w:spacing w:before="319" w:beforeLines="100"/>
              <w:jc w:val="center"/>
              <w:rPr>
                <w:rFonts w:ascii="宋体"/>
                <w:sz w:val="22"/>
              </w:rPr>
            </w:pPr>
          </w:p>
        </w:tc>
        <w:tc>
          <w:tcPr>
            <w:tcW w:w="523" w:type="dxa"/>
            <w:tcBorders>
              <w:top w:val="single" w:color="auto" w:sz="6" w:space="0"/>
              <w:left w:val="single" w:color="auto" w:sz="4" w:space="0"/>
              <w:bottom w:val="single" w:color="auto" w:sz="4" w:space="0"/>
            </w:tcBorders>
            <w:vAlign w:val="center"/>
          </w:tcPr>
          <w:p w14:paraId="04165E32">
            <w:pPr>
              <w:spacing w:before="319" w:beforeLines="100"/>
              <w:jc w:val="center"/>
              <w:rPr>
                <w:rFonts w:ascii="宋体"/>
                <w:sz w:val="22"/>
              </w:rPr>
            </w:pPr>
            <w:r>
              <w:rPr>
                <w:rFonts w:ascii="宋体" w:hAnsi="宋体"/>
                <w:sz w:val="22"/>
              </w:rPr>
              <w:t>1</w:t>
            </w:r>
          </w:p>
        </w:tc>
        <w:tc>
          <w:tcPr>
            <w:tcW w:w="778" w:type="dxa"/>
            <w:tcBorders>
              <w:top w:val="single" w:color="auto" w:sz="6" w:space="0"/>
              <w:left w:val="single" w:color="auto" w:sz="6" w:space="0"/>
              <w:bottom w:val="single" w:color="auto" w:sz="4" w:space="0"/>
              <w:right w:val="single" w:color="auto" w:sz="6" w:space="0"/>
            </w:tcBorders>
            <w:vAlign w:val="center"/>
          </w:tcPr>
          <w:p w14:paraId="69285C82">
            <w:pPr>
              <w:spacing w:before="159" w:beforeLines="50"/>
              <w:jc w:val="center"/>
              <w:rPr>
                <w:rFonts w:ascii="宋体"/>
                <w:sz w:val="22"/>
              </w:rPr>
            </w:pPr>
          </w:p>
        </w:tc>
        <w:tc>
          <w:tcPr>
            <w:tcW w:w="1531" w:type="dxa"/>
            <w:tcBorders>
              <w:top w:val="single" w:color="auto" w:sz="6" w:space="0"/>
              <w:left w:val="single" w:color="auto" w:sz="6" w:space="0"/>
              <w:bottom w:val="single" w:color="auto" w:sz="4" w:space="0"/>
              <w:right w:val="single" w:color="auto" w:sz="6" w:space="0"/>
            </w:tcBorders>
            <w:vAlign w:val="center"/>
          </w:tcPr>
          <w:p w14:paraId="4C71D7D8">
            <w:pPr>
              <w:jc w:val="center"/>
              <w:rPr>
                <w:rFonts w:ascii="宋体"/>
                <w:sz w:val="22"/>
              </w:rPr>
            </w:pPr>
          </w:p>
        </w:tc>
        <w:tc>
          <w:tcPr>
            <w:tcW w:w="1083" w:type="dxa"/>
            <w:tcBorders>
              <w:top w:val="single" w:color="auto" w:sz="6" w:space="0"/>
              <w:left w:val="single" w:color="auto" w:sz="6" w:space="0"/>
              <w:bottom w:val="single" w:color="auto" w:sz="4" w:space="0"/>
              <w:right w:val="single" w:color="auto" w:sz="6" w:space="0"/>
            </w:tcBorders>
            <w:vAlign w:val="center"/>
          </w:tcPr>
          <w:p w14:paraId="46725388">
            <w:pPr>
              <w:spacing w:before="159" w:beforeLines="50"/>
              <w:jc w:val="center"/>
              <w:rPr>
                <w:rFonts w:ascii="宋体"/>
                <w:sz w:val="22"/>
              </w:rPr>
            </w:pPr>
          </w:p>
        </w:tc>
        <w:tc>
          <w:tcPr>
            <w:tcW w:w="1275" w:type="dxa"/>
            <w:tcBorders>
              <w:top w:val="single" w:color="auto" w:sz="6" w:space="0"/>
              <w:left w:val="single" w:color="auto" w:sz="6" w:space="0"/>
              <w:bottom w:val="single" w:color="auto" w:sz="4" w:space="0"/>
              <w:right w:val="single" w:color="auto" w:sz="6" w:space="0"/>
            </w:tcBorders>
            <w:vAlign w:val="center"/>
          </w:tcPr>
          <w:p w14:paraId="2AFB6EFC">
            <w:pPr>
              <w:spacing w:before="159" w:beforeLines="50"/>
              <w:jc w:val="center"/>
              <w:rPr>
                <w:rFonts w:ascii="宋体"/>
                <w:sz w:val="22"/>
              </w:rPr>
            </w:pPr>
          </w:p>
        </w:tc>
        <w:tc>
          <w:tcPr>
            <w:tcW w:w="1190" w:type="dxa"/>
            <w:tcBorders>
              <w:top w:val="single" w:color="auto" w:sz="6" w:space="0"/>
              <w:left w:val="single" w:color="auto" w:sz="6" w:space="0"/>
              <w:bottom w:val="single" w:color="auto" w:sz="4" w:space="0"/>
              <w:right w:val="single" w:color="auto" w:sz="6" w:space="0"/>
            </w:tcBorders>
            <w:vAlign w:val="center"/>
          </w:tcPr>
          <w:p w14:paraId="0ADD8694">
            <w:pPr>
              <w:spacing w:before="159" w:beforeLines="50"/>
              <w:jc w:val="center"/>
              <w:rPr>
                <w:rFonts w:ascii="宋体"/>
                <w:sz w:val="22"/>
              </w:rPr>
            </w:pPr>
          </w:p>
        </w:tc>
        <w:tc>
          <w:tcPr>
            <w:tcW w:w="1146" w:type="dxa"/>
            <w:tcBorders>
              <w:top w:val="single" w:color="auto" w:sz="6" w:space="0"/>
              <w:left w:val="single" w:color="auto" w:sz="6" w:space="0"/>
              <w:bottom w:val="single" w:color="auto" w:sz="4" w:space="0"/>
              <w:right w:val="single" w:color="auto" w:sz="6" w:space="0"/>
            </w:tcBorders>
            <w:vAlign w:val="center"/>
          </w:tcPr>
          <w:p w14:paraId="6F8084C0">
            <w:pPr>
              <w:spacing w:before="159" w:beforeLines="50"/>
              <w:jc w:val="center"/>
              <w:rPr>
                <w:rFonts w:ascii="宋体"/>
                <w:sz w:val="22"/>
              </w:rPr>
            </w:pPr>
          </w:p>
        </w:tc>
      </w:tr>
      <w:tr w14:paraId="3FCB0401">
        <w:tblPrEx>
          <w:tblCellMar>
            <w:top w:w="0" w:type="dxa"/>
            <w:left w:w="28" w:type="dxa"/>
            <w:bottom w:w="0" w:type="dxa"/>
            <w:right w:w="28" w:type="dxa"/>
          </w:tblCellMar>
        </w:tblPrEx>
        <w:trPr>
          <w:trHeight w:val="691" w:hRule="atLeast"/>
        </w:trPr>
        <w:tc>
          <w:tcPr>
            <w:tcW w:w="820" w:type="dxa"/>
            <w:vMerge w:val="continue"/>
            <w:tcBorders>
              <w:left w:val="single" w:color="auto" w:sz="6" w:space="0"/>
              <w:right w:val="single" w:color="auto" w:sz="4" w:space="0"/>
            </w:tcBorders>
            <w:vAlign w:val="center"/>
          </w:tcPr>
          <w:p w14:paraId="1245E203">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14:paraId="1DFC5B2B">
            <w:pPr>
              <w:spacing w:before="319" w:beforeLines="100"/>
              <w:jc w:val="center"/>
              <w:rPr>
                <w:rFonts w:ascii="宋体"/>
                <w:sz w:val="22"/>
              </w:rPr>
            </w:pPr>
            <w:r>
              <w:rPr>
                <w:rFonts w:ascii="宋体" w:hAnsi="宋体"/>
                <w:sz w:val="22"/>
              </w:rPr>
              <w:t>2</w:t>
            </w:r>
          </w:p>
        </w:tc>
        <w:tc>
          <w:tcPr>
            <w:tcW w:w="778" w:type="dxa"/>
            <w:tcBorders>
              <w:top w:val="single" w:color="auto" w:sz="4" w:space="0"/>
              <w:left w:val="single" w:color="auto" w:sz="6" w:space="0"/>
              <w:bottom w:val="single" w:color="auto" w:sz="6" w:space="0"/>
              <w:right w:val="single" w:color="auto" w:sz="6" w:space="0"/>
            </w:tcBorders>
            <w:vAlign w:val="center"/>
          </w:tcPr>
          <w:p w14:paraId="75423E6F">
            <w:pPr>
              <w:spacing w:before="319" w:beforeLines="10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14:paraId="096222E9">
            <w:pPr>
              <w:jc w:val="center"/>
              <w:rPr>
                <w:rFonts w:ascii="宋体"/>
                <w:sz w:val="22"/>
              </w:rPr>
            </w:pPr>
          </w:p>
        </w:tc>
        <w:tc>
          <w:tcPr>
            <w:tcW w:w="1083" w:type="dxa"/>
            <w:tcBorders>
              <w:top w:val="single" w:color="auto" w:sz="4" w:space="0"/>
              <w:left w:val="single" w:color="auto" w:sz="6" w:space="0"/>
              <w:bottom w:val="single" w:color="auto" w:sz="6" w:space="0"/>
              <w:right w:val="single" w:color="auto" w:sz="6" w:space="0"/>
            </w:tcBorders>
            <w:vAlign w:val="center"/>
          </w:tcPr>
          <w:p w14:paraId="14E1FE6B">
            <w:pPr>
              <w:spacing w:before="159" w:beforeLines="50"/>
              <w:jc w:val="center"/>
              <w:rPr>
                <w:rFonts w:ascii="宋体"/>
                <w:sz w:val="22"/>
              </w:rPr>
            </w:pPr>
          </w:p>
        </w:tc>
        <w:tc>
          <w:tcPr>
            <w:tcW w:w="1275" w:type="dxa"/>
            <w:tcBorders>
              <w:top w:val="single" w:color="auto" w:sz="4" w:space="0"/>
              <w:left w:val="single" w:color="auto" w:sz="6" w:space="0"/>
              <w:bottom w:val="single" w:color="auto" w:sz="6" w:space="0"/>
              <w:right w:val="single" w:color="auto" w:sz="6" w:space="0"/>
            </w:tcBorders>
            <w:vAlign w:val="center"/>
          </w:tcPr>
          <w:p w14:paraId="3CEA0412">
            <w:pPr>
              <w:spacing w:before="159" w:beforeLines="50"/>
              <w:jc w:val="center"/>
              <w:rPr>
                <w:rFonts w:ascii="宋体"/>
                <w:sz w:val="22"/>
              </w:rPr>
            </w:pPr>
          </w:p>
        </w:tc>
        <w:tc>
          <w:tcPr>
            <w:tcW w:w="1190" w:type="dxa"/>
            <w:tcBorders>
              <w:top w:val="single" w:color="auto" w:sz="4" w:space="0"/>
              <w:left w:val="single" w:color="auto" w:sz="6" w:space="0"/>
              <w:bottom w:val="single" w:color="auto" w:sz="6" w:space="0"/>
              <w:right w:val="single" w:color="auto" w:sz="6" w:space="0"/>
            </w:tcBorders>
            <w:vAlign w:val="center"/>
          </w:tcPr>
          <w:p w14:paraId="78AAFF07">
            <w:pPr>
              <w:spacing w:before="159" w:beforeLines="50"/>
              <w:jc w:val="center"/>
              <w:rPr>
                <w:rFonts w:ascii="宋体"/>
                <w:sz w:val="22"/>
              </w:rPr>
            </w:pPr>
          </w:p>
        </w:tc>
        <w:tc>
          <w:tcPr>
            <w:tcW w:w="1146" w:type="dxa"/>
            <w:tcBorders>
              <w:top w:val="single" w:color="auto" w:sz="4" w:space="0"/>
              <w:left w:val="single" w:color="auto" w:sz="6" w:space="0"/>
              <w:bottom w:val="single" w:color="auto" w:sz="6" w:space="0"/>
              <w:right w:val="single" w:color="auto" w:sz="6" w:space="0"/>
            </w:tcBorders>
            <w:vAlign w:val="center"/>
          </w:tcPr>
          <w:p w14:paraId="53069D3D">
            <w:pPr>
              <w:spacing w:before="159" w:beforeLines="50"/>
              <w:jc w:val="center"/>
              <w:rPr>
                <w:rFonts w:ascii="宋体"/>
                <w:sz w:val="22"/>
              </w:rPr>
            </w:pPr>
          </w:p>
        </w:tc>
      </w:tr>
      <w:tr w14:paraId="363E77F6">
        <w:tblPrEx>
          <w:tblCellMar>
            <w:top w:w="0" w:type="dxa"/>
            <w:left w:w="28" w:type="dxa"/>
            <w:bottom w:w="0" w:type="dxa"/>
            <w:right w:w="28" w:type="dxa"/>
          </w:tblCellMar>
        </w:tblPrEx>
        <w:trPr>
          <w:trHeight w:val="696" w:hRule="atLeast"/>
        </w:trPr>
        <w:tc>
          <w:tcPr>
            <w:tcW w:w="820" w:type="dxa"/>
            <w:vMerge w:val="continue"/>
            <w:tcBorders>
              <w:left w:val="single" w:color="auto" w:sz="6" w:space="0"/>
              <w:right w:val="single" w:color="auto" w:sz="4" w:space="0"/>
            </w:tcBorders>
            <w:vAlign w:val="center"/>
          </w:tcPr>
          <w:p w14:paraId="6A6561D8">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14:paraId="4E67803F">
            <w:pPr>
              <w:spacing w:before="319" w:beforeLines="100"/>
              <w:jc w:val="center"/>
              <w:rPr>
                <w:rFonts w:ascii="宋体"/>
                <w:sz w:val="22"/>
              </w:rPr>
            </w:pPr>
            <w:r>
              <w:rPr>
                <w:rFonts w:ascii="宋体" w:hAnsi="宋体"/>
                <w:sz w:val="22"/>
              </w:rPr>
              <w:t>3</w:t>
            </w:r>
          </w:p>
        </w:tc>
        <w:tc>
          <w:tcPr>
            <w:tcW w:w="778" w:type="dxa"/>
            <w:tcBorders>
              <w:top w:val="single" w:color="auto" w:sz="4" w:space="0"/>
              <w:left w:val="single" w:color="auto" w:sz="6" w:space="0"/>
              <w:bottom w:val="single" w:color="auto" w:sz="6" w:space="0"/>
              <w:right w:val="single" w:color="auto" w:sz="6" w:space="0"/>
            </w:tcBorders>
            <w:vAlign w:val="center"/>
          </w:tcPr>
          <w:p w14:paraId="73AFD67D">
            <w:pPr>
              <w:spacing w:before="319" w:beforeLines="10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14:paraId="3BC45EF0">
            <w:pPr>
              <w:jc w:val="center"/>
              <w:rPr>
                <w:rFonts w:ascii="宋体"/>
                <w:sz w:val="22"/>
              </w:rPr>
            </w:pPr>
          </w:p>
        </w:tc>
        <w:tc>
          <w:tcPr>
            <w:tcW w:w="1083" w:type="dxa"/>
            <w:tcBorders>
              <w:top w:val="single" w:color="auto" w:sz="4" w:space="0"/>
              <w:left w:val="single" w:color="auto" w:sz="6" w:space="0"/>
              <w:bottom w:val="single" w:color="auto" w:sz="6" w:space="0"/>
              <w:right w:val="single" w:color="auto" w:sz="6" w:space="0"/>
            </w:tcBorders>
            <w:vAlign w:val="center"/>
          </w:tcPr>
          <w:p w14:paraId="777AFBD2">
            <w:pPr>
              <w:spacing w:before="159" w:beforeLines="50"/>
              <w:jc w:val="center"/>
              <w:rPr>
                <w:rFonts w:ascii="宋体"/>
                <w:sz w:val="22"/>
              </w:rPr>
            </w:pPr>
          </w:p>
        </w:tc>
        <w:tc>
          <w:tcPr>
            <w:tcW w:w="1275" w:type="dxa"/>
            <w:tcBorders>
              <w:top w:val="single" w:color="auto" w:sz="4" w:space="0"/>
              <w:left w:val="single" w:color="auto" w:sz="6" w:space="0"/>
              <w:bottom w:val="single" w:color="auto" w:sz="6" w:space="0"/>
              <w:right w:val="single" w:color="auto" w:sz="6" w:space="0"/>
            </w:tcBorders>
            <w:vAlign w:val="center"/>
          </w:tcPr>
          <w:p w14:paraId="441B90F0">
            <w:pPr>
              <w:spacing w:before="159" w:beforeLines="50"/>
              <w:jc w:val="center"/>
              <w:rPr>
                <w:rFonts w:ascii="宋体"/>
                <w:sz w:val="22"/>
              </w:rPr>
            </w:pPr>
          </w:p>
        </w:tc>
        <w:tc>
          <w:tcPr>
            <w:tcW w:w="1190" w:type="dxa"/>
            <w:tcBorders>
              <w:top w:val="single" w:color="auto" w:sz="4" w:space="0"/>
              <w:left w:val="single" w:color="auto" w:sz="6" w:space="0"/>
              <w:bottom w:val="single" w:color="auto" w:sz="6" w:space="0"/>
              <w:right w:val="single" w:color="auto" w:sz="6" w:space="0"/>
            </w:tcBorders>
            <w:vAlign w:val="center"/>
          </w:tcPr>
          <w:p w14:paraId="70942585">
            <w:pPr>
              <w:spacing w:before="159" w:beforeLines="50"/>
              <w:jc w:val="center"/>
              <w:rPr>
                <w:rFonts w:ascii="宋体"/>
                <w:sz w:val="22"/>
              </w:rPr>
            </w:pPr>
          </w:p>
        </w:tc>
        <w:tc>
          <w:tcPr>
            <w:tcW w:w="1146" w:type="dxa"/>
            <w:tcBorders>
              <w:top w:val="single" w:color="auto" w:sz="4" w:space="0"/>
              <w:left w:val="single" w:color="auto" w:sz="6" w:space="0"/>
              <w:bottom w:val="single" w:color="auto" w:sz="6" w:space="0"/>
              <w:right w:val="single" w:color="auto" w:sz="6" w:space="0"/>
            </w:tcBorders>
            <w:vAlign w:val="center"/>
          </w:tcPr>
          <w:p w14:paraId="7E705374">
            <w:pPr>
              <w:spacing w:before="159" w:beforeLines="50"/>
              <w:jc w:val="center"/>
              <w:rPr>
                <w:rFonts w:ascii="宋体"/>
                <w:sz w:val="22"/>
              </w:rPr>
            </w:pPr>
          </w:p>
        </w:tc>
      </w:tr>
      <w:tr w14:paraId="662A1C04">
        <w:tblPrEx>
          <w:tblCellMar>
            <w:top w:w="0" w:type="dxa"/>
            <w:left w:w="28" w:type="dxa"/>
            <w:bottom w:w="0" w:type="dxa"/>
            <w:right w:w="28" w:type="dxa"/>
          </w:tblCellMar>
        </w:tblPrEx>
        <w:trPr>
          <w:trHeight w:val="894" w:hRule="atLeast"/>
        </w:trPr>
        <w:tc>
          <w:tcPr>
            <w:tcW w:w="820" w:type="dxa"/>
            <w:vMerge w:val="continue"/>
            <w:tcBorders>
              <w:left w:val="single" w:color="auto" w:sz="6" w:space="0"/>
              <w:right w:val="single" w:color="auto" w:sz="4" w:space="0"/>
            </w:tcBorders>
            <w:vAlign w:val="center"/>
          </w:tcPr>
          <w:p w14:paraId="158CE4B9">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14:paraId="592F4434">
            <w:pPr>
              <w:spacing w:before="319" w:beforeLines="100"/>
              <w:jc w:val="center"/>
              <w:rPr>
                <w:rFonts w:ascii="宋体"/>
                <w:sz w:val="22"/>
              </w:rPr>
            </w:pPr>
            <w:r>
              <w:rPr>
                <w:rFonts w:ascii="宋体" w:hAnsi="宋体"/>
                <w:sz w:val="22"/>
              </w:rPr>
              <w:t>4</w:t>
            </w:r>
          </w:p>
        </w:tc>
        <w:tc>
          <w:tcPr>
            <w:tcW w:w="778" w:type="dxa"/>
            <w:tcBorders>
              <w:top w:val="single" w:color="auto" w:sz="4" w:space="0"/>
              <w:left w:val="single" w:color="auto" w:sz="6" w:space="0"/>
              <w:bottom w:val="single" w:color="auto" w:sz="6" w:space="0"/>
              <w:right w:val="single" w:color="auto" w:sz="6" w:space="0"/>
            </w:tcBorders>
            <w:vAlign w:val="center"/>
          </w:tcPr>
          <w:p w14:paraId="0558652C">
            <w:pPr>
              <w:spacing w:before="159" w:beforeLines="50"/>
              <w:jc w:val="center"/>
              <w:rPr>
                <w:rFonts w:ascii="宋体"/>
                <w:sz w:val="22"/>
              </w:rPr>
            </w:pPr>
          </w:p>
        </w:tc>
        <w:tc>
          <w:tcPr>
            <w:tcW w:w="1531" w:type="dxa"/>
            <w:tcBorders>
              <w:top w:val="single" w:color="auto" w:sz="4" w:space="0"/>
              <w:left w:val="single" w:color="auto" w:sz="6" w:space="0"/>
              <w:bottom w:val="single" w:color="auto" w:sz="6" w:space="0"/>
              <w:right w:val="single" w:color="auto" w:sz="6" w:space="0"/>
            </w:tcBorders>
            <w:vAlign w:val="center"/>
          </w:tcPr>
          <w:p w14:paraId="2B2DFA24">
            <w:pPr>
              <w:jc w:val="center"/>
              <w:rPr>
                <w:rFonts w:ascii="宋体"/>
                <w:sz w:val="22"/>
              </w:rPr>
            </w:pPr>
          </w:p>
        </w:tc>
        <w:tc>
          <w:tcPr>
            <w:tcW w:w="1083" w:type="dxa"/>
            <w:tcBorders>
              <w:top w:val="single" w:color="auto" w:sz="4" w:space="0"/>
              <w:left w:val="single" w:color="auto" w:sz="6" w:space="0"/>
              <w:bottom w:val="single" w:color="auto" w:sz="6" w:space="0"/>
              <w:right w:val="single" w:color="auto" w:sz="6" w:space="0"/>
            </w:tcBorders>
            <w:vAlign w:val="center"/>
          </w:tcPr>
          <w:p w14:paraId="1DE1F08D">
            <w:pPr>
              <w:spacing w:before="159" w:beforeLines="50"/>
              <w:jc w:val="center"/>
              <w:rPr>
                <w:rFonts w:ascii="宋体"/>
                <w:sz w:val="22"/>
              </w:rPr>
            </w:pPr>
          </w:p>
        </w:tc>
        <w:tc>
          <w:tcPr>
            <w:tcW w:w="1275" w:type="dxa"/>
            <w:tcBorders>
              <w:top w:val="single" w:color="auto" w:sz="4" w:space="0"/>
              <w:left w:val="single" w:color="auto" w:sz="6" w:space="0"/>
              <w:bottom w:val="single" w:color="auto" w:sz="6" w:space="0"/>
              <w:right w:val="single" w:color="auto" w:sz="6" w:space="0"/>
            </w:tcBorders>
            <w:vAlign w:val="center"/>
          </w:tcPr>
          <w:p w14:paraId="7FD610E8">
            <w:pPr>
              <w:spacing w:before="159" w:beforeLines="50"/>
              <w:jc w:val="center"/>
              <w:rPr>
                <w:rFonts w:ascii="宋体"/>
                <w:sz w:val="22"/>
              </w:rPr>
            </w:pPr>
          </w:p>
        </w:tc>
        <w:tc>
          <w:tcPr>
            <w:tcW w:w="1190" w:type="dxa"/>
            <w:tcBorders>
              <w:top w:val="single" w:color="auto" w:sz="4" w:space="0"/>
              <w:left w:val="single" w:color="auto" w:sz="6" w:space="0"/>
              <w:bottom w:val="single" w:color="auto" w:sz="6" w:space="0"/>
              <w:right w:val="single" w:color="auto" w:sz="6" w:space="0"/>
            </w:tcBorders>
            <w:vAlign w:val="center"/>
          </w:tcPr>
          <w:p w14:paraId="5253A39E">
            <w:pPr>
              <w:spacing w:before="159" w:beforeLines="50"/>
              <w:jc w:val="center"/>
              <w:rPr>
                <w:rFonts w:ascii="宋体"/>
                <w:sz w:val="22"/>
              </w:rPr>
            </w:pPr>
          </w:p>
        </w:tc>
        <w:tc>
          <w:tcPr>
            <w:tcW w:w="1146" w:type="dxa"/>
            <w:tcBorders>
              <w:top w:val="single" w:color="auto" w:sz="4" w:space="0"/>
              <w:left w:val="single" w:color="auto" w:sz="6" w:space="0"/>
              <w:bottom w:val="single" w:color="auto" w:sz="6" w:space="0"/>
              <w:right w:val="single" w:color="auto" w:sz="6" w:space="0"/>
            </w:tcBorders>
            <w:vAlign w:val="center"/>
          </w:tcPr>
          <w:p w14:paraId="6DB8D0AB">
            <w:pPr>
              <w:spacing w:before="159" w:beforeLines="50"/>
              <w:jc w:val="center"/>
              <w:rPr>
                <w:rFonts w:ascii="宋体"/>
                <w:sz w:val="22"/>
              </w:rPr>
            </w:pPr>
          </w:p>
        </w:tc>
      </w:tr>
      <w:tr w14:paraId="6E0290E0">
        <w:tblPrEx>
          <w:tblCellMar>
            <w:top w:w="0" w:type="dxa"/>
            <w:left w:w="28" w:type="dxa"/>
            <w:bottom w:w="0" w:type="dxa"/>
            <w:right w:w="28" w:type="dxa"/>
          </w:tblCellMar>
        </w:tblPrEx>
        <w:trPr>
          <w:trHeight w:val="894" w:hRule="atLeast"/>
        </w:trPr>
        <w:tc>
          <w:tcPr>
            <w:tcW w:w="820" w:type="dxa"/>
            <w:vMerge w:val="continue"/>
            <w:tcBorders>
              <w:left w:val="single" w:color="auto" w:sz="6" w:space="0"/>
              <w:bottom w:val="single" w:color="auto" w:sz="6" w:space="0"/>
              <w:right w:val="single" w:color="auto" w:sz="4" w:space="0"/>
            </w:tcBorders>
            <w:vAlign w:val="center"/>
          </w:tcPr>
          <w:p w14:paraId="7881B4DE">
            <w:pPr>
              <w:spacing w:before="319" w:beforeLines="100"/>
              <w:jc w:val="center"/>
              <w:rPr>
                <w:rFonts w:ascii="宋体"/>
                <w:sz w:val="22"/>
              </w:rPr>
            </w:pPr>
          </w:p>
        </w:tc>
        <w:tc>
          <w:tcPr>
            <w:tcW w:w="523" w:type="dxa"/>
            <w:tcBorders>
              <w:top w:val="single" w:color="auto" w:sz="4" w:space="0"/>
              <w:left w:val="single" w:color="auto" w:sz="4" w:space="0"/>
              <w:bottom w:val="single" w:color="auto" w:sz="6" w:space="0"/>
            </w:tcBorders>
            <w:vAlign w:val="center"/>
          </w:tcPr>
          <w:p w14:paraId="2304ACAD">
            <w:pPr>
              <w:spacing w:before="319" w:beforeLines="100"/>
              <w:jc w:val="center"/>
              <w:rPr>
                <w:rFonts w:ascii="宋体"/>
                <w:sz w:val="22"/>
              </w:rPr>
            </w:pPr>
            <w:r>
              <w:rPr>
                <w:rFonts w:hint="eastAsia" w:ascii="宋体" w:hAnsi="宋体"/>
                <w:sz w:val="22"/>
              </w:rPr>
              <w:t>……</w:t>
            </w:r>
          </w:p>
        </w:tc>
        <w:tc>
          <w:tcPr>
            <w:tcW w:w="778" w:type="dxa"/>
            <w:tcBorders>
              <w:top w:val="single" w:color="auto" w:sz="4" w:space="0"/>
              <w:left w:val="single" w:color="auto" w:sz="6" w:space="0"/>
              <w:bottom w:val="single" w:color="auto" w:sz="6" w:space="0"/>
              <w:right w:val="single" w:color="auto" w:sz="6" w:space="0"/>
            </w:tcBorders>
            <w:vAlign w:val="center"/>
          </w:tcPr>
          <w:p w14:paraId="05611E6D">
            <w:pPr>
              <w:spacing w:before="159" w:beforeLines="50"/>
              <w:jc w:val="center"/>
              <w:rPr>
                <w:rFonts w:ascii="宋体"/>
                <w:sz w:val="22"/>
              </w:rPr>
            </w:pPr>
            <w:r>
              <w:rPr>
                <w:rFonts w:ascii="宋体" w:hAnsi="宋体"/>
                <w:sz w:val="22"/>
              </w:rPr>
              <w:t xml:space="preserve"> </w:t>
            </w:r>
          </w:p>
        </w:tc>
        <w:tc>
          <w:tcPr>
            <w:tcW w:w="1531" w:type="dxa"/>
            <w:tcBorders>
              <w:top w:val="single" w:color="auto" w:sz="4" w:space="0"/>
              <w:left w:val="single" w:color="auto" w:sz="6" w:space="0"/>
              <w:bottom w:val="single" w:color="auto" w:sz="6" w:space="0"/>
              <w:right w:val="single" w:color="auto" w:sz="6" w:space="0"/>
            </w:tcBorders>
            <w:vAlign w:val="center"/>
          </w:tcPr>
          <w:p w14:paraId="79D8EA33">
            <w:pPr>
              <w:jc w:val="center"/>
              <w:rPr>
                <w:rFonts w:ascii="微软雅黑" w:eastAsia="微软雅黑" w:cs="宋体"/>
                <w:sz w:val="24"/>
                <w:szCs w:val="24"/>
              </w:rPr>
            </w:pPr>
            <w:r>
              <w:rPr>
                <w:rFonts w:hint="eastAsia" w:ascii="宋体" w:hAnsi="宋体"/>
                <w:sz w:val="22"/>
              </w:rPr>
              <w:t>……</w:t>
            </w:r>
          </w:p>
        </w:tc>
        <w:tc>
          <w:tcPr>
            <w:tcW w:w="1083" w:type="dxa"/>
            <w:tcBorders>
              <w:top w:val="single" w:color="auto" w:sz="4" w:space="0"/>
              <w:left w:val="single" w:color="auto" w:sz="6" w:space="0"/>
              <w:bottom w:val="single" w:color="auto" w:sz="6" w:space="0"/>
              <w:right w:val="single" w:color="auto" w:sz="6" w:space="0"/>
            </w:tcBorders>
            <w:vAlign w:val="center"/>
          </w:tcPr>
          <w:p w14:paraId="119DA5FC">
            <w:pPr>
              <w:spacing w:before="159" w:beforeLines="50"/>
              <w:jc w:val="center"/>
              <w:rPr>
                <w:rFonts w:ascii="宋体"/>
                <w:sz w:val="22"/>
              </w:rPr>
            </w:pPr>
          </w:p>
        </w:tc>
        <w:tc>
          <w:tcPr>
            <w:tcW w:w="1275" w:type="dxa"/>
            <w:tcBorders>
              <w:top w:val="single" w:color="auto" w:sz="4" w:space="0"/>
              <w:left w:val="single" w:color="auto" w:sz="6" w:space="0"/>
              <w:bottom w:val="single" w:color="auto" w:sz="6" w:space="0"/>
              <w:right w:val="single" w:color="auto" w:sz="6" w:space="0"/>
            </w:tcBorders>
            <w:vAlign w:val="center"/>
          </w:tcPr>
          <w:p w14:paraId="67F566F9">
            <w:pPr>
              <w:spacing w:before="159" w:beforeLines="50"/>
              <w:jc w:val="center"/>
              <w:rPr>
                <w:rFonts w:ascii="宋体"/>
                <w:sz w:val="22"/>
              </w:rPr>
            </w:pPr>
          </w:p>
        </w:tc>
        <w:tc>
          <w:tcPr>
            <w:tcW w:w="1190" w:type="dxa"/>
            <w:tcBorders>
              <w:top w:val="single" w:color="auto" w:sz="4" w:space="0"/>
              <w:left w:val="single" w:color="auto" w:sz="6" w:space="0"/>
              <w:bottom w:val="single" w:color="auto" w:sz="6" w:space="0"/>
              <w:right w:val="single" w:color="auto" w:sz="6" w:space="0"/>
            </w:tcBorders>
            <w:vAlign w:val="center"/>
          </w:tcPr>
          <w:p w14:paraId="4C7C41A9">
            <w:pPr>
              <w:spacing w:before="159" w:beforeLines="50"/>
              <w:jc w:val="center"/>
              <w:rPr>
                <w:rFonts w:ascii="宋体"/>
                <w:sz w:val="22"/>
              </w:rPr>
            </w:pPr>
          </w:p>
        </w:tc>
        <w:tc>
          <w:tcPr>
            <w:tcW w:w="1146" w:type="dxa"/>
            <w:tcBorders>
              <w:top w:val="single" w:color="auto" w:sz="4" w:space="0"/>
              <w:left w:val="single" w:color="auto" w:sz="6" w:space="0"/>
              <w:bottom w:val="single" w:color="auto" w:sz="6" w:space="0"/>
              <w:right w:val="single" w:color="auto" w:sz="6" w:space="0"/>
            </w:tcBorders>
            <w:vAlign w:val="center"/>
          </w:tcPr>
          <w:p w14:paraId="55EFDD1D">
            <w:pPr>
              <w:spacing w:before="159" w:beforeLines="50"/>
              <w:jc w:val="center"/>
              <w:rPr>
                <w:rFonts w:ascii="宋体"/>
                <w:sz w:val="22"/>
              </w:rPr>
            </w:pPr>
          </w:p>
        </w:tc>
      </w:tr>
      <w:tr w14:paraId="689964BC">
        <w:tblPrEx>
          <w:tblCellMar>
            <w:top w:w="0" w:type="dxa"/>
            <w:left w:w="28" w:type="dxa"/>
            <w:bottom w:w="0" w:type="dxa"/>
            <w:right w:w="28" w:type="dxa"/>
          </w:tblCellMar>
        </w:tblPrEx>
        <w:trPr>
          <w:trHeight w:val="565" w:hRule="atLeast"/>
        </w:trPr>
        <w:tc>
          <w:tcPr>
            <w:tcW w:w="2121" w:type="dxa"/>
            <w:gridSpan w:val="3"/>
            <w:tcBorders>
              <w:top w:val="single" w:color="auto" w:sz="4" w:space="0"/>
              <w:left w:val="single" w:color="auto" w:sz="6" w:space="0"/>
              <w:bottom w:val="single" w:color="auto" w:sz="6" w:space="0"/>
              <w:right w:val="single" w:color="auto" w:sz="6" w:space="0"/>
            </w:tcBorders>
            <w:vAlign w:val="center"/>
          </w:tcPr>
          <w:p w14:paraId="737CDE6D">
            <w:pPr>
              <w:jc w:val="center"/>
              <w:rPr>
                <w:rFonts w:ascii="宋体"/>
                <w:sz w:val="22"/>
              </w:rPr>
            </w:pPr>
            <w:r>
              <w:rPr>
                <w:rFonts w:hint="eastAsia" w:ascii="宋体" w:hAnsi="宋体"/>
                <w:sz w:val="22"/>
              </w:rPr>
              <w:t>其他费用</w:t>
            </w:r>
          </w:p>
        </w:tc>
        <w:tc>
          <w:tcPr>
            <w:tcW w:w="1531" w:type="dxa"/>
            <w:tcBorders>
              <w:top w:val="single" w:color="auto" w:sz="4" w:space="0"/>
              <w:left w:val="single" w:color="auto" w:sz="6" w:space="0"/>
              <w:bottom w:val="single" w:color="auto" w:sz="6" w:space="0"/>
              <w:right w:val="single" w:color="auto" w:sz="6" w:space="0"/>
            </w:tcBorders>
            <w:vAlign w:val="center"/>
          </w:tcPr>
          <w:p w14:paraId="186E01F2">
            <w:pPr>
              <w:jc w:val="center"/>
              <w:rPr>
                <w:rFonts w:ascii="宋体"/>
                <w:sz w:val="22"/>
              </w:rPr>
            </w:pPr>
          </w:p>
        </w:tc>
        <w:tc>
          <w:tcPr>
            <w:tcW w:w="4694" w:type="dxa"/>
            <w:gridSpan w:val="4"/>
            <w:tcBorders>
              <w:top w:val="single" w:color="auto" w:sz="4" w:space="0"/>
              <w:left w:val="single" w:color="auto" w:sz="6" w:space="0"/>
              <w:bottom w:val="single" w:color="auto" w:sz="6" w:space="0"/>
              <w:right w:val="single" w:color="auto" w:sz="6" w:space="0"/>
            </w:tcBorders>
            <w:vAlign w:val="center"/>
          </w:tcPr>
          <w:p w14:paraId="4F4D6E9D">
            <w:pPr>
              <w:jc w:val="center"/>
            </w:pPr>
          </w:p>
        </w:tc>
      </w:tr>
      <w:tr w14:paraId="4DB3FED6">
        <w:tblPrEx>
          <w:tblCellMar>
            <w:top w:w="0" w:type="dxa"/>
            <w:left w:w="28" w:type="dxa"/>
            <w:bottom w:w="0" w:type="dxa"/>
            <w:right w:w="28" w:type="dxa"/>
          </w:tblCellMar>
        </w:tblPrEx>
        <w:trPr>
          <w:trHeight w:val="565" w:hRule="atLeast"/>
        </w:trPr>
        <w:tc>
          <w:tcPr>
            <w:tcW w:w="1343" w:type="dxa"/>
            <w:gridSpan w:val="2"/>
            <w:tcBorders>
              <w:top w:val="single" w:color="auto" w:sz="4" w:space="0"/>
              <w:left w:val="single" w:color="auto" w:sz="6" w:space="0"/>
              <w:bottom w:val="single" w:color="auto" w:sz="6" w:space="0"/>
            </w:tcBorders>
            <w:vAlign w:val="center"/>
          </w:tcPr>
          <w:p w14:paraId="5FBA691F">
            <w:pPr>
              <w:rPr>
                <w:rFonts w:ascii="宋体"/>
                <w:sz w:val="22"/>
              </w:rPr>
            </w:pPr>
            <w:r>
              <w:rPr>
                <w:rFonts w:hint="eastAsia" w:ascii="宋体" w:hAnsi="宋体"/>
                <w:sz w:val="22"/>
                <w:lang w:val="en-US" w:eastAsia="zh-CN"/>
              </w:rPr>
              <w:t>磋商</w:t>
            </w:r>
            <w:r>
              <w:rPr>
                <w:rFonts w:hint="eastAsia" w:ascii="宋体" w:hAnsi="宋体"/>
                <w:sz w:val="22"/>
              </w:rPr>
              <w:t>总报价</w:t>
            </w:r>
          </w:p>
        </w:tc>
        <w:tc>
          <w:tcPr>
            <w:tcW w:w="778" w:type="dxa"/>
            <w:tcBorders>
              <w:top w:val="single" w:color="auto" w:sz="4" w:space="0"/>
              <w:left w:val="single" w:color="auto" w:sz="6" w:space="0"/>
              <w:bottom w:val="single" w:color="auto" w:sz="6" w:space="0"/>
              <w:right w:val="single" w:color="auto" w:sz="6" w:space="0"/>
            </w:tcBorders>
            <w:vAlign w:val="center"/>
          </w:tcPr>
          <w:p w14:paraId="0D5FA886">
            <w:pPr>
              <w:spacing w:before="159" w:beforeLines="50"/>
              <w:jc w:val="left"/>
              <w:rPr>
                <w:rFonts w:ascii="宋体"/>
                <w:sz w:val="22"/>
              </w:rPr>
            </w:pPr>
            <w:r>
              <w:rPr>
                <w:rFonts w:hint="eastAsia" w:ascii="宋体" w:hAnsi="宋体"/>
                <w:sz w:val="22"/>
              </w:rPr>
              <w:t>大写：</w:t>
            </w:r>
            <w:r>
              <w:rPr>
                <w:rFonts w:ascii="宋体" w:hAnsi="宋体"/>
                <w:sz w:val="22"/>
              </w:rPr>
              <w:t xml:space="preserve">                       </w:t>
            </w:r>
            <w:r>
              <w:rPr>
                <w:rFonts w:hint="eastAsia" w:ascii="宋体" w:hAnsi="宋体"/>
                <w:sz w:val="22"/>
              </w:rPr>
              <w:t>小写：元</w:t>
            </w:r>
          </w:p>
        </w:tc>
        <w:tc>
          <w:tcPr>
            <w:tcW w:w="6225" w:type="dxa"/>
            <w:gridSpan w:val="5"/>
            <w:tcBorders>
              <w:top w:val="single" w:color="auto" w:sz="4" w:space="0"/>
              <w:left w:val="single" w:color="auto" w:sz="6" w:space="0"/>
              <w:bottom w:val="single" w:color="auto" w:sz="6" w:space="0"/>
              <w:right w:val="single" w:color="auto" w:sz="6" w:space="0"/>
            </w:tcBorders>
            <w:vAlign w:val="center"/>
          </w:tcPr>
          <w:p w14:paraId="29D0E37D">
            <w:pPr>
              <w:spacing w:before="159" w:beforeLines="50"/>
              <w:jc w:val="left"/>
            </w:pPr>
          </w:p>
        </w:tc>
      </w:tr>
      <w:tr w14:paraId="4EA7648E">
        <w:tblPrEx>
          <w:tblCellMar>
            <w:top w:w="0" w:type="dxa"/>
            <w:left w:w="28" w:type="dxa"/>
            <w:bottom w:w="0" w:type="dxa"/>
            <w:right w:w="28" w:type="dxa"/>
          </w:tblCellMar>
        </w:tblPrEx>
        <w:trPr>
          <w:trHeight w:val="647" w:hRule="atLeast"/>
        </w:trPr>
        <w:tc>
          <w:tcPr>
            <w:tcW w:w="1343" w:type="dxa"/>
            <w:gridSpan w:val="2"/>
            <w:tcBorders>
              <w:top w:val="single" w:color="auto" w:sz="4" w:space="0"/>
              <w:left w:val="single" w:color="auto" w:sz="6" w:space="0"/>
              <w:bottom w:val="single" w:color="auto" w:sz="6" w:space="0"/>
            </w:tcBorders>
            <w:vAlign w:val="center"/>
          </w:tcPr>
          <w:p w14:paraId="0D443C13">
            <w:pPr>
              <w:jc w:val="center"/>
              <w:rPr>
                <w:rFonts w:ascii="宋体"/>
                <w:sz w:val="22"/>
              </w:rPr>
            </w:pPr>
            <w:r>
              <w:rPr>
                <w:rFonts w:hint="eastAsia" w:ascii="宋体" w:hAnsi="宋体"/>
                <w:sz w:val="22"/>
              </w:rPr>
              <w:t>备注</w:t>
            </w:r>
          </w:p>
        </w:tc>
        <w:tc>
          <w:tcPr>
            <w:tcW w:w="7003" w:type="dxa"/>
            <w:gridSpan w:val="6"/>
            <w:tcBorders>
              <w:top w:val="single" w:color="auto" w:sz="4" w:space="0"/>
              <w:left w:val="single" w:color="auto" w:sz="6" w:space="0"/>
              <w:bottom w:val="single" w:color="auto" w:sz="6" w:space="0"/>
              <w:right w:val="single" w:color="auto" w:sz="6" w:space="0"/>
            </w:tcBorders>
            <w:vAlign w:val="center"/>
          </w:tcPr>
          <w:p w14:paraId="0DC160B3">
            <w:pPr>
              <w:spacing w:before="159" w:beforeLines="50"/>
              <w:jc w:val="center"/>
              <w:rPr>
                <w:rFonts w:ascii="宋体"/>
                <w:sz w:val="22"/>
              </w:rPr>
            </w:pPr>
            <w:r>
              <w:rPr>
                <w:rFonts w:hint="eastAsia" w:ascii="宋体" w:hAnsi="宋体"/>
                <w:spacing w:val="-6"/>
                <w:sz w:val="22"/>
              </w:rPr>
              <w:t>保留小数点后两位。</w:t>
            </w:r>
          </w:p>
        </w:tc>
      </w:tr>
    </w:tbl>
    <w:p w14:paraId="34AA1DEA">
      <w:pPr>
        <w:kinsoku w:val="0"/>
        <w:spacing w:line="360" w:lineRule="auto"/>
        <w:jc w:val="left"/>
        <w:rPr>
          <w:rFonts w:asciiTheme="minorEastAsia" w:hAnsiTheme="minorEastAsia" w:cstheme="minorEastAsia"/>
          <w:sz w:val="24"/>
        </w:rPr>
      </w:pPr>
    </w:p>
    <w:p w14:paraId="6B7E30B1">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供应商（单位名称及公章）：</w:t>
      </w:r>
    </w:p>
    <w:p w14:paraId="364D23F4">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p>
    <w:p w14:paraId="06502B71">
      <w:pPr>
        <w:adjustRightInd w:val="0"/>
        <w:snapToGrid w:val="0"/>
        <w:spacing w:line="480" w:lineRule="auto"/>
      </w:pPr>
      <w:r>
        <w:rPr>
          <w:rFonts w:hint="eastAsia" w:asciiTheme="minorEastAsia" w:hAnsiTheme="minorEastAsia" w:cstheme="minorEastAsia"/>
          <w:sz w:val="28"/>
          <w:szCs w:val="28"/>
        </w:rPr>
        <w:t>日    期：年月日</w:t>
      </w:r>
      <w:bookmarkStart w:id="141" w:name="_Toc17404"/>
    </w:p>
    <w:bookmarkEnd w:id="141"/>
    <w:p w14:paraId="28782290">
      <w:bookmarkStart w:id="142" w:name="_Toc30178"/>
      <w:bookmarkStart w:id="143" w:name="_Toc3301"/>
      <w:bookmarkStart w:id="144" w:name="_Toc25889"/>
      <w:bookmarkStart w:id="145" w:name="_Toc28294"/>
      <w:bookmarkStart w:id="146" w:name="_Toc8188"/>
      <w:bookmarkStart w:id="147" w:name="_Toc1408"/>
      <w:bookmarkStart w:id="148" w:name="_Toc18357"/>
      <w:r>
        <w:rPr>
          <w:rFonts w:hint="eastAsia"/>
        </w:rPr>
        <w:br w:type="page"/>
      </w:r>
    </w:p>
    <w:p w14:paraId="38187FDE">
      <w:pPr>
        <w:pStyle w:val="5"/>
        <w:rPr>
          <w:sz w:val="28"/>
          <w:szCs w:val="28"/>
        </w:rPr>
      </w:pPr>
      <w:bookmarkStart w:id="149" w:name="_Toc10414"/>
      <w:r>
        <w:rPr>
          <w:rFonts w:hint="eastAsia"/>
          <w:sz w:val="28"/>
          <w:szCs w:val="28"/>
        </w:rPr>
        <w:t>第四章  供应商资质证明资料</w:t>
      </w:r>
      <w:bookmarkEnd w:id="142"/>
      <w:bookmarkEnd w:id="143"/>
      <w:bookmarkEnd w:id="144"/>
      <w:bookmarkEnd w:id="149"/>
    </w:p>
    <w:p w14:paraId="092934BB">
      <w:pPr>
        <w:rPr>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供应商需在此页附磋商公告或磋商文件中要求的资质证明文件，响应文件附资质复印件或扫描件加盖供应商公章。格式参考见下页。</w:t>
      </w:r>
    </w:p>
    <w:p w14:paraId="59F5B474">
      <w:pPr>
        <w:pStyle w:val="10"/>
        <w:rPr>
          <w:color w:val="000000" w:themeColor="text1"/>
          <w:sz w:val="24"/>
          <w:szCs w:val="24"/>
          <w14:textFill>
            <w14:solidFill>
              <w14:schemeClr w14:val="tx1"/>
            </w14:solidFill>
          </w14:textFill>
        </w:rPr>
      </w:pPr>
    </w:p>
    <w:p w14:paraId="2F40C14F">
      <w:pPr>
        <w:pStyle w:val="10"/>
        <w:ind w:firstLine="0"/>
        <w:rPr>
          <w:b/>
          <w:bCs/>
          <w:color w:val="000000" w:themeColor="text1"/>
          <w:sz w:val="28"/>
          <w:szCs w:val="28"/>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p w14:paraId="57915F02">
      <w:pPr>
        <w:pStyle w:val="10"/>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14:paraId="25ED4C6C">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14:paraId="7A42A9A0">
      <w:pPr>
        <w:pStyle w:val="3"/>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14:paraId="68969C70">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14:paraId="46AD0EFA">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14:paraId="479780CD">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14:paraId="5BD51189">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14:paraId="79CC98F7">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14:paraId="2D7B2304">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14:paraId="13B0A1E7">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14:paraId="7ECEDDE0">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14:paraId="44A63E0E">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14:paraId="1D83F7F4">
      <w:pPr>
        <w:pStyle w:val="3"/>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31E59478">
      <w:pPr>
        <w:pStyle w:val="3"/>
        <w:spacing w:line="360" w:lineRule="auto"/>
        <w:ind w:left="0" w:leftChars="0"/>
        <w:rPr>
          <w:rFonts w:ascii="宋体"/>
          <w:color w:val="000000" w:themeColor="text1"/>
          <w:sz w:val="24"/>
          <w:szCs w:val="24"/>
          <w14:textFill>
            <w14:solidFill>
              <w14:schemeClr w14:val="tx1"/>
            </w14:solidFill>
          </w14:textFill>
        </w:rPr>
      </w:pPr>
    </w:p>
    <w:p w14:paraId="69E32B51">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14:paraId="08D84F45">
      <w:pPr>
        <w:spacing w:line="360" w:lineRule="auto"/>
        <w:rPr>
          <w:rFonts w:ascii="宋体"/>
          <w:color w:val="000000" w:themeColor="text1"/>
          <w:sz w:val="24"/>
          <w:szCs w:val="24"/>
          <w14:textFill>
            <w14:solidFill>
              <w14:schemeClr w14:val="tx1"/>
            </w14:solidFill>
          </w14:textFill>
        </w:rPr>
      </w:pPr>
    </w:p>
    <w:p w14:paraId="21B14B61">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14:paraId="7314CF70">
      <w:pPr>
        <w:spacing w:line="360" w:lineRule="auto"/>
        <w:rPr>
          <w:rFonts w:ascii="宋体"/>
          <w:color w:val="000000" w:themeColor="text1"/>
          <w:sz w:val="24"/>
          <w:szCs w:val="24"/>
          <w14:textFill>
            <w14:solidFill>
              <w14:schemeClr w14:val="tx1"/>
            </w14:solidFill>
          </w14:textFill>
        </w:rPr>
      </w:pPr>
    </w:p>
    <w:p w14:paraId="3DFC55D3">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14:paraId="18FC44E0">
      <w:pPr>
        <w:pStyle w:val="10"/>
        <w:ind w:firstLine="0"/>
        <w:rPr>
          <w:color w:val="000000" w:themeColor="text1"/>
          <w14:textFill>
            <w14:solidFill>
              <w14:schemeClr w14:val="tx1"/>
            </w14:solidFill>
          </w14:textFill>
        </w:rPr>
      </w:pPr>
    </w:p>
    <w:p w14:paraId="20FFD809">
      <w:pPr>
        <w:rPr>
          <w:color w:val="000000" w:themeColor="text1"/>
          <w14:textFill>
            <w14:solidFill>
              <w14:schemeClr w14:val="tx1"/>
            </w14:solidFill>
          </w14:textFill>
        </w:rPr>
      </w:pPr>
    </w:p>
    <w:p w14:paraId="213B4307">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br w:type="page"/>
      </w:r>
    </w:p>
    <w:p w14:paraId="1ADDFD47">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14:paraId="3A5CA0D9">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29"/>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14:paraId="5A8681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14:paraId="3FA9E44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w:t>
            </w:r>
          </w:p>
        </w:tc>
        <w:tc>
          <w:tcPr>
            <w:tcW w:w="7105" w:type="dxa"/>
            <w:gridSpan w:val="7"/>
            <w:vAlign w:val="center"/>
          </w:tcPr>
          <w:p w14:paraId="53B176E7">
            <w:pPr>
              <w:rPr>
                <w:color w:val="000000" w:themeColor="text1"/>
                <w14:textFill>
                  <w14:solidFill>
                    <w14:schemeClr w14:val="tx1"/>
                  </w14:solidFill>
                </w14:textFill>
              </w:rPr>
            </w:pPr>
          </w:p>
        </w:tc>
      </w:tr>
      <w:tr w14:paraId="0E5813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14:paraId="26D8B5F3">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3655" w:type="dxa"/>
            <w:gridSpan w:val="3"/>
            <w:vAlign w:val="center"/>
          </w:tcPr>
          <w:p w14:paraId="6B3FBBDE">
            <w:pPr>
              <w:rPr>
                <w:color w:val="000000" w:themeColor="text1"/>
                <w14:textFill>
                  <w14:solidFill>
                    <w14:schemeClr w14:val="tx1"/>
                  </w14:solidFill>
                </w14:textFill>
              </w:rPr>
            </w:pPr>
          </w:p>
        </w:tc>
        <w:tc>
          <w:tcPr>
            <w:tcW w:w="1401" w:type="dxa"/>
            <w:vAlign w:val="center"/>
          </w:tcPr>
          <w:p w14:paraId="282700C9">
            <w:pPr>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049" w:type="dxa"/>
            <w:gridSpan w:val="3"/>
            <w:vAlign w:val="center"/>
          </w:tcPr>
          <w:p w14:paraId="432513DA">
            <w:pPr>
              <w:rPr>
                <w:color w:val="000000" w:themeColor="text1"/>
                <w14:textFill>
                  <w14:solidFill>
                    <w14:schemeClr w14:val="tx1"/>
                  </w14:solidFill>
                </w14:textFill>
              </w:rPr>
            </w:pPr>
          </w:p>
        </w:tc>
      </w:tr>
      <w:tr w14:paraId="3CF202F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48831F6D">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1016" w:type="dxa"/>
            <w:vAlign w:val="center"/>
          </w:tcPr>
          <w:p w14:paraId="11BA8003">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2639" w:type="dxa"/>
            <w:gridSpan w:val="2"/>
            <w:vAlign w:val="center"/>
          </w:tcPr>
          <w:p w14:paraId="3AEBEA79">
            <w:pPr>
              <w:rPr>
                <w:color w:val="000000" w:themeColor="text1"/>
                <w14:textFill>
                  <w14:solidFill>
                    <w14:schemeClr w14:val="tx1"/>
                  </w14:solidFill>
                </w14:textFill>
              </w:rPr>
            </w:pPr>
          </w:p>
        </w:tc>
        <w:tc>
          <w:tcPr>
            <w:tcW w:w="1401" w:type="dxa"/>
            <w:vAlign w:val="center"/>
          </w:tcPr>
          <w:p w14:paraId="1D327A7C">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2049" w:type="dxa"/>
            <w:gridSpan w:val="3"/>
            <w:vAlign w:val="center"/>
          </w:tcPr>
          <w:p w14:paraId="30200F2C">
            <w:pPr>
              <w:rPr>
                <w:color w:val="000000" w:themeColor="text1"/>
                <w14:textFill>
                  <w14:solidFill>
                    <w14:schemeClr w14:val="tx1"/>
                  </w14:solidFill>
                </w14:textFill>
              </w:rPr>
            </w:pPr>
          </w:p>
        </w:tc>
      </w:tr>
      <w:tr w14:paraId="5E3D7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23382586">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组织结构</w:t>
            </w:r>
          </w:p>
        </w:tc>
        <w:tc>
          <w:tcPr>
            <w:tcW w:w="7105" w:type="dxa"/>
            <w:gridSpan w:val="7"/>
            <w:vAlign w:val="center"/>
          </w:tcPr>
          <w:p w14:paraId="4DE98863">
            <w:pPr>
              <w:rPr>
                <w:color w:val="000000" w:themeColor="text1"/>
                <w14:textFill>
                  <w14:solidFill>
                    <w14:schemeClr w14:val="tx1"/>
                  </w14:solidFill>
                </w14:textFill>
              </w:rPr>
            </w:pPr>
          </w:p>
        </w:tc>
      </w:tr>
      <w:tr w14:paraId="02EE4B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14:paraId="2D893F07">
            <w:pP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1016" w:type="dxa"/>
            <w:vAlign w:val="center"/>
          </w:tcPr>
          <w:p w14:paraId="5B113A68">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14:paraId="0B530141">
            <w:pPr>
              <w:rPr>
                <w:color w:val="000000" w:themeColor="text1"/>
                <w14:textFill>
                  <w14:solidFill>
                    <w14:schemeClr w14:val="tx1"/>
                  </w14:solidFill>
                </w14:textFill>
              </w:rPr>
            </w:pPr>
          </w:p>
        </w:tc>
        <w:tc>
          <w:tcPr>
            <w:tcW w:w="1324" w:type="dxa"/>
            <w:vAlign w:val="center"/>
          </w:tcPr>
          <w:p w14:paraId="2B8378CB">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14:paraId="0950D8DA">
            <w:pPr>
              <w:rPr>
                <w:color w:val="000000" w:themeColor="text1"/>
                <w14:textFill>
                  <w14:solidFill>
                    <w14:schemeClr w14:val="tx1"/>
                  </w14:solidFill>
                </w14:textFill>
              </w:rPr>
            </w:pPr>
          </w:p>
        </w:tc>
        <w:tc>
          <w:tcPr>
            <w:tcW w:w="902" w:type="dxa"/>
            <w:gridSpan w:val="2"/>
            <w:vAlign w:val="center"/>
          </w:tcPr>
          <w:p w14:paraId="377CA03B">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14:paraId="23551803">
            <w:pPr>
              <w:rPr>
                <w:color w:val="000000" w:themeColor="text1"/>
                <w14:textFill>
                  <w14:solidFill>
                    <w14:schemeClr w14:val="tx1"/>
                  </w14:solidFill>
                </w14:textFill>
              </w:rPr>
            </w:pPr>
          </w:p>
        </w:tc>
      </w:tr>
      <w:tr w14:paraId="2A3A22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14:paraId="4132C9FB">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技术负责人</w:t>
            </w:r>
          </w:p>
        </w:tc>
        <w:tc>
          <w:tcPr>
            <w:tcW w:w="1016" w:type="dxa"/>
            <w:vAlign w:val="center"/>
          </w:tcPr>
          <w:p w14:paraId="22DE4395">
            <w:pP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315" w:type="dxa"/>
            <w:vAlign w:val="center"/>
          </w:tcPr>
          <w:p w14:paraId="74079841">
            <w:pPr>
              <w:rPr>
                <w:color w:val="000000" w:themeColor="text1"/>
                <w14:textFill>
                  <w14:solidFill>
                    <w14:schemeClr w14:val="tx1"/>
                  </w14:solidFill>
                </w14:textFill>
              </w:rPr>
            </w:pPr>
          </w:p>
        </w:tc>
        <w:tc>
          <w:tcPr>
            <w:tcW w:w="1324" w:type="dxa"/>
            <w:vAlign w:val="center"/>
          </w:tcPr>
          <w:p w14:paraId="2C97AF3B">
            <w:pP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401" w:type="dxa"/>
            <w:vAlign w:val="center"/>
          </w:tcPr>
          <w:p w14:paraId="105BD4F0">
            <w:pPr>
              <w:rPr>
                <w:color w:val="000000" w:themeColor="text1"/>
                <w14:textFill>
                  <w14:solidFill>
                    <w14:schemeClr w14:val="tx1"/>
                  </w14:solidFill>
                </w14:textFill>
              </w:rPr>
            </w:pPr>
          </w:p>
        </w:tc>
        <w:tc>
          <w:tcPr>
            <w:tcW w:w="902" w:type="dxa"/>
            <w:gridSpan w:val="2"/>
            <w:vAlign w:val="center"/>
          </w:tcPr>
          <w:p w14:paraId="374198AA">
            <w:pPr>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147" w:type="dxa"/>
            <w:vAlign w:val="center"/>
          </w:tcPr>
          <w:p w14:paraId="76D9B48E">
            <w:pPr>
              <w:rPr>
                <w:color w:val="000000" w:themeColor="text1"/>
                <w14:textFill>
                  <w14:solidFill>
                    <w14:schemeClr w14:val="tx1"/>
                  </w14:solidFill>
                </w14:textFill>
              </w:rPr>
            </w:pPr>
          </w:p>
        </w:tc>
      </w:tr>
      <w:tr w14:paraId="339282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20B04C36">
            <w:pPr>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p>
        </w:tc>
        <w:tc>
          <w:tcPr>
            <w:tcW w:w="2331" w:type="dxa"/>
            <w:gridSpan w:val="2"/>
            <w:vAlign w:val="center"/>
          </w:tcPr>
          <w:p w14:paraId="1ABC82C9">
            <w:pPr>
              <w:rPr>
                <w:color w:val="000000" w:themeColor="text1"/>
                <w14:textFill>
                  <w14:solidFill>
                    <w14:schemeClr w14:val="tx1"/>
                  </w14:solidFill>
                </w14:textFill>
              </w:rPr>
            </w:pPr>
          </w:p>
        </w:tc>
        <w:tc>
          <w:tcPr>
            <w:tcW w:w="4774" w:type="dxa"/>
            <w:gridSpan w:val="5"/>
            <w:vAlign w:val="center"/>
          </w:tcPr>
          <w:p w14:paraId="2FA44076">
            <w:pPr>
              <w:rPr>
                <w:color w:val="000000" w:themeColor="text1"/>
                <w14:textFill>
                  <w14:solidFill>
                    <w14:schemeClr w14:val="tx1"/>
                  </w14:solidFill>
                </w14:textFill>
              </w:rPr>
            </w:pPr>
            <w:r>
              <w:rPr>
                <w:rFonts w:hint="eastAsia"/>
                <w:color w:val="000000" w:themeColor="text1"/>
                <w14:textFill>
                  <w14:solidFill>
                    <w14:schemeClr w14:val="tx1"/>
                  </w14:solidFill>
                </w14:textFill>
              </w:rPr>
              <w:t>员工总人数：</w:t>
            </w:r>
          </w:p>
        </w:tc>
      </w:tr>
      <w:tr w14:paraId="2D5B98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2BABB219">
            <w:pPr>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w:t>
            </w:r>
          </w:p>
        </w:tc>
        <w:tc>
          <w:tcPr>
            <w:tcW w:w="2331" w:type="dxa"/>
            <w:gridSpan w:val="2"/>
            <w:vAlign w:val="center"/>
          </w:tcPr>
          <w:p w14:paraId="1DE0870A">
            <w:pPr>
              <w:rPr>
                <w:color w:val="000000" w:themeColor="text1"/>
                <w14:textFill>
                  <w14:solidFill>
                    <w14:schemeClr w14:val="tx1"/>
                  </w14:solidFill>
                </w14:textFill>
              </w:rPr>
            </w:pPr>
          </w:p>
        </w:tc>
        <w:tc>
          <w:tcPr>
            <w:tcW w:w="1324" w:type="dxa"/>
            <w:vMerge w:val="restart"/>
            <w:vAlign w:val="center"/>
          </w:tcPr>
          <w:p w14:paraId="5EAECCB1">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14:paraId="77B1EBE5">
            <w:pPr>
              <w:rPr>
                <w:color w:val="000000" w:themeColor="text1"/>
                <w14:textFill>
                  <w14:solidFill>
                    <w14:schemeClr w14:val="tx1"/>
                  </w14:solidFill>
                </w14:textFill>
              </w:rPr>
            </w:pPr>
            <w:r>
              <w:rPr>
                <w:rFonts w:hint="eastAsia"/>
                <w:color w:val="000000" w:themeColor="text1"/>
                <w14:textFill>
                  <w14:solidFill>
                    <w14:schemeClr w14:val="tx1"/>
                  </w14:solidFill>
                </w14:textFill>
              </w:rPr>
              <w:t>高级职称人员</w:t>
            </w:r>
          </w:p>
        </w:tc>
        <w:tc>
          <w:tcPr>
            <w:tcW w:w="1881" w:type="dxa"/>
            <w:gridSpan w:val="2"/>
            <w:vAlign w:val="center"/>
          </w:tcPr>
          <w:p w14:paraId="16F6B922">
            <w:pPr>
              <w:rPr>
                <w:color w:val="000000" w:themeColor="text1"/>
                <w14:textFill>
                  <w14:solidFill>
                    <w14:schemeClr w14:val="tx1"/>
                  </w14:solidFill>
                </w14:textFill>
              </w:rPr>
            </w:pPr>
          </w:p>
        </w:tc>
      </w:tr>
      <w:tr w14:paraId="783E3D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1BAEA9B5">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注册资金</w:t>
            </w:r>
          </w:p>
        </w:tc>
        <w:tc>
          <w:tcPr>
            <w:tcW w:w="2331" w:type="dxa"/>
            <w:gridSpan w:val="2"/>
            <w:vAlign w:val="center"/>
          </w:tcPr>
          <w:p w14:paraId="3149AED1">
            <w:pPr>
              <w:rPr>
                <w:color w:val="000000" w:themeColor="text1"/>
                <w14:textFill>
                  <w14:solidFill>
                    <w14:schemeClr w14:val="tx1"/>
                  </w14:solidFill>
                </w14:textFill>
              </w:rPr>
            </w:pPr>
          </w:p>
        </w:tc>
        <w:tc>
          <w:tcPr>
            <w:tcW w:w="1324" w:type="dxa"/>
            <w:vMerge w:val="continue"/>
            <w:vAlign w:val="center"/>
          </w:tcPr>
          <w:p w14:paraId="4961ECB1">
            <w:pPr>
              <w:rPr>
                <w:color w:val="000000" w:themeColor="text1"/>
                <w14:textFill>
                  <w14:solidFill>
                    <w14:schemeClr w14:val="tx1"/>
                  </w14:solidFill>
                </w14:textFill>
              </w:rPr>
            </w:pPr>
          </w:p>
        </w:tc>
        <w:tc>
          <w:tcPr>
            <w:tcW w:w="1569" w:type="dxa"/>
            <w:gridSpan w:val="2"/>
            <w:vAlign w:val="center"/>
          </w:tcPr>
          <w:p w14:paraId="00E53F85">
            <w:pPr>
              <w:rPr>
                <w:color w:val="000000" w:themeColor="text1"/>
                <w14:textFill>
                  <w14:solidFill>
                    <w14:schemeClr w14:val="tx1"/>
                  </w14:solidFill>
                </w14:textFill>
              </w:rPr>
            </w:pPr>
            <w:r>
              <w:rPr>
                <w:rFonts w:hint="eastAsia"/>
                <w:color w:val="000000" w:themeColor="text1"/>
                <w14:textFill>
                  <w14:solidFill>
                    <w14:schemeClr w14:val="tx1"/>
                  </w14:solidFill>
                </w14:textFill>
              </w:rPr>
              <w:t>中级职称人员</w:t>
            </w:r>
          </w:p>
        </w:tc>
        <w:tc>
          <w:tcPr>
            <w:tcW w:w="1881" w:type="dxa"/>
            <w:gridSpan w:val="2"/>
            <w:vAlign w:val="center"/>
          </w:tcPr>
          <w:p w14:paraId="05DD9D63">
            <w:pPr>
              <w:rPr>
                <w:color w:val="000000" w:themeColor="text1"/>
                <w14:textFill>
                  <w14:solidFill>
                    <w14:schemeClr w14:val="tx1"/>
                  </w14:solidFill>
                </w14:textFill>
              </w:rPr>
            </w:pPr>
          </w:p>
        </w:tc>
      </w:tr>
      <w:tr w14:paraId="61886B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6B3790E1">
            <w:pPr>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331" w:type="dxa"/>
            <w:gridSpan w:val="2"/>
            <w:vAlign w:val="center"/>
          </w:tcPr>
          <w:p w14:paraId="30C3C940">
            <w:pPr>
              <w:rPr>
                <w:color w:val="000000" w:themeColor="text1"/>
                <w14:textFill>
                  <w14:solidFill>
                    <w14:schemeClr w14:val="tx1"/>
                  </w14:solidFill>
                </w14:textFill>
              </w:rPr>
            </w:pPr>
          </w:p>
        </w:tc>
        <w:tc>
          <w:tcPr>
            <w:tcW w:w="1324" w:type="dxa"/>
            <w:vMerge w:val="continue"/>
            <w:vAlign w:val="center"/>
          </w:tcPr>
          <w:p w14:paraId="1F7DCFAA">
            <w:pPr>
              <w:rPr>
                <w:color w:val="000000" w:themeColor="text1"/>
                <w14:textFill>
                  <w14:solidFill>
                    <w14:schemeClr w14:val="tx1"/>
                  </w14:solidFill>
                </w14:textFill>
              </w:rPr>
            </w:pPr>
          </w:p>
        </w:tc>
        <w:tc>
          <w:tcPr>
            <w:tcW w:w="1569" w:type="dxa"/>
            <w:gridSpan w:val="2"/>
            <w:vAlign w:val="center"/>
          </w:tcPr>
          <w:p w14:paraId="24FF3D3C">
            <w:pPr>
              <w:rPr>
                <w:color w:val="000000" w:themeColor="text1"/>
                <w14:textFill>
                  <w14:solidFill>
                    <w14:schemeClr w14:val="tx1"/>
                  </w14:solidFill>
                </w14:textFill>
              </w:rPr>
            </w:pPr>
            <w:r>
              <w:rPr>
                <w:rFonts w:hint="eastAsia"/>
                <w:color w:val="000000" w:themeColor="text1"/>
                <w14:textFill>
                  <w14:solidFill>
                    <w14:schemeClr w14:val="tx1"/>
                  </w14:solidFill>
                </w14:textFill>
              </w:rPr>
              <w:t>初级职称人员</w:t>
            </w:r>
          </w:p>
        </w:tc>
        <w:tc>
          <w:tcPr>
            <w:tcW w:w="1881" w:type="dxa"/>
            <w:gridSpan w:val="2"/>
            <w:vAlign w:val="center"/>
          </w:tcPr>
          <w:p w14:paraId="2D3AB33A">
            <w:pPr>
              <w:rPr>
                <w:color w:val="000000" w:themeColor="text1"/>
                <w14:textFill>
                  <w14:solidFill>
                    <w14:schemeClr w14:val="tx1"/>
                  </w14:solidFill>
                </w14:textFill>
              </w:rPr>
            </w:pPr>
          </w:p>
        </w:tc>
      </w:tr>
      <w:tr w14:paraId="7EDFCB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14:paraId="07E5587B">
            <w:pPr>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2331" w:type="dxa"/>
            <w:gridSpan w:val="2"/>
            <w:vAlign w:val="center"/>
          </w:tcPr>
          <w:p w14:paraId="4AE3FCAE">
            <w:pPr>
              <w:rPr>
                <w:color w:val="000000" w:themeColor="text1"/>
                <w14:textFill>
                  <w14:solidFill>
                    <w14:schemeClr w14:val="tx1"/>
                  </w14:solidFill>
                </w14:textFill>
              </w:rPr>
            </w:pPr>
          </w:p>
        </w:tc>
        <w:tc>
          <w:tcPr>
            <w:tcW w:w="1324" w:type="dxa"/>
            <w:vMerge w:val="continue"/>
            <w:vAlign w:val="center"/>
          </w:tcPr>
          <w:p w14:paraId="2CB5D2EC">
            <w:pPr>
              <w:rPr>
                <w:color w:val="000000" w:themeColor="text1"/>
                <w14:textFill>
                  <w14:solidFill>
                    <w14:schemeClr w14:val="tx1"/>
                  </w14:solidFill>
                </w14:textFill>
              </w:rPr>
            </w:pPr>
          </w:p>
        </w:tc>
        <w:tc>
          <w:tcPr>
            <w:tcW w:w="1569" w:type="dxa"/>
            <w:gridSpan w:val="2"/>
            <w:vAlign w:val="center"/>
          </w:tcPr>
          <w:p w14:paraId="0F858742">
            <w:pPr>
              <w:rPr>
                <w:color w:val="000000" w:themeColor="text1"/>
                <w14:textFill>
                  <w14:solidFill>
                    <w14:schemeClr w14:val="tx1"/>
                  </w14:solidFill>
                </w14:textFill>
              </w:rPr>
            </w:pPr>
            <w:r>
              <w:rPr>
                <w:rFonts w:hint="eastAsia"/>
                <w:color w:val="000000" w:themeColor="text1"/>
                <w14:textFill>
                  <w14:solidFill>
                    <w14:schemeClr w14:val="tx1"/>
                  </w14:solidFill>
                </w14:textFill>
              </w:rPr>
              <w:t>技工</w:t>
            </w:r>
          </w:p>
        </w:tc>
        <w:tc>
          <w:tcPr>
            <w:tcW w:w="1881" w:type="dxa"/>
            <w:gridSpan w:val="2"/>
            <w:vAlign w:val="center"/>
          </w:tcPr>
          <w:p w14:paraId="2E15C4F5">
            <w:pPr>
              <w:rPr>
                <w:color w:val="000000" w:themeColor="text1"/>
                <w14:textFill>
                  <w14:solidFill>
                    <w14:schemeClr w14:val="tx1"/>
                  </w14:solidFill>
                </w14:textFill>
              </w:rPr>
            </w:pPr>
          </w:p>
        </w:tc>
      </w:tr>
      <w:tr w14:paraId="57DA3B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14:paraId="21CFC820">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w:t>
            </w:r>
          </w:p>
        </w:tc>
        <w:tc>
          <w:tcPr>
            <w:tcW w:w="7105" w:type="dxa"/>
            <w:gridSpan w:val="7"/>
            <w:vAlign w:val="center"/>
          </w:tcPr>
          <w:p w14:paraId="0E4A5495">
            <w:pPr>
              <w:rPr>
                <w:color w:val="000000" w:themeColor="text1"/>
                <w14:textFill>
                  <w14:solidFill>
                    <w14:schemeClr w14:val="tx1"/>
                  </w14:solidFill>
                </w14:textFill>
              </w:rPr>
            </w:pPr>
          </w:p>
        </w:tc>
      </w:tr>
      <w:tr w14:paraId="733796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14:paraId="1ADFE213">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105" w:type="dxa"/>
            <w:gridSpan w:val="7"/>
          </w:tcPr>
          <w:p w14:paraId="714D4F39">
            <w:pPr>
              <w:rPr>
                <w:color w:val="000000" w:themeColor="text1"/>
                <w14:textFill>
                  <w14:solidFill>
                    <w14:schemeClr w14:val="tx1"/>
                  </w14:solidFill>
                </w14:textFill>
              </w:rPr>
            </w:pPr>
          </w:p>
        </w:tc>
      </w:tr>
    </w:tbl>
    <w:p w14:paraId="63E62484">
      <w:pPr>
        <w:rPr>
          <w:color w:val="000000" w:themeColor="text1"/>
          <w14:textFill>
            <w14:solidFill>
              <w14:schemeClr w14:val="tx1"/>
            </w14:solidFill>
          </w14:textFill>
        </w:rPr>
      </w:pPr>
    </w:p>
    <w:p w14:paraId="5A0B59D8">
      <w:pPr>
        <w:spacing w:line="360" w:lineRule="auto"/>
        <w:rPr>
          <w:rFonts w:ascii="宋体" w:hAnsi="宋体" w:cs="宋体"/>
          <w:color w:val="000000" w:themeColor="text1"/>
          <w:sz w:val="24"/>
          <w:szCs w:val="24"/>
          <w14:textFill>
            <w14:solidFill>
              <w14:schemeClr w14:val="tx1"/>
            </w14:solidFill>
          </w14:textFill>
        </w:rPr>
      </w:pPr>
    </w:p>
    <w:p w14:paraId="00E26577">
      <w:pPr>
        <w:spacing w:line="360" w:lineRule="auto"/>
        <w:rPr>
          <w:rFonts w:hAnsi="宋体"/>
          <w:color w:val="000000" w:themeColor="text1"/>
          <w:sz w:val="24"/>
          <w:szCs w:val="24"/>
          <w:u w:val="single"/>
          <w14:textFill>
            <w14:solidFill>
              <w14:schemeClr w14:val="tx1"/>
            </w14:solidFill>
          </w14:textFill>
        </w:rPr>
      </w:pPr>
    </w:p>
    <w:p w14:paraId="199E8835">
      <w:pPr>
        <w:spacing w:line="360" w:lineRule="auto"/>
        <w:rPr>
          <w:b/>
          <w:bCs/>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14:paraId="0DA80DDD">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14:paraId="493ED0F7">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9"/>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14:paraId="18A4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14:paraId="7177F9B1">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14:paraId="6174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416FA0EA">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14:paraId="67261BF5">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14:paraId="7D61DDCF">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64A824CC">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14:paraId="035DBDAA">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14:paraId="50ECC7E6">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3E8B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4FD4B26C">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238C9216">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14:paraId="5208C7E0">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13A4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3CA4F696">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0F47F89E">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14:paraId="555A8563">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683D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512704E7">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3211FFE3">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14:paraId="73D4908D">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2A5B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6EB60AC2">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5CE933C0">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14:paraId="3DE6CAFB">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2B2C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790A427B">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0162153F">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14:paraId="3DE06079">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14:paraId="4F6AC3CA">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14:paraId="4C065953">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14:paraId="0BC4935B">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14:paraId="5C956ACC">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14:paraId="7CA0C129">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14:paraId="52E7B831">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14:paraId="4BC2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573CEEE5">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4BAF3D9D">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14:paraId="08946D7E">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14:paraId="34128DA3">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14:paraId="3566EBB4">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14:paraId="1CAF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14:paraId="01259EA7">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1E69BDD9">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14:paraId="3F772917">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4F06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14:paraId="0D06AF86">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72E8E82A">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14:paraId="3D483946">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14:paraId="14DDC97D">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14:paraId="1C095F94">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14:paraId="2FF1BB78">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14:paraId="2B71636C">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14:paraId="0F5EDFB7">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14:paraId="5FFCFCF9">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14:paraId="4926EBF0">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14:paraId="7CDA7C25">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14:paraId="2D6536FD">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14:paraId="5EEB74B4">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14:paraId="3740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14:paraId="3F3864F5">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14:paraId="547BC4F6">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14:paraId="276B29F6">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（供应商公章）</w:t>
            </w:r>
          </w:p>
          <w:p w14:paraId="41FF2A7B">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2B253732">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6AE2155F">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51CDAB4C">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14:paraId="3D682D36">
      <w:pPr>
        <w:pStyle w:val="8"/>
        <w:rPr>
          <w:rFonts w:hint="default"/>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p w14:paraId="37E11AE2">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14:paraId="0852971F">
      <w:pPr>
        <w:pStyle w:val="15"/>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14:paraId="65466F3B">
      <w:pPr>
        <w:pStyle w:val="15"/>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14:paraId="723A2F2D">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       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14:paraId="16DD509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本授权书有效期自投标文件递交截止之日</w:t>
      </w:r>
      <w:r>
        <w:rPr>
          <w:rFonts w:hint="eastAsia" w:ascii="宋体" w:hAnsi="宋体" w:cs="宋体"/>
          <w:color w:val="000000" w:themeColor="text1"/>
          <w:sz w:val="24"/>
          <w:u w:val="single"/>
          <w14:textFill>
            <w14:solidFill>
              <w14:schemeClr w14:val="tx1"/>
            </w14:solidFill>
          </w14:textFill>
        </w:rPr>
        <w:t>起 90日历天</w:t>
      </w:r>
      <w:r>
        <w:rPr>
          <w:rFonts w:hint="eastAsia" w:ascii="宋体" w:hAnsi="宋体" w:cs="宋体"/>
          <w:color w:val="000000" w:themeColor="text1"/>
          <w:sz w:val="24"/>
          <w14:textFill>
            <w14:solidFill>
              <w14:schemeClr w14:val="tx1"/>
            </w14:solidFill>
          </w14:textFill>
        </w:rPr>
        <w:t>，特此声明</w:t>
      </w:r>
    </w:p>
    <w:p w14:paraId="60CD4F42">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14:paraId="0FD9B6E4">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14:paraId="5E71AFE3">
      <w:pPr>
        <w:pStyle w:val="15"/>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14:paraId="2657EE2A">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14:paraId="0D7F3507">
      <w:pPr>
        <w:pStyle w:val="15"/>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14:paraId="2C2B3E70">
      <w:pPr>
        <w:pStyle w:val="15"/>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14:paraId="7C405C2D">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9"/>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14:paraId="69D7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14:paraId="7E30519D">
            <w:pPr>
              <w:pStyle w:val="15"/>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14:paraId="02DCFB37">
            <w:pPr>
              <w:pStyle w:val="15"/>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14:paraId="6A1434BA">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14:paraId="3CDBC1F6">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1．本授权书有效期自磋商会议之日计算不得少于90日历日。</w:t>
      </w:r>
    </w:p>
    <w:p w14:paraId="7819FDFB">
      <w:pPr>
        <w:pStyle w:val="15"/>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14:paraId="4C9E4E39">
      <w:pPr>
        <w:rPr>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p w14:paraId="5ED16C4F">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14:paraId="22E12E03">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14:paraId="59EC5393">
      <w:pPr>
        <w:widowControl/>
        <w:snapToGrid w:val="0"/>
        <w:spacing w:line="48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我单位参与</w:t>
      </w:r>
      <w:r>
        <w:rPr>
          <w:rFonts w:hint="eastAsia" w:ascii="宋体" w:hAnsi="宋体" w:cs="宋体"/>
          <w:color w:val="000000" w:themeColor="text1"/>
          <w:kern w:val="0"/>
          <w:sz w:val="24"/>
          <w:szCs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szCs w:val="24"/>
          <w14:textFill>
            <w14:solidFill>
              <w14:schemeClr w14:val="tx1"/>
            </w14:solidFill>
          </w14:textFill>
        </w:rPr>
        <w:t>组织的</w:t>
      </w:r>
      <w:r>
        <w:rPr>
          <w:rFonts w:hint="eastAsia" w:ascii="宋体" w:hAnsi="宋体" w:cs="宋体"/>
          <w:color w:val="000000" w:themeColor="text1"/>
          <w:kern w:val="0"/>
          <w:sz w:val="24"/>
          <w:szCs w:val="24"/>
          <w:u w:val="single"/>
          <w14:textFill>
            <w14:solidFill>
              <w14:schemeClr w14:val="tx1"/>
            </w14:solidFill>
          </w14:textFill>
        </w:rPr>
        <w:t xml:space="preserve">             （项目名称）              </w:t>
      </w:r>
      <w:r>
        <w:rPr>
          <w:rFonts w:hint="eastAsia" w:ascii="宋体" w:hAnsi="宋体" w:cs="宋体"/>
          <w:color w:val="000000"/>
          <w:kern w:val="0"/>
          <w:sz w:val="24"/>
        </w:rPr>
        <w:t>竞争性磋商</w:t>
      </w:r>
      <w:r>
        <w:rPr>
          <w:rFonts w:hint="eastAsia" w:ascii="宋体" w:hAnsi="宋体" w:cs="宋体"/>
          <w:color w:val="000000" w:themeColor="text1"/>
          <w:kern w:val="0"/>
          <w:sz w:val="24"/>
          <w:szCs w:val="24"/>
          <w14:textFill>
            <w14:solidFill>
              <w14:schemeClr w14:val="tx1"/>
            </w14:solidFill>
          </w14:textFill>
        </w:rPr>
        <w:t>，我单位郑重声明：我方参加本项目工作前三年内在经营活动中无重大违法活动记录，本公司法人、出资人、参股人无招标方在职工作人员。如有不实，我方将无条件地退出本项目的采购活动，并遵照《政府采购法》有关“提供虚假材料的规定”接受处罚；未被信用中国网（www.creditchina.gov.cn）列入失信被执行人、重大税收违法案件当事人名单，未被中国政府采购（www.ccgp.gov.cn）列入政府采购严重违法失信行为记录名单，我方对此声明负全部法律责任。</w:t>
      </w:r>
    </w:p>
    <w:p w14:paraId="01A41A6A">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特此声明。</w:t>
      </w:r>
    </w:p>
    <w:p w14:paraId="750F36F3">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14:paraId="154146B8">
      <w:pPr>
        <w:pStyle w:val="15"/>
        <w:spacing w:line="480" w:lineRule="auto"/>
        <w:jc w:val="left"/>
        <w:rPr>
          <w:rFonts w:hAnsi="宋体" w:eastAsia="宋体" w:cs="宋体"/>
          <w:color w:val="000000" w:themeColor="text1"/>
          <w:kern w:val="0"/>
          <w:sz w:val="24"/>
          <w14:textFill>
            <w14:solidFill>
              <w14:schemeClr w14:val="tx1"/>
            </w14:solidFill>
          </w14:textFill>
        </w:rPr>
      </w:pPr>
    </w:p>
    <w:p w14:paraId="21ABC269">
      <w:pPr>
        <w:pStyle w:val="15"/>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供应商（单位名称及公章）：</w:t>
      </w:r>
    </w:p>
    <w:p w14:paraId="5EFF0AA3">
      <w:pPr>
        <w:pStyle w:val="15"/>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14:paraId="2EC0FE06">
      <w:pPr>
        <w:spacing w:line="600" w:lineRule="auto"/>
        <w:rPr>
          <w:rFonts w:hAnsi="宋体" w:eastAsia="宋体" w:cs="宋体"/>
          <w:color w:val="000000" w:themeColor="text1"/>
          <w:kern w:val="0"/>
          <w:sz w:val="24"/>
          <w:u w:val="single"/>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14:paraId="62B1993E">
      <w:pPr>
        <w:pStyle w:val="8"/>
        <w:rPr>
          <w:rFonts w:hint="default"/>
        </w:rPr>
        <w:sectPr>
          <w:pgSz w:w="11906" w:h="16838"/>
          <w:pgMar w:top="1440" w:right="1803" w:bottom="1440" w:left="1803" w:header="851" w:footer="992" w:gutter="0"/>
          <w:pgNumType w:fmt="decimal"/>
          <w:cols w:space="720" w:num="1"/>
          <w:docGrid w:type="lines" w:linePitch="319" w:charSpace="0"/>
        </w:sectPr>
      </w:pPr>
    </w:p>
    <w:p w14:paraId="75B051D5">
      <w:pPr>
        <w:spacing w:line="600" w:lineRule="auto"/>
        <w:rPr>
          <w:sz w:val="24"/>
          <w:szCs w:val="28"/>
        </w:rPr>
      </w:pPr>
      <w:r>
        <w:rPr>
          <w:rFonts w:hint="eastAsia"/>
          <w:sz w:val="24"/>
          <w:szCs w:val="28"/>
        </w:rPr>
        <w:t>5、社保资金缴纳证明材料</w:t>
      </w:r>
    </w:p>
    <w:p w14:paraId="560CDD4E">
      <w:pPr>
        <w:spacing w:line="600" w:lineRule="auto"/>
        <w:rPr>
          <w:sz w:val="24"/>
          <w:szCs w:val="28"/>
        </w:rPr>
      </w:pPr>
      <w:r>
        <w:rPr>
          <w:rFonts w:hint="eastAsia"/>
          <w:sz w:val="24"/>
          <w:szCs w:val="28"/>
        </w:rPr>
        <w:t xml:space="preserve">6、税收缴纳证明材料： </w:t>
      </w:r>
    </w:p>
    <w:p w14:paraId="49ED0213">
      <w:pPr>
        <w:spacing w:line="600" w:lineRule="auto"/>
        <w:rPr>
          <w:sz w:val="24"/>
          <w:szCs w:val="24"/>
        </w:rPr>
      </w:pPr>
      <w:r>
        <w:rPr>
          <w:rFonts w:hint="eastAsia"/>
          <w:sz w:val="24"/>
          <w:szCs w:val="28"/>
        </w:rPr>
        <w:t xml:space="preserve">7、财务状况证明材料： </w:t>
      </w:r>
    </w:p>
    <w:p w14:paraId="54AF6199">
      <w:pPr>
        <w:spacing w:line="480" w:lineRule="auto"/>
        <w:rPr>
          <w:rFonts w:hint="default" w:eastAsiaTheme="minorEastAsia"/>
          <w:sz w:val="24"/>
          <w:szCs w:val="28"/>
          <w:lang w:val="en-US" w:eastAsia="zh-CN"/>
        </w:rPr>
      </w:pPr>
      <w:r>
        <w:rPr>
          <w:rFonts w:hint="eastAsia"/>
          <w:sz w:val="24"/>
          <w:szCs w:val="28"/>
        </w:rPr>
        <w:t>8、</w:t>
      </w:r>
      <w:r>
        <w:rPr>
          <w:rFonts w:hint="eastAsia"/>
          <w:sz w:val="24"/>
          <w:szCs w:val="28"/>
          <w:lang w:val="en-US" w:eastAsia="zh-CN"/>
        </w:rPr>
        <w:t>非联合体声明；（格式自拟）</w:t>
      </w:r>
    </w:p>
    <w:p w14:paraId="45B0EFAA">
      <w:pPr>
        <w:spacing w:line="480" w:lineRule="auto"/>
        <w:rPr>
          <w:sz w:val="24"/>
          <w:szCs w:val="28"/>
        </w:rPr>
        <w:sectPr>
          <w:pgSz w:w="11906" w:h="16838"/>
          <w:pgMar w:top="1440" w:right="1803" w:bottom="1440" w:left="1803" w:header="851" w:footer="992" w:gutter="0"/>
          <w:pgNumType w:fmt="decimal"/>
          <w:cols w:space="720" w:num="1"/>
          <w:docGrid w:type="lines" w:linePitch="319" w:charSpace="0"/>
        </w:sectPr>
      </w:pPr>
      <w:r>
        <w:rPr>
          <w:rFonts w:hint="eastAsia"/>
          <w:sz w:val="24"/>
          <w:szCs w:val="28"/>
          <w:lang w:val="en-US" w:eastAsia="zh-CN"/>
        </w:rPr>
        <w:t>9、</w:t>
      </w:r>
      <w:r>
        <w:rPr>
          <w:rFonts w:hint="eastAsia"/>
          <w:sz w:val="24"/>
          <w:szCs w:val="28"/>
        </w:rPr>
        <w:t>供应商认为应该提交的其他证明材料；</w:t>
      </w:r>
    </w:p>
    <w:p w14:paraId="196FA23D">
      <w:pPr>
        <w:pStyle w:val="5"/>
      </w:pPr>
      <w:bookmarkStart w:id="150" w:name="_Toc22246"/>
      <w:r>
        <w:rPr>
          <w:rFonts w:hint="eastAsia"/>
        </w:rPr>
        <w:t>第五章  商务和技术响应偏离表</w:t>
      </w:r>
      <w:bookmarkEnd w:id="145"/>
      <w:bookmarkEnd w:id="146"/>
      <w:bookmarkEnd w:id="150"/>
    </w:p>
    <w:p w14:paraId="6F754688">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p>
    <w:tbl>
      <w:tblPr>
        <w:tblStyle w:val="29"/>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14:paraId="55A2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14:paraId="1D432F68">
            <w:pPr>
              <w:pStyle w:val="15"/>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14:paraId="5E878392">
            <w:pPr>
              <w:pStyle w:val="15"/>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14:paraId="03A5822F">
            <w:pPr>
              <w:pStyle w:val="15"/>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14:paraId="2C48DDA9">
            <w:pPr>
              <w:pStyle w:val="15"/>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14:paraId="773E0AAE">
            <w:pPr>
              <w:pStyle w:val="15"/>
              <w:spacing w:line="480" w:lineRule="auto"/>
              <w:jc w:val="center"/>
              <w:rPr>
                <w:rFonts w:asciiTheme="minorEastAsia" w:hAnsiTheme="minorEastAsia" w:cstheme="minorEastAsia"/>
                <w:sz w:val="24"/>
                <w:szCs w:val="24"/>
              </w:rPr>
            </w:pPr>
            <w:r>
              <w:rPr>
                <w:rFonts w:hint="eastAsia" w:hAnsi="宋体" w:cs="宋体"/>
              </w:rPr>
              <w:t>偏离说明</w:t>
            </w:r>
          </w:p>
        </w:tc>
      </w:tr>
      <w:tr w14:paraId="0430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4E372FEE">
            <w:pPr>
              <w:pStyle w:val="15"/>
              <w:spacing w:line="480" w:lineRule="auto"/>
              <w:ind w:firstLine="480" w:firstLineChars="200"/>
              <w:jc w:val="left"/>
              <w:rPr>
                <w:rFonts w:asciiTheme="minorEastAsia" w:hAnsiTheme="minorEastAsia" w:cstheme="minorEastAsia"/>
                <w:sz w:val="24"/>
                <w:szCs w:val="24"/>
              </w:rPr>
            </w:pPr>
          </w:p>
        </w:tc>
        <w:tc>
          <w:tcPr>
            <w:tcW w:w="1614" w:type="dxa"/>
          </w:tcPr>
          <w:p w14:paraId="3CD1BF58">
            <w:pPr>
              <w:pStyle w:val="15"/>
              <w:spacing w:line="480" w:lineRule="auto"/>
              <w:ind w:firstLine="480" w:firstLineChars="200"/>
              <w:jc w:val="left"/>
              <w:rPr>
                <w:rFonts w:asciiTheme="minorEastAsia" w:hAnsiTheme="minorEastAsia" w:cstheme="minorEastAsia"/>
                <w:sz w:val="24"/>
                <w:szCs w:val="24"/>
              </w:rPr>
            </w:pPr>
          </w:p>
        </w:tc>
        <w:tc>
          <w:tcPr>
            <w:tcW w:w="1680" w:type="dxa"/>
            <w:vAlign w:val="center"/>
          </w:tcPr>
          <w:p w14:paraId="725AE975">
            <w:pPr>
              <w:pStyle w:val="15"/>
              <w:spacing w:line="480" w:lineRule="auto"/>
              <w:ind w:firstLine="480" w:firstLineChars="200"/>
              <w:jc w:val="left"/>
              <w:rPr>
                <w:rFonts w:asciiTheme="minorEastAsia" w:hAnsiTheme="minorEastAsia" w:cstheme="minorEastAsia"/>
                <w:sz w:val="24"/>
                <w:szCs w:val="24"/>
              </w:rPr>
            </w:pPr>
          </w:p>
        </w:tc>
        <w:tc>
          <w:tcPr>
            <w:tcW w:w="2448" w:type="dxa"/>
            <w:vAlign w:val="center"/>
          </w:tcPr>
          <w:p w14:paraId="61460D04">
            <w:pPr>
              <w:pStyle w:val="15"/>
              <w:spacing w:line="480" w:lineRule="auto"/>
              <w:ind w:firstLine="480" w:firstLineChars="200"/>
              <w:jc w:val="left"/>
              <w:rPr>
                <w:rFonts w:asciiTheme="minorEastAsia" w:hAnsiTheme="minorEastAsia" w:cstheme="minorEastAsia"/>
                <w:sz w:val="24"/>
                <w:szCs w:val="24"/>
              </w:rPr>
            </w:pPr>
          </w:p>
        </w:tc>
        <w:tc>
          <w:tcPr>
            <w:tcW w:w="2042" w:type="dxa"/>
            <w:vAlign w:val="center"/>
          </w:tcPr>
          <w:p w14:paraId="263B73F4">
            <w:pPr>
              <w:pStyle w:val="15"/>
              <w:spacing w:line="480" w:lineRule="auto"/>
              <w:ind w:firstLine="480" w:firstLineChars="200"/>
              <w:jc w:val="left"/>
              <w:rPr>
                <w:rFonts w:asciiTheme="minorEastAsia" w:hAnsiTheme="minorEastAsia" w:cstheme="minorEastAsia"/>
                <w:sz w:val="24"/>
                <w:szCs w:val="24"/>
              </w:rPr>
            </w:pPr>
          </w:p>
        </w:tc>
      </w:tr>
      <w:tr w14:paraId="590A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426F6309">
            <w:pPr>
              <w:pStyle w:val="15"/>
              <w:spacing w:line="480" w:lineRule="auto"/>
              <w:ind w:firstLine="480" w:firstLineChars="200"/>
              <w:jc w:val="left"/>
              <w:rPr>
                <w:rFonts w:asciiTheme="minorEastAsia" w:hAnsiTheme="minorEastAsia" w:cstheme="minorEastAsia"/>
                <w:sz w:val="24"/>
                <w:szCs w:val="24"/>
              </w:rPr>
            </w:pPr>
          </w:p>
        </w:tc>
        <w:tc>
          <w:tcPr>
            <w:tcW w:w="1614" w:type="dxa"/>
          </w:tcPr>
          <w:p w14:paraId="1ED99343">
            <w:pPr>
              <w:pStyle w:val="15"/>
              <w:spacing w:line="480" w:lineRule="auto"/>
              <w:ind w:firstLine="480" w:firstLineChars="200"/>
              <w:jc w:val="left"/>
              <w:rPr>
                <w:rFonts w:asciiTheme="minorEastAsia" w:hAnsiTheme="minorEastAsia" w:cstheme="minorEastAsia"/>
                <w:sz w:val="24"/>
                <w:szCs w:val="24"/>
              </w:rPr>
            </w:pPr>
          </w:p>
        </w:tc>
        <w:tc>
          <w:tcPr>
            <w:tcW w:w="1680" w:type="dxa"/>
          </w:tcPr>
          <w:p w14:paraId="35EF53CB">
            <w:pPr>
              <w:pStyle w:val="15"/>
              <w:spacing w:line="480" w:lineRule="auto"/>
              <w:ind w:firstLine="480" w:firstLineChars="200"/>
              <w:jc w:val="left"/>
              <w:rPr>
                <w:rFonts w:asciiTheme="minorEastAsia" w:hAnsiTheme="minorEastAsia" w:cstheme="minorEastAsia"/>
                <w:sz w:val="24"/>
                <w:szCs w:val="24"/>
              </w:rPr>
            </w:pPr>
          </w:p>
        </w:tc>
        <w:tc>
          <w:tcPr>
            <w:tcW w:w="2448" w:type="dxa"/>
          </w:tcPr>
          <w:p w14:paraId="31EF71CF">
            <w:pPr>
              <w:pStyle w:val="15"/>
              <w:spacing w:line="480" w:lineRule="auto"/>
              <w:ind w:firstLine="480" w:firstLineChars="200"/>
              <w:jc w:val="left"/>
              <w:rPr>
                <w:rFonts w:asciiTheme="minorEastAsia" w:hAnsiTheme="minorEastAsia" w:cstheme="minorEastAsia"/>
                <w:sz w:val="24"/>
                <w:szCs w:val="24"/>
              </w:rPr>
            </w:pPr>
          </w:p>
        </w:tc>
        <w:tc>
          <w:tcPr>
            <w:tcW w:w="2042" w:type="dxa"/>
          </w:tcPr>
          <w:p w14:paraId="50E2215A">
            <w:pPr>
              <w:pStyle w:val="15"/>
              <w:spacing w:line="480" w:lineRule="auto"/>
              <w:ind w:firstLine="480" w:firstLineChars="200"/>
              <w:jc w:val="left"/>
              <w:rPr>
                <w:rFonts w:asciiTheme="minorEastAsia" w:hAnsiTheme="minorEastAsia" w:cstheme="minorEastAsia"/>
                <w:sz w:val="24"/>
                <w:szCs w:val="24"/>
              </w:rPr>
            </w:pPr>
          </w:p>
        </w:tc>
      </w:tr>
      <w:tr w14:paraId="3BD3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51F1AACF">
            <w:pPr>
              <w:pStyle w:val="15"/>
              <w:spacing w:line="480" w:lineRule="auto"/>
              <w:ind w:firstLine="480" w:firstLineChars="200"/>
              <w:jc w:val="left"/>
              <w:rPr>
                <w:rFonts w:asciiTheme="minorEastAsia" w:hAnsiTheme="minorEastAsia" w:cstheme="minorEastAsia"/>
                <w:sz w:val="24"/>
                <w:szCs w:val="24"/>
              </w:rPr>
            </w:pPr>
          </w:p>
        </w:tc>
        <w:tc>
          <w:tcPr>
            <w:tcW w:w="1614" w:type="dxa"/>
          </w:tcPr>
          <w:p w14:paraId="525C6370">
            <w:pPr>
              <w:pStyle w:val="15"/>
              <w:spacing w:line="480" w:lineRule="auto"/>
              <w:ind w:firstLine="480" w:firstLineChars="200"/>
              <w:jc w:val="left"/>
              <w:rPr>
                <w:rFonts w:asciiTheme="minorEastAsia" w:hAnsiTheme="minorEastAsia" w:cstheme="minorEastAsia"/>
                <w:sz w:val="24"/>
                <w:szCs w:val="24"/>
              </w:rPr>
            </w:pPr>
          </w:p>
        </w:tc>
        <w:tc>
          <w:tcPr>
            <w:tcW w:w="1680" w:type="dxa"/>
          </w:tcPr>
          <w:p w14:paraId="225DE80C">
            <w:pPr>
              <w:pStyle w:val="15"/>
              <w:spacing w:line="480" w:lineRule="auto"/>
              <w:ind w:firstLine="480" w:firstLineChars="200"/>
              <w:jc w:val="left"/>
              <w:rPr>
                <w:rFonts w:asciiTheme="minorEastAsia" w:hAnsiTheme="minorEastAsia" w:cstheme="minorEastAsia"/>
                <w:sz w:val="24"/>
                <w:szCs w:val="24"/>
              </w:rPr>
            </w:pPr>
          </w:p>
        </w:tc>
        <w:tc>
          <w:tcPr>
            <w:tcW w:w="2448" w:type="dxa"/>
          </w:tcPr>
          <w:p w14:paraId="510F1F04">
            <w:pPr>
              <w:pStyle w:val="15"/>
              <w:spacing w:line="480" w:lineRule="auto"/>
              <w:ind w:firstLine="480" w:firstLineChars="200"/>
              <w:jc w:val="left"/>
              <w:rPr>
                <w:rFonts w:asciiTheme="minorEastAsia" w:hAnsiTheme="minorEastAsia" w:cstheme="minorEastAsia"/>
                <w:sz w:val="24"/>
                <w:szCs w:val="24"/>
              </w:rPr>
            </w:pPr>
          </w:p>
        </w:tc>
        <w:tc>
          <w:tcPr>
            <w:tcW w:w="2042" w:type="dxa"/>
          </w:tcPr>
          <w:p w14:paraId="2083E65A">
            <w:pPr>
              <w:pStyle w:val="15"/>
              <w:spacing w:line="480" w:lineRule="auto"/>
              <w:ind w:firstLine="480" w:firstLineChars="200"/>
              <w:jc w:val="left"/>
              <w:rPr>
                <w:rFonts w:asciiTheme="minorEastAsia" w:hAnsiTheme="minorEastAsia" w:cstheme="minorEastAsia"/>
                <w:sz w:val="24"/>
                <w:szCs w:val="24"/>
              </w:rPr>
            </w:pPr>
          </w:p>
        </w:tc>
      </w:tr>
      <w:tr w14:paraId="34AE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7D6D7004">
            <w:pPr>
              <w:pStyle w:val="15"/>
              <w:spacing w:line="480" w:lineRule="auto"/>
              <w:ind w:firstLine="480" w:firstLineChars="200"/>
              <w:jc w:val="left"/>
              <w:rPr>
                <w:rFonts w:asciiTheme="minorEastAsia" w:hAnsiTheme="minorEastAsia" w:cstheme="minorEastAsia"/>
                <w:sz w:val="24"/>
                <w:szCs w:val="24"/>
              </w:rPr>
            </w:pPr>
          </w:p>
        </w:tc>
        <w:tc>
          <w:tcPr>
            <w:tcW w:w="1614" w:type="dxa"/>
          </w:tcPr>
          <w:p w14:paraId="6E9E438E">
            <w:pPr>
              <w:pStyle w:val="15"/>
              <w:spacing w:line="480" w:lineRule="auto"/>
              <w:ind w:firstLine="480" w:firstLineChars="200"/>
              <w:jc w:val="left"/>
              <w:rPr>
                <w:rFonts w:asciiTheme="minorEastAsia" w:hAnsiTheme="minorEastAsia" w:cstheme="minorEastAsia"/>
                <w:sz w:val="24"/>
                <w:szCs w:val="24"/>
              </w:rPr>
            </w:pPr>
          </w:p>
        </w:tc>
        <w:tc>
          <w:tcPr>
            <w:tcW w:w="1680" w:type="dxa"/>
          </w:tcPr>
          <w:p w14:paraId="62F6676C">
            <w:pPr>
              <w:pStyle w:val="15"/>
              <w:spacing w:line="480" w:lineRule="auto"/>
              <w:ind w:firstLine="480" w:firstLineChars="200"/>
              <w:jc w:val="left"/>
              <w:rPr>
                <w:rFonts w:asciiTheme="minorEastAsia" w:hAnsiTheme="minorEastAsia" w:cstheme="minorEastAsia"/>
                <w:sz w:val="24"/>
                <w:szCs w:val="24"/>
              </w:rPr>
            </w:pPr>
          </w:p>
        </w:tc>
        <w:tc>
          <w:tcPr>
            <w:tcW w:w="2448" w:type="dxa"/>
          </w:tcPr>
          <w:p w14:paraId="4D0758B5">
            <w:pPr>
              <w:pStyle w:val="15"/>
              <w:spacing w:line="480" w:lineRule="auto"/>
              <w:ind w:firstLine="480" w:firstLineChars="200"/>
              <w:jc w:val="left"/>
              <w:rPr>
                <w:rFonts w:asciiTheme="minorEastAsia" w:hAnsiTheme="minorEastAsia" w:cstheme="minorEastAsia"/>
                <w:sz w:val="24"/>
                <w:szCs w:val="24"/>
              </w:rPr>
            </w:pPr>
          </w:p>
        </w:tc>
        <w:tc>
          <w:tcPr>
            <w:tcW w:w="2042" w:type="dxa"/>
          </w:tcPr>
          <w:p w14:paraId="7D4B6870">
            <w:pPr>
              <w:pStyle w:val="15"/>
              <w:spacing w:line="480" w:lineRule="auto"/>
              <w:ind w:firstLine="480" w:firstLineChars="200"/>
              <w:jc w:val="left"/>
              <w:rPr>
                <w:rFonts w:asciiTheme="minorEastAsia" w:hAnsiTheme="minorEastAsia" w:cstheme="minorEastAsia"/>
                <w:sz w:val="24"/>
                <w:szCs w:val="24"/>
              </w:rPr>
            </w:pPr>
          </w:p>
        </w:tc>
      </w:tr>
      <w:tr w14:paraId="7232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96" w:type="dxa"/>
          </w:tcPr>
          <w:p w14:paraId="6E08F6DC">
            <w:pPr>
              <w:pStyle w:val="15"/>
              <w:spacing w:line="480" w:lineRule="auto"/>
              <w:ind w:firstLine="480" w:firstLineChars="200"/>
              <w:jc w:val="left"/>
              <w:rPr>
                <w:rFonts w:asciiTheme="minorEastAsia" w:hAnsiTheme="minorEastAsia" w:cstheme="minorEastAsia"/>
                <w:sz w:val="24"/>
                <w:szCs w:val="24"/>
              </w:rPr>
            </w:pPr>
          </w:p>
        </w:tc>
        <w:tc>
          <w:tcPr>
            <w:tcW w:w="1614" w:type="dxa"/>
          </w:tcPr>
          <w:p w14:paraId="2D1518CC">
            <w:pPr>
              <w:pStyle w:val="15"/>
              <w:spacing w:line="480" w:lineRule="auto"/>
              <w:ind w:firstLine="480" w:firstLineChars="200"/>
              <w:jc w:val="left"/>
              <w:rPr>
                <w:rFonts w:asciiTheme="minorEastAsia" w:hAnsiTheme="minorEastAsia" w:cstheme="minorEastAsia"/>
                <w:sz w:val="24"/>
                <w:szCs w:val="24"/>
              </w:rPr>
            </w:pPr>
          </w:p>
        </w:tc>
        <w:tc>
          <w:tcPr>
            <w:tcW w:w="1680" w:type="dxa"/>
          </w:tcPr>
          <w:p w14:paraId="5AB56A45">
            <w:pPr>
              <w:pStyle w:val="15"/>
              <w:spacing w:line="480" w:lineRule="auto"/>
              <w:ind w:firstLine="480" w:firstLineChars="200"/>
              <w:jc w:val="left"/>
              <w:rPr>
                <w:rFonts w:asciiTheme="minorEastAsia" w:hAnsiTheme="minorEastAsia" w:cstheme="minorEastAsia"/>
                <w:sz w:val="24"/>
                <w:szCs w:val="24"/>
              </w:rPr>
            </w:pPr>
          </w:p>
        </w:tc>
        <w:tc>
          <w:tcPr>
            <w:tcW w:w="2448" w:type="dxa"/>
          </w:tcPr>
          <w:p w14:paraId="78693AA4">
            <w:pPr>
              <w:pStyle w:val="15"/>
              <w:spacing w:line="480" w:lineRule="auto"/>
              <w:ind w:firstLine="480" w:firstLineChars="200"/>
              <w:jc w:val="left"/>
              <w:rPr>
                <w:rFonts w:asciiTheme="minorEastAsia" w:hAnsiTheme="minorEastAsia" w:cstheme="minorEastAsia"/>
                <w:sz w:val="24"/>
                <w:szCs w:val="24"/>
              </w:rPr>
            </w:pPr>
          </w:p>
        </w:tc>
        <w:tc>
          <w:tcPr>
            <w:tcW w:w="2042" w:type="dxa"/>
          </w:tcPr>
          <w:p w14:paraId="218041C4">
            <w:pPr>
              <w:pStyle w:val="15"/>
              <w:spacing w:line="480" w:lineRule="auto"/>
              <w:ind w:firstLine="480" w:firstLineChars="200"/>
              <w:jc w:val="left"/>
              <w:rPr>
                <w:rFonts w:asciiTheme="minorEastAsia" w:hAnsiTheme="minorEastAsia" w:cstheme="minorEastAsia"/>
                <w:sz w:val="24"/>
                <w:szCs w:val="24"/>
              </w:rPr>
            </w:pPr>
          </w:p>
        </w:tc>
      </w:tr>
      <w:tr w14:paraId="4C6C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0E498958">
            <w:pPr>
              <w:pStyle w:val="15"/>
              <w:spacing w:line="480" w:lineRule="auto"/>
              <w:ind w:firstLine="480" w:firstLineChars="200"/>
              <w:jc w:val="left"/>
              <w:rPr>
                <w:rFonts w:asciiTheme="minorEastAsia" w:hAnsiTheme="minorEastAsia" w:cstheme="minorEastAsia"/>
                <w:sz w:val="24"/>
                <w:szCs w:val="24"/>
              </w:rPr>
            </w:pPr>
          </w:p>
        </w:tc>
        <w:tc>
          <w:tcPr>
            <w:tcW w:w="1614" w:type="dxa"/>
          </w:tcPr>
          <w:p w14:paraId="2A34C53C">
            <w:pPr>
              <w:pStyle w:val="15"/>
              <w:spacing w:line="480" w:lineRule="auto"/>
              <w:ind w:firstLine="480" w:firstLineChars="200"/>
              <w:jc w:val="left"/>
              <w:rPr>
                <w:rFonts w:asciiTheme="minorEastAsia" w:hAnsiTheme="minorEastAsia" w:cstheme="minorEastAsia"/>
                <w:sz w:val="24"/>
                <w:szCs w:val="24"/>
              </w:rPr>
            </w:pPr>
          </w:p>
        </w:tc>
        <w:tc>
          <w:tcPr>
            <w:tcW w:w="1680" w:type="dxa"/>
          </w:tcPr>
          <w:p w14:paraId="24F140BE">
            <w:pPr>
              <w:pStyle w:val="15"/>
              <w:spacing w:line="480" w:lineRule="auto"/>
              <w:ind w:firstLine="480" w:firstLineChars="200"/>
              <w:jc w:val="left"/>
              <w:rPr>
                <w:rFonts w:asciiTheme="minorEastAsia" w:hAnsiTheme="minorEastAsia" w:cstheme="minorEastAsia"/>
                <w:sz w:val="24"/>
                <w:szCs w:val="24"/>
              </w:rPr>
            </w:pPr>
          </w:p>
        </w:tc>
        <w:tc>
          <w:tcPr>
            <w:tcW w:w="2448" w:type="dxa"/>
          </w:tcPr>
          <w:p w14:paraId="27B3F6B5">
            <w:pPr>
              <w:pStyle w:val="15"/>
              <w:spacing w:line="480" w:lineRule="auto"/>
              <w:ind w:firstLine="480" w:firstLineChars="200"/>
              <w:jc w:val="left"/>
              <w:rPr>
                <w:rFonts w:asciiTheme="minorEastAsia" w:hAnsiTheme="minorEastAsia" w:cstheme="minorEastAsia"/>
                <w:sz w:val="24"/>
                <w:szCs w:val="24"/>
              </w:rPr>
            </w:pPr>
          </w:p>
        </w:tc>
        <w:tc>
          <w:tcPr>
            <w:tcW w:w="2042" w:type="dxa"/>
          </w:tcPr>
          <w:p w14:paraId="6F0CCCB0">
            <w:pPr>
              <w:pStyle w:val="15"/>
              <w:spacing w:line="480" w:lineRule="auto"/>
              <w:ind w:firstLine="480" w:firstLineChars="200"/>
              <w:jc w:val="left"/>
              <w:rPr>
                <w:rFonts w:asciiTheme="minorEastAsia" w:hAnsiTheme="minorEastAsia" w:cstheme="minorEastAsia"/>
                <w:sz w:val="24"/>
                <w:szCs w:val="24"/>
              </w:rPr>
            </w:pPr>
          </w:p>
        </w:tc>
      </w:tr>
      <w:tr w14:paraId="509D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14:paraId="68E30FED">
            <w:pPr>
              <w:pStyle w:val="15"/>
              <w:spacing w:line="480" w:lineRule="auto"/>
              <w:ind w:firstLine="480" w:firstLineChars="200"/>
              <w:jc w:val="left"/>
              <w:rPr>
                <w:rFonts w:asciiTheme="minorEastAsia" w:hAnsiTheme="minorEastAsia" w:cstheme="minorEastAsia"/>
                <w:sz w:val="24"/>
                <w:szCs w:val="24"/>
              </w:rPr>
            </w:pPr>
          </w:p>
        </w:tc>
        <w:tc>
          <w:tcPr>
            <w:tcW w:w="1614" w:type="dxa"/>
          </w:tcPr>
          <w:p w14:paraId="7EDE4438">
            <w:pPr>
              <w:pStyle w:val="15"/>
              <w:spacing w:line="480" w:lineRule="auto"/>
              <w:ind w:firstLine="480" w:firstLineChars="200"/>
              <w:jc w:val="left"/>
              <w:rPr>
                <w:rFonts w:asciiTheme="minorEastAsia" w:hAnsiTheme="minorEastAsia" w:cstheme="minorEastAsia"/>
                <w:sz w:val="24"/>
                <w:szCs w:val="24"/>
              </w:rPr>
            </w:pPr>
          </w:p>
        </w:tc>
        <w:tc>
          <w:tcPr>
            <w:tcW w:w="1680" w:type="dxa"/>
          </w:tcPr>
          <w:p w14:paraId="15746E34">
            <w:pPr>
              <w:pStyle w:val="15"/>
              <w:spacing w:line="480" w:lineRule="auto"/>
              <w:ind w:firstLine="480" w:firstLineChars="200"/>
              <w:jc w:val="left"/>
              <w:rPr>
                <w:rFonts w:asciiTheme="minorEastAsia" w:hAnsiTheme="minorEastAsia" w:cstheme="minorEastAsia"/>
                <w:sz w:val="24"/>
                <w:szCs w:val="24"/>
              </w:rPr>
            </w:pPr>
          </w:p>
        </w:tc>
        <w:tc>
          <w:tcPr>
            <w:tcW w:w="2448" w:type="dxa"/>
          </w:tcPr>
          <w:p w14:paraId="4C4918A1">
            <w:pPr>
              <w:pStyle w:val="15"/>
              <w:spacing w:line="480" w:lineRule="auto"/>
              <w:ind w:firstLine="480" w:firstLineChars="200"/>
              <w:jc w:val="left"/>
              <w:rPr>
                <w:rFonts w:asciiTheme="minorEastAsia" w:hAnsiTheme="minorEastAsia" w:cstheme="minorEastAsia"/>
                <w:sz w:val="24"/>
                <w:szCs w:val="24"/>
              </w:rPr>
            </w:pPr>
          </w:p>
        </w:tc>
        <w:tc>
          <w:tcPr>
            <w:tcW w:w="2042" w:type="dxa"/>
          </w:tcPr>
          <w:p w14:paraId="76911EA7">
            <w:pPr>
              <w:pStyle w:val="15"/>
              <w:spacing w:line="480" w:lineRule="auto"/>
              <w:ind w:firstLine="480" w:firstLineChars="200"/>
              <w:jc w:val="left"/>
              <w:rPr>
                <w:rFonts w:asciiTheme="minorEastAsia" w:hAnsiTheme="minorEastAsia" w:cstheme="minorEastAsia"/>
                <w:sz w:val="24"/>
                <w:szCs w:val="24"/>
              </w:rPr>
            </w:pPr>
          </w:p>
        </w:tc>
      </w:tr>
    </w:tbl>
    <w:p w14:paraId="430F4ED6">
      <w:pPr>
        <w:spacing w:line="360" w:lineRule="auto"/>
        <w:rPr>
          <w:b/>
          <w:bCs/>
          <w:sz w:val="24"/>
          <w:szCs w:val="24"/>
        </w:rPr>
      </w:pPr>
      <w:r>
        <w:rPr>
          <w:rFonts w:hint="eastAsia"/>
          <w:b/>
          <w:bCs/>
          <w:sz w:val="24"/>
          <w:szCs w:val="24"/>
        </w:rPr>
        <w:t>填写说明：供应商对本项目付款、交货期、质保期、服务期、履约验收等商务方面进行响应说明，并保证响应的真实性。</w:t>
      </w:r>
    </w:p>
    <w:p w14:paraId="0F473602">
      <w:pPr>
        <w:spacing w:line="360" w:lineRule="auto"/>
        <w:rPr>
          <w:b/>
          <w:bCs/>
          <w:sz w:val="24"/>
          <w:szCs w:val="24"/>
        </w:rPr>
      </w:pPr>
      <w:r>
        <w:rPr>
          <w:rFonts w:hint="eastAsia"/>
          <w:b/>
          <w:bCs/>
          <w:sz w:val="24"/>
          <w:szCs w:val="24"/>
        </w:rPr>
        <w:t>偏差说明填写：正偏离（标明正偏离内容）、符合。</w:t>
      </w:r>
    </w:p>
    <w:p w14:paraId="147F636A">
      <w:pPr>
        <w:spacing w:line="360" w:lineRule="auto"/>
        <w:rPr>
          <w:rFonts w:ascii="宋体" w:hAnsi="宋体"/>
          <w:sz w:val="28"/>
          <w:szCs w:val="28"/>
        </w:rPr>
      </w:pPr>
      <w:r>
        <w:rPr>
          <w:rFonts w:hint="eastAsia"/>
          <w:b/>
          <w:bCs/>
          <w:sz w:val="24"/>
          <w:szCs w:val="24"/>
        </w:rPr>
        <w:t>商务条款不允许负偏离；</w:t>
      </w:r>
    </w:p>
    <w:p w14:paraId="1C11056C">
      <w:pPr>
        <w:adjustRightInd w:val="0"/>
        <w:snapToGrid w:val="0"/>
        <w:spacing w:line="480" w:lineRule="auto"/>
        <w:jc w:val="left"/>
        <w:rPr>
          <w:rFonts w:ascii="宋体" w:hAnsi="宋体" w:cs="宋体"/>
          <w:sz w:val="28"/>
          <w:szCs w:val="28"/>
        </w:rPr>
      </w:pPr>
    </w:p>
    <w:p w14:paraId="6E7F4BE6">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供应商（单位名称及公章）：</w:t>
      </w:r>
    </w:p>
    <w:p w14:paraId="0F75CAA5">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14:paraId="7BD8B38D">
      <w:pPr>
        <w:adjustRightInd w:val="0"/>
        <w:snapToGrid w:val="0"/>
        <w:spacing w:line="480" w:lineRule="auto"/>
        <w:rPr>
          <w:rFonts w:ascii="宋体" w:hAnsi="宋体"/>
          <w:sz w:val="28"/>
          <w:szCs w:val="28"/>
        </w:rPr>
        <w:sectPr>
          <w:headerReference r:id="rId18"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sz w:val="28"/>
          <w:szCs w:val="28"/>
        </w:rPr>
        <w:t>日    期：   年   月  日</w:t>
      </w:r>
    </w:p>
    <w:p w14:paraId="7A9B6509">
      <w:pPr>
        <w:pStyle w:val="28"/>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14:paraId="530796CD">
      <w:pPr>
        <w:kinsoku w:val="0"/>
        <w:spacing w:line="480" w:lineRule="auto"/>
        <w:ind w:left="1232" w:hanging="1232" w:hangingChars="440"/>
        <w:jc w:val="left"/>
        <w:rPr>
          <w:rFonts w:asciiTheme="minorEastAsia" w:hAnsiTheme="minorEastAsia" w:cstheme="minorEastAsia"/>
          <w:sz w:val="28"/>
          <w:szCs w:val="28"/>
        </w:rPr>
      </w:pPr>
    </w:p>
    <w:tbl>
      <w:tblPr>
        <w:tblStyle w:val="29"/>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14:paraId="7E4C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14:paraId="3B080A7C">
            <w:pPr>
              <w:pStyle w:val="15"/>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14:paraId="34E7BF30">
            <w:pPr>
              <w:pStyle w:val="15"/>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采购文件要求</w:t>
            </w:r>
          </w:p>
          <w:p w14:paraId="2BB1FAD7">
            <w:pPr>
              <w:pStyle w:val="15"/>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服务要求</w:t>
            </w:r>
          </w:p>
        </w:tc>
        <w:tc>
          <w:tcPr>
            <w:tcW w:w="2443" w:type="dxa"/>
            <w:vAlign w:val="center"/>
          </w:tcPr>
          <w:p w14:paraId="2D7432E5">
            <w:pPr>
              <w:pStyle w:val="15"/>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磋商响应文件</w:t>
            </w:r>
          </w:p>
          <w:p w14:paraId="558A14C8">
            <w:pPr>
              <w:pStyle w:val="15"/>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服务内容</w:t>
            </w:r>
          </w:p>
        </w:tc>
        <w:tc>
          <w:tcPr>
            <w:tcW w:w="1621" w:type="dxa"/>
            <w:vAlign w:val="center"/>
          </w:tcPr>
          <w:p w14:paraId="5CC87844">
            <w:pPr>
              <w:pStyle w:val="15"/>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14:paraId="226479C0">
            <w:pPr>
              <w:pStyle w:val="15"/>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14:paraId="2185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300BC995">
            <w:pPr>
              <w:pStyle w:val="15"/>
              <w:spacing w:line="480" w:lineRule="auto"/>
              <w:ind w:firstLine="480" w:firstLineChars="200"/>
              <w:jc w:val="left"/>
              <w:rPr>
                <w:rFonts w:asciiTheme="minorEastAsia" w:hAnsiTheme="minorEastAsia" w:cstheme="minorEastAsia"/>
                <w:sz w:val="24"/>
                <w:szCs w:val="24"/>
              </w:rPr>
            </w:pPr>
          </w:p>
        </w:tc>
        <w:tc>
          <w:tcPr>
            <w:tcW w:w="2864" w:type="dxa"/>
            <w:vAlign w:val="center"/>
          </w:tcPr>
          <w:p w14:paraId="7FE94520">
            <w:pPr>
              <w:pStyle w:val="15"/>
              <w:spacing w:line="480" w:lineRule="auto"/>
              <w:ind w:firstLine="480" w:firstLineChars="200"/>
              <w:jc w:val="left"/>
              <w:rPr>
                <w:rFonts w:asciiTheme="minorEastAsia" w:hAnsiTheme="minorEastAsia" w:cstheme="minorEastAsia"/>
                <w:sz w:val="24"/>
                <w:szCs w:val="24"/>
              </w:rPr>
            </w:pPr>
          </w:p>
        </w:tc>
        <w:tc>
          <w:tcPr>
            <w:tcW w:w="2443" w:type="dxa"/>
            <w:vAlign w:val="center"/>
          </w:tcPr>
          <w:p w14:paraId="39B96306">
            <w:pPr>
              <w:pStyle w:val="15"/>
              <w:spacing w:line="480" w:lineRule="auto"/>
              <w:ind w:firstLine="480" w:firstLineChars="200"/>
              <w:jc w:val="left"/>
              <w:rPr>
                <w:rFonts w:asciiTheme="minorEastAsia" w:hAnsiTheme="minorEastAsia" w:cstheme="minorEastAsia"/>
                <w:sz w:val="24"/>
                <w:szCs w:val="24"/>
              </w:rPr>
            </w:pPr>
          </w:p>
        </w:tc>
        <w:tc>
          <w:tcPr>
            <w:tcW w:w="1621" w:type="dxa"/>
            <w:vAlign w:val="center"/>
          </w:tcPr>
          <w:p w14:paraId="399D2E51">
            <w:pPr>
              <w:pStyle w:val="15"/>
              <w:spacing w:line="480" w:lineRule="auto"/>
              <w:ind w:firstLine="480" w:firstLineChars="200"/>
              <w:jc w:val="left"/>
              <w:rPr>
                <w:rFonts w:asciiTheme="minorEastAsia" w:hAnsiTheme="minorEastAsia" w:cstheme="minorEastAsia"/>
                <w:sz w:val="24"/>
                <w:szCs w:val="24"/>
              </w:rPr>
            </w:pPr>
          </w:p>
        </w:tc>
        <w:tc>
          <w:tcPr>
            <w:tcW w:w="1614" w:type="dxa"/>
            <w:vAlign w:val="center"/>
          </w:tcPr>
          <w:p w14:paraId="2B98B74C">
            <w:pPr>
              <w:pStyle w:val="15"/>
              <w:spacing w:line="480" w:lineRule="auto"/>
              <w:ind w:firstLine="480" w:firstLineChars="200"/>
              <w:jc w:val="left"/>
              <w:rPr>
                <w:rFonts w:asciiTheme="minorEastAsia" w:hAnsiTheme="minorEastAsia" w:cstheme="minorEastAsia"/>
                <w:sz w:val="24"/>
                <w:szCs w:val="24"/>
              </w:rPr>
            </w:pPr>
          </w:p>
        </w:tc>
      </w:tr>
      <w:tr w14:paraId="69BC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05DDC9FC">
            <w:pPr>
              <w:pStyle w:val="15"/>
              <w:spacing w:line="480" w:lineRule="auto"/>
              <w:ind w:firstLine="480" w:firstLineChars="200"/>
              <w:jc w:val="left"/>
              <w:rPr>
                <w:rFonts w:asciiTheme="minorEastAsia" w:hAnsiTheme="minorEastAsia" w:cstheme="minorEastAsia"/>
                <w:sz w:val="24"/>
                <w:szCs w:val="24"/>
              </w:rPr>
            </w:pPr>
          </w:p>
        </w:tc>
        <w:tc>
          <w:tcPr>
            <w:tcW w:w="2864" w:type="dxa"/>
          </w:tcPr>
          <w:p w14:paraId="2DAAF796">
            <w:pPr>
              <w:pStyle w:val="15"/>
              <w:spacing w:line="480" w:lineRule="auto"/>
              <w:ind w:firstLine="480" w:firstLineChars="200"/>
              <w:jc w:val="left"/>
              <w:rPr>
                <w:rFonts w:asciiTheme="minorEastAsia" w:hAnsiTheme="minorEastAsia" w:cstheme="minorEastAsia"/>
                <w:sz w:val="24"/>
                <w:szCs w:val="24"/>
              </w:rPr>
            </w:pPr>
          </w:p>
        </w:tc>
        <w:tc>
          <w:tcPr>
            <w:tcW w:w="2443" w:type="dxa"/>
          </w:tcPr>
          <w:p w14:paraId="5AEFCD83">
            <w:pPr>
              <w:pStyle w:val="15"/>
              <w:spacing w:line="480" w:lineRule="auto"/>
              <w:ind w:firstLine="480" w:firstLineChars="200"/>
              <w:jc w:val="left"/>
              <w:rPr>
                <w:rFonts w:asciiTheme="minorEastAsia" w:hAnsiTheme="minorEastAsia" w:cstheme="minorEastAsia"/>
                <w:sz w:val="24"/>
                <w:szCs w:val="24"/>
              </w:rPr>
            </w:pPr>
          </w:p>
        </w:tc>
        <w:tc>
          <w:tcPr>
            <w:tcW w:w="1621" w:type="dxa"/>
          </w:tcPr>
          <w:p w14:paraId="43EF35C0">
            <w:pPr>
              <w:pStyle w:val="15"/>
              <w:spacing w:line="480" w:lineRule="auto"/>
              <w:ind w:firstLine="480" w:firstLineChars="200"/>
              <w:jc w:val="left"/>
              <w:rPr>
                <w:rFonts w:asciiTheme="minorEastAsia" w:hAnsiTheme="minorEastAsia" w:cstheme="minorEastAsia"/>
                <w:sz w:val="24"/>
                <w:szCs w:val="24"/>
              </w:rPr>
            </w:pPr>
          </w:p>
        </w:tc>
        <w:tc>
          <w:tcPr>
            <w:tcW w:w="1614" w:type="dxa"/>
          </w:tcPr>
          <w:p w14:paraId="6D5977C3">
            <w:pPr>
              <w:pStyle w:val="15"/>
              <w:spacing w:line="480" w:lineRule="auto"/>
              <w:ind w:firstLine="480" w:firstLineChars="200"/>
              <w:jc w:val="left"/>
              <w:rPr>
                <w:rFonts w:asciiTheme="minorEastAsia" w:hAnsiTheme="minorEastAsia" w:cstheme="minorEastAsia"/>
                <w:sz w:val="24"/>
                <w:szCs w:val="24"/>
              </w:rPr>
            </w:pPr>
          </w:p>
        </w:tc>
      </w:tr>
      <w:tr w14:paraId="0FF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3DED03B0">
            <w:pPr>
              <w:pStyle w:val="15"/>
              <w:spacing w:line="480" w:lineRule="auto"/>
              <w:ind w:firstLine="480" w:firstLineChars="200"/>
              <w:jc w:val="left"/>
              <w:rPr>
                <w:rFonts w:asciiTheme="minorEastAsia" w:hAnsiTheme="minorEastAsia" w:cstheme="minorEastAsia"/>
                <w:sz w:val="24"/>
                <w:szCs w:val="24"/>
              </w:rPr>
            </w:pPr>
          </w:p>
        </w:tc>
        <w:tc>
          <w:tcPr>
            <w:tcW w:w="2864" w:type="dxa"/>
          </w:tcPr>
          <w:p w14:paraId="78BE58AA">
            <w:pPr>
              <w:pStyle w:val="15"/>
              <w:spacing w:line="480" w:lineRule="auto"/>
              <w:ind w:firstLine="480" w:firstLineChars="200"/>
              <w:jc w:val="left"/>
              <w:rPr>
                <w:rFonts w:asciiTheme="minorEastAsia" w:hAnsiTheme="minorEastAsia" w:cstheme="minorEastAsia"/>
                <w:sz w:val="24"/>
                <w:szCs w:val="24"/>
              </w:rPr>
            </w:pPr>
          </w:p>
        </w:tc>
        <w:tc>
          <w:tcPr>
            <w:tcW w:w="2443" w:type="dxa"/>
          </w:tcPr>
          <w:p w14:paraId="7C8007EE">
            <w:pPr>
              <w:pStyle w:val="15"/>
              <w:spacing w:line="480" w:lineRule="auto"/>
              <w:ind w:firstLine="480" w:firstLineChars="200"/>
              <w:jc w:val="left"/>
              <w:rPr>
                <w:rFonts w:asciiTheme="minorEastAsia" w:hAnsiTheme="minorEastAsia" w:cstheme="minorEastAsia"/>
                <w:sz w:val="24"/>
                <w:szCs w:val="24"/>
              </w:rPr>
            </w:pPr>
          </w:p>
        </w:tc>
        <w:tc>
          <w:tcPr>
            <w:tcW w:w="1621" w:type="dxa"/>
          </w:tcPr>
          <w:p w14:paraId="68ABC166">
            <w:pPr>
              <w:pStyle w:val="15"/>
              <w:spacing w:line="480" w:lineRule="auto"/>
              <w:ind w:firstLine="480" w:firstLineChars="200"/>
              <w:jc w:val="left"/>
              <w:rPr>
                <w:rFonts w:asciiTheme="minorEastAsia" w:hAnsiTheme="minorEastAsia" w:cstheme="minorEastAsia"/>
                <w:sz w:val="24"/>
                <w:szCs w:val="24"/>
              </w:rPr>
            </w:pPr>
          </w:p>
        </w:tc>
        <w:tc>
          <w:tcPr>
            <w:tcW w:w="1614" w:type="dxa"/>
          </w:tcPr>
          <w:p w14:paraId="0349E36A">
            <w:pPr>
              <w:pStyle w:val="15"/>
              <w:spacing w:line="480" w:lineRule="auto"/>
              <w:ind w:firstLine="480" w:firstLineChars="200"/>
              <w:jc w:val="left"/>
              <w:rPr>
                <w:rFonts w:asciiTheme="minorEastAsia" w:hAnsiTheme="minorEastAsia" w:cstheme="minorEastAsia"/>
                <w:sz w:val="24"/>
                <w:szCs w:val="24"/>
              </w:rPr>
            </w:pPr>
          </w:p>
        </w:tc>
      </w:tr>
      <w:tr w14:paraId="76B4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08EF9345">
            <w:pPr>
              <w:pStyle w:val="15"/>
              <w:spacing w:line="480" w:lineRule="auto"/>
              <w:ind w:firstLine="480" w:firstLineChars="200"/>
              <w:jc w:val="left"/>
              <w:rPr>
                <w:rFonts w:asciiTheme="minorEastAsia" w:hAnsiTheme="minorEastAsia" w:cstheme="minorEastAsia"/>
                <w:sz w:val="24"/>
                <w:szCs w:val="24"/>
              </w:rPr>
            </w:pPr>
          </w:p>
        </w:tc>
        <w:tc>
          <w:tcPr>
            <w:tcW w:w="2864" w:type="dxa"/>
          </w:tcPr>
          <w:p w14:paraId="60E50DF3">
            <w:pPr>
              <w:pStyle w:val="15"/>
              <w:spacing w:line="480" w:lineRule="auto"/>
              <w:ind w:firstLine="480" w:firstLineChars="200"/>
              <w:jc w:val="left"/>
              <w:rPr>
                <w:rFonts w:asciiTheme="minorEastAsia" w:hAnsiTheme="minorEastAsia" w:cstheme="minorEastAsia"/>
                <w:sz w:val="24"/>
                <w:szCs w:val="24"/>
              </w:rPr>
            </w:pPr>
          </w:p>
        </w:tc>
        <w:tc>
          <w:tcPr>
            <w:tcW w:w="2443" w:type="dxa"/>
          </w:tcPr>
          <w:p w14:paraId="1AF60148">
            <w:pPr>
              <w:pStyle w:val="15"/>
              <w:spacing w:line="480" w:lineRule="auto"/>
              <w:ind w:firstLine="480" w:firstLineChars="200"/>
              <w:jc w:val="left"/>
              <w:rPr>
                <w:rFonts w:asciiTheme="minorEastAsia" w:hAnsiTheme="minorEastAsia" w:cstheme="minorEastAsia"/>
                <w:sz w:val="24"/>
                <w:szCs w:val="24"/>
              </w:rPr>
            </w:pPr>
          </w:p>
        </w:tc>
        <w:tc>
          <w:tcPr>
            <w:tcW w:w="1621" w:type="dxa"/>
          </w:tcPr>
          <w:p w14:paraId="3FB62CBE">
            <w:pPr>
              <w:pStyle w:val="15"/>
              <w:spacing w:line="480" w:lineRule="auto"/>
              <w:ind w:firstLine="480" w:firstLineChars="200"/>
              <w:jc w:val="left"/>
              <w:rPr>
                <w:rFonts w:asciiTheme="minorEastAsia" w:hAnsiTheme="minorEastAsia" w:cstheme="minorEastAsia"/>
                <w:sz w:val="24"/>
                <w:szCs w:val="24"/>
              </w:rPr>
            </w:pPr>
          </w:p>
        </w:tc>
        <w:tc>
          <w:tcPr>
            <w:tcW w:w="1614" w:type="dxa"/>
          </w:tcPr>
          <w:p w14:paraId="4379B5B2">
            <w:pPr>
              <w:pStyle w:val="15"/>
              <w:spacing w:line="480" w:lineRule="auto"/>
              <w:ind w:firstLine="480" w:firstLineChars="200"/>
              <w:jc w:val="left"/>
              <w:rPr>
                <w:rFonts w:asciiTheme="minorEastAsia" w:hAnsiTheme="minorEastAsia" w:cstheme="minorEastAsia"/>
                <w:sz w:val="24"/>
                <w:szCs w:val="24"/>
              </w:rPr>
            </w:pPr>
          </w:p>
        </w:tc>
      </w:tr>
      <w:tr w14:paraId="20CA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1C44314D">
            <w:pPr>
              <w:pStyle w:val="15"/>
              <w:spacing w:line="480" w:lineRule="auto"/>
              <w:ind w:firstLine="480" w:firstLineChars="200"/>
              <w:jc w:val="left"/>
              <w:rPr>
                <w:rFonts w:asciiTheme="minorEastAsia" w:hAnsiTheme="minorEastAsia" w:cstheme="minorEastAsia"/>
                <w:sz w:val="24"/>
                <w:szCs w:val="24"/>
              </w:rPr>
            </w:pPr>
          </w:p>
        </w:tc>
        <w:tc>
          <w:tcPr>
            <w:tcW w:w="2864" w:type="dxa"/>
          </w:tcPr>
          <w:p w14:paraId="32318A37">
            <w:pPr>
              <w:pStyle w:val="15"/>
              <w:spacing w:line="480" w:lineRule="auto"/>
              <w:ind w:firstLine="480" w:firstLineChars="200"/>
              <w:jc w:val="left"/>
              <w:rPr>
                <w:rFonts w:asciiTheme="minorEastAsia" w:hAnsiTheme="minorEastAsia" w:cstheme="minorEastAsia"/>
                <w:sz w:val="24"/>
                <w:szCs w:val="24"/>
              </w:rPr>
            </w:pPr>
          </w:p>
        </w:tc>
        <w:tc>
          <w:tcPr>
            <w:tcW w:w="2443" w:type="dxa"/>
          </w:tcPr>
          <w:p w14:paraId="6F5D2245">
            <w:pPr>
              <w:pStyle w:val="15"/>
              <w:spacing w:line="480" w:lineRule="auto"/>
              <w:ind w:firstLine="480" w:firstLineChars="200"/>
              <w:jc w:val="left"/>
              <w:rPr>
                <w:rFonts w:asciiTheme="minorEastAsia" w:hAnsiTheme="minorEastAsia" w:cstheme="minorEastAsia"/>
                <w:sz w:val="24"/>
                <w:szCs w:val="24"/>
              </w:rPr>
            </w:pPr>
          </w:p>
        </w:tc>
        <w:tc>
          <w:tcPr>
            <w:tcW w:w="1621" w:type="dxa"/>
          </w:tcPr>
          <w:p w14:paraId="575081AB">
            <w:pPr>
              <w:pStyle w:val="15"/>
              <w:spacing w:line="480" w:lineRule="auto"/>
              <w:ind w:firstLine="480" w:firstLineChars="200"/>
              <w:jc w:val="left"/>
              <w:rPr>
                <w:rFonts w:asciiTheme="minorEastAsia" w:hAnsiTheme="minorEastAsia" w:cstheme="minorEastAsia"/>
                <w:sz w:val="24"/>
                <w:szCs w:val="24"/>
              </w:rPr>
            </w:pPr>
          </w:p>
        </w:tc>
        <w:tc>
          <w:tcPr>
            <w:tcW w:w="1614" w:type="dxa"/>
          </w:tcPr>
          <w:p w14:paraId="1A142DC0">
            <w:pPr>
              <w:pStyle w:val="15"/>
              <w:spacing w:line="480" w:lineRule="auto"/>
              <w:ind w:firstLine="480" w:firstLineChars="200"/>
              <w:jc w:val="left"/>
              <w:rPr>
                <w:rFonts w:asciiTheme="minorEastAsia" w:hAnsiTheme="minorEastAsia" w:cstheme="minorEastAsia"/>
                <w:sz w:val="24"/>
                <w:szCs w:val="24"/>
              </w:rPr>
            </w:pPr>
          </w:p>
        </w:tc>
      </w:tr>
      <w:tr w14:paraId="1BF2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098B979D">
            <w:pPr>
              <w:pStyle w:val="15"/>
              <w:spacing w:line="480" w:lineRule="auto"/>
              <w:ind w:firstLine="480" w:firstLineChars="200"/>
              <w:jc w:val="left"/>
              <w:rPr>
                <w:rFonts w:asciiTheme="minorEastAsia" w:hAnsiTheme="minorEastAsia" w:cstheme="minorEastAsia"/>
                <w:sz w:val="24"/>
                <w:szCs w:val="24"/>
              </w:rPr>
            </w:pPr>
          </w:p>
        </w:tc>
        <w:tc>
          <w:tcPr>
            <w:tcW w:w="2864" w:type="dxa"/>
          </w:tcPr>
          <w:p w14:paraId="65430095">
            <w:pPr>
              <w:pStyle w:val="15"/>
              <w:spacing w:line="480" w:lineRule="auto"/>
              <w:ind w:firstLine="480" w:firstLineChars="200"/>
              <w:jc w:val="left"/>
              <w:rPr>
                <w:rFonts w:asciiTheme="minorEastAsia" w:hAnsiTheme="minorEastAsia" w:cstheme="minorEastAsia"/>
                <w:sz w:val="24"/>
                <w:szCs w:val="24"/>
              </w:rPr>
            </w:pPr>
          </w:p>
        </w:tc>
        <w:tc>
          <w:tcPr>
            <w:tcW w:w="2443" w:type="dxa"/>
          </w:tcPr>
          <w:p w14:paraId="7CFE392C">
            <w:pPr>
              <w:pStyle w:val="15"/>
              <w:spacing w:line="480" w:lineRule="auto"/>
              <w:ind w:firstLine="480" w:firstLineChars="200"/>
              <w:jc w:val="left"/>
              <w:rPr>
                <w:rFonts w:asciiTheme="minorEastAsia" w:hAnsiTheme="minorEastAsia" w:cstheme="minorEastAsia"/>
                <w:sz w:val="24"/>
                <w:szCs w:val="24"/>
              </w:rPr>
            </w:pPr>
          </w:p>
        </w:tc>
        <w:tc>
          <w:tcPr>
            <w:tcW w:w="1621" w:type="dxa"/>
          </w:tcPr>
          <w:p w14:paraId="463BF7E9">
            <w:pPr>
              <w:pStyle w:val="15"/>
              <w:spacing w:line="480" w:lineRule="auto"/>
              <w:ind w:firstLine="480" w:firstLineChars="200"/>
              <w:jc w:val="left"/>
              <w:rPr>
                <w:rFonts w:asciiTheme="minorEastAsia" w:hAnsiTheme="minorEastAsia" w:cstheme="minorEastAsia"/>
                <w:sz w:val="24"/>
                <w:szCs w:val="24"/>
              </w:rPr>
            </w:pPr>
          </w:p>
        </w:tc>
        <w:tc>
          <w:tcPr>
            <w:tcW w:w="1614" w:type="dxa"/>
          </w:tcPr>
          <w:p w14:paraId="4C2C15EB">
            <w:pPr>
              <w:pStyle w:val="15"/>
              <w:spacing w:line="480" w:lineRule="auto"/>
              <w:ind w:firstLine="480" w:firstLineChars="200"/>
              <w:jc w:val="left"/>
              <w:rPr>
                <w:rFonts w:asciiTheme="minorEastAsia" w:hAnsiTheme="minorEastAsia" w:cstheme="minorEastAsia"/>
                <w:sz w:val="24"/>
                <w:szCs w:val="24"/>
              </w:rPr>
            </w:pPr>
          </w:p>
        </w:tc>
      </w:tr>
      <w:tr w14:paraId="774B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2107B7FD">
            <w:pPr>
              <w:pStyle w:val="15"/>
              <w:spacing w:line="480" w:lineRule="auto"/>
              <w:ind w:firstLine="480" w:firstLineChars="200"/>
              <w:jc w:val="left"/>
              <w:rPr>
                <w:rFonts w:asciiTheme="minorEastAsia" w:hAnsiTheme="minorEastAsia" w:cstheme="minorEastAsia"/>
                <w:sz w:val="24"/>
                <w:szCs w:val="24"/>
              </w:rPr>
            </w:pPr>
          </w:p>
        </w:tc>
        <w:tc>
          <w:tcPr>
            <w:tcW w:w="2864" w:type="dxa"/>
          </w:tcPr>
          <w:p w14:paraId="5B32DB35">
            <w:pPr>
              <w:pStyle w:val="15"/>
              <w:spacing w:line="480" w:lineRule="auto"/>
              <w:ind w:firstLine="480" w:firstLineChars="200"/>
              <w:jc w:val="left"/>
              <w:rPr>
                <w:rFonts w:asciiTheme="minorEastAsia" w:hAnsiTheme="minorEastAsia" w:cstheme="minorEastAsia"/>
                <w:sz w:val="24"/>
                <w:szCs w:val="24"/>
              </w:rPr>
            </w:pPr>
          </w:p>
        </w:tc>
        <w:tc>
          <w:tcPr>
            <w:tcW w:w="2443" w:type="dxa"/>
          </w:tcPr>
          <w:p w14:paraId="5E1EA9B4">
            <w:pPr>
              <w:pStyle w:val="15"/>
              <w:spacing w:line="480" w:lineRule="auto"/>
              <w:ind w:firstLine="480" w:firstLineChars="200"/>
              <w:jc w:val="left"/>
              <w:rPr>
                <w:rFonts w:asciiTheme="minorEastAsia" w:hAnsiTheme="minorEastAsia" w:cstheme="minorEastAsia"/>
                <w:sz w:val="24"/>
                <w:szCs w:val="24"/>
              </w:rPr>
            </w:pPr>
          </w:p>
        </w:tc>
        <w:tc>
          <w:tcPr>
            <w:tcW w:w="1621" w:type="dxa"/>
          </w:tcPr>
          <w:p w14:paraId="56903B0E">
            <w:pPr>
              <w:pStyle w:val="15"/>
              <w:spacing w:line="480" w:lineRule="auto"/>
              <w:ind w:firstLine="480" w:firstLineChars="200"/>
              <w:jc w:val="left"/>
              <w:rPr>
                <w:rFonts w:asciiTheme="minorEastAsia" w:hAnsiTheme="minorEastAsia" w:cstheme="minorEastAsia"/>
                <w:sz w:val="24"/>
                <w:szCs w:val="24"/>
              </w:rPr>
            </w:pPr>
          </w:p>
        </w:tc>
        <w:tc>
          <w:tcPr>
            <w:tcW w:w="1614" w:type="dxa"/>
          </w:tcPr>
          <w:p w14:paraId="39B8B484">
            <w:pPr>
              <w:pStyle w:val="15"/>
              <w:spacing w:line="480" w:lineRule="auto"/>
              <w:ind w:firstLine="480" w:firstLineChars="200"/>
              <w:jc w:val="left"/>
              <w:rPr>
                <w:rFonts w:asciiTheme="minorEastAsia" w:hAnsiTheme="minorEastAsia" w:cstheme="minorEastAsia"/>
                <w:sz w:val="24"/>
                <w:szCs w:val="24"/>
              </w:rPr>
            </w:pPr>
          </w:p>
        </w:tc>
      </w:tr>
      <w:tr w14:paraId="306C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14:paraId="5BE9DC70">
            <w:pPr>
              <w:pStyle w:val="15"/>
              <w:spacing w:line="480" w:lineRule="auto"/>
              <w:ind w:firstLine="480" w:firstLineChars="200"/>
              <w:jc w:val="left"/>
              <w:rPr>
                <w:rFonts w:asciiTheme="minorEastAsia" w:hAnsiTheme="minorEastAsia" w:cstheme="minorEastAsia"/>
                <w:sz w:val="24"/>
                <w:szCs w:val="24"/>
              </w:rPr>
            </w:pPr>
          </w:p>
        </w:tc>
        <w:tc>
          <w:tcPr>
            <w:tcW w:w="2864" w:type="dxa"/>
          </w:tcPr>
          <w:p w14:paraId="7BE8118A">
            <w:pPr>
              <w:pStyle w:val="15"/>
              <w:spacing w:line="480" w:lineRule="auto"/>
              <w:ind w:firstLine="480" w:firstLineChars="200"/>
              <w:jc w:val="left"/>
              <w:rPr>
                <w:rFonts w:asciiTheme="minorEastAsia" w:hAnsiTheme="minorEastAsia" w:cstheme="minorEastAsia"/>
                <w:sz w:val="24"/>
                <w:szCs w:val="24"/>
              </w:rPr>
            </w:pPr>
          </w:p>
        </w:tc>
        <w:tc>
          <w:tcPr>
            <w:tcW w:w="2443" w:type="dxa"/>
          </w:tcPr>
          <w:p w14:paraId="7FEF6AE9">
            <w:pPr>
              <w:pStyle w:val="15"/>
              <w:spacing w:line="480" w:lineRule="auto"/>
              <w:ind w:firstLine="480" w:firstLineChars="200"/>
              <w:jc w:val="left"/>
              <w:rPr>
                <w:rFonts w:asciiTheme="minorEastAsia" w:hAnsiTheme="minorEastAsia" w:cstheme="minorEastAsia"/>
                <w:sz w:val="24"/>
                <w:szCs w:val="24"/>
              </w:rPr>
            </w:pPr>
          </w:p>
        </w:tc>
        <w:tc>
          <w:tcPr>
            <w:tcW w:w="1621" w:type="dxa"/>
          </w:tcPr>
          <w:p w14:paraId="168B7A11">
            <w:pPr>
              <w:pStyle w:val="15"/>
              <w:spacing w:line="480" w:lineRule="auto"/>
              <w:ind w:firstLine="480" w:firstLineChars="200"/>
              <w:jc w:val="left"/>
              <w:rPr>
                <w:rFonts w:asciiTheme="minorEastAsia" w:hAnsiTheme="minorEastAsia" w:cstheme="minorEastAsia"/>
                <w:sz w:val="24"/>
                <w:szCs w:val="24"/>
              </w:rPr>
            </w:pPr>
          </w:p>
        </w:tc>
        <w:tc>
          <w:tcPr>
            <w:tcW w:w="1614" w:type="dxa"/>
          </w:tcPr>
          <w:p w14:paraId="19D393C0">
            <w:pPr>
              <w:pStyle w:val="15"/>
              <w:spacing w:line="480" w:lineRule="auto"/>
              <w:ind w:firstLine="480" w:firstLineChars="200"/>
              <w:jc w:val="left"/>
              <w:rPr>
                <w:rFonts w:asciiTheme="minorEastAsia" w:hAnsiTheme="minorEastAsia" w:cstheme="minorEastAsia"/>
                <w:sz w:val="24"/>
                <w:szCs w:val="24"/>
              </w:rPr>
            </w:pPr>
          </w:p>
        </w:tc>
      </w:tr>
    </w:tbl>
    <w:p w14:paraId="7F2F295A">
      <w:pPr>
        <w:pStyle w:val="15"/>
        <w:ind w:firstLine="562"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填写说明：</w:t>
      </w:r>
      <w:r>
        <w:rPr>
          <w:rFonts w:hint="eastAsia" w:asciiTheme="minorEastAsia" w:hAnsiTheme="minorEastAsia" w:cstheme="minorEastAsia"/>
          <w:color w:val="000000" w:themeColor="text1"/>
          <w:sz w:val="28"/>
          <w:szCs w:val="28"/>
          <w14:textFill>
            <w14:solidFill>
              <w14:schemeClr w14:val="tx1"/>
            </w14:solidFill>
          </w14:textFill>
        </w:rPr>
        <w:t>请按磋商文件要求的实际服务要求，逐条对应响应文件的“采购要求”中的服务要求认真填写本表。偏差说明填写：正偏离（标明正偏离内容及正偏离的证明材料的页码）、符合（标明主要技术参数证明材料页码）或负偏离。</w:t>
      </w:r>
    </w:p>
    <w:p w14:paraId="2591C48E">
      <w:pPr>
        <w:adjustRightInd w:val="0"/>
        <w:snapToGrid w:val="0"/>
        <w:spacing w:line="480" w:lineRule="auto"/>
        <w:jc w:val="left"/>
        <w:rPr>
          <w:rFonts w:asciiTheme="minorEastAsia" w:hAnsiTheme="minorEastAsia" w:cstheme="minorEastAsia"/>
          <w:sz w:val="28"/>
          <w:szCs w:val="28"/>
        </w:rPr>
      </w:pPr>
    </w:p>
    <w:p w14:paraId="041DFA33">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供应商（单位名称及公章）：</w:t>
      </w:r>
    </w:p>
    <w:p w14:paraId="4AA249A4">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p>
    <w:p w14:paraId="4422E7F6">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pgNumType w:fmt="decimal"/>
          <w:cols w:space="0" w:num="1"/>
          <w:docGrid w:type="lines" w:linePitch="325" w:charSpace="0"/>
        </w:sectPr>
      </w:pPr>
      <w:r>
        <w:rPr>
          <w:rFonts w:hint="eastAsia" w:asciiTheme="minorEastAsia" w:hAnsiTheme="minorEastAsia" w:cstheme="minorEastAsia"/>
          <w:sz w:val="28"/>
          <w:szCs w:val="28"/>
        </w:rPr>
        <w:t>日    期：年月日</w:t>
      </w:r>
    </w:p>
    <w:bookmarkEnd w:id="147"/>
    <w:p w14:paraId="02D73A1B">
      <w:pPr>
        <w:pStyle w:val="5"/>
      </w:pPr>
      <w:bookmarkStart w:id="151" w:name="_Toc24390"/>
      <w:r>
        <w:rPr>
          <w:rFonts w:hint="eastAsia"/>
          <w:sz w:val="28"/>
          <w:szCs w:val="28"/>
        </w:rPr>
        <w:t>第六章</w:t>
      </w:r>
      <w:bookmarkEnd w:id="148"/>
      <w:r>
        <w:rPr>
          <w:rFonts w:hint="eastAsia"/>
          <w:sz w:val="28"/>
          <w:szCs w:val="28"/>
        </w:rPr>
        <w:t xml:space="preserve">  技术支持资料</w:t>
      </w:r>
      <w:bookmarkEnd w:id="151"/>
    </w:p>
    <w:p w14:paraId="33FA7E1F">
      <w:pPr>
        <w:spacing w:line="480" w:lineRule="auto"/>
        <w:rPr>
          <w:b/>
          <w:bCs/>
          <w:color w:val="FF0000"/>
          <w:sz w:val="36"/>
          <w:szCs w:val="36"/>
        </w:rPr>
      </w:pPr>
      <w:r>
        <w:rPr>
          <w:rFonts w:hint="eastAsia"/>
          <w:b/>
          <w:bCs/>
          <w:color w:val="FF0000"/>
          <w:sz w:val="36"/>
          <w:szCs w:val="36"/>
        </w:rPr>
        <w:t>供应商可根据评审办法自行编写，格式不限：</w:t>
      </w:r>
    </w:p>
    <w:p w14:paraId="534010EE"/>
    <w:p w14:paraId="25025647">
      <w:r>
        <w:rPr>
          <w:rFonts w:hint="eastAsia"/>
        </w:rPr>
        <w:br w:type="page"/>
      </w:r>
    </w:p>
    <w:p w14:paraId="41527BEE"/>
    <w:p w14:paraId="4F5E71F4">
      <w:pPr>
        <w:pStyle w:val="5"/>
      </w:pPr>
      <w:bookmarkStart w:id="152" w:name="_Toc29853"/>
      <w:bookmarkStart w:id="153" w:name="_Toc6202"/>
      <w:bookmarkStart w:id="154" w:name="_Toc11540"/>
      <w:r>
        <w:rPr>
          <w:rFonts w:hint="eastAsia"/>
        </w:rPr>
        <w:t>第七章  供应商业绩一览表</w:t>
      </w:r>
      <w:bookmarkEnd w:id="152"/>
      <w:bookmarkEnd w:id="153"/>
      <w:bookmarkEnd w:id="154"/>
    </w:p>
    <w:p w14:paraId="06084A7C">
      <w:pPr>
        <w:rPr>
          <w:rFonts w:asciiTheme="minorEastAsia" w:hAnsiTheme="minorEastAsia" w:cstheme="minorEastAsia"/>
        </w:rPr>
      </w:pPr>
    </w:p>
    <w:tbl>
      <w:tblPr>
        <w:tblStyle w:val="29"/>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14:paraId="440976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14:paraId="44E6D8CB">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14:paraId="750681E5">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14:paraId="3B254C2E">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14:paraId="7DD3749B">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14:paraId="6D695F50">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14:paraId="05C8CDA5">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14:paraId="7E8DD180">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14:paraId="0F3699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7C581739">
            <w:pPr>
              <w:spacing w:line="400" w:lineRule="exact"/>
              <w:jc w:val="center"/>
              <w:rPr>
                <w:rFonts w:asciiTheme="minorEastAsia" w:hAnsiTheme="minorEastAsia" w:cstheme="minorEastAsia"/>
                <w:bCs/>
                <w:szCs w:val="21"/>
              </w:rPr>
            </w:pPr>
          </w:p>
        </w:tc>
        <w:tc>
          <w:tcPr>
            <w:tcW w:w="1508" w:type="dxa"/>
            <w:vAlign w:val="center"/>
          </w:tcPr>
          <w:p w14:paraId="2251D59F">
            <w:pPr>
              <w:spacing w:line="400" w:lineRule="exact"/>
              <w:jc w:val="center"/>
              <w:rPr>
                <w:rFonts w:asciiTheme="minorEastAsia" w:hAnsiTheme="minorEastAsia" w:cstheme="minorEastAsia"/>
                <w:bCs/>
                <w:szCs w:val="21"/>
              </w:rPr>
            </w:pPr>
          </w:p>
        </w:tc>
        <w:tc>
          <w:tcPr>
            <w:tcW w:w="1382" w:type="dxa"/>
            <w:vAlign w:val="center"/>
          </w:tcPr>
          <w:p w14:paraId="3966C0F6">
            <w:pPr>
              <w:spacing w:line="400" w:lineRule="exact"/>
              <w:jc w:val="center"/>
              <w:rPr>
                <w:rFonts w:asciiTheme="minorEastAsia" w:hAnsiTheme="minorEastAsia" w:cstheme="minorEastAsia"/>
                <w:bCs/>
                <w:szCs w:val="21"/>
              </w:rPr>
            </w:pPr>
          </w:p>
        </w:tc>
        <w:tc>
          <w:tcPr>
            <w:tcW w:w="1399" w:type="dxa"/>
            <w:vAlign w:val="center"/>
          </w:tcPr>
          <w:p w14:paraId="140E5827">
            <w:pPr>
              <w:spacing w:line="400" w:lineRule="exact"/>
              <w:jc w:val="center"/>
              <w:rPr>
                <w:rFonts w:asciiTheme="minorEastAsia" w:hAnsiTheme="minorEastAsia" w:cstheme="minorEastAsia"/>
                <w:bCs/>
                <w:szCs w:val="21"/>
              </w:rPr>
            </w:pPr>
          </w:p>
        </w:tc>
        <w:tc>
          <w:tcPr>
            <w:tcW w:w="1485" w:type="dxa"/>
            <w:vAlign w:val="center"/>
          </w:tcPr>
          <w:p w14:paraId="5879F69A">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14:paraId="4CA9A6BE">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755D2F0B">
            <w:pPr>
              <w:spacing w:line="400" w:lineRule="exact"/>
              <w:jc w:val="center"/>
              <w:rPr>
                <w:rFonts w:asciiTheme="minorEastAsia" w:hAnsiTheme="minorEastAsia" w:cstheme="minorEastAsia"/>
                <w:bCs/>
                <w:szCs w:val="21"/>
              </w:rPr>
            </w:pPr>
          </w:p>
        </w:tc>
      </w:tr>
      <w:tr w14:paraId="6C092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7B25FE81">
            <w:pPr>
              <w:spacing w:line="400" w:lineRule="exact"/>
              <w:jc w:val="center"/>
              <w:rPr>
                <w:rFonts w:asciiTheme="minorEastAsia" w:hAnsiTheme="minorEastAsia" w:cstheme="minorEastAsia"/>
                <w:bCs/>
                <w:szCs w:val="21"/>
              </w:rPr>
            </w:pPr>
          </w:p>
        </w:tc>
        <w:tc>
          <w:tcPr>
            <w:tcW w:w="1508" w:type="dxa"/>
            <w:vAlign w:val="center"/>
          </w:tcPr>
          <w:p w14:paraId="3D1AD72F">
            <w:pPr>
              <w:spacing w:line="400" w:lineRule="exact"/>
              <w:jc w:val="center"/>
              <w:rPr>
                <w:rFonts w:asciiTheme="minorEastAsia" w:hAnsiTheme="minorEastAsia" w:cstheme="minorEastAsia"/>
                <w:bCs/>
                <w:szCs w:val="21"/>
              </w:rPr>
            </w:pPr>
          </w:p>
        </w:tc>
        <w:tc>
          <w:tcPr>
            <w:tcW w:w="1382" w:type="dxa"/>
            <w:vAlign w:val="center"/>
          </w:tcPr>
          <w:p w14:paraId="5C110959">
            <w:pPr>
              <w:spacing w:line="400" w:lineRule="exact"/>
              <w:jc w:val="center"/>
              <w:rPr>
                <w:rFonts w:asciiTheme="minorEastAsia" w:hAnsiTheme="minorEastAsia" w:cstheme="minorEastAsia"/>
                <w:bCs/>
                <w:szCs w:val="21"/>
              </w:rPr>
            </w:pPr>
          </w:p>
        </w:tc>
        <w:tc>
          <w:tcPr>
            <w:tcW w:w="1399" w:type="dxa"/>
            <w:vAlign w:val="center"/>
          </w:tcPr>
          <w:p w14:paraId="6823A72B">
            <w:pPr>
              <w:spacing w:line="400" w:lineRule="exact"/>
              <w:jc w:val="center"/>
              <w:rPr>
                <w:rFonts w:asciiTheme="minorEastAsia" w:hAnsiTheme="minorEastAsia" w:cstheme="minorEastAsia"/>
                <w:bCs/>
                <w:szCs w:val="21"/>
              </w:rPr>
            </w:pPr>
          </w:p>
        </w:tc>
        <w:tc>
          <w:tcPr>
            <w:tcW w:w="1485" w:type="dxa"/>
            <w:vAlign w:val="center"/>
          </w:tcPr>
          <w:p w14:paraId="7229B46D">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14:paraId="151BA62A">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1B023C3C">
            <w:pPr>
              <w:spacing w:line="400" w:lineRule="exact"/>
              <w:jc w:val="center"/>
              <w:rPr>
                <w:rFonts w:asciiTheme="minorEastAsia" w:hAnsiTheme="minorEastAsia" w:cstheme="minorEastAsia"/>
                <w:bCs/>
                <w:szCs w:val="21"/>
              </w:rPr>
            </w:pPr>
          </w:p>
        </w:tc>
      </w:tr>
      <w:tr w14:paraId="73CF61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5D9DF28B">
            <w:pPr>
              <w:spacing w:line="400" w:lineRule="exact"/>
              <w:jc w:val="center"/>
              <w:rPr>
                <w:rFonts w:asciiTheme="minorEastAsia" w:hAnsiTheme="minorEastAsia" w:cstheme="minorEastAsia"/>
                <w:bCs/>
                <w:szCs w:val="21"/>
              </w:rPr>
            </w:pPr>
          </w:p>
        </w:tc>
        <w:tc>
          <w:tcPr>
            <w:tcW w:w="1508" w:type="dxa"/>
            <w:vAlign w:val="center"/>
          </w:tcPr>
          <w:p w14:paraId="43C85DDC">
            <w:pPr>
              <w:spacing w:line="400" w:lineRule="exact"/>
              <w:jc w:val="center"/>
              <w:rPr>
                <w:rFonts w:asciiTheme="minorEastAsia" w:hAnsiTheme="minorEastAsia" w:cstheme="minorEastAsia"/>
                <w:bCs/>
                <w:szCs w:val="21"/>
              </w:rPr>
            </w:pPr>
          </w:p>
        </w:tc>
        <w:tc>
          <w:tcPr>
            <w:tcW w:w="1382" w:type="dxa"/>
            <w:vAlign w:val="center"/>
          </w:tcPr>
          <w:p w14:paraId="2DB77FC2">
            <w:pPr>
              <w:spacing w:line="400" w:lineRule="exact"/>
              <w:jc w:val="center"/>
              <w:rPr>
                <w:rFonts w:asciiTheme="minorEastAsia" w:hAnsiTheme="minorEastAsia" w:cstheme="minorEastAsia"/>
                <w:bCs/>
                <w:szCs w:val="21"/>
              </w:rPr>
            </w:pPr>
          </w:p>
        </w:tc>
        <w:tc>
          <w:tcPr>
            <w:tcW w:w="1399" w:type="dxa"/>
            <w:vAlign w:val="center"/>
          </w:tcPr>
          <w:p w14:paraId="63918A14">
            <w:pPr>
              <w:spacing w:line="400" w:lineRule="exact"/>
              <w:jc w:val="center"/>
              <w:rPr>
                <w:rFonts w:asciiTheme="minorEastAsia" w:hAnsiTheme="minorEastAsia" w:cstheme="minorEastAsia"/>
                <w:bCs/>
                <w:szCs w:val="21"/>
              </w:rPr>
            </w:pPr>
          </w:p>
        </w:tc>
        <w:tc>
          <w:tcPr>
            <w:tcW w:w="1485" w:type="dxa"/>
            <w:vAlign w:val="center"/>
          </w:tcPr>
          <w:p w14:paraId="34F759C6">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14:paraId="27D54635">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4ADBF973">
            <w:pPr>
              <w:spacing w:line="400" w:lineRule="exact"/>
              <w:jc w:val="center"/>
              <w:rPr>
                <w:rFonts w:asciiTheme="minorEastAsia" w:hAnsiTheme="minorEastAsia" w:cstheme="minorEastAsia"/>
                <w:bCs/>
                <w:szCs w:val="21"/>
              </w:rPr>
            </w:pPr>
          </w:p>
        </w:tc>
      </w:tr>
      <w:tr w14:paraId="777AA9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74A2E5A0">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14:paraId="3915C741">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14:paraId="60489DA1">
            <w:pPr>
              <w:spacing w:line="400" w:lineRule="exact"/>
              <w:jc w:val="center"/>
              <w:rPr>
                <w:rFonts w:asciiTheme="minorEastAsia" w:hAnsiTheme="minorEastAsia" w:cstheme="minorEastAsia"/>
                <w:bCs/>
                <w:szCs w:val="21"/>
              </w:rPr>
            </w:pPr>
          </w:p>
        </w:tc>
        <w:tc>
          <w:tcPr>
            <w:tcW w:w="1399" w:type="dxa"/>
            <w:vAlign w:val="center"/>
          </w:tcPr>
          <w:p w14:paraId="3E60336A">
            <w:pPr>
              <w:spacing w:line="400" w:lineRule="exact"/>
              <w:jc w:val="center"/>
              <w:rPr>
                <w:rFonts w:asciiTheme="minorEastAsia" w:hAnsiTheme="minorEastAsia" w:cstheme="minorEastAsia"/>
                <w:bCs/>
                <w:szCs w:val="21"/>
              </w:rPr>
            </w:pPr>
          </w:p>
        </w:tc>
        <w:tc>
          <w:tcPr>
            <w:tcW w:w="1485" w:type="dxa"/>
            <w:vAlign w:val="center"/>
          </w:tcPr>
          <w:p w14:paraId="215A746C">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14:paraId="2FD5123E">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7B04EC1F">
            <w:pPr>
              <w:spacing w:line="400" w:lineRule="exact"/>
              <w:jc w:val="center"/>
              <w:rPr>
                <w:rFonts w:asciiTheme="minorEastAsia" w:hAnsiTheme="minorEastAsia" w:cstheme="minorEastAsia"/>
                <w:bCs/>
                <w:szCs w:val="21"/>
              </w:rPr>
            </w:pPr>
          </w:p>
        </w:tc>
      </w:tr>
      <w:tr w14:paraId="091FA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674CA562">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14:paraId="7DCBE538">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14:paraId="0918EC7F">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14:paraId="75E51526">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14:paraId="0E68B6D1">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208F848A">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14:paraId="25060F1B">
            <w:pPr>
              <w:spacing w:line="400" w:lineRule="exact"/>
              <w:rPr>
                <w:rFonts w:asciiTheme="minorEastAsia" w:hAnsiTheme="minorEastAsia" w:cstheme="minorEastAsia"/>
                <w:bCs/>
                <w:szCs w:val="21"/>
              </w:rPr>
            </w:pPr>
          </w:p>
        </w:tc>
      </w:tr>
      <w:tr w14:paraId="45F04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4521ECE3">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14:paraId="62DC6E19">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14:paraId="50E3FAAC">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14:paraId="74CC9E05">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14:paraId="2F89972A">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08290600">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14:paraId="692DE0D3">
            <w:pPr>
              <w:spacing w:line="400" w:lineRule="exact"/>
              <w:rPr>
                <w:rFonts w:asciiTheme="minorEastAsia" w:hAnsiTheme="minorEastAsia" w:cstheme="minorEastAsia"/>
                <w:bCs/>
                <w:szCs w:val="21"/>
              </w:rPr>
            </w:pPr>
          </w:p>
        </w:tc>
      </w:tr>
      <w:tr w14:paraId="357A1C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14:paraId="367A7857">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14:paraId="02EB7EF9">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14:paraId="41D24E6F">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14:paraId="65BAEED3">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14:paraId="7F908755">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087C895D">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14:paraId="3DD15AEA">
            <w:pPr>
              <w:spacing w:line="400" w:lineRule="exact"/>
              <w:rPr>
                <w:rFonts w:asciiTheme="minorEastAsia" w:hAnsiTheme="minorEastAsia" w:cstheme="minorEastAsia"/>
                <w:bCs/>
                <w:szCs w:val="21"/>
              </w:rPr>
            </w:pPr>
          </w:p>
        </w:tc>
      </w:tr>
      <w:tr w14:paraId="75E299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14:paraId="39F73447">
            <w:pPr>
              <w:spacing w:line="400" w:lineRule="exact"/>
              <w:rPr>
                <w:rFonts w:asciiTheme="minorEastAsia" w:hAnsiTheme="minorEastAsia" w:cstheme="minorEastAsia"/>
                <w:bCs/>
                <w:szCs w:val="21"/>
              </w:rPr>
            </w:pPr>
          </w:p>
        </w:tc>
        <w:tc>
          <w:tcPr>
            <w:tcW w:w="1508" w:type="dxa"/>
            <w:vAlign w:val="center"/>
          </w:tcPr>
          <w:p w14:paraId="1F083AFD">
            <w:pPr>
              <w:spacing w:line="400" w:lineRule="exact"/>
              <w:rPr>
                <w:rFonts w:asciiTheme="minorEastAsia" w:hAnsiTheme="minorEastAsia" w:cstheme="minorEastAsia"/>
                <w:bCs/>
                <w:szCs w:val="21"/>
              </w:rPr>
            </w:pPr>
          </w:p>
        </w:tc>
        <w:tc>
          <w:tcPr>
            <w:tcW w:w="1382" w:type="dxa"/>
            <w:vAlign w:val="center"/>
          </w:tcPr>
          <w:p w14:paraId="4CA6BE0B">
            <w:pPr>
              <w:spacing w:line="400" w:lineRule="exact"/>
              <w:rPr>
                <w:rFonts w:asciiTheme="minorEastAsia" w:hAnsiTheme="minorEastAsia" w:cstheme="minorEastAsia"/>
                <w:bCs/>
                <w:szCs w:val="21"/>
              </w:rPr>
            </w:pPr>
          </w:p>
        </w:tc>
        <w:tc>
          <w:tcPr>
            <w:tcW w:w="1399" w:type="dxa"/>
            <w:vAlign w:val="center"/>
          </w:tcPr>
          <w:p w14:paraId="58947D6A">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14:paraId="2C4F0495">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559BABBB">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14:paraId="6E2B2718">
            <w:pPr>
              <w:spacing w:line="400" w:lineRule="exact"/>
              <w:rPr>
                <w:rFonts w:asciiTheme="minorEastAsia" w:hAnsiTheme="minorEastAsia" w:cstheme="minorEastAsia"/>
                <w:bCs/>
                <w:szCs w:val="21"/>
              </w:rPr>
            </w:pPr>
          </w:p>
        </w:tc>
      </w:tr>
      <w:tr w14:paraId="0AB966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14:paraId="053700C9">
            <w:pPr>
              <w:spacing w:line="400" w:lineRule="exact"/>
              <w:jc w:val="center"/>
              <w:rPr>
                <w:rFonts w:asciiTheme="minorEastAsia" w:hAnsiTheme="minorEastAsia" w:cstheme="minorEastAsia"/>
                <w:bCs/>
                <w:szCs w:val="21"/>
              </w:rPr>
            </w:pPr>
          </w:p>
        </w:tc>
        <w:tc>
          <w:tcPr>
            <w:tcW w:w="1508" w:type="dxa"/>
            <w:vAlign w:val="center"/>
          </w:tcPr>
          <w:p w14:paraId="66911FDF">
            <w:pPr>
              <w:spacing w:line="400" w:lineRule="exact"/>
              <w:jc w:val="center"/>
              <w:rPr>
                <w:rFonts w:asciiTheme="minorEastAsia" w:hAnsiTheme="minorEastAsia" w:cstheme="minorEastAsia"/>
                <w:bCs/>
                <w:szCs w:val="21"/>
              </w:rPr>
            </w:pPr>
          </w:p>
        </w:tc>
        <w:tc>
          <w:tcPr>
            <w:tcW w:w="1382" w:type="dxa"/>
            <w:vAlign w:val="center"/>
          </w:tcPr>
          <w:p w14:paraId="7A14CA9E">
            <w:pPr>
              <w:spacing w:line="400" w:lineRule="exact"/>
              <w:jc w:val="center"/>
              <w:rPr>
                <w:rFonts w:asciiTheme="minorEastAsia" w:hAnsiTheme="minorEastAsia" w:cstheme="minorEastAsia"/>
                <w:bCs/>
                <w:szCs w:val="21"/>
              </w:rPr>
            </w:pPr>
          </w:p>
        </w:tc>
        <w:tc>
          <w:tcPr>
            <w:tcW w:w="1399" w:type="dxa"/>
            <w:vAlign w:val="center"/>
          </w:tcPr>
          <w:p w14:paraId="522785A1">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14:paraId="6EDF3D0C">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14:paraId="31790CA0">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14:paraId="7233178B">
            <w:pPr>
              <w:spacing w:line="400" w:lineRule="exact"/>
              <w:jc w:val="center"/>
              <w:rPr>
                <w:rFonts w:asciiTheme="minorEastAsia" w:hAnsiTheme="minorEastAsia" w:cstheme="minorEastAsia"/>
                <w:bCs/>
                <w:szCs w:val="21"/>
              </w:rPr>
            </w:pPr>
          </w:p>
        </w:tc>
      </w:tr>
    </w:tbl>
    <w:p w14:paraId="4072DD0A">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w:t>
      </w:r>
      <w:r>
        <w:rPr>
          <w:rFonts w:hint="eastAsia" w:ascii="宋体" w:hAnsi="宋体" w:cs="宋体"/>
          <w:color w:val="000000"/>
          <w:sz w:val="24"/>
          <w:szCs w:val="24"/>
        </w:rPr>
        <w:t>供应商（仅限于供应商自己实施的）以上业绩需提供采购合同复印件加盖公章</w:t>
      </w:r>
      <w:r>
        <w:rPr>
          <w:rFonts w:hint="eastAsia" w:asciiTheme="minorEastAsia" w:hAnsiTheme="minorEastAsia" w:cstheme="minorEastAsia"/>
          <w:sz w:val="24"/>
          <w:szCs w:val="24"/>
        </w:rPr>
        <w:t>。</w:t>
      </w:r>
    </w:p>
    <w:p w14:paraId="6E505B0D">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p>
    <w:p w14:paraId="3BAD560C">
      <w:pPr>
        <w:spacing w:line="360" w:lineRule="auto"/>
        <w:ind w:left="360"/>
        <w:jc w:val="center"/>
        <w:rPr>
          <w:rFonts w:asciiTheme="minorEastAsia" w:hAnsiTheme="minorEastAsia" w:cstheme="minorEastAsia"/>
          <w:sz w:val="24"/>
          <w:szCs w:val="24"/>
        </w:rPr>
      </w:pPr>
    </w:p>
    <w:p w14:paraId="55D62133">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供应商名称：</w:t>
      </w:r>
      <w:r>
        <w:rPr>
          <w:rFonts w:hint="eastAsia" w:asciiTheme="minorEastAsia" w:hAnsiTheme="minorEastAsia" w:cstheme="minorEastAsia"/>
          <w:bCs/>
          <w:sz w:val="24"/>
          <w:szCs w:val="24"/>
          <w:u w:val="single"/>
        </w:rPr>
        <w:t xml:space="preserve">              （全称及公章）</w:t>
      </w:r>
    </w:p>
    <w:p w14:paraId="2FE44E74">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p>
    <w:p w14:paraId="133DCA6A">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14:paraId="75D1349D">
      <w:pPr>
        <w:adjustRightInd w:val="0"/>
        <w:spacing w:line="360" w:lineRule="auto"/>
        <w:ind w:firstLine="420" w:firstLineChars="175"/>
        <w:jc w:val="left"/>
        <w:rPr>
          <w:rFonts w:asciiTheme="minorEastAsia" w:hAnsiTheme="minorEastAsia" w:cstheme="minorEastAsia"/>
          <w:bCs/>
          <w:sz w:val="24"/>
          <w:szCs w:val="24"/>
          <w:u w:val="single"/>
        </w:rPr>
      </w:pPr>
    </w:p>
    <w:p w14:paraId="0873594F">
      <w:pPr>
        <w:adjustRightInd w:val="0"/>
        <w:spacing w:line="360" w:lineRule="auto"/>
        <w:ind w:firstLine="420" w:firstLineChars="175"/>
        <w:jc w:val="left"/>
        <w:rPr>
          <w:rFonts w:asciiTheme="minorEastAsia" w:hAnsiTheme="minorEastAsia" w:cstheme="minorEastAsia"/>
          <w:bCs/>
          <w:sz w:val="24"/>
          <w:szCs w:val="24"/>
          <w:u w:val="single"/>
        </w:rPr>
      </w:pPr>
    </w:p>
    <w:p w14:paraId="70F2BA85">
      <w:pPr>
        <w:adjustRightInd w:val="0"/>
        <w:spacing w:line="360" w:lineRule="auto"/>
        <w:ind w:firstLine="420" w:firstLineChars="175"/>
        <w:jc w:val="left"/>
        <w:rPr>
          <w:rFonts w:asciiTheme="minorEastAsia" w:hAnsiTheme="minorEastAsia" w:cstheme="minorEastAsia"/>
          <w:bCs/>
          <w:sz w:val="24"/>
          <w:szCs w:val="24"/>
          <w:u w:val="single"/>
        </w:rPr>
      </w:pPr>
    </w:p>
    <w:p w14:paraId="3418ABC9">
      <w:pPr>
        <w:adjustRightInd w:val="0"/>
        <w:spacing w:line="360" w:lineRule="auto"/>
        <w:ind w:firstLine="420" w:firstLineChars="175"/>
        <w:jc w:val="left"/>
        <w:rPr>
          <w:rFonts w:asciiTheme="minorEastAsia" w:hAnsiTheme="minorEastAsia" w:cstheme="minorEastAsia"/>
          <w:bCs/>
          <w:sz w:val="24"/>
          <w:szCs w:val="24"/>
          <w:u w:val="single"/>
        </w:rPr>
      </w:pPr>
    </w:p>
    <w:p w14:paraId="618DBA1B">
      <w:pPr>
        <w:adjustRightInd w:val="0"/>
        <w:spacing w:line="360" w:lineRule="auto"/>
        <w:jc w:val="left"/>
        <w:rPr>
          <w:rFonts w:asciiTheme="minorEastAsia" w:hAnsiTheme="minorEastAsia" w:cstheme="minorEastAsia"/>
          <w:bCs/>
          <w:sz w:val="24"/>
          <w:szCs w:val="24"/>
          <w:u w:val="single"/>
        </w:rPr>
      </w:pPr>
    </w:p>
    <w:p w14:paraId="43416DB2">
      <w:pPr>
        <w:pStyle w:val="5"/>
        <w:rPr>
          <w:sz w:val="28"/>
          <w:szCs w:val="28"/>
        </w:rPr>
      </w:pPr>
      <w:bookmarkStart w:id="155" w:name="_Toc29034"/>
      <w:bookmarkStart w:id="156" w:name="_Toc25377"/>
      <w:bookmarkStart w:id="157" w:name="_Toc18894"/>
      <w:bookmarkStart w:id="158" w:name="_Toc5521"/>
      <w:r>
        <w:rPr>
          <w:rFonts w:hint="eastAsia"/>
          <w:sz w:val="28"/>
          <w:szCs w:val="28"/>
        </w:rPr>
        <w:t>第八章  供应商认为有必要说明的其他问题</w:t>
      </w:r>
      <w:bookmarkEnd w:id="155"/>
      <w:bookmarkEnd w:id="156"/>
      <w:bookmarkEnd w:id="157"/>
      <w:bookmarkEnd w:id="158"/>
    </w:p>
    <w:p w14:paraId="6DA20640">
      <w:pPr>
        <w:rPr>
          <w:rFonts w:asciiTheme="minorEastAsia" w:hAnsiTheme="minorEastAsia" w:cstheme="minorEastAsia"/>
          <w:sz w:val="24"/>
        </w:rPr>
      </w:pPr>
      <w:r>
        <w:rPr>
          <w:rFonts w:hint="eastAsia" w:asciiTheme="minorEastAsia" w:hAnsiTheme="minorEastAsia" w:cstheme="minorEastAsia"/>
          <w:sz w:val="24"/>
        </w:rPr>
        <w:t>供应商认为有必要提供的其他证明文件</w:t>
      </w:r>
    </w:p>
    <w:p w14:paraId="1327E705">
      <w:pPr>
        <w:pStyle w:val="10"/>
      </w:pPr>
    </w:p>
    <w:p w14:paraId="742870E0">
      <w:pPr>
        <w:pStyle w:val="5"/>
        <w:rPr>
          <w:rFonts w:asciiTheme="minorEastAsia" w:hAnsiTheme="minorEastAsia" w:eastAsiaTheme="minorEastAsia" w:cstheme="minorEastAsia"/>
          <w:sz w:val="36"/>
          <w:szCs w:val="36"/>
        </w:rPr>
      </w:pPr>
      <w:r>
        <w:rPr>
          <w:rFonts w:hint="eastAsia" w:asciiTheme="minorEastAsia" w:hAnsiTheme="minorEastAsia" w:eastAsiaTheme="minorEastAsia" w:cstheme="minorEastAsia"/>
        </w:rPr>
        <w:br w:type="page"/>
      </w:r>
      <w:bookmarkStart w:id="159" w:name="_Toc2473"/>
      <w:bookmarkStart w:id="160" w:name="_Toc21392"/>
      <w:r>
        <w:rPr>
          <w:rFonts w:hint="eastAsia" w:asciiTheme="minorEastAsia" w:hAnsiTheme="minorEastAsia" w:eastAsiaTheme="minorEastAsia" w:cstheme="minorEastAsia"/>
          <w:sz w:val="36"/>
          <w:szCs w:val="36"/>
        </w:rPr>
        <w:t>第九章  供应商承诺书</w:t>
      </w:r>
      <w:bookmarkEnd w:id="159"/>
      <w:bookmarkEnd w:id="160"/>
    </w:p>
    <w:p w14:paraId="388B14FB">
      <w:pPr>
        <w:pStyle w:val="15"/>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14:paraId="74E19851">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为响应党中央、国务院关于治理政府采购领域商业贿赂行为的号召，我公司在此庄严承诺：</w:t>
      </w:r>
    </w:p>
    <w:p w14:paraId="6F2BD58F">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1、在参与政府采购活动中遵纪守法、诚信经营、公平竞标。</w:t>
      </w:r>
    </w:p>
    <w:p w14:paraId="0AD8973E">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2、不向政府采购人、代理机构和政府采购评审专家进行任何形式的商业贿赂以谋取交易机会。</w:t>
      </w:r>
    </w:p>
    <w:p w14:paraId="27600F4A">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3、不向政府代理机构和采购人提供虚假资质文件或采用虚假应标方式参与政府采购市场竞争并谋取成交、成交。</w:t>
      </w:r>
    </w:p>
    <w:p w14:paraId="02A6F6AF">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4、不采取“围标、陪标”等商业欺诈手段获得政府采购订单。</w:t>
      </w:r>
    </w:p>
    <w:p w14:paraId="045DFEB7">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5、不采取不正当手段诋毁、排挤其它供货商。</w:t>
      </w:r>
    </w:p>
    <w:p w14:paraId="2434FB32">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6、不在提供商品和服务时“偷梁换柱、以次充好”损害采购人的合法权益。</w:t>
      </w:r>
    </w:p>
    <w:p w14:paraId="11B4619F">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7、不与采购人、代理机构政府采购评审专家或其它供货商恶意串通，进行质疑和投诉，维护政府采购市场秩序。</w:t>
      </w:r>
    </w:p>
    <w:p w14:paraId="4D2B3F8F">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8、尊重和接受政府采购监督管理部门的监督和政府代理机构招标采购要求，承担因违约行为给采购人造成的损失。</w:t>
      </w:r>
    </w:p>
    <w:p w14:paraId="455B1EC2">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9、不发生其它有悖于政府采购公开、公平、公正和诚信原则的行为。</w:t>
      </w:r>
    </w:p>
    <w:p w14:paraId="06590D10">
      <w:pPr>
        <w:adjustRightInd w:val="0"/>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供应商（单位名称及公章）：</w:t>
      </w:r>
    </w:p>
    <w:p w14:paraId="09625979">
      <w:pPr>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法定代表人/被授权人（签字或盖章）：</w:t>
      </w:r>
    </w:p>
    <w:p w14:paraId="43428986">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邮  编：</w:t>
      </w:r>
    </w:p>
    <w:p w14:paraId="52885022">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p>
    <w:p w14:paraId="500E894F">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电  话： </w:t>
      </w:r>
    </w:p>
    <w:p w14:paraId="3A98E346">
      <w:pPr>
        <w:snapToGrid w:val="0"/>
        <w:spacing w:line="500" w:lineRule="exact"/>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时  间：年月日</w:t>
      </w:r>
    </w:p>
    <w:p w14:paraId="797F2DA7">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14:paraId="2F00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14:paraId="5FFE4570">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14:paraId="7E9C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14:paraId="714FC04B">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作为参加贵公司组织的本项目的供应商，本公司承诺：在参加本项目磋商之前不存在被依法禁止经营行为、财产被接管或冻结的情况，如有隐瞒实情，愿承担一切责任及后果。 </w:t>
            </w:r>
          </w:p>
        </w:tc>
      </w:tr>
      <w:tr w14:paraId="24D1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90" w:type="dxa"/>
            <w:vAlign w:val="center"/>
          </w:tcPr>
          <w:p w14:paraId="7DC197CA">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供应商</w:t>
            </w:r>
          </w:p>
        </w:tc>
        <w:tc>
          <w:tcPr>
            <w:tcW w:w="3474" w:type="dxa"/>
            <w:vAlign w:val="center"/>
          </w:tcPr>
          <w:p w14:paraId="19109F7C">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14:paraId="7D5FB3C3">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14:paraId="6B17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14:paraId="4A039356">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14:paraId="4A078DD4">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14:paraId="306080C3">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14:paraId="60E91F02">
      <w:pPr>
        <w:spacing w:line="360" w:lineRule="atLeast"/>
        <w:ind w:firstLine="843" w:firstLineChars="200"/>
        <w:jc w:val="left"/>
        <w:rPr>
          <w:rFonts w:asciiTheme="minorEastAsia" w:hAnsiTheme="minorEastAsia" w:cstheme="minorEastAsia"/>
          <w:b/>
          <w:sz w:val="42"/>
          <w:szCs w:val="42"/>
        </w:rPr>
      </w:pPr>
    </w:p>
    <w:p w14:paraId="763BB4D3">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14:paraId="69D7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14:paraId="2018EC87">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14:paraId="55A2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14:paraId="7794E38C">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作为参加贵公司组织的本项目的供应商，本公司郑重申告并承诺：近三年受到有关行政主管部门的行政处理、不良行为记录为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14:paraId="5A72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14:paraId="3F15278F">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供应商</w:t>
            </w:r>
          </w:p>
        </w:tc>
        <w:tc>
          <w:tcPr>
            <w:tcW w:w="3488" w:type="dxa"/>
            <w:vAlign w:val="center"/>
          </w:tcPr>
          <w:p w14:paraId="7330721C">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14:paraId="64EC2C28">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14:paraId="3311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14:paraId="0331640F">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14:paraId="0BA82C75">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14:paraId="57E39911">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14:paraId="0A5E07F5">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14:paraId="3A4A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14:paraId="59D1498D">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14:paraId="36ED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14:paraId="16D29D62">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作为参加贵公司组织的本项目的供应商，本公司郑重申告：近三年因产品供货问题（水货、替代品、次品、翻新品等）的不法行为记录为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14:paraId="462A0F9B">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本公司承诺：本次磋商产品为正品行货。</w:t>
            </w:r>
          </w:p>
        </w:tc>
      </w:tr>
      <w:tr w14:paraId="298B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14:paraId="0224C21D">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供应商</w:t>
            </w:r>
          </w:p>
        </w:tc>
        <w:tc>
          <w:tcPr>
            <w:tcW w:w="3466" w:type="dxa"/>
            <w:vAlign w:val="center"/>
          </w:tcPr>
          <w:p w14:paraId="6F471612">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14:paraId="51F866D3">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14:paraId="653F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14:paraId="4F3EAC7F">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14:paraId="266C8636">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14:paraId="65694059">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14:paraId="159F9465">
      <w:pPr>
        <w:spacing w:line="360" w:lineRule="auto"/>
        <w:ind w:firstLine="480" w:firstLineChars="200"/>
        <w:jc w:val="left"/>
        <w:rPr>
          <w:rFonts w:asciiTheme="minorEastAsia" w:hAnsiTheme="minorEastAsia" w:cstheme="minorEastAsia"/>
          <w:sz w:val="24"/>
          <w:szCs w:val="28"/>
        </w:rPr>
      </w:pPr>
    </w:p>
    <w:p w14:paraId="15497C24">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2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0BCD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14:paraId="794AD957">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14:paraId="0F18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14:paraId="618ED31E">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作为参加贵公司本项目的供应商，本公司承诺：参加本次磋商提交的所有资质证明文件及业绩证明文件是真实的、有效的，如有隐瞒实情，愿承担一切责任及后果。</w:t>
            </w:r>
          </w:p>
        </w:tc>
      </w:tr>
      <w:tr w14:paraId="071C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14:paraId="1D65DFFF">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供应商</w:t>
            </w:r>
          </w:p>
        </w:tc>
        <w:tc>
          <w:tcPr>
            <w:tcW w:w="3534" w:type="dxa"/>
            <w:vAlign w:val="center"/>
          </w:tcPr>
          <w:p w14:paraId="1AFA4A6F">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14:paraId="4F300192">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14:paraId="6488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14:paraId="1FDDC5DD">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14:paraId="2BD41C69">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14:paraId="5CECA216">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年月日</w:t>
            </w:r>
          </w:p>
        </w:tc>
      </w:tr>
    </w:tbl>
    <w:p w14:paraId="5ED53C88">
      <w:pPr>
        <w:adjustRightInd w:val="0"/>
        <w:snapToGrid w:val="0"/>
        <w:ind w:firstLine="720" w:firstLineChars="200"/>
        <w:jc w:val="left"/>
        <w:rPr>
          <w:rFonts w:asciiTheme="minorEastAsia" w:hAnsiTheme="minorEastAsia" w:cstheme="minorEastAsia"/>
          <w:bCs/>
          <w:sz w:val="36"/>
          <w:szCs w:val="36"/>
        </w:rPr>
      </w:pPr>
    </w:p>
    <w:p w14:paraId="441AC24A">
      <w:pPr>
        <w:widowControl/>
        <w:spacing w:line="460" w:lineRule="exact"/>
        <w:ind w:firstLine="480" w:firstLineChars="200"/>
        <w:jc w:val="left"/>
        <w:rPr>
          <w:rFonts w:asciiTheme="minorEastAsia" w:hAnsiTheme="minorEastAsia" w:cstheme="minorEastAsia"/>
          <w:sz w:val="24"/>
          <w:szCs w:val="28"/>
        </w:rPr>
        <w:sectPr>
          <w:headerReference r:id="rId19" w:type="default"/>
          <w:footerReference r:id="rId20" w:type="default"/>
          <w:pgSz w:w="11906" w:h="16838"/>
          <w:pgMar w:top="1440" w:right="1304" w:bottom="1440" w:left="1304" w:header="851" w:footer="992" w:gutter="0"/>
          <w:pgNumType w:fmt="decimal"/>
          <w:cols w:space="0" w:num="1"/>
          <w:docGrid w:type="lines" w:linePitch="325" w:charSpace="0"/>
        </w:sectPr>
      </w:pPr>
    </w:p>
    <w:p w14:paraId="4F6FAB96">
      <w:pPr>
        <w:pStyle w:val="5"/>
        <w:adjustRightInd w:val="0"/>
        <w:spacing w:line="500" w:lineRule="exact"/>
        <w:textAlignment w:val="baseline"/>
        <w:rPr>
          <w:rFonts w:asciiTheme="minorEastAsia" w:hAnsiTheme="minorEastAsia" w:eastAsiaTheme="minorEastAsia" w:cstheme="minorEastAsia"/>
        </w:rPr>
      </w:pPr>
      <w:bookmarkStart w:id="161" w:name="_Toc11130"/>
      <w:bookmarkStart w:id="162" w:name="_Toc31485"/>
      <w:r>
        <w:rPr>
          <w:rFonts w:hint="eastAsia" w:asciiTheme="minorEastAsia" w:hAnsiTheme="minorEastAsia" w:eastAsiaTheme="minorEastAsia" w:cstheme="minorEastAsia"/>
        </w:rPr>
        <w:t>附件一：封袋正面标识式样</w:t>
      </w:r>
      <w:bookmarkEnd w:id="161"/>
      <w:bookmarkEnd w:id="162"/>
    </w:p>
    <w:p w14:paraId="76182311">
      <w:pPr>
        <w:spacing w:line="460" w:lineRule="exact"/>
        <w:ind w:firstLine="482" w:firstLineChars="200"/>
        <w:jc w:val="center"/>
        <w:rPr>
          <w:rFonts w:ascii="宋体" w:hAnsi="宋体" w:cs="宋体"/>
          <w:b/>
          <w:sz w:val="24"/>
        </w:rPr>
      </w:pPr>
      <w:r>
        <w:rPr>
          <w:rFonts w:hint="eastAsia" w:ascii="宋体" w:hAnsi="宋体" w:cs="宋体"/>
          <w:b/>
          <w:sz w:val="24"/>
        </w:rPr>
        <w:t>磋商响应文件正本封袋正面标识式样</w:t>
      </w:r>
    </w:p>
    <w:p w14:paraId="2E45FE97">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4384" behindDoc="0" locked="0" layoutInCell="1" allowOverlap="1">
                <wp:simplePos x="0" y="0"/>
                <wp:positionH relativeFrom="column">
                  <wp:posOffset>-274320</wp:posOffset>
                </wp:positionH>
                <wp:positionV relativeFrom="paragraph">
                  <wp:posOffset>193675</wp:posOffset>
                </wp:positionV>
                <wp:extent cx="6255385" cy="3514725"/>
                <wp:effectExtent l="4445" t="4445" r="7620" b="5080"/>
                <wp:wrapNone/>
                <wp:docPr id="1" name="Text Box 3"/>
                <wp:cNvGraphicFramePr/>
                <a:graphic xmlns:a="http://schemas.openxmlformats.org/drawingml/2006/main">
                  <a:graphicData uri="http://schemas.microsoft.com/office/word/2010/wordprocessingShape">
                    <wps:wsp>
                      <wps:cNvSpPr txBox="1"/>
                      <wps:spPr>
                        <a:xfrm>
                          <a:off x="0" y="0"/>
                          <a:ext cx="6255385" cy="3514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5CE426">
                            <w:pPr>
                              <w:jc w:val="center"/>
                              <w:rPr>
                                <w:rFonts w:hint="eastAsia" w:eastAsiaTheme="minorEastAsia"/>
                                <w:b/>
                                <w:bCs/>
                                <w:sz w:val="32"/>
                                <w:szCs w:val="32"/>
                                <w:lang w:eastAsia="zh-CN"/>
                              </w:rPr>
                            </w:pPr>
                            <w:r>
                              <w:rPr>
                                <w:rFonts w:hint="eastAsia"/>
                                <w:sz w:val="28"/>
                                <w:szCs w:val="28"/>
                              </w:rPr>
                              <w:t>致：陕西万泽招标有限公司               项目编号：</w:t>
                            </w:r>
                            <w:r>
                              <w:rPr>
                                <w:rFonts w:hint="eastAsia"/>
                                <w:sz w:val="28"/>
                                <w:szCs w:val="28"/>
                                <w:lang w:eastAsia="zh-CN"/>
                              </w:rPr>
                              <w:t>SXWZ2025ZB-JCZX-192</w:t>
                            </w:r>
                            <w:r>
                              <w:rPr>
                                <w:rFonts w:hint="eastAsia"/>
                                <w:sz w:val="28"/>
                                <w:szCs w:val="28"/>
                              </w:rPr>
                              <w:t>项目名称：</w:t>
                            </w:r>
                            <w:r>
                              <w:rPr>
                                <w:rFonts w:hint="eastAsia"/>
                                <w:sz w:val="28"/>
                                <w:szCs w:val="28"/>
                                <w:lang w:eastAsia="zh-CN"/>
                              </w:rPr>
                              <w:t>西安市扶贫信息监测中心巩固脱贫攻坚成果和防返贫监测数据质量评估及分析服务项目</w:t>
                            </w:r>
                          </w:p>
                          <w:p w14:paraId="6DEDFE80">
                            <w:pPr>
                              <w:jc w:val="center"/>
                              <w:rPr>
                                <w:sz w:val="28"/>
                                <w:szCs w:val="28"/>
                              </w:rPr>
                            </w:pPr>
                            <w:r>
                              <w:rPr>
                                <w:rFonts w:hint="eastAsia"/>
                                <w:b/>
                                <w:sz w:val="44"/>
                                <w:szCs w:val="44"/>
                              </w:rPr>
                              <w:t>磋商响应文件（正本）</w:t>
                            </w:r>
                          </w:p>
                          <w:p w14:paraId="208DCE2D">
                            <w:pPr>
                              <w:jc w:val="center"/>
                              <w:rPr>
                                <w:sz w:val="28"/>
                                <w:szCs w:val="28"/>
                              </w:rPr>
                            </w:pPr>
                            <w:r>
                              <w:rPr>
                                <w:rFonts w:hint="eastAsia"/>
                                <w:sz w:val="28"/>
                                <w:szCs w:val="28"/>
                              </w:rPr>
                              <w:t>（非磋商会议不得启封）</w:t>
                            </w:r>
                          </w:p>
                          <w:p w14:paraId="7618788E">
                            <w:pPr>
                              <w:rPr>
                                <w:sz w:val="28"/>
                                <w:szCs w:val="28"/>
                                <w:u w:val="single"/>
                              </w:rPr>
                            </w:pPr>
                            <w:r>
                              <w:rPr>
                                <w:rFonts w:hint="eastAsia"/>
                                <w:sz w:val="28"/>
                                <w:szCs w:val="28"/>
                              </w:rPr>
                              <w:t>供应商（名称及公章）：</w:t>
                            </w:r>
                          </w:p>
                          <w:p w14:paraId="0998B214">
                            <w:pPr>
                              <w:rPr>
                                <w:sz w:val="28"/>
                                <w:szCs w:val="28"/>
                                <w:u w:val="single"/>
                              </w:rPr>
                            </w:pPr>
                            <w:r>
                              <w:rPr>
                                <w:rFonts w:hint="eastAsia"/>
                                <w:sz w:val="28"/>
                                <w:szCs w:val="28"/>
                              </w:rPr>
                              <w:t>时间</w:t>
                            </w:r>
                            <w:r>
                              <w:rPr>
                                <w:rFonts w:hint="eastAsia"/>
                                <w:sz w:val="28"/>
                                <w:szCs w:val="28"/>
                                <w:u w:val="single"/>
                              </w:rPr>
                              <w:t>：      年      月    日</w:t>
                            </w:r>
                          </w:p>
                          <w:p w14:paraId="6F845A97">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76.75pt;width:492.55pt;z-index:251664384;mso-width-relative:page;mso-height-relative:page;" fillcolor="#FFFFFF" filled="t" stroked="t" coordsize="21600,21600" o:gfxdata="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vxvP2gAAAAoBAAAPAAAAAAAAAAEAIAAAACIAAABkcnMv&#10;ZG93bnJldi54bWxQSwECFAAUAAAACACHTuJAHtJo1AECAABEBAAADgAAAAAAAAABACAAAAApAQAA&#10;ZHJzL2Uyb0RvYy54bWxQSwUGAAAAAAYABgBZAQAAnAUAAAAA&#10;">
                <v:fill on="t" focussize="0,0"/>
                <v:stroke color="#000000" joinstyle="miter"/>
                <v:imagedata o:title=""/>
                <o:lock v:ext="edit" aspectratio="f"/>
                <v:textbox>
                  <w:txbxContent>
                    <w:p w14:paraId="105CE426">
                      <w:pPr>
                        <w:jc w:val="center"/>
                        <w:rPr>
                          <w:rFonts w:hint="eastAsia" w:eastAsiaTheme="minorEastAsia"/>
                          <w:b/>
                          <w:bCs/>
                          <w:sz w:val="32"/>
                          <w:szCs w:val="32"/>
                          <w:lang w:eastAsia="zh-CN"/>
                        </w:rPr>
                      </w:pPr>
                      <w:r>
                        <w:rPr>
                          <w:rFonts w:hint="eastAsia"/>
                          <w:sz w:val="28"/>
                          <w:szCs w:val="28"/>
                        </w:rPr>
                        <w:t>致：陕西万泽招标有限公司               项目编号：</w:t>
                      </w:r>
                      <w:r>
                        <w:rPr>
                          <w:rFonts w:hint="eastAsia"/>
                          <w:sz w:val="28"/>
                          <w:szCs w:val="28"/>
                          <w:lang w:eastAsia="zh-CN"/>
                        </w:rPr>
                        <w:t>SXWZ2025ZB-JCZX-192</w:t>
                      </w:r>
                      <w:r>
                        <w:rPr>
                          <w:rFonts w:hint="eastAsia"/>
                          <w:sz w:val="28"/>
                          <w:szCs w:val="28"/>
                        </w:rPr>
                        <w:t>项目名称：</w:t>
                      </w:r>
                      <w:r>
                        <w:rPr>
                          <w:rFonts w:hint="eastAsia"/>
                          <w:sz w:val="28"/>
                          <w:szCs w:val="28"/>
                          <w:lang w:eastAsia="zh-CN"/>
                        </w:rPr>
                        <w:t>西安市扶贫信息监测中心巩固脱贫攻坚成果和防返贫监测数据质量评估及分析服务项目</w:t>
                      </w:r>
                    </w:p>
                    <w:p w14:paraId="6DEDFE80">
                      <w:pPr>
                        <w:jc w:val="center"/>
                        <w:rPr>
                          <w:sz w:val="28"/>
                          <w:szCs w:val="28"/>
                        </w:rPr>
                      </w:pPr>
                      <w:r>
                        <w:rPr>
                          <w:rFonts w:hint="eastAsia"/>
                          <w:b/>
                          <w:sz w:val="44"/>
                          <w:szCs w:val="44"/>
                        </w:rPr>
                        <w:t>磋商响应文件（正本）</w:t>
                      </w:r>
                    </w:p>
                    <w:p w14:paraId="208DCE2D">
                      <w:pPr>
                        <w:jc w:val="center"/>
                        <w:rPr>
                          <w:sz w:val="28"/>
                          <w:szCs w:val="28"/>
                        </w:rPr>
                      </w:pPr>
                      <w:r>
                        <w:rPr>
                          <w:rFonts w:hint="eastAsia"/>
                          <w:sz w:val="28"/>
                          <w:szCs w:val="28"/>
                        </w:rPr>
                        <w:t>（非磋商会议不得启封）</w:t>
                      </w:r>
                    </w:p>
                    <w:p w14:paraId="7618788E">
                      <w:pPr>
                        <w:rPr>
                          <w:sz w:val="28"/>
                          <w:szCs w:val="28"/>
                          <w:u w:val="single"/>
                        </w:rPr>
                      </w:pPr>
                      <w:r>
                        <w:rPr>
                          <w:rFonts w:hint="eastAsia"/>
                          <w:sz w:val="28"/>
                          <w:szCs w:val="28"/>
                        </w:rPr>
                        <w:t>供应商（名称及公章）：</w:t>
                      </w:r>
                    </w:p>
                    <w:p w14:paraId="0998B214">
                      <w:pPr>
                        <w:rPr>
                          <w:sz w:val="28"/>
                          <w:szCs w:val="28"/>
                          <w:u w:val="single"/>
                        </w:rPr>
                      </w:pPr>
                      <w:r>
                        <w:rPr>
                          <w:rFonts w:hint="eastAsia"/>
                          <w:sz w:val="28"/>
                          <w:szCs w:val="28"/>
                        </w:rPr>
                        <w:t>时间</w:t>
                      </w:r>
                      <w:r>
                        <w:rPr>
                          <w:rFonts w:hint="eastAsia"/>
                          <w:sz w:val="28"/>
                          <w:szCs w:val="28"/>
                          <w:u w:val="single"/>
                        </w:rPr>
                        <w:t>：      年      月    日</w:t>
                      </w:r>
                    </w:p>
                    <w:p w14:paraId="6F845A97">
                      <w:pPr>
                        <w:rPr>
                          <w:sz w:val="28"/>
                          <w:szCs w:val="28"/>
                        </w:rPr>
                      </w:pPr>
                    </w:p>
                  </w:txbxContent>
                </v:textbox>
              </v:shape>
            </w:pict>
          </mc:Fallback>
        </mc:AlternateContent>
      </w:r>
    </w:p>
    <w:p w14:paraId="706DB4CD">
      <w:pPr>
        <w:spacing w:line="460" w:lineRule="exact"/>
        <w:ind w:firstLine="482" w:firstLineChars="200"/>
        <w:jc w:val="left"/>
        <w:rPr>
          <w:rFonts w:asciiTheme="minorEastAsia" w:hAnsiTheme="minorEastAsia" w:cstheme="minorEastAsia"/>
          <w:b/>
          <w:sz w:val="24"/>
        </w:rPr>
      </w:pPr>
    </w:p>
    <w:p w14:paraId="62113BB8">
      <w:pPr>
        <w:spacing w:line="460" w:lineRule="exact"/>
        <w:ind w:firstLine="482" w:firstLineChars="200"/>
        <w:jc w:val="left"/>
        <w:rPr>
          <w:rFonts w:asciiTheme="minorEastAsia" w:hAnsiTheme="minorEastAsia" w:cstheme="minorEastAsia"/>
          <w:b/>
          <w:sz w:val="24"/>
        </w:rPr>
      </w:pPr>
    </w:p>
    <w:p w14:paraId="02CF725E">
      <w:pPr>
        <w:spacing w:line="460" w:lineRule="exact"/>
        <w:ind w:firstLine="482" w:firstLineChars="200"/>
        <w:jc w:val="left"/>
        <w:rPr>
          <w:rFonts w:asciiTheme="minorEastAsia" w:hAnsiTheme="minorEastAsia" w:cstheme="minorEastAsia"/>
          <w:b/>
          <w:sz w:val="24"/>
        </w:rPr>
      </w:pPr>
    </w:p>
    <w:p w14:paraId="5AFE260C">
      <w:pPr>
        <w:spacing w:line="460" w:lineRule="exact"/>
        <w:ind w:firstLine="482" w:firstLineChars="200"/>
        <w:jc w:val="left"/>
        <w:rPr>
          <w:rFonts w:asciiTheme="minorEastAsia" w:hAnsiTheme="minorEastAsia" w:cstheme="minorEastAsia"/>
          <w:b/>
          <w:sz w:val="24"/>
        </w:rPr>
      </w:pPr>
    </w:p>
    <w:p w14:paraId="60F293A2">
      <w:pPr>
        <w:spacing w:line="460" w:lineRule="exact"/>
        <w:ind w:firstLine="482" w:firstLineChars="200"/>
        <w:jc w:val="left"/>
        <w:rPr>
          <w:rFonts w:asciiTheme="minorEastAsia" w:hAnsiTheme="minorEastAsia" w:cstheme="minorEastAsia"/>
          <w:b/>
          <w:sz w:val="24"/>
        </w:rPr>
      </w:pPr>
    </w:p>
    <w:p w14:paraId="4CC8B536">
      <w:pPr>
        <w:spacing w:line="460" w:lineRule="exact"/>
        <w:ind w:firstLine="482" w:firstLineChars="200"/>
        <w:jc w:val="left"/>
        <w:rPr>
          <w:rFonts w:asciiTheme="minorEastAsia" w:hAnsiTheme="minorEastAsia" w:cstheme="minorEastAsia"/>
          <w:b/>
          <w:sz w:val="24"/>
        </w:rPr>
      </w:pPr>
    </w:p>
    <w:p w14:paraId="1446C4F7">
      <w:pPr>
        <w:spacing w:line="460" w:lineRule="exact"/>
        <w:ind w:firstLine="482" w:firstLineChars="200"/>
        <w:jc w:val="left"/>
        <w:rPr>
          <w:rFonts w:asciiTheme="minorEastAsia" w:hAnsiTheme="minorEastAsia" w:cstheme="minorEastAsia"/>
          <w:b/>
          <w:sz w:val="24"/>
        </w:rPr>
      </w:pPr>
    </w:p>
    <w:p w14:paraId="57DB0222">
      <w:pPr>
        <w:spacing w:line="460" w:lineRule="exact"/>
        <w:ind w:firstLine="482" w:firstLineChars="200"/>
        <w:jc w:val="left"/>
        <w:rPr>
          <w:rFonts w:asciiTheme="minorEastAsia" w:hAnsiTheme="minorEastAsia" w:cstheme="minorEastAsia"/>
          <w:b/>
          <w:sz w:val="24"/>
        </w:rPr>
      </w:pPr>
    </w:p>
    <w:p w14:paraId="0B4A9CA0">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磋商文件副本封袋正面标识式样</w:t>
      </w:r>
    </w:p>
    <w:p w14:paraId="65849A88">
      <w:pPr>
        <w:spacing w:line="460" w:lineRule="exact"/>
        <w:ind w:firstLine="482" w:firstLineChars="200"/>
        <w:jc w:val="left"/>
        <w:rPr>
          <w:rFonts w:asciiTheme="minorEastAsia" w:hAnsiTheme="minorEastAsia" w:cstheme="minorEastAsia"/>
          <w:b/>
          <w:sz w:val="24"/>
        </w:rPr>
      </w:pPr>
    </w:p>
    <w:p w14:paraId="4E31CD98">
      <w:pPr>
        <w:spacing w:line="460" w:lineRule="exact"/>
        <w:ind w:firstLine="482" w:firstLineChars="200"/>
        <w:jc w:val="left"/>
        <w:rPr>
          <w:rFonts w:asciiTheme="minorEastAsia" w:hAnsiTheme="minorEastAsia" w:cstheme="minorEastAsia"/>
          <w:b/>
          <w:sz w:val="24"/>
        </w:rPr>
      </w:pPr>
    </w:p>
    <w:p w14:paraId="5EDD2F6B">
      <w:pPr>
        <w:tabs>
          <w:tab w:val="left" w:pos="8280"/>
        </w:tabs>
        <w:spacing w:line="460" w:lineRule="exact"/>
        <w:ind w:firstLine="482" w:firstLineChars="200"/>
        <w:jc w:val="left"/>
        <w:rPr>
          <w:rFonts w:asciiTheme="minorEastAsia" w:hAnsiTheme="minorEastAsia" w:cstheme="minorEastAsia"/>
          <w:b/>
          <w:sz w:val="24"/>
        </w:rPr>
      </w:pPr>
    </w:p>
    <w:p w14:paraId="6D84ECC8">
      <w:pPr>
        <w:spacing w:line="460" w:lineRule="exact"/>
        <w:ind w:firstLine="482" w:firstLineChars="200"/>
        <w:jc w:val="center"/>
        <w:rPr>
          <w:rFonts w:ascii="宋体" w:hAnsi="宋体" w:cs="宋体"/>
          <w:b/>
          <w:sz w:val="24"/>
        </w:rPr>
      </w:pPr>
      <w:r>
        <w:rPr>
          <w:rFonts w:hint="eastAsia" w:ascii="宋体" w:hAnsi="宋体" w:cs="宋体"/>
          <w:b/>
          <w:sz w:val="24"/>
        </w:rPr>
        <w:t>磋商响应文件副本封袋正面标识式样</w:t>
      </w:r>
    </w:p>
    <w:p w14:paraId="68487543">
      <w:pPr>
        <w:ind w:firstLine="420" w:firstLineChars="200"/>
        <w:jc w:val="left"/>
        <w:rPr>
          <w:rFonts w:asciiTheme="minorEastAsia" w:hAnsiTheme="minorEastAsia" w:cstheme="minorEastAsia"/>
        </w:rPr>
      </w:pPr>
    </w:p>
    <w:p w14:paraId="56F6FA1F">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38100</wp:posOffset>
                </wp:positionV>
                <wp:extent cx="6288405" cy="3509010"/>
                <wp:effectExtent l="4445" t="4445" r="12700" b="10795"/>
                <wp:wrapNone/>
                <wp:docPr id="2" name="Text Box 4"/>
                <wp:cNvGraphicFramePr/>
                <a:graphic xmlns:a="http://schemas.openxmlformats.org/drawingml/2006/main">
                  <a:graphicData uri="http://schemas.microsoft.com/office/word/2010/wordprocessingShape">
                    <wps:wsp>
                      <wps:cNvSpPr txBox="1"/>
                      <wps:spPr>
                        <a:xfrm>
                          <a:off x="0" y="0"/>
                          <a:ext cx="6288405" cy="3509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414D03">
                            <w:pPr>
                              <w:jc w:val="center"/>
                              <w:rPr>
                                <w:rFonts w:hint="eastAsia" w:ascii="宋体" w:hAnsi="宋体" w:cs="宋体" w:eastAsiaTheme="minorEastAsia"/>
                                <w:b/>
                                <w:bCs/>
                                <w:sz w:val="32"/>
                                <w:szCs w:val="32"/>
                                <w:lang w:eastAsia="zh-CN"/>
                              </w:rPr>
                            </w:pPr>
                            <w:r>
                              <w:rPr>
                                <w:rFonts w:hint="eastAsia"/>
                                <w:sz w:val="28"/>
                                <w:szCs w:val="28"/>
                              </w:rPr>
                              <w:t>致：陕西万泽招标有限公司               项目编号：</w:t>
                            </w:r>
                            <w:r>
                              <w:rPr>
                                <w:rFonts w:hint="eastAsia"/>
                                <w:sz w:val="28"/>
                                <w:szCs w:val="28"/>
                                <w:lang w:eastAsia="zh-CN"/>
                              </w:rPr>
                              <w:t>SXWZ2025ZB-JCZX-192</w:t>
                            </w:r>
                            <w:r>
                              <w:rPr>
                                <w:rFonts w:hint="eastAsia"/>
                                <w:sz w:val="28"/>
                                <w:szCs w:val="28"/>
                              </w:rPr>
                              <w:t>项目名称：</w:t>
                            </w:r>
                            <w:r>
                              <w:rPr>
                                <w:rFonts w:hint="eastAsia"/>
                                <w:sz w:val="28"/>
                                <w:szCs w:val="28"/>
                                <w:lang w:eastAsia="zh-CN"/>
                              </w:rPr>
                              <w:t>西安市扶贫信息监测中心巩固脱贫攻坚成果和防返贫监测数据质量评估及分析服务项目</w:t>
                            </w:r>
                          </w:p>
                          <w:p w14:paraId="6F7C0768">
                            <w:pPr>
                              <w:jc w:val="center"/>
                              <w:rPr>
                                <w:b/>
                                <w:sz w:val="44"/>
                                <w:szCs w:val="44"/>
                              </w:rPr>
                            </w:pPr>
                            <w:r>
                              <w:rPr>
                                <w:rFonts w:hint="eastAsia"/>
                                <w:b/>
                                <w:sz w:val="44"/>
                                <w:szCs w:val="44"/>
                              </w:rPr>
                              <w:t>磋商响应文件（副本）</w:t>
                            </w:r>
                          </w:p>
                          <w:p w14:paraId="60EE3845">
                            <w:pPr>
                              <w:jc w:val="center"/>
                              <w:rPr>
                                <w:sz w:val="28"/>
                                <w:szCs w:val="28"/>
                              </w:rPr>
                            </w:pPr>
                          </w:p>
                          <w:p w14:paraId="608D756B">
                            <w:pPr>
                              <w:jc w:val="center"/>
                              <w:rPr>
                                <w:sz w:val="28"/>
                                <w:szCs w:val="28"/>
                              </w:rPr>
                            </w:pPr>
                            <w:r>
                              <w:rPr>
                                <w:rFonts w:hint="eastAsia"/>
                                <w:sz w:val="28"/>
                                <w:szCs w:val="28"/>
                              </w:rPr>
                              <w:t>（非磋商会议不得启封）</w:t>
                            </w:r>
                          </w:p>
                          <w:p w14:paraId="579F64EA">
                            <w:pPr>
                              <w:rPr>
                                <w:sz w:val="28"/>
                                <w:szCs w:val="28"/>
                                <w:u w:val="single"/>
                              </w:rPr>
                            </w:pPr>
                            <w:r>
                              <w:rPr>
                                <w:rFonts w:hint="eastAsia"/>
                                <w:sz w:val="28"/>
                                <w:szCs w:val="28"/>
                              </w:rPr>
                              <w:t>供应商（名称及公章）：</w:t>
                            </w:r>
                          </w:p>
                          <w:p w14:paraId="3AE47ABE">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76.3pt;width:495.15pt;z-index:251665408;mso-width-relative:page;mso-height-relative:page;" fillcolor="#FFFFFF" filled="t" stroked="t" coordsize="21600,21600" o:gfxdata="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zd/f9kAAAAJAQAADwAAAAAAAAABACAAAAAiAAAAZHJzL2Rv&#10;d25yZXYueG1sUEsBAhQAFAAAAAgAh07iQCPEHHUAAgAARAQAAA4AAAAAAAAAAQAgAAAAKAEAAGRy&#10;cy9lMm9Eb2MueG1sUEsFBgAAAAAGAAYAWQEAAJoFAAAAAA==&#10;">
                <v:fill on="t" focussize="0,0"/>
                <v:stroke color="#000000" joinstyle="miter"/>
                <v:imagedata o:title=""/>
                <o:lock v:ext="edit" aspectratio="f"/>
                <v:textbox>
                  <w:txbxContent>
                    <w:p w14:paraId="4A414D03">
                      <w:pPr>
                        <w:jc w:val="center"/>
                        <w:rPr>
                          <w:rFonts w:hint="eastAsia" w:ascii="宋体" w:hAnsi="宋体" w:cs="宋体" w:eastAsiaTheme="minorEastAsia"/>
                          <w:b/>
                          <w:bCs/>
                          <w:sz w:val="32"/>
                          <w:szCs w:val="32"/>
                          <w:lang w:eastAsia="zh-CN"/>
                        </w:rPr>
                      </w:pPr>
                      <w:r>
                        <w:rPr>
                          <w:rFonts w:hint="eastAsia"/>
                          <w:sz w:val="28"/>
                          <w:szCs w:val="28"/>
                        </w:rPr>
                        <w:t>致：陕西万泽招标有限公司               项目编号：</w:t>
                      </w:r>
                      <w:r>
                        <w:rPr>
                          <w:rFonts w:hint="eastAsia"/>
                          <w:sz w:val="28"/>
                          <w:szCs w:val="28"/>
                          <w:lang w:eastAsia="zh-CN"/>
                        </w:rPr>
                        <w:t>SXWZ2025ZB-JCZX-192</w:t>
                      </w:r>
                      <w:r>
                        <w:rPr>
                          <w:rFonts w:hint="eastAsia"/>
                          <w:sz w:val="28"/>
                          <w:szCs w:val="28"/>
                        </w:rPr>
                        <w:t>项目名称：</w:t>
                      </w:r>
                      <w:r>
                        <w:rPr>
                          <w:rFonts w:hint="eastAsia"/>
                          <w:sz w:val="28"/>
                          <w:szCs w:val="28"/>
                          <w:lang w:eastAsia="zh-CN"/>
                        </w:rPr>
                        <w:t>西安市扶贫信息监测中心巩固脱贫攻坚成果和防返贫监测数据质量评估及分析服务项目</w:t>
                      </w:r>
                    </w:p>
                    <w:p w14:paraId="6F7C0768">
                      <w:pPr>
                        <w:jc w:val="center"/>
                        <w:rPr>
                          <w:b/>
                          <w:sz w:val="44"/>
                          <w:szCs w:val="44"/>
                        </w:rPr>
                      </w:pPr>
                      <w:r>
                        <w:rPr>
                          <w:rFonts w:hint="eastAsia"/>
                          <w:b/>
                          <w:sz w:val="44"/>
                          <w:szCs w:val="44"/>
                        </w:rPr>
                        <w:t>磋商响应文件（副本）</w:t>
                      </w:r>
                    </w:p>
                    <w:p w14:paraId="60EE3845">
                      <w:pPr>
                        <w:jc w:val="center"/>
                        <w:rPr>
                          <w:sz w:val="28"/>
                          <w:szCs w:val="28"/>
                        </w:rPr>
                      </w:pPr>
                    </w:p>
                    <w:p w14:paraId="608D756B">
                      <w:pPr>
                        <w:jc w:val="center"/>
                        <w:rPr>
                          <w:sz w:val="28"/>
                          <w:szCs w:val="28"/>
                        </w:rPr>
                      </w:pPr>
                      <w:r>
                        <w:rPr>
                          <w:rFonts w:hint="eastAsia"/>
                          <w:sz w:val="28"/>
                          <w:szCs w:val="28"/>
                        </w:rPr>
                        <w:t>（非磋商会议不得启封）</w:t>
                      </w:r>
                    </w:p>
                    <w:p w14:paraId="579F64EA">
                      <w:pPr>
                        <w:rPr>
                          <w:sz w:val="28"/>
                          <w:szCs w:val="28"/>
                          <w:u w:val="single"/>
                        </w:rPr>
                      </w:pPr>
                      <w:r>
                        <w:rPr>
                          <w:rFonts w:hint="eastAsia"/>
                          <w:sz w:val="28"/>
                          <w:szCs w:val="28"/>
                        </w:rPr>
                        <w:t>供应商（名称及公章）：</w:t>
                      </w:r>
                    </w:p>
                    <w:p w14:paraId="3AE47ABE">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14:paraId="5DDF1D1C">
      <w:pPr>
        <w:ind w:firstLine="420" w:firstLineChars="200"/>
        <w:jc w:val="left"/>
        <w:rPr>
          <w:rFonts w:asciiTheme="minorEastAsia" w:hAnsiTheme="minorEastAsia" w:cstheme="minorEastAsia"/>
        </w:rPr>
      </w:pPr>
    </w:p>
    <w:p w14:paraId="05443693">
      <w:pPr>
        <w:ind w:firstLine="420" w:firstLineChars="200"/>
        <w:jc w:val="left"/>
        <w:rPr>
          <w:rFonts w:asciiTheme="minorEastAsia" w:hAnsiTheme="minorEastAsia" w:cstheme="minorEastAsia"/>
        </w:rPr>
      </w:pPr>
    </w:p>
    <w:p w14:paraId="2C1F3E15">
      <w:pPr>
        <w:ind w:firstLine="420" w:firstLineChars="200"/>
        <w:jc w:val="left"/>
        <w:rPr>
          <w:rFonts w:asciiTheme="minorEastAsia" w:hAnsiTheme="minorEastAsia" w:cstheme="minorEastAsia"/>
        </w:rPr>
      </w:pPr>
    </w:p>
    <w:p w14:paraId="31DCEC72">
      <w:pPr>
        <w:ind w:firstLine="420" w:firstLineChars="200"/>
        <w:jc w:val="left"/>
        <w:rPr>
          <w:rFonts w:asciiTheme="minorEastAsia" w:hAnsiTheme="minorEastAsia" w:cstheme="minorEastAsia"/>
        </w:rPr>
      </w:pPr>
    </w:p>
    <w:p w14:paraId="2B55AF9F">
      <w:pPr>
        <w:ind w:firstLine="420" w:firstLineChars="200"/>
        <w:jc w:val="left"/>
        <w:rPr>
          <w:rFonts w:asciiTheme="minorEastAsia" w:hAnsiTheme="minorEastAsia" w:cstheme="minorEastAsia"/>
        </w:rPr>
      </w:pPr>
    </w:p>
    <w:p w14:paraId="7BCAFF92">
      <w:pPr>
        <w:ind w:firstLine="420" w:firstLineChars="200"/>
        <w:jc w:val="left"/>
        <w:rPr>
          <w:rFonts w:asciiTheme="minorEastAsia" w:hAnsiTheme="minorEastAsia" w:cstheme="minorEastAsia"/>
        </w:rPr>
      </w:pPr>
    </w:p>
    <w:p w14:paraId="3BFBD691">
      <w:pPr>
        <w:ind w:firstLine="420" w:firstLineChars="200"/>
        <w:jc w:val="left"/>
        <w:rPr>
          <w:rFonts w:asciiTheme="minorEastAsia" w:hAnsiTheme="minorEastAsia" w:cstheme="minorEastAsia"/>
        </w:rPr>
      </w:pPr>
    </w:p>
    <w:p w14:paraId="692458AC">
      <w:pPr>
        <w:ind w:firstLine="420" w:firstLineChars="200"/>
        <w:jc w:val="left"/>
        <w:rPr>
          <w:rFonts w:asciiTheme="minorEastAsia" w:hAnsiTheme="minorEastAsia" w:cstheme="minorEastAsia"/>
        </w:rPr>
      </w:pPr>
    </w:p>
    <w:p w14:paraId="4ECCF22D">
      <w:pPr>
        <w:ind w:firstLine="420" w:firstLineChars="200"/>
        <w:jc w:val="left"/>
        <w:rPr>
          <w:rFonts w:asciiTheme="minorEastAsia" w:hAnsiTheme="minorEastAsia" w:cstheme="minorEastAsia"/>
        </w:rPr>
      </w:pPr>
    </w:p>
    <w:p w14:paraId="7A007AA8">
      <w:pPr>
        <w:ind w:firstLine="1004" w:firstLineChars="200"/>
        <w:jc w:val="left"/>
        <w:rPr>
          <w:rFonts w:asciiTheme="minorEastAsia" w:hAnsiTheme="minorEastAsia" w:cstheme="minorEastAsia"/>
          <w:b/>
          <w:sz w:val="50"/>
        </w:rPr>
      </w:pPr>
    </w:p>
    <w:p w14:paraId="3C0E86EC">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pgNumType w:fmt="decimal"/>
          <w:cols w:space="0" w:num="1"/>
          <w:docGrid w:type="lines" w:linePitch="325" w:charSpace="0"/>
        </w:sectPr>
      </w:pPr>
    </w:p>
    <w:p w14:paraId="739D58E0">
      <w:pPr>
        <w:spacing w:line="460" w:lineRule="exac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磋商一览表封袋正面标识式样</w:t>
      </w:r>
    </w:p>
    <w:p w14:paraId="7FE9E99B">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-275590</wp:posOffset>
                </wp:positionH>
                <wp:positionV relativeFrom="paragraph">
                  <wp:posOffset>227965</wp:posOffset>
                </wp:positionV>
                <wp:extent cx="6189345" cy="3477260"/>
                <wp:effectExtent l="5080" t="4445" r="15875" b="23495"/>
                <wp:wrapNone/>
                <wp:docPr id="3" name="Text Box 3"/>
                <wp:cNvGraphicFramePr/>
                <a:graphic xmlns:a="http://schemas.openxmlformats.org/drawingml/2006/main">
                  <a:graphicData uri="http://schemas.microsoft.com/office/word/2010/wordprocessingShape">
                    <wps:wsp>
                      <wps:cNvSpPr txBox="1"/>
                      <wps:spPr>
                        <a:xfrm>
                          <a:off x="0" y="0"/>
                          <a:ext cx="6189345" cy="3477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6B2B4B">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SXWZ2025ZB-JCZX-192</w:t>
                            </w:r>
                          </w:p>
                          <w:p w14:paraId="56B0B665">
                            <w:pPr>
                              <w:jc w:val="center"/>
                              <w:rPr>
                                <w:rFonts w:hint="eastAsia" w:eastAsiaTheme="minorEastAsia"/>
                                <w:b/>
                                <w:sz w:val="44"/>
                                <w:szCs w:val="44"/>
                                <w:lang w:eastAsia="zh-CN"/>
                              </w:rPr>
                            </w:pPr>
                            <w:r>
                              <w:rPr>
                                <w:rFonts w:hint="eastAsia"/>
                                <w:sz w:val="28"/>
                                <w:szCs w:val="28"/>
                              </w:rPr>
                              <w:t>项目名称：</w:t>
                            </w:r>
                            <w:r>
                              <w:rPr>
                                <w:rFonts w:hint="eastAsia"/>
                                <w:sz w:val="28"/>
                                <w:szCs w:val="28"/>
                                <w:lang w:eastAsia="zh-CN"/>
                              </w:rPr>
                              <w:t>西安市扶贫信息监测中心巩固脱贫攻坚成果和防返贫监测数据质量评估及分析服务项目</w:t>
                            </w:r>
                          </w:p>
                          <w:p w14:paraId="1CB4B3A2">
                            <w:pPr>
                              <w:jc w:val="center"/>
                              <w:rPr>
                                <w:b/>
                                <w:sz w:val="44"/>
                                <w:szCs w:val="44"/>
                              </w:rPr>
                            </w:pPr>
                            <w:r>
                              <w:rPr>
                                <w:rFonts w:hint="eastAsia"/>
                                <w:b/>
                                <w:sz w:val="44"/>
                                <w:szCs w:val="44"/>
                              </w:rPr>
                              <w:t>磋商一览表</w:t>
                            </w:r>
                          </w:p>
                          <w:p w14:paraId="1739E93E">
                            <w:pPr>
                              <w:jc w:val="center"/>
                              <w:rPr>
                                <w:sz w:val="28"/>
                                <w:szCs w:val="28"/>
                              </w:rPr>
                            </w:pPr>
                          </w:p>
                          <w:p w14:paraId="27811E6B">
                            <w:pPr>
                              <w:jc w:val="center"/>
                              <w:rPr>
                                <w:sz w:val="28"/>
                                <w:szCs w:val="28"/>
                              </w:rPr>
                            </w:pPr>
                            <w:r>
                              <w:rPr>
                                <w:rFonts w:hint="eastAsia"/>
                                <w:sz w:val="28"/>
                                <w:szCs w:val="28"/>
                              </w:rPr>
                              <w:t>（非磋商会议不得启封）</w:t>
                            </w:r>
                          </w:p>
                          <w:p w14:paraId="29AFF0A3">
                            <w:pPr>
                              <w:rPr>
                                <w:sz w:val="28"/>
                                <w:szCs w:val="28"/>
                                <w:u w:val="single"/>
                              </w:rPr>
                            </w:pPr>
                            <w:r>
                              <w:rPr>
                                <w:rFonts w:hint="eastAsia"/>
                                <w:sz w:val="28"/>
                                <w:szCs w:val="28"/>
                              </w:rPr>
                              <w:t>供应商（名称及公章）：</w:t>
                            </w:r>
                          </w:p>
                          <w:p w14:paraId="70202CC0">
                            <w:pPr>
                              <w:rPr>
                                <w:sz w:val="28"/>
                                <w:szCs w:val="28"/>
                                <w:u w:val="single"/>
                              </w:rPr>
                            </w:pPr>
                            <w:r>
                              <w:rPr>
                                <w:rFonts w:hint="eastAsia"/>
                                <w:sz w:val="28"/>
                                <w:szCs w:val="28"/>
                              </w:rPr>
                              <w:t>时间</w:t>
                            </w:r>
                            <w:r>
                              <w:rPr>
                                <w:rFonts w:hint="eastAsia"/>
                                <w:sz w:val="28"/>
                                <w:szCs w:val="28"/>
                                <w:u w:val="single"/>
                              </w:rPr>
                              <w:t>：      年      月    日</w:t>
                            </w:r>
                          </w:p>
                          <w:p w14:paraId="22372307">
                            <w:pPr>
                              <w:rPr>
                                <w:sz w:val="28"/>
                                <w:szCs w:val="28"/>
                              </w:rPr>
                            </w:pPr>
                          </w:p>
                        </w:txbxContent>
                      </wps:txbx>
                      <wps:bodyPr upright="1"/>
                    </wps:wsp>
                  </a:graphicData>
                </a:graphic>
              </wp:anchor>
            </w:drawing>
          </mc:Choice>
          <mc:Fallback>
            <w:pict>
              <v:shape id="Text Box 3" o:spid="_x0000_s1026" o:spt="202" type="#_x0000_t202" style="position:absolute;left:0pt;margin-left:-21.7pt;margin-top:17.95pt;height:273.8pt;width:487.35pt;z-index:251666432;mso-width-relative:page;mso-height-relative:page;" fillcolor="#FFFFFF" filled="t" stroked="t" coordsize="21600,21600" o:gfxdata="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&#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KWiw2gAAAAoBAAAPAAAAAAAAAAEAIAAAACIAAABk&#10;cnMvZG93bnJldi54bWxQSwECFAAUAAAACACHTuJANHJvnAQCAABEBAAADgAAAAAAAAABACAAAAAp&#10;AQAAZHJzL2Uyb0RvYy54bWxQSwUGAAAAAAYABgBZAQAAnwUAAAAA&#10;">
                <v:fill on="t" focussize="0,0"/>
                <v:stroke color="#000000" joinstyle="miter"/>
                <v:imagedata o:title=""/>
                <o:lock v:ext="edit" aspectratio="f"/>
                <v:textbox>
                  <w:txbxContent>
                    <w:p w14:paraId="216B2B4B">
                      <w:pPr>
                        <w:jc w:val="center"/>
                        <w:rPr>
                          <w:rFonts w:hint="eastAsia"/>
                          <w:sz w:val="28"/>
                          <w:szCs w:val="28"/>
                          <w:lang w:eastAsia="zh-CN"/>
                        </w:rPr>
                      </w:pPr>
                      <w:r>
                        <w:rPr>
                          <w:rFonts w:hint="eastAsia"/>
                          <w:sz w:val="28"/>
                          <w:szCs w:val="28"/>
                        </w:rPr>
                        <w:t>致：陕西万泽招标有限公司             项目编号：</w:t>
                      </w:r>
                      <w:r>
                        <w:rPr>
                          <w:rFonts w:hint="eastAsia"/>
                          <w:sz w:val="28"/>
                          <w:szCs w:val="28"/>
                          <w:lang w:eastAsia="zh-CN"/>
                        </w:rPr>
                        <w:t>SXWZ2025ZB-JCZX-192</w:t>
                      </w:r>
                    </w:p>
                    <w:p w14:paraId="56B0B665">
                      <w:pPr>
                        <w:jc w:val="center"/>
                        <w:rPr>
                          <w:rFonts w:hint="eastAsia" w:eastAsiaTheme="minorEastAsia"/>
                          <w:b/>
                          <w:sz w:val="44"/>
                          <w:szCs w:val="44"/>
                          <w:lang w:eastAsia="zh-CN"/>
                        </w:rPr>
                      </w:pPr>
                      <w:r>
                        <w:rPr>
                          <w:rFonts w:hint="eastAsia"/>
                          <w:sz w:val="28"/>
                          <w:szCs w:val="28"/>
                        </w:rPr>
                        <w:t>项目名称：</w:t>
                      </w:r>
                      <w:r>
                        <w:rPr>
                          <w:rFonts w:hint="eastAsia"/>
                          <w:sz w:val="28"/>
                          <w:szCs w:val="28"/>
                          <w:lang w:eastAsia="zh-CN"/>
                        </w:rPr>
                        <w:t>西安市扶贫信息监测中心巩固脱贫攻坚成果和防返贫监测数据质量评估及分析服务项目</w:t>
                      </w:r>
                    </w:p>
                    <w:p w14:paraId="1CB4B3A2">
                      <w:pPr>
                        <w:jc w:val="center"/>
                        <w:rPr>
                          <w:b/>
                          <w:sz w:val="44"/>
                          <w:szCs w:val="44"/>
                        </w:rPr>
                      </w:pPr>
                      <w:r>
                        <w:rPr>
                          <w:rFonts w:hint="eastAsia"/>
                          <w:b/>
                          <w:sz w:val="44"/>
                          <w:szCs w:val="44"/>
                        </w:rPr>
                        <w:t>磋商一览表</w:t>
                      </w:r>
                    </w:p>
                    <w:p w14:paraId="1739E93E">
                      <w:pPr>
                        <w:jc w:val="center"/>
                        <w:rPr>
                          <w:sz w:val="28"/>
                          <w:szCs w:val="28"/>
                        </w:rPr>
                      </w:pPr>
                    </w:p>
                    <w:p w14:paraId="27811E6B">
                      <w:pPr>
                        <w:jc w:val="center"/>
                        <w:rPr>
                          <w:sz w:val="28"/>
                          <w:szCs w:val="28"/>
                        </w:rPr>
                      </w:pPr>
                      <w:r>
                        <w:rPr>
                          <w:rFonts w:hint="eastAsia"/>
                          <w:sz w:val="28"/>
                          <w:szCs w:val="28"/>
                        </w:rPr>
                        <w:t>（非磋商会议不得启封）</w:t>
                      </w:r>
                    </w:p>
                    <w:p w14:paraId="29AFF0A3">
                      <w:pPr>
                        <w:rPr>
                          <w:sz w:val="28"/>
                          <w:szCs w:val="28"/>
                          <w:u w:val="single"/>
                        </w:rPr>
                      </w:pPr>
                      <w:r>
                        <w:rPr>
                          <w:rFonts w:hint="eastAsia"/>
                          <w:sz w:val="28"/>
                          <w:szCs w:val="28"/>
                        </w:rPr>
                        <w:t>供应商（名称及公章）：</w:t>
                      </w:r>
                    </w:p>
                    <w:p w14:paraId="70202CC0">
                      <w:pPr>
                        <w:rPr>
                          <w:sz w:val="28"/>
                          <w:szCs w:val="28"/>
                          <w:u w:val="single"/>
                        </w:rPr>
                      </w:pPr>
                      <w:r>
                        <w:rPr>
                          <w:rFonts w:hint="eastAsia"/>
                          <w:sz w:val="28"/>
                          <w:szCs w:val="28"/>
                        </w:rPr>
                        <w:t>时间</w:t>
                      </w:r>
                      <w:r>
                        <w:rPr>
                          <w:rFonts w:hint="eastAsia"/>
                          <w:sz w:val="28"/>
                          <w:szCs w:val="28"/>
                          <w:u w:val="single"/>
                        </w:rPr>
                        <w:t>：      年      月    日</w:t>
                      </w:r>
                    </w:p>
                    <w:p w14:paraId="22372307">
                      <w:pPr>
                        <w:rPr>
                          <w:sz w:val="28"/>
                          <w:szCs w:val="28"/>
                        </w:rPr>
                      </w:pPr>
                    </w:p>
                  </w:txbxContent>
                </v:textbox>
              </v:shape>
            </w:pict>
          </mc:Fallback>
        </mc:AlternateContent>
      </w:r>
    </w:p>
    <w:p w14:paraId="0F8A261D">
      <w:pPr>
        <w:spacing w:line="460" w:lineRule="exact"/>
        <w:ind w:firstLine="482" w:firstLineChars="200"/>
        <w:jc w:val="left"/>
        <w:rPr>
          <w:rFonts w:asciiTheme="minorEastAsia" w:hAnsiTheme="minorEastAsia" w:cstheme="minorEastAsia"/>
          <w:b/>
          <w:sz w:val="24"/>
        </w:rPr>
      </w:pPr>
    </w:p>
    <w:p w14:paraId="7F924D84">
      <w:pPr>
        <w:spacing w:line="460" w:lineRule="exact"/>
        <w:ind w:firstLine="482" w:firstLineChars="200"/>
        <w:jc w:val="left"/>
        <w:rPr>
          <w:rFonts w:asciiTheme="minorEastAsia" w:hAnsiTheme="minorEastAsia" w:cstheme="minorEastAsia"/>
          <w:b/>
          <w:sz w:val="24"/>
        </w:rPr>
      </w:pPr>
    </w:p>
    <w:p w14:paraId="271693CE">
      <w:pPr>
        <w:spacing w:line="460" w:lineRule="exact"/>
        <w:ind w:firstLine="482" w:firstLineChars="200"/>
        <w:jc w:val="left"/>
        <w:rPr>
          <w:rFonts w:asciiTheme="minorEastAsia" w:hAnsiTheme="minorEastAsia" w:cstheme="minorEastAsia"/>
          <w:b/>
          <w:sz w:val="24"/>
        </w:rPr>
      </w:pPr>
    </w:p>
    <w:p w14:paraId="7310A862">
      <w:pPr>
        <w:spacing w:line="460" w:lineRule="exact"/>
        <w:ind w:firstLine="482" w:firstLineChars="200"/>
        <w:jc w:val="left"/>
        <w:rPr>
          <w:rFonts w:asciiTheme="minorEastAsia" w:hAnsiTheme="minorEastAsia" w:cstheme="minorEastAsia"/>
          <w:b/>
          <w:sz w:val="24"/>
        </w:rPr>
      </w:pPr>
    </w:p>
    <w:p w14:paraId="60FF3C3D">
      <w:pPr>
        <w:spacing w:line="460" w:lineRule="exact"/>
        <w:ind w:firstLine="482" w:firstLineChars="200"/>
        <w:jc w:val="left"/>
        <w:rPr>
          <w:rFonts w:asciiTheme="minorEastAsia" w:hAnsiTheme="minorEastAsia" w:cstheme="minorEastAsia"/>
          <w:b/>
          <w:sz w:val="24"/>
        </w:rPr>
      </w:pPr>
    </w:p>
    <w:p w14:paraId="7AD242E9">
      <w:pPr>
        <w:spacing w:line="460" w:lineRule="exact"/>
        <w:ind w:firstLine="482" w:firstLineChars="200"/>
        <w:jc w:val="left"/>
        <w:rPr>
          <w:rFonts w:asciiTheme="minorEastAsia" w:hAnsiTheme="minorEastAsia" w:cstheme="minorEastAsia"/>
          <w:b/>
          <w:sz w:val="24"/>
        </w:rPr>
      </w:pPr>
    </w:p>
    <w:p w14:paraId="5B397745">
      <w:pPr>
        <w:spacing w:line="460" w:lineRule="exact"/>
        <w:ind w:firstLine="482" w:firstLineChars="200"/>
        <w:jc w:val="left"/>
        <w:rPr>
          <w:rFonts w:asciiTheme="minorEastAsia" w:hAnsiTheme="minorEastAsia" w:cstheme="minorEastAsia"/>
          <w:b/>
          <w:sz w:val="24"/>
        </w:rPr>
      </w:pPr>
    </w:p>
    <w:p w14:paraId="1D135CC1">
      <w:pPr>
        <w:spacing w:line="460" w:lineRule="exact"/>
        <w:ind w:firstLine="482" w:firstLineChars="200"/>
        <w:jc w:val="left"/>
        <w:rPr>
          <w:rFonts w:asciiTheme="minorEastAsia" w:hAnsiTheme="minorEastAsia" w:cstheme="minorEastAsia"/>
          <w:b/>
          <w:sz w:val="24"/>
        </w:rPr>
      </w:pPr>
    </w:p>
    <w:p w14:paraId="1F01C408">
      <w:pPr>
        <w:spacing w:line="460" w:lineRule="exact"/>
        <w:ind w:firstLine="482" w:firstLineChars="200"/>
        <w:jc w:val="left"/>
        <w:rPr>
          <w:rFonts w:asciiTheme="minorEastAsia" w:hAnsiTheme="minorEastAsia" w:cstheme="minorEastAsia"/>
          <w:b/>
          <w:sz w:val="24"/>
        </w:rPr>
      </w:pPr>
    </w:p>
    <w:p w14:paraId="1743F2E7">
      <w:pPr>
        <w:spacing w:line="460" w:lineRule="exact"/>
        <w:ind w:firstLine="482" w:firstLineChars="200"/>
        <w:jc w:val="left"/>
        <w:rPr>
          <w:rFonts w:asciiTheme="minorEastAsia" w:hAnsiTheme="minorEastAsia" w:cstheme="minorEastAsia"/>
          <w:b/>
          <w:sz w:val="24"/>
        </w:rPr>
      </w:pPr>
    </w:p>
    <w:p w14:paraId="1D1186D0">
      <w:pPr>
        <w:spacing w:line="460" w:lineRule="exact"/>
        <w:jc w:val="left"/>
        <w:rPr>
          <w:rFonts w:asciiTheme="minorEastAsia" w:hAnsiTheme="minorEastAsia" w:cstheme="minorEastAsia"/>
          <w:b/>
          <w:sz w:val="24"/>
        </w:rPr>
      </w:pPr>
    </w:p>
    <w:p w14:paraId="4796FCA1">
      <w:pPr>
        <w:spacing w:line="460" w:lineRule="exact"/>
        <w:jc w:val="left"/>
        <w:rPr>
          <w:rFonts w:asciiTheme="minorEastAsia" w:hAnsiTheme="minorEastAsia" w:cstheme="minorEastAsia"/>
          <w:b/>
          <w:sz w:val="24"/>
        </w:rPr>
      </w:pPr>
    </w:p>
    <w:p w14:paraId="0EB2409F">
      <w:pPr>
        <w:spacing w:line="460" w:lineRule="exac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14:paraId="72DFD971">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-360045</wp:posOffset>
                </wp:positionH>
                <wp:positionV relativeFrom="paragraph">
                  <wp:posOffset>150495</wp:posOffset>
                </wp:positionV>
                <wp:extent cx="6455410" cy="3869055"/>
                <wp:effectExtent l="5080" t="4445" r="16510" b="12700"/>
                <wp:wrapNone/>
                <wp:docPr id="4" name="Text Box 3"/>
                <wp:cNvGraphicFramePr/>
                <a:graphic xmlns:a="http://schemas.openxmlformats.org/drawingml/2006/main">
                  <a:graphicData uri="http://schemas.microsoft.com/office/word/2010/wordprocessingShape">
                    <wps:wsp>
                      <wps:cNvSpPr txBox="1"/>
                      <wps:spPr>
                        <a:xfrm>
                          <a:off x="0" y="0"/>
                          <a:ext cx="6455410" cy="3869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A786E9">
                            <w:pPr>
                              <w:jc w:val="center"/>
                              <w:rPr>
                                <w:rFonts w:hint="eastAsia" w:eastAsiaTheme="minorEastAsia"/>
                                <w:sz w:val="28"/>
                                <w:szCs w:val="28"/>
                                <w:lang w:eastAsia="zh-CN"/>
                              </w:rPr>
                            </w:pPr>
                            <w:r>
                              <w:rPr>
                                <w:rFonts w:hint="eastAsia"/>
                                <w:sz w:val="28"/>
                                <w:szCs w:val="28"/>
                              </w:rPr>
                              <w:t>致：陕西万泽招标有限公司               项目编号：</w:t>
                            </w:r>
                            <w:r>
                              <w:rPr>
                                <w:rFonts w:hint="eastAsia"/>
                                <w:sz w:val="28"/>
                                <w:szCs w:val="28"/>
                                <w:lang w:eastAsia="zh-CN"/>
                              </w:rPr>
                              <w:t>SXWZ2025ZB-JCZX-192</w:t>
                            </w:r>
                          </w:p>
                          <w:p w14:paraId="1AD65EF6">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西安市扶贫信息监测中心巩固脱贫攻坚成果和防返贫监测数据质量评估及分析服务项目</w:t>
                            </w:r>
                          </w:p>
                          <w:p w14:paraId="07EB88AE">
                            <w:pPr>
                              <w:jc w:val="center"/>
                              <w:rPr>
                                <w:b/>
                                <w:sz w:val="44"/>
                                <w:szCs w:val="44"/>
                              </w:rPr>
                            </w:pPr>
                          </w:p>
                          <w:p w14:paraId="018E597B">
                            <w:pPr>
                              <w:jc w:val="center"/>
                              <w:rPr>
                                <w:b/>
                                <w:sz w:val="44"/>
                                <w:szCs w:val="44"/>
                              </w:rPr>
                            </w:pPr>
                            <w:r>
                              <w:rPr>
                                <w:rFonts w:hint="eastAsia"/>
                                <w:b/>
                                <w:sz w:val="44"/>
                                <w:szCs w:val="44"/>
                              </w:rPr>
                              <w:t>电子文档</w:t>
                            </w:r>
                          </w:p>
                          <w:p w14:paraId="0ED8074E">
                            <w:pPr>
                              <w:jc w:val="center"/>
                              <w:rPr>
                                <w:sz w:val="28"/>
                                <w:szCs w:val="28"/>
                              </w:rPr>
                            </w:pPr>
                          </w:p>
                          <w:p w14:paraId="6A99E7EC">
                            <w:pPr>
                              <w:jc w:val="center"/>
                              <w:rPr>
                                <w:sz w:val="28"/>
                                <w:szCs w:val="28"/>
                              </w:rPr>
                            </w:pPr>
                            <w:r>
                              <w:rPr>
                                <w:rFonts w:hint="eastAsia"/>
                                <w:sz w:val="28"/>
                                <w:szCs w:val="28"/>
                              </w:rPr>
                              <w:t>（非磋商会议不得启封）</w:t>
                            </w:r>
                          </w:p>
                          <w:p w14:paraId="570F856A">
                            <w:pPr>
                              <w:rPr>
                                <w:sz w:val="28"/>
                                <w:szCs w:val="28"/>
                                <w:u w:val="single"/>
                              </w:rPr>
                            </w:pPr>
                            <w:r>
                              <w:rPr>
                                <w:rFonts w:hint="eastAsia"/>
                                <w:sz w:val="28"/>
                                <w:szCs w:val="28"/>
                              </w:rPr>
                              <w:t>供应商（名称及公章）：</w:t>
                            </w:r>
                          </w:p>
                          <w:p w14:paraId="5F19A8AA">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304.65pt;width:508.3pt;z-index:251667456;mso-width-relative:page;mso-height-relative:page;" fillcolor="#FFFFFF" filled="t" stroked="t" coordsize="21600,21600" o:gfxdata="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EE9cNsAAAAKAQAADwAAAAAAAAABACAAAAAiAAAAZHJz&#10;L2Rvd25yZXYueG1sUEsBAhQAFAAAAAgAh07iQNFJS+4BAgAARAQAAA4AAAAAAAAAAQAgAAAAKgEA&#10;AGRycy9lMm9Eb2MueG1sUEsFBgAAAAAGAAYAWQEAAJ0FAAAAAA==&#10;">
                <v:fill on="t" focussize="0,0"/>
                <v:stroke color="#000000" joinstyle="miter"/>
                <v:imagedata o:title=""/>
                <o:lock v:ext="edit" aspectratio="f"/>
                <v:textbox>
                  <w:txbxContent>
                    <w:p w14:paraId="44A786E9">
                      <w:pPr>
                        <w:jc w:val="center"/>
                        <w:rPr>
                          <w:rFonts w:hint="eastAsia" w:eastAsiaTheme="minorEastAsia"/>
                          <w:sz w:val="28"/>
                          <w:szCs w:val="28"/>
                          <w:lang w:eastAsia="zh-CN"/>
                        </w:rPr>
                      </w:pPr>
                      <w:r>
                        <w:rPr>
                          <w:rFonts w:hint="eastAsia"/>
                          <w:sz w:val="28"/>
                          <w:szCs w:val="28"/>
                        </w:rPr>
                        <w:t>致：陕西万泽招标有限公司               项目编号：</w:t>
                      </w:r>
                      <w:r>
                        <w:rPr>
                          <w:rFonts w:hint="eastAsia"/>
                          <w:sz w:val="28"/>
                          <w:szCs w:val="28"/>
                          <w:lang w:eastAsia="zh-CN"/>
                        </w:rPr>
                        <w:t>SXWZ2025ZB-JCZX-192</w:t>
                      </w:r>
                    </w:p>
                    <w:p w14:paraId="1AD65EF6">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西安市扶贫信息监测中心巩固脱贫攻坚成果和防返贫监测数据质量评估及分析服务项目</w:t>
                      </w:r>
                    </w:p>
                    <w:p w14:paraId="07EB88AE">
                      <w:pPr>
                        <w:jc w:val="center"/>
                        <w:rPr>
                          <w:b/>
                          <w:sz w:val="44"/>
                          <w:szCs w:val="44"/>
                        </w:rPr>
                      </w:pPr>
                    </w:p>
                    <w:p w14:paraId="018E597B">
                      <w:pPr>
                        <w:jc w:val="center"/>
                        <w:rPr>
                          <w:b/>
                          <w:sz w:val="44"/>
                          <w:szCs w:val="44"/>
                        </w:rPr>
                      </w:pPr>
                      <w:r>
                        <w:rPr>
                          <w:rFonts w:hint="eastAsia"/>
                          <w:b/>
                          <w:sz w:val="44"/>
                          <w:szCs w:val="44"/>
                        </w:rPr>
                        <w:t>电子文档</w:t>
                      </w:r>
                    </w:p>
                    <w:p w14:paraId="0ED8074E">
                      <w:pPr>
                        <w:jc w:val="center"/>
                        <w:rPr>
                          <w:sz w:val="28"/>
                          <w:szCs w:val="28"/>
                        </w:rPr>
                      </w:pPr>
                    </w:p>
                    <w:p w14:paraId="6A99E7EC">
                      <w:pPr>
                        <w:jc w:val="center"/>
                        <w:rPr>
                          <w:sz w:val="28"/>
                          <w:szCs w:val="28"/>
                        </w:rPr>
                      </w:pPr>
                      <w:r>
                        <w:rPr>
                          <w:rFonts w:hint="eastAsia"/>
                          <w:sz w:val="28"/>
                          <w:szCs w:val="28"/>
                        </w:rPr>
                        <w:t>（非磋商会议不得启封）</w:t>
                      </w:r>
                    </w:p>
                    <w:p w14:paraId="570F856A">
                      <w:pPr>
                        <w:rPr>
                          <w:sz w:val="28"/>
                          <w:szCs w:val="28"/>
                          <w:u w:val="single"/>
                        </w:rPr>
                      </w:pPr>
                      <w:r>
                        <w:rPr>
                          <w:rFonts w:hint="eastAsia"/>
                          <w:sz w:val="28"/>
                          <w:szCs w:val="28"/>
                        </w:rPr>
                        <w:t>供应商（名称及公章）：</w:t>
                      </w:r>
                    </w:p>
                    <w:p w14:paraId="5F19A8AA">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14:paraId="59902D30">
      <w:pPr>
        <w:ind w:firstLine="420" w:firstLineChars="200"/>
        <w:jc w:val="left"/>
        <w:rPr>
          <w:rFonts w:asciiTheme="minorEastAsia" w:hAnsiTheme="minorEastAsia" w:cstheme="minorEastAsia"/>
        </w:rPr>
      </w:pPr>
    </w:p>
    <w:p w14:paraId="7DF0BA95">
      <w:pPr>
        <w:ind w:firstLine="420" w:firstLineChars="200"/>
        <w:jc w:val="left"/>
        <w:rPr>
          <w:rFonts w:asciiTheme="minorEastAsia" w:hAnsiTheme="minorEastAsia" w:cstheme="minorEastAsia"/>
        </w:rPr>
      </w:pPr>
    </w:p>
    <w:p w14:paraId="3FE865D1">
      <w:pPr>
        <w:ind w:firstLine="420" w:firstLineChars="200"/>
        <w:jc w:val="left"/>
        <w:rPr>
          <w:rFonts w:asciiTheme="minorEastAsia" w:hAnsiTheme="minorEastAsia" w:cstheme="minorEastAsia"/>
        </w:rPr>
      </w:pPr>
    </w:p>
    <w:p w14:paraId="7DC00501">
      <w:pPr>
        <w:ind w:firstLine="420" w:firstLineChars="200"/>
        <w:jc w:val="left"/>
        <w:rPr>
          <w:rFonts w:asciiTheme="minorEastAsia" w:hAnsiTheme="minorEastAsia" w:cstheme="minorEastAsia"/>
        </w:rPr>
      </w:pPr>
    </w:p>
    <w:p w14:paraId="7F660CC6">
      <w:pPr>
        <w:ind w:firstLine="420" w:firstLineChars="200"/>
        <w:jc w:val="left"/>
        <w:rPr>
          <w:rFonts w:asciiTheme="minorEastAsia" w:hAnsiTheme="minorEastAsia" w:cstheme="minorEastAsia"/>
        </w:rPr>
      </w:pPr>
    </w:p>
    <w:p w14:paraId="464941AA">
      <w:pPr>
        <w:ind w:firstLine="420" w:firstLineChars="200"/>
        <w:jc w:val="left"/>
        <w:rPr>
          <w:rFonts w:asciiTheme="minorEastAsia" w:hAnsiTheme="minorEastAsia" w:cstheme="minorEastAsia"/>
        </w:rPr>
      </w:pPr>
    </w:p>
    <w:p w14:paraId="6594A58A">
      <w:pPr>
        <w:ind w:firstLine="420" w:firstLineChars="200"/>
        <w:jc w:val="left"/>
        <w:rPr>
          <w:rFonts w:asciiTheme="minorEastAsia" w:hAnsiTheme="minorEastAsia" w:cstheme="minorEastAsia"/>
        </w:rPr>
      </w:pPr>
    </w:p>
    <w:p w14:paraId="76970D6A">
      <w:pPr>
        <w:ind w:firstLine="420" w:firstLineChars="200"/>
        <w:jc w:val="left"/>
        <w:rPr>
          <w:rFonts w:asciiTheme="minorEastAsia" w:hAnsiTheme="minorEastAsia" w:cstheme="minorEastAsia"/>
        </w:rPr>
      </w:pPr>
    </w:p>
    <w:p w14:paraId="00B6C136">
      <w:pPr>
        <w:ind w:firstLine="420" w:firstLineChars="200"/>
        <w:jc w:val="left"/>
        <w:rPr>
          <w:rFonts w:asciiTheme="minorEastAsia" w:hAnsiTheme="minorEastAsia" w:cstheme="minorEastAsia"/>
        </w:rPr>
      </w:pPr>
    </w:p>
    <w:p w14:paraId="2618ACAD">
      <w:pPr>
        <w:ind w:firstLine="420" w:firstLineChars="200"/>
        <w:jc w:val="left"/>
        <w:rPr>
          <w:rFonts w:asciiTheme="minorEastAsia" w:hAnsiTheme="minorEastAsia" w:cstheme="minorEastAsia"/>
        </w:rPr>
      </w:pPr>
    </w:p>
    <w:p w14:paraId="6B76F932">
      <w:pPr>
        <w:ind w:firstLine="420" w:firstLineChars="200"/>
        <w:jc w:val="left"/>
        <w:rPr>
          <w:rFonts w:asciiTheme="minorEastAsia" w:hAnsiTheme="minorEastAsia" w:cstheme="minorEastAsia"/>
        </w:rPr>
      </w:pPr>
    </w:p>
    <w:p w14:paraId="414E7AAB">
      <w:pPr>
        <w:ind w:firstLine="1004" w:firstLineChars="200"/>
        <w:jc w:val="left"/>
        <w:rPr>
          <w:rFonts w:asciiTheme="minorEastAsia" w:hAnsiTheme="minorEastAsia" w:cstheme="minorEastAsia"/>
          <w:b/>
          <w:sz w:val="50"/>
        </w:rPr>
      </w:pPr>
    </w:p>
    <w:p w14:paraId="39049374">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pgNumType w:fmt="decimal"/>
          <w:cols w:space="0" w:num="1"/>
          <w:docGrid w:type="lines" w:linePitch="325" w:charSpace="0"/>
        </w:sectPr>
      </w:pPr>
    </w:p>
    <w:p w14:paraId="12AC103C">
      <w:pPr>
        <w:pStyle w:val="5"/>
        <w:adjustRightInd w:val="0"/>
        <w:spacing w:line="416" w:lineRule="atLeast"/>
        <w:textAlignment w:val="baseline"/>
        <w:rPr>
          <w:rFonts w:ascii="宋体" w:hAnsi="宋体" w:cs="宋体"/>
        </w:rPr>
      </w:pPr>
      <w:bookmarkStart w:id="163" w:name="_Toc2630"/>
      <w:bookmarkStart w:id="164" w:name="_Toc1641"/>
      <w:bookmarkStart w:id="165" w:name="_Toc18523"/>
      <w:bookmarkStart w:id="166" w:name="_Toc8177"/>
      <w:bookmarkStart w:id="167" w:name="_Toc30485"/>
      <w:bookmarkStart w:id="168" w:name="_Toc11632"/>
      <w:bookmarkStart w:id="169" w:name="_Toc25846"/>
      <w:bookmarkStart w:id="170" w:name="_Toc3008"/>
      <w:bookmarkStart w:id="171" w:name="_Toc18633"/>
      <w:bookmarkStart w:id="172" w:name="_Toc14306"/>
      <w:bookmarkStart w:id="173" w:name="_Toc20374"/>
      <w:bookmarkStart w:id="174" w:name="_Toc10807"/>
      <w:bookmarkStart w:id="175" w:name="_Toc5814"/>
      <w:bookmarkStart w:id="176" w:name="_Toc32438"/>
      <w:bookmarkStart w:id="177" w:name="_Toc12531"/>
      <w:bookmarkStart w:id="178" w:name="_Toc24817"/>
      <w:bookmarkStart w:id="179" w:name="_Toc11896"/>
      <w:bookmarkStart w:id="180" w:name="_Toc8013"/>
      <w:bookmarkStart w:id="181" w:name="_Toc6022"/>
      <w:bookmarkStart w:id="182" w:name="_Toc30870"/>
      <w:bookmarkStart w:id="183" w:name="_Toc15467"/>
      <w:bookmarkStart w:id="184" w:name="_Toc30536"/>
      <w:r>
        <w:rPr>
          <w:rFonts w:hint="eastAsia" w:ascii="宋体" w:hAnsi="宋体" w:cs="宋体"/>
        </w:rPr>
        <w:t>附件二、中小企业申明</w:t>
      </w:r>
      <w:bookmarkEnd w:id="163"/>
      <w:bookmarkEnd w:id="164"/>
      <w:bookmarkEnd w:id="165"/>
      <w:bookmarkEnd w:id="166"/>
      <w:bookmarkEnd w:id="167"/>
      <w:bookmarkEnd w:id="168"/>
      <w:bookmarkEnd w:id="169"/>
      <w:bookmarkEnd w:id="170"/>
      <w:bookmarkEnd w:id="171"/>
      <w:bookmarkEnd w:id="172"/>
      <w:bookmarkEnd w:id="173"/>
    </w:p>
    <w:p w14:paraId="6EDF84A8">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根据《政府采购促进中小企业发展管理办法》（财库[2020]46号）的规定，由投标人自行声明并对真实性负责。如有虚假，将依法承担相应责任。</w:t>
      </w:r>
    </w:p>
    <w:p w14:paraId="71B6BF64">
      <w:pPr>
        <w:jc w:val="center"/>
        <w:rPr>
          <w:sz w:val="28"/>
          <w:szCs w:val="28"/>
        </w:rPr>
      </w:pPr>
      <w:r>
        <w:rPr>
          <w:rFonts w:hint="eastAsia"/>
          <w:sz w:val="28"/>
          <w:szCs w:val="28"/>
        </w:rPr>
        <w:t>中小企业声明函</w:t>
      </w:r>
    </w:p>
    <w:p w14:paraId="4A5EC5CF">
      <w:pPr>
        <w:pStyle w:val="6"/>
        <w:spacing w:before="55" w:line="360" w:lineRule="auto"/>
        <w:ind w:right="415" w:firstLine="64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采购活动，服务全部由符合政策要求的中小企业承接。相关企业（含联合体中的中小企业、签订分包意向协议的中小企业）的具体情况如下：</w:t>
      </w:r>
    </w:p>
    <w:p w14:paraId="2476AF9B">
      <w:pPr>
        <w:pStyle w:val="71"/>
        <w:numPr>
          <w:ilvl w:val="0"/>
          <w:numId w:val="16"/>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14:paraId="79858EF9">
      <w:pPr>
        <w:pStyle w:val="71"/>
        <w:numPr>
          <w:ilvl w:val="0"/>
          <w:numId w:val="16"/>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14:paraId="0171BAF6">
      <w:pPr>
        <w:pStyle w:val="6"/>
        <w:spacing w:line="360" w:lineRule="auto"/>
        <w:ind w:left="860"/>
        <w:rPr>
          <w:rFonts w:ascii="宋体" w:hAnsi="宋体"/>
          <w:spacing w:val="6"/>
          <w:sz w:val="24"/>
        </w:rPr>
      </w:pPr>
      <w:r>
        <w:rPr>
          <w:rFonts w:hint="eastAsia" w:ascii="宋体" w:hAnsi="宋体"/>
          <w:spacing w:val="6"/>
          <w:sz w:val="24"/>
        </w:rPr>
        <w:t>……</w:t>
      </w:r>
    </w:p>
    <w:p w14:paraId="2DF9C767">
      <w:pPr>
        <w:pStyle w:val="6"/>
        <w:spacing w:before="105" w:line="360" w:lineRule="auto"/>
        <w:ind w:right="417" w:firstLine="645"/>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14:paraId="75CB21C1">
      <w:pPr>
        <w:pStyle w:val="6"/>
        <w:spacing w:line="360" w:lineRule="auto"/>
        <w:ind w:right="372" w:firstLine="645"/>
        <w:rPr>
          <w:rFonts w:ascii="宋体" w:hAnsi="宋体"/>
          <w:spacing w:val="6"/>
          <w:sz w:val="24"/>
        </w:rPr>
      </w:pPr>
      <w:r>
        <w:rPr>
          <w:rFonts w:hint="eastAsia" w:ascii="宋体" w:hAnsi="宋体"/>
          <w:spacing w:val="6"/>
          <w:sz w:val="24"/>
        </w:rPr>
        <w:t>本企业对上述声明内容的真实性负责。如有虚假，将依法承担相应责任。</w:t>
      </w:r>
    </w:p>
    <w:p w14:paraId="52E9B4DC">
      <w:pPr>
        <w:pStyle w:val="6"/>
        <w:spacing w:line="304" w:lineRule="auto"/>
        <w:ind w:right="375"/>
      </w:pPr>
      <w:r>
        <w:rPr>
          <w:rFonts w:hint="eastAsia"/>
          <w:b/>
          <w:bCs/>
          <w:sz w:val="28"/>
          <w:szCs w:val="28"/>
        </w:rPr>
        <w:t>备注：本项目所属行业为：租赁和商务服务业</w:t>
      </w:r>
    </w:p>
    <w:p w14:paraId="002F6E3A">
      <w:pPr>
        <w:spacing w:line="360" w:lineRule="auto"/>
        <w:jc w:val="left"/>
        <w:rPr>
          <w:rFonts w:ascii="宋体" w:hAnsi="宋体"/>
          <w:spacing w:val="6"/>
          <w:sz w:val="24"/>
        </w:rPr>
      </w:pPr>
      <w:r>
        <w:rPr>
          <w:rFonts w:hint="eastAsia" w:ascii="宋体" w:hAnsi="宋体"/>
          <w:spacing w:val="6"/>
          <w:sz w:val="24"/>
        </w:rPr>
        <w:t>企业名称（盖章）：</w:t>
      </w:r>
    </w:p>
    <w:p w14:paraId="586CD48C">
      <w:pPr>
        <w:spacing w:line="588" w:lineRule="exact"/>
        <w:rPr>
          <w:rFonts w:ascii="宋体" w:hAnsi="宋体"/>
          <w:spacing w:val="6"/>
          <w:sz w:val="24"/>
          <w:szCs w:val="24"/>
        </w:rPr>
        <w:sectPr>
          <w:footerReference r:id="rId21" w:type="default"/>
          <w:pgSz w:w="11906" w:h="16838"/>
          <w:pgMar w:top="1440" w:right="1803" w:bottom="1440" w:left="1803" w:header="851" w:footer="992" w:gutter="0"/>
          <w:pgNumType w:fmt="decimal"/>
          <w:cols w:space="720" w:num="1"/>
          <w:docGrid w:type="lines" w:linePitch="319" w:charSpace="0"/>
        </w:sectPr>
      </w:pPr>
      <w:r>
        <w:rPr>
          <w:rFonts w:hint="eastAsia" w:ascii="宋体" w:hAnsi="宋体"/>
          <w:spacing w:val="6"/>
          <w:sz w:val="24"/>
        </w:rPr>
        <w:t>日期</w:t>
      </w:r>
      <w:r>
        <w:rPr>
          <w:rFonts w:hint="eastAsia" w:ascii="宋体" w:hAnsi="宋体" w:eastAsia="宋体" w:cs="Times New Roman"/>
          <w:color w:val="000000"/>
          <w:spacing w:val="6"/>
          <w:sz w:val="24"/>
        </w:rPr>
        <w:t>：</w:t>
      </w:r>
    </w:p>
    <w:p w14:paraId="6D6906BE">
      <w:pPr>
        <w:pStyle w:val="5"/>
      </w:pPr>
      <w:bookmarkStart w:id="185" w:name="_Toc7588"/>
      <w:r>
        <w:rPr>
          <w:rFonts w:hint="eastAsia"/>
        </w:rPr>
        <w:t>附件三、残疾人福利性单位声明</w:t>
      </w:r>
      <w:bookmarkEnd w:id="174"/>
      <w:bookmarkEnd w:id="175"/>
      <w:bookmarkEnd w:id="176"/>
      <w:bookmarkEnd w:id="177"/>
      <w:bookmarkEnd w:id="178"/>
      <w:bookmarkEnd w:id="179"/>
      <w:bookmarkEnd w:id="180"/>
      <w:bookmarkEnd w:id="181"/>
      <w:bookmarkEnd w:id="185"/>
    </w:p>
    <w:p w14:paraId="42788EE1">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14:paraId="1BE46FBE"/>
    <w:p w14:paraId="1D27A8BF">
      <w:pPr>
        <w:spacing w:line="588" w:lineRule="exact"/>
        <w:jc w:val="center"/>
        <w:rPr>
          <w:rFonts w:asciiTheme="minorEastAsia" w:hAnsiTheme="minorEastAsia" w:cstheme="minorEastAsia"/>
          <w:b/>
          <w:spacing w:val="6"/>
          <w:sz w:val="24"/>
          <w:szCs w:val="24"/>
        </w:rPr>
      </w:pPr>
      <w:bookmarkStart w:id="186" w:name="OLE_LINK14"/>
      <w:r>
        <w:rPr>
          <w:rFonts w:hint="eastAsia" w:asciiTheme="minorEastAsia" w:hAnsiTheme="minorEastAsia" w:cstheme="minorEastAsia"/>
          <w:b/>
          <w:spacing w:val="6"/>
          <w:sz w:val="24"/>
          <w:szCs w:val="24"/>
        </w:rPr>
        <w:t>残疾人福利性单位声明函</w:t>
      </w:r>
      <w:bookmarkEnd w:id="186"/>
    </w:p>
    <w:p w14:paraId="31E2619F">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4E1F93">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14:paraId="256AE223">
      <w:pPr>
        <w:spacing w:line="360" w:lineRule="auto"/>
        <w:ind w:firstLine="444" w:firstLineChars="200"/>
        <w:rPr>
          <w:rFonts w:ascii="宋体" w:hAnsi="宋体"/>
          <w:spacing w:val="6"/>
          <w:szCs w:val="21"/>
        </w:rPr>
      </w:pPr>
    </w:p>
    <w:tbl>
      <w:tblPr>
        <w:tblStyle w:val="29"/>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14:paraId="3B0F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14:paraId="073047BE">
            <w:pPr>
              <w:spacing w:line="360" w:lineRule="auto"/>
              <w:jc w:val="center"/>
              <w:rPr>
                <w:rFonts w:ascii="宋体" w:hAnsi="宋体"/>
                <w:spacing w:val="6"/>
                <w:szCs w:val="21"/>
              </w:rPr>
            </w:pPr>
            <w:r>
              <w:rPr>
                <w:rFonts w:hint="eastAsia" w:ascii="宋体" w:hAnsi="宋体"/>
                <w:spacing w:val="6"/>
                <w:szCs w:val="21"/>
              </w:rPr>
              <w:t>序号</w:t>
            </w:r>
          </w:p>
        </w:tc>
        <w:tc>
          <w:tcPr>
            <w:tcW w:w="3058" w:type="dxa"/>
            <w:vAlign w:val="center"/>
          </w:tcPr>
          <w:p w14:paraId="38D39322">
            <w:pPr>
              <w:spacing w:line="360" w:lineRule="auto"/>
              <w:jc w:val="center"/>
              <w:rPr>
                <w:rFonts w:ascii="宋体" w:hAnsi="宋体"/>
                <w:spacing w:val="6"/>
                <w:szCs w:val="21"/>
              </w:rPr>
            </w:pPr>
            <w:r>
              <w:rPr>
                <w:rFonts w:hint="eastAsia" w:ascii="宋体" w:hAnsi="宋体"/>
                <w:spacing w:val="6"/>
                <w:szCs w:val="21"/>
              </w:rPr>
              <w:t>产品类型</w:t>
            </w:r>
          </w:p>
        </w:tc>
        <w:tc>
          <w:tcPr>
            <w:tcW w:w="1258" w:type="dxa"/>
            <w:vAlign w:val="center"/>
          </w:tcPr>
          <w:p w14:paraId="37C78533">
            <w:pPr>
              <w:spacing w:line="360" w:lineRule="auto"/>
              <w:jc w:val="center"/>
              <w:rPr>
                <w:rFonts w:ascii="宋体" w:hAnsi="宋体"/>
                <w:spacing w:val="6"/>
                <w:szCs w:val="21"/>
              </w:rPr>
            </w:pPr>
            <w:r>
              <w:rPr>
                <w:rFonts w:hint="eastAsia" w:ascii="宋体" w:hAnsi="宋体"/>
                <w:spacing w:val="6"/>
                <w:szCs w:val="21"/>
              </w:rPr>
              <w:t>产品名称</w:t>
            </w:r>
          </w:p>
        </w:tc>
        <w:tc>
          <w:tcPr>
            <w:tcW w:w="1439" w:type="dxa"/>
            <w:vAlign w:val="center"/>
          </w:tcPr>
          <w:p w14:paraId="697ABE72">
            <w:pPr>
              <w:spacing w:line="360" w:lineRule="auto"/>
              <w:jc w:val="center"/>
              <w:rPr>
                <w:rFonts w:ascii="宋体" w:hAnsi="宋体"/>
                <w:spacing w:val="6"/>
                <w:szCs w:val="21"/>
              </w:rPr>
            </w:pPr>
            <w:r>
              <w:rPr>
                <w:rFonts w:hint="eastAsia" w:ascii="宋体" w:hAnsi="宋体"/>
                <w:spacing w:val="6"/>
                <w:szCs w:val="21"/>
              </w:rPr>
              <w:t>制造商</w:t>
            </w:r>
          </w:p>
        </w:tc>
        <w:tc>
          <w:tcPr>
            <w:tcW w:w="1259" w:type="dxa"/>
            <w:vAlign w:val="center"/>
          </w:tcPr>
          <w:p w14:paraId="4FEA1C8D">
            <w:pPr>
              <w:spacing w:line="360" w:lineRule="auto"/>
              <w:jc w:val="center"/>
              <w:rPr>
                <w:rFonts w:ascii="宋体" w:hAnsi="宋体"/>
                <w:spacing w:val="6"/>
                <w:szCs w:val="21"/>
              </w:rPr>
            </w:pPr>
            <w:r>
              <w:rPr>
                <w:rFonts w:hint="eastAsia" w:ascii="宋体" w:hAnsi="宋体"/>
                <w:spacing w:val="6"/>
                <w:szCs w:val="21"/>
              </w:rPr>
              <w:t>金额（元）</w:t>
            </w:r>
          </w:p>
        </w:tc>
        <w:tc>
          <w:tcPr>
            <w:tcW w:w="1259" w:type="dxa"/>
            <w:vAlign w:val="center"/>
          </w:tcPr>
          <w:p w14:paraId="204F4887">
            <w:pPr>
              <w:spacing w:line="360" w:lineRule="auto"/>
              <w:jc w:val="center"/>
              <w:rPr>
                <w:rFonts w:ascii="宋体" w:hAnsi="宋体"/>
                <w:spacing w:val="6"/>
                <w:szCs w:val="21"/>
              </w:rPr>
            </w:pPr>
            <w:r>
              <w:rPr>
                <w:rFonts w:hint="eastAsia" w:ascii="宋体" w:hAnsi="宋体"/>
                <w:spacing w:val="6"/>
                <w:szCs w:val="21"/>
              </w:rPr>
              <w:t>所占比例</w:t>
            </w:r>
          </w:p>
        </w:tc>
      </w:tr>
      <w:tr w14:paraId="6A1B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14:paraId="3FA24CAD">
            <w:pPr>
              <w:spacing w:line="360" w:lineRule="auto"/>
              <w:jc w:val="center"/>
              <w:rPr>
                <w:rFonts w:ascii="宋体" w:hAnsi="宋体"/>
                <w:spacing w:val="6"/>
                <w:szCs w:val="21"/>
              </w:rPr>
            </w:pPr>
            <w:r>
              <w:rPr>
                <w:rFonts w:hint="eastAsia" w:ascii="宋体" w:hAnsi="宋体"/>
                <w:spacing w:val="6"/>
                <w:szCs w:val="21"/>
              </w:rPr>
              <w:t>1</w:t>
            </w:r>
          </w:p>
        </w:tc>
        <w:tc>
          <w:tcPr>
            <w:tcW w:w="3058" w:type="dxa"/>
            <w:vAlign w:val="center"/>
          </w:tcPr>
          <w:p w14:paraId="170C0313">
            <w:pPr>
              <w:spacing w:line="360" w:lineRule="auto"/>
              <w:rPr>
                <w:rFonts w:ascii="宋体" w:hAnsi="宋体"/>
                <w:spacing w:val="6"/>
                <w:szCs w:val="21"/>
              </w:rPr>
            </w:pPr>
            <w:r>
              <w:rPr>
                <w:rFonts w:hint="eastAsia" w:ascii="宋体" w:hAnsi="宋体"/>
                <w:spacing w:val="6"/>
                <w:szCs w:val="21"/>
              </w:rPr>
              <w:t>本企业制造的货物</w:t>
            </w:r>
          </w:p>
        </w:tc>
        <w:tc>
          <w:tcPr>
            <w:tcW w:w="1258" w:type="dxa"/>
            <w:vAlign w:val="center"/>
          </w:tcPr>
          <w:p w14:paraId="372C325A">
            <w:pPr>
              <w:spacing w:line="360" w:lineRule="auto"/>
              <w:jc w:val="center"/>
              <w:rPr>
                <w:rFonts w:ascii="宋体" w:hAnsi="宋体"/>
                <w:spacing w:val="6"/>
                <w:szCs w:val="21"/>
              </w:rPr>
            </w:pPr>
          </w:p>
        </w:tc>
        <w:tc>
          <w:tcPr>
            <w:tcW w:w="1439" w:type="dxa"/>
            <w:vAlign w:val="center"/>
          </w:tcPr>
          <w:p w14:paraId="1DD10654">
            <w:pPr>
              <w:spacing w:line="360" w:lineRule="auto"/>
              <w:jc w:val="center"/>
              <w:rPr>
                <w:rFonts w:ascii="宋体" w:hAnsi="宋体"/>
                <w:spacing w:val="6"/>
                <w:szCs w:val="21"/>
              </w:rPr>
            </w:pPr>
          </w:p>
        </w:tc>
        <w:tc>
          <w:tcPr>
            <w:tcW w:w="1259" w:type="dxa"/>
            <w:vAlign w:val="center"/>
          </w:tcPr>
          <w:p w14:paraId="7602CA29">
            <w:pPr>
              <w:spacing w:line="360" w:lineRule="auto"/>
              <w:jc w:val="center"/>
              <w:rPr>
                <w:rFonts w:ascii="宋体" w:hAnsi="宋体"/>
                <w:spacing w:val="6"/>
                <w:szCs w:val="21"/>
              </w:rPr>
            </w:pPr>
          </w:p>
        </w:tc>
        <w:tc>
          <w:tcPr>
            <w:tcW w:w="1259" w:type="dxa"/>
            <w:vAlign w:val="center"/>
          </w:tcPr>
          <w:p w14:paraId="591E4B2F">
            <w:pPr>
              <w:spacing w:line="360" w:lineRule="auto"/>
              <w:jc w:val="center"/>
              <w:rPr>
                <w:rFonts w:ascii="宋体" w:hAnsi="宋体"/>
                <w:spacing w:val="6"/>
                <w:szCs w:val="21"/>
              </w:rPr>
            </w:pPr>
          </w:p>
        </w:tc>
      </w:tr>
      <w:tr w14:paraId="6AE7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14:paraId="05AD472B">
            <w:pPr>
              <w:spacing w:line="360" w:lineRule="auto"/>
              <w:jc w:val="center"/>
              <w:rPr>
                <w:rFonts w:ascii="宋体" w:hAnsi="宋体"/>
                <w:spacing w:val="6"/>
                <w:szCs w:val="21"/>
              </w:rPr>
            </w:pPr>
            <w:r>
              <w:rPr>
                <w:rFonts w:hint="eastAsia" w:ascii="宋体" w:hAnsi="宋体"/>
                <w:spacing w:val="6"/>
                <w:szCs w:val="21"/>
              </w:rPr>
              <w:t>2</w:t>
            </w:r>
          </w:p>
        </w:tc>
        <w:tc>
          <w:tcPr>
            <w:tcW w:w="3058" w:type="dxa"/>
            <w:vAlign w:val="center"/>
          </w:tcPr>
          <w:p w14:paraId="571110C5">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58" w:type="dxa"/>
            <w:vAlign w:val="center"/>
          </w:tcPr>
          <w:p w14:paraId="0FB53036">
            <w:pPr>
              <w:spacing w:line="360" w:lineRule="auto"/>
              <w:jc w:val="center"/>
              <w:rPr>
                <w:rFonts w:ascii="宋体" w:hAnsi="宋体"/>
                <w:spacing w:val="6"/>
                <w:szCs w:val="21"/>
              </w:rPr>
            </w:pPr>
          </w:p>
        </w:tc>
        <w:tc>
          <w:tcPr>
            <w:tcW w:w="1439" w:type="dxa"/>
            <w:vAlign w:val="center"/>
          </w:tcPr>
          <w:p w14:paraId="711314A0">
            <w:pPr>
              <w:spacing w:line="360" w:lineRule="auto"/>
              <w:jc w:val="center"/>
              <w:rPr>
                <w:rFonts w:ascii="宋体" w:hAnsi="宋体"/>
                <w:spacing w:val="6"/>
                <w:szCs w:val="21"/>
              </w:rPr>
            </w:pPr>
          </w:p>
        </w:tc>
        <w:tc>
          <w:tcPr>
            <w:tcW w:w="1259" w:type="dxa"/>
            <w:vAlign w:val="center"/>
          </w:tcPr>
          <w:p w14:paraId="3A5E49EC">
            <w:pPr>
              <w:spacing w:line="360" w:lineRule="auto"/>
              <w:jc w:val="center"/>
              <w:rPr>
                <w:rFonts w:ascii="宋体" w:hAnsi="宋体"/>
                <w:spacing w:val="6"/>
                <w:szCs w:val="21"/>
              </w:rPr>
            </w:pPr>
          </w:p>
        </w:tc>
        <w:tc>
          <w:tcPr>
            <w:tcW w:w="1259" w:type="dxa"/>
            <w:vAlign w:val="center"/>
          </w:tcPr>
          <w:p w14:paraId="1551C68C">
            <w:pPr>
              <w:spacing w:line="360" w:lineRule="auto"/>
              <w:jc w:val="center"/>
              <w:rPr>
                <w:rFonts w:ascii="宋体" w:hAnsi="宋体"/>
                <w:spacing w:val="6"/>
                <w:szCs w:val="21"/>
              </w:rPr>
            </w:pPr>
          </w:p>
        </w:tc>
      </w:tr>
    </w:tbl>
    <w:p w14:paraId="17B051AF"/>
    <w:p w14:paraId="666FAFA6">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14:paraId="07B248FE">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14:paraId="11E03574">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单位名称（盖章）：</w:t>
      </w:r>
    </w:p>
    <w:p w14:paraId="5FB3AF31">
      <w:pPr>
        <w:tabs>
          <w:tab w:val="left" w:pos="4860"/>
        </w:tabs>
        <w:spacing w:line="588" w:lineRule="exact"/>
        <w:ind w:right="1560" w:firstLine="504" w:firstLineChars="200"/>
        <w:jc w:val="left"/>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日  期：</w:t>
      </w:r>
    </w:p>
    <w:p w14:paraId="776EC391">
      <w:pPr>
        <w:pStyle w:val="5"/>
        <w:rPr>
          <w:rFonts w:ascii="宋体" w:hAnsi="宋体" w:cs="宋体"/>
        </w:rPr>
      </w:pPr>
      <w:bookmarkStart w:id="187" w:name="_Toc3053"/>
      <w:bookmarkStart w:id="188" w:name="_Toc17055"/>
      <w:bookmarkStart w:id="189" w:name="_Toc16717"/>
      <w:bookmarkStart w:id="190" w:name="_Toc26926"/>
      <w:r>
        <w:rPr>
          <w:rFonts w:hint="eastAsia"/>
        </w:rPr>
        <w:t>附件四、监狱企业证明文件</w:t>
      </w:r>
      <w:bookmarkEnd w:id="182"/>
      <w:bookmarkEnd w:id="183"/>
      <w:bookmarkEnd w:id="184"/>
      <w:bookmarkEnd w:id="187"/>
      <w:bookmarkEnd w:id="188"/>
      <w:bookmarkEnd w:id="189"/>
      <w:bookmarkEnd w:id="190"/>
    </w:p>
    <w:p w14:paraId="2E7F1169">
      <w:pPr>
        <w:rPr>
          <w:rFonts w:ascii="宋体" w:hAnsi="宋体" w:cs="宋体"/>
        </w:rPr>
      </w:pPr>
    </w:p>
    <w:p w14:paraId="33C6970B">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699D72F7">
      <w:pPr>
        <w:pStyle w:val="5"/>
        <w:adjustRightInd w:val="0"/>
        <w:spacing w:line="416" w:lineRule="atLeast"/>
        <w:textAlignment w:val="baseline"/>
        <w:rPr>
          <w:rFonts w:ascii="宋体" w:hAnsi="宋体" w:cs="宋体"/>
        </w:rPr>
      </w:pPr>
      <w:bookmarkStart w:id="191" w:name="_Toc563"/>
      <w:bookmarkStart w:id="192" w:name="_Toc2126"/>
      <w:bookmarkStart w:id="193" w:name="_Toc11969"/>
      <w:bookmarkStart w:id="194" w:name="_Toc13122"/>
      <w:bookmarkStart w:id="195" w:name="_Toc23449"/>
      <w:bookmarkStart w:id="196" w:name="_Toc6319"/>
      <w:bookmarkStart w:id="197" w:name="_Toc5480"/>
      <w:bookmarkStart w:id="198" w:name="_Toc13303"/>
      <w:r>
        <w:rPr>
          <w:rFonts w:hint="eastAsia" w:ascii="宋体" w:hAnsi="宋体" w:cs="宋体"/>
        </w:rPr>
        <w:t>附件五、“节能产品”，“环境标志产品”证明材料</w:t>
      </w:r>
      <w:bookmarkEnd w:id="191"/>
      <w:bookmarkEnd w:id="192"/>
      <w:bookmarkEnd w:id="193"/>
      <w:bookmarkEnd w:id="194"/>
      <w:bookmarkEnd w:id="195"/>
      <w:bookmarkEnd w:id="196"/>
      <w:bookmarkEnd w:id="197"/>
      <w:bookmarkEnd w:id="198"/>
    </w:p>
    <w:p w14:paraId="6AAF00E0">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14:paraId="4B8657DE">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14:paraId="124C6316">
      <w:pPr>
        <w:widowControl/>
        <w:numPr>
          <w:ilvl w:val="0"/>
          <w:numId w:val="17"/>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14:paraId="14717F89">
      <w:pPr>
        <w:widowControl/>
        <w:numPr>
          <w:ilvl w:val="0"/>
          <w:numId w:val="17"/>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14:paraId="178A7673">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14:paraId="18D3AB7E">
      <w:pPr>
        <w:snapToGrid w:val="0"/>
        <w:spacing w:line="360" w:lineRule="auto"/>
        <w:ind w:firstLine="480" w:firstLineChars="200"/>
        <w:rPr>
          <w:rFonts w:ascii="宋体" w:hAnsi="宋体" w:cs="宋体"/>
          <w:sz w:val="24"/>
          <w:szCs w:val="24"/>
        </w:rPr>
      </w:pPr>
    </w:p>
    <w:p w14:paraId="39785A0D">
      <w:pPr>
        <w:spacing w:line="588" w:lineRule="exact"/>
        <w:ind w:firstLine="504" w:firstLineChars="200"/>
        <w:rPr>
          <w:rFonts w:ascii="宋体" w:hAnsi="宋体" w:cs="宋体"/>
          <w:spacing w:val="6"/>
          <w:sz w:val="24"/>
          <w:szCs w:val="24"/>
        </w:rPr>
      </w:pPr>
    </w:p>
    <w:p w14:paraId="5EF0C77D">
      <w:pPr>
        <w:pStyle w:val="5"/>
        <w:adjustRightInd w:val="0"/>
        <w:spacing w:line="416" w:lineRule="atLeast"/>
        <w:textAlignment w:val="baseline"/>
        <w:rPr>
          <w:rFonts w:ascii="宋体" w:hAnsi="宋体" w:cs="宋体"/>
        </w:rPr>
        <w:sectPr>
          <w:footerReference r:id="rId22" w:type="default"/>
          <w:pgSz w:w="11906" w:h="16838"/>
          <w:pgMar w:top="1440" w:right="1803" w:bottom="1440" w:left="1803" w:header="851" w:footer="992" w:gutter="0"/>
          <w:pgNumType w:fmt="decimal"/>
          <w:cols w:space="720" w:num="1"/>
          <w:docGrid w:type="lines" w:linePitch="319" w:charSpace="0"/>
        </w:sectPr>
      </w:pPr>
    </w:p>
    <w:p w14:paraId="0DC5E51B">
      <w:pPr>
        <w:pStyle w:val="5"/>
      </w:pPr>
      <w:bookmarkStart w:id="199" w:name="_Toc4414"/>
      <w:bookmarkStart w:id="200" w:name="_Toc23799"/>
      <w:bookmarkStart w:id="201" w:name="_Toc26351"/>
      <w:bookmarkStart w:id="202" w:name="_Toc5206"/>
      <w:bookmarkStart w:id="203" w:name="_Toc23053"/>
      <w:bookmarkStart w:id="204" w:name="_Toc1188"/>
      <w:r>
        <w:rPr>
          <w:rFonts w:hint="eastAsia"/>
        </w:rPr>
        <w:t>附件六、质疑函范本</w:t>
      </w:r>
      <w:bookmarkEnd w:id="199"/>
      <w:bookmarkEnd w:id="200"/>
      <w:bookmarkEnd w:id="201"/>
      <w:bookmarkEnd w:id="202"/>
      <w:bookmarkEnd w:id="203"/>
      <w:bookmarkEnd w:id="204"/>
    </w:p>
    <w:p w14:paraId="0CC6237A">
      <w:pPr>
        <w:widowControl/>
        <w:spacing w:line="360" w:lineRule="auto"/>
        <w:ind w:left="420" w:leftChars="200"/>
        <w:rPr>
          <w:rFonts w:ascii="宋体" w:hAnsi="宋体" w:cs="宋体"/>
          <w:sz w:val="24"/>
          <w:szCs w:val="24"/>
        </w:rPr>
      </w:pPr>
      <w:r>
        <w:rPr>
          <w:rFonts w:hint="eastAsia" w:ascii="宋体" w:hAnsi="宋体" w:cs="宋体"/>
          <w:sz w:val="24"/>
          <w:szCs w:val="24"/>
        </w:rPr>
        <w:t>一、质疑投标人基本信息</w:t>
      </w:r>
    </w:p>
    <w:p w14:paraId="3E224FF7">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质疑投标人：                                        </w:t>
      </w:r>
    </w:p>
    <w:p w14:paraId="6E1A9F3F">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14:paraId="14743994">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14:paraId="2A6C4751">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14:paraId="7DCD2562">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14:paraId="6B39414A">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14:paraId="4A46E19F">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14:paraId="4EC342AA">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14:paraId="69E72A54">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14:paraId="0E7B31BC">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14:paraId="573408EF">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14:paraId="35416A17">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14:paraId="571AB841">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14:paraId="4FE75CEB">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14:paraId="7252F7FD">
      <w:pPr>
        <w:widowControl/>
        <w:spacing w:line="360" w:lineRule="auto"/>
        <w:ind w:left="420" w:leftChars="200"/>
        <w:rPr>
          <w:rFonts w:ascii="宋体" w:hAnsi="宋体" w:cs="宋体"/>
          <w:sz w:val="24"/>
          <w:szCs w:val="24"/>
        </w:rPr>
      </w:pPr>
    </w:p>
    <w:p w14:paraId="629603D0">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14:paraId="432AA3C5">
      <w:pPr>
        <w:widowControl/>
        <w:spacing w:line="360" w:lineRule="auto"/>
        <w:ind w:left="420" w:leftChars="200"/>
        <w:rPr>
          <w:rFonts w:ascii="宋体" w:hAnsi="宋体" w:cs="宋体"/>
          <w:sz w:val="24"/>
          <w:szCs w:val="24"/>
        </w:rPr>
      </w:pPr>
    </w:p>
    <w:p w14:paraId="08215357">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14:paraId="430ECA46">
      <w:pPr>
        <w:widowControl/>
        <w:spacing w:line="360" w:lineRule="auto"/>
        <w:ind w:left="420" w:leftChars="200"/>
        <w:rPr>
          <w:rFonts w:ascii="宋体" w:hAnsi="宋体" w:cs="宋体"/>
          <w:sz w:val="24"/>
          <w:szCs w:val="24"/>
        </w:rPr>
      </w:pPr>
      <w:r>
        <w:rPr>
          <w:rFonts w:hint="eastAsia" w:ascii="宋体" w:hAnsi="宋体" w:cs="宋体"/>
          <w:sz w:val="24"/>
          <w:szCs w:val="24"/>
        </w:rPr>
        <w:t>……</w:t>
      </w:r>
    </w:p>
    <w:p w14:paraId="63B2DBF9">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14:paraId="1C66CE6E">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14:paraId="7C11E3F2">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14:paraId="08EAE28B">
      <w:pPr>
        <w:widowControl/>
        <w:spacing w:line="360" w:lineRule="auto"/>
        <w:ind w:left="420" w:leftChars="200"/>
      </w:pPr>
      <w:r>
        <w:rPr>
          <w:rFonts w:hint="eastAsia" w:ascii="宋体" w:hAnsi="宋体" w:cs="宋体"/>
          <w:sz w:val="24"/>
          <w:szCs w:val="24"/>
        </w:rPr>
        <w:t xml:space="preserve">日期：    </w:t>
      </w:r>
    </w:p>
    <w:p w14:paraId="5BA59315">
      <w:pPr>
        <w:widowControl/>
        <w:spacing w:line="360" w:lineRule="auto"/>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14:paraId="384CCDEB">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14:paraId="46C01C3D">
      <w:pPr>
        <w:widowControl/>
        <w:spacing w:line="360" w:lineRule="auto"/>
        <w:ind w:left="420" w:leftChars="200"/>
        <w:rPr>
          <w:rFonts w:ascii="宋体" w:hAnsi="宋体" w:cs="宋体"/>
          <w:sz w:val="24"/>
          <w:szCs w:val="24"/>
        </w:rPr>
      </w:pPr>
      <w:r>
        <w:rPr>
          <w:rFonts w:hint="eastAsia" w:ascii="宋体" w:hAnsi="宋体" w:cs="宋体"/>
          <w:sz w:val="24"/>
          <w:szCs w:val="24"/>
        </w:rPr>
        <w:t>1.投标人提出质疑时，应提交质疑函和必要的证明材料。</w:t>
      </w:r>
    </w:p>
    <w:p w14:paraId="078930AC">
      <w:pPr>
        <w:widowControl/>
        <w:spacing w:line="360" w:lineRule="auto"/>
        <w:ind w:left="420" w:leftChars="200"/>
        <w:rPr>
          <w:rFonts w:ascii="宋体" w:hAnsi="宋体" w:cs="宋体"/>
          <w:sz w:val="24"/>
          <w:szCs w:val="24"/>
        </w:rPr>
      </w:pPr>
      <w:r>
        <w:rPr>
          <w:rFonts w:hint="eastAsia" w:ascii="宋体" w:hAnsi="宋体" w:cs="宋体"/>
          <w:sz w:val="24"/>
          <w:szCs w:val="24"/>
        </w:rPr>
        <w:t>2.质疑投标人若委托代理人进行质疑的，质疑函应按要求列明“授权代表”的有关内容，并在附件中提交由质疑供应商签署的授权委托书。授权委托书应载明代理人的姓名或者名称、代理事项、具体权限、期限和相关事项。</w:t>
      </w:r>
    </w:p>
    <w:p w14:paraId="13E3D794">
      <w:pPr>
        <w:widowControl/>
        <w:spacing w:line="360" w:lineRule="auto"/>
        <w:ind w:left="420" w:leftChars="200"/>
        <w:rPr>
          <w:rFonts w:ascii="宋体" w:hAnsi="宋体" w:cs="宋体"/>
          <w:sz w:val="24"/>
          <w:szCs w:val="24"/>
        </w:rPr>
      </w:pPr>
      <w:r>
        <w:rPr>
          <w:rFonts w:hint="eastAsia" w:ascii="宋体" w:hAnsi="宋体" w:cs="宋体"/>
          <w:sz w:val="24"/>
          <w:szCs w:val="24"/>
        </w:rPr>
        <w:t>3.质疑投标人若对项目的某一分包进行质疑，质疑函中应列明具体分包号。</w:t>
      </w:r>
    </w:p>
    <w:p w14:paraId="339D5AA5">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14:paraId="5A8F39F6">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14:paraId="740CC872">
      <w:pPr>
        <w:spacing w:line="360" w:lineRule="auto"/>
        <w:ind w:firstLine="480" w:firstLineChars="200"/>
        <w:jc w:val="left"/>
        <w:rPr>
          <w:rFonts w:ascii="宋体" w:hAnsi="宋体" w:cs="宋体"/>
          <w:sz w:val="24"/>
          <w:szCs w:val="24"/>
        </w:rPr>
      </w:pPr>
      <w:r>
        <w:rPr>
          <w:rFonts w:hint="eastAsia" w:ascii="宋体" w:hAnsi="宋体" w:cs="宋体"/>
          <w:sz w:val="24"/>
          <w:szCs w:val="24"/>
        </w:rPr>
        <w:t>6.质疑投标人为自然人的，质疑函应由本人签字；质疑供应商为法人或者其他组织的，质疑函应由法定代表人、主要负责人，或者其授权代表签字或者盖章，并加盖公章。</w:t>
      </w:r>
    </w:p>
    <w:p w14:paraId="5B445AA3">
      <w:pPr>
        <w:jc w:val="left"/>
        <w:rPr>
          <w:rFonts w:hint="eastAsia" w:ascii="华文隶书" w:hAnsi="华文隶书" w:eastAsia="华文隶书" w:cs="华文隶书"/>
          <w:b/>
          <w:spacing w:val="48"/>
          <w:sz w:val="72"/>
          <w:szCs w:val="72"/>
        </w:rPr>
        <w:sectPr>
          <w:headerReference r:id="rId23" w:type="default"/>
          <w:footerReference r:id="rId24" w:type="default"/>
          <w:pgSz w:w="11906" w:h="16838"/>
          <w:pgMar w:top="1440" w:right="1304" w:bottom="1440" w:left="1304" w:header="851" w:footer="992" w:gutter="0"/>
          <w:pgNumType w:fmt="decimal"/>
          <w:cols w:space="0" w:num="1"/>
          <w:docGrid w:type="lines" w:linePitch="325" w:charSpace="0"/>
        </w:sectPr>
      </w:pPr>
    </w:p>
    <w:p w14:paraId="66BCF9BD">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14:paraId="033A1C75">
      <w:pPr>
        <w:jc w:val="left"/>
        <w:rPr>
          <w:rFonts w:ascii="华文隶书" w:hAnsi="华文隶书" w:eastAsia="华文隶书" w:cs="华文隶书"/>
          <w:sz w:val="72"/>
          <w:szCs w:val="72"/>
        </w:rPr>
      </w:pPr>
    </w:p>
    <w:p w14:paraId="3F4F6144">
      <w:pPr>
        <w:jc w:val="left"/>
        <w:rPr>
          <w:rFonts w:ascii="华文隶书" w:hAnsi="华文隶书" w:eastAsia="华文隶书" w:cs="华文隶书"/>
          <w:sz w:val="72"/>
          <w:szCs w:val="72"/>
        </w:rPr>
      </w:pPr>
    </w:p>
    <w:p w14:paraId="3FA0DCDC">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14:paraId="5883A20A">
      <w:pPr>
        <w:jc w:val="left"/>
        <w:rPr>
          <w:rFonts w:ascii="华文隶书" w:hAnsi="华文隶书" w:eastAsia="华文隶书" w:cs="华文隶书"/>
          <w:b/>
          <w:spacing w:val="48"/>
          <w:sz w:val="72"/>
          <w:szCs w:val="72"/>
        </w:rPr>
      </w:pPr>
    </w:p>
    <w:p w14:paraId="73CC8EDA">
      <w:pPr>
        <w:jc w:val="left"/>
        <w:rPr>
          <w:rFonts w:ascii="华文隶书" w:hAnsi="华文隶书" w:eastAsia="华文隶书" w:cs="华文隶书"/>
          <w:b/>
          <w:spacing w:val="48"/>
          <w:sz w:val="72"/>
          <w:szCs w:val="72"/>
        </w:rPr>
      </w:pPr>
    </w:p>
    <w:p w14:paraId="671B4D35">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14:paraId="1859F2EE">
      <w:pPr>
        <w:jc w:val="right"/>
        <w:rPr>
          <w:rFonts w:ascii="华文隶书" w:hAnsi="华文隶书" w:eastAsia="华文隶书" w:cs="华文隶书"/>
          <w:b/>
          <w:spacing w:val="48"/>
          <w:sz w:val="72"/>
          <w:szCs w:val="72"/>
        </w:rPr>
      </w:pPr>
    </w:p>
    <w:p w14:paraId="02C3BEB8">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14:paraId="591A0BAA">
      <w:pPr>
        <w:ind w:firstLine="1063" w:firstLineChars="353"/>
        <w:rPr>
          <w:rFonts w:ascii="宋体" w:hAnsi="宋体" w:cs="宋体"/>
          <w:b/>
          <w:sz w:val="30"/>
          <w:szCs w:val="30"/>
        </w:rPr>
      </w:pPr>
      <w:r>
        <w:rPr>
          <w:rFonts w:hint="eastAsia" w:ascii="宋体" w:hAnsi="宋体" w:cs="宋体"/>
          <w:b/>
          <w:sz w:val="30"/>
          <w:szCs w:val="30"/>
        </w:rPr>
        <w:t>地    址：西安市雁塔区唐延路35号旺座现代城C座250</w:t>
      </w:r>
      <w:r>
        <w:rPr>
          <w:rFonts w:hint="eastAsia" w:ascii="宋体" w:hAnsi="宋体" w:cs="宋体"/>
          <w:b/>
          <w:sz w:val="30"/>
          <w:szCs w:val="30"/>
          <w:lang w:val="en-US" w:eastAsia="zh-CN"/>
        </w:rPr>
        <w:t>2</w:t>
      </w:r>
      <w:r>
        <w:rPr>
          <w:rFonts w:hint="eastAsia" w:ascii="宋体" w:hAnsi="宋体" w:cs="宋体"/>
          <w:b/>
          <w:sz w:val="30"/>
          <w:szCs w:val="30"/>
        </w:rPr>
        <w:t>室</w:t>
      </w:r>
    </w:p>
    <w:p w14:paraId="7E0876DD">
      <w:pPr>
        <w:ind w:firstLine="1063" w:firstLineChars="353"/>
        <w:rPr>
          <w:rFonts w:hint="default" w:ascii="宋体" w:hAnsi="宋体" w:cs="宋体" w:eastAsiaTheme="minorEastAsia"/>
          <w:b/>
          <w:sz w:val="30"/>
          <w:szCs w:val="30"/>
          <w:lang w:val="en-US" w:eastAsia="zh-CN"/>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w:t>
      </w:r>
      <w:r>
        <w:rPr>
          <w:rFonts w:hint="eastAsia" w:ascii="宋体" w:hAnsi="宋体" w:cs="宋体"/>
          <w:b/>
          <w:sz w:val="30"/>
          <w:szCs w:val="30"/>
          <w:lang w:val="en-US" w:eastAsia="zh-CN"/>
        </w:rPr>
        <w:t>65</w:t>
      </w:r>
    </w:p>
    <w:p w14:paraId="691E11AE">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14:paraId="419085DE">
      <w:pPr>
        <w:ind w:firstLine="1060"/>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w:t>
      </w:r>
      <w:bookmarkEnd w:id="0"/>
      <w:bookmarkEnd w:id="11"/>
      <w:bookmarkEnd w:id="98"/>
      <w:r>
        <w:rPr>
          <w:rFonts w:ascii="宋体" w:hAnsi="宋体" w:cs="宋体"/>
          <w:b/>
          <w:sz w:val="30"/>
          <w:szCs w:val="30"/>
        </w:rPr>
        <w:t>88319689</w:t>
      </w:r>
    </w:p>
    <w:sectPr>
      <w:footerReference r:id="rId25" w:type="default"/>
      <w:pgSz w:w="11906" w:h="16838"/>
      <w:pgMar w:top="1440" w:right="1304" w:bottom="1440" w:left="1304" w:header="851" w:footer="992" w:gutter="0"/>
      <w:pgNumType w:fmt="decimal" w:start="73"/>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28E57A-9C0C-45C6-824F-C494048A8AA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DF2B4C-6C7A-497C-A8F0-4708F9FFA53F}"/>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638C3F5D-A8CF-4E35-A500-EF3FFFC666B5}"/>
  </w:font>
  <w:font w:name="新宋体">
    <w:panose1 w:val="02010609030101010101"/>
    <w:charset w:val="86"/>
    <w:family w:val="modern"/>
    <w:pitch w:val="default"/>
    <w:sig w:usb0="00000203" w:usb1="288F0000" w:usb2="00000006" w:usb3="00000000" w:csb0="00040001" w:csb1="00000000"/>
    <w:embedRegular r:id="rId4" w:fontKey="{5B33C853-8575-4551-AD30-3710295FBA85}"/>
  </w:font>
  <w:font w:name="微软雅黑">
    <w:panose1 w:val="020B0503020204020204"/>
    <w:charset w:val="86"/>
    <w:family w:val="auto"/>
    <w:pitch w:val="default"/>
    <w:sig w:usb0="80000287" w:usb1="2ACF3C50" w:usb2="00000016" w:usb3="00000000" w:csb0="0004001F" w:csb1="00000000"/>
    <w:embedRegular r:id="rId5" w:fontKey="{61F1F2DE-B401-48B4-9DB9-078F4B32F28E}"/>
  </w:font>
  <w:font w:name="华文隶书">
    <w:panose1 w:val="02010800040101010101"/>
    <w:charset w:val="86"/>
    <w:family w:val="auto"/>
    <w:pitch w:val="default"/>
    <w:sig w:usb0="00000001" w:usb1="080F0000" w:usb2="00000000" w:usb3="00000000" w:csb0="00040000" w:csb1="00000000"/>
    <w:embedRegular r:id="rId6" w:fontKey="{8886419F-8465-463B-A5DA-A9E75809FF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3E56">
    <w:pPr>
      <w:pStyle w:val="19"/>
      <w:jc w:val="right"/>
      <w:rPr>
        <w:rFonts w:ascii="宋体" w:hAnsi="宋体" w:cs="宋体"/>
      </w:rPr>
    </w:pP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2730">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1DC3">
                          <w:pPr>
                            <w:pStyle w:val="19"/>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5D1DC3">
                    <w:pPr>
                      <w:pStyle w:val="19"/>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lang w:val="en-US" w:eastAsia="zh-CN"/>
                      </w:rPr>
                      <w:t>73</w:t>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810D">
    <w:pPr>
      <w:pStyle w:val="19"/>
      <w:ind w:right="360"/>
      <w:jc w:val="center"/>
      <w:rPr>
        <w:kern w:val="0"/>
        <w:szCs w:val="21"/>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435B3">
                          <w:pPr>
                            <w:pStyle w:val="19"/>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8D435B3">
                    <w:pPr>
                      <w:pStyle w:val="19"/>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lang w:val="en-US" w:eastAsia="zh-CN"/>
                      </w:rPr>
                      <w:t>73</w:t>
                    </w:r>
                    <w:r>
                      <w:t xml:space="preserve"> 页</w:t>
                    </w:r>
                  </w:p>
                </w:txbxContent>
              </v:textbox>
            </v:shape>
          </w:pict>
        </mc:Fallback>
      </mc:AlternateContent>
    </w:r>
  </w:p>
  <w:p w14:paraId="7B7D1DA8">
    <w:pPr>
      <w:pStyle w:val="1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18763">
    <w:pPr>
      <w:pStyle w:val="19"/>
      <w:tabs>
        <w:tab w:val="center" w:pos="4150"/>
        <w:tab w:val="right" w:pos="8420"/>
        <w:tab w:val="clear" w:pos="4153"/>
      </w:tabs>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posOffset>2154555</wp:posOffset>
              </wp:positionH>
              <wp:positionV relativeFrom="paragraph">
                <wp:posOffset>-19050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056FF">
                          <w:pPr>
                            <w:pStyle w:val="19"/>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73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9.65pt;margin-top:-1.5pt;height:144pt;width:144pt;mso-position-horizontal-relative:margin;mso-wrap-style:none;z-index:251664384;mso-width-relative:page;mso-height-relative:page;" filled="f" stroked="f" coordsize="21600,21600" o:gfxdata="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Uhmw9cAAAAKAQAADwAAAAAAAAABACAAAAAiAAAAZHJzL2Rvd25yZXYueG1s&#10;UEsBAhQAFAAAAAgAh07iQOZTTZkyAgAAYwQAAA4AAAAAAAAAAQAgAAAAJgEAAGRycy9lMm9Eb2Mu&#10;eG1sUEsFBgAAAAAGAAYAWQEAAMoFAAAAAA==&#10;">
              <v:fill on="f" focussize="0,0"/>
              <v:stroke on="f" weight="0.5pt"/>
              <v:imagedata o:title=""/>
              <o:lock v:ext="edit" aspectratio="f"/>
              <v:textbox inset="0mm,0mm,0mm,0mm" style="mso-fit-shape-to-text:t;">
                <w:txbxContent>
                  <w:p w14:paraId="1F9056FF">
                    <w:pPr>
                      <w:pStyle w:val="19"/>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73</w:t>
                    </w:r>
                    <w:r>
                      <w:t>页</w:t>
                    </w:r>
                  </w:p>
                </w:txbxContent>
              </v:textbox>
            </v:shape>
          </w:pict>
        </mc:Fallback>
      </mc:AlternateContent>
    </w:r>
    <w:r>
      <w:rPr>
        <w:rFonts w:hint="eastAsia" w:ascii="宋体" w:hAnsi="宋体"/>
      </w:rPr>
      <w:tab/>
    </w:r>
    <w:r>
      <w:rPr>
        <w:rFonts w:hint="eastAsia" w:ascii="宋体" w:hAnsi="宋体"/>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C6BF">
    <w:pPr>
      <w:pStyle w:val="19"/>
      <w:tabs>
        <w:tab w:val="center" w:pos="4150"/>
        <w:tab w:val="right" w:pos="8420"/>
        <w:tab w:val="clear" w:pos="4153"/>
      </w:tabs>
      <w:rPr>
        <w:rFonts w:asci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55DAE">
                          <w:pPr>
                            <w:pStyle w:val="19"/>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CE55DAE">
                    <w:pPr>
                      <w:pStyle w:val="19"/>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73</w:t>
                    </w:r>
                    <w:r>
                      <w:t xml:space="preserve"> 页</w:t>
                    </w:r>
                  </w:p>
                </w:txbxContent>
              </v:textbox>
            </v:shape>
          </w:pict>
        </mc:Fallback>
      </mc:AlternateContent>
    </w:r>
    <w:r>
      <w:rPr>
        <w:rFonts w:ascii="宋体"/>
      </w:rPr>
      <w:tab/>
    </w:r>
    <w:r>
      <w:rPr>
        <w:rFonts w:ascii="宋体"/>
      </w:rPr>
      <w:tab/>
    </w:r>
    <w:r>
      <w:rPr>
        <w:rFonts w:hint="eastAsia" w:ascii="宋体" w:hAnsi="宋体" w:cs="宋体"/>
      </w:rPr>
      <w:t>陕西万泽招标有限公司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A1E0">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EFB41">
                          <w:pPr>
                            <w:pStyle w:val="19"/>
                          </w:pPr>
                          <w:r>
                            <w:t xml:space="preserve">第 </w:t>
                          </w:r>
                          <w:r>
                            <w:fldChar w:fldCharType="begin"/>
                          </w:r>
                          <w:r>
                            <w:instrText xml:space="preserve"> PAGE  \* MERGEFORMAT </w:instrText>
                          </w:r>
                          <w:r>
                            <w:fldChar w:fldCharType="separate"/>
                          </w:r>
                          <w:r>
                            <w:t>39</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E2EFB41">
                    <w:pPr>
                      <w:pStyle w:val="19"/>
                    </w:pPr>
                    <w:r>
                      <w:t xml:space="preserve">第 </w:t>
                    </w:r>
                    <w:r>
                      <w:fldChar w:fldCharType="begin"/>
                    </w:r>
                    <w:r>
                      <w:instrText xml:space="preserve"> PAGE  \* MERGEFORMAT </w:instrText>
                    </w:r>
                    <w:r>
                      <w:fldChar w:fldCharType="separate"/>
                    </w:r>
                    <w:r>
                      <w:t>39</w:t>
                    </w:r>
                    <w:r>
                      <w:fldChar w:fldCharType="end"/>
                    </w:r>
                    <w:r>
                      <w:t xml:space="preserve"> 页 共 </w:t>
                    </w:r>
                    <w:r>
                      <w:rPr>
                        <w:rFonts w:hint="eastAsia"/>
                        <w:lang w:val="en-US" w:eastAsia="zh-CN"/>
                      </w:rPr>
                      <w:t>73</w:t>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D1DB4">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79A96">
                          <w:pPr>
                            <w:pStyle w:val="19"/>
                          </w:pPr>
                          <w:r>
                            <w:t xml:space="preserve">第 </w:t>
                          </w:r>
                          <w:r>
                            <w:fldChar w:fldCharType="begin"/>
                          </w:r>
                          <w:r>
                            <w:instrText xml:space="preserve"> PAGE  \* MERGEFORMAT </w:instrText>
                          </w:r>
                          <w:r>
                            <w:fldChar w:fldCharType="separate"/>
                          </w:r>
                          <w:r>
                            <w:t>74</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3279A96">
                    <w:pPr>
                      <w:pStyle w:val="19"/>
                    </w:pPr>
                    <w:r>
                      <w:t xml:space="preserve">第 </w:t>
                    </w:r>
                    <w:r>
                      <w:fldChar w:fldCharType="begin"/>
                    </w:r>
                    <w:r>
                      <w:instrText xml:space="preserve"> PAGE  \* MERGEFORMAT </w:instrText>
                    </w:r>
                    <w:r>
                      <w:fldChar w:fldCharType="separate"/>
                    </w:r>
                    <w:r>
                      <w:t>74</w:t>
                    </w:r>
                    <w:r>
                      <w:fldChar w:fldCharType="end"/>
                    </w:r>
                    <w:r>
                      <w:t xml:space="preserve"> 页 共 </w:t>
                    </w:r>
                    <w:r>
                      <w:rPr>
                        <w:rFonts w:hint="eastAsia"/>
                        <w:lang w:val="en-US" w:eastAsia="zh-CN"/>
                      </w:rPr>
                      <w:t>73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AC177">
    <w:pPr>
      <w:pStyle w:val="19"/>
      <w:tabs>
        <w:tab w:val="left" w:pos="550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posOffset>2370455</wp:posOffset>
              </wp:positionH>
              <wp:positionV relativeFrom="paragraph">
                <wp:posOffset>-69850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29BBC">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65pt;margin-top:-5.5pt;height:144pt;width:144pt;mso-position-horizontal-relative:margin;mso-wrap-style:none;z-index:251660288;mso-width-relative:page;mso-height-relative:page;" filled="f" stroked="f" coordsize="21600,21600" o:gfxdata="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4/MqX1wAAAAsBAAAPAAAAAAAAAAEAIAAAACIAAABkcnMvZG93bnJldi54bWxQ&#10;SwECFAAUAAAACACHTuJAbP7xkTECAABjBAAADgAAAAAAAAABACAAAAAmAQAAZHJzL2Uyb0RvYy54&#10;bWxQSwUGAAAAAAYABgBZAQAAyQUAAAAA&#10;">
              <v:fill on="f" focussize="0,0"/>
              <v:stroke on="f" weight="0.5pt"/>
              <v:imagedata o:title=""/>
              <o:lock v:ext="edit" aspectratio="f"/>
              <v:textbox inset="0mm,0mm,0mm,0mm" style="mso-fit-shape-to-text:t;">
                <w:txbxContent>
                  <w:p w14:paraId="64729BBC">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ab/>
    </w:r>
    <w:r>
      <w:rPr>
        <w:sz w:val="18"/>
      </w:rPr>
      <mc:AlternateContent>
        <mc:Choice Requires="wps">
          <w:drawing>
            <wp:anchor distT="0" distB="0" distL="114300" distR="114300" simplePos="0" relativeHeight="251670528" behindDoc="0" locked="0" layoutInCell="1" allowOverlap="1">
              <wp:simplePos x="0" y="0"/>
              <wp:positionH relativeFrom="margin">
                <wp:posOffset>-748030</wp:posOffset>
              </wp:positionH>
              <wp:positionV relativeFrom="paragraph">
                <wp:posOffset>-9770110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B75FB">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8.9pt;margin-top:-769.3pt;height:144pt;width:144pt;mso-position-horizontal-relative:margin;mso-wrap-style:none;z-index:251670528;mso-width-relative:page;mso-height-relative:page;" filled="f" stroked="f" coordsize="21600,21600" o:gfxdata="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EBlR62wAAABABAAAPAAAAAAAAAAEAIAAAACIAAABkcnMvZG93bnJl&#10;di54bWxQSwECFAAUAAAACACHTuJAXtok7jMCAABjBAAADgAAAAAAAAABACAAAAAqAQAAZHJzL2Uy&#10;b0RvYy54bWxQSwUGAAAAAAYABgBZAQAAzwUAAAAA&#10;">
              <v:fill on="f" focussize="0,0"/>
              <v:stroke on="f" weight="0.5pt"/>
              <v:imagedata o:title=""/>
              <o:lock v:ext="edit" aspectratio="f"/>
              <v:textbox inset="0mm,0mm,0mm,0mm" style="mso-fit-shape-to-text:t;">
                <w:txbxContent>
                  <w:p w14:paraId="0F5B75FB">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-900430</wp:posOffset>
              </wp:positionH>
              <wp:positionV relativeFrom="paragraph">
                <wp:posOffset>-9922510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30371">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0.9pt;margin-top:-781.3pt;height:144pt;width:144pt;mso-position-horizontal-relative:margin;mso-wrap-style:none;z-index:251669504;mso-width-relative:page;mso-height-relative:page;" filled="f" stroked="f" coordsize="21600,21600" o:gfxdata="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CifraAAAAEAEAAA8AAAAAAAAAAQAgAAAAIgAAAGRycy9kb3ducmV2&#10;LnhtbFBLAQIUABQAAAAIAIdO4kBTiVENMwIAAGMEAAAOAAAAAAAAAAEAIAAAACkBAABkcnMvZTJv&#10;RG9jLnhtbFBLBQYAAAAABgAGAFkBAADOBQAAAAA=&#10;">
              <v:fill on="f" focussize="0,0"/>
              <v:stroke on="f" weight="0.5pt"/>
              <v:imagedata o:title=""/>
              <o:lock v:ext="edit" aspectratio="f"/>
              <v:textbox inset="0mm,0mm,0mm,0mm" style="mso-fit-shape-to-text:t;">
                <w:txbxContent>
                  <w:p w14:paraId="30F30371">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1D04">
    <w:pPr>
      <w:pStyle w:val="19"/>
      <w:tabs>
        <w:tab w:val="right" w:pos="8426"/>
      </w:tabs>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CAB54">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FCAB54">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73</w:t>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1942B">
    <w:pPr>
      <w:pStyle w:val="19"/>
      <w:ind w:right="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368F9">
                          <w:pPr>
                            <w:pStyle w:val="19"/>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C8368F9">
                    <w:pPr>
                      <w:pStyle w:val="19"/>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73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DD8A">
    <w:pPr>
      <w:pStyle w:val="19"/>
      <w:framePr w:wrap="around" w:vAnchor="text" w:hAnchor="margin" w:xAlign="right" w:y="1"/>
      <w:rPr>
        <w:rStyle w:val="33"/>
      </w:rPr>
    </w:pPr>
    <w:r>
      <w:fldChar w:fldCharType="begin"/>
    </w:r>
    <w:r>
      <w:rPr>
        <w:rStyle w:val="33"/>
      </w:rPr>
      <w:instrText xml:space="preserve">PAGE  </w:instrText>
    </w:r>
    <w:r>
      <w:fldChar w:fldCharType="separate"/>
    </w:r>
    <w:r>
      <w:fldChar w:fldCharType="end"/>
    </w:r>
  </w:p>
  <w:p w14:paraId="7983D4B8">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26BF">
    <w:pPr>
      <w:pStyle w:val="19"/>
      <w:tabs>
        <w:tab w:val="left" w:pos="5509"/>
        <w:tab w:val="clear" w:pos="4153"/>
      </w:tabs>
    </w:pPr>
    <w:r>
      <w:rPr>
        <w:sz w:val="18"/>
      </w:rPr>
      <mc:AlternateContent>
        <mc:Choice Requires="wps">
          <w:drawing>
            <wp:anchor distT="0" distB="0" distL="114300" distR="114300" simplePos="0" relativeHeight="251674624" behindDoc="0" locked="0" layoutInCell="1" allowOverlap="1">
              <wp:simplePos x="0" y="0"/>
              <wp:positionH relativeFrom="margin">
                <wp:posOffset>2063750</wp:posOffset>
              </wp:positionH>
              <wp:positionV relativeFrom="paragraph">
                <wp:posOffset>-19050</wp:posOffset>
              </wp:positionV>
              <wp:extent cx="762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F9121">
                          <w:pPr>
                            <w:pStyle w:val="19"/>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2.5pt;margin-top:-1.5pt;height:144pt;width:6pt;mso-position-horizontal-relative:margin;z-index:251674624;mso-width-relative:page;mso-height-relative:page;" filled="f" stroked="f" coordsize="21600,21600" o:gfxdata="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TsGZnWAAAACgEAAA8AAAAAAAAAAQAgAAAAIgAAAGRycy9kb3ducmV2&#10;LnhtbFBLAQIUABQAAAAIAIdO4kDkzwKqNwIAAGMEAAAOAAAAAAAAAAEAIAAAACUBAABkcnMvZTJv&#10;RG9jLnhtbFBLBQYAAAAABgAGAFkBAADOBQAAAAA=&#10;">
              <v:fill on="f" focussize="0,0"/>
              <v:stroke on="f" weight="0.5pt"/>
              <v:imagedata o:title=""/>
              <o:lock v:ext="edit" aspectratio="f"/>
              <v:textbox inset="0mm,0mm,0mm,0mm" style="mso-fit-shape-to-text:t;">
                <w:txbxContent>
                  <w:p w14:paraId="22FF9121">
                    <w:pPr>
                      <w:pStyle w:val="19"/>
                    </w:pP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1D163">
                          <w:pPr>
                            <w:pStyle w:val="19"/>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AE1D163">
                    <w:pPr>
                      <w:pStyle w:val="19"/>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ab/>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420FA">
                          <w:pPr>
                            <w:pStyle w:val="19"/>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B9420FA">
                    <w:pPr>
                      <w:pStyle w:val="19"/>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6434">
    <w:pPr>
      <w:pStyle w:val="19"/>
      <w:tabs>
        <w:tab w:val="left" w:pos="11700"/>
      </w:tabs>
      <w:rPr>
        <w:rStyle w:val="33"/>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C2DD2">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1C2DD2">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73</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0AE4">
    <w:pPr>
      <w:pStyle w:val="19"/>
      <w:framePr w:wrap="around" w:vAnchor="text" w:hAnchor="margin" w:xAlign="center" w:y="1"/>
      <w:rPr>
        <w:rStyle w:val="33"/>
      </w:rPr>
    </w:pPr>
    <w:r>
      <w:fldChar w:fldCharType="begin"/>
    </w:r>
    <w:r>
      <w:rPr>
        <w:rStyle w:val="33"/>
      </w:rPr>
      <w:instrText xml:space="preserve">PAGE  </w:instrText>
    </w:r>
    <w:r>
      <w:fldChar w:fldCharType="separate"/>
    </w:r>
    <w:r>
      <w:fldChar w:fldCharType="end"/>
    </w:r>
  </w:p>
  <w:p w14:paraId="4E0004E6">
    <w:pPr>
      <w:pStyle w:val="1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5290">
    <w:pPr>
      <w:pStyle w:val="19"/>
      <w:tabs>
        <w:tab w:val="left" w:pos="11880"/>
      </w:tabs>
      <w:jc w:val="center"/>
    </w:pPr>
    <w:r>
      <w:fldChar w:fldCharType="begin"/>
    </w:r>
    <w:r>
      <w:rPr>
        <w:rStyle w:val="33"/>
      </w:rPr>
      <w:instrText xml:space="preserve"> PAGE </w:instrText>
    </w:r>
    <w:r>
      <w:fldChar w:fldCharType="separate"/>
    </w:r>
    <w:r>
      <w:rPr>
        <w:rStyle w:val="33"/>
      </w:rPr>
      <w:t>75</w:t>
    </w:r>
    <w:r>
      <w:fldChar w:fldCharType="end"/>
    </w:r>
    <w:r>
      <w:rPr>
        <w:vanish/>
      </w:rPr>
      <w:t>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949F">
    <w:pPr>
      <w:adjustRightInd w:val="0"/>
      <w:snapToGrid w:val="0"/>
      <w:spacing w:line="360" w:lineRule="auto"/>
      <w:jc w:val="left"/>
      <w:rPr>
        <w:rFonts w:hint="eastAsia" w:ascii="宋体" w:hAnsi="宋体" w:eastAsia="宋体" w:cs="宋体"/>
        <w:sz w:val="18"/>
        <w:szCs w:val="18"/>
        <w:u w:val="single"/>
        <w:lang w:eastAsia="zh-CN"/>
      </w:rPr>
    </w:pPr>
    <w:r>
      <w:rPr>
        <w:rFonts w:hint="eastAsia" w:ascii="宋体" w:hAnsi="宋体" w:eastAsia="宋体" w:cs="宋体"/>
        <w:sz w:val="15"/>
        <w:szCs w:val="15"/>
        <w:u w:val="single"/>
        <w:lang w:eastAsia="zh-CN"/>
      </w:rPr>
      <w:t>西安市扶贫信息监测中心巩固脱贫攻坚成果和防返贫监测数据质量评估及分析服务项目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SXWZ2025ZB-JCZX-192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5165">
    <w:pPr>
      <w:adjustRightInd w:val="0"/>
      <w:snapToGrid w:val="0"/>
      <w:spacing w:line="360" w:lineRule="auto"/>
      <w:ind w:right="-99" w:rightChars="-47"/>
      <w:jc w:val="left"/>
      <w:rPr>
        <w:rFonts w:hint="eastAsia" w:eastAsia="宋体"/>
        <w:lang w:eastAsia="zh-CN"/>
      </w:rPr>
    </w:pPr>
    <w:r>
      <w:rPr>
        <w:rFonts w:hint="eastAsia" w:ascii="宋体" w:hAnsi="宋体" w:eastAsia="宋体" w:cs="宋体"/>
        <w:sz w:val="15"/>
        <w:szCs w:val="15"/>
        <w:u w:val="single"/>
        <w:lang w:eastAsia="zh-CN"/>
      </w:rPr>
      <w:t>西安市扶贫信息监测中心</w:t>
    </w:r>
    <w:r>
      <w:rPr>
        <w:rFonts w:hint="eastAsia" w:ascii="宋体" w:hAnsi="宋体" w:eastAsia="宋体" w:cs="宋体"/>
        <w:sz w:val="15"/>
        <w:szCs w:val="15"/>
        <w:u w:val="single"/>
      </w:rPr>
      <w:t>标识标牌设计制作项目</w:t>
    </w:r>
    <w:r>
      <w:rPr>
        <w:rFonts w:hint="eastAsia" w:ascii="宋体" w:hAnsi="宋体" w:eastAsia="宋体" w:cs="宋体"/>
        <w:sz w:val="13"/>
        <w:szCs w:val="13"/>
        <w:u w:val="single"/>
        <w:lang w:eastAsia="zh-CN"/>
      </w:rPr>
      <w:t>SXWZ2025ZB-JCZX-192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44A3D">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185D">
    <w:pPr>
      <w:adjustRightInd w:val="0"/>
      <w:snapToGrid w:val="0"/>
      <w:spacing w:line="360" w:lineRule="auto"/>
      <w:jc w:val="left"/>
    </w:pPr>
    <w:r>
      <w:rPr>
        <w:rFonts w:hint="eastAsia" w:ascii="宋体" w:hAnsi="宋体" w:eastAsia="宋体" w:cs="宋体"/>
        <w:sz w:val="15"/>
        <w:szCs w:val="15"/>
        <w:u w:val="single"/>
        <w:lang w:eastAsia="zh-CN"/>
      </w:rPr>
      <w:t>西安市扶贫信息监测中心巩固脱贫攻坚成果和防返贫监测数据质量评估及分析服务项目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SXWZ2025ZB-JCZX-192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9D5DF">
    <w:pPr>
      <w:adjustRightInd w:val="0"/>
      <w:snapToGrid w:val="0"/>
      <w:spacing w:line="360" w:lineRule="auto"/>
      <w:ind w:left="7950" w:hanging="7950" w:hangingChars="5300"/>
      <w:jc w:val="left"/>
      <w:rPr>
        <w:rFonts w:hint="eastAsia" w:eastAsia="宋体"/>
        <w:lang w:eastAsia="zh-CN"/>
      </w:rPr>
    </w:pPr>
    <w:r>
      <w:rPr>
        <w:rFonts w:hint="eastAsia" w:ascii="宋体" w:hAnsi="宋体" w:eastAsia="宋体" w:cs="宋体"/>
        <w:sz w:val="15"/>
        <w:szCs w:val="15"/>
        <w:u w:val="single"/>
        <w:lang w:eastAsia="zh-CN"/>
      </w:rPr>
      <w:t>西安市扶贫信息监测中心巩固脱贫攻坚成果和防返贫监测数据质量评估及分析服务项目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SXWZ2025ZB-JCZX-192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6EFB">
    <w:pPr>
      <w:adjustRightInd w:val="0"/>
      <w:snapToGrid w:val="0"/>
      <w:spacing w:line="360" w:lineRule="auto"/>
      <w:ind w:right="-99" w:rightChars="-47"/>
      <w:jc w:val="left"/>
      <w:rPr>
        <w:rFonts w:hint="eastAsia" w:eastAsia="宋体"/>
        <w:sz w:val="18"/>
        <w:szCs w:val="18"/>
        <w:lang w:eastAsia="zh-CN"/>
      </w:rPr>
    </w:pPr>
    <w:r>
      <w:rPr>
        <w:rFonts w:hint="eastAsia" w:ascii="宋体" w:hAnsi="宋体" w:eastAsia="宋体" w:cs="宋体"/>
        <w:sz w:val="15"/>
        <w:szCs w:val="15"/>
        <w:u w:val="single"/>
        <w:lang w:eastAsia="zh-CN"/>
      </w:rPr>
      <w:t>西安市扶贫信息监测中心巩固脱贫攻坚成果和防返贫监测数据质量评估及分析服务项目</w:t>
    </w:r>
    <w:r>
      <w:rPr>
        <w:rFonts w:hint="eastAsia" w:ascii="宋体" w:hAnsi="宋体" w:eastAsia="宋体" w:cs="宋体"/>
        <w:sz w:val="15"/>
        <w:szCs w:val="15"/>
        <w:u w:val="single"/>
      </w:rPr>
      <w:t xml:space="preserve">                  </w:t>
    </w:r>
    <w:r>
      <w:rPr>
        <w:rFonts w:hint="eastAsia" w:ascii="宋体" w:hAnsi="宋体" w:eastAsia="宋体" w:cs="宋体"/>
        <w:sz w:val="13"/>
        <w:szCs w:val="13"/>
        <w:u w:val="single"/>
        <w:lang w:eastAsia="zh-CN"/>
      </w:rPr>
      <w:t>SXWZ2025ZB-JCZX-192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4F576">
    <w:pPr>
      <w:adjustRightInd w:val="0"/>
      <w:snapToGrid w:val="0"/>
      <w:spacing w:line="360" w:lineRule="auto"/>
      <w:ind w:left="7950" w:hanging="7950" w:hangingChars="5300"/>
      <w:jc w:val="left"/>
      <w:rPr>
        <w:rFonts w:hint="eastAsia" w:ascii="宋体" w:hAnsi="宋体" w:eastAsia="宋体" w:cs="宋体"/>
        <w:sz w:val="18"/>
        <w:szCs w:val="18"/>
        <w:u w:val="single"/>
        <w:lang w:eastAsia="zh-CN"/>
      </w:rPr>
    </w:pPr>
    <w:r>
      <w:rPr>
        <w:rFonts w:hint="eastAsia" w:ascii="宋体" w:hAnsi="宋体" w:eastAsia="宋体" w:cs="宋体"/>
        <w:sz w:val="15"/>
        <w:szCs w:val="15"/>
        <w:u w:val="single"/>
        <w:lang w:eastAsia="zh-CN"/>
      </w:rPr>
      <w:t>西安市扶贫信息监测中心巩固脱贫攻坚成果和防返贫监测数据质量评估及分析服务项目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SXWZ2025ZB-JCZX-192</w:t>
    </w:r>
  </w:p>
  <w:p w14:paraId="552BC466">
    <w:pPr>
      <w:adjustRightInd w:val="0"/>
      <w:snapToGrid w:val="0"/>
      <w:spacing w:line="360" w:lineRule="auto"/>
      <w:ind w:left="11130" w:hanging="11130" w:hangingChars="530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E3D7">
    <w:pPr>
      <w:adjustRightInd w:val="0"/>
      <w:snapToGrid w:val="0"/>
      <w:spacing w:line="360" w:lineRule="auto"/>
      <w:ind w:left="7950" w:hanging="7950" w:hangingChars="5300"/>
      <w:jc w:val="left"/>
      <w:rPr>
        <w:rFonts w:hint="eastAsia" w:eastAsia="宋体"/>
        <w:lang w:eastAsia="zh-CN"/>
      </w:rPr>
    </w:pPr>
    <w:r>
      <w:rPr>
        <w:rFonts w:hint="eastAsia" w:ascii="宋体" w:hAnsi="宋体" w:eastAsia="宋体" w:cs="宋体"/>
        <w:sz w:val="15"/>
        <w:szCs w:val="15"/>
        <w:u w:val="single"/>
        <w:lang w:eastAsia="zh-CN"/>
      </w:rPr>
      <w:t>西安市扶贫信息监测中心巩固脱贫攻坚成果和防返贫监测数据质量评估及分析服务项目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SXWZ2025ZB-JCZX-192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C2602"/>
    <w:multiLevelType w:val="singleLevel"/>
    <w:tmpl w:val="A53C2602"/>
    <w:lvl w:ilvl="0" w:tentative="0">
      <w:start w:val="2"/>
      <w:numFmt w:val="chineseCounting"/>
      <w:suff w:val="nothing"/>
      <w:lvlText w:val="%1、"/>
      <w:lvlJc w:val="left"/>
      <w:rPr>
        <w:rFonts w:hint="eastAsia"/>
      </w:rPr>
    </w:lvl>
  </w:abstractNum>
  <w:abstractNum w:abstractNumId="1">
    <w:nsid w:val="D157FA68"/>
    <w:multiLevelType w:val="singleLevel"/>
    <w:tmpl w:val="D157FA68"/>
    <w:lvl w:ilvl="0" w:tentative="0">
      <w:start w:val="1"/>
      <w:numFmt w:val="chineseCounting"/>
      <w:suff w:val="nothing"/>
      <w:lvlText w:val="%1、"/>
      <w:lvlJc w:val="left"/>
      <w:rPr>
        <w:rFonts w:hint="eastAsia"/>
      </w:rPr>
    </w:lvl>
  </w:abstractNum>
  <w:abstractNum w:abstractNumId="2">
    <w:nsid w:val="F109913D"/>
    <w:multiLevelType w:val="singleLevel"/>
    <w:tmpl w:val="F109913D"/>
    <w:lvl w:ilvl="0" w:tentative="0">
      <w:start w:val="1"/>
      <w:numFmt w:val="decimal"/>
      <w:suff w:val="nothing"/>
      <w:lvlText w:val="%1、"/>
      <w:lvlJc w:val="left"/>
    </w:lvl>
  </w:abstractNum>
  <w:abstractNum w:abstractNumId="3">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043811D3"/>
    <w:multiLevelType w:val="singleLevel"/>
    <w:tmpl w:val="043811D3"/>
    <w:lvl w:ilvl="0" w:tentative="0">
      <w:start w:val="1"/>
      <w:numFmt w:val="chineseCounting"/>
      <w:suff w:val="nothing"/>
      <w:lvlText w:val="（%1）"/>
      <w:lvlJc w:val="left"/>
      <w:rPr>
        <w:rFonts w:hint="eastAsia"/>
      </w:rPr>
    </w:lvl>
  </w:abstractNum>
  <w:abstractNum w:abstractNumId="5">
    <w:nsid w:val="35AE088C"/>
    <w:multiLevelType w:val="singleLevel"/>
    <w:tmpl w:val="35AE088C"/>
    <w:lvl w:ilvl="0" w:tentative="0">
      <w:start w:val="1"/>
      <w:numFmt w:val="decimal"/>
      <w:suff w:val="nothing"/>
      <w:lvlText w:val="%1、"/>
      <w:lvlJc w:val="left"/>
    </w:lvl>
  </w:abstractNum>
  <w:abstractNum w:abstractNumId="6">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7">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8">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9">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0">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1">
    <w:nsid w:val="58E5EC48"/>
    <w:multiLevelType w:val="singleLevel"/>
    <w:tmpl w:val="58E5EC48"/>
    <w:lvl w:ilvl="0" w:tentative="0">
      <w:start w:val="1"/>
      <w:numFmt w:val="decimal"/>
      <w:suff w:val="nothing"/>
      <w:lvlText w:val="（%1）"/>
      <w:lvlJc w:val="left"/>
    </w:lvl>
  </w:abstractNum>
  <w:abstractNum w:abstractNumId="12">
    <w:nsid w:val="5902B6A7"/>
    <w:multiLevelType w:val="singleLevel"/>
    <w:tmpl w:val="5902B6A7"/>
    <w:lvl w:ilvl="0" w:tentative="0">
      <w:start w:val="1"/>
      <w:numFmt w:val="decimal"/>
      <w:pStyle w:val="9"/>
      <w:lvlText w:val="%1."/>
      <w:lvlJc w:val="left"/>
      <w:pPr>
        <w:tabs>
          <w:tab w:val="left" w:pos="360"/>
        </w:tabs>
        <w:ind w:left="360" w:hanging="360"/>
      </w:pPr>
    </w:lvl>
  </w:abstractNum>
  <w:abstractNum w:abstractNumId="13">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14">
    <w:nsid w:val="59F08EA7"/>
    <w:multiLevelType w:val="singleLevel"/>
    <w:tmpl w:val="59F08EA7"/>
    <w:lvl w:ilvl="0" w:tentative="0">
      <w:start w:val="1"/>
      <w:numFmt w:val="decimal"/>
      <w:suff w:val="nothing"/>
      <w:lvlText w:val="（%1）"/>
      <w:lvlJc w:val="left"/>
      <w:pPr>
        <w:ind w:left="-60" w:firstLine="420"/>
      </w:pPr>
      <w:rPr>
        <w:rFonts w:hint="default"/>
      </w:rPr>
    </w:lvl>
  </w:abstractNum>
  <w:abstractNum w:abstractNumId="15">
    <w:nsid w:val="59F09AA5"/>
    <w:multiLevelType w:val="singleLevel"/>
    <w:tmpl w:val="59F09AA5"/>
    <w:lvl w:ilvl="0" w:tentative="0">
      <w:start w:val="1"/>
      <w:numFmt w:val="decimal"/>
      <w:suff w:val="nothing"/>
      <w:lvlText w:val="（%1）"/>
      <w:lvlJc w:val="left"/>
      <w:pPr>
        <w:ind w:left="0" w:firstLine="420"/>
      </w:pPr>
      <w:rPr>
        <w:rFonts w:hint="default"/>
      </w:rPr>
    </w:lvl>
  </w:abstractNum>
  <w:abstractNum w:abstractNumId="16">
    <w:nsid w:val="6C593B36"/>
    <w:multiLevelType w:val="singleLevel"/>
    <w:tmpl w:val="6C593B36"/>
    <w:lvl w:ilvl="0" w:tentative="0">
      <w:start w:val="1"/>
      <w:numFmt w:val="decimal"/>
      <w:suff w:val="nothing"/>
      <w:lvlText w:val="（%1）"/>
      <w:lvlJc w:val="left"/>
    </w:lvl>
  </w:abstractNum>
  <w:num w:numId="1">
    <w:abstractNumId w:val="12"/>
  </w:num>
  <w:num w:numId="2">
    <w:abstractNumId w:val="7"/>
  </w:num>
  <w:num w:numId="3">
    <w:abstractNumId w:val="6"/>
  </w:num>
  <w:num w:numId="4">
    <w:abstractNumId w:val="10"/>
  </w:num>
  <w:num w:numId="5">
    <w:abstractNumId w:val="8"/>
  </w:num>
  <w:num w:numId="6">
    <w:abstractNumId w:val="9"/>
  </w:num>
  <w:num w:numId="7">
    <w:abstractNumId w:val="13"/>
  </w:num>
  <w:num w:numId="8">
    <w:abstractNumId w:val="14"/>
  </w:num>
  <w:num w:numId="9">
    <w:abstractNumId w:val="15"/>
  </w:num>
  <w:num w:numId="10">
    <w:abstractNumId w:val="5"/>
  </w:num>
  <w:num w:numId="11">
    <w:abstractNumId w:val="2"/>
  </w:num>
  <w:num w:numId="12">
    <w:abstractNumId w:val="16"/>
  </w:num>
  <w:num w:numId="13">
    <w:abstractNumId w:val="0"/>
  </w:num>
  <w:num w:numId="14">
    <w:abstractNumId w:val="1"/>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MzY4ZjZhNzg5NDZlYmI1OTQ5MDViZDVhNzg1ODAifQ=="/>
  </w:docVars>
  <w:rsids>
    <w:rsidRoot w:val="2627224F"/>
    <w:rsid w:val="00017B33"/>
    <w:rsid w:val="00057223"/>
    <w:rsid w:val="000A2452"/>
    <w:rsid w:val="000B07DE"/>
    <w:rsid w:val="000B3DD4"/>
    <w:rsid w:val="000B6ECB"/>
    <w:rsid w:val="000C0895"/>
    <w:rsid w:val="000C673D"/>
    <w:rsid w:val="000D7AC8"/>
    <w:rsid w:val="000F628F"/>
    <w:rsid w:val="000F7A72"/>
    <w:rsid w:val="001113FA"/>
    <w:rsid w:val="00114D13"/>
    <w:rsid w:val="0011607E"/>
    <w:rsid w:val="001563E1"/>
    <w:rsid w:val="00167A28"/>
    <w:rsid w:val="00171FE9"/>
    <w:rsid w:val="001A439C"/>
    <w:rsid w:val="001D76B9"/>
    <w:rsid w:val="001E7E49"/>
    <w:rsid w:val="00205EEF"/>
    <w:rsid w:val="0023625C"/>
    <w:rsid w:val="0025657F"/>
    <w:rsid w:val="002647A7"/>
    <w:rsid w:val="00295F6C"/>
    <w:rsid w:val="002B1E22"/>
    <w:rsid w:val="002C54CF"/>
    <w:rsid w:val="002D5DC2"/>
    <w:rsid w:val="002D7A6D"/>
    <w:rsid w:val="002E07BF"/>
    <w:rsid w:val="002F6F54"/>
    <w:rsid w:val="002F6FCA"/>
    <w:rsid w:val="00300F23"/>
    <w:rsid w:val="00337601"/>
    <w:rsid w:val="00360C09"/>
    <w:rsid w:val="003A3201"/>
    <w:rsid w:val="003C2DEE"/>
    <w:rsid w:val="003C67F2"/>
    <w:rsid w:val="003D37C1"/>
    <w:rsid w:val="003E1DDF"/>
    <w:rsid w:val="003E65D8"/>
    <w:rsid w:val="003E7B81"/>
    <w:rsid w:val="003F04B9"/>
    <w:rsid w:val="003F3D18"/>
    <w:rsid w:val="003F5518"/>
    <w:rsid w:val="003F64A7"/>
    <w:rsid w:val="004057C8"/>
    <w:rsid w:val="004456E2"/>
    <w:rsid w:val="00453BA6"/>
    <w:rsid w:val="004666C6"/>
    <w:rsid w:val="00474529"/>
    <w:rsid w:val="00482B14"/>
    <w:rsid w:val="004C2AF8"/>
    <w:rsid w:val="004D70C5"/>
    <w:rsid w:val="004E4BFB"/>
    <w:rsid w:val="004E4CF5"/>
    <w:rsid w:val="004F4988"/>
    <w:rsid w:val="0050491F"/>
    <w:rsid w:val="00520C66"/>
    <w:rsid w:val="005217F8"/>
    <w:rsid w:val="00522064"/>
    <w:rsid w:val="00530399"/>
    <w:rsid w:val="00536870"/>
    <w:rsid w:val="005439A7"/>
    <w:rsid w:val="00544E99"/>
    <w:rsid w:val="00571D17"/>
    <w:rsid w:val="00576A5F"/>
    <w:rsid w:val="00581423"/>
    <w:rsid w:val="005B3960"/>
    <w:rsid w:val="005D0FB7"/>
    <w:rsid w:val="005D7A12"/>
    <w:rsid w:val="00600EF0"/>
    <w:rsid w:val="00613B65"/>
    <w:rsid w:val="0064332A"/>
    <w:rsid w:val="00661709"/>
    <w:rsid w:val="006657C9"/>
    <w:rsid w:val="0069223C"/>
    <w:rsid w:val="00696FBA"/>
    <w:rsid w:val="006A1BF6"/>
    <w:rsid w:val="006C6A32"/>
    <w:rsid w:val="006E169C"/>
    <w:rsid w:val="006E46DF"/>
    <w:rsid w:val="006F1FD6"/>
    <w:rsid w:val="00736BCC"/>
    <w:rsid w:val="0074281E"/>
    <w:rsid w:val="007447C1"/>
    <w:rsid w:val="00770871"/>
    <w:rsid w:val="0077254B"/>
    <w:rsid w:val="00792269"/>
    <w:rsid w:val="00792491"/>
    <w:rsid w:val="007A4E4B"/>
    <w:rsid w:val="007A51B4"/>
    <w:rsid w:val="007A6C1E"/>
    <w:rsid w:val="007C4A71"/>
    <w:rsid w:val="007D1286"/>
    <w:rsid w:val="007D15F9"/>
    <w:rsid w:val="00811783"/>
    <w:rsid w:val="008173C9"/>
    <w:rsid w:val="008234E9"/>
    <w:rsid w:val="008259FA"/>
    <w:rsid w:val="00875FAC"/>
    <w:rsid w:val="00876828"/>
    <w:rsid w:val="008866C0"/>
    <w:rsid w:val="00895737"/>
    <w:rsid w:val="008962A7"/>
    <w:rsid w:val="008A112A"/>
    <w:rsid w:val="008A367A"/>
    <w:rsid w:val="008A5A31"/>
    <w:rsid w:val="008D7D4E"/>
    <w:rsid w:val="008E7C81"/>
    <w:rsid w:val="008F6EFE"/>
    <w:rsid w:val="00902935"/>
    <w:rsid w:val="009435BE"/>
    <w:rsid w:val="00954CF1"/>
    <w:rsid w:val="009C478A"/>
    <w:rsid w:val="009E3BD2"/>
    <w:rsid w:val="009E7878"/>
    <w:rsid w:val="009F29DA"/>
    <w:rsid w:val="00A00C3E"/>
    <w:rsid w:val="00A02D64"/>
    <w:rsid w:val="00A248F4"/>
    <w:rsid w:val="00A50E8F"/>
    <w:rsid w:val="00A51FDF"/>
    <w:rsid w:val="00A55ABC"/>
    <w:rsid w:val="00A62024"/>
    <w:rsid w:val="00A63494"/>
    <w:rsid w:val="00A8343C"/>
    <w:rsid w:val="00A921BA"/>
    <w:rsid w:val="00AB0730"/>
    <w:rsid w:val="00AB0C4F"/>
    <w:rsid w:val="00AC7625"/>
    <w:rsid w:val="00AD5CD5"/>
    <w:rsid w:val="00AF40F8"/>
    <w:rsid w:val="00B03686"/>
    <w:rsid w:val="00B32079"/>
    <w:rsid w:val="00B73E01"/>
    <w:rsid w:val="00B76303"/>
    <w:rsid w:val="00B76DB3"/>
    <w:rsid w:val="00B818AB"/>
    <w:rsid w:val="00BC1AB3"/>
    <w:rsid w:val="00BC1B63"/>
    <w:rsid w:val="00BD2757"/>
    <w:rsid w:val="00BD2877"/>
    <w:rsid w:val="00BD4D2B"/>
    <w:rsid w:val="00C127A3"/>
    <w:rsid w:val="00C12CCF"/>
    <w:rsid w:val="00C144EE"/>
    <w:rsid w:val="00C41E46"/>
    <w:rsid w:val="00CB13A4"/>
    <w:rsid w:val="00CE65B1"/>
    <w:rsid w:val="00D01247"/>
    <w:rsid w:val="00D070EB"/>
    <w:rsid w:val="00D574E4"/>
    <w:rsid w:val="00D576EF"/>
    <w:rsid w:val="00DA4229"/>
    <w:rsid w:val="00DC1986"/>
    <w:rsid w:val="00DC7FB0"/>
    <w:rsid w:val="00E04145"/>
    <w:rsid w:val="00E12D35"/>
    <w:rsid w:val="00E13657"/>
    <w:rsid w:val="00E20E24"/>
    <w:rsid w:val="00E2372B"/>
    <w:rsid w:val="00E24AFE"/>
    <w:rsid w:val="00E30FAC"/>
    <w:rsid w:val="00E65904"/>
    <w:rsid w:val="00E9724B"/>
    <w:rsid w:val="00EA1ECE"/>
    <w:rsid w:val="00EC6E7A"/>
    <w:rsid w:val="00EE3BBD"/>
    <w:rsid w:val="00F15049"/>
    <w:rsid w:val="00F20B01"/>
    <w:rsid w:val="00F234ED"/>
    <w:rsid w:val="00F36E95"/>
    <w:rsid w:val="00F75245"/>
    <w:rsid w:val="00F94DCB"/>
    <w:rsid w:val="00FD4469"/>
    <w:rsid w:val="00FE167F"/>
    <w:rsid w:val="01023A5C"/>
    <w:rsid w:val="010846EF"/>
    <w:rsid w:val="010C1913"/>
    <w:rsid w:val="012A0989"/>
    <w:rsid w:val="012B7E09"/>
    <w:rsid w:val="013A223F"/>
    <w:rsid w:val="013D05F9"/>
    <w:rsid w:val="0144505B"/>
    <w:rsid w:val="015B6AE9"/>
    <w:rsid w:val="01610D96"/>
    <w:rsid w:val="01711768"/>
    <w:rsid w:val="01746552"/>
    <w:rsid w:val="01766266"/>
    <w:rsid w:val="018D0F17"/>
    <w:rsid w:val="01920D21"/>
    <w:rsid w:val="019D4E57"/>
    <w:rsid w:val="01AA7D1B"/>
    <w:rsid w:val="01B56402"/>
    <w:rsid w:val="01D424A6"/>
    <w:rsid w:val="01E90844"/>
    <w:rsid w:val="01F57ACD"/>
    <w:rsid w:val="01F90F7C"/>
    <w:rsid w:val="02063B61"/>
    <w:rsid w:val="02064B47"/>
    <w:rsid w:val="02132B87"/>
    <w:rsid w:val="021D448D"/>
    <w:rsid w:val="022812AF"/>
    <w:rsid w:val="02412849"/>
    <w:rsid w:val="024617F2"/>
    <w:rsid w:val="024B32D4"/>
    <w:rsid w:val="02572E23"/>
    <w:rsid w:val="025D32D6"/>
    <w:rsid w:val="02614D5E"/>
    <w:rsid w:val="026B0E1D"/>
    <w:rsid w:val="026D30F7"/>
    <w:rsid w:val="02701597"/>
    <w:rsid w:val="0277484A"/>
    <w:rsid w:val="02832C13"/>
    <w:rsid w:val="02854F8C"/>
    <w:rsid w:val="02874CA0"/>
    <w:rsid w:val="02904E25"/>
    <w:rsid w:val="02A7270F"/>
    <w:rsid w:val="02C33472"/>
    <w:rsid w:val="02CE17E8"/>
    <w:rsid w:val="02D26084"/>
    <w:rsid w:val="02DB4DF7"/>
    <w:rsid w:val="02E565E2"/>
    <w:rsid w:val="02E713EA"/>
    <w:rsid w:val="02F65097"/>
    <w:rsid w:val="02F8646C"/>
    <w:rsid w:val="03082F4B"/>
    <w:rsid w:val="030A0C9E"/>
    <w:rsid w:val="030A706D"/>
    <w:rsid w:val="03205381"/>
    <w:rsid w:val="033B4F54"/>
    <w:rsid w:val="035D1454"/>
    <w:rsid w:val="036C34DA"/>
    <w:rsid w:val="036F1D46"/>
    <w:rsid w:val="038037F7"/>
    <w:rsid w:val="03896C4E"/>
    <w:rsid w:val="03917855"/>
    <w:rsid w:val="03AB66F3"/>
    <w:rsid w:val="03C25B44"/>
    <w:rsid w:val="03E137C1"/>
    <w:rsid w:val="03F27BE8"/>
    <w:rsid w:val="041378F5"/>
    <w:rsid w:val="041E690A"/>
    <w:rsid w:val="046267BD"/>
    <w:rsid w:val="047D1717"/>
    <w:rsid w:val="04887663"/>
    <w:rsid w:val="04964F06"/>
    <w:rsid w:val="049B394B"/>
    <w:rsid w:val="04BA0275"/>
    <w:rsid w:val="04CB09D5"/>
    <w:rsid w:val="04EC3DA3"/>
    <w:rsid w:val="050D54D0"/>
    <w:rsid w:val="05402991"/>
    <w:rsid w:val="054575F8"/>
    <w:rsid w:val="054A0F95"/>
    <w:rsid w:val="054E1CE0"/>
    <w:rsid w:val="055F00B7"/>
    <w:rsid w:val="057042C9"/>
    <w:rsid w:val="05725950"/>
    <w:rsid w:val="05774B58"/>
    <w:rsid w:val="057A7F6E"/>
    <w:rsid w:val="05876B35"/>
    <w:rsid w:val="05972365"/>
    <w:rsid w:val="05A50F26"/>
    <w:rsid w:val="05AD42ED"/>
    <w:rsid w:val="05BA2969"/>
    <w:rsid w:val="05BE2F0D"/>
    <w:rsid w:val="05C515A4"/>
    <w:rsid w:val="05D45367"/>
    <w:rsid w:val="05D62AE5"/>
    <w:rsid w:val="05E57574"/>
    <w:rsid w:val="05FC494C"/>
    <w:rsid w:val="060454DB"/>
    <w:rsid w:val="060A5284"/>
    <w:rsid w:val="062E0F1B"/>
    <w:rsid w:val="066D1D57"/>
    <w:rsid w:val="06734B80"/>
    <w:rsid w:val="06887F48"/>
    <w:rsid w:val="06AA6543"/>
    <w:rsid w:val="06BE30D0"/>
    <w:rsid w:val="06EF35C6"/>
    <w:rsid w:val="06F16183"/>
    <w:rsid w:val="07195727"/>
    <w:rsid w:val="073A569E"/>
    <w:rsid w:val="07660BE9"/>
    <w:rsid w:val="0770705C"/>
    <w:rsid w:val="0790350F"/>
    <w:rsid w:val="07927288"/>
    <w:rsid w:val="079428F4"/>
    <w:rsid w:val="079C1EB4"/>
    <w:rsid w:val="079C7ECA"/>
    <w:rsid w:val="079D0BE2"/>
    <w:rsid w:val="07A34FF1"/>
    <w:rsid w:val="07C46095"/>
    <w:rsid w:val="07C7559B"/>
    <w:rsid w:val="07F02678"/>
    <w:rsid w:val="07F5179D"/>
    <w:rsid w:val="08031F33"/>
    <w:rsid w:val="08176DD1"/>
    <w:rsid w:val="08186ED9"/>
    <w:rsid w:val="08210512"/>
    <w:rsid w:val="08290F6A"/>
    <w:rsid w:val="082A28AB"/>
    <w:rsid w:val="0835675E"/>
    <w:rsid w:val="0838046A"/>
    <w:rsid w:val="084407B0"/>
    <w:rsid w:val="085207C5"/>
    <w:rsid w:val="08554235"/>
    <w:rsid w:val="085B1D6F"/>
    <w:rsid w:val="085B6064"/>
    <w:rsid w:val="085C2CE8"/>
    <w:rsid w:val="085E53BC"/>
    <w:rsid w:val="08667849"/>
    <w:rsid w:val="087A0447"/>
    <w:rsid w:val="087A60B7"/>
    <w:rsid w:val="0882008E"/>
    <w:rsid w:val="08872E3C"/>
    <w:rsid w:val="088875E7"/>
    <w:rsid w:val="088B2EE5"/>
    <w:rsid w:val="089A4646"/>
    <w:rsid w:val="08A94889"/>
    <w:rsid w:val="08AA46C1"/>
    <w:rsid w:val="08B432AC"/>
    <w:rsid w:val="08EA27BC"/>
    <w:rsid w:val="09061CDB"/>
    <w:rsid w:val="090A42F6"/>
    <w:rsid w:val="091E7FD5"/>
    <w:rsid w:val="091F7003"/>
    <w:rsid w:val="092A447A"/>
    <w:rsid w:val="092C43E3"/>
    <w:rsid w:val="093D57F4"/>
    <w:rsid w:val="0950470A"/>
    <w:rsid w:val="09762AEE"/>
    <w:rsid w:val="097B02EA"/>
    <w:rsid w:val="09C3197A"/>
    <w:rsid w:val="09D50B2E"/>
    <w:rsid w:val="09E35A8F"/>
    <w:rsid w:val="09EA213D"/>
    <w:rsid w:val="09EC3D33"/>
    <w:rsid w:val="09EF50C8"/>
    <w:rsid w:val="0A08744C"/>
    <w:rsid w:val="0A0976BB"/>
    <w:rsid w:val="0A1845A6"/>
    <w:rsid w:val="0A186344"/>
    <w:rsid w:val="0A235AF7"/>
    <w:rsid w:val="0A3E3F88"/>
    <w:rsid w:val="0A6022E1"/>
    <w:rsid w:val="0A672A35"/>
    <w:rsid w:val="0A8A1552"/>
    <w:rsid w:val="0A991287"/>
    <w:rsid w:val="0AAC4A55"/>
    <w:rsid w:val="0AB16CAD"/>
    <w:rsid w:val="0AC83335"/>
    <w:rsid w:val="0AE70327"/>
    <w:rsid w:val="0AF52007"/>
    <w:rsid w:val="0AF7097C"/>
    <w:rsid w:val="0B0267FA"/>
    <w:rsid w:val="0B166CF5"/>
    <w:rsid w:val="0B167DBC"/>
    <w:rsid w:val="0B1F3949"/>
    <w:rsid w:val="0B220922"/>
    <w:rsid w:val="0B25432A"/>
    <w:rsid w:val="0B364F7A"/>
    <w:rsid w:val="0B401ADA"/>
    <w:rsid w:val="0B5D1A85"/>
    <w:rsid w:val="0B666DB6"/>
    <w:rsid w:val="0B6B7EE6"/>
    <w:rsid w:val="0B6D6042"/>
    <w:rsid w:val="0B986F9F"/>
    <w:rsid w:val="0BBC4457"/>
    <w:rsid w:val="0BC22433"/>
    <w:rsid w:val="0BC9793D"/>
    <w:rsid w:val="0BE92434"/>
    <w:rsid w:val="0C010536"/>
    <w:rsid w:val="0C0142A8"/>
    <w:rsid w:val="0C0149DC"/>
    <w:rsid w:val="0C3A09E2"/>
    <w:rsid w:val="0C3D1EB8"/>
    <w:rsid w:val="0C403A01"/>
    <w:rsid w:val="0C472848"/>
    <w:rsid w:val="0C484020"/>
    <w:rsid w:val="0C4B1E57"/>
    <w:rsid w:val="0C581602"/>
    <w:rsid w:val="0C635D6A"/>
    <w:rsid w:val="0C7F3BFC"/>
    <w:rsid w:val="0C876847"/>
    <w:rsid w:val="0C8F6E94"/>
    <w:rsid w:val="0CB6728F"/>
    <w:rsid w:val="0CB97065"/>
    <w:rsid w:val="0CBD0506"/>
    <w:rsid w:val="0CDD014F"/>
    <w:rsid w:val="0CDF45C6"/>
    <w:rsid w:val="0CE42FE0"/>
    <w:rsid w:val="0CF14B0E"/>
    <w:rsid w:val="0CF713B5"/>
    <w:rsid w:val="0CFD25BD"/>
    <w:rsid w:val="0D166EA2"/>
    <w:rsid w:val="0D3A39B1"/>
    <w:rsid w:val="0D4A02A6"/>
    <w:rsid w:val="0D6D4DC3"/>
    <w:rsid w:val="0D734079"/>
    <w:rsid w:val="0D824FF5"/>
    <w:rsid w:val="0D8D32AC"/>
    <w:rsid w:val="0D933F5C"/>
    <w:rsid w:val="0DAB1B73"/>
    <w:rsid w:val="0DC65EDD"/>
    <w:rsid w:val="0E024AB5"/>
    <w:rsid w:val="0E063787"/>
    <w:rsid w:val="0E0C42FA"/>
    <w:rsid w:val="0E4C09F2"/>
    <w:rsid w:val="0E826EB4"/>
    <w:rsid w:val="0E8B4F0A"/>
    <w:rsid w:val="0EA74B5C"/>
    <w:rsid w:val="0ED80829"/>
    <w:rsid w:val="0EDE0A50"/>
    <w:rsid w:val="0EF47877"/>
    <w:rsid w:val="0F0376B4"/>
    <w:rsid w:val="0F053B69"/>
    <w:rsid w:val="0F134293"/>
    <w:rsid w:val="0F20161D"/>
    <w:rsid w:val="0F2C766A"/>
    <w:rsid w:val="0F38239C"/>
    <w:rsid w:val="0F5F0920"/>
    <w:rsid w:val="0F65017C"/>
    <w:rsid w:val="0F862A78"/>
    <w:rsid w:val="0F8711B3"/>
    <w:rsid w:val="0F8B4403"/>
    <w:rsid w:val="0F9846A6"/>
    <w:rsid w:val="0F9F0E23"/>
    <w:rsid w:val="0FC00610"/>
    <w:rsid w:val="0FC0631E"/>
    <w:rsid w:val="0FCD563C"/>
    <w:rsid w:val="0FD76AF6"/>
    <w:rsid w:val="0FED4157"/>
    <w:rsid w:val="0FFA6111"/>
    <w:rsid w:val="10164BA2"/>
    <w:rsid w:val="101D790A"/>
    <w:rsid w:val="10216824"/>
    <w:rsid w:val="10276BB8"/>
    <w:rsid w:val="104B4EC7"/>
    <w:rsid w:val="1068327B"/>
    <w:rsid w:val="106E4FA7"/>
    <w:rsid w:val="10702699"/>
    <w:rsid w:val="107C3DF4"/>
    <w:rsid w:val="108E6DDE"/>
    <w:rsid w:val="109854DD"/>
    <w:rsid w:val="109A1221"/>
    <w:rsid w:val="10A25F5C"/>
    <w:rsid w:val="10B85B7F"/>
    <w:rsid w:val="10B8719B"/>
    <w:rsid w:val="10D20FA3"/>
    <w:rsid w:val="10D44F6A"/>
    <w:rsid w:val="10E96744"/>
    <w:rsid w:val="10EA1EE2"/>
    <w:rsid w:val="10F60887"/>
    <w:rsid w:val="10F863AD"/>
    <w:rsid w:val="10FF0F20"/>
    <w:rsid w:val="11061223"/>
    <w:rsid w:val="11065D81"/>
    <w:rsid w:val="110A191D"/>
    <w:rsid w:val="112F26C0"/>
    <w:rsid w:val="114215F5"/>
    <w:rsid w:val="114542EA"/>
    <w:rsid w:val="1149117E"/>
    <w:rsid w:val="11541D52"/>
    <w:rsid w:val="11741C87"/>
    <w:rsid w:val="11766E1A"/>
    <w:rsid w:val="11894686"/>
    <w:rsid w:val="11A25028"/>
    <w:rsid w:val="11A966FC"/>
    <w:rsid w:val="11AF70DB"/>
    <w:rsid w:val="11AF7799"/>
    <w:rsid w:val="11B309F5"/>
    <w:rsid w:val="11B361D3"/>
    <w:rsid w:val="11B37C5F"/>
    <w:rsid w:val="11BA7B07"/>
    <w:rsid w:val="11C563E4"/>
    <w:rsid w:val="11E70273"/>
    <w:rsid w:val="11F676B7"/>
    <w:rsid w:val="11FF5C12"/>
    <w:rsid w:val="12036E9B"/>
    <w:rsid w:val="12122C9D"/>
    <w:rsid w:val="121A5D1F"/>
    <w:rsid w:val="121D1E44"/>
    <w:rsid w:val="121E62E8"/>
    <w:rsid w:val="122C01F1"/>
    <w:rsid w:val="123567B5"/>
    <w:rsid w:val="12415950"/>
    <w:rsid w:val="124240A1"/>
    <w:rsid w:val="124675EC"/>
    <w:rsid w:val="124E2945"/>
    <w:rsid w:val="12544C6C"/>
    <w:rsid w:val="125C6E10"/>
    <w:rsid w:val="126260E1"/>
    <w:rsid w:val="126E66D8"/>
    <w:rsid w:val="12766F68"/>
    <w:rsid w:val="12784E55"/>
    <w:rsid w:val="128327DE"/>
    <w:rsid w:val="12881961"/>
    <w:rsid w:val="128A78E8"/>
    <w:rsid w:val="128C33F4"/>
    <w:rsid w:val="12971C87"/>
    <w:rsid w:val="12AF56C2"/>
    <w:rsid w:val="12C90F11"/>
    <w:rsid w:val="12D72F5E"/>
    <w:rsid w:val="12F1559D"/>
    <w:rsid w:val="12F8273A"/>
    <w:rsid w:val="12FB01C6"/>
    <w:rsid w:val="1314791D"/>
    <w:rsid w:val="131C20FB"/>
    <w:rsid w:val="133205F3"/>
    <w:rsid w:val="133501B8"/>
    <w:rsid w:val="13487675"/>
    <w:rsid w:val="134C03DB"/>
    <w:rsid w:val="13511919"/>
    <w:rsid w:val="13595D06"/>
    <w:rsid w:val="135B7ABC"/>
    <w:rsid w:val="138D11BC"/>
    <w:rsid w:val="13906D71"/>
    <w:rsid w:val="139D2FCC"/>
    <w:rsid w:val="13AB6434"/>
    <w:rsid w:val="13CE328A"/>
    <w:rsid w:val="13D02FAD"/>
    <w:rsid w:val="13D61A1C"/>
    <w:rsid w:val="13D73EA8"/>
    <w:rsid w:val="13D84C83"/>
    <w:rsid w:val="13DB04B7"/>
    <w:rsid w:val="13E408D2"/>
    <w:rsid w:val="14060DE1"/>
    <w:rsid w:val="14224495"/>
    <w:rsid w:val="14276FAA"/>
    <w:rsid w:val="14277C69"/>
    <w:rsid w:val="142B0848"/>
    <w:rsid w:val="1441058C"/>
    <w:rsid w:val="14426A88"/>
    <w:rsid w:val="146441B0"/>
    <w:rsid w:val="14B0712C"/>
    <w:rsid w:val="14D42C8D"/>
    <w:rsid w:val="14D63AF8"/>
    <w:rsid w:val="14F0226B"/>
    <w:rsid w:val="151C6717"/>
    <w:rsid w:val="15205ED3"/>
    <w:rsid w:val="15285578"/>
    <w:rsid w:val="152F6116"/>
    <w:rsid w:val="15490388"/>
    <w:rsid w:val="154C4F1A"/>
    <w:rsid w:val="15550B09"/>
    <w:rsid w:val="155550C1"/>
    <w:rsid w:val="156E26BA"/>
    <w:rsid w:val="156F0C08"/>
    <w:rsid w:val="156F3DFF"/>
    <w:rsid w:val="15881888"/>
    <w:rsid w:val="15954683"/>
    <w:rsid w:val="15C4339E"/>
    <w:rsid w:val="15C56451"/>
    <w:rsid w:val="15C8772A"/>
    <w:rsid w:val="15D34B9C"/>
    <w:rsid w:val="15D675AD"/>
    <w:rsid w:val="15D750FC"/>
    <w:rsid w:val="15DE594F"/>
    <w:rsid w:val="15E7494C"/>
    <w:rsid w:val="16162C58"/>
    <w:rsid w:val="1630298D"/>
    <w:rsid w:val="163E79E9"/>
    <w:rsid w:val="165170DE"/>
    <w:rsid w:val="16577237"/>
    <w:rsid w:val="166B3507"/>
    <w:rsid w:val="166B7621"/>
    <w:rsid w:val="166D72BD"/>
    <w:rsid w:val="169B5F81"/>
    <w:rsid w:val="16AE7F98"/>
    <w:rsid w:val="16B30189"/>
    <w:rsid w:val="16BA4105"/>
    <w:rsid w:val="16BF6BE7"/>
    <w:rsid w:val="17062FED"/>
    <w:rsid w:val="17074827"/>
    <w:rsid w:val="172072CE"/>
    <w:rsid w:val="173E6AE4"/>
    <w:rsid w:val="174001C6"/>
    <w:rsid w:val="174A6993"/>
    <w:rsid w:val="17573EE9"/>
    <w:rsid w:val="175A481E"/>
    <w:rsid w:val="175D5335"/>
    <w:rsid w:val="177112A7"/>
    <w:rsid w:val="17712A16"/>
    <w:rsid w:val="17750095"/>
    <w:rsid w:val="17821F33"/>
    <w:rsid w:val="17872239"/>
    <w:rsid w:val="17901C3F"/>
    <w:rsid w:val="17907B2D"/>
    <w:rsid w:val="17B13509"/>
    <w:rsid w:val="17C4420E"/>
    <w:rsid w:val="17EE4066"/>
    <w:rsid w:val="17F168F4"/>
    <w:rsid w:val="17FF6273"/>
    <w:rsid w:val="1804579C"/>
    <w:rsid w:val="180B424D"/>
    <w:rsid w:val="181D727D"/>
    <w:rsid w:val="18217691"/>
    <w:rsid w:val="182537A3"/>
    <w:rsid w:val="182D42C1"/>
    <w:rsid w:val="183844A4"/>
    <w:rsid w:val="18416030"/>
    <w:rsid w:val="1854683E"/>
    <w:rsid w:val="18625EBF"/>
    <w:rsid w:val="18656CB7"/>
    <w:rsid w:val="186F0D28"/>
    <w:rsid w:val="188012FF"/>
    <w:rsid w:val="18891FE1"/>
    <w:rsid w:val="188B1530"/>
    <w:rsid w:val="18921717"/>
    <w:rsid w:val="18936EC0"/>
    <w:rsid w:val="18997F37"/>
    <w:rsid w:val="18CB6946"/>
    <w:rsid w:val="18D25C2F"/>
    <w:rsid w:val="18E02502"/>
    <w:rsid w:val="18E51BE1"/>
    <w:rsid w:val="18F64206"/>
    <w:rsid w:val="18FA490E"/>
    <w:rsid w:val="18FB27FE"/>
    <w:rsid w:val="19191C44"/>
    <w:rsid w:val="191A313B"/>
    <w:rsid w:val="191B7F27"/>
    <w:rsid w:val="191D27E4"/>
    <w:rsid w:val="192C7E04"/>
    <w:rsid w:val="192F739D"/>
    <w:rsid w:val="19375EE1"/>
    <w:rsid w:val="193F7E29"/>
    <w:rsid w:val="194B4581"/>
    <w:rsid w:val="19773655"/>
    <w:rsid w:val="19805D37"/>
    <w:rsid w:val="198C1D89"/>
    <w:rsid w:val="19901BD6"/>
    <w:rsid w:val="19A97DC4"/>
    <w:rsid w:val="19B15D84"/>
    <w:rsid w:val="19B162D6"/>
    <w:rsid w:val="19BC7DDA"/>
    <w:rsid w:val="19C0272D"/>
    <w:rsid w:val="19C82216"/>
    <w:rsid w:val="19CC73C9"/>
    <w:rsid w:val="1A041EBA"/>
    <w:rsid w:val="1A0F6516"/>
    <w:rsid w:val="1A1306D6"/>
    <w:rsid w:val="1A2226ED"/>
    <w:rsid w:val="1A324F2D"/>
    <w:rsid w:val="1A462475"/>
    <w:rsid w:val="1A521A63"/>
    <w:rsid w:val="1A606171"/>
    <w:rsid w:val="1A746A64"/>
    <w:rsid w:val="1A787B40"/>
    <w:rsid w:val="1A874A9F"/>
    <w:rsid w:val="1A887EA1"/>
    <w:rsid w:val="1A8D1A02"/>
    <w:rsid w:val="1A903574"/>
    <w:rsid w:val="1A997EE2"/>
    <w:rsid w:val="1AAE25CF"/>
    <w:rsid w:val="1ACE017F"/>
    <w:rsid w:val="1AE35E18"/>
    <w:rsid w:val="1B115D3C"/>
    <w:rsid w:val="1B1E0896"/>
    <w:rsid w:val="1B612DA1"/>
    <w:rsid w:val="1B6A11E1"/>
    <w:rsid w:val="1B807337"/>
    <w:rsid w:val="1B8E66DD"/>
    <w:rsid w:val="1B99695D"/>
    <w:rsid w:val="1B9C0929"/>
    <w:rsid w:val="1BA47C58"/>
    <w:rsid w:val="1BA55045"/>
    <w:rsid w:val="1BB80F43"/>
    <w:rsid w:val="1BC170B5"/>
    <w:rsid w:val="1BC85289"/>
    <w:rsid w:val="1BCB5F23"/>
    <w:rsid w:val="1BE64759"/>
    <w:rsid w:val="1BF0529D"/>
    <w:rsid w:val="1C056994"/>
    <w:rsid w:val="1C293336"/>
    <w:rsid w:val="1C2E5CD4"/>
    <w:rsid w:val="1C3A3664"/>
    <w:rsid w:val="1C550846"/>
    <w:rsid w:val="1C63127F"/>
    <w:rsid w:val="1C6C08F4"/>
    <w:rsid w:val="1C6D7A62"/>
    <w:rsid w:val="1C861950"/>
    <w:rsid w:val="1C8B6F5F"/>
    <w:rsid w:val="1C996C5A"/>
    <w:rsid w:val="1C9B7F2C"/>
    <w:rsid w:val="1CDD28FB"/>
    <w:rsid w:val="1CEB2835"/>
    <w:rsid w:val="1CEF4C58"/>
    <w:rsid w:val="1CF923C8"/>
    <w:rsid w:val="1D0732EA"/>
    <w:rsid w:val="1D155103"/>
    <w:rsid w:val="1D35483F"/>
    <w:rsid w:val="1D385997"/>
    <w:rsid w:val="1D4C378E"/>
    <w:rsid w:val="1D542943"/>
    <w:rsid w:val="1D6867AA"/>
    <w:rsid w:val="1D6B0D1C"/>
    <w:rsid w:val="1D6B553A"/>
    <w:rsid w:val="1D725F31"/>
    <w:rsid w:val="1D9A028D"/>
    <w:rsid w:val="1DA8115B"/>
    <w:rsid w:val="1DAF24EA"/>
    <w:rsid w:val="1DB719D9"/>
    <w:rsid w:val="1DB74394"/>
    <w:rsid w:val="1DC204E2"/>
    <w:rsid w:val="1DD0420E"/>
    <w:rsid w:val="1DEF3BFA"/>
    <w:rsid w:val="1DF97E9A"/>
    <w:rsid w:val="1DFE4B18"/>
    <w:rsid w:val="1E13124E"/>
    <w:rsid w:val="1E1F6FD4"/>
    <w:rsid w:val="1E28165B"/>
    <w:rsid w:val="1E2C09AB"/>
    <w:rsid w:val="1E3F13E8"/>
    <w:rsid w:val="1E591E92"/>
    <w:rsid w:val="1E5A177B"/>
    <w:rsid w:val="1E6D42C6"/>
    <w:rsid w:val="1E8407C2"/>
    <w:rsid w:val="1E99527E"/>
    <w:rsid w:val="1EA31FFF"/>
    <w:rsid w:val="1ED4373A"/>
    <w:rsid w:val="1EF51209"/>
    <w:rsid w:val="1EFC66B5"/>
    <w:rsid w:val="1F0001D5"/>
    <w:rsid w:val="1F122256"/>
    <w:rsid w:val="1F182875"/>
    <w:rsid w:val="1F1C595D"/>
    <w:rsid w:val="1F2A6718"/>
    <w:rsid w:val="1F622F94"/>
    <w:rsid w:val="1F766018"/>
    <w:rsid w:val="1F81741B"/>
    <w:rsid w:val="1F8B326D"/>
    <w:rsid w:val="1F932092"/>
    <w:rsid w:val="1FB25319"/>
    <w:rsid w:val="1FBE2CB0"/>
    <w:rsid w:val="1FC4124F"/>
    <w:rsid w:val="1FDF119E"/>
    <w:rsid w:val="201F03F2"/>
    <w:rsid w:val="202177E7"/>
    <w:rsid w:val="2040436F"/>
    <w:rsid w:val="204129C1"/>
    <w:rsid w:val="205739C6"/>
    <w:rsid w:val="20B1245C"/>
    <w:rsid w:val="20C22534"/>
    <w:rsid w:val="20CC4AE9"/>
    <w:rsid w:val="20F12E19"/>
    <w:rsid w:val="20FE21F6"/>
    <w:rsid w:val="211D3F48"/>
    <w:rsid w:val="21306063"/>
    <w:rsid w:val="214D7F75"/>
    <w:rsid w:val="215545B8"/>
    <w:rsid w:val="21666397"/>
    <w:rsid w:val="21692402"/>
    <w:rsid w:val="216C4D54"/>
    <w:rsid w:val="21782D76"/>
    <w:rsid w:val="217B5F4F"/>
    <w:rsid w:val="219A6E87"/>
    <w:rsid w:val="21AC1370"/>
    <w:rsid w:val="21AC6C50"/>
    <w:rsid w:val="21B21144"/>
    <w:rsid w:val="21B53414"/>
    <w:rsid w:val="21C422DC"/>
    <w:rsid w:val="21CD7397"/>
    <w:rsid w:val="21D42B22"/>
    <w:rsid w:val="21FE0428"/>
    <w:rsid w:val="22292C54"/>
    <w:rsid w:val="223D493B"/>
    <w:rsid w:val="223E6B17"/>
    <w:rsid w:val="226C09A9"/>
    <w:rsid w:val="22866B81"/>
    <w:rsid w:val="22B14F20"/>
    <w:rsid w:val="22E569AE"/>
    <w:rsid w:val="23103DC5"/>
    <w:rsid w:val="233A3091"/>
    <w:rsid w:val="23400FE6"/>
    <w:rsid w:val="23565547"/>
    <w:rsid w:val="23614850"/>
    <w:rsid w:val="2385142A"/>
    <w:rsid w:val="23965D35"/>
    <w:rsid w:val="23C748F0"/>
    <w:rsid w:val="23D116CA"/>
    <w:rsid w:val="23E303FA"/>
    <w:rsid w:val="2406098A"/>
    <w:rsid w:val="2407133A"/>
    <w:rsid w:val="24292561"/>
    <w:rsid w:val="242A22F9"/>
    <w:rsid w:val="24405900"/>
    <w:rsid w:val="24575A93"/>
    <w:rsid w:val="245B28F0"/>
    <w:rsid w:val="24651576"/>
    <w:rsid w:val="246931A3"/>
    <w:rsid w:val="249F2143"/>
    <w:rsid w:val="24AF2DCF"/>
    <w:rsid w:val="24BC4775"/>
    <w:rsid w:val="24BE2F37"/>
    <w:rsid w:val="24C023F7"/>
    <w:rsid w:val="24C17129"/>
    <w:rsid w:val="24C904D9"/>
    <w:rsid w:val="24D779BE"/>
    <w:rsid w:val="24EE7382"/>
    <w:rsid w:val="24F14E09"/>
    <w:rsid w:val="25050C41"/>
    <w:rsid w:val="250824DF"/>
    <w:rsid w:val="250F1637"/>
    <w:rsid w:val="25186BD9"/>
    <w:rsid w:val="251A0B90"/>
    <w:rsid w:val="252E1698"/>
    <w:rsid w:val="25326A1A"/>
    <w:rsid w:val="255F7AD2"/>
    <w:rsid w:val="256D4FBD"/>
    <w:rsid w:val="257706D1"/>
    <w:rsid w:val="257F6C45"/>
    <w:rsid w:val="25800D6B"/>
    <w:rsid w:val="25842F03"/>
    <w:rsid w:val="258D7072"/>
    <w:rsid w:val="259D3142"/>
    <w:rsid w:val="25A22420"/>
    <w:rsid w:val="25C10A2A"/>
    <w:rsid w:val="25E30DED"/>
    <w:rsid w:val="25F66BC9"/>
    <w:rsid w:val="2627224F"/>
    <w:rsid w:val="262A3428"/>
    <w:rsid w:val="26507C71"/>
    <w:rsid w:val="266D4CF0"/>
    <w:rsid w:val="268F0627"/>
    <w:rsid w:val="269879AC"/>
    <w:rsid w:val="26AA088B"/>
    <w:rsid w:val="26B8793C"/>
    <w:rsid w:val="26E06270"/>
    <w:rsid w:val="270C7E7B"/>
    <w:rsid w:val="27180E6A"/>
    <w:rsid w:val="271E393C"/>
    <w:rsid w:val="27210BF0"/>
    <w:rsid w:val="274E3F04"/>
    <w:rsid w:val="27581696"/>
    <w:rsid w:val="27644345"/>
    <w:rsid w:val="276D5943"/>
    <w:rsid w:val="278F4995"/>
    <w:rsid w:val="27902CC9"/>
    <w:rsid w:val="27AA4610"/>
    <w:rsid w:val="27AC54F6"/>
    <w:rsid w:val="27B64E67"/>
    <w:rsid w:val="27C23559"/>
    <w:rsid w:val="27C57281"/>
    <w:rsid w:val="27C72359"/>
    <w:rsid w:val="27C87B08"/>
    <w:rsid w:val="27C933D0"/>
    <w:rsid w:val="27D736F7"/>
    <w:rsid w:val="27E86D24"/>
    <w:rsid w:val="28055B11"/>
    <w:rsid w:val="282E3D83"/>
    <w:rsid w:val="28330349"/>
    <w:rsid w:val="283C0E1E"/>
    <w:rsid w:val="283E4B96"/>
    <w:rsid w:val="284B7D71"/>
    <w:rsid w:val="285309E1"/>
    <w:rsid w:val="286216CD"/>
    <w:rsid w:val="28695A7B"/>
    <w:rsid w:val="2873035F"/>
    <w:rsid w:val="28884063"/>
    <w:rsid w:val="28B34564"/>
    <w:rsid w:val="28B43D14"/>
    <w:rsid w:val="28E47092"/>
    <w:rsid w:val="29304A14"/>
    <w:rsid w:val="294409BC"/>
    <w:rsid w:val="29652790"/>
    <w:rsid w:val="29690D96"/>
    <w:rsid w:val="297306E7"/>
    <w:rsid w:val="299F433F"/>
    <w:rsid w:val="29A143AE"/>
    <w:rsid w:val="29A82408"/>
    <w:rsid w:val="29AA2BCE"/>
    <w:rsid w:val="29B46D85"/>
    <w:rsid w:val="29CF08C6"/>
    <w:rsid w:val="29D247BE"/>
    <w:rsid w:val="29DB5624"/>
    <w:rsid w:val="29EC16EE"/>
    <w:rsid w:val="29F3375E"/>
    <w:rsid w:val="29F551F9"/>
    <w:rsid w:val="29FA2986"/>
    <w:rsid w:val="29FC5621"/>
    <w:rsid w:val="29FF2103"/>
    <w:rsid w:val="2A0B0AA8"/>
    <w:rsid w:val="2A2A5B1D"/>
    <w:rsid w:val="2A4A0382"/>
    <w:rsid w:val="2A581BB7"/>
    <w:rsid w:val="2A604683"/>
    <w:rsid w:val="2A641987"/>
    <w:rsid w:val="2A726D79"/>
    <w:rsid w:val="2A7A79DB"/>
    <w:rsid w:val="2A805470"/>
    <w:rsid w:val="2A8810EB"/>
    <w:rsid w:val="2A8B3551"/>
    <w:rsid w:val="2A9E1584"/>
    <w:rsid w:val="2AA02867"/>
    <w:rsid w:val="2AB2663D"/>
    <w:rsid w:val="2AB357E7"/>
    <w:rsid w:val="2ABB6960"/>
    <w:rsid w:val="2AC85D31"/>
    <w:rsid w:val="2ACE110D"/>
    <w:rsid w:val="2AF33F87"/>
    <w:rsid w:val="2AF76423"/>
    <w:rsid w:val="2B127165"/>
    <w:rsid w:val="2B395A62"/>
    <w:rsid w:val="2B4167F4"/>
    <w:rsid w:val="2B44587B"/>
    <w:rsid w:val="2B467033"/>
    <w:rsid w:val="2B63494F"/>
    <w:rsid w:val="2B850876"/>
    <w:rsid w:val="2B8C029D"/>
    <w:rsid w:val="2B946A71"/>
    <w:rsid w:val="2B9672D3"/>
    <w:rsid w:val="2BB23B01"/>
    <w:rsid w:val="2BC22732"/>
    <w:rsid w:val="2BE33ED3"/>
    <w:rsid w:val="2BE43FF8"/>
    <w:rsid w:val="2BFD4759"/>
    <w:rsid w:val="2C023E6C"/>
    <w:rsid w:val="2C05511C"/>
    <w:rsid w:val="2C0E0D23"/>
    <w:rsid w:val="2C1C31A7"/>
    <w:rsid w:val="2C3A7B0C"/>
    <w:rsid w:val="2C662F70"/>
    <w:rsid w:val="2C665384"/>
    <w:rsid w:val="2C702887"/>
    <w:rsid w:val="2C8F2FAE"/>
    <w:rsid w:val="2C9B2839"/>
    <w:rsid w:val="2CAC46BC"/>
    <w:rsid w:val="2CBE2841"/>
    <w:rsid w:val="2CC9536F"/>
    <w:rsid w:val="2CF241A1"/>
    <w:rsid w:val="2CF617E0"/>
    <w:rsid w:val="2CF918A8"/>
    <w:rsid w:val="2D163A5B"/>
    <w:rsid w:val="2D164FB2"/>
    <w:rsid w:val="2D9F53DD"/>
    <w:rsid w:val="2DAA58FD"/>
    <w:rsid w:val="2DBB723B"/>
    <w:rsid w:val="2DC37DF1"/>
    <w:rsid w:val="2DC518B5"/>
    <w:rsid w:val="2DDD4AFC"/>
    <w:rsid w:val="2DE41E6C"/>
    <w:rsid w:val="2DF9330D"/>
    <w:rsid w:val="2DFE3B11"/>
    <w:rsid w:val="2E0C7407"/>
    <w:rsid w:val="2E0D173F"/>
    <w:rsid w:val="2E107BBE"/>
    <w:rsid w:val="2E383E35"/>
    <w:rsid w:val="2E3F6F72"/>
    <w:rsid w:val="2E650202"/>
    <w:rsid w:val="2E825B76"/>
    <w:rsid w:val="2E887071"/>
    <w:rsid w:val="2E94389C"/>
    <w:rsid w:val="2EB55486"/>
    <w:rsid w:val="2EBA7E09"/>
    <w:rsid w:val="2ED8069F"/>
    <w:rsid w:val="2EF67F2A"/>
    <w:rsid w:val="2F054C2F"/>
    <w:rsid w:val="2F093C07"/>
    <w:rsid w:val="2F0B25ED"/>
    <w:rsid w:val="2F4131BE"/>
    <w:rsid w:val="2F42550A"/>
    <w:rsid w:val="2F427F66"/>
    <w:rsid w:val="2F4A1FBC"/>
    <w:rsid w:val="2F4E6783"/>
    <w:rsid w:val="2F54225E"/>
    <w:rsid w:val="2F554D7F"/>
    <w:rsid w:val="2F596E5D"/>
    <w:rsid w:val="2F5D192E"/>
    <w:rsid w:val="2F611ABC"/>
    <w:rsid w:val="2F690BCB"/>
    <w:rsid w:val="2F6E001C"/>
    <w:rsid w:val="2F984ABB"/>
    <w:rsid w:val="2FB4573E"/>
    <w:rsid w:val="2FB72194"/>
    <w:rsid w:val="2FC84604"/>
    <w:rsid w:val="2FCE2CA3"/>
    <w:rsid w:val="2FD03E7A"/>
    <w:rsid w:val="2FDF7A0E"/>
    <w:rsid w:val="2FE32412"/>
    <w:rsid w:val="2FF67B04"/>
    <w:rsid w:val="30112E06"/>
    <w:rsid w:val="30124FBE"/>
    <w:rsid w:val="30346EAA"/>
    <w:rsid w:val="30347F65"/>
    <w:rsid w:val="304004EE"/>
    <w:rsid w:val="304E16EE"/>
    <w:rsid w:val="3050298E"/>
    <w:rsid w:val="30561692"/>
    <w:rsid w:val="30564A47"/>
    <w:rsid w:val="305A4537"/>
    <w:rsid w:val="305F1FC5"/>
    <w:rsid w:val="305F634A"/>
    <w:rsid w:val="309144F6"/>
    <w:rsid w:val="3093532E"/>
    <w:rsid w:val="30964D84"/>
    <w:rsid w:val="30AA13BF"/>
    <w:rsid w:val="30AC409C"/>
    <w:rsid w:val="30B5176D"/>
    <w:rsid w:val="30E06330"/>
    <w:rsid w:val="310B386C"/>
    <w:rsid w:val="310C4A4C"/>
    <w:rsid w:val="31195802"/>
    <w:rsid w:val="31203B61"/>
    <w:rsid w:val="31233074"/>
    <w:rsid w:val="314642C9"/>
    <w:rsid w:val="31571385"/>
    <w:rsid w:val="3160764A"/>
    <w:rsid w:val="31634BCE"/>
    <w:rsid w:val="316C2C18"/>
    <w:rsid w:val="31756A45"/>
    <w:rsid w:val="31926D16"/>
    <w:rsid w:val="31A1306B"/>
    <w:rsid w:val="31C45D37"/>
    <w:rsid w:val="31D4278E"/>
    <w:rsid w:val="31FE6D95"/>
    <w:rsid w:val="323A719D"/>
    <w:rsid w:val="324D035F"/>
    <w:rsid w:val="324E226E"/>
    <w:rsid w:val="32832F69"/>
    <w:rsid w:val="32A7158A"/>
    <w:rsid w:val="32B15F25"/>
    <w:rsid w:val="32BE778D"/>
    <w:rsid w:val="32CE1BE7"/>
    <w:rsid w:val="32D4454C"/>
    <w:rsid w:val="32DB2198"/>
    <w:rsid w:val="32F341BB"/>
    <w:rsid w:val="32FF588D"/>
    <w:rsid w:val="33023583"/>
    <w:rsid w:val="33305A23"/>
    <w:rsid w:val="3341058C"/>
    <w:rsid w:val="33434A04"/>
    <w:rsid w:val="33552E44"/>
    <w:rsid w:val="335C0F0C"/>
    <w:rsid w:val="336819F9"/>
    <w:rsid w:val="33710420"/>
    <w:rsid w:val="338167C8"/>
    <w:rsid w:val="33897CA5"/>
    <w:rsid w:val="338F4BBD"/>
    <w:rsid w:val="33C70135"/>
    <w:rsid w:val="33CB74FA"/>
    <w:rsid w:val="33D36D85"/>
    <w:rsid w:val="33D4590D"/>
    <w:rsid w:val="33D52944"/>
    <w:rsid w:val="33DC601A"/>
    <w:rsid w:val="33F43289"/>
    <w:rsid w:val="34014EE4"/>
    <w:rsid w:val="344A3B15"/>
    <w:rsid w:val="344A5CAF"/>
    <w:rsid w:val="34627E84"/>
    <w:rsid w:val="346678FC"/>
    <w:rsid w:val="34751FF9"/>
    <w:rsid w:val="34761B3D"/>
    <w:rsid w:val="34767465"/>
    <w:rsid w:val="34911580"/>
    <w:rsid w:val="349E727F"/>
    <w:rsid w:val="34AA5361"/>
    <w:rsid w:val="34C10A99"/>
    <w:rsid w:val="34E837D0"/>
    <w:rsid w:val="34ED2EF3"/>
    <w:rsid w:val="34F26246"/>
    <w:rsid w:val="34FB6280"/>
    <w:rsid w:val="34FB796B"/>
    <w:rsid w:val="35191C89"/>
    <w:rsid w:val="352B7FCC"/>
    <w:rsid w:val="353E1DF5"/>
    <w:rsid w:val="35441312"/>
    <w:rsid w:val="35530B97"/>
    <w:rsid w:val="35534D2B"/>
    <w:rsid w:val="3577343C"/>
    <w:rsid w:val="35884C5D"/>
    <w:rsid w:val="359663C1"/>
    <w:rsid w:val="359E60A8"/>
    <w:rsid w:val="35CB32CD"/>
    <w:rsid w:val="35DD3A09"/>
    <w:rsid w:val="35E96F56"/>
    <w:rsid w:val="35F82C40"/>
    <w:rsid w:val="35FF2AA4"/>
    <w:rsid w:val="360E3D96"/>
    <w:rsid w:val="361851AE"/>
    <w:rsid w:val="36261145"/>
    <w:rsid w:val="364517E5"/>
    <w:rsid w:val="36504388"/>
    <w:rsid w:val="3660217B"/>
    <w:rsid w:val="36860188"/>
    <w:rsid w:val="3688296F"/>
    <w:rsid w:val="369F5F8F"/>
    <w:rsid w:val="36D01BBB"/>
    <w:rsid w:val="36D72354"/>
    <w:rsid w:val="36D954F0"/>
    <w:rsid w:val="370666E5"/>
    <w:rsid w:val="37342434"/>
    <w:rsid w:val="37374EDB"/>
    <w:rsid w:val="37377380"/>
    <w:rsid w:val="374250EA"/>
    <w:rsid w:val="374E155E"/>
    <w:rsid w:val="375068F8"/>
    <w:rsid w:val="37691EBB"/>
    <w:rsid w:val="376B6B46"/>
    <w:rsid w:val="3773325A"/>
    <w:rsid w:val="37763244"/>
    <w:rsid w:val="37812ADE"/>
    <w:rsid w:val="3782361C"/>
    <w:rsid w:val="37866B0A"/>
    <w:rsid w:val="379314F1"/>
    <w:rsid w:val="37B46BAB"/>
    <w:rsid w:val="37CB2D9B"/>
    <w:rsid w:val="37E05E03"/>
    <w:rsid w:val="37E92EA6"/>
    <w:rsid w:val="382660E9"/>
    <w:rsid w:val="3838588B"/>
    <w:rsid w:val="383A131B"/>
    <w:rsid w:val="38543F62"/>
    <w:rsid w:val="38584D39"/>
    <w:rsid w:val="385F1A9D"/>
    <w:rsid w:val="3884005D"/>
    <w:rsid w:val="38887E1E"/>
    <w:rsid w:val="388A03D1"/>
    <w:rsid w:val="389712F2"/>
    <w:rsid w:val="389E6F8B"/>
    <w:rsid w:val="38B22A36"/>
    <w:rsid w:val="38BC5D6B"/>
    <w:rsid w:val="38D34CE5"/>
    <w:rsid w:val="39010974"/>
    <w:rsid w:val="391E088C"/>
    <w:rsid w:val="39346060"/>
    <w:rsid w:val="3935437F"/>
    <w:rsid w:val="393C68C1"/>
    <w:rsid w:val="394153A0"/>
    <w:rsid w:val="39496D47"/>
    <w:rsid w:val="39515D96"/>
    <w:rsid w:val="395C5C3C"/>
    <w:rsid w:val="39624BFA"/>
    <w:rsid w:val="39627FB8"/>
    <w:rsid w:val="397C3770"/>
    <w:rsid w:val="398630C2"/>
    <w:rsid w:val="399003FF"/>
    <w:rsid w:val="39917E8F"/>
    <w:rsid w:val="39924D42"/>
    <w:rsid w:val="39A03524"/>
    <w:rsid w:val="39A21B69"/>
    <w:rsid w:val="39B431AE"/>
    <w:rsid w:val="39DA3426"/>
    <w:rsid w:val="39E901AB"/>
    <w:rsid w:val="39E901BA"/>
    <w:rsid w:val="39E91C6F"/>
    <w:rsid w:val="39F63F04"/>
    <w:rsid w:val="39FF7EFD"/>
    <w:rsid w:val="3A0B39E8"/>
    <w:rsid w:val="3A1060D4"/>
    <w:rsid w:val="3A281202"/>
    <w:rsid w:val="3A3E0552"/>
    <w:rsid w:val="3A541E9A"/>
    <w:rsid w:val="3A626207"/>
    <w:rsid w:val="3A8D3267"/>
    <w:rsid w:val="3A9B19D4"/>
    <w:rsid w:val="3ABE24A3"/>
    <w:rsid w:val="3AC2445B"/>
    <w:rsid w:val="3AC24B1F"/>
    <w:rsid w:val="3ACF0212"/>
    <w:rsid w:val="3AD30754"/>
    <w:rsid w:val="3AD66EB0"/>
    <w:rsid w:val="3AE96BE3"/>
    <w:rsid w:val="3AED53F2"/>
    <w:rsid w:val="3B021A53"/>
    <w:rsid w:val="3B0D493A"/>
    <w:rsid w:val="3B182927"/>
    <w:rsid w:val="3B191B5E"/>
    <w:rsid w:val="3B434A56"/>
    <w:rsid w:val="3B4F12B2"/>
    <w:rsid w:val="3B522C74"/>
    <w:rsid w:val="3B547DD5"/>
    <w:rsid w:val="3B5A1037"/>
    <w:rsid w:val="3B730A2C"/>
    <w:rsid w:val="3B8666FD"/>
    <w:rsid w:val="3B8A248D"/>
    <w:rsid w:val="3B8A7FFE"/>
    <w:rsid w:val="3B8D15A9"/>
    <w:rsid w:val="3B9F138E"/>
    <w:rsid w:val="3BE572AB"/>
    <w:rsid w:val="3BF24A4D"/>
    <w:rsid w:val="3BF972A2"/>
    <w:rsid w:val="3BFB4679"/>
    <w:rsid w:val="3C0173CA"/>
    <w:rsid w:val="3C0A04BB"/>
    <w:rsid w:val="3C6875A8"/>
    <w:rsid w:val="3C7057AE"/>
    <w:rsid w:val="3C862210"/>
    <w:rsid w:val="3C925D30"/>
    <w:rsid w:val="3CA8627B"/>
    <w:rsid w:val="3CA97F92"/>
    <w:rsid w:val="3CAC135C"/>
    <w:rsid w:val="3CB04AB6"/>
    <w:rsid w:val="3CCE0013"/>
    <w:rsid w:val="3CD25D00"/>
    <w:rsid w:val="3CDD669E"/>
    <w:rsid w:val="3D1A5A18"/>
    <w:rsid w:val="3D3712B0"/>
    <w:rsid w:val="3D4B442E"/>
    <w:rsid w:val="3D640A03"/>
    <w:rsid w:val="3D641AB8"/>
    <w:rsid w:val="3D6F0419"/>
    <w:rsid w:val="3D7D48B2"/>
    <w:rsid w:val="3D81386F"/>
    <w:rsid w:val="3D853AE2"/>
    <w:rsid w:val="3D9A7321"/>
    <w:rsid w:val="3DA9019F"/>
    <w:rsid w:val="3DAF12EE"/>
    <w:rsid w:val="3DB724DE"/>
    <w:rsid w:val="3DC70F93"/>
    <w:rsid w:val="3DDD0555"/>
    <w:rsid w:val="3E1407D9"/>
    <w:rsid w:val="3E206C43"/>
    <w:rsid w:val="3E2E431B"/>
    <w:rsid w:val="3E523A8B"/>
    <w:rsid w:val="3E74486F"/>
    <w:rsid w:val="3E7C3693"/>
    <w:rsid w:val="3E996386"/>
    <w:rsid w:val="3EAE565C"/>
    <w:rsid w:val="3EC7628C"/>
    <w:rsid w:val="3ECA6D2C"/>
    <w:rsid w:val="3EDC2981"/>
    <w:rsid w:val="3EDD4E4A"/>
    <w:rsid w:val="3F0C2C0C"/>
    <w:rsid w:val="3F237670"/>
    <w:rsid w:val="3F276C40"/>
    <w:rsid w:val="3F564F3B"/>
    <w:rsid w:val="3F5A50A4"/>
    <w:rsid w:val="3F6D39A8"/>
    <w:rsid w:val="3FA46EF8"/>
    <w:rsid w:val="3FAA0D21"/>
    <w:rsid w:val="3FAB246B"/>
    <w:rsid w:val="3FC035F5"/>
    <w:rsid w:val="3FC3761C"/>
    <w:rsid w:val="3FC40C19"/>
    <w:rsid w:val="3FD55759"/>
    <w:rsid w:val="3FD802C3"/>
    <w:rsid w:val="3FD92EBA"/>
    <w:rsid w:val="3FDA0AC6"/>
    <w:rsid w:val="3FDE248C"/>
    <w:rsid w:val="3FF53461"/>
    <w:rsid w:val="400E0E9A"/>
    <w:rsid w:val="40136E31"/>
    <w:rsid w:val="401B6C5D"/>
    <w:rsid w:val="40596BBF"/>
    <w:rsid w:val="40787368"/>
    <w:rsid w:val="409E0693"/>
    <w:rsid w:val="40DA4C13"/>
    <w:rsid w:val="40DB5BA5"/>
    <w:rsid w:val="40E43CD6"/>
    <w:rsid w:val="40E82081"/>
    <w:rsid w:val="40FA66A1"/>
    <w:rsid w:val="41126768"/>
    <w:rsid w:val="41181D29"/>
    <w:rsid w:val="412579B8"/>
    <w:rsid w:val="41303C39"/>
    <w:rsid w:val="413C37E5"/>
    <w:rsid w:val="414B2E3E"/>
    <w:rsid w:val="414C69F9"/>
    <w:rsid w:val="414F74CB"/>
    <w:rsid w:val="415B6654"/>
    <w:rsid w:val="416C51AE"/>
    <w:rsid w:val="417C22B1"/>
    <w:rsid w:val="417C2EE6"/>
    <w:rsid w:val="417F656D"/>
    <w:rsid w:val="41A0365E"/>
    <w:rsid w:val="41B423A3"/>
    <w:rsid w:val="41C92B51"/>
    <w:rsid w:val="41CE08E1"/>
    <w:rsid w:val="41D301C3"/>
    <w:rsid w:val="41D43A1D"/>
    <w:rsid w:val="41D623AF"/>
    <w:rsid w:val="41E270E0"/>
    <w:rsid w:val="41E40104"/>
    <w:rsid w:val="41E618AB"/>
    <w:rsid w:val="41EE3316"/>
    <w:rsid w:val="41F94D31"/>
    <w:rsid w:val="420058C3"/>
    <w:rsid w:val="42071D2B"/>
    <w:rsid w:val="421B164C"/>
    <w:rsid w:val="421B7105"/>
    <w:rsid w:val="422573CE"/>
    <w:rsid w:val="422F49B3"/>
    <w:rsid w:val="423F7F55"/>
    <w:rsid w:val="425E7507"/>
    <w:rsid w:val="42651F6F"/>
    <w:rsid w:val="42782BB3"/>
    <w:rsid w:val="42786A9F"/>
    <w:rsid w:val="427B5179"/>
    <w:rsid w:val="42802614"/>
    <w:rsid w:val="42817BCD"/>
    <w:rsid w:val="4288071B"/>
    <w:rsid w:val="428C60A6"/>
    <w:rsid w:val="42B01704"/>
    <w:rsid w:val="42CA32DA"/>
    <w:rsid w:val="42CC4106"/>
    <w:rsid w:val="42E068CB"/>
    <w:rsid w:val="42E179A0"/>
    <w:rsid w:val="42F1123A"/>
    <w:rsid w:val="42F26851"/>
    <w:rsid w:val="43062143"/>
    <w:rsid w:val="43176B99"/>
    <w:rsid w:val="433858A5"/>
    <w:rsid w:val="433E126A"/>
    <w:rsid w:val="43463BB3"/>
    <w:rsid w:val="435A0E6C"/>
    <w:rsid w:val="435D66CF"/>
    <w:rsid w:val="43853792"/>
    <w:rsid w:val="43920E07"/>
    <w:rsid w:val="43951B04"/>
    <w:rsid w:val="43BD670A"/>
    <w:rsid w:val="43D021A6"/>
    <w:rsid w:val="43E77A38"/>
    <w:rsid w:val="440512B1"/>
    <w:rsid w:val="44092E83"/>
    <w:rsid w:val="44147B34"/>
    <w:rsid w:val="441B5933"/>
    <w:rsid w:val="441D7748"/>
    <w:rsid w:val="442F3C65"/>
    <w:rsid w:val="444F0EB9"/>
    <w:rsid w:val="445A5FC5"/>
    <w:rsid w:val="44703ED1"/>
    <w:rsid w:val="44775EB5"/>
    <w:rsid w:val="44817707"/>
    <w:rsid w:val="448636F5"/>
    <w:rsid w:val="44866F02"/>
    <w:rsid w:val="44984355"/>
    <w:rsid w:val="44A31A4E"/>
    <w:rsid w:val="44A41F92"/>
    <w:rsid w:val="44A8226D"/>
    <w:rsid w:val="44B55D88"/>
    <w:rsid w:val="44CC2C4F"/>
    <w:rsid w:val="44E128CB"/>
    <w:rsid w:val="44FF34A7"/>
    <w:rsid w:val="4524498B"/>
    <w:rsid w:val="453664FD"/>
    <w:rsid w:val="45381DC6"/>
    <w:rsid w:val="454E52BF"/>
    <w:rsid w:val="455238D0"/>
    <w:rsid w:val="455932E3"/>
    <w:rsid w:val="456E745A"/>
    <w:rsid w:val="457A3530"/>
    <w:rsid w:val="457C55D9"/>
    <w:rsid w:val="45986424"/>
    <w:rsid w:val="45AE7E2F"/>
    <w:rsid w:val="45B17010"/>
    <w:rsid w:val="45BB5B0E"/>
    <w:rsid w:val="45DA52A8"/>
    <w:rsid w:val="45DA6220"/>
    <w:rsid w:val="45F97EF6"/>
    <w:rsid w:val="45FB5A7C"/>
    <w:rsid w:val="45FF37F7"/>
    <w:rsid w:val="4601483F"/>
    <w:rsid w:val="46167051"/>
    <w:rsid w:val="462970E0"/>
    <w:rsid w:val="463E188C"/>
    <w:rsid w:val="464078D3"/>
    <w:rsid w:val="464E3334"/>
    <w:rsid w:val="465313B5"/>
    <w:rsid w:val="4655341B"/>
    <w:rsid w:val="465A276D"/>
    <w:rsid w:val="465B64BB"/>
    <w:rsid w:val="465C410E"/>
    <w:rsid w:val="466F2CE5"/>
    <w:rsid w:val="46760020"/>
    <w:rsid w:val="469B0FAE"/>
    <w:rsid w:val="46A26AC9"/>
    <w:rsid w:val="46A32772"/>
    <w:rsid w:val="46A7659A"/>
    <w:rsid w:val="46AF05B5"/>
    <w:rsid w:val="46B12139"/>
    <w:rsid w:val="46C853F2"/>
    <w:rsid w:val="46E97F6B"/>
    <w:rsid w:val="46F61364"/>
    <w:rsid w:val="46F722E3"/>
    <w:rsid w:val="46FA3F26"/>
    <w:rsid w:val="47061262"/>
    <w:rsid w:val="471D4913"/>
    <w:rsid w:val="472F06CD"/>
    <w:rsid w:val="4734684B"/>
    <w:rsid w:val="476A5FE9"/>
    <w:rsid w:val="47770F26"/>
    <w:rsid w:val="4780564D"/>
    <w:rsid w:val="478C1FDC"/>
    <w:rsid w:val="47B61331"/>
    <w:rsid w:val="47C57AB7"/>
    <w:rsid w:val="47CC1367"/>
    <w:rsid w:val="47D06BF0"/>
    <w:rsid w:val="47DB5304"/>
    <w:rsid w:val="47E06F83"/>
    <w:rsid w:val="47F52CC8"/>
    <w:rsid w:val="481B23A6"/>
    <w:rsid w:val="4822572A"/>
    <w:rsid w:val="482570D8"/>
    <w:rsid w:val="482F5E51"/>
    <w:rsid w:val="48300297"/>
    <w:rsid w:val="48345216"/>
    <w:rsid w:val="48360F8E"/>
    <w:rsid w:val="48416E7A"/>
    <w:rsid w:val="48441F17"/>
    <w:rsid w:val="48496F13"/>
    <w:rsid w:val="4852797B"/>
    <w:rsid w:val="485B2019"/>
    <w:rsid w:val="485D5571"/>
    <w:rsid w:val="48B54F9C"/>
    <w:rsid w:val="48B60321"/>
    <w:rsid w:val="48C7247F"/>
    <w:rsid w:val="48C73A77"/>
    <w:rsid w:val="48DB7360"/>
    <w:rsid w:val="48FB57F1"/>
    <w:rsid w:val="48FF5525"/>
    <w:rsid w:val="48FF5824"/>
    <w:rsid w:val="49001E86"/>
    <w:rsid w:val="490834A4"/>
    <w:rsid w:val="490B4C39"/>
    <w:rsid w:val="49105464"/>
    <w:rsid w:val="4920485E"/>
    <w:rsid w:val="492B729E"/>
    <w:rsid w:val="49553696"/>
    <w:rsid w:val="495913D8"/>
    <w:rsid w:val="497C5BD0"/>
    <w:rsid w:val="499E5E25"/>
    <w:rsid w:val="49A07E2B"/>
    <w:rsid w:val="49AD702E"/>
    <w:rsid w:val="49BF27C0"/>
    <w:rsid w:val="49DB1DED"/>
    <w:rsid w:val="49F64E88"/>
    <w:rsid w:val="4A2279F2"/>
    <w:rsid w:val="4A234FEC"/>
    <w:rsid w:val="4A8C5C10"/>
    <w:rsid w:val="4AA33EEE"/>
    <w:rsid w:val="4AB10DA0"/>
    <w:rsid w:val="4AB30EDE"/>
    <w:rsid w:val="4ADB63A1"/>
    <w:rsid w:val="4ADE1E17"/>
    <w:rsid w:val="4AE561DB"/>
    <w:rsid w:val="4AEF3392"/>
    <w:rsid w:val="4AF34F66"/>
    <w:rsid w:val="4B037F2C"/>
    <w:rsid w:val="4B0B57E5"/>
    <w:rsid w:val="4B103D18"/>
    <w:rsid w:val="4B2C5AC5"/>
    <w:rsid w:val="4B307434"/>
    <w:rsid w:val="4B341F77"/>
    <w:rsid w:val="4B38027D"/>
    <w:rsid w:val="4B403894"/>
    <w:rsid w:val="4B537A20"/>
    <w:rsid w:val="4B570C94"/>
    <w:rsid w:val="4B5856BF"/>
    <w:rsid w:val="4B5951FB"/>
    <w:rsid w:val="4B643D38"/>
    <w:rsid w:val="4B6442B0"/>
    <w:rsid w:val="4B6A4AAC"/>
    <w:rsid w:val="4B7D207A"/>
    <w:rsid w:val="4B875EB6"/>
    <w:rsid w:val="4BA40904"/>
    <w:rsid w:val="4BA44224"/>
    <w:rsid w:val="4BAD1EF1"/>
    <w:rsid w:val="4BB2318A"/>
    <w:rsid w:val="4BBA6469"/>
    <w:rsid w:val="4BD73847"/>
    <w:rsid w:val="4BE94D93"/>
    <w:rsid w:val="4BFE381D"/>
    <w:rsid w:val="4C107D48"/>
    <w:rsid w:val="4C374D55"/>
    <w:rsid w:val="4C3A10FB"/>
    <w:rsid w:val="4C3A7BE6"/>
    <w:rsid w:val="4C5A45DA"/>
    <w:rsid w:val="4C6514B0"/>
    <w:rsid w:val="4C6C0D90"/>
    <w:rsid w:val="4C793B3F"/>
    <w:rsid w:val="4C7A7C48"/>
    <w:rsid w:val="4C7D1FFD"/>
    <w:rsid w:val="4C7F5C73"/>
    <w:rsid w:val="4CA606B1"/>
    <w:rsid w:val="4CC23A9A"/>
    <w:rsid w:val="4CD57FCC"/>
    <w:rsid w:val="4CDF633C"/>
    <w:rsid w:val="4CE646B0"/>
    <w:rsid w:val="4CF5763E"/>
    <w:rsid w:val="4D1C6BEC"/>
    <w:rsid w:val="4D2B5691"/>
    <w:rsid w:val="4D3F0EA5"/>
    <w:rsid w:val="4D3F7CBF"/>
    <w:rsid w:val="4D4C3A0B"/>
    <w:rsid w:val="4D62389D"/>
    <w:rsid w:val="4D86170C"/>
    <w:rsid w:val="4D934A58"/>
    <w:rsid w:val="4D955AB0"/>
    <w:rsid w:val="4DA22C22"/>
    <w:rsid w:val="4DAE78DE"/>
    <w:rsid w:val="4DC46301"/>
    <w:rsid w:val="4DDC11A7"/>
    <w:rsid w:val="4DDD3C5A"/>
    <w:rsid w:val="4DE43405"/>
    <w:rsid w:val="4DED256A"/>
    <w:rsid w:val="4DF46871"/>
    <w:rsid w:val="4DF60896"/>
    <w:rsid w:val="4DFE3CC8"/>
    <w:rsid w:val="4E0B0F23"/>
    <w:rsid w:val="4E1F5E5B"/>
    <w:rsid w:val="4E291506"/>
    <w:rsid w:val="4E4E418E"/>
    <w:rsid w:val="4E4F1FAF"/>
    <w:rsid w:val="4E53365D"/>
    <w:rsid w:val="4E544DBE"/>
    <w:rsid w:val="4E6065EA"/>
    <w:rsid w:val="4E763E41"/>
    <w:rsid w:val="4E7B1501"/>
    <w:rsid w:val="4EAC4392"/>
    <w:rsid w:val="4EB9175E"/>
    <w:rsid w:val="4ED718CA"/>
    <w:rsid w:val="4EE90884"/>
    <w:rsid w:val="4EED4970"/>
    <w:rsid w:val="4EF569F4"/>
    <w:rsid w:val="4F025B95"/>
    <w:rsid w:val="4F0A7123"/>
    <w:rsid w:val="4F1B0EDE"/>
    <w:rsid w:val="4F1C1A77"/>
    <w:rsid w:val="4F1E78DF"/>
    <w:rsid w:val="4F2A3762"/>
    <w:rsid w:val="4F2E0DB1"/>
    <w:rsid w:val="4F7A5394"/>
    <w:rsid w:val="4F8066BA"/>
    <w:rsid w:val="4F851E5A"/>
    <w:rsid w:val="4F9B67B6"/>
    <w:rsid w:val="4FA72771"/>
    <w:rsid w:val="4FB55561"/>
    <w:rsid w:val="4FD41C1D"/>
    <w:rsid w:val="4FD5108C"/>
    <w:rsid w:val="4FD54DAA"/>
    <w:rsid w:val="4FD7316C"/>
    <w:rsid w:val="4FED2322"/>
    <w:rsid w:val="4FF33150"/>
    <w:rsid w:val="4FF74011"/>
    <w:rsid w:val="4FFD53C6"/>
    <w:rsid w:val="501C6B43"/>
    <w:rsid w:val="502B33A2"/>
    <w:rsid w:val="503D1B16"/>
    <w:rsid w:val="50666188"/>
    <w:rsid w:val="5074268E"/>
    <w:rsid w:val="508E47DC"/>
    <w:rsid w:val="50947199"/>
    <w:rsid w:val="50A15458"/>
    <w:rsid w:val="50A70C7B"/>
    <w:rsid w:val="50A940E7"/>
    <w:rsid w:val="50AE3F83"/>
    <w:rsid w:val="50B06735"/>
    <w:rsid w:val="50C30E52"/>
    <w:rsid w:val="50CF7A4B"/>
    <w:rsid w:val="50DE238B"/>
    <w:rsid w:val="51022777"/>
    <w:rsid w:val="510C0013"/>
    <w:rsid w:val="51142088"/>
    <w:rsid w:val="51185A97"/>
    <w:rsid w:val="512B3DE9"/>
    <w:rsid w:val="5137564E"/>
    <w:rsid w:val="514C5DF3"/>
    <w:rsid w:val="515B0FAE"/>
    <w:rsid w:val="515C0CB9"/>
    <w:rsid w:val="516C1A4D"/>
    <w:rsid w:val="517355FD"/>
    <w:rsid w:val="517D08DC"/>
    <w:rsid w:val="518E76DE"/>
    <w:rsid w:val="51943222"/>
    <w:rsid w:val="51A846EE"/>
    <w:rsid w:val="51B53B84"/>
    <w:rsid w:val="51BA4D6F"/>
    <w:rsid w:val="51BE6E5B"/>
    <w:rsid w:val="51BF3D2D"/>
    <w:rsid w:val="51D469CA"/>
    <w:rsid w:val="51D6733E"/>
    <w:rsid w:val="51DD247A"/>
    <w:rsid w:val="51DD4E62"/>
    <w:rsid w:val="51E8779D"/>
    <w:rsid w:val="51ED1DBF"/>
    <w:rsid w:val="51F10280"/>
    <w:rsid w:val="51F2620F"/>
    <w:rsid w:val="5203018B"/>
    <w:rsid w:val="520923F4"/>
    <w:rsid w:val="5211020B"/>
    <w:rsid w:val="52281530"/>
    <w:rsid w:val="523971C0"/>
    <w:rsid w:val="523A167B"/>
    <w:rsid w:val="523D7810"/>
    <w:rsid w:val="5244201F"/>
    <w:rsid w:val="524467AD"/>
    <w:rsid w:val="524B51AA"/>
    <w:rsid w:val="52644F06"/>
    <w:rsid w:val="527A5F1B"/>
    <w:rsid w:val="52914064"/>
    <w:rsid w:val="529B360B"/>
    <w:rsid w:val="529E7DC9"/>
    <w:rsid w:val="52A1157D"/>
    <w:rsid w:val="52C276E1"/>
    <w:rsid w:val="52CF0022"/>
    <w:rsid w:val="52D80AEE"/>
    <w:rsid w:val="52D868E5"/>
    <w:rsid w:val="52D92843"/>
    <w:rsid w:val="52ED5D2F"/>
    <w:rsid w:val="52ED7778"/>
    <w:rsid w:val="52EF68D8"/>
    <w:rsid w:val="52F30525"/>
    <w:rsid w:val="52FB7BEA"/>
    <w:rsid w:val="5300571E"/>
    <w:rsid w:val="531609B9"/>
    <w:rsid w:val="53204CE7"/>
    <w:rsid w:val="532452B2"/>
    <w:rsid w:val="532C3BB5"/>
    <w:rsid w:val="533802B0"/>
    <w:rsid w:val="533D3764"/>
    <w:rsid w:val="5344556C"/>
    <w:rsid w:val="534704F3"/>
    <w:rsid w:val="53586CF1"/>
    <w:rsid w:val="535B4CF0"/>
    <w:rsid w:val="5360205F"/>
    <w:rsid w:val="53762374"/>
    <w:rsid w:val="53AF1055"/>
    <w:rsid w:val="53CF5359"/>
    <w:rsid w:val="53D35F33"/>
    <w:rsid w:val="53D53D51"/>
    <w:rsid w:val="53D91DAE"/>
    <w:rsid w:val="53F01C28"/>
    <w:rsid w:val="5400093A"/>
    <w:rsid w:val="540B49DE"/>
    <w:rsid w:val="54260E0C"/>
    <w:rsid w:val="543E150A"/>
    <w:rsid w:val="544467E1"/>
    <w:rsid w:val="54466D9E"/>
    <w:rsid w:val="5455131C"/>
    <w:rsid w:val="545C7FCE"/>
    <w:rsid w:val="547B40E9"/>
    <w:rsid w:val="548F3FE7"/>
    <w:rsid w:val="54B1139D"/>
    <w:rsid w:val="54EE0270"/>
    <w:rsid w:val="54FD7FFE"/>
    <w:rsid w:val="54FE5CA1"/>
    <w:rsid w:val="54FF289C"/>
    <w:rsid w:val="550942FD"/>
    <w:rsid w:val="550A3B55"/>
    <w:rsid w:val="551C10A5"/>
    <w:rsid w:val="552A1E7A"/>
    <w:rsid w:val="55411377"/>
    <w:rsid w:val="55503493"/>
    <w:rsid w:val="5559450E"/>
    <w:rsid w:val="555D2250"/>
    <w:rsid w:val="55647559"/>
    <w:rsid w:val="5569348D"/>
    <w:rsid w:val="557A7CA1"/>
    <w:rsid w:val="55992746"/>
    <w:rsid w:val="55F96F40"/>
    <w:rsid w:val="55FF5A2A"/>
    <w:rsid w:val="56025A07"/>
    <w:rsid w:val="56206DD9"/>
    <w:rsid w:val="564927D4"/>
    <w:rsid w:val="565A053D"/>
    <w:rsid w:val="56682BF6"/>
    <w:rsid w:val="566C6AAD"/>
    <w:rsid w:val="568A2261"/>
    <w:rsid w:val="56946323"/>
    <w:rsid w:val="569549B7"/>
    <w:rsid w:val="569B59A6"/>
    <w:rsid w:val="569C19C2"/>
    <w:rsid w:val="56A006CA"/>
    <w:rsid w:val="56C23B83"/>
    <w:rsid w:val="56C447B8"/>
    <w:rsid w:val="56CF0F2B"/>
    <w:rsid w:val="56D91CB0"/>
    <w:rsid w:val="56DA438A"/>
    <w:rsid w:val="56E16CE0"/>
    <w:rsid w:val="56E36785"/>
    <w:rsid w:val="56F00AC2"/>
    <w:rsid w:val="570A1F63"/>
    <w:rsid w:val="57132F95"/>
    <w:rsid w:val="572B3577"/>
    <w:rsid w:val="572D56F6"/>
    <w:rsid w:val="57322952"/>
    <w:rsid w:val="573E19A6"/>
    <w:rsid w:val="5746016C"/>
    <w:rsid w:val="57474393"/>
    <w:rsid w:val="574E3F44"/>
    <w:rsid w:val="574F0E0B"/>
    <w:rsid w:val="5752162C"/>
    <w:rsid w:val="5764383E"/>
    <w:rsid w:val="57817915"/>
    <w:rsid w:val="578E7BDD"/>
    <w:rsid w:val="57AC0713"/>
    <w:rsid w:val="57AE0ED6"/>
    <w:rsid w:val="57C2283E"/>
    <w:rsid w:val="57F73E39"/>
    <w:rsid w:val="57FD26BE"/>
    <w:rsid w:val="5816186C"/>
    <w:rsid w:val="5827740E"/>
    <w:rsid w:val="582C5888"/>
    <w:rsid w:val="58306F47"/>
    <w:rsid w:val="58430210"/>
    <w:rsid w:val="5863214C"/>
    <w:rsid w:val="58717162"/>
    <w:rsid w:val="58956B8C"/>
    <w:rsid w:val="589A70FA"/>
    <w:rsid w:val="589A7317"/>
    <w:rsid w:val="58B8618D"/>
    <w:rsid w:val="58CE4BEF"/>
    <w:rsid w:val="58DB4515"/>
    <w:rsid w:val="58E94B0D"/>
    <w:rsid w:val="58F36659"/>
    <w:rsid w:val="59052460"/>
    <w:rsid w:val="590715A1"/>
    <w:rsid w:val="59252076"/>
    <w:rsid w:val="592A2449"/>
    <w:rsid w:val="592C6A59"/>
    <w:rsid w:val="593C3C38"/>
    <w:rsid w:val="59486CCE"/>
    <w:rsid w:val="594C3BD5"/>
    <w:rsid w:val="594C6863"/>
    <w:rsid w:val="594D3CCF"/>
    <w:rsid w:val="595204AD"/>
    <w:rsid w:val="595D33AD"/>
    <w:rsid w:val="596766CE"/>
    <w:rsid w:val="59815DB7"/>
    <w:rsid w:val="598A4331"/>
    <w:rsid w:val="598C33BF"/>
    <w:rsid w:val="59902BA1"/>
    <w:rsid w:val="59C04B5B"/>
    <w:rsid w:val="59C53F20"/>
    <w:rsid w:val="59CB49E2"/>
    <w:rsid w:val="59CD1026"/>
    <w:rsid w:val="59F54146"/>
    <w:rsid w:val="5A001A12"/>
    <w:rsid w:val="5A05110B"/>
    <w:rsid w:val="5A167370"/>
    <w:rsid w:val="5A2B6347"/>
    <w:rsid w:val="5A307419"/>
    <w:rsid w:val="5A3571BF"/>
    <w:rsid w:val="5A400973"/>
    <w:rsid w:val="5A44572C"/>
    <w:rsid w:val="5A547CFD"/>
    <w:rsid w:val="5A56479B"/>
    <w:rsid w:val="5A5A3924"/>
    <w:rsid w:val="5A6B69C4"/>
    <w:rsid w:val="5A76796C"/>
    <w:rsid w:val="5A8A6ADB"/>
    <w:rsid w:val="5A8C7937"/>
    <w:rsid w:val="5A9623B5"/>
    <w:rsid w:val="5AA549B2"/>
    <w:rsid w:val="5AA97D30"/>
    <w:rsid w:val="5AB9121B"/>
    <w:rsid w:val="5AB96D60"/>
    <w:rsid w:val="5AF1755F"/>
    <w:rsid w:val="5AF73BD7"/>
    <w:rsid w:val="5B1E0057"/>
    <w:rsid w:val="5B330F0E"/>
    <w:rsid w:val="5B3F5F54"/>
    <w:rsid w:val="5B4218B9"/>
    <w:rsid w:val="5B5104F9"/>
    <w:rsid w:val="5B581BEC"/>
    <w:rsid w:val="5B5A69C9"/>
    <w:rsid w:val="5B6A7A00"/>
    <w:rsid w:val="5B6B0AF7"/>
    <w:rsid w:val="5B7342C6"/>
    <w:rsid w:val="5B7D5D38"/>
    <w:rsid w:val="5BA44662"/>
    <w:rsid w:val="5BAC4E3A"/>
    <w:rsid w:val="5BBC39C1"/>
    <w:rsid w:val="5BBE1F38"/>
    <w:rsid w:val="5BE0723B"/>
    <w:rsid w:val="5BEA4763"/>
    <w:rsid w:val="5BED5EDC"/>
    <w:rsid w:val="5BF32F12"/>
    <w:rsid w:val="5C1879AB"/>
    <w:rsid w:val="5C1E3FC0"/>
    <w:rsid w:val="5C2A0DB7"/>
    <w:rsid w:val="5C362AF4"/>
    <w:rsid w:val="5C3A3FEF"/>
    <w:rsid w:val="5C3E4720"/>
    <w:rsid w:val="5C4864EE"/>
    <w:rsid w:val="5C526BB4"/>
    <w:rsid w:val="5C602BA5"/>
    <w:rsid w:val="5C623451"/>
    <w:rsid w:val="5C7E7028"/>
    <w:rsid w:val="5C802FB3"/>
    <w:rsid w:val="5C887779"/>
    <w:rsid w:val="5C8958DC"/>
    <w:rsid w:val="5C9E0396"/>
    <w:rsid w:val="5CA9700D"/>
    <w:rsid w:val="5CC34110"/>
    <w:rsid w:val="5CC75388"/>
    <w:rsid w:val="5CD00967"/>
    <w:rsid w:val="5CF915BE"/>
    <w:rsid w:val="5D02143B"/>
    <w:rsid w:val="5D05587F"/>
    <w:rsid w:val="5D0C77C5"/>
    <w:rsid w:val="5D1C0A4E"/>
    <w:rsid w:val="5DA327CA"/>
    <w:rsid w:val="5DA57059"/>
    <w:rsid w:val="5DB22A59"/>
    <w:rsid w:val="5DB26EB1"/>
    <w:rsid w:val="5DB76275"/>
    <w:rsid w:val="5DBA3A03"/>
    <w:rsid w:val="5DBC7D30"/>
    <w:rsid w:val="5DBF1CEA"/>
    <w:rsid w:val="5DC46672"/>
    <w:rsid w:val="5DD07349"/>
    <w:rsid w:val="5DDE05F2"/>
    <w:rsid w:val="5DEA03F9"/>
    <w:rsid w:val="5DF559F9"/>
    <w:rsid w:val="5E074110"/>
    <w:rsid w:val="5E0B6C65"/>
    <w:rsid w:val="5E166031"/>
    <w:rsid w:val="5E18294B"/>
    <w:rsid w:val="5E33730F"/>
    <w:rsid w:val="5E401FD5"/>
    <w:rsid w:val="5E421185"/>
    <w:rsid w:val="5E501575"/>
    <w:rsid w:val="5E535C74"/>
    <w:rsid w:val="5E58634F"/>
    <w:rsid w:val="5E5F7D32"/>
    <w:rsid w:val="5E604528"/>
    <w:rsid w:val="5E8D58D4"/>
    <w:rsid w:val="5E8F7E92"/>
    <w:rsid w:val="5EC52109"/>
    <w:rsid w:val="5ECA4073"/>
    <w:rsid w:val="5ECC6D77"/>
    <w:rsid w:val="5EDC6635"/>
    <w:rsid w:val="5EDF242A"/>
    <w:rsid w:val="5EEC4CC9"/>
    <w:rsid w:val="5EFB3374"/>
    <w:rsid w:val="5F070C87"/>
    <w:rsid w:val="5F1B6323"/>
    <w:rsid w:val="5F2E6ABA"/>
    <w:rsid w:val="5F3119D5"/>
    <w:rsid w:val="5F387DD8"/>
    <w:rsid w:val="5F3D27AA"/>
    <w:rsid w:val="5F4F5E04"/>
    <w:rsid w:val="5F610F9A"/>
    <w:rsid w:val="5F613DD7"/>
    <w:rsid w:val="5F6917F1"/>
    <w:rsid w:val="5F692522"/>
    <w:rsid w:val="5F84786A"/>
    <w:rsid w:val="5F8A1E93"/>
    <w:rsid w:val="5F9C30A3"/>
    <w:rsid w:val="5F9C78C7"/>
    <w:rsid w:val="5FA221C5"/>
    <w:rsid w:val="5FA5129E"/>
    <w:rsid w:val="5FE77368"/>
    <w:rsid w:val="60052A33"/>
    <w:rsid w:val="600F713A"/>
    <w:rsid w:val="6017124D"/>
    <w:rsid w:val="602B5CAC"/>
    <w:rsid w:val="603102E5"/>
    <w:rsid w:val="603B43A7"/>
    <w:rsid w:val="603F2355"/>
    <w:rsid w:val="60436C07"/>
    <w:rsid w:val="60442474"/>
    <w:rsid w:val="604C589F"/>
    <w:rsid w:val="605006B0"/>
    <w:rsid w:val="606B40CE"/>
    <w:rsid w:val="607A2E69"/>
    <w:rsid w:val="60947B96"/>
    <w:rsid w:val="60DD2497"/>
    <w:rsid w:val="60E70721"/>
    <w:rsid w:val="60EA5183"/>
    <w:rsid w:val="613924F9"/>
    <w:rsid w:val="613E3123"/>
    <w:rsid w:val="61485CA3"/>
    <w:rsid w:val="615A7B52"/>
    <w:rsid w:val="615F29A1"/>
    <w:rsid w:val="61696ED4"/>
    <w:rsid w:val="616B7363"/>
    <w:rsid w:val="61730566"/>
    <w:rsid w:val="617C3A5E"/>
    <w:rsid w:val="61AF44C7"/>
    <w:rsid w:val="61B42655"/>
    <w:rsid w:val="61B64AE6"/>
    <w:rsid w:val="61E36648"/>
    <w:rsid w:val="61EB04E9"/>
    <w:rsid w:val="622F4266"/>
    <w:rsid w:val="62462A72"/>
    <w:rsid w:val="626B0025"/>
    <w:rsid w:val="62724E61"/>
    <w:rsid w:val="62995307"/>
    <w:rsid w:val="62AD360F"/>
    <w:rsid w:val="62D85D1E"/>
    <w:rsid w:val="62E67BA5"/>
    <w:rsid w:val="63030F14"/>
    <w:rsid w:val="631261A4"/>
    <w:rsid w:val="6318590B"/>
    <w:rsid w:val="631D6E49"/>
    <w:rsid w:val="6320434B"/>
    <w:rsid w:val="634E5358"/>
    <w:rsid w:val="634F398F"/>
    <w:rsid w:val="63554A2F"/>
    <w:rsid w:val="6359259A"/>
    <w:rsid w:val="636173F7"/>
    <w:rsid w:val="63624D8C"/>
    <w:rsid w:val="639076DF"/>
    <w:rsid w:val="63D2090D"/>
    <w:rsid w:val="64037323"/>
    <w:rsid w:val="640C3504"/>
    <w:rsid w:val="64104975"/>
    <w:rsid w:val="64313282"/>
    <w:rsid w:val="643338C2"/>
    <w:rsid w:val="64586DE3"/>
    <w:rsid w:val="645B5B40"/>
    <w:rsid w:val="645C5805"/>
    <w:rsid w:val="6466719F"/>
    <w:rsid w:val="647B5C70"/>
    <w:rsid w:val="647D47CA"/>
    <w:rsid w:val="647F4D58"/>
    <w:rsid w:val="64A036C7"/>
    <w:rsid w:val="64AF4262"/>
    <w:rsid w:val="64B9531D"/>
    <w:rsid w:val="64EA5182"/>
    <w:rsid w:val="64EC5F80"/>
    <w:rsid w:val="651014B1"/>
    <w:rsid w:val="6521049E"/>
    <w:rsid w:val="653D3504"/>
    <w:rsid w:val="654235AD"/>
    <w:rsid w:val="65675E82"/>
    <w:rsid w:val="656B6764"/>
    <w:rsid w:val="657E7BD0"/>
    <w:rsid w:val="6591342F"/>
    <w:rsid w:val="65A12770"/>
    <w:rsid w:val="65B01E66"/>
    <w:rsid w:val="65C34C7B"/>
    <w:rsid w:val="65D748AC"/>
    <w:rsid w:val="65DA619B"/>
    <w:rsid w:val="65F61548"/>
    <w:rsid w:val="660D064B"/>
    <w:rsid w:val="661462F7"/>
    <w:rsid w:val="66154481"/>
    <w:rsid w:val="66201BF5"/>
    <w:rsid w:val="6624447E"/>
    <w:rsid w:val="663B4F9B"/>
    <w:rsid w:val="665020A1"/>
    <w:rsid w:val="66705FC2"/>
    <w:rsid w:val="6684508A"/>
    <w:rsid w:val="66A85798"/>
    <w:rsid w:val="66E30E48"/>
    <w:rsid w:val="67010AE3"/>
    <w:rsid w:val="671072E7"/>
    <w:rsid w:val="671E42D9"/>
    <w:rsid w:val="672112E1"/>
    <w:rsid w:val="67282409"/>
    <w:rsid w:val="672901E4"/>
    <w:rsid w:val="67420EC9"/>
    <w:rsid w:val="6743642C"/>
    <w:rsid w:val="674F4DB3"/>
    <w:rsid w:val="67657CC6"/>
    <w:rsid w:val="67685576"/>
    <w:rsid w:val="67740C3E"/>
    <w:rsid w:val="67966EFB"/>
    <w:rsid w:val="67972925"/>
    <w:rsid w:val="679B2764"/>
    <w:rsid w:val="679F31CB"/>
    <w:rsid w:val="67C119C7"/>
    <w:rsid w:val="67C147CF"/>
    <w:rsid w:val="67C373D8"/>
    <w:rsid w:val="67DE1402"/>
    <w:rsid w:val="67E030A7"/>
    <w:rsid w:val="67E53966"/>
    <w:rsid w:val="680017AE"/>
    <w:rsid w:val="68002120"/>
    <w:rsid w:val="680C463A"/>
    <w:rsid w:val="680D1350"/>
    <w:rsid w:val="681174D1"/>
    <w:rsid w:val="681D1441"/>
    <w:rsid w:val="6837640A"/>
    <w:rsid w:val="684A6664"/>
    <w:rsid w:val="68594AF9"/>
    <w:rsid w:val="687E3964"/>
    <w:rsid w:val="689210E2"/>
    <w:rsid w:val="68A42834"/>
    <w:rsid w:val="68A4768F"/>
    <w:rsid w:val="68A5633E"/>
    <w:rsid w:val="68B755B1"/>
    <w:rsid w:val="68C93813"/>
    <w:rsid w:val="68D2468D"/>
    <w:rsid w:val="68D2751A"/>
    <w:rsid w:val="68E027FA"/>
    <w:rsid w:val="68E814B4"/>
    <w:rsid w:val="68F42B4F"/>
    <w:rsid w:val="68F91EAB"/>
    <w:rsid w:val="690E0C84"/>
    <w:rsid w:val="69142EFB"/>
    <w:rsid w:val="69154D60"/>
    <w:rsid w:val="692A4E9F"/>
    <w:rsid w:val="6936224C"/>
    <w:rsid w:val="694328C8"/>
    <w:rsid w:val="694A6DBA"/>
    <w:rsid w:val="695225F5"/>
    <w:rsid w:val="69951D6A"/>
    <w:rsid w:val="699C0468"/>
    <w:rsid w:val="69CD7FDE"/>
    <w:rsid w:val="69E01FE1"/>
    <w:rsid w:val="69F670F9"/>
    <w:rsid w:val="6A0B1E23"/>
    <w:rsid w:val="6A154664"/>
    <w:rsid w:val="6A1A3E14"/>
    <w:rsid w:val="6A2353BE"/>
    <w:rsid w:val="6A35599F"/>
    <w:rsid w:val="6A3828E1"/>
    <w:rsid w:val="6A3E49CA"/>
    <w:rsid w:val="6A597B6D"/>
    <w:rsid w:val="6A6613C5"/>
    <w:rsid w:val="6A6E6B07"/>
    <w:rsid w:val="6A846828"/>
    <w:rsid w:val="6A935278"/>
    <w:rsid w:val="6AA61212"/>
    <w:rsid w:val="6ABC05B5"/>
    <w:rsid w:val="6AC9111D"/>
    <w:rsid w:val="6AD1136C"/>
    <w:rsid w:val="6ADC3F1A"/>
    <w:rsid w:val="6ADC761D"/>
    <w:rsid w:val="6AE2354A"/>
    <w:rsid w:val="6AED32D6"/>
    <w:rsid w:val="6AEE685F"/>
    <w:rsid w:val="6B0F3217"/>
    <w:rsid w:val="6B1D2613"/>
    <w:rsid w:val="6B22477C"/>
    <w:rsid w:val="6B28641C"/>
    <w:rsid w:val="6B306B37"/>
    <w:rsid w:val="6B320A31"/>
    <w:rsid w:val="6B48730C"/>
    <w:rsid w:val="6B491DA4"/>
    <w:rsid w:val="6B4C6095"/>
    <w:rsid w:val="6B5634B2"/>
    <w:rsid w:val="6B5D28FD"/>
    <w:rsid w:val="6B5E4D2E"/>
    <w:rsid w:val="6B6E65C5"/>
    <w:rsid w:val="6B721A2E"/>
    <w:rsid w:val="6B7D0AFE"/>
    <w:rsid w:val="6BA17447"/>
    <w:rsid w:val="6BB362CE"/>
    <w:rsid w:val="6BBC3F98"/>
    <w:rsid w:val="6BE116D3"/>
    <w:rsid w:val="6BEA5301"/>
    <w:rsid w:val="6BEB2A72"/>
    <w:rsid w:val="6BEB62E5"/>
    <w:rsid w:val="6BF579C9"/>
    <w:rsid w:val="6C001136"/>
    <w:rsid w:val="6C095B4E"/>
    <w:rsid w:val="6C240D6B"/>
    <w:rsid w:val="6C2A7865"/>
    <w:rsid w:val="6C2D715B"/>
    <w:rsid w:val="6C5207BE"/>
    <w:rsid w:val="6C6A54FD"/>
    <w:rsid w:val="6C7368BD"/>
    <w:rsid w:val="6C82426E"/>
    <w:rsid w:val="6C875753"/>
    <w:rsid w:val="6C8D27B4"/>
    <w:rsid w:val="6C8E0A44"/>
    <w:rsid w:val="6C9866B3"/>
    <w:rsid w:val="6CB73B9C"/>
    <w:rsid w:val="6CE07597"/>
    <w:rsid w:val="6CE567FC"/>
    <w:rsid w:val="6CEE4F56"/>
    <w:rsid w:val="6CFD6537"/>
    <w:rsid w:val="6D257859"/>
    <w:rsid w:val="6D267E2D"/>
    <w:rsid w:val="6D3254A9"/>
    <w:rsid w:val="6D45564C"/>
    <w:rsid w:val="6D4754E7"/>
    <w:rsid w:val="6D572015"/>
    <w:rsid w:val="6D6B748B"/>
    <w:rsid w:val="6D7D3037"/>
    <w:rsid w:val="6D7F4B2B"/>
    <w:rsid w:val="6D8F4B19"/>
    <w:rsid w:val="6DA40A20"/>
    <w:rsid w:val="6DB166DC"/>
    <w:rsid w:val="6DB44057"/>
    <w:rsid w:val="6DB70CB4"/>
    <w:rsid w:val="6DB734BF"/>
    <w:rsid w:val="6DF525E1"/>
    <w:rsid w:val="6DFA1228"/>
    <w:rsid w:val="6E083793"/>
    <w:rsid w:val="6E094352"/>
    <w:rsid w:val="6E3132BB"/>
    <w:rsid w:val="6E331BC4"/>
    <w:rsid w:val="6E337525"/>
    <w:rsid w:val="6E424BD5"/>
    <w:rsid w:val="6E4C3940"/>
    <w:rsid w:val="6E522CE7"/>
    <w:rsid w:val="6E576C34"/>
    <w:rsid w:val="6E7322DC"/>
    <w:rsid w:val="6E7F6911"/>
    <w:rsid w:val="6E9A5727"/>
    <w:rsid w:val="6EA167A7"/>
    <w:rsid w:val="6EAC5256"/>
    <w:rsid w:val="6EAD520C"/>
    <w:rsid w:val="6EBA61CC"/>
    <w:rsid w:val="6EC933B2"/>
    <w:rsid w:val="6EF37C4F"/>
    <w:rsid w:val="6EFA06B8"/>
    <w:rsid w:val="6F082DD5"/>
    <w:rsid w:val="6F1C574B"/>
    <w:rsid w:val="6F213E96"/>
    <w:rsid w:val="6F38773A"/>
    <w:rsid w:val="6F640026"/>
    <w:rsid w:val="6F6B5F2F"/>
    <w:rsid w:val="6F815117"/>
    <w:rsid w:val="6F8204C1"/>
    <w:rsid w:val="6F83245B"/>
    <w:rsid w:val="6F8A5608"/>
    <w:rsid w:val="6F8B55A6"/>
    <w:rsid w:val="6FB65B98"/>
    <w:rsid w:val="6FC211D5"/>
    <w:rsid w:val="6FC56A54"/>
    <w:rsid w:val="6FCA3FE8"/>
    <w:rsid w:val="6FCA41B7"/>
    <w:rsid w:val="6FE701A5"/>
    <w:rsid w:val="6FEE1DC0"/>
    <w:rsid w:val="701632CF"/>
    <w:rsid w:val="702312AC"/>
    <w:rsid w:val="702A2DF0"/>
    <w:rsid w:val="70310109"/>
    <w:rsid w:val="70553DF8"/>
    <w:rsid w:val="706447A2"/>
    <w:rsid w:val="7064713D"/>
    <w:rsid w:val="706749C0"/>
    <w:rsid w:val="7071229B"/>
    <w:rsid w:val="70836E20"/>
    <w:rsid w:val="708F3F4F"/>
    <w:rsid w:val="709A4F8D"/>
    <w:rsid w:val="70A628A5"/>
    <w:rsid w:val="70C71E39"/>
    <w:rsid w:val="70DF2055"/>
    <w:rsid w:val="70DF5DB7"/>
    <w:rsid w:val="70EC1752"/>
    <w:rsid w:val="70F243AF"/>
    <w:rsid w:val="71011C11"/>
    <w:rsid w:val="710F59DC"/>
    <w:rsid w:val="7137018B"/>
    <w:rsid w:val="714C08A6"/>
    <w:rsid w:val="715E3EF7"/>
    <w:rsid w:val="717D7AFD"/>
    <w:rsid w:val="717E6DD7"/>
    <w:rsid w:val="718827C6"/>
    <w:rsid w:val="718D186A"/>
    <w:rsid w:val="718E5DE7"/>
    <w:rsid w:val="719E503F"/>
    <w:rsid w:val="71A1306D"/>
    <w:rsid w:val="71A81926"/>
    <w:rsid w:val="71AC3D91"/>
    <w:rsid w:val="71B3246E"/>
    <w:rsid w:val="71B35D72"/>
    <w:rsid w:val="71FF0740"/>
    <w:rsid w:val="71FF0BB1"/>
    <w:rsid w:val="72016718"/>
    <w:rsid w:val="7205522D"/>
    <w:rsid w:val="72113E7D"/>
    <w:rsid w:val="72273DBC"/>
    <w:rsid w:val="723B4C6C"/>
    <w:rsid w:val="72597F12"/>
    <w:rsid w:val="727D7F17"/>
    <w:rsid w:val="728733AE"/>
    <w:rsid w:val="72885057"/>
    <w:rsid w:val="728A466C"/>
    <w:rsid w:val="729231C5"/>
    <w:rsid w:val="72A739E6"/>
    <w:rsid w:val="72B42082"/>
    <w:rsid w:val="72BF73FF"/>
    <w:rsid w:val="72CC4119"/>
    <w:rsid w:val="72D3059A"/>
    <w:rsid w:val="72D64092"/>
    <w:rsid w:val="73013FCC"/>
    <w:rsid w:val="730B40D5"/>
    <w:rsid w:val="730F0D66"/>
    <w:rsid w:val="732D13F6"/>
    <w:rsid w:val="73306085"/>
    <w:rsid w:val="73440153"/>
    <w:rsid w:val="73444D77"/>
    <w:rsid w:val="734F5B50"/>
    <w:rsid w:val="73547991"/>
    <w:rsid w:val="736938A6"/>
    <w:rsid w:val="736B7CB7"/>
    <w:rsid w:val="73734595"/>
    <w:rsid w:val="739169F9"/>
    <w:rsid w:val="73B03DD9"/>
    <w:rsid w:val="73E4649C"/>
    <w:rsid w:val="73E51D11"/>
    <w:rsid w:val="73EF1E6D"/>
    <w:rsid w:val="73F328B4"/>
    <w:rsid w:val="73F959A5"/>
    <w:rsid w:val="73FC2213"/>
    <w:rsid w:val="740E561C"/>
    <w:rsid w:val="74170F18"/>
    <w:rsid w:val="74582108"/>
    <w:rsid w:val="745B0499"/>
    <w:rsid w:val="748D1686"/>
    <w:rsid w:val="748D684E"/>
    <w:rsid w:val="749D0891"/>
    <w:rsid w:val="749E119A"/>
    <w:rsid w:val="74AF784E"/>
    <w:rsid w:val="74B86ED3"/>
    <w:rsid w:val="74C36F32"/>
    <w:rsid w:val="74C75E1F"/>
    <w:rsid w:val="74D07A67"/>
    <w:rsid w:val="74D33EF6"/>
    <w:rsid w:val="74D4044B"/>
    <w:rsid w:val="74EE24F7"/>
    <w:rsid w:val="74FD1691"/>
    <w:rsid w:val="75630D65"/>
    <w:rsid w:val="75775B9F"/>
    <w:rsid w:val="758E3908"/>
    <w:rsid w:val="75992D53"/>
    <w:rsid w:val="75B41494"/>
    <w:rsid w:val="75C36B04"/>
    <w:rsid w:val="75C4705E"/>
    <w:rsid w:val="75C64E50"/>
    <w:rsid w:val="75D94171"/>
    <w:rsid w:val="75E50542"/>
    <w:rsid w:val="75E63744"/>
    <w:rsid w:val="75F209E9"/>
    <w:rsid w:val="75F82A6B"/>
    <w:rsid w:val="75FB22F9"/>
    <w:rsid w:val="761733FE"/>
    <w:rsid w:val="76174F9E"/>
    <w:rsid w:val="761A6A1B"/>
    <w:rsid w:val="76341C8D"/>
    <w:rsid w:val="763E7E10"/>
    <w:rsid w:val="764207BC"/>
    <w:rsid w:val="765331AF"/>
    <w:rsid w:val="76591028"/>
    <w:rsid w:val="766C4022"/>
    <w:rsid w:val="76753F99"/>
    <w:rsid w:val="767A50C2"/>
    <w:rsid w:val="767E5321"/>
    <w:rsid w:val="76866093"/>
    <w:rsid w:val="7698243C"/>
    <w:rsid w:val="769A2CF5"/>
    <w:rsid w:val="769D4442"/>
    <w:rsid w:val="76AF515A"/>
    <w:rsid w:val="76C87A04"/>
    <w:rsid w:val="76D433A2"/>
    <w:rsid w:val="76E63B9C"/>
    <w:rsid w:val="76F83719"/>
    <w:rsid w:val="7730284F"/>
    <w:rsid w:val="773226E3"/>
    <w:rsid w:val="773D64AD"/>
    <w:rsid w:val="77424C09"/>
    <w:rsid w:val="77471B59"/>
    <w:rsid w:val="775939AE"/>
    <w:rsid w:val="775A7F45"/>
    <w:rsid w:val="7763061F"/>
    <w:rsid w:val="777703EE"/>
    <w:rsid w:val="778165CD"/>
    <w:rsid w:val="778E0DE7"/>
    <w:rsid w:val="77955421"/>
    <w:rsid w:val="7798025B"/>
    <w:rsid w:val="779A56C5"/>
    <w:rsid w:val="779F16F9"/>
    <w:rsid w:val="77CA5641"/>
    <w:rsid w:val="77CA5FE6"/>
    <w:rsid w:val="77CE640B"/>
    <w:rsid w:val="77E30F29"/>
    <w:rsid w:val="78066DEC"/>
    <w:rsid w:val="780D4DDE"/>
    <w:rsid w:val="78203AD8"/>
    <w:rsid w:val="7826607A"/>
    <w:rsid w:val="78307537"/>
    <w:rsid w:val="783339F8"/>
    <w:rsid w:val="78764B0C"/>
    <w:rsid w:val="78780CEE"/>
    <w:rsid w:val="788A489C"/>
    <w:rsid w:val="78AC7600"/>
    <w:rsid w:val="78BA017D"/>
    <w:rsid w:val="78C83AD2"/>
    <w:rsid w:val="78D8582E"/>
    <w:rsid w:val="78E94158"/>
    <w:rsid w:val="7902426D"/>
    <w:rsid w:val="7929100A"/>
    <w:rsid w:val="79352239"/>
    <w:rsid w:val="79651345"/>
    <w:rsid w:val="797474B7"/>
    <w:rsid w:val="79822FDC"/>
    <w:rsid w:val="798A42B2"/>
    <w:rsid w:val="798A5C60"/>
    <w:rsid w:val="79A07515"/>
    <w:rsid w:val="79B0209F"/>
    <w:rsid w:val="79C7513B"/>
    <w:rsid w:val="79C773E8"/>
    <w:rsid w:val="79CA0038"/>
    <w:rsid w:val="79CB47A6"/>
    <w:rsid w:val="79CF6ED7"/>
    <w:rsid w:val="79D40E7A"/>
    <w:rsid w:val="79DA2A74"/>
    <w:rsid w:val="79DF4183"/>
    <w:rsid w:val="79E461EC"/>
    <w:rsid w:val="79F14389"/>
    <w:rsid w:val="79F2698C"/>
    <w:rsid w:val="79FB6DF5"/>
    <w:rsid w:val="7A00729F"/>
    <w:rsid w:val="7A166755"/>
    <w:rsid w:val="7A1F3357"/>
    <w:rsid w:val="7A2A5B8E"/>
    <w:rsid w:val="7A2D06ED"/>
    <w:rsid w:val="7A2E15EF"/>
    <w:rsid w:val="7A3078DD"/>
    <w:rsid w:val="7A314342"/>
    <w:rsid w:val="7A392094"/>
    <w:rsid w:val="7A392CE7"/>
    <w:rsid w:val="7A513882"/>
    <w:rsid w:val="7A802114"/>
    <w:rsid w:val="7A8A406E"/>
    <w:rsid w:val="7A9252EE"/>
    <w:rsid w:val="7A9861CB"/>
    <w:rsid w:val="7AA70705"/>
    <w:rsid w:val="7AAB5483"/>
    <w:rsid w:val="7ACA53E2"/>
    <w:rsid w:val="7ACA5466"/>
    <w:rsid w:val="7AD069C7"/>
    <w:rsid w:val="7AD45C10"/>
    <w:rsid w:val="7AE3328E"/>
    <w:rsid w:val="7AF104A4"/>
    <w:rsid w:val="7AFF176C"/>
    <w:rsid w:val="7B000E04"/>
    <w:rsid w:val="7B024A73"/>
    <w:rsid w:val="7B0A6A9B"/>
    <w:rsid w:val="7B0D2818"/>
    <w:rsid w:val="7B202C09"/>
    <w:rsid w:val="7B2047C6"/>
    <w:rsid w:val="7B661851"/>
    <w:rsid w:val="7B6B6D62"/>
    <w:rsid w:val="7B7612F7"/>
    <w:rsid w:val="7B784E3E"/>
    <w:rsid w:val="7B7D30DF"/>
    <w:rsid w:val="7B8C6B3B"/>
    <w:rsid w:val="7B973EE9"/>
    <w:rsid w:val="7B994E29"/>
    <w:rsid w:val="7BA21EBB"/>
    <w:rsid w:val="7BA80A22"/>
    <w:rsid w:val="7BA838BD"/>
    <w:rsid w:val="7BB66E7F"/>
    <w:rsid w:val="7BC77B74"/>
    <w:rsid w:val="7BCA5353"/>
    <w:rsid w:val="7BD41347"/>
    <w:rsid w:val="7C1B58F6"/>
    <w:rsid w:val="7C1F5A64"/>
    <w:rsid w:val="7C2B048D"/>
    <w:rsid w:val="7C6065A8"/>
    <w:rsid w:val="7C746681"/>
    <w:rsid w:val="7C996138"/>
    <w:rsid w:val="7C9B6D68"/>
    <w:rsid w:val="7C9D5B5E"/>
    <w:rsid w:val="7CA20C72"/>
    <w:rsid w:val="7CA83501"/>
    <w:rsid w:val="7CB82DCD"/>
    <w:rsid w:val="7CC145C3"/>
    <w:rsid w:val="7CF50C89"/>
    <w:rsid w:val="7D2647F8"/>
    <w:rsid w:val="7D2D1D1E"/>
    <w:rsid w:val="7D4835A5"/>
    <w:rsid w:val="7D5B3BA0"/>
    <w:rsid w:val="7D6D0647"/>
    <w:rsid w:val="7DA9460F"/>
    <w:rsid w:val="7DA94EA6"/>
    <w:rsid w:val="7DAE06B7"/>
    <w:rsid w:val="7DC254FE"/>
    <w:rsid w:val="7DDD2DFA"/>
    <w:rsid w:val="7DDF08AD"/>
    <w:rsid w:val="7DE31066"/>
    <w:rsid w:val="7DE332EA"/>
    <w:rsid w:val="7DE65FBE"/>
    <w:rsid w:val="7DE87CD0"/>
    <w:rsid w:val="7DF537E7"/>
    <w:rsid w:val="7DF72527"/>
    <w:rsid w:val="7DFF6F70"/>
    <w:rsid w:val="7E0D2AF2"/>
    <w:rsid w:val="7E150264"/>
    <w:rsid w:val="7E1640FB"/>
    <w:rsid w:val="7E176086"/>
    <w:rsid w:val="7E3B2283"/>
    <w:rsid w:val="7E4E4A04"/>
    <w:rsid w:val="7E507159"/>
    <w:rsid w:val="7E6C44F5"/>
    <w:rsid w:val="7E722A72"/>
    <w:rsid w:val="7E7B3986"/>
    <w:rsid w:val="7E826950"/>
    <w:rsid w:val="7E887A60"/>
    <w:rsid w:val="7E8C7128"/>
    <w:rsid w:val="7E90208C"/>
    <w:rsid w:val="7E9064E4"/>
    <w:rsid w:val="7E9E2C4F"/>
    <w:rsid w:val="7E9F4D2C"/>
    <w:rsid w:val="7EA30CDC"/>
    <w:rsid w:val="7EA51035"/>
    <w:rsid w:val="7EB01442"/>
    <w:rsid w:val="7EC81C39"/>
    <w:rsid w:val="7ECD25DF"/>
    <w:rsid w:val="7ED240BD"/>
    <w:rsid w:val="7EDC38BD"/>
    <w:rsid w:val="7EF82D86"/>
    <w:rsid w:val="7F054C3B"/>
    <w:rsid w:val="7F076AF0"/>
    <w:rsid w:val="7F086D7B"/>
    <w:rsid w:val="7F0F55A8"/>
    <w:rsid w:val="7F2477C7"/>
    <w:rsid w:val="7F3B065C"/>
    <w:rsid w:val="7F3F101E"/>
    <w:rsid w:val="7F4E32BF"/>
    <w:rsid w:val="7F5E434B"/>
    <w:rsid w:val="7F7405C7"/>
    <w:rsid w:val="7F744857"/>
    <w:rsid w:val="7F7708FF"/>
    <w:rsid w:val="7F7D0C75"/>
    <w:rsid w:val="7F8A7F3B"/>
    <w:rsid w:val="7F9D6634"/>
    <w:rsid w:val="7FA27F7B"/>
    <w:rsid w:val="7FA55FC4"/>
    <w:rsid w:val="7FCC7507"/>
    <w:rsid w:val="7FFC4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2"/>
    <w:qFormat/>
    <w:uiPriority w:val="0"/>
    <w:pPr>
      <w:keepNext/>
      <w:keepLines/>
      <w:spacing w:line="576" w:lineRule="auto"/>
      <w:jc w:val="center"/>
      <w:outlineLvl w:val="0"/>
    </w:pPr>
    <w:rPr>
      <w:rFonts w:ascii="Times New Roman" w:hAnsi="Times New Roman" w:eastAsia="宋体"/>
      <w:b/>
      <w:kern w:val="44"/>
      <w:sz w:val="32"/>
    </w:rPr>
  </w:style>
  <w:style w:type="paragraph" w:styleId="5">
    <w:name w:val="heading 2"/>
    <w:basedOn w:val="1"/>
    <w:next w:val="6"/>
    <w:link w:val="39"/>
    <w:unhideWhenUsed/>
    <w:qFormat/>
    <w:uiPriority w:val="0"/>
    <w:pPr>
      <w:keepNext/>
      <w:keepLines/>
      <w:spacing w:line="413" w:lineRule="auto"/>
      <w:jc w:val="center"/>
      <w:outlineLvl w:val="1"/>
    </w:pPr>
    <w:rPr>
      <w:rFonts w:ascii="Arial" w:hAnsi="Arial" w:eastAsia="宋体"/>
      <w:b/>
      <w:sz w:val="24"/>
    </w:rPr>
  </w:style>
  <w:style w:type="paragraph" w:styleId="7">
    <w:name w:val="heading 3"/>
    <w:basedOn w:val="1"/>
    <w:next w:val="1"/>
    <w:link w:val="78"/>
    <w:unhideWhenUsed/>
    <w:qFormat/>
    <w:uiPriority w:val="0"/>
    <w:pPr>
      <w:keepNext/>
      <w:keepLines/>
      <w:spacing w:line="413" w:lineRule="auto"/>
      <w:outlineLvl w:val="2"/>
    </w:pPr>
    <w:rPr>
      <w:b/>
      <w:sz w:val="28"/>
    </w:rPr>
  </w:style>
  <w:style w:type="paragraph" w:styleId="8">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left="420" w:leftChars="200"/>
    </w:pPr>
  </w:style>
  <w:style w:type="paragraph" w:styleId="6">
    <w:name w:val="Body Text"/>
    <w:basedOn w:val="1"/>
    <w:qFormat/>
    <w:uiPriority w:val="0"/>
  </w:style>
  <w:style w:type="paragraph" w:styleId="9">
    <w:name w:val="List Number"/>
    <w:basedOn w:val="1"/>
    <w:qFormat/>
    <w:uiPriority w:val="0"/>
    <w:pPr>
      <w:numPr>
        <w:ilvl w:val="0"/>
        <w:numId w:val="1"/>
      </w:numPr>
    </w:pPr>
  </w:style>
  <w:style w:type="paragraph" w:styleId="10">
    <w:name w:val="Normal Indent"/>
    <w:basedOn w:val="1"/>
    <w:qFormat/>
    <w:uiPriority w:val="0"/>
    <w:pPr>
      <w:ind w:firstLine="420"/>
    </w:pPr>
    <w:rPr>
      <w:szCs w:val="20"/>
    </w:rPr>
  </w:style>
  <w:style w:type="paragraph" w:styleId="11">
    <w:name w:val="Document Map"/>
    <w:basedOn w:val="1"/>
    <w:link w:val="55"/>
    <w:qFormat/>
    <w:uiPriority w:val="0"/>
    <w:rPr>
      <w:rFonts w:ascii="宋体" w:eastAsia="宋体"/>
      <w:sz w:val="18"/>
      <w:szCs w:val="18"/>
    </w:rPr>
  </w:style>
  <w:style w:type="paragraph" w:styleId="12">
    <w:name w:val="toa heading"/>
    <w:basedOn w:val="1"/>
    <w:next w:val="1"/>
    <w:qFormat/>
    <w:uiPriority w:val="0"/>
    <w:pPr>
      <w:spacing w:before="120"/>
    </w:pPr>
    <w:rPr>
      <w:rFonts w:ascii="Arial" w:hAnsi="Arial" w:cs="Arial"/>
      <w:sz w:val="24"/>
    </w:rPr>
  </w:style>
  <w:style w:type="paragraph" w:styleId="13">
    <w:name w:val="annotation text"/>
    <w:basedOn w:val="1"/>
    <w:next w:val="1"/>
    <w:link w:val="53"/>
    <w:qFormat/>
    <w:uiPriority w:val="99"/>
    <w:pPr>
      <w:jc w:val="left"/>
    </w:pPr>
    <w:rPr>
      <w:rFonts w:ascii="宋体"/>
      <w:kern w:val="0"/>
      <w:sz w:val="34"/>
    </w:rPr>
  </w:style>
  <w:style w:type="paragraph" w:styleId="14">
    <w:name w:val="toc 3"/>
    <w:basedOn w:val="1"/>
    <w:next w:val="1"/>
    <w:qFormat/>
    <w:uiPriority w:val="0"/>
    <w:pPr>
      <w:ind w:left="840" w:leftChars="400"/>
    </w:pPr>
  </w:style>
  <w:style w:type="paragraph" w:styleId="15">
    <w:name w:val="Plain Text"/>
    <w:basedOn w:val="1"/>
    <w:qFormat/>
    <w:uiPriority w:val="0"/>
    <w:pPr>
      <w:spacing w:line="324" w:lineRule="auto"/>
    </w:pPr>
    <w:rPr>
      <w:rFonts w:ascii="宋体" w:hAnsi="Courier New" w:cs="Courier New"/>
      <w:szCs w:val="21"/>
    </w:rPr>
  </w:style>
  <w:style w:type="paragraph" w:styleId="16">
    <w:name w:val="Date"/>
    <w:basedOn w:val="1"/>
    <w:next w:val="1"/>
    <w:qFormat/>
    <w:uiPriority w:val="0"/>
    <w:rPr>
      <w:rFonts w:ascii="Copperplate Gothic Bold" w:hAnsi="Copperplate Gothic Bold"/>
      <w:sz w:val="32"/>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52"/>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39"/>
    <w:pPr>
      <w:ind w:left="630"/>
    </w:pPr>
    <w:rPr>
      <w:rFonts w:cs="Calibri"/>
      <w:sz w:val="18"/>
      <w:szCs w:val="18"/>
    </w:rPr>
  </w:style>
  <w:style w:type="paragraph" w:styleId="23">
    <w:name w:val="toc 2"/>
    <w:basedOn w:val="1"/>
    <w:next w:val="1"/>
    <w:qFormat/>
    <w:uiPriority w:val="0"/>
    <w:pPr>
      <w:ind w:left="420" w:leftChars="200"/>
    </w:pPr>
  </w:style>
  <w:style w:type="paragraph" w:styleId="24">
    <w:name w:val="Body Text 2"/>
    <w:basedOn w:val="1"/>
    <w:qFormat/>
    <w:uiPriority w:val="0"/>
    <w:pPr>
      <w:jc w:val="center"/>
    </w:pPr>
    <w:rPr>
      <w:b/>
      <w:spacing w:val="-20"/>
      <w:w w:val="130"/>
      <w:sz w:val="48"/>
      <w:szCs w:val="20"/>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annotation subject"/>
    <w:basedOn w:val="13"/>
    <w:next w:val="13"/>
    <w:link w:val="63"/>
    <w:qFormat/>
    <w:uiPriority w:val="0"/>
    <w:rPr>
      <w:rFonts w:asciiTheme="minorHAnsi"/>
      <w:b/>
      <w:bCs/>
      <w:kern w:val="2"/>
      <w:sz w:val="21"/>
    </w:rPr>
  </w:style>
  <w:style w:type="paragraph" w:styleId="28">
    <w:name w:val="Body Text First Indent"/>
    <w:basedOn w:val="6"/>
    <w:next w:val="1"/>
    <w:unhideWhenUsed/>
    <w:qFormat/>
    <w:uiPriority w:val="99"/>
    <w:pPr>
      <w:ind w:firstLine="420" w:firstLineChars="100"/>
    </w:pPr>
    <w:rPr>
      <w:rFonts w:ascii="Times New Roman" w:hAnsi="Times New Roman"/>
      <w:sz w:val="18"/>
      <w:szCs w:val="18"/>
    </w:rPr>
  </w:style>
  <w:style w:type="table" w:styleId="30">
    <w:name w:val="Table Grid"/>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sz w:val="24"/>
      <w:szCs w:val="24"/>
    </w:rPr>
  </w:style>
  <w:style w:type="character" w:styleId="33">
    <w:name w:val="page number"/>
    <w:basedOn w:val="31"/>
    <w:qFormat/>
    <w:uiPriority w:val="0"/>
  </w:style>
  <w:style w:type="character" w:styleId="34">
    <w:name w:val="FollowedHyperlink"/>
    <w:basedOn w:val="31"/>
    <w:qFormat/>
    <w:uiPriority w:val="0"/>
    <w:rPr>
      <w:rFonts w:hint="eastAsia" w:ascii="宋体" w:hAnsi="宋体" w:eastAsia="宋体" w:cs="宋体"/>
      <w:color w:val="000000"/>
      <w:sz w:val="18"/>
      <w:szCs w:val="18"/>
      <w:u w:val="none"/>
    </w:rPr>
  </w:style>
  <w:style w:type="character" w:styleId="35">
    <w:name w:val="Emphasis"/>
    <w:basedOn w:val="31"/>
    <w:qFormat/>
    <w:uiPriority w:val="0"/>
    <w:rPr>
      <w:i/>
      <w:iCs/>
    </w:rPr>
  </w:style>
  <w:style w:type="character" w:styleId="36">
    <w:name w:val="Hyperlink"/>
    <w:basedOn w:val="31"/>
    <w:qFormat/>
    <w:uiPriority w:val="0"/>
    <w:rPr>
      <w:color w:val="0000FF"/>
      <w:u w:val="single"/>
    </w:rPr>
  </w:style>
  <w:style w:type="character" w:styleId="37">
    <w:name w:val="annotation reference"/>
    <w:qFormat/>
    <w:uiPriority w:val="99"/>
    <w:rPr>
      <w:sz w:val="21"/>
      <w:szCs w:val="21"/>
    </w:rPr>
  </w:style>
  <w:style w:type="character" w:styleId="38">
    <w:name w:val="HTML Cite"/>
    <w:basedOn w:val="31"/>
    <w:qFormat/>
    <w:uiPriority w:val="0"/>
    <w:rPr>
      <w:sz w:val="24"/>
      <w:szCs w:val="24"/>
    </w:rPr>
  </w:style>
  <w:style w:type="character" w:customStyle="1" w:styleId="39">
    <w:name w:val="标题 2 字符"/>
    <w:basedOn w:val="31"/>
    <w:link w:val="5"/>
    <w:semiHidden/>
    <w:qFormat/>
    <w:locked/>
    <w:uiPriority w:val="99"/>
    <w:rPr>
      <w:rFonts w:ascii="Arial" w:hAnsi="Arial" w:eastAsia="宋体"/>
      <w:b/>
      <w:sz w:val="24"/>
    </w:rPr>
  </w:style>
  <w:style w:type="paragraph" w:customStyle="1" w:styleId="40">
    <w:name w:val="无间隔1"/>
    <w:basedOn w:val="1"/>
    <w:qFormat/>
    <w:uiPriority w:val="1"/>
    <w:pPr>
      <w:spacing w:line="400" w:lineRule="exact"/>
    </w:pPr>
    <w:rPr>
      <w:sz w:val="24"/>
    </w:rPr>
  </w:style>
  <w:style w:type="paragraph" w:customStyle="1" w:styleId="41">
    <w:name w:val="正文缩进1"/>
    <w:basedOn w:val="1"/>
    <w:qFormat/>
    <w:uiPriority w:val="0"/>
    <w:pPr>
      <w:ind w:firstLine="420" w:firstLineChars="200"/>
    </w:pPr>
  </w:style>
  <w:style w:type="paragraph" w:customStyle="1" w:styleId="42">
    <w:name w:val="Char2 Char Char Char"/>
    <w:basedOn w:val="1"/>
    <w:qFormat/>
    <w:uiPriority w:val="0"/>
    <w:rPr>
      <w:rFonts w:ascii="Tahoma" w:hAnsi="Tahoma"/>
      <w:sz w:val="24"/>
      <w:szCs w:val="20"/>
    </w:rPr>
  </w:style>
  <w:style w:type="paragraph" w:customStyle="1" w:styleId="43">
    <w:name w:val="列出段落1"/>
    <w:basedOn w:val="1"/>
    <w:unhideWhenUsed/>
    <w:qFormat/>
    <w:uiPriority w:val="99"/>
    <w:pPr>
      <w:ind w:firstLine="420" w:firstLineChars="200"/>
    </w:pPr>
  </w:style>
  <w:style w:type="character" w:customStyle="1" w:styleId="44">
    <w:name w:val="10"/>
    <w:basedOn w:val="31"/>
    <w:qFormat/>
    <w:uiPriority w:val="0"/>
    <w:rPr>
      <w:rFonts w:hint="default" w:ascii="Calibri" w:hAnsi="Calibri"/>
    </w:rPr>
  </w:style>
  <w:style w:type="character" w:customStyle="1" w:styleId="45">
    <w:name w:val="15"/>
    <w:basedOn w:val="31"/>
    <w:qFormat/>
    <w:uiPriority w:val="0"/>
    <w:rPr>
      <w:rFonts w:hint="default" w:ascii="Calibri" w:hAnsi="Calibri"/>
      <w:i/>
      <w:iCs/>
    </w:rPr>
  </w:style>
  <w:style w:type="paragraph" w:customStyle="1" w:styleId="46">
    <w:name w:val="_Style 2"/>
    <w:basedOn w:val="1"/>
    <w:qFormat/>
    <w:uiPriority w:val="34"/>
    <w:pPr>
      <w:ind w:firstLine="420" w:firstLineChars="200"/>
    </w:pPr>
  </w:style>
  <w:style w:type="character" w:customStyle="1" w:styleId="47">
    <w:name w:val="apple-style-span"/>
    <w:qFormat/>
    <w:uiPriority w:val="0"/>
  </w:style>
  <w:style w:type="character" w:customStyle="1" w:styleId="48">
    <w:name w:val="del"/>
    <w:basedOn w:val="31"/>
    <w:qFormat/>
    <w:uiPriority w:val="0"/>
  </w:style>
  <w:style w:type="character" w:customStyle="1" w:styleId="49">
    <w:name w:val="del1"/>
    <w:basedOn w:val="31"/>
    <w:qFormat/>
    <w:uiPriority w:val="0"/>
    <w:rPr>
      <w:vanish/>
      <w:color w:val="666666"/>
      <w:sz w:val="18"/>
      <w:szCs w:val="18"/>
      <w:u w:val="single"/>
    </w:rPr>
  </w:style>
  <w:style w:type="character" w:customStyle="1" w:styleId="50">
    <w:name w:val="del2"/>
    <w:basedOn w:val="31"/>
    <w:qFormat/>
    <w:uiPriority w:val="0"/>
    <w:rPr>
      <w:vanish/>
    </w:rPr>
  </w:style>
  <w:style w:type="character" w:customStyle="1" w:styleId="51">
    <w:name w:val="del3"/>
    <w:basedOn w:val="31"/>
    <w:qFormat/>
    <w:uiPriority w:val="0"/>
    <w:rPr>
      <w:vanish/>
    </w:rPr>
  </w:style>
  <w:style w:type="character" w:customStyle="1" w:styleId="52">
    <w:name w:val="批注框文本 字符"/>
    <w:basedOn w:val="31"/>
    <w:link w:val="18"/>
    <w:qFormat/>
    <w:uiPriority w:val="0"/>
    <w:rPr>
      <w:rFonts w:asciiTheme="minorHAnsi" w:hAnsiTheme="minorHAnsi" w:eastAsiaTheme="minorEastAsia" w:cstheme="minorBidi"/>
      <w:kern w:val="2"/>
      <w:sz w:val="18"/>
      <w:szCs w:val="18"/>
    </w:rPr>
  </w:style>
  <w:style w:type="character" w:customStyle="1" w:styleId="53">
    <w:name w:val="批注文字 字符"/>
    <w:basedOn w:val="31"/>
    <w:link w:val="13"/>
    <w:qFormat/>
    <w:uiPriority w:val="99"/>
    <w:rPr>
      <w:rFonts w:ascii="宋体" w:hAnsiTheme="minorHAnsi" w:eastAsiaTheme="minorEastAsia" w:cstheme="minorBidi"/>
      <w:sz w:val="34"/>
      <w:szCs w:val="22"/>
    </w:rPr>
  </w:style>
  <w:style w:type="paragraph" w:customStyle="1" w:styleId="54">
    <w:name w:val="列出段落2"/>
    <w:basedOn w:val="1"/>
    <w:qFormat/>
    <w:uiPriority w:val="0"/>
    <w:pPr>
      <w:ind w:firstLine="420" w:firstLineChars="200"/>
    </w:pPr>
    <w:rPr>
      <w:rFonts w:ascii="宋体"/>
      <w:sz w:val="28"/>
    </w:rPr>
  </w:style>
  <w:style w:type="character" w:customStyle="1" w:styleId="55">
    <w:name w:val="文档结构图 字符"/>
    <w:basedOn w:val="31"/>
    <w:link w:val="11"/>
    <w:qFormat/>
    <w:uiPriority w:val="0"/>
    <w:rPr>
      <w:rFonts w:ascii="宋体" w:hAnsiTheme="minorHAnsi" w:cstheme="minorBidi"/>
      <w:kern w:val="2"/>
      <w:sz w:val="18"/>
      <w:szCs w:val="18"/>
    </w:rPr>
  </w:style>
  <w:style w:type="paragraph" w:customStyle="1" w:styleId="56">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7">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8">
    <w:name w:val="列出段落3"/>
    <w:basedOn w:val="1"/>
    <w:qFormat/>
    <w:uiPriority w:val="0"/>
    <w:pPr>
      <w:ind w:firstLine="420" w:firstLineChars="200"/>
    </w:pPr>
    <w:rPr>
      <w:rFonts w:ascii="宋体"/>
      <w:sz w:val="28"/>
    </w:rPr>
  </w:style>
  <w:style w:type="paragraph" w:customStyle="1" w:styleId="59">
    <w:name w:val="list number ＋left spaceing"/>
    <w:basedOn w:val="9"/>
    <w:qFormat/>
    <w:uiPriority w:val="0"/>
    <w:pPr>
      <w:widowControl/>
      <w:tabs>
        <w:tab w:val="left" w:pos="839"/>
      </w:tabs>
      <w:ind w:left="0" w:firstLine="0"/>
      <w:jc w:val="left"/>
    </w:pPr>
    <w:rPr>
      <w:kern w:val="0"/>
    </w:rPr>
  </w:style>
  <w:style w:type="paragraph" w:customStyle="1" w:styleId="60">
    <w:name w:val="正文框"/>
    <w:basedOn w:val="1"/>
    <w:qFormat/>
    <w:uiPriority w:val="0"/>
    <w:pPr>
      <w:widowControl/>
      <w:adjustRightInd w:val="0"/>
      <w:spacing w:line="312" w:lineRule="atLeast"/>
      <w:jc w:val="left"/>
      <w:textAlignment w:val="baseline"/>
    </w:pPr>
    <w:rPr>
      <w:sz w:val="24"/>
    </w:rPr>
  </w:style>
  <w:style w:type="paragraph" w:customStyle="1" w:styleId="61">
    <w:name w:val="Char"/>
    <w:basedOn w:val="1"/>
    <w:qFormat/>
    <w:uiPriority w:val="0"/>
    <w:pPr>
      <w:jc w:val="left"/>
    </w:pPr>
    <w:rPr>
      <w:rFonts w:ascii="Tahoma" w:hAnsi="Tahoma"/>
      <w:sz w:val="24"/>
      <w:szCs w:val="20"/>
    </w:rPr>
  </w:style>
  <w:style w:type="character" w:customStyle="1" w:styleId="62">
    <w:name w:val="标题 1 Char"/>
    <w:qFormat/>
    <w:uiPriority w:val="0"/>
    <w:rPr>
      <w:rFonts w:ascii="Times New Roman" w:hAnsi="Times New Roman" w:eastAsia="宋体"/>
      <w:b/>
      <w:kern w:val="44"/>
      <w:sz w:val="32"/>
    </w:rPr>
  </w:style>
  <w:style w:type="character" w:customStyle="1" w:styleId="63">
    <w:name w:val="批注主题 字符"/>
    <w:basedOn w:val="53"/>
    <w:link w:val="27"/>
    <w:qFormat/>
    <w:uiPriority w:val="0"/>
    <w:rPr>
      <w:rFonts w:asciiTheme="minorHAnsi" w:hAnsiTheme="minorHAnsi" w:eastAsiaTheme="minorEastAsia" w:cstheme="minorBidi"/>
      <w:b/>
      <w:bCs/>
      <w:kern w:val="2"/>
      <w:sz w:val="21"/>
      <w:szCs w:val="22"/>
    </w:rPr>
  </w:style>
  <w:style w:type="character" w:customStyle="1" w:styleId="64">
    <w:name w:val="font11"/>
    <w:basedOn w:val="31"/>
    <w:qFormat/>
    <w:uiPriority w:val="0"/>
    <w:rPr>
      <w:rFonts w:hint="eastAsia" w:ascii="宋体" w:hAnsi="宋体" w:eastAsia="宋体" w:cs="宋体"/>
      <w:color w:val="000000"/>
      <w:sz w:val="22"/>
      <w:szCs w:val="22"/>
      <w:u w:val="none"/>
    </w:rPr>
  </w:style>
  <w:style w:type="character" w:customStyle="1" w:styleId="65">
    <w:name w:val="font61"/>
    <w:basedOn w:val="31"/>
    <w:qFormat/>
    <w:uiPriority w:val="0"/>
    <w:rPr>
      <w:rFonts w:hint="default" w:ascii="Tahoma" w:hAnsi="Tahoma" w:eastAsia="Tahoma" w:cs="Tahoma"/>
      <w:color w:val="000000"/>
      <w:sz w:val="22"/>
      <w:szCs w:val="22"/>
      <w:u w:val="none"/>
    </w:rPr>
  </w:style>
  <w:style w:type="character" w:customStyle="1" w:styleId="66">
    <w:name w:val="font01"/>
    <w:basedOn w:val="31"/>
    <w:qFormat/>
    <w:uiPriority w:val="0"/>
    <w:rPr>
      <w:rFonts w:hint="eastAsia" w:ascii="宋体" w:hAnsi="宋体" w:eastAsia="宋体" w:cs="宋体"/>
      <w:b/>
      <w:color w:val="000000"/>
      <w:sz w:val="24"/>
      <w:szCs w:val="24"/>
      <w:u w:val="none"/>
    </w:rPr>
  </w:style>
  <w:style w:type="paragraph" w:customStyle="1" w:styleId="67">
    <w:name w:val="列出段落4"/>
    <w:basedOn w:val="1"/>
    <w:qFormat/>
    <w:uiPriority w:val="34"/>
    <w:pPr>
      <w:ind w:firstLine="420" w:firstLineChars="200"/>
    </w:pPr>
  </w:style>
  <w:style w:type="paragraph" w:customStyle="1" w:styleId="68">
    <w:name w:val="列出段落5"/>
    <w:basedOn w:val="1"/>
    <w:unhideWhenUsed/>
    <w:qFormat/>
    <w:uiPriority w:val="99"/>
    <w:pPr>
      <w:ind w:firstLine="420" w:firstLineChars="200"/>
    </w:pPr>
  </w:style>
  <w:style w:type="paragraph" w:customStyle="1" w:styleId="69">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70">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styleId="71">
    <w:name w:val="List Paragraph"/>
    <w:basedOn w:val="1"/>
    <w:qFormat/>
    <w:uiPriority w:val="99"/>
    <w:pPr>
      <w:ind w:firstLine="420" w:firstLineChars="200"/>
    </w:pPr>
  </w:style>
  <w:style w:type="character" w:customStyle="1" w:styleId="72">
    <w:name w:val="Heading 1 Char"/>
    <w:basedOn w:val="31"/>
    <w:qFormat/>
    <w:locked/>
    <w:uiPriority w:val="99"/>
    <w:rPr>
      <w:rFonts w:ascii="Times New Roman" w:hAnsi="Times New Roman" w:eastAsia="宋体" w:cs="Times New Roman"/>
      <w:b/>
      <w:kern w:val="44"/>
      <w:sz w:val="32"/>
    </w:rPr>
  </w:style>
  <w:style w:type="paragraph" w:customStyle="1" w:styleId="73">
    <w:name w:val="列出段落6"/>
    <w:basedOn w:val="1"/>
    <w:unhideWhenUsed/>
    <w:qFormat/>
    <w:uiPriority w:val="99"/>
    <w:pPr>
      <w:ind w:firstLine="420" w:firstLineChars="200"/>
    </w:pPr>
  </w:style>
  <w:style w:type="paragraph" w:customStyle="1" w:styleId="74">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75">
    <w:name w:val="Default"/>
    <w:qFormat/>
    <w:uiPriority w:val="0"/>
    <w:pPr>
      <w:autoSpaceDE w:val="0"/>
      <w:autoSpaceDN w:val="0"/>
      <w:adjustRightInd w:val="0"/>
    </w:pPr>
    <w:rPr>
      <w:rFonts w:ascii="Arial" w:hAnsi="Arial" w:eastAsia="宋体" w:cs="Arial"/>
      <w:color w:val="000000"/>
      <w:sz w:val="24"/>
      <w:szCs w:val="24"/>
      <w:lang w:val="da-DK" w:eastAsia="zh-CN" w:bidi="ar-SA"/>
    </w:rPr>
  </w:style>
  <w:style w:type="character" w:customStyle="1" w:styleId="76">
    <w:name w:val="标题 1 Char1"/>
    <w:basedOn w:val="31"/>
    <w:qFormat/>
    <w:locked/>
    <w:uiPriority w:val="99"/>
    <w:rPr>
      <w:rFonts w:ascii="Times New Roman" w:hAnsi="Times New Roman" w:eastAsia="宋体" w:cs="Times New Roman"/>
      <w:b/>
      <w:kern w:val="44"/>
      <w:sz w:val="32"/>
    </w:rPr>
  </w:style>
  <w:style w:type="paragraph" w:customStyle="1" w:styleId="77">
    <w:name w:val="正文（缩进 2 字符）"/>
    <w:basedOn w:val="1"/>
    <w:qFormat/>
    <w:uiPriority w:val="0"/>
    <w:pPr>
      <w:widowControl/>
      <w:spacing w:line="400" w:lineRule="exact"/>
      <w:ind w:firstLine="200" w:firstLineChars="200"/>
      <w:jc w:val="left"/>
    </w:pPr>
    <w:rPr>
      <w:rFonts w:ascii="Calibri Light" w:hAnsi="Calibri Light" w:eastAsia="华文仿宋"/>
      <w:sz w:val="28"/>
      <w:szCs w:val="28"/>
    </w:rPr>
  </w:style>
  <w:style w:type="character" w:customStyle="1" w:styleId="78">
    <w:name w:val="标题 3 字符"/>
    <w:link w:val="7"/>
    <w:qFormat/>
    <w:uiPriority w:val="0"/>
    <w:rPr>
      <w:rFonts w:asciiTheme="minorHAnsi" w:hAnsiTheme="minorHAnsi"/>
      <w:b/>
      <w:sz w:val="28"/>
    </w:rPr>
  </w:style>
  <w:style w:type="paragraph" w:customStyle="1" w:styleId="79">
    <w:name w:val="正文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8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2">
    <w:name w:val="标题 1 字符"/>
    <w:basedOn w:val="31"/>
    <w:link w:val="4"/>
    <w:qFormat/>
    <w:locked/>
    <w:uiPriority w:val="99"/>
    <w:rPr>
      <w:rFonts w:ascii="Times New Roman" w:hAnsi="Times New Roman" w:eastAsia="宋体" w:cs="Times New Roman"/>
      <w:b/>
      <w:kern w:val="44"/>
      <w:sz w:val="32"/>
    </w:rPr>
  </w:style>
  <w:style w:type="table" w:customStyle="1" w:styleId="83">
    <w:name w:val="网格表 4 - 着色 31"/>
    <w:basedOn w:val="29"/>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84">
    <w:name w:val="NormalCharacter"/>
    <w:semiHidden/>
    <w:qFormat/>
    <w:uiPriority w:val="0"/>
  </w:style>
  <w:style w:type="paragraph" w:customStyle="1" w:styleId="85">
    <w:name w:val="标题 2 Char1"/>
    <w:basedOn w:val="1"/>
    <w:qFormat/>
    <w:uiPriority w:val="99"/>
    <w:rPr>
      <w:rFonts w:cs="Calibri"/>
    </w:rPr>
  </w:style>
  <w:style w:type="character" w:customStyle="1" w:styleId="86">
    <w:name w:val="font51"/>
    <w:basedOn w:val="31"/>
    <w:qFormat/>
    <w:uiPriority w:val="0"/>
    <w:rPr>
      <w:rFonts w:hint="eastAsia" w:ascii="宋体" w:hAnsi="宋体" w:eastAsia="宋体" w:cs="宋体"/>
      <w:color w:val="000000"/>
      <w:sz w:val="22"/>
      <w:szCs w:val="22"/>
      <w:u w:val="none"/>
    </w:rPr>
  </w:style>
  <w:style w:type="paragraph" w:customStyle="1" w:styleId="87">
    <w:name w:val="1"/>
    <w:basedOn w:val="1"/>
    <w:next w:val="26"/>
    <w:qFormat/>
    <w:uiPriority w:val="0"/>
    <w:pPr>
      <w:widowControl/>
      <w:spacing w:before="100" w:beforeAutospacing="1" w:after="100" w:afterAutospacing="1"/>
      <w:jc w:val="left"/>
    </w:pPr>
    <w:rPr>
      <w:rFonts w:ascii="宋体" w:hAnsi="宋体"/>
      <w:kern w:val="0"/>
      <w:sz w:val="24"/>
    </w:rPr>
  </w:style>
  <w:style w:type="paragraph" w:customStyle="1" w:styleId="88">
    <w:name w:val="null3"/>
    <w:hidden/>
    <w:qFormat/>
    <w:uiPriority w:val="0"/>
    <w:rPr>
      <w:rFonts w:hint="eastAsia" w:asciiTheme="minorHAnsi" w:hAnsiTheme="minorHAnsi" w:eastAsiaTheme="minorEastAsia" w:cstheme="minorBidi"/>
      <w:lang w:val="en-US" w:eastAsia="zh-Hans" w:bidi="ar-SA"/>
    </w:rPr>
  </w:style>
  <w:style w:type="paragraph" w:customStyle="1" w:styleId="89">
    <w:name w:val="_Style 154"/>
    <w:basedOn w:val="3"/>
    <w:next w:val="2"/>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C8E33-0CE4-459E-9DDC-1EEABE279486}">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74</Pages>
  <Words>3382</Words>
  <Characters>3798</Characters>
  <Lines>251</Lines>
  <Paragraphs>70</Paragraphs>
  <TotalTime>28</TotalTime>
  <ScaleCrop>false</ScaleCrop>
  <LinksUpToDate>false</LinksUpToDate>
  <CharactersWithSpaces>3954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2025-06-05T01:25:00Z</dcterms:created>
  <dc:creator>Administrator</dc:creator>
  <cp:lastModifiedBy>十五</cp:lastModifiedBy>
  <cp:lastPrinted>2025-08-12T04:50:00Z</cp:lastPrinted>
  <dcterms:modified xsi:type="dcterms:W3CDTF">2025-08-12T05:00:07Z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BC8C3840D5004F45AD7402EBF1073CFC_13</vt:lpwstr>
  </property>
  <property fmtid="{D5CDD505-2E9C-101B-9397-08002B2CF9AE}" pid="4" name="KSOTemplateDocerSaveRecord">
    <vt:lpwstr>eyJoZGlkIjoiOGM1MjI3YTI2YzIxZjU2MWUyNGQ3YzNiYzliMzk5YmUiLCJ1c2VySWQiOiI0NzM2OTcxODIifQ==</vt:lpwstr>
  </property>
</Properties>
</file>