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9435">
      <w:pPr>
        <w:pStyle w:val="6"/>
        <w:spacing w:line="500" w:lineRule="exact"/>
        <w:ind w:firstLine="643" w:firstLineChars="20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第三章  </w:t>
      </w:r>
      <w:bookmarkStart w:id="0" w:name="_Toc20365"/>
      <w:bookmarkStart w:id="1" w:name="_Toc48834545"/>
      <w:bookmarkStart w:id="2" w:name="_Toc48834466"/>
      <w:bookmarkStart w:id="3" w:name="_Toc48834107"/>
      <w:bookmarkStart w:id="4" w:name="_Toc14082138"/>
      <w:bookmarkStart w:id="5" w:name="_Toc48834177"/>
      <w:bookmarkStart w:id="6" w:name="_Toc48834304"/>
      <w:r>
        <w:rPr>
          <w:rFonts w:ascii="仿宋" w:hAnsi="仿宋" w:eastAsia="仿宋" w:cs="Times New Roman"/>
          <w:b/>
          <w:color w:val="auto"/>
          <w:sz w:val="32"/>
          <w:szCs w:val="32"/>
        </w:rPr>
        <w:t>谈判内容及采购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63CEC9BE">
      <w:pPr>
        <w:pStyle w:val="10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</w:t>
      </w:r>
      <w:r>
        <w:rPr>
          <w:rFonts w:hint="eastAsia" w:ascii="仿宋" w:hAnsi="仿宋" w:eastAsia="仿宋" w:cs="Times New Roman"/>
          <w:color w:val="auto"/>
          <w:lang w:eastAsia="zh-CN"/>
        </w:rPr>
        <w:t>采购项目为采购购置警车货物项目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，供应商必须对本项目进行整体响应，只对其中一部分内容进行的响应都被视为无效响应。谈判报价应遵守《中华人民共和国价格法》，供应商不得以低于成本的报价参与本次采购活动。</w:t>
      </w:r>
      <w:bookmarkEnd w:id="0"/>
      <w:bookmarkEnd w:id="1"/>
      <w:bookmarkEnd w:id="2"/>
      <w:bookmarkEnd w:id="3"/>
      <w:bookmarkEnd w:id="4"/>
      <w:bookmarkEnd w:id="5"/>
      <w:bookmarkEnd w:id="6"/>
    </w:p>
    <w:p w14:paraId="7A99B0E9">
      <w:pPr>
        <w:pStyle w:val="10"/>
        <w:spacing w:line="500" w:lineRule="exact"/>
        <w:ind w:firstLine="569"/>
        <w:rPr>
          <w:rFonts w:hint="eastAsia" w:ascii="仿宋" w:hAnsi="仿宋" w:eastAsia="仿宋" w:cs="Times New Roman"/>
          <w:b/>
          <w:bCs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3CD7C28F">
      <w:pPr>
        <w:spacing w:line="360" w:lineRule="auto"/>
        <w:rPr>
          <w:rFonts w:hint="eastAsia" w:ascii="仿宋" w:hAnsi="仿宋" w:eastAsia="仿宋"/>
          <w:b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购置警车数量1辆，具体参数如下：</w:t>
      </w:r>
    </w:p>
    <w:tbl>
      <w:tblPr>
        <w:tblStyle w:val="7"/>
        <w:tblW w:w="8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9"/>
        <w:gridCol w:w="5341"/>
      </w:tblGrid>
      <w:tr w14:paraId="29264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4863C18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排量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5A607C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1.5T</w:t>
            </w:r>
          </w:p>
        </w:tc>
      </w:tr>
      <w:tr w14:paraId="5D3CC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E4BED5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环保标准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57935D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国VI</w:t>
            </w:r>
          </w:p>
        </w:tc>
      </w:tr>
      <w:tr w14:paraId="4D05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0E7817F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能源类型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3D8AB56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插电式混合动力</w:t>
            </w:r>
          </w:p>
        </w:tc>
      </w:tr>
      <w:tr w14:paraId="66EB0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45C5160A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"https://baike.pcauto.com.cn/701.html" \o "https://baike.pcauto.com.cn/701.html"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长×宽×高(mm)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2F8837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4827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1875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1480</w:t>
            </w:r>
          </w:p>
        </w:tc>
      </w:tr>
      <w:tr w14:paraId="685B0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721B0A0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"https://baike.pcauto.com.cn/694.html" \o "https://baike.pcauto.com.cn/694.html"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最大马力(PS)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12B5C8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150</w:t>
            </w:r>
          </w:p>
        </w:tc>
      </w:tr>
      <w:tr w14:paraId="6B9B2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1BDC93C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"https://baike.pcauto.com.cn/695.html" \o "https://baike.pcauto.com.cn/695.html"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最大扭矩(N·m)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11CC78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225</w:t>
            </w:r>
          </w:p>
        </w:tc>
      </w:tr>
      <w:tr w14:paraId="526E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021D6FF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"https://baike.pcauto.com.cn/683.html"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最大功率(kW)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2D7668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110</w:t>
            </w:r>
          </w:p>
        </w:tc>
      </w:tr>
      <w:tr w14:paraId="2B902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61274E9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"https://baike.pcauto.com.cn/523.html" \o "https://baike.pcauto.com.cn/523.html"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轴距(mm)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77FF854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2843</w:t>
            </w:r>
          </w:p>
        </w:tc>
      </w:tr>
      <w:tr w14:paraId="2E0F1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4122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"https://baike.pcauto.com.cn/682.html"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排量(mL)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7D4CB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1498</w:t>
            </w:r>
          </w:p>
        </w:tc>
      </w:tr>
      <w:tr w14:paraId="2382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4873C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CLTC纯电续航里程（KM）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4353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≥125</w:t>
            </w:r>
          </w:p>
        </w:tc>
      </w:tr>
      <w:tr w14:paraId="15C5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7EFD94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电动机（Ps）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3F3DA6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≥218</w:t>
            </w:r>
          </w:p>
        </w:tc>
      </w:tr>
      <w:tr w14:paraId="2C01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069B6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电机类型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3230D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永磁/同步</w:t>
            </w:r>
          </w:p>
        </w:tc>
      </w:tr>
      <w:tr w14:paraId="604E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AC69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车身结构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484D4D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2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4门5座三厢车</w:t>
            </w:r>
          </w:p>
        </w:tc>
      </w:tr>
      <w:tr w14:paraId="2D0EF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50733DE4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"https://baike.pcauto.com.cn/442.html"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备胎规格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567D6D6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非全尺寸</w:t>
            </w:r>
          </w:p>
        </w:tc>
      </w:tr>
      <w:tr w14:paraId="668AE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332DF109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助力类型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0AB6D7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电动助力</w:t>
            </w:r>
          </w:p>
        </w:tc>
      </w:tr>
      <w:tr w14:paraId="7C964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5C4527D6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"https://baike.pcauto.com.cn/187.html" \o "进气形式" \t "https://price.pcauto.com.cn/_blank"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进气形式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23398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涡轮增压</w:t>
            </w:r>
          </w:p>
        </w:tc>
      </w:tr>
      <w:tr w14:paraId="02A4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1833CB9E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instrText xml:space="preserve"> HYPERLINK "https://baike.pcauto.com.cn/487.html" \t "https://price.pcauto.com.cn/m110148/_blank"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驱动方式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fldChar w:fldCharType="end"/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5FE108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前置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驱</w:t>
            </w:r>
          </w:p>
        </w:tc>
      </w:tr>
      <w:tr w14:paraId="7BA82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2DC04F48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安全配置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7C65F8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倒车影像、前后雷达</w:t>
            </w:r>
          </w:p>
        </w:tc>
      </w:tr>
      <w:tr w14:paraId="667A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6B44AD8B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电池类型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67457D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磷酸铁锂电池</w:t>
            </w:r>
          </w:p>
        </w:tc>
      </w:tr>
      <w:tr w14:paraId="4B972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8F8F8"/>
            <w:noWrap w:val="0"/>
            <w:vAlign w:val="center"/>
          </w:tcPr>
          <w:p w14:paraId="7A42E8B1">
            <w:pPr>
              <w:keepNext w:val="0"/>
              <w:keepLines w:val="0"/>
              <w:widowControl/>
              <w:suppressLineNumbers w:val="0"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整车质保</w:t>
            </w:r>
          </w:p>
        </w:tc>
        <w:tc>
          <w:tcPr>
            <w:tcW w:w="5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7DD"/>
            <w:noWrap w:val="0"/>
            <w:vAlign w:val="center"/>
          </w:tcPr>
          <w:p w14:paraId="7A5DEC7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年或10万公里</w:t>
            </w:r>
          </w:p>
        </w:tc>
      </w:tr>
    </w:tbl>
    <w:p w14:paraId="4F34955D">
      <w:pPr>
        <w:autoSpaceDE w:val="0"/>
        <w:autoSpaceDN w:val="0"/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</w:p>
    <w:p w14:paraId="5F3594C9">
      <w:pPr>
        <w:pStyle w:val="10"/>
        <w:spacing w:line="500" w:lineRule="exact"/>
        <w:ind w:firstLine="569"/>
        <w:rPr>
          <w:rFonts w:hint="eastAsia" w:ascii="仿宋" w:hAnsi="仿宋" w:eastAsia="仿宋" w:cs="Times New Roman"/>
          <w:b/>
          <w:bCs/>
          <w:color w:val="auto"/>
          <w:lang w:val="en-US" w:eastAsia="zh-CN"/>
        </w:rPr>
      </w:pPr>
    </w:p>
    <w:p w14:paraId="24EFD437">
      <w:pPr>
        <w:pStyle w:val="5"/>
        <w:ind w:firstLine="562" w:firstLineChars="200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采购清单中所涉及所有货物的品牌规格型号名称，须在分项报价清单描述中注明，未注明货物品牌规格型号的响应无效。</w:t>
      </w:r>
    </w:p>
    <w:p w14:paraId="77607CCE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815EE29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A741DA0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1914E9C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1CD079A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41982ED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743B50D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FC9368A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02708F8E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18547CF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0E753D4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67C1328A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9488E1F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C575C55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383761A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4D564E3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4833B3E3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2EEB44AE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342E8270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16C458B2">
      <w:pPr>
        <w:pStyle w:val="6"/>
        <w:spacing w:line="500" w:lineRule="exact"/>
        <w:ind w:left="0" w:leftChars="0" w:firstLine="3213" w:firstLineChars="1000"/>
        <w:jc w:val="both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</w:p>
    <w:p w14:paraId="5C4289FC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4034E"/>
    <w:rsid w:val="7AF4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paragraph" w:styleId="6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character" w:styleId="9">
    <w:name w:val="Hyperlink"/>
    <w:basedOn w:val="8"/>
    <w:qFormat/>
    <w:uiPriority w:val="99"/>
    <w:rPr>
      <w:color w:val="000000"/>
      <w:sz w:val="18"/>
      <w:szCs w:val="18"/>
      <w:u w:val="none"/>
    </w:rPr>
  </w:style>
  <w:style w:type="paragraph" w:customStyle="1" w:styleId="10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2025-11-12T03:03:00Z</dcterms:created>
  <dc:creator>apple</dc:creator>
  <cp:lastModifiedBy>apple</cp:lastModifiedBy>
  <dcterms:modified xsi:type="dcterms:W3CDTF">2025-11-12T03:03:31Z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3BE504C72787469891AFB56D63C73CA7_11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