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36" w:name="_GoBack"/>
      <w:bookmarkEnd w:id="36"/>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7"/>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5"/>
        <w:widowControl w:val="0"/>
        <w:topLinePunct/>
        <w:rPr>
          <w:rFonts w:cstheme="minorHAnsi"/>
        </w:rPr>
      </w:pPr>
      <w:r>
        <w:rPr>
          <w:rFonts w:hint="eastAsia" w:cstheme="minorHAnsi"/>
        </w:rPr>
        <w:t>竞争性磋商</w:t>
      </w:r>
      <w:r>
        <w:rPr>
          <w:rFonts w:cstheme="minorHAnsi"/>
        </w:rPr>
        <w:t>文件</w:t>
      </w:r>
    </w:p>
    <w:p>
      <w:pPr>
        <w:widowControl w:val="0"/>
        <w:topLinePunct/>
        <w:spacing w:line="360" w:lineRule="auto"/>
        <w:jc w:val="center"/>
        <w:rPr>
          <w:rFonts w:eastAsia="宋体" w:cs="Tahoma"/>
          <w:sz w:val="36"/>
          <w:szCs w:val="36"/>
        </w:rPr>
      </w:pPr>
    </w:p>
    <w:p>
      <w:pPr>
        <w:pStyle w:val="38"/>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陕西省西安市消防救援支队支队机关及直属单位车辆保险采购项目</w:t>
      </w:r>
    </w:p>
    <w:p>
      <w:pPr>
        <w:pStyle w:val="38"/>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XCZX2025-0162</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6"/>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20"/>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3"/>
          <w:rFonts w:hint="eastAsia"/>
        </w:rPr>
        <w:t>第一章　磋商邀请函</w:t>
      </w:r>
      <w:r>
        <w:tab/>
      </w:r>
      <w:r>
        <w:fldChar w:fldCharType="begin"/>
      </w:r>
      <w:r>
        <w:instrText xml:space="preserve"> PAGEREF _Toc100219612 \h </w:instrText>
      </w:r>
      <w:r>
        <w:fldChar w:fldCharType="separate"/>
      </w:r>
      <w:r>
        <w:t>1</w:t>
      </w:r>
      <w:r>
        <w:fldChar w:fldCharType="end"/>
      </w:r>
      <w:r>
        <w:fldChar w:fldCharType="end"/>
      </w:r>
    </w:p>
    <w:p>
      <w:pPr>
        <w:pStyle w:val="20"/>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3"/>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pPr>
        <w:pStyle w:val="20"/>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3"/>
          <w:rFonts w:hint="eastAsia"/>
        </w:rPr>
        <w:t>第三章　磋商内容及要求</w:t>
      </w:r>
      <w:r>
        <w:tab/>
      </w:r>
      <w:r>
        <w:fldChar w:fldCharType="begin"/>
      </w:r>
      <w:r>
        <w:instrText xml:space="preserve"> PAGEREF _Toc100219614 \h </w:instrText>
      </w:r>
      <w:r>
        <w:fldChar w:fldCharType="separate"/>
      </w:r>
      <w:r>
        <w:t>33</w:t>
      </w:r>
      <w:r>
        <w:fldChar w:fldCharType="end"/>
      </w:r>
      <w:r>
        <w:fldChar w:fldCharType="end"/>
      </w:r>
    </w:p>
    <w:p>
      <w:pPr>
        <w:pStyle w:val="20"/>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3"/>
          <w:rFonts w:hint="eastAsia"/>
        </w:rPr>
        <w:t>第四章　合同草案条款</w:t>
      </w:r>
      <w:r>
        <w:tab/>
      </w:r>
      <w:r>
        <w:fldChar w:fldCharType="end"/>
      </w:r>
      <w:r>
        <w:t>32</w:t>
      </w:r>
    </w:p>
    <w:p>
      <w:pPr>
        <w:pStyle w:val="20"/>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3"/>
          <w:rFonts w:hint="eastAsia"/>
        </w:rPr>
        <w:t>第五章　响应文件构成及格式</w:t>
      </w:r>
      <w:r>
        <w:tab/>
      </w:r>
      <w:r>
        <w:fldChar w:fldCharType="begin"/>
      </w:r>
      <w:r>
        <w:instrText xml:space="preserve"> PAGEREF _Toc100219616 \h </w:instrText>
      </w:r>
      <w:r>
        <w:fldChar w:fldCharType="separate"/>
      </w:r>
      <w:r>
        <w:t>50</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100219612"/>
      <w:r>
        <w:rPr>
          <w:rFonts w:hint="eastAsia"/>
        </w:rPr>
        <w:t>第一章　磋商邀请函</w:t>
      </w:r>
      <w:bookmarkEnd w:id="0"/>
    </w:p>
    <w:p>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陕西省西安市消防救援支队支队机关及直属单位车辆保险采购项目</w:t>
      </w:r>
      <w:r>
        <w:rPr>
          <w:rFonts w:hint="eastAsia"/>
        </w:rPr>
        <w:t>进行竞争性磋商，欢迎符合资格条件的、有能力提供本项目所需货物和服务的供应商参加磋商。</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陕西省西安市消防救援支队支队机关及直属单位车辆保险采购项目</w:t>
      </w:r>
    </w:p>
    <w:p>
      <w:pPr>
        <w:widowControl w:val="0"/>
        <w:topLinePunct/>
        <w:ind w:firstLine="480" w:firstLineChars="200"/>
        <w:jc w:val="both"/>
      </w:pPr>
      <w:r>
        <w:rPr>
          <w:rFonts w:hint="eastAsia"/>
        </w:rPr>
        <w:t>项目编号：</w:t>
      </w:r>
      <w:r>
        <w:rPr>
          <w:rFonts w:hint="eastAsia"/>
          <w:color w:val="C00000"/>
        </w:rPr>
        <w:t>XCZX2025-0162</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2025-0</w:t>
      </w:r>
      <w:r>
        <w:rPr>
          <w:color w:val="C00000"/>
        </w:rPr>
        <w:t>5001</w:t>
      </w:r>
    </w:p>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pPr>
        <w:widowControl w:val="0"/>
        <w:topLinePunct/>
        <w:ind w:firstLine="480" w:firstLineChars="200"/>
        <w:jc w:val="both"/>
        <w:rPr>
          <w:color w:val="C00000"/>
        </w:rPr>
      </w:pPr>
      <w:r>
        <w:rPr>
          <w:rFonts w:hint="eastAsia"/>
          <w:b/>
        </w:rPr>
        <w:t>三、采购预算：</w:t>
      </w:r>
      <w:r>
        <w:rPr>
          <w:rFonts w:hint="eastAsia"/>
          <w:color w:val="C00000"/>
        </w:rPr>
        <w:t>8</w:t>
      </w:r>
      <w:r>
        <w:rPr>
          <w:color w:val="C00000"/>
        </w:rPr>
        <w:t>75385.72</w:t>
      </w:r>
      <w:r>
        <w:rPr>
          <w:rFonts w:hint="eastAsia"/>
          <w:color w:val="C00000"/>
        </w:rPr>
        <w:t>元</w:t>
      </w:r>
    </w:p>
    <w:p>
      <w:pPr>
        <w:widowControl w:val="0"/>
        <w:topLinePunct/>
        <w:ind w:firstLine="480" w:firstLineChars="200"/>
        <w:jc w:val="both"/>
        <w:rPr>
          <w:color w:val="C00000"/>
        </w:rPr>
      </w:pPr>
      <w:r>
        <w:rPr>
          <w:b/>
        </w:rPr>
        <w:t>四、采购</w:t>
      </w:r>
      <w:r>
        <w:rPr>
          <w:rFonts w:hint="eastAsia"/>
          <w:b/>
        </w:rPr>
        <w:t>内容和要求：</w:t>
      </w:r>
      <w:r>
        <w:rPr>
          <w:rFonts w:hint="eastAsia"/>
          <w:color w:val="C00000"/>
        </w:rPr>
        <w:t>支队机关及直属单位车辆保险采购，保险</w:t>
      </w:r>
      <w:r>
        <w:rPr>
          <w:color w:val="C00000"/>
        </w:rPr>
        <w:t>期限</w:t>
      </w:r>
      <w:r>
        <w:rPr>
          <w:rFonts w:hint="eastAsia"/>
          <w:color w:val="C00000"/>
        </w:rPr>
        <w:t>1年</w:t>
      </w:r>
    </w:p>
    <w:p>
      <w:pPr>
        <w:widowControl w:val="0"/>
        <w:topLinePunct/>
        <w:ind w:firstLine="480" w:firstLineChars="200"/>
        <w:jc w:val="both"/>
      </w:pPr>
      <w:r>
        <w:rPr>
          <w:rFonts w:hint="eastAsia"/>
        </w:rPr>
        <w:t>详见第三章「磋商内容及要求」。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七、获取磋商文件的时间及方式：</w:t>
      </w:r>
    </w:p>
    <w:p>
      <w:pPr>
        <w:widowControl w:val="0"/>
        <w:topLinePunct/>
        <w:ind w:firstLine="480" w:firstLineChars="200"/>
        <w:jc w:val="both"/>
      </w:pPr>
      <w:r>
        <w:rPr>
          <w:rFonts w:hint="eastAsia"/>
        </w:rPr>
        <w:t>1．获取时间：自磋商公告发布之日起5个工作日内。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3"/>
          <w:rFonts w:hint="eastAsia"/>
        </w:rPr>
        <w:t>http://sxggzyjy.xa.gov.cn/</w:t>
      </w:r>
      <w:r>
        <w:rPr>
          <w:rStyle w:val="33"/>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w:t>
      </w:r>
      <w:r>
        <w:t>11</w:t>
      </w:r>
      <w:r>
        <w:rPr>
          <w:rFonts w:hint="eastAsia"/>
        </w:rPr>
        <w:t>月</w:t>
      </w:r>
      <w:r>
        <w:t>06</w:t>
      </w:r>
      <w:r>
        <w:rPr>
          <w:rFonts w:hint="eastAsia"/>
        </w:rPr>
        <w:t>日10:30，逾期提交的，系统将拒绝接收。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九、开启时间、地点及开标形式：</w:t>
      </w:r>
    </w:p>
    <w:p>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u w:val="single"/>
        </w:rPr>
        <w:t>11</w:t>
      </w:r>
      <w:r>
        <w:rPr>
          <w:rFonts w:hint="eastAsia"/>
        </w:rPr>
        <w:t>月</w:t>
      </w:r>
      <w:r>
        <w:t>06</w:t>
      </w:r>
      <w:r>
        <w:rPr>
          <w:rFonts w:hint="eastAsia"/>
        </w:rPr>
        <w:t>日10:30</w:t>
      </w:r>
    </w:p>
    <w:p>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u w:val="single"/>
        </w:rPr>
        <w:t>4</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1．采购人：西安市消防救援支队</w:t>
      </w:r>
    </w:p>
    <w:p>
      <w:pPr>
        <w:widowControl w:val="0"/>
        <w:topLinePunct/>
        <w:ind w:firstLine="480" w:firstLineChars="200"/>
        <w:jc w:val="both"/>
      </w:pPr>
      <w:r>
        <w:rPr>
          <w:rFonts w:hint="eastAsia"/>
        </w:rPr>
        <w:t>地址：陕西省西安市雁塔区科技七路10号</w:t>
      </w:r>
    </w:p>
    <w:p>
      <w:pPr>
        <w:widowControl w:val="0"/>
        <w:topLinePunct/>
        <w:ind w:firstLine="480" w:firstLineChars="200"/>
        <w:jc w:val="both"/>
      </w:pPr>
      <w:r>
        <w:rPr>
          <w:rFonts w:hint="eastAsia"/>
        </w:rPr>
        <w:t>联系人：贺老师</w:t>
      </w:r>
    </w:p>
    <w:p>
      <w:pPr>
        <w:widowControl w:val="0"/>
        <w:topLinePunct/>
        <w:ind w:firstLine="480" w:firstLineChars="200"/>
        <w:jc w:val="both"/>
      </w:pPr>
      <w:r>
        <w:rPr>
          <w:rFonts w:hint="eastAsia"/>
        </w:rPr>
        <w:t>联系电话：</w:t>
      </w:r>
      <w:r>
        <w:t>029-86750035</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标书联系人及分机号：徐老师（</w:t>
      </w:r>
      <w:r>
        <w:t>80845</w:t>
      </w:r>
      <w:r>
        <w:rPr>
          <w:rFonts w:hint="eastAsia"/>
        </w:rPr>
        <w:t>）</w:t>
      </w:r>
    </w:p>
    <w:p>
      <w:pPr>
        <w:widowControl w:val="0"/>
        <w:topLinePunct/>
        <w:ind w:firstLine="480" w:firstLineChars="200"/>
        <w:jc w:val="both"/>
      </w:pPr>
      <w:r>
        <w:rPr>
          <w:rFonts w:hint="eastAsia"/>
        </w:rPr>
        <w:t>开标联系人及分机号：王彤华（80807）</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1" w:name="_Toc100219613"/>
      <w:bookmarkStart w:id="2" w:name="_Toc498349068"/>
      <w:bookmarkStart w:id="3" w:name="_Toc534656414"/>
      <w:bookmarkStart w:id="4" w:name="_Toc534656409"/>
      <w:bookmarkStart w:id="5" w:name="_Toc533363235"/>
      <w:bookmarkStart w:id="6" w:name="_Toc533363262"/>
      <w:bookmarkStart w:id="7" w:name="_Toc445407251"/>
      <w:bookmarkStart w:id="8" w:name="_Toc97563329"/>
      <w:r>
        <w:t>第二章</w:t>
      </w:r>
      <w:r>
        <w:rPr>
          <w:rFonts w:hint="eastAsia"/>
        </w:rPr>
        <w:t>　</w:t>
      </w:r>
      <w:r>
        <w:t>供应商须知</w:t>
      </w:r>
      <w:bookmarkEnd w:id="1"/>
      <w:bookmarkEnd w:id="2"/>
      <w:bookmarkEnd w:id="3"/>
      <w:bookmarkEnd w:id="4"/>
      <w:bookmarkEnd w:id="5"/>
      <w:bookmarkEnd w:id="6"/>
      <w:bookmarkEnd w:id="7"/>
      <w:bookmarkEnd w:id="8"/>
    </w:p>
    <w:p>
      <w:pPr>
        <w:jc w:val="center"/>
        <w:outlineLvl w:val="2"/>
        <w:rPr>
          <w:rFonts w:cstheme="minorHAnsi"/>
        </w:rPr>
      </w:pPr>
      <w:r>
        <w:rPr>
          <w:rFonts w:hint="eastAsia" w:ascii="黑体" w:hAnsi="黑体" w:eastAsia="黑体" w:cstheme="minorHAnsi"/>
          <w:color w:val="0070C0"/>
          <w:sz w:val="32"/>
          <w:szCs w:val="32"/>
        </w:rPr>
        <w:t>『前附表』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陕西省西安市消防救援支队支队机关及直属单位车辆保险采购项目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XCZX2025-0162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8"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8</w:t>
            </w:r>
            <w:r>
              <w:rPr>
                <w:rFonts w:ascii="Calibri" w:hAnsi="宋体" w:eastAsia="宋体" w:cstheme="minorHAnsi"/>
                <w:sz w:val="21"/>
              </w:rPr>
              <w:t>75385.72</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bookmarkStart w:id="9" w:name="OLE_LINK20"/>
            <w:bookmarkStart w:id="10" w:name="OLE_LINK19"/>
            <w:r>
              <w:rPr>
                <w:color w:val="7030A0"/>
                <w:sz w:val="21"/>
                <w:szCs w:val="21"/>
                <w:u w:val="single"/>
              </w:rPr>
              <w:t>其他未列明行业</w:t>
            </w:r>
            <w:bookmarkEnd w:id="9"/>
            <w:bookmarkEnd w:id="1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采购人组织</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pPr>
        <w:pStyle w:val="3"/>
        <w:jc w:val="both"/>
      </w:pPr>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3"/>
          <w:rFonts w:hint="eastAsia" w:cstheme="minorHAnsi"/>
        </w:rPr>
        <w:t>http</w:t>
      </w:r>
      <w:r>
        <w:rPr>
          <w:rStyle w:val="33"/>
          <w:rFonts w:cstheme="minorHAnsi"/>
        </w:rPr>
        <w:t>://sxggzyjy.xa.gov.cn</w:t>
      </w:r>
      <w:r>
        <w:rPr>
          <w:rStyle w:val="33"/>
          <w:rFonts w:hint="eastAsia" w:cstheme="minorHAnsi"/>
        </w:rPr>
        <w:t>/</w:t>
      </w:r>
      <w:r>
        <w:rPr>
          <w:rStyle w:val="33"/>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3"/>
          <w:rFonts w:cstheme="minorHAnsi"/>
        </w:rPr>
        <w:t>http://www.sxggzyjy.cn:9002/TPBidder/memberLogin</w:t>
      </w:r>
      <w:r>
        <w:rPr>
          <w:rStyle w:val="33"/>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1" w:name="OLE_LINK9"/>
      <w:bookmarkStart w:id="12" w:name="OLE_LINK10"/>
      <w:r>
        <w:rPr>
          <w:rFonts w:hint="eastAsia"/>
          <w:color w:val="C00000"/>
        </w:rPr>
        <w:t>采购文件公告期限届满之日</w:t>
      </w:r>
      <w:bookmarkEnd w:id="11"/>
      <w:bookmarkEnd w:id="12"/>
      <w:r>
        <w:rPr>
          <w:rFonts w:hint="eastAsia"/>
          <w:color w:val="C00000"/>
        </w:rPr>
        <w:t>。</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3"/>
        </w:rPr>
        <w:t>http://download.ccgp.gov.cn/2018/zhiyihanfanben.zip</w:t>
      </w:r>
      <w:r>
        <w:rPr>
          <w:rStyle w:val="33"/>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3"/>
          <w:rFonts w:cstheme="minorHAnsi"/>
          <w:color w:val="0070C0"/>
        </w:rPr>
        <w:t>http://download.ccgp.gov.cn/2018/tousushufanben.zip</w:t>
      </w:r>
      <w:r>
        <w:rPr>
          <w:rStyle w:val="33"/>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pPr>
        <w:ind w:firstLine="480" w:firstLineChars="200"/>
        <w:jc w:val="both"/>
        <w:rPr>
          <w:rFonts w:cstheme="minorHAnsi"/>
          <w:b/>
        </w:rPr>
      </w:pPr>
      <w:r>
        <w:rPr>
          <w:rFonts w:hint="eastAsia" w:cstheme="minorHAnsi"/>
          <w:b/>
        </w:rPr>
        <w:t>（1）陕西省中小企业政府采购信用融资办法</w:t>
      </w:r>
    </w:p>
    <w:p>
      <w:pPr>
        <w:wordWrap w:val="0"/>
        <w:ind w:firstLine="480" w:firstLineChars="200"/>
        <w:jc w:val="both"/>
        <w:rPr>
          <w:rStyle w:val="33"/>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3"/>
          <w:rFonts w:hint="eastAsia" w:cstheme="minorHAnsi"/>
          <w:color w:val="0070C0"/>
        </w:rPr>
        <w:t>http://www.ccgp-shaanxi.gov.cn/zcdservice/zcd/shanxi/</w:t>
      </w:r>
    </w:p>
    <w:p>
      <w:pPr>
        <w:ind w:firstLine="480" w:firstLineChars="200"/>
        <w:jc w:val="both"/>
        <w:rPr>
          <w:b/>
        </w:rPr>
      </w:pPr>
      <w:r>
        <w:rPr>
          <w:rFonts w:hint="eastAsia" w:cstheme="minorHAnsi"/>
          <w:b/>
        </w:rPr>
        <w:t>（2）</w:t>
      </w:r>
      <w:r>
        <w:rPr>
          <w:b/>
        </w:rPr>
        <w:t>西安市政府采购信用担保及信用融资政策</w:t>
      </w:r>
    </w:p>
    <w:p>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3"/>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3"/>
          <w:rFonts w:eastAsiaTheme="majorEastAsia" w:cstheme="minorHAnsi"/>
          <w:color w:val="0070C0"/>
        </w:rPr>
        <w:t>https://www.creditchina.gov.cn</w:t>
      </w:r>
      <w:r>
        <w:rPr>
          <w:rStyle w:val="33"/>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3"/>
          <w:rFonts w:eastAsiaTheme="majorEastAsia" w:cstheme="minorHAnsi"/>
          <w:color w:val="0070C0"/>
        </w:rPr>
        <w:t>http://www.ccgp.gov.cn/</w:t>
      </w:r>
      <w:r>
        <w:rPr>
          <w:rStyle w:val="33"/>
          <w:rFonts w:eastAsiaTheme="majorEastAsia" w:cstheme="minorHAnsi"/>
        </w:rPr>
        <w:t>）</w:t>
      </w:r>
      <w:r>
        <w:rPr>
          <w:rStyle w:val="33"/>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7．联合体出现下列情形之一的，响</w:t>
      </w:r>
      <w:r>
        <w:rPr>
          <w:rFonts w:hint="eastAsia"/>
          <w:w w:val="1"/>
        </w:rPr>
        <w:t>　</w:t>
      </w:r>
      <w:r>
        <w:rPr>
          <w:rFonts w:hint="eastAsia"/>
        </w:rPr>
        <w:t>应无效：</w:t>
      </w:r>
    </w:p>
    <w:p>
      <w:pPr>
        <w:ind w:firstLine="480" w:firstLineChars="200"/>
        <w:jc w:val="both"/>
      </w:pPr>
      <w:r>
        <w:rPr>
          <w:rFonts w:hint="eastAsia"/>
        </w:rPr>
        <w:t>（1）联合体没有提交有效的联合协议的；</w:t>
      </w:r>
    </w:p>
    <w:p>
      <w:pPr>
        <w:ind w:firstLine="480" w:firstLineChars="200"/>
        <w:jc w:val="both"/>
      </w:pPr>
      <w:r>
        <w:rPr>
          <w:rFonts w:hint="eastAsia"/>
        </w:rPr>
        <w:t xml:space="preserve">（2）进行资格预审的项目，资格预审后联合体增减、更换成员的； </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三、磋商文件</w:t>
      </w:r>
    </w:p>
    <w:p>
      <w:pPr>
        <w:pStyle w:val="4"/>
        <w:ind w:firstLine="482"/>
      </w:pPr>
      <w:r>
        <w:t>（一）磋商</w:t>
      </w:r>
      <w:r>
        <w:rPr>
          <w:rFonts w:hint="eastAsia"/>
        </w:rPr>
        <w:t>文件的解释权</w:t>
      </w:r>
    </w:p>
    <w:p>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pPr>
        <w:pStyle w:val="4"/>
        <w:ind w:firstLine="482"/>
      </w:pPr>
      <w:r>
        <w:t>（二）磋商文件主要内容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（三）磋商文件的检查及阅读</w:t>
      </w:r>
    </w:p>
    <w:p>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pPr>
        <w:pStyle w:val="4"/>
        <w:ind w:firstLine="482"/>
      </w:pPr>
      <w:r>
        <w:t>（四）磋商文件的修改、澄清</w:t>
      </w:r>
    </w:p>
    <w:p>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3"/>
          <w:color w:val="0070C0"/>
        </w:rPr>
        <w:t>http://www.ccgp-shaanxi.gov.cn/</w:t>
      </w:r>
      <w:r>
        <w:rPr>
          <w:rStyle w:val="33"/>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3"/>
          <w:rFonts w:hint="eastAsia"/>
          <w:color w:val="0070C0"/>
        </w:rPr>
        <w:t>http://</w:t>
      </w:r>
      <w:r>
        <w:rPr>
          <w:rStyle w:val="33"/>
          <w:color w:val="0070C0"/>
        </w:rPr>
        <w:t>sxggzyjy.xa.gov.cn/</w:t>
      </w:r>
      <w:r>
        <w:rPr>
          <w:rStyle w:val="33"/>
          <w:color w:val="0070C0"/>
        </w:rPr>
        <w:fldChar w:fldCharType="end"/>
      </w:r>
      <w:r>
        <w:t>）中的〖首页·〉交易大厅·〉政府采购〗。</w:t>
      </w:r>
    </w:p>
    <w:p>
      <w:pPr>
        <w:pStyle w:val="3"/>
      </w:pPr>
      <w:r>
        <w:t>四、响应文件</w:t>
      </w:r>
    </w:p>
    <w:p>
      <w:pPr>
        <w:pStyle w:val="4"/>
        <w:ind w:firstLine="482"/>
      </w:pPr>
      <w:r>
        <w:rPr>
          <w:rFonts w:hint="eastAsia"/>
        </w:rPr>
        <w:t>（一）响应文件</w:t>
      </w:r>
      <w:r>
        <w:t>的式样</w:t>
      </w:r>
    </w:p>
    <w:p>
      <w:pPr>
        <w:pStyle w:val="83"/>
        <w:ind w:firstLine="480"/>
      </w:pPr>
      <w:r>
        <w:t>1</w:t>
      </w:r>
      <w:r>
        <w:rPr>
          <w:rFonts w:hint="eastAsia"/>
          <w:color w:val="auto"/>
        </w:rPr>
        <w:t>．</w:t>
      </w:r>
      <w:r>
        <w:rPr>
          <w:rFonts w:hint="eastAsia"/>
        </w:rPr>
        <w:t>组成</w:t>
      </w:r>
      <w:r>
        <w:t>及格式</w:t>
      </w:r>
    </w:p>
    <w:p>
      <w:pPr>
        <w:pStyle w:val="83"/>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pPr>
        <w:pStyle w:val="83"/>
        <w:ind w:firstLine="480"/>
      </w:pPr>
      <w:r>
        <w:rPr>
          <w:rFonts w:hint="eastAsia"/>
        </w:rPr>
        <w:t>2</w:t>
      </w:r>
      <w:r>
        <w:rPr>
          <w:rFonts w:hint="eastAsia"/>
          <w:color w:val="auto"/>
        </w:rPr>
        <w:t>．</w:t>
      </w:r>
      <w:r>
        <w:rPr>
          <w:rFonts w:hint="eastAsia"/>
        </w:rPr>
        <w:t>语言</w:t>
      </w:r>
    </w:p>
    <w:p>
      <w:pPr>
        <w:pStyle w:val="83"/>
        <w:ind w:firstLine="480"/>
      </w:pPr>
      <w:r>
        <w:rPr>
          <w:rFonts w:hint="eastAsia"/>
        </w:rPr>
        <w:t>磋商活动的所有文件、资料、函电文字均使用简体中文，确需提交用其他语言形成的资料，必须翻译成简体中文，如有差异，以简体中文为准。</w:t>
      </w:r>
    </w:p>
    <w:p>
      <w:pPr>
        <w:pStyle w:val="83"/>
        <w:ind w:firstLine="480"/>
      </w:pPr>
      <w:r>
        <w:rPr>
          <w:rFonts w:hint="eastAsia"/>
        </w:rPr>
        <w:t>3</w:t>
      </w:r>
      <w:r>
        <w:rPr>
          <w:rFonts w:hint="eastAsia"/>
          <w:color w:val="auto"/>
        </w:rPr>
        <w:t>．</w:t>
      </w:r>
      <w:r>
        <w:t>计量单位</w:t>
      </w:r>
    </w:p>
    <w:p>
      <w:pPr>
        <w:pStyle w:val="83"/>
        <w:ind w:firstLine="480"/>
      </w:pPr>
      <w:r>
        <w:rPr>
          <w:rFonts w:hint="eastAsia"/>
        </w:rPr>
        <w:t>响应文件的计量单位应使用中华人民共和国法定计量单位，但磋商文件另有规定的除外。</w:t>
      </w:r>
    </w:p>
    <w:p>
      <w:pPr>
        <w:pStyle w:val="4"/>
        <w:ind w:firstLine="482"/>
      </w:pPr>
      <w:r>
        <w:rPr>
          <w:rFonts w:hint="eastAsia"/>
        </w:rPr>
        <w:t>（二）响应文件</w:t>
      </w:r>
      <w:r>
        <w:t>的有效期</w:t>
      </w:r>
    </w:p>
    <w:p>
      <w:pPr>
        <w:pStyle w:val="83"/>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pPr>
        <w:pStyle w:val="4"/>
        <w:ind w:firstLine="482"/>
      </w:pPr>
      <w:r>
        <w:rPr>
          <w:rFonts w:hint="eastAsia"/>
        </w:rPr>
        <w:t>（三）磋商</w:t>
      </w:r>
      <w:r>
        <w:t>报价</w:t>
      </w:r>
    </w:p>
    <w:p>
      <w:pPr>
        <w:pStyle w:val="83"/>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3"/>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pPr>
        <w:pStyle w:val="83"/>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pPr>
        <w:pStyle w:val="83"/>
        <w:ind w:firstLine="480"/>
      </w:pPr>
      <w:r>
        <w:t>（</w:t>
      </w:r>
      <w:r>
        <w:rPr>
          <w:rFonts w:hint="eastAsia"/>
        </w:rPr>
        <w:t>1</w:t>
      </w:r>
      <w:r>
        <w:t>）第一次报价：</w:t>
      </w:r>
      <w:r>
        <w:rPr>
          <w:rFonts w:hint="eastAsia"/>
        </w:rPr>
        <w:t>供应商应按照响应文件「第一次磋商报价表」中的相关要求填写分类报价及其他需要响应的内容。</w:t>
      </w:r>
    </w:p>
    <w:p>
      <w:pPr>
        <w:pStyle w:val="83"/>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pPr>
        <w:pStyle w:val="83"/>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pPr>
        <w:pStyle w:val="83"/>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pPr>
        <w:pStyle w:val="4"/>
        <w:ind w:firstLine="482"/>
      </w:pPr>
      <w:r>
        <w:rPr>
          <w:rFonts w:hint="eastAsia"/>
        </w:rPr>
        <w:t>（四）电子响应文件</w:t>
      </w:r>
      <w:r>
        <w:t>的</w:t>
      </w:r>
      <w:r>
        <w:rPr>
          <w:rFonts w:hint="eastAsia"/>
        </w:rPr>
        <w:t>制作、</w:t>
      </w:r>
      <w:r>
        <w:t>签章及加密</w:t>
      </w:r>
    </w:p>
    <w:p>
      <w:pPr>
        <w:pStyle w:val="83"/>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3"/>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3"/>
          <w:rFonts w:asciiTheme="minorHAnsi" w:hAnsiTheme="minorHAnsi" w:eastAsiaTheme="minorEastAsia"/>
          <w:color w:val="0070C0"/>
        </w:rPr>
        <w:t>http://sxggzyjy.xa.gov.cn/fwzn/004003/20181115/4d59c184-e8f6-4d5a-a416-c2f6b0601e66.html</w:t>
      </w:r>
      <w:r>
        <w:rPr>
          <w:rStyle w:val="33"/>
          <w:rFonts w:asciiTheme="minorHAnsi" w:hAnsiTheme="minorHAnsi" w:eastAsiaTheme="minorEastAsia"/>
          <w:color w:val="0070C0"/>
        </w:rPr>
        <w:fldChar w:fldCharType="end"/>
      </w:r>
    </w:p>
    <w:p>
      <w:pPr>
        <w:pStyle w:val="83"/>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pPr>
        <w:pStyle w:val="83"/>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pPr>
        <w:pStyle w:val="83"/>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3"/>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pPr>
        <w:pStyle w:val="83"/>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pPr>
        <w:pStyle w:val="4"/>
        <w:ind w:firstLine="482"/>
      </w:pPr>
      <w:r>
        <w:rPr>
          <w:rFonts w:hint="eastAsia"/>
        </w:rPr>
        <w:t>（五）电子响应文件</w:t>
      </w:r>
      <w:r>
        <w:t>的提交</w:t>
      </w:r>
    </w:p>
    <w:p>
      <w:pPr>
        <w:pStyle w:val="83"/>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pPr>
        <w:pStyle w:val="83"/>
        <w:ind w:firstLine="480"/>
      </w:pPr>
      <w:r>
        <w:t>出现下述情形的，电子响应文件将被系统拒收：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逾期提交电子响应文件的；</w:t>
      </w:r>
    </w:p>
    <w:p>
      <w:pPr>
        <w:ind w:firstLine="480" w:firstLineChars="200"/>
        <w:jc w:val="both"/>
        <w:rPr>
          <w:rFonts w:cstheme="minorHAnsi"/>
        </w:rPr>
      </w:pPr>
      <w:r>
        <w:rPr>
          <w:rFonts w:cstheme="minorHAnsi"/>
        </w:rPr>
        <w:t>3</w:t>
      </w:r>
      <w:r>
        <w:rPr>
          <w:rFonts w:hint="eastAsia" w:cstheme="minorHAnsi"/>
        </w:rPr>
        <w:t>．使用旧版电子磋商文件制作电子响应文件的。</w:t>
      </w:r>
    </w:p>
    <w:p>
      <w:pPr>
        <w:pStyle w:val="4"/>
        <w:ind w:firstLine="482"/>
      </w:pPr>
      <w:r>
        <w:t>（</w:t>
      </w:r>
      <w:r>
        <w:rPr>
          <w:rFonts w:hint="eastAsia"/>
        </w:rPr>
        <w:t>六</w:t>
      </w:r>
      <w:r>
        <w:t>）电子响应文件的撤回、补充及修改</w:t>
      </w:r>
    </w:p>
    <w:p>
      <w:pPr>
        <w:pStyle w:val="83"/>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83"/>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4"/>
        <w:ind w:firstLine="482"/>
      </w:pPr>
      <w:r>
        <w:rPr>
          <w:rFonts w:hint="eastAsia"/>
        </w:rPr>
        <w:t>（七）关于电子投</w:t>
      </w:r>
      <w:r>
        <w:rPr>
          <w:rFonts w:hint="eastAsia"/>
          <w:w w:val="1"/>
        </w:rPr>
        <w:t>　</w:t>
      </w:r>
      <w:r>
        <w:rPr>
          <w:rFonts w:hint="eastAsia"/>
        </w:rPr>
        <w:t>标文件的雷同性分析</w:t>
      </w:r>
    </w:p>
    <w:p>
      <w:pPr>
        <w:pStyle w:val="83"/>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pPr>
        <w:pStyle w:val="83"/>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pPr>
        <w:pStyle w:val="83"/>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pPr>
        <w:pStyle w:val="83"/>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pPr>
        <w:pStyle w:val="4"/>
        <w:ind w:firstLine="482"/>
      </w:pPr>
      <w:r>
        <w:rPr>
          <w:rFonts w:hint="eastAsia"/>
        </w:rPr>
        <w:t>（八）响应文件出现下列情形之一的，视为供应商串通投</w:t>
      </w:r>
      <w:r>
        <w:rPr>
          <w:rFonts w:hint="eastAsia"/>
          <w:w w:val="1"/>
        </w:rPr>
        <w:t>　</w:t>
      </w:r>
      <w:r>
        <w:rPr>
          <w:rFonts w:hint="eastAsia"/>
        </w:rPr>
        <w:t>标，其响应无效：</w:t>
      </w:r>
    </w:p>
    <w:p>
      <w:pPr>
        <w:pStyle w:val="83"/>
        <w:ind w:firstLine="480"/>
      </w:pPr>
      <w:r>
        <w:rPr>
          <w:rFonts w:hint="eastAsia"/>
        </w:rPr>
        <w:t>1．不同供应商的响应文件由同一单位或者个人编制的；</w:t>
      </w:r>
    </w:p>
    <w:p>
      <w:pPr>
        <w:pStyle w:val="83"/>
        <w:ind w:firstLine="480"/>
      </w:pPr>
      <w:r>
        <w:rPr>
          <w:rFonts w:hint="eastAsia"/>
        </w:rPr>
        <w:t>2．不同供应商委托同一单位或者个人办理磋商事宜的；</w:t>
      </w:r>
    </w:p>
    <w:p>
      <w:pPr>
        <w:pStyle w:val="83"/>
        <w:ind w:firstLine="480"/>
      </w:pPr>
      <w:r>
        <w:rPr>
          <w:rFonts w:hint="eastAsia"/>
        </w:rPr>
        <w:t>3．不同供应商的响应文件载明的项目管理成员或者联系人员为同一人的；</w:t>
      </w:r>
    </w:p>
    <w:p>
      <w:pPr>
        <w:pStyle w:val="83"/>
        <w:ind w:firstLine="480"/>
      </w:pPr>
      <w:r>
        <w:rPr>
          <w:rFonts w:hint="eastAsia"/>
        </w:rPr>
        <w:t>4．不同供应商的响应文件异常一致或者报价呈规律性差异的；</w:t>
      </w:r>
    </w:p>
    <w:p>
      <w:pPr>
        <w:pStyle w:val="83"/>
        <w:ind w:firstLine="480"/>
      </w:pPr>
      <w:r>
        <w:rPr>
          <w:rFonts w:hint="eastAsia"/>
        </w:rPr>
        <w:t>5．不同供应商的响应文件相互混编或混装的。</w:t>
      </w:r>
    </w:p>
    <w:p>
      <w:pPr>
        <w:pStyle w:val="3"/>
      </w:pPr>
      <w:r>
        <w:rPr>
          <w:rFonts w:hint="eastAsia"/>
        </w:rPr>
        <w:t>五</w:t>
      </w:r>
      <w:r>
        <w:t>、开启</w:t>
      </w:r>
    </w:p>
    <w:p>
      <w:pPr>
        <w:pStyle w:val="83"/>
        <w:ind w:firstLine="480"/>
      </w:pPr>
      <w:r>
        <w:rPr>
          <w:rFonts w:hint="eastAsia"/>
        </w:rPr>
        <w:t>开启工作由采购代理机构组织实施，整个过程受同级政府采购监管部门的监督、管理。</w:t>
      </w:r>
    </w:p>
    <w:p>
      <w:pPr>
        <w:pStyle w:val="83"/>
        <w:ind w:firstLine="480"/>
        <w:rPr>
          <w:color w:val="auto"/>
        </w:rPr>
      </w:pPr>
      <w:r>
        <w:rPr>
          <w:rFonts w:hint="eastAsia"/>
        </w:rPr>
        <w:t>1</w:t>
      </w:r>
      <w:r>
        <w:rPr>
          <w:rFonts w:hint="eastAsia"/>
          <w:color w:val="auto"/>
        </w:rPr>
        <w:t>．提交首次响应文件截止时间前，请各供应商务必确认已正常提交了响应文件。</w:t>
      </w:r>
    </w:p>
    <w:p>
      <w:pPr>
        <w:pStyle w:val="83"/>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pPr>
        <w:pStyle w:val="83"/>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3"/>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3"/>
          <w:rFonts w:hint="eastAsia"/>
          <w:color w:val="0070C0"/>
        </w:rPr>
        <w:t>http://sxggzyjy.xa.gov.cn/fwzn/004003/20200426/bc8b2c1e-abe2-4168-913c-68ff93345faf.html</w:t>
      </w:r>
      <w:r>
        <w:rPr>
          <w:rStyle w:val="33"/>
          <w:rFonts w:hint="eastAsia"/>
          <w:color w:val="0070C0"/>
        </w:rPr>
        <w:fldChar w:fldCharType="end"/>
      </w:r>
    </w:p>
    <w:p>
      <w:pPr>
        <w:pStyle w:val="83"/>
        <w:ind w:firstLine="480"/>
      </w:pPr>
      <w:r>
        <w:rPr>
          <w:rStyle w:val="33"/>
          <w:color w:val="auto"/>
          <w:u w:val="none"/>
        </w:rPr>
        <w:t>（</w:t>
      </w:r>
      <w:r>
        <w:rPr>
          <w:rStyle w:val="33"/>
          <w:rFonts w:hint="eastAsia"/>
          <w:color w:val="auto"/>
          <w:u w:val="none"/>
        </w:rPr>
        <w:t>3</w:t>
      </w:r>
      <w:r>
        <w:rPr>
          <w:rStyle w:val="33"/>
          <w:color w:val="auto"/>
          <w:u w:val="none"/>
        </w:rPr>
        <w:t>）突发状况的处置：整个磋商期间，</w:t>
      </w:r>
      <w:r>
        <w:rPr>
          <w:rStyle w:val="33"/>
          <w:rFonts w:hint="eastAsia"/>
          <w:color w:val="auto"/>
          <w:u w:val="none"/>
        </w:rPr>
        <w:t>如因停电、断网、电子化系统故障等特殊原因导致电子化开标、评标工作无法正常进行时，采购代理机构将及时汇报政府采购监管部门，并等待或中止后续活动。</w:t>
      </w:r>
    </w:p>
    <w:p>
      <w:pPr>
        <w:pStyle w:val="83"/>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pPr>
        <w:pStyle w:val="83"/>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pPr>
        <w:pStyle w:val="83"/>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pPr>
        <w:pStyle w:val="83"/>
        <w:ind w:firstLine="480"/>
        <w:rPr>
          <w:color w:val="auto"/>
        </w:rPr>
      </w:pPr>
      <w:r>
        <w:rPr>
          <w:rFonts w:hint="eastAsia"/>
          <w:color w:val="auto"/>
        </w:rPr>
        <w:t>（3）上传</w:t>
      </w:r>
      <w:r>
        <w:rPr>
          <w:color w:val="auto"/>
        </w:rPr>
        <w:t>的电子响应文件无法正常打开的；</w:t>
      </w:r>
    </w:p>
    <w:p>
      <w:pPr>
        <w:pStyle w:val="83"/>
        <w:ind w:firstLine="480"/>
        <w:rPr>
          <w:color w:val="auto"/>
        </w:rPr>
      </w:pPr>
      <w:r>
        <w:rPr>
          <w:rFonts w:hint="eastAsia"/>
          <w:color w:val="auto"/>
        </w:rPr>
        <w:t>（4）</w:t>
      </w:r>
      <w:r>
        <w:rPr>
          <w:color w:val="auto"/>
        </w:rPr>
        <w:t>政府采购法律法规规定的其他无效情形。</w:t>
      </w:r>
    </w:p>
    <w:p>
      <w:pPr>
        <w:pStyle w:val="83"/>
        <w:ind w:firstLine="480"/>
        <w:rPr>
          <w:color w:val="C00000"/>
        </w:rPr>
      </w:pPr>
      <w:r>
        <w:rPr>
          <w:rFonts w:hint="eastAsia"/>
          <w:color w:val="C00000"/>
        </w:rPr>
        <w:t>按照《政府采购竞争性磋商采购方式管理暂行办法》（财库〔2014〕214号）相关规定，对供应商的各轮磋商报价均不予公开。</w:t>
      </w:r>
    </w:p>
    <w:p>
      <w:pPr>
        <w:pStyle w:val="83"/>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pPr>
        <w:pStyle w:val="3"/>
      </w:pPr>
      <w:r>
        <w:t>六、磋商方法和程序</w:t>
      </w:r>
    </w:p>
    <w:p>
      <w:pPr>
        <w:pStyle w:val="4"/>
        <w:ind w:firstLine="482"/>
      </w:pPr>
      <w:r>
        <w:rPr>
          <w:rFonts w:hint="eastAsia"/>
        </w:rPr>
        <w:t>（一）组建磋商小组</w:t>
      </w:r>
    </w:p>
    <w:p>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ind w:firstLine="480" w:firstLineChars="200"/>
        <w:jc w:val="both"/>
      </w:pPr>
      <w:r>
        <w:rPr>
          <w:rFonts w:hint="eastAsia"/>
        </w:rPr>
        <w:t>由采购代理机构组织磋商小组推选评审组长，采购人代表不得担任组长。</w:t>
      </w:r>
    </w:p>
    <w:p>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pPr>
        <w:pStyle w:val="4"/>
        <w:ind w:firstLine="482"/>
      </w:pPr>
      <w:r>
        <w:t>（二）资格性审查</w:t>
      </w:r>
    </w:p>
    <w:p>
      <w:pPr>
        <w:pStyle w:val="83"/>
        <w:ind w:firstLine="480"/>
      </w:pPr>
      <w:r>
        <w:rPr>
          <w:rFonts w:hint="eastAsia"/>
        </w:rPr>
        <w:t>磋商文件经确认后，磋商小组对响应文件中的供应商资格证明文件进行审查（其中供应商信用记录审查由采购人进行）。</w:t>
      </w:r>
    </w:p>
    <w:p>
      <w:pPr>
        <w:pStyle w:val="83"/>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pPr>
        <w:pStyle w:val="83"/>
        <w:ind w:firstLine="480"/>
      </w:pPr>
      <w:r>
        <w:rPr>
          <w:rFonts w:hint="eastAsia"/>
        </w:rPr>
        <w:t>（1）不具备磋商文件中规定的资格要求的；</w:t>
      </w:r>
    </w:p>
    <w:p>
      <w:pPr>
        <w:pStyle w:val="83"/>
        <w:ind w:firstLine="480"/>
      </w:pPr>
      <w:r>
        <w:rPr>
          <w:rFonts w:hint="eastAsia"/>
        </w:rPr>
        <w:t>（2）未按磋商文件要求提供资格证明文件，或资格证明文件未按磋商文件要求签字、盖章的；</w:t>
      </w:r>
    </w:p>
    <w:p>
      <w:pPr>
        <w:pStyle w:val="83"/>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pPr>
        <w:pStyle w:val="83"/>
        <w:ind w:firstLine="480"/>
      </w:pPr>
      <w:r>
        <w:rPr>
          <w:rFonts w:hint="eastAsia"/>
        </w:rPr>
        <w:t>（4）法律法规规定的其他无效情形。</w:t>
      </w:r>
    </w:p>
    <w:p>
      <w:pPr>
        <w:pStyle w:val="83"/>
        <w:ind w:firstLine="480"/>
      </w:pPr>
      <w:r>
        <w:rPr>
          <w:rFonts w:hint="eastAsia"/>
        </w:rPr>
        <w:t>资格审查结束后，磋商小组成员应当对审查结果进行签字确认，并告知无效响应供应商资格审查未通过的原因。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6"/>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年度经审计的财务会计报告（成立时间至提交响应文件截止时间不足一年的可提供成立后任意时段的资产负债表）；</w:t>
            </w:r>
          </w:p>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bookmarkStart w:id="13" w:name="OLE_LINK13"/>
            <w:bookmarkStart w:id="14" w:name="OLE_LINK14"/>
            <w:r>
              <w:rPr>
                <w:rFonts w:ascii="Calibri" w:hAnsi="宋体" w:eastAsia="宋体" w:cstheme="minorHAnsi"/>
                <w:bCs/>
                <w:color w:val="C00000"/>
                <w:sz w:val="21"/>
              </w:rPr>
              <w:t>保险许可证</w:t>
            </w:r>
            <w:bookmarkEnd w:id="13"/>
            <w:bookmarkEnd w:id="14"/>
          </w:p>
        </w:tc>
        <w:tc>
          <w:tcPr>
            <w:tcW w:w="5846" w:type="dxa"/>
            <w:vAlign w:val="center"/>
          </w:tcPr>
          <w:p>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供应商具有有效的《保险许可证》，许可证业务范围至少包含财产损失保险，</w:t>
            </w:r>
            <w:r>
              <w:rPr>
                <w:rFonts w:ascii="Calibri" w:hAnsi="宋体" w:eastAsia="宋体" w:cstheme="minorHAnsi"/>
                <w:bCs/>
                <w:color w:val="C00000"/>
                <w:sz w:val="21"/>
              </w:rPr>
              <w:t>提供证书扫描件。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4"/>
        <w:ind w:firstLine="482"/>
      </w:pPr>
      <w:r>
        <w:t>（三）符合性审查</w:t>
      </w:r>
    </w:p>
    <w:p>
      <w:pPr>
        <w:pStyle w:val="83"/>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pPr>
        <w:pStyle w:val="83"/>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pPr>
        <w:pStyle w:val="83"/>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6"/>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pPr>
              <w:spacing w:line="400" w:lineRule="exact"/>
              <w:jc w:val="both"/>
              <w:rPr>
                <w:rFonts w:ascii="Calibri" w:hAnsi="宋体" w:eastAsia="宋体" w:cstheme="minorHAnsi"/>
                <w:b/>
                <w:bCs/>
                <w:sz w:val="21"/>
                <w:szCs w:val="21"/>
              </w:rPr>
            </w:pPr>
            <w:bookmarkStart w:id="15" w:name="OLE_LINK15"/>
            <w:bookmarkStart w:id="16" w:name="OLE_LINK16"/>
            <w:r>
              <w:rPr>
                <w:rFonts w:ascii="Calibri" w:hAnsi="宋体" w:eastAsia="宋体" w:cstheme="minorHAnsi"/>
                <w:sz w:val="21"/>
                <w:szCs w:val="21"/>
              </w:rPr>
              <w:t>符合磋商文件的要求</w:t>
            </w:r>
            <w:bookmarkEnd w:id="15"/>
            <w:bookmarkEnd w:id="1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4"/>
        <w:ind w:firstLine="482"/>
      </w:pPr>
      <w:r>
        <w:t>（四）磋商</w:t>
      </w:r>
    </w:p>
    <w:p>
      <w:pPr>
        <w:ind w:firstLine="480" w:firstLineChars="200"/>
        <w:jc w:val="both"/>
      </w:pPr>
      <w:r>
        <w:rPr>
          <w:rFonts w:hint="eastAsia"/>
        </w:rPr>
        <w:t>磋商小组所有成员将集中与单一供应商分别进行磋商，并给予所有参加磋商的供应商平等的磋商机会。</w:t>
      </w:r>
    </w:p>
    <w:p>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4"/>
        <w:ind w:firstLine="482"/>
      </w:pPr>
      <w:r>
        <w:t>（五）提交最后报价</w:t>
      </w:r>
    </w:p>
    <w:p>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pPr>
        <w:ind w:firstLine="480" w:firstLineChars="200"/>
        <w:jc w:val="both"/>
      </w:pPr>
      <w:r>
        <w:rPr>
          <w:rFonts w:hint="eastAsia"/>
        </w:rPr>
        <w:t>提交最后报价的供应商不得少于3家，但以下情形除外：</w:t>
      </w:r>
    </w:p>
    <w:p>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pPr>
        <w:pStyle w:val="4"/>
        <w:ind w:firstLine="482"/>
        <w:jc w:val="both"/>
      </w:pPr>
      <w:r>
        <w:t>（六）综合比较与评分</w:t>
      </w:r>
    </w:p>
    <w:p>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6"/>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093"/>
        <w:gridCol w:w="113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093"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1134"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093"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ind w:firstLine="420"/>
              <w:jc w:val="center"/>
              <w:rPr>
                <w:rFonts w:ascii="Calibri" w:hAnsi="宋体" w:eastAsia="宋体" w:cstheme="minorHAnsi"/>
                <w:bCs/>
                <w:sz w:val="21"/>
                <w:szCs w:val="21"/>
              </w:rPr>
            </w:pPr>
          </w:p>
        </w:tc>
        <w:tc>
          <w:tcPr>
            <w:tcW w:w="1134"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1</w:t>
            </w:r>
            <w:r>
              <w:rPr>
                <w:rFonts w:hint="eastAsia" w:ascii="Calibri" w:hAnsi="宋体" w:eastAsia="宋体" w:cs="宋体"/>
                <w:bCs/>
                <w:sz w:val="21"/>
                <w:szCs w:val="21"/>
              </w:rPr>
              <w:t>0</w:t>
            </w:r>
          </w:p>
        </w:tc>
        <w:tc>
          <w:tcPr>
            <w:tcW w:w="6093" w:type="dxa"/>
            <w:tcBorders>
              <w:top w:val="single" w:color="auto" w:sz="2" w:space="0"/>
            </w:tcBorders>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满足磋商文件要求且最后报价最低的供应商的价格为磋商基准价得10分，其他各供应商的最后报价得分按下列公式计算：（磋商基准价/最后磋商报价）×10％×100。</w:t>
            </w:r>
          </w:p>
        </w:tc>
        <w:tc>
          <w:tcPr>
            <w:tcW w:w="1134"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pPr>
              <w:spacing w:line="400" w:lineRule="exact"/>
              <w:jc w:val="center"/>
              <w:rPr>
                <w:rFonts w:ascii="Calibri" w:hAnsi="宋体" w:eastAsia="宋体" w:cs="宋体"/>
                <w:b/>
                <w:sz w:val="21"/>
                <w:szCs w:val="21"/>
              </w:rPr>
            </w:pPr>
            <w:r>
              <w:rPr>
                <w:rFonts w:hint="eastAsia" w:ascii="Calibri" w:hAnsi="宋体" w:eastAsia="宋体" w:cs="宋体"/>
                <w:b/>
                <w:sz w:val="21"/>
                <w:szCs w:val="21"/>
              </w:rPr>
              <w:t>技术/服务</w:t>
            </w:r>
            <w:r>
              <w:rPr>
                <w:rFonts w:ascii="Calibri" w:hAnsi="宋体" w:eastAsia="宋体" w:cs="宋体"/>
                <w:b/>
                <w:sz w:val="21"/>
                <w:szCs w:val="21"/>
              </w:rPr>
              <w:t>方案</w:t>
            </w:r>
          </w:p>
        </w:tc>
        <w:tc>
          <w:tcPr>
            <w:tcW w:w="640"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r>
              <w:rPr>
                <w:rFonts w:ascii="Calibri" w:hAnsi="宋体" w:eastAsia="宋体" w:cs="宋体"/>
                <w:bCs/>
                <w:sz w:val="21"/>
                <w:szCs w:val="21"/>
              </w:rPr>
              <w:t>2</w:t>
            </w:r>
          </w:p>
        </w:tc>
        <w:tc>
          <w:tcPr>
            <w:tcW w:w="860" w:type="dxa"/>
            <w:shd w:val="clear" w:color="auto" w:fill="auto"/>
            <w:vAlign w:val="center"/>
          </w:tcPr>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6</w:t>
            </w:r>
          </w:p>
        </w:tc>
        <w:tc>
          <w:tcPr>
            <w:tcW w:w="6093" w:type="dxa"/>
            <w:tcBorders>
              <w:top w:val="single" w:color="auto" w:sz="2" w:space="0"/>
            </w:tcBorders>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实施方案：</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提出针对于本项目的服务总体方案及措施，方案内容包含①服务目标及计划安排②服务重难点分析及解决措施。</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三、赋分标准（满分6分）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①服务目标及计划安排：</w:t>
            </w:r>
            <w:bookmarkStart w:id="17" w:name="OLE_LINK2"/>
            <w:bookmarkStart w:id="18" w:name="OLE_LINK1"/>
            <w:r>
              <w:rPr>
                <w:rFonts w:hint="eastAsia" w:ascii="Calibri" w:hAnsi="宋体" w:eastAsia="宋体" w:cs="宋体"/>
                <w:sz w:val="21"/>
                <w:szCs w:val="21"/>
              </w:rPr>
              <w:t>每完全满足一项评审标准得1分，满分3分；</w:t>
            </w:r>
          </w:p>
          <w:bookmarkEnd w:id="17"/>
          <w:bookmarkEnd w:id="18"/>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②服务重难点分析及解决措施:每完全满足一项评审标准得1分，满分3分。</w:t>
            </w:r>
          </w:p>
        </w:tc>
        <w:tc>
          <w:tcPr>
            <w:tcW w:w="1134"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ascii="Calibri" w:hAnsi="宋体" w:eastAsia="宋体" w:cs="宋体"/>
                <w:sz w:val="21"/>
                <w:szCs w:val="21"/>
              </w:rPr>
              <w:t>9</w:t>
            </w:r>
          </w:p>
        </w:tc>
        <w:tc>
          <w:tcPr>
            <w:tcW w:w="6093" w:type="dxa"/>
            <w:tcBorders>
              <w:top w:val="single" w:color="auto" w:sz="2" w:space="0"/>
            </w:tcBorders>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投诉管理制度：</w:t>
            </w:r>
          </w:p>
          <w:p>
            <w:pPr>
              <w:tabs>
                <w:tab w:val="left" w:pos="547"/>
              </w:tabs>
              <w:spacing w:line="320" w:lineRule="exact"/>
              <w:ind w:firstLine="420"/>
              <w:jc w:val="both"/>
              <w:rPr>
                <w:rFonts w:ascii="Calibri" w:hAnsi="宋体" w:eastAsia="宋体" w:cs="宋体"/>
                <w:b/>
                <w:sz w:val="21"/>
                <w:szCs w:val="21"/>
              </w:rPr>
            </w:pPr>
            <w:bookmarkStart w:id="19" w:name="OLE_LINK18"/>
            <w:bookmarkStart w:id="20" w:name="OLE_LINK17"/>
            <w:r>
              <w:rPr>
                <w:rFonts w:hint="eastAsia" w:ascii="Calibri" w:hAnsi="宋体" w:eastAsia="宋体" w:cs="宋体"/>
                <w:b/>
                <w:sz w:val="21"/>
                <w:szCs w:val="21"/>
              </w:rPr>
              <w:t>一、评审内容</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提出针对于本项目的投诉管理制度，制度内容包含①投诉管理流程②纠纷解决相关责任和措施③监督和评估。</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w:t>
            </w:r>
            <w:r>
              <w:rPr>
                <w:rFonts w:ascii="Calibri" w:hAnsi="宋体" w:eastAsia="宋体" w:cs="宋体"/>
                <w:b/>
                <w:sz w:val="21"/>
                <w:szCs w:val="21"/>
              </w:rPr>
              <w:t>9</w:t>
            </w:r>
            <w:r>
              <w:rPr>
                <w:rFonts w:hint="eastAsia" w:ascii="Calibri" w:hAnsi="宋体" w:eastAsia="宋体" w:cs="宋体"/>
                <w:b/>
                <w:sz w:val="21"/>
                <w:szCs w:val="21"/>
              </w:rPr>
              <w:t>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①投诉管理流程：每完全满足一项评审标准得1分，满分3分；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②纠纷解决相关责任和措施：每完全满足一项评审标准得1分，满分3分；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③监督和评估：每完全满足一项评审标准得1分，满分3分。</w:t>
            </w:r>
            <w:bookmarkEnd w:id="19"/>
            <w:bookmarkEnd w:id="20"/>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6</w:t>
            </w:r>
          </w:p>
        </w:tc>
        <w:tc>
          <w:tcPr>
            <w:tcW w:w="6093" w:type="dxa"/>
            <w:tcBorders>
              <w:top w:val="single" w:color="auto" w:sz="2" w:space="0"/>
            </w:tcBorders>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定期回访方案：</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提出针对于本项目的定期客户回访方案，方案内容包含①保险基本服务情况②保险相关权益说明③服务满意度调查。</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三、赋分标准（满分6分）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①保险基本服务情况：完全满足评审标准得2分，每有一项不满足扣1分，扣完为止。</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②保险相关权益说明: 完全满足评审标准得2分，每有一项不满足扣1分，扣完为止。</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③服务满意度调查：完全满足评审标准得2分，每有一项不满足扣1分，扣完为止。</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ascii="Calibri" w:hAnsi="宋体" w:eastAsia="宋体" w:cs="宋体"/>
                <w:sz w:val="21"/>
                <w:szCs w:val="21"/>
              </w:rPr>
              <w:t>3</w:t>
            </w:r>
          </w:p>
        </w:tc>
        <w:tc>
          <w:tcPr>
            <w:tcW w:w="6093" w:type="dxa"/>
            <w:tcBorders>
              <w:top w:val="single" w:color="auto" w:sz="2" w:space="0"/>
            </w:tcBorders>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信息保密方案：</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提出针对于本项目的信息保密方案，方案内容包含①信息收集与保密原则②信息安全与监控③违规处理措施。</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w:t>
            </w:r>
            <w:r>
              <w:rPr>
                <w:rFonts w:ascii="Calibri" w:hAnsi="宋体" w:eastAsia="宋体" w:cs="宋体"/>
                <w:b/>
                <w:sz w:val="21"/>
                <w:szCs w:val="21"/>
              </w:rPr>
              <w:t>3</w:t>
            </w:r>
            <w:r>
              <w:rPr>
                <w:rFonts w:hint="eastAsia" w:ascii="Calibri" w:hAnsi="宋体" w:eastAsia="宋体" w:cs="宋体"/>
                <w:b/>
                <w:sz w:val="21"/>
                <w:szCs w:val="21"/>
              </w:rPr>
              <w:t>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①信息收集与保密原则：完全满足评审标准得</w:t>
            </w:r>
            <w:r>
              <w:rPr>
                <w:rFonts w:ascii="Calibri" w:hAnsi="宋体" w:eastAsia="宋体" w:cs="宋体"/>
                <w:sz w:val="21"/>
                <w:szCs w:val="21"/>
              </w:rPr>
              <w:t>1</w:t>
            </w:r>
            <w:r>
              <w:rPr>
                <w:rFonts w:hint="eastAsia" w:ascii="Calibri" w:hAnsi="宋体" w:eastAsia="宋体" w:cs="宋体"/>
                <w:sz w:val="21"/>
                <w:szCs w:val="21"/>
              </w:rPr>
              <w:t>分，每有一项不满足扣</w:t>
            </w:r>
            <w:r>
              <w:rPr>
                <w:rFonts w:ascii="Calibri" w:hAnsi="宋体" w:eastAsia="宋体" w:cs="宋体"/>
                <w:sz w:val="21"/>
                <w:szCs w:val="21"/>
              </w:rPr>
              <w:t>0.5</w:t>
            </w:r>
            <w:r>
              <w:rPr>
                <w:rFonts w:hint="eastAsia" w:ascii="Calibri" w:hAnsi="宋体" w:eastAsia="宋体" w:cs="宋体"/>
                <w:sz w:val="21"/>
                <w:szCs w:val="21"/>
              </w:rPr>
              <w:t>分，扣完为止。</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②信息安全与监控: 完全满足评审标准得</w:t>
            </w:r>
            <w:r>
              <w:rPr>
                <w:rFonts w:ascii="Calibri" w:hAnsi="宋体" w:eastAsia="宋体" w:cs="宋体"/>
                <w:sz w:val="21"/>
                <w:szCs w:val="21"/>
              </w:rPr>
              <w:t>1</w:t>
            </w:r>
            <w:r>
              <w:rPr>
                <w:rFonts w:hint="eastAsia" w:ascii="Calibri" w:hAnsi="宋体" w:eastAsia="宋体" w:cs="宋体"/>
                <w:sz w:val="21"/>
                <w:szCs w:val="21"/>
              </w:rPr>
              <w:t>分，每有一项不满足扣</w:t>
            </w:r>
            <w:r>
              <w:rPr>
                <w:rFonts w:ascii="Calibri" w:hAnsi="宋体" w:eastAsia="宋体" w:cs="宋体"/>
                <w:sz w:val="21"/>
                <w:szCs w:val="21"/>
              </w:rPr>
              <w:t>0.5</w:t>
            </w:r>
            <w:r>
              <w:rPr>
                <w:rFonts w:hint="eastAsia" w:ascii="Calibri" w:hAnsi="宋体" w:eastAsia="宋体" w:cs="宋体"/>
                <w:sz w:val="21"/>
                <w:szCs w:val="21"/>
              </w:rPr>
              <w:t>分，扣完为止。</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③违规处理措施：完全满足评审标准得</w:t>
            </w:r>
            <w:r>
              <w:rPr>
                <w:rFonts w:ascii="Calibri" w:hAnsi="宋体" w:eastAsia="宋体" w:cs="宋体"/>
                <w:sz w:val="21"/>
                <w:szCs w:val="21"/>
              </w:rPr>
              <w:t>1</w:t>
            </w:r>
            <w:r>
              <w:rPr>
                <w:rFonts w:hint="eastAsia" w:ascii="Calibri" w:hAnsi="宋体" w:eastAsia="宋体" w:cs="宋体"/>
                <w:sz w:val="21"/>
                <w:szCs w:val="21"/>
              </w:rPr>
              <w:t>分，每有一项不满足扣</w:t>
            </w:r>
            <w:r>
              <w:rPr>
                <w:rFonts w:ascii="Calibri" w:hAnsi="宋体" w:eastAsia="宋体" w:cs="宋体"/>
                <w:sz w:val="21"/>
                <w:szCs w:val="21"/>
              </w:rPr>
              <w:t>0.5</w:t>
            </w:r>
            <w:r>
              <w:rPr>
                <w:rFonts w:hint="eastAsia" w:ascii="Calibri" w:hAnsi="宋体" w:eastAsia="宋体" w:cs="宋体"/>
                <w:sz w:val="21"/>
                <w:szCs w:val="21"/>
              </w:rPr>
              <w:t>分，扣完为止。</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ascii="Calibri" w:hAnsi="宋体" w:eastAsia="宋体" w:cs="宋体"/>
                <w:sz w:val="21"/>
                <w:szCs w:val="21"/>
              </w:rPr>
              <w:t>9</w:t>
            </w:r>
          </w:p>
        </w:tc>
        <w:tc>
          <w:tcPr>
            <w:tcW w:w="6093" w:type="dxa"/>
            <w:tcBorders>
              <w:top w:val="single" w:color="auto" w:sz="2" w:space="0"/>
            </w:tcBorders>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定损理赔方案：</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b/>
                <w:sz w:val="21"/>
                <w:szCs w:val="21"/>
              </w:rPr>
              <w:t>一、评审内容</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提出针对于本项目的定损理赔方案，方案内容包含①理赔资料提交流程②理赔事故调查流程③赔款计算审核及保险金赔付。</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w:t>
            </w:r>
            <w:r>
              <w:rPr>
                <w:rFonts w:ascii="Calibri" w:hAnsi="宋体" w:eastAsia="宋体" w:cs="宋体"/>
                <w:b/>
                <w:sz w:val="21"/>
                <w:szCs w:val="21"/>
              </w:rPr>
              <w:t>9</w:t>
            </w:r>
            <w:r>
              <w:rPr>
                <w:rFonts w:hint="eastAsia" w:ascii="Calibri" w:hAnsi="宋体" w:eastAsia="宋体" w:cs="宋体"/>
                <w:b/>
                <w:sz w:val="21"/>
                <w:szCs w:val="21"/>
              </w:rPr>
              <w:t>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①理赔资料提交流程：每完全满足一项评审标准得1分，满分3分；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②理赔事故调查流程：每完全满足一项评审标准得1分，满分3分；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③赔款计算审核及保险金赔付：每完全满足一项评审标准得1分，满分3分。</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6</w:t>
            </w:r>
          </w:p>
        </w:tc>
        <w:tc>
          <w:tcPr>
            <w:tcW w:w="6093" w:type="dxa"/>
            <w:tcBorders>
              <w:top w:val="single" w:color="auto" w:sz="2" w:space="0"/>
            </w:tcBorders>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服务培训：</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提出针对于本项目的优质保险服务培训方案，方案内容包含①保险责任与权益培训②理赔流程培训③风险意识培养与法律法规培训。</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三、赋分标准（满分6分）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①保险责任与权益培训：完全满足评审标准得2分，每有一项不满足扣1分，扣完为止。</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②理赔流程培训：完全满足评审标准得2分，每有一项不满足扣1分，扣完为止。</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③风险意识培养与法律法规培训：完全满足评审标准得2分，每有一项不满足扣1分，扣完为止。</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5"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3</w:t>
            </w:r>
          </w:p>
        </w:tc>
        <w:tc>
          <w:tcPr>
            <w:tcW w:w="6093" w:type="dxa"/>
            <w:tcBorders>
              <w:top w:val="single" w:color="auto" w:sz="2" w:space="0"/>
            </w:tcBorders>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合理化建议：</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在满足采购内容及要求的基础上，根据项目实际情况提出合理化建议，每提供一项得1分，最高得3分。</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
                <w:sz w:val="21"/>
                <w:szCs w:val="21"/>
              </w:rPr>
              <w:t>商务部分</w:t>
            </w:r>
          </w:p>
        </w:tc>
        <w:tc>
          <w:tcPr>
            <w:tcW w:w="640" w:type="dxa"/>
            <w:vMerge w:val="restart"/>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r>
              <w:rPr>
                <w:rFonts w:ascii="Calibri" w:hAnsi="宋体" w:eastAsia="宋体" w:cs="宋体"/>
                <w:bCs/>
                <w:sz w:val="21"/>
                <w:szCs w:val="21"/>
              </w:rPr>
              <w:t>8</w:t>
            </w: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4</w:t>
            </w:r>
          </w:p>
        </w:tc>
        <w:tc>
          <w:tcPr>
            <w:tcW w:w="6093" w:type="dxa"/>
            <w:shd w:val="clear" w:color="auto" w:fill="auto"/>
            <w:vAlign w:val="center"/>
          </w:tcPr>
          <w:p>
            <w:pPr>
              <w:tabs>
                <w:tab w:val="left" w:pos="547"/>
              </w:tabs>
              <w:ind w:firstLine="420" w:firstLineChars="200"/>
              <w:jc w:val="both"/>
              <w:rPr>
                <w:rFonts w:ascii="Calibri" w:hAnsi="宋体" w:eastAsia="宋体" w:cs="宋体"/>
                <w:b/>
                <w:sz w:val="21"/>
                <w:szCs w:val="21"/>
              </w:rPr>
            </w:pPr>
            <w:bookmarkStart w:id="21" w:name="OLE_LINK3"/>
            <w:bookmarkStart w:id="22" w:name="OLE_LINK4"/>
            <w:r>
              <w:rPr>
                <w:rFonts w:hint="eastAsia" w:ascii="Calibri" w:hAnsi="宋体" w:eastAsia="宋体" w:cs="宋体"/>
                <w:b/>
                <w:sz w:val="21"/>
                <w:szCs w:val="21"/>
              </w:rPr>
              <w:t>承保及理赔部门人员配备</w:t>
            </w:r>
            <w:bookmarkEnd w:id="21"/>
            <w:bookmarkEnd w:id="22"/>
            <w:r>
              <w:rPr>
                <w:rFonts w:hint="eastAsia" w:ascii="Calibri" w:hAnsi="宋体" w:eastAsia="宋体" w:cs="宋体"/>
                <w:b/>
                <w:sz w:val="21"/>
                <w:szCs w:val="21"/>
              </w:rPr>
              <w:t>：</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以各供应商针对本项目人员配备状况为计分依据。</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四类人员（项目经理、日常服务人员、报案联系人、理赔联系人）每配备1类得</w:t>
            </w:r>
            <w:r>
              <w:rPr>
                <w:rFonts w:ascii="Calibri" w:hAnsi="宋体" w:eastAsia="宋体" w:cs="宋体"/>
                <w:sz w:val="21"/>
                <w:szCs w:val="21"/>
              </w:rPr>
              <w:t>1</w:t>
            </w:r>
            <w:r>
              <w:rPr>
                <w:rFonts w:hint="eastAsia" w:ascii="Calibri" w:hAnsi="宋体" w:eastAsia="宋体" w:cs="宋体"/>
                <w:sz w:val="21"/>
                <w:szCs w:val="21"/>
              </w:rPr>
              <w:t>分，最高可得</w:t>
            </w:r>
            <w:r>
              <w:rPr>
                <w:rFonts w:ascii="Calibri" w:hAnsi="宋体" w:eastAsia="宋体" w:cs="宋体"/>
                <w:sz w:val="21"/>
                <w:szCs w:val="21"/>
              </w:rPr>
              <w:t>4</w:t>
            </w:r>
            <w:r>
              <w:rPr>
                <w:rFonts w:hint="eastAsia" w:ascii="Calibri" w:hAnsi="宋体" w:eastAsia="宋体" w:cs="宋体"/>
                <w:sz w:val="21"/>
                <w:szCs w:val="21"/>
              </w:rPr>
              <w:t>分。</w:t>
            </w:r>
          </w:p>
        </w:tc>
        <w:tc>
          <w:tcPr>
            <w:tcW w:w="1134" w:type="dxa"/>
            <w:vMerge w:val="restart"/>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6</w:t>
            </w:r>
          </w:p>
        </w:tc>
        <w:tc>
          <w:tcPr>
            <w:tcW w:w="6093" w:type="dxa"/>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服务承诺：</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 xml:space="preserve">1、承诺成立专项服务小组（附人员名单、职务、电话等）； </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2、承诺当天出单、送单、批单、加保、退保；</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3、承诺投保人无需承担任何额外费用；</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4、承诺支持快速处理手段；</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5、承诺先行垫付赔款，无需投保人垫付任何费用；</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6、承诺提供人伤等重大案件的法律援助和个别特殊（重大）理赔服务。</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供应商出具书面承诺书，格式自定，每出具一项承诺计1分，满分6分。</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95"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4</w:t>
            </w:r>
          </w:p>
        </w:tc>
        <w:tc>
          <w:tcPr>
            <w:tcW w:w="6093" w:type="dxa"/>
            <w:shd w:val="clear" w:color="auto" w:fill="auto"/>
            <w:vAlign w:val="center"/>
          </w:tcPr>
          <w:p>
            <w:pPr>
              <w:tabs>
                <w:tab w:val="left" w:pos="547"/>
              </w:tabs>
              <w:ind w:firstLine="420" w:firstLineChars="200"/>
              <w:jc w:val="both"/>
              <w:rPr>
                <w:rFonts w:ascii="Calibri" w:hAnsi="宋体" w:eastAsia="宋体" w:cs="宋体"/>
                <w:b/>
                <w:sz w:val="21"/>
                <w:szCs w:val="21"/>
              </w:rPr>
            </w:pPr>
            <w:bookmarkStart w:id="23" w:name="OLE_LINK11"/>
            <w:bookmarkStart w:id="24" w:name="OLE_LINK12"/>
            <w:r>
              <w:rPr>
                <w:rFonts w:hint="eastAsia" w:ascii="Calibri" w:hAnsi="宋体" w:eastAsia="宋体" w:cs="宋体"/>
                <w:b/>
                <w:sz w:val="21"/>
                <w:szCs w:val="21"/>
              </w:rPr>
              <w:t>定损时效：</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承诺：预估车辆损失金额在人民币</w:t>
            </w:r>
            <w:r>
              <w:rPr>
                <w:rFonts w:ascii="Calibri" w:hAnsi="宋体" w:eastAsia="宋体" w:cs="宋体"/>
                <w:sz w:val="21"/>
                <w:szCs w:val="21"/>
              </w:rPr>
              <w:t>5000</w:t>
            </w:r>
            <w:r>
              <w:rPr>
                <w:rFonts w:hint="eastAsia" w:ascii="Calibri" w:hAnsi="宋体" w:eastAsia="宋体" w:cs="宋体"/>
                <w:sz w:val="21"/>
                <w:szCs w:val="21"/>
              </w:rPr>
              <w:t>元（含）以内的，1个工作日内确定损失金额；车辆损失金额在人民币</w:t>
            </w:r>
            <w:r>
              <w:rPr>
                <w:rFonts w:ascii="Calibri" w:hAnsi="宋体" w:eastAsia="宋体" w:cs="宋体"/>
                <w:sz w:val="21"/>
                <w:szCs w:val="21"/>
              </w:rPr>
              <w:t>5000</w:t>
            </w:r>
            <w:r>
              <w:rPr>
                <w:rFonts w:hint="eastAsia" w:ascii="Calibri" w:hAnsi="宋体" w:eastAsia="宋体" w:cs="宋体"/>
                <w:sz w:val="21"/>
                <w:szCs w:val="21"/>
              </w:rPr>
              <w:t>元（不含）至50000元（含）的，在2个工作日内确定损失金额；车辆损失金额在人民币50000元（不含）以上的，应在3个工作日内确定损失金额，得4分</w:t>
            </w:r>
            <w:r>
              <w:rPr>
                <w:rFonts w:ascii="Calibri" w:hAnsi="宋体" w:eastAsia="宋体" w:cs="宋体"/>
                <w:sz w:val="21"/>
                <w:szCs w:val="21"/>
              </w:rPr>
              <w:t>。</w:t>
            </w:r>
            <w:bookmarkEnd w:id="23"/>
            <w:bookmarkEnd w:id="24"/>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3"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3</w:t>
            </w:r>
          </w:p>
        </w:tc>
        <w:tc>
          <w:tcPr>
            <w:tcW w:w="6093" w:type="dxa"/>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理赔案件办理时限：</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理赔案件</w:t>
            </w:r>
            <w:r>
              <w:rPr>
                <w:rFonts w:ascii="Calibri" w:hAnsi="宋体" w:eastAsia="宋体" w:cs="宋体"/>
                <w:sz w:val="21"/>
                <w:szCs w:val="21"/>
              </w:rPr>
              <w:t>办理时限≤3</w:t>
            </w:r>
            <w:r>
              <w:rPr>
                <w:rFonts w:hint="eastAsia" w:ascii="Calibri" w:hAnsi="宋体" w:eastAsia="宋体" w:cs="宋体"/>
                <w:sz w:val="21"/>
                <w:szCs w:val="21"/>
              </w:rPr>
              <w:t>天，得3分</w:t>
            </w:r>
            <w:r>
              <w:rPr>
                <w:rFonts w:ascii="Calibri" w:hAnsi="宋体" w:eastAsia="宋体" w:cs="宋体"/>
                <w:sz w:val="21"/>
                <w:szCs w:val="21"/>
              </w:rPr>
              <w:t>；</w:t>
            </w:r>
          </w:p>
          <w:p>
            <w:pPr>
              <w:tabs>
                <w:tab w:val="left" w:pos="547"/>
              </w:tabs>
              <w:spacing w:line="320" w:lineRule="exact"/>
              <w:ind w:firstLine="420"/>
              <w:jc w:val="both"/>
              <w:rPr>
                <w:rFonts w:ascii="Calibri" w:hAnsi="宋体" w:eastAsia="宋体" w:cs="宋体"/>
                <w:sz w:val="21"/>
                <w:szCs w:val="21"/>
              </w:rPr>
            </w:pPr>
            <w:r>
              <w:rPr>
                <w:rFonts w:ascii="Calibri" w:hAnsi="宋体" w:eastAsia="宋体" w:cs="宋体"/>
                <w:sz w:val="21"/>
                <w:szCs w:val="21"/>
              </w:rPr>
              <w:t>3</w:t>
            </w:r>
            <w:r>
              <w:rPr>
                <w:rFonts w:hint="eastAsia" w:ascii="Calibri" w:hAnsi="宋体" w:eastAsia="宋体" w:cs="宋体"/>
                <w:sz w:val="21"/>
                <w:szCs w:val="21"/>
              </w:rPr>
              <w:t>天</w:t>
            </w:r>
            <w:r>
              <w:rPr>
                <w:rFonts w:ascii="Calibri" w:hAnsi="宋体" w:eastAsia="宋体" w:cs="宋体"/>
                <w:sz w:val="21"/>
                <w:szCs w:val="21"/>
              </w:rPr>
              <w:t>＜</w:t>
            </w:r>
            <w:r>
              <w:rPr>
                <w:rFonts w:hint="eastAsia" w:ascii="Calibri" w:hAnsi="宋体" w:eastAsia="宋体" w:cs="宋体"/>
                <w:sz w:val="21"/>
                <w:szCs w:val="21"/>
              </w:rPr>
              <w:t>理赔</w:t>
            </w:r>
            <w:r>
              <w:rPr>
                <w:rFonts w:ascii="Calibri" w:hAnsi="宋体" w:eastAsia="宋体" w:cs="宋体"/>
                <w:sz w:val="21"/>
                <w:szCs w:val="21"/>
              </w:rPr>
              <w:t>案件办结时限≤5</w:t>
            </w:r>
            <w:r>
              <w:rPr>
                <w:rFonts w:hint="eastAsia" w:ascii="Calibri" w:hAnsi="宋体" w:eastAsia="宋体" w:cs="宋体"/>
                <w:sz w:val="21"/>
                <w:szCs w:val="21"/>
              </w:rPr>
              <w:t>天</w:t>
            </w:r>
            <w:r>
              <w:rPr>
                <w:rFonts w:ascii="Calibri" w:hAnsi="宋体" w:eastAsia="宋体" w:cs="宋体"/>
                <w:sz w:val="21"/>
                <w:szCs w:val="21"/>
              </w:rPr>
              <w:t>，得</w:t>
            </w:r>
            <w:r>
              <w:rPr>
                <w:rFonts w:hint="eastAsia" w:ascii="Calibri" w:hAnsi="宋体" w:eastAsia="宋体" w:cs="宋体"/>
                <w:sz w:val="21"/>
                <w:szCs w:val="21"/>
              </w:rPr>
              <w:t>2分；</w:t>
            </w:r>
          </w:p>
          <w:p>
            <w:pPr>
              <w:tabs>
                <w:tab w:val="left" w:pos="547"/>
              </w:tabs>
              <w:spacing w:line="320" w:lineRule="exact"/>
              <w:ind w:firstLine="420"/>
              <w:jc w:val="both"/>
              <w:rPr>
                <w:rFonts w:ascii="Calibri" w:hAnsi="宋体" w:eastAsia="宋体" w:cs="宋体"/>
                <w:sz w:val="21"/>
                <w:szCs w:val="21"/>
              </w:rPr>
            </w:pPr>
            <w:r>
              <w:rPr>
                <w:rFonts w:ascii="Calibri" w:hAnsi="宋体" w:eastAsia="宋体" w:cs="宋体"/>
                <w:sz w:val="21"/>
                <w:szCs w:val="21"/>
              </w:rPr>
              <w:t>5</w:t>
            </w:r>
            <w:r>
              <w:rPr>
                <w:rFonts w:hint="eastAsia" w:ascii="Calibri" w:hAnsi="宋体" w:eastAsia="宋体" w:cs="宋体"/>
                <w:sz w:val="21"/>
                <w:szCs w:val="21"/>
              </w:rPr>
              <w:t>天</w:t>
            </w:r>
            <w:r>
              <w:rPr>
                <w:rFonts w:ascii="Calibri" w:hAnsi="宋体" w:eastAsia="宋体" w:cs="宋体"/>
                <w:sz w:val="21"/>
                <w:szCs w:val="21"/>
              </w:rPr>
              <w:t>＜</w:t>
            </w:r>
            <w:r>
              <w:rPr>
                <w:rFonts w:hint="eastAsia" w:ascii="Calibri" w:hAnsi="宋体" w:eastAsia="宋体" w:cs="宋体"/>
                <w:sz w:val="21"/>
                <w:szCs w:val="21"/>
              </w:rPr>
              <w:t>理赔</w:t>
            </w:r>
            <w:r>
              <w:rPr>
                <w:rFonts w:ascii="Calibri" w:hAnsi="宋体" w:eastAsia="宋体" w:cs="宋体"/>
                <w:sz w:val="21"/>
                <w:szCs w:val="21"/>
              </w:rPr>
              <w:t>案件办结时限≤7</w:t>
            </w:r>
            <w:r>
              <w:rPr>
                <w:rFonts w:hint="eastAsia" w:ascii="Calibri" w:hAnsi="宋体" w:eastAsia="宋体" w:cs="宋体"/>
                <w:sz w:val="21"/>
                <w:szCs w:val="21"/>
              </w:rPr>
              <w:t>天</w:t>
            </w:r>
            <w:r>
              <w:rPr>
                <w:rFonts w:ascii="Calibri" w:hAnsi="宋体" w:eastAsia="宋体" w:cs="宋体"/>
                <w:sz w:val="21"/>
                <w:szCs w:val="21"/>
              </w:rPr>
              <w:t>，得1</w:t>
            </w:r>
            <w:r>
              <w:rPr>
                <w:rFonts w:hint="eastAsia" w:ascii="Calibri" w:hAnsi="宋体" w:eastAsia="宋体" w:cs="宋体"/>
                <w:sz w:val="21"/>
                <w:szCs w:val="21"/>
              </w:rPr>
              <w:t>分。</w:t>
            </w:r>
          </w:p>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sz w:val="21"/>
                <w:szCs w:val="21"/>
              </w:rPr>
              <w:t>其余</w:t>
            </w:r>
            <w:r>
              <w:rPr>
                <w:rFonts w:ascii="Calibri" w:hAnsi="宋体" w:eastAsia="宋体" w:cs="宋体"/>
                <w:sz w:val="21"/>
                <w:szCs w:val="21"/>
              </w:rPr>
              <w:t>不得分。</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7</w:t>
            </w:r>
          </w:p>
        </w:tc>
        <w:tc>
          <w:tcPr>
            <w:tcW w:w="6093" w:type="dxa"/>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偿付能力：</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以2025年度第二季度偿付能力充足率为依据，综合偿付能力充足率200%（含）及以上得7分、160%（含）及以上至200%（不含）以下得4分、100%（含）及以上至160%（不含）以下得2分，低于100%不得分。</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注：需提供供应商对应季度偿付能力报告并加盖公章，作为评分依据。</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7</w:t>
            </w:r>
          </w:p>
        </w:tc>
        <w:tc>
          <w:tcPr>
            <w:tcW w:w="6093" w:type="dxa"/>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风险综合评级：</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2024年二季度至2025年一季度连续四个季度，在国家金融监督管理总局偿付能力监管信息系统按季度评定的风险综合评级中，每获得1次AAA、AA、A类得1.5分；每获得1次BBB、BB、B类的，得0.5分；其他不得分。连续四个季度均为AAA、AA、A类的加1分，本项最高得7分。</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注：需提供国家金融监督管理总局偿付能力监管信息系统2024年二季度至2025年一季度风险综合评级截图并加盖公章，作为评分依据。</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7</w:t>
            </w:r>
          </w:p>
        </w:tc>
        <w:tc>
          <w:tcPr>
            <w:tcW w:w="6093" w:type="dxa"/>
            <w:shd w:val="clear" w:color="auto" w:fill="auto"/>
            <w:vAlign w:val="center"/>
          </w:tcPr>
          <w:p>
            <w:pPr>
              <w:tabs>
                <w:tab w:val="left" w:pos="547"/>
              </w:tabs>
              <w:ind w:firstLine="420" w:firstLineChars="200"/>
              <w:jc w:val="both"/>
              <w:rPr>
                <w:rFonts w:ascii="Calibri" w:hAnsi="宋体" w:eastAsia="宋体" w:cs="宋体"/>
                <w:b/>
                <w:sz w:val="21"/>
                <w:szCs w:val="21"/>
              </w:rPr>
            </w:pPr>
            <w:r>
              <w:rPr>
                <w:rFonts w:hint="eastAsia" w:ascii="Calibri" w:hAnsi="宋体" w:eastAsia="宋体" w:cs="宋体"/>
                <w:b/>
                <w:sz w:val="21"/>
                <w:szCs w:val="21"/>
              </w:rPr>
              <w:t>消保评价：</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以国家金融监督管理总局金融消保局下发的供应商2024年度消费者权益保护监管评价情况通报为依据，总体得分排名第1名的得7分，总体得分排名第2-3名的得5分，总体得分排名第4-10名的得3分，总体得分排名第10名以后的得1分。</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注：需提供国家金融监督管理总局金融消保局下发的评价结果文件并加盖公章，作为评分依据。</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10</w:t>
            </w:r>
          </w:p>
        </w:tc>
        <w:tc>
          <w:tcPr>
            <w:tcW w:w="6093" w:type="dxa"/>
            <w:shd w:val="clear" w:color="auto" w:fill="auto"/>
            <w:vAlign w:val="center"/>
          </w:tcPr>
          <w:p>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业绩：</w:t>
            </w:r>
          </w:p>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提供供应商自2022年1月1日以来（以合同签订时间为准）类似项目业绩（即</w:t>
            </w:r>
            <w:r>
              <w:rPr>
                <w:rFonts w:ascii="Calibri" w:hAnsi="宋体" w:eastAsia="宋体" w:cs="宋体"/>
                <w:sz w:val="21"/>
                <w:szCs w:val="21"/>
              </w:rPr>
              <w:t>合同</w:t>
            </w:r>
            <w:r>
              <w:rPr>
                <w:rFonts w:hint="eastAsia" w:ascii="Calibri" w:hAnsi="宋体" w:eastAsia="宋体" w:cs="宋体"/>
                <w:sz w:val="21"/>
                <w:szCs w:val="21"/>
              </w:rPr>
              <w:t>），评审时以合同扫描件为计分依据，每出具</w:t>
            </w:r>
            <w:r>
              <w:rPr>
                <w:rFonts w:ascii="Calibri" w:hAnsi="宋体" w:eastAsia="宋体" w:cs="宋体"/>
                <w:sz w:val="21"/>
                <w:szCs w:val="21"/>
              </w:rPr>
              <w:t>一份</w:t>
            </w:r>
            <w:r>
              <w:rPr>
                <w:rFonts w:hint="eastAsia" w:ascii="Calibri" w:hAnsi="宋体" w:eastAsia="宋体" w:cs="宋体"/>
                <w:sz w:val="21"/>
                <w:szCs w:val="21"/>
              </w:rPr>
              <w:t>得2分，最高得10分。</w:t>
            </w:r>
          </w:p>
          <w:p>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注：合同扫描件至少应包含合同首页、合同金额所在页、签字盖章页，否则不予认可。</w:t>
            </w:r>
          </w:p>
        </w:tc>
        <w:tc>
          <w:tcPr>
            <w:tcW w:w="1134"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pPr>
              <w:tabs>
                <w:tab w:val="left" w:pos="547"/>
              </w:tabs>
              <w:spacing w:line="320" w:lineRule="exact"/>
              <w:ind w:firstLine="420" w:firstLineChars="200"/>
              <w:jc w:val="both"/>
              <w:rPr>
                <w:rFonts w:ascii="Calibri" w:hAnsi="宋体" w:eastAsia="宋体" w:cs="宋体"/>
                <w:sz w:val="21"/>
                <w:szCs w:val="21"/>
              </w:rPr>
            </w:pPr>
            <w:r>
              <w:rPr>
                <w:rFonts w:hint="eastAsia" w:ascii="Calibri" w:hAnsi="宋体" w:eastAsia="宋体" w:cs="宋体"/>
                <w:sz w:val="21"/>
                <w:szCs w:val="21"/>
              </w:rPr>
              <w:t>1．磋商小组成员必须按照本评审要素据实打分，各类数字计算均按“四舍五入”保留小数点后两位。</w:t>
            </w:r>
          </w:p>
          <w:p>
            <w:pPr>
              <w:tabs>
                <w:tab w:val="left" w:pos="547"/>
              </w:tabs>
              <w:spacing w:line="320" w:lineRule="exact"/>
              <w:ind w:firstLine="420" w:firstLineChars="200"/>
              <w:jc w:val="both"/>
              <w:rPr>
                <w:rFonts w:ascii="Calibri" w:hAnsi="宋体" w:eastAsia="宋体" w:cs="宋体"/>
                <w:bCs/>
                <w:sz w:val="21"/>
                <w:szCs w:val="21"/>
              </w:rPr>
            </w:pPr>
            <w:r>
              <w:rPr>
                <w:rFonts w:hint="eastAsia" w:ascii="Calibri" w:hAnsi="宋体" w:eastAsia="宋体" w:cs="宋体"/>
                <w:sz w:val="21"/>
                <w:szCs w:val="21"/>
              </w:rPr>
              <w:t>2．</w:t>
            </w:r>
            <w:r>
              <w:rPr>
                <w:rFonts w:ascii="Calibri" w:hAnsi="宋体" w:eastAsia="宋体" w:cs="宋体"/>
                <w:sz w:val="21"/>
                <w:szCs w:val="21"/>
              </w:rPr>
              <w:t>价格评审优惠：</w:t>
            </w:r>
            <w:r>
              <w:rPr>
                <w:rFonts w:hint="eastAsia" w:ascii="Calibri" w:hAnsi="宋体" w:eastAsia="宋体" w:cs="宋体"/>
                <w:sz w:val="21"/>
                <w:szCs w:val="21"/>
              </w:rPr>
              <w:t>对符合政府采购优惠政策的小型和微型企业制造的货物、承接的服务报价给予10%（工程</w:t>
            </w:r>
            <w:r>
              <w:rPr>
                <w:rFonts w:ascii="Calibri" w:hAnsi="宋体" w:eastAsia="宋体" w:cs="宋体"/>
                <w:sz w:val="21"/>
                <w:szCs w:val="21"/>
              </w:rPr>
              <w:t>为</w:t>
            </w:r>
            <w:r>
              <w:rPr>
                <w:rFonts w:hint="eastAsia" w:ascii="Calibri" w:hAnsi="宋体" w:eastAsia="宋体" w:cs="宋体"/>
                <w:sz w:val="21"/>
                <w:szCs w:val="21"/>
              </w:rPr>
              <w:t>3%）的扣除，用扣除后的价格参加评审。未提供中小企业声明函的不享受价格扣除优惠政策；供应商所供货物并非全部由小型或微型企业生产的，不享受价格扣除优惠政策。</w:t>
            </w:r>
          </w:p>
        </w:tc>
      </w:tr>
    </w:tbl>
    <w:p>
      <w:pPr>
        <w:pStyle w:val="83"/>
        <w:ind w:firstLine="482"/>
        <w:rPr>
          <w:b/>
        </w:rPr>
      </w:pPr>
      <w:r>
        <w:rPr>
          <w:b/>
        </w:rPr>
        <w:t>（七）推荐成交候选人并编写评审报告</w:t>
      </w:r>
    </w:p>
    <w:p>
      <w:pPr>
        <w:pStyle w:val="83"/>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pPr>
        <w:pStyle w:val="83"/>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pPr>
      <w:r>
        <w:t>七、成交</w:t>
      </w:r>
    </w:p>
    <w:p>
      <w:pPr>
        <w:pStyle w:val="83"/>
        <w:ind w:firstLine="480"/>
      </w:pPr>
      <w:r>
        <w:rPr>
          <w:rFonts w:hint="eastAsia"/>
        </w:rPr>
        <w:t>1</w:t>
      </w:r>
      <w:r>
        <w:rPr>
          <w:rFonts w:hint="eastAsia"/>
          <w:color w:val="auto"/>
        </w:rPr>
        <w:t>．</w:t>
      </w:r>
      <w:r>
        <w:t>采购代理机构在评审工作结束后2个工作日内，将评审报告送采购人确认。</w:t>
      </w:r>
    </w:p>
    <w:p>
      <w:pPr>
        <w:pStyle w:val="83"/>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83"/>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3"/>
          <w:color w:val="auto"/>
        </w:rPr>
        <w:t>】</w:t>
      </w:r>
      <w:r>
        <w:t>（</w:t>
      </w:r>
      <w:r>
        <w:fldChar w:fldCharType="begin"/>
      </w:r>
      <w:r>
        <w:instrText xml:space="preserve"> HYPERLINK "http://www.ccgp-shaanxi.gov.cn/" </w:instrText>
      </w:r>
      <w:r>
        <w:fldChar w:fldCharType="separate"/>
      </w:r>
      <w:r>
        <w:rPr>
          <w:rStyle w:val="33"/>
          <w:color w:val="0070C0"/>
        </w:rPr>
        <w:t>http://www.ccgp-shaanxi.gov.cn</w:t>
      </w:r>
      <w:r>
        <w:rPr>
          <w:rStyle w:val="33"/>
          <w:rFonts w:hint="eastAsia"/>
          <w:color w:val="0070C0"/>
        </w:rPr>
        <w:t>/</w:t>
      </w:r>
      <w:r>
        <w:rPr>
          <w:rStyle w:val="33"/>
          <w:rFonts w:hint="eastAsia"/>
          <w:color w:val="0070C0"/>
        </w:rPr>
        <w:fldChar w:fldCharType="end"/>
      </w:r>
      <w:r>
        <w:t>）上公布成交结果。成交公告期限为1个工作日。</w:t>
      </w:r>
    </w:p>
    <w:p>
      <w:pPr>
        <w:pStyle w:val="83"/>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pPr>
        <w:pStyle w:val="83"/>
        <w:ind w:firstLine="480"/>
      </w:pPr>
      <w:r>
        <w:rPr>
          <w:color w:val="auto"/>
        </w:rPr>
        <w:t>5</w:t>
      </w:r>
      <w:r>
        <w:rPr>
          <w:rFonts w:hint="eastAsia"/>
          <w:color w:val="auto"/>
        </w:rPr>
        <w:t>．</w:t>
      </w:r>
      <w:r>
        <w:rPr>
          <w:rFonts w:hint="eastAsia"/>
        </w:rPr>
        <w:t>采购代理机构按照相关规定将评审报告送同级政府采购监管部门备案。</w:t>
      </w:r>
    </w:p>
    <w:p>
      <w:pPr>
        <w:pStyle w:val="3"/>
      </w:pPr>
      <w:r>
        <w:t>八、合同签订、履行及验收</w:t>
      </w:r>
    </w:p>
    <w:p>
      <w:pPr>
        <w:pStyle w:val="83"/>
        <w:ind w:firstLine="480"/>
      </w:pPr>
      <w:r>
        <w:t>磋商文件、响应文件、澄清、补充合同等为政府采购合同的组成部分，具有同等法律效力。</w:t>
      </w:r>
    </w:p>
    <w:p>
      <w:pPr>
        <w:pStyle w:val="4"/>
        <w:ind w:firstLine="482"/>
      </w:pPr>
      <w:r>
        <w:t>（一）签订政府采购合同</w:t>
      </w:r>
    </w:p>
    <w:p>
      <w:pPr>
        <w:pStyle w:val="83"/>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pPr>
        <w:pStyle w:val="83"/>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pPr>
        <w:pStyle w:val="83"/>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pPr>
        <w:pStyle w:val="83"/>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pPr>
        <w:pStyle w:val="83"/>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pPr>
        <w:pStyle w:val="4"/>
        <w:ind w:firstLine="482"/>
      </w:pPr>
      <w:r>
        <w:t>（二）合同公示</w:t>
      </w:r>
    </w:p>
    <w:p>
      <w:pPr>
        <w:pStyle w:val="83"/>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3"/>
        </w:rPr>
        <w:t>http://www.ccgp-shaanxi.gov.cn/</w:t>
      </w:r>
      <w:r>
        <w:rPr>
          <w:rStyle w:val="33"/>
        </w:rPr>
        <w:fldChar w:fldCharType="end"/>
      </w:r>
      <w:r>
        <w:rPr>
          <w:rFonts w:hint="eastAsia"/>
        </w:rPr>
        <w:t>）对合同进行公示，但政府采购合同中涉及国家秘密、商业秘密的内容除外。</w:t>
      </w:r>
    </w:p>
    <w:p>
      <w:pPr>
        <w:pStyle w:val="4"/>
        <w:ind w:firstLine="482"/>
      </w:pPr>
      <w:r>
        <w:t>（三）合同履行</w:t>
      </w:r>
    </w:p>
    <w:p>
      <w:pPr>
        <w:pStyle w:val="83"/>
        <w:ind w:firstLine="480"/>
        <w:rPr>
          <w:color w:val="auto"/>
        </w:rPr>
      </w:pPr>
      <w:r>
        <w:rPr>
          <w:rFonts w:hint="eastAsia"/>
        </w:rPr>
        <w:t>1</w:t>
      </w:r>
      <w:r>
        <w:rPr>
          <w:rFonts w:hint="eastAsia"/>
          <w:color w:val="auto"/>
        </w:rPr>
        <w:t>．采购人与成交供应商应当根据合同的约定依法履行合同义务。</w:t>
      </w:r>
    </w:p>
    <w:p>
      <w:pPr>
        <w:pStyle w:val="83"/>
        <w:ind w:firstLine="480"/>
      </w:pPr>
      <w:r>
        <w:rPr>
          <w:rFonts w:hint="eastAsia"/>
          <w:color w:val="auto"/>
        </w:rPr>
        <w:t>2．政府采购合同的履行、违约责任和解决争议的方法等适用《中华人民共和国民法典》。</w:t>
      </w:r>
    </w:p>
    <w:p>
      <w:pPr>
        <w:pStyle w:val="4"/>
        <w:ind w:firstLine="482"/>
      </w:pPr>
      <w:r>
        <w:t>（四）验收或考核</w:t>
      </w:r>
    </w:p>
    <w:p>
      <w:pPr>
        <w:pStyle w:val="83"/>
        <w:ind w:firstLine="480"/>
      </w:pPr>
      <w:r>
        <w:rPr>
          <w:rFonts w:hint="eastAsia"/>
        </w:rPr>
        <w:t>1</w:t>
      </w:r>
      <w:r>
        <w:rPr>
          <w:rFonts w:hint="eastAsia"/>
          <w:color w:val="auto"/>
        </w:rPr>
        <w:t>．</w:t>
      </w:r>
      <w:r>
        <w:rPr>
          <w:rFonts w:hint="eastAsia"/>
        </w:rPr>
        <w:t>采购人严格按照国家相关法律法规的要求及磋商文件的要求组织验收或考核。</w:t>
      </w:r>
    </w:p>
    <w:p>
      <w:pPr>
        <w:pStyle w:val="83"/>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九、其他</w:t>
      </w:r>
    </w:p>
    <w:p>
      <w:pPr>
        <w:pStyle w:val="83"/>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pPr>
        <w:pStyle w:val="83"/>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pPr>
        <w:pStyle w:val="83"/>
        <w:ind w:firstLine="480"/>
      </w:pPr>
      <w:r>
        <w:t>3</w:t>
      </w:r>
      <w:r>
        <w:rPr>
          <w:rFonts w:hint="eastAsia"/>
        </w:rPr>
        <w:t>．出现下列情形之一的，采购人或者采购代理机构应当终止竞争性磋商采购活动，发布项目终止公告并说明原因，重新开展采购活动：</w:t>
      </w:r>
    </w:p>
    <w:p>
      <w:pPr>
        <w:pStyle w:val="83"/>
        <w:ind w:firstLine="480"/>
      </w:pPr>
      <w:r>
        <w:rPr>
          <w:rFonts w:hint="eastAsia"/>
        </w:rPr>
        <w:t>（1）因情况变化，不再符合规定的竞争性磋商采购方式适用情形的；</w:t>
      </w:r>
    </w:p>
    <w:p>
      <w:pPr>
        <w:pStyle w:val="83"/>
        <w:ind w:firstLine="480"/>
      </w:pPr>
      <w:r>
        <w:rPr>
          <w:rFonts w:hint="eastAsia"/>
        </w:rPr>
        <w:t>（2）出现影响采购公正的违法、违规行为的；</w:t>
      </w:r>
    </w:p>
    <w:p>
      <w:pPr>
        <w:pStyle w:val="83"/>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pPr>
        <w:pStyle w:val="83"/>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3"/>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3"/>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pPr>
        <w:pStyle w:val="83"/>
        <w:ind w:firstLine="0" w:firstLineChars="0"/>
      </w:pPr>
    </w:p>
    <w:p>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25" w:name="_Toc100219614"/>
      <w:r>
        <w:rPr>
          <w:rFonts w:hint="eastAsia"/>
        </w:rPr>
        <w:t>第三章　磋商内容及要求</w:t>
      </w:r>
      <w:bookmarkEnd w:id="25"/>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pStyle w:val="83"/>
        <w:ind w:firstLine="480"/>
      </w:pPr>
      <w:r>
        <w:rPr>
          <w:rFonts w:hint="eastAsia"/>
        </w:rPr>
        <w:t>全市机关及直属消防救援站消防车、行政车保险将于2026年初到期，按照相关规定需为294辆消防车购买交强险、第三方责任险（200万元）、车损险（行政车、运兵车）。</w:t>
      </w:r>
    </w:p>
    <w:p>
      <w:pPr>
        <w:pStyle w:val="3"/>
        <w:jc w:val="both"/>
      </w:pPr>
      <w:r>
        <w:rPr>
          <w:rFonts w:hint="eastAsia"/>
        </w:rPr>
        <w:t>二、磋商内容</w:t>
      </w:r>
    </w:p>
    <w:p>
      <w:pPr>
        <w:pStyle w:val="4"/>
        <w:ind w:firstLine="482"/>
      </w:pPr>
      <w:r>
        <w:rPr>
          <w:rFonts w:hint="eastAsia"/>
        </w:rPr>
        <w:t>（一）保险项目及赔偿限额</w:t>
      </w:r>
    </w:p>
    <w:tbl>
      <w:tblPr>
        <w:tblStyle w:val="26"/>
        <w:tblW w:w="4981"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93"/>
        <w:gridCol w:w="36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022" w:type="pct"/>
            <w:tcBorders>
              <w:top w:val="single" w:color="auto" w:sz="12" w:space="0"/>
              <w:bottom w:val="single" w:color="auto" w:sz="2" w:space="0"/>
            </w:tcBorders>
            <w:shd w:val="clear" w:color="auto" w:fill="F1F1F1"/>
            <w:vAlign w:val="center"/>
          </w:tcPr>
          <w:p>
            <w:pPr>
              <w:pStyle w:val="83"/>
              <w:ind w:firstLine="480"/>
            </w:pPr>
            <w:r>
              <w:rPr>
                <w:rFonts w:hint="eastAsia"/>
              </w:rPr>
              <w:t>保险项目</w:t>
            </w:r>
          </w:p>
        </w:tc>
        <w:tc>
          <w:tcPr>
            <w:tcW w:w="1977" w:type="pct"/>
            <w:tcBorders>
              <w:top w:val="single" w:color="auto" w:sz="12" w:space="0"/>
              <w:bottom w:val="single" w:color="auto" w:sz="2" w:space="0"/>
            </w:tcBorders>
            <w:shd w:val="clear" w:color="auto" w:fill="F1F1F1"/>
            <w:vAlign w:val="center"/>
          </w:tcPr>
          <w:p>
            <w:pPr>
              <w:pStyle w:val="83"/>
              <w:ind w:firstLine="480"/>
            </w:pPr>
            <w:r>
              <w:rPr>
                <w:rFonts w:hint="eastAsia"/>
              </w:rPr>
              <w:t>保险金额/赔偿限额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022" w:type="pct"/>
            <w:tcBorders>
              <w:top w:val="single" w:color="auto" w:sz="2" w:space="0"/>
            </w:tcBorders>
            <w:vAlign w:val="center"/>
          </w:tcPr>
          <w:p>
            <w:pPr>
              <w:pStyle w:val="83"/>
              <w:ind w:firstLine="480"/>
            </w:pPr>
            <w:r>
              <w:rPr>
                <w:rFonts w:hint="eastAsia"/>
              </w:rPr>
              <w:t>交强险</w:t>
            </w:r>
          </w:p>
        </w:tc>
        <w:tc>
          <w:tcPr>
            <w:tcW w:w="1977" w:type="pct"/>
            <w:tcBorders>
              <w:top w:val="single" w:color="auto" w:sz="2" w:space="0"/>
            </w:tcBorders>
            <w:vAlign w:val="center"/>
          </w:tcPr>
          <w:p>
            <w:pPr>
              <w:pStyle w:val="83"/>
              <w:ind w:firstLine="480"/>
            </w:pPr>
            <w:r>
              <w:rPr>
                <w:rFonts w:hint="eastAsia"/>
              </w:rPr>
              <w:t>≥20万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022" w:type="pct"/>
            <w:vAlign w:val="center"/>
          </w:tcPr>
          <w:p>
            <w:pPr>
              <w:pStyle w:val="83"/>
              <w:ind w:firstLine="480"/>
            </w:pPr>
            <w:r>
              <w:rPr>
                <w:rFonts w:hint="eastAsia"/>
              </w:rPr>
              <w:t>第三方责任险</w:t>
            </w:r>
          </w:p>
        </w:tc>
        <w:tc>
          <w:tcPr>
            <w:tcW w:w="1977" w:type="pct"/>
            <w:vAlign w:val="center"/>
          </w:tcPr>
          <w:p>
            <w:pPr>
              <w:pStyle w:val="83"/>
              <w:ind w:firstLine="480"/>
            </w:pPr>
            <w:r>
              <w:rPr>
                <w:rFonts w:hint="eastAsia"/>
              </w:rPr>
              <w:t>≥200万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022" w:type="pct"/>
            <w:vAlign w:val="center"/>
          </w:tcPr>
          <w:p>
            <w:pPr>
              <w:pStyle w:val="83"/>
              <w:ind w:firstLine="480"/>
            </w:pPr>
            <w:r>
              <w:rPr>
                <w:rFonts w:hint="eastAsia"/>
              </w:rPr>
              <w:t>车损险（行政车、运兵车）</w:t>
            </w:r>
          </w:p>
        </w:tc>
        <w:tc>
          <w:tcPr>
            <w:tcW w:w="1977" w:type="pct"/>
            <w:vAlign w:val="center"/>
          </w:tcPr>
          <w:p>
            <w:pPr>
              <w:pStyle w:val="83"/>
              <w:ind w:firstLine="480"/>
            </w:pPr>
            <w:r>
              <w:rPr>
                <w:rFonts w:hint="eastAsia"/>
              </w:rPr>
              <w:t>根据车辆价值赔付</w:t>
            </w:r>
          </w:p>
        </w:tc>
      </w:tr>
    </w:tbl>
    <w:p>
      <w:pPr>
        <w:pStyle w:val="4"/>
        <w:ind w:firstLine="482"/>
      </w:pPr>
      <w:r>
        <w:rPr>
          <w:rFonts w:hint="eastAsia"/>
        </w:rPr>
        <w:t>（二）车辆保险内容及标准要求</w:t>
      </w:r>
    </w:p>
    <w:p>
      <w:pPr>
        <w:pStyle w:val="83"/>
        <w:ind w:firstLine="480"/>
      </w:pPr>
      <w:r>
        <w:t>1</w:t>
      </w:r>
      <w:r>
        <w:rPr>
          <w:rFonts w:hint="eastAsia"/>
        </w:rPr>
        <w:t>、投保方式：实名制投保</w:t>
      </w:r>
    </w:p>
    <w:p>
      <w:pPr>
        <w:pStyle w:val="83"/>
        <w:ind w:firstLine="480"/>
      </w:pPr>
      <w:r>
        <w:rPr>
          <w:rFonts w:hint="eastAsia"/>
        </w:rPr>
        <w:t>2. 保险内容及标准：交强险、第三者责任保险、机动车损失保险（行政车、运兵车）</w:t>
      </w:r>
    </w:p>
    <w:p>
      <w:pPr>
        <w:pStyle w:val="4"/>
        <w:ind w:firstLine="482"/>
      </w:pPr>
      <w:r>
        <w:rPr>
          <w:rFonts w:hint="eastAsia"/>
        </w:rPr>
        <w:t>（三）承保方式</w:t>
      </w:r>
    </w:p>
    <w:p>
      <w:pPr>
        <w:pStyle w:val="83"/>
        <w:ind w:firstLine="480"/>
      </w:pPr>
      <w:r>
        <w:rPr>
          <w:rFonts w:hint="eastAsia"/>
        </w:rPr>
        <w:t>为独家承保，不接受联合承保。</w:t>
      </w:r>
    </w:p>
    <w:p>
      <w:pPr>
        <w:pStyle w:val="3"/>
        <w:jc w:val="both"/>
      </w:pPr>
      <w:r>
        <w:t>三、</w:t>
      </w:r>
      <w:r>
        <w:rPr>
          <w:rFonts w:hint="eastAsia"/>
        </w:rPr>
        <w:t>技术（服务）要求</w:t>
      </w:r>
    </w:p>
    <w:p>
      <w:pPr>
        <w:pStyle w:val="4"/>
        <w:ind w:firstLine="482"/>
      </w:pPr>
      <w:r>
        <w:rPr>
          <w:rFonts w:hint="eastAsia"/>
        </w:rPr>
        <w:t xml:space="preserve">（一）基本条款 </w:t>
      </w:r>
    </w:p>
    <w:p>
      <w:pPr>
        <w:pStyle w:val="83"/>
        <w:ind w:firstLine="480"/>
      </w:pPr>
      <w:r>
        <w:rPr>
          <w:rFonts w:hint="eastAsia"/>
        </w:rPr>
        <w:t>机动车交通事故责任强制保险条款、机动车商业保险示范条款；</w:t>
      </w:r>
    </w:p>
    <w:p>
      <w:pPr>
        <w:pStyle w:val="4"/>
        <w:ind w:firstLine="482"/>
      </w:pPr>
      <w:r>
        <w:rPr>
          <w:rFonts w:hint="eastAsia"/>
        </w:rPr>
        <w:t>（二）保险责任</w:t>
      </w:r>
    </w:p>
    <w:p>
      <w:pPr>
        <w:pStyle w:val="83"/>
        <w:ind w:firstLine="480"/>
      </w:pPr>
      <w:r>
        <w:rPr>
          <w:rFonts w:hint="eastAsia"/>
        </w:rPr>
        <w:t>在保险期间内，按照承保险种的不同，保险人分别承担相应的保险责任：</w:t>
      </w:r>
    </w:p>
    <w:p>
      <w:pPr>
        <w:pStyle w:val="83"/>
        <w:ind w:firstLine="482"/>
        <w:rPr>
          <w:b/>
        </w:rPr>
      </w:pPr>
      <w:r>
        <w:rPr>
          <w:rFonts w:hint="eastAsia"/>
          <w:b/>
        </w:rPr>
        <w:t>A. 机动车交通事故责任强制保险（交强险）责任</w:t>
      </w:r>
    </w:p>
    <w:p>
      <w:pPr>
        <w:pStyle w:val="83"/>
        <w:ind w:firstLine="480"/>
      </w:pPr>
      <w:r>
        <w:rPr>
          <w:rFonts w:hint="eastAsia"/>
        </w:rPr>
        <w:t>在中华人民共和国境内（不含港、澳、台地区），被保险车辆发生道路交通事故造成受害人（不包括本车人员和被保险人）的人身伤亡、财产损失，依法应由被保险人承担的损害赔偿责任，保险人在责任限额内予以赔偿。</w:t>
      </w:r>
    </w:p>
    <w:p>
      <w:pPr>
        <w:pStyle w:val="83"/>
        <w:ind w:firstLine="480"/>
      </w:pPr>
      <w:r>
        <w:rPr>
          <w:rFonts w:hint="eastAsia"/>
        </w:rPr>
        <w:t>赔偿限额分为有责和无责两种情况；</w:t>
      </w:r>
    </w:p>
    <w:p>
      <w:pPr>
        <w:pStyle w:val="83"/>
        <w:ind w:firstLine="482"/>
        <w:rPr>
          <w:b/>
        </w:rPr>
      </w:pPr>
      <w:r>
        <w:rPr>
          <w:rFonts w:hint="eastAsia"/>
          <w:b/>
        </w:rPr>
        <w:t>B. 机动车损失保险（车损险）责任</w:t>
      </w:r>
    </w:p>
    <w:p>
      <w:pPr>
        <w:pStyle w:val="83"/>
        <w:ind w:firstLine="480"/>
      </w:pPr>
      <w:r>
        <w:rPr>
          <w:rFonts w:hint="eastAsia"/>
        </w:rPr>
        <w:t>在保险期间内，被保险人或其允许的驾驶人在使用被保险机动车过程中，因下列原因造成被保险机动车的直接损失保险人依照保险合同的约定负责赔偿：</w:t>
      </w:r>
    </w:p>
    <w:p>
      <w:pPr>
        <w:pStyle w:val="83"/>
        <w:ind w:firstLine="480"/>
      </w:pPr>
      <w:r>
        <w:rPr>
          <w:rFonts w:hint="eastAsia"/>
        </w:rPr>
        <w:t>·碰撞、倾覆、坠落；</w:t>
      </w:r>
    </w:p>
    <w:p>
      <w:pPr>
        <w:pStyle w:val="83"/>
        <w:ind w:firstLine="480"/>
      </w:pPr>
      <w:r>
        <w:rPr>
          <w:rFonts w:hint="eastAsia"/>
        </w:rPr>
        <w:t>·火灾、爆炸；</w:t>
      </w:r>
    </w:p>
    <w:p>
      <w:pPr>
        <w:pStyle w:val="83"/>
        <w:ind w:firstLine="480"/>
      </w:pPr>
      <w:r>
        <w:rPr>
          <w:rFonts w:hint="eastAsia"/>
        </w:rPr>
        <w:t>·外界物体坠落、倒塌；</w:t>
      </w:r>
    </w:p>
    <w:p>
      <w:pPr>
        <w:pStyle w:val="83"/>
        <w:ind w:firstLine="480"/>
      </w:pPr>
      <w:r>
        <w:rPr>
          <w:rFonts w:hint="eastAsia"/>
        </w:rPr>
        <w:t>·雷击、暴风、暴雨、洪水、龙卷风、冰雹、台风、热带风暴；</w:t>
      </w:r>
    </w:p>
    <w:p>
      <w:pPr>
        <w:pStyle w:val="83"/>
        <w:ind w:firstLine="480"/>
      </w:pPr>
      <w:r>
        <w:rPr>
          <w:rFonts w:hint="eastAsia"/>
        </w:rPr>
        <w:t>·地陷、崖崩、滑坡、泥石流、雪崩、冰陷、暴雪、冰凌、沙尘暴；</w:t>
      </w:r>
    </w:p>
    <w:p>
      <w:pPr>
        <w:pStyle w:val="83"/>
        <w:ind w:firstLine="480"/>
      </w:pPr>
      <w:r>
        <w:rPr>
          <w:rFonts w:hint="eastAsia"/>
        </w:rPr>
        <w:t>·受到被保险机动车所载货物、车上人员意外撞击；</w:t>
      </w:r>
    </w:p>
    <w:p>
      <w:pPr>
        <w:pStyle w:val="83"/>
        <w:ind w:firstLine="480"/>
      </w:pPr>
      <w:r>
        <w:rPr>
          <w:rFonts w:hint="eastAsia"/>
        </w:rPr>
        <w:t>此外，发生保险事故时，为防止或减少被保险机动车的损失所支付的必要且合理的施救费用，由保险人承担，但最高不超过保险金额的数额。</w:t>
      </w:r>
    </w:p>
    <w:p>
      <w:pPr>
        <w:pStyle w:val="83"/>
        <w:ind w:firstLine="482"/>
        <w:rPr>
          <w:b/>
        </w:rPr>
      </w:pPr>
      <w:r>
        <w:rPr>
          <w:rFonts w:hint="eastAsia"/>
          <w:b/>
        </w:rPr>
        <w:t>C. 第三者责任保险责任</w:t>
      </w:r>
    </w:p>
    <w:p>
      <w:pPr>
        <w:pStyle w:val="83"/>
        <w:ind w:firstLine="480"/>
      </w:pPr>
      <w:r>
        <w:rPr>
          <w:rFonts w:hint="eastAsia"/>
        </w:rPr>
        <w:t>在保险期间内，被保险人或其允许的驾驶人在使用被保险机动车过程中发生意外事故，致使第三者遭受人身伤亡或财产直接损毁，依法应当对第三者承担的损害赔偿责任，且不属于免除保险人责任的范围，保险人依照本保险合同的约定，对于超过机动车交通事故责任强制保险各分项赔偿限额的部分给予赔偿。</w:t>
      </w:r>
    </w:p>
    <w:p>
      <w:pPr>
        <w:pStyle w:val="83"/>
        <w:ind w:firstLine="480"/>
      </w:pPr>
      <w:r>
        <w:rPr>
          <w:rFonts w:hint="eastAsia"/>
        </w:rPr>
        <w:t>赔偿限额由投保人和保险人在签订保险合同时协商确定。</w:t>
      </w:r>
    </w:p>
    <w:p>
      <w:pPr>
        <w:pStyle w:val="4"/>
        <w:ind w:firstLine="482"/>
      </w:pPr>
      <w:r>
        <w:rPr>
          <w:rFonts w:hint="eastAsia"/>
        </w:rPr>
        <w:t>（三）赔偿处理</w:t>
      </w:r>
    </w:p>
    <w:p>
      <w:pPr>
        <w:pStyle w:val="83"/>
        <w:ind w:firstLine="480"/>
      </w:pPr>
      <w:r>
        <w:rPr>
          <w:rFonts w:hint="eastAsia"/>
        </w:rPr>
        <w:t>1、保险人依据被保险机动车一方在事故中所负的事故责任比例，承担相应的赔偿责任。</w:t>
      </w:r>
    </w:p>
    <w:p>
      <w:pPr>
        <w:pStyle w:val="83"/>
        <w:ind w:firstLine="360" w:firstLineChars="150"/>
      </w:pPr>
      <w:r>
        <w:t>2</w:t>
      </w:r>
      <w:r>
        <w:rPr>
          <w:rFonts w:hint="eastAsia"/>
        </w:rPr>
        <w:t>、保险人根据保险合同的约定，在赔偿限额内计算赔偿。若损失超出保险限额，超出部分由被保险人自行承担。</w:t>
      </w:r>
    </w:p>
    <w:p>
      <w:pPr>
        <w:pStyle w:val="4"/>
        <w:ind w:firstLine="482"/>
      </w:pPr>
      <w:r>
        <w:rPr>
          <w:rFonts w:hint="eastAsia"/>
        </w:rPr>
        <w:t>（四）承保的保险标的车辆因意外事故（包括但不限于救援、训练、外出宣传等）发生事故，造成车辆损失以及人员身故、伤残及支出费用均属于保险责任范围。</w:t>
      </w:r>
    </w:p>
    <w:p>
      <w:pPr>
        <w:pStyle w:val="3"/>
        <w:jc w:val="both"/>
      </w:pPr>
      <w:r>
        <w:rPr>
          <w:rFonts w:hint="eastAsia"/>
        </w:rPr>
        <w:t>四、报价</w:t>
      </w:r>
      <w:r>
        <w:t>要求</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1、本项目以商业险自主定价系数作为磋商报价</w:t>
      </w:r>
      <w:r>
        <w:rPr>
          <w:rFonts w:ascii="Calibri" w:hAnsi="Calibri" w:eastAsia="宋体" w:cstheme="minorHAnsi"/>
          <w:color w:val="000000"/>
          <w:kern w:val="24"/>
        </w:rPr>
        <w:t>，</w:t>
      </w:r>
      <w:r>
        <w:rPr>
          <w:rFonts w:hint="eastAsia" w:ascii="Calibri" w:hAnsi="Calibri" w:eastAsia="宋体" w:cstheme="minorHAnsi"/>
          <w:color w:val="000000"/>
          <w:kern w:val="24"/>
        </w:rPr>
        <w:t>填报范围按国家保险监督管理机构有关最新规定执行。</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2、自主定价系数报价：统报</w:t>
      </w:r>
    </w:p>
    <w:p>
      <w:pPr>
        <w:pStyle w:val="83"/>
        <w:ind w:firstLine="480"/>
      </w:pPr>
      <w:r>
        <w:rPr>
          <w:rFonts w:hint="eastAsia"/>
        </w:rPr>
        <w:t>3、在满足本项目所需商业险包含的服务需求前提下，供应商结合自身情况报出自主定价系数。</w:t>
      </w:r>
    </w:p>
    <w:p>
      <w:pPr>
        <w:pStyle w:val="83"/>
        <w:ind w:firstLine="480"/>
      </w:pPr>
      <w:r>
        <w:t>4</w:t>
      </w:r>
      <w:r>
        <w:rPr>
          <w:rFonts w:hint="eastAsia"/>
        </w:rPr>
        <w:t>、交强险按照《机动车交通事故责任强制保险费率暂行办法》的有关规定实行费用浮动。</w:t>
      </w:r>
    </w:p>
    <w:p>
      <w:pPr>
        <w:ind w:firstLine="480" w:firstLineChars="200"/>
        <w:jc w:val="both"/>
      </w:pPr>
      <w:r>
        <w:rPr>
          <w:rFonts w:ascii="Calibri" w:hAnsi="Calibri" w:eastAsia="宋体" w:cstheme="minorHAnsi"/>
          <w:color w:val="000000"/>
        </w:rPr>
        <w:t>5</w:t>
      </w:r>
      <w:r>
        <w:rPr>
          <w:rFonts w:hint="eastAsia" w:ascii="Calibri" w:hAnsi="Calibri" w:eastAsia="宋体" w:cstheme="minorHAnsi"/>
          <w:color w:val="000000"/>
        </w:rPr>
        <w:t>、</w:t>
      </w:r>
      <w:r>
        <w:rPr>
          <w:rFonts w:hint="eastAsia"/>
        </w:rPr>
        <w:t>根据《中华人民共和国车船税法》规定，从事机动车第三者责任强制保险业务的保险机构为机动车车船税的扣缴义务人，应当在收取保险费时依法代收车船税，并出具代收税款凭证。</w:t>
      </w:r>
    </w:p>
    <w:p>
      <w:pPr>
        <w:ind w:firstLine="480" w:firstLineChars="200"/>
        <w:jc w:val="both"/>
      </w:pPr>
      <w:r>
        <w:rPr>
          <w:rFonts w:hint="eastAsia"/>
        </w:rPr>
        <w:t>车船税费用标准按国家相关规定执行，其中</w:t>
      </w:r>
      <w:r>
        <w:t>，</w:t>
      </w:r>
      <w:r>
        <w:rPr>
          <w:rFonts w:hint="eastAsia"/>
        </w:rPr>
        <w:t>消防救援车辆按照《财政部税务总局关于国家综合性消防救援车辆车船税政策的通知》免车船税。</w:t>
      </w:r>
    </w:p>
    <w:p>
      <w:pPr>
        <w:ind w:firstLine="480" w:firstLineChars="200"/>
        <w:jc w:val="both"/>
      </w:pPr>
      <w:r>
        <w:t>6</w:t>
      </w:r>
      <w:r>
        <w:rPr>
          <w:rFonts w:hint="eastAsia"/>
        </w:rPr>
        <w:t>、最终以合同确定的实际参保车辆（车辆清单见本章</w:t>
      </w:r>
      <w:r>
        <w:t>附件</w:t>
      </w:r>
      <w:r>
        <w:rPr>
          <w:rFonts w:hint="eastAsia"/>
        </w:rPr>
        <w:t>）为准据实结算保险</w:t>
      </w:r>
      <w:r>
        <w:t>费用</w:t>
      </w:r>
      <w:r>
        <w:rPr>
          <w:rFonts w:hint="eastAsia"/>
        </w:rPr>
        <w:t>。</w:t>
      </w:r>
    </w:p>
    <w:p>
      <w:pPr>
        <w:pStyle w:val="3"/>
        <w:jc w:val="both"/>
      </w:pPr>
      <w:r>
        <w:t>五</w:t>
      </w:r>
      <w:r>
        <w:rPr>
          <w:rFonts w:hint="eastAsia"/>
        </w:rPr>
        <w:t>、商务要求</w:t>
      </w:r>
    </w:p>
    <w:p>
      <w:pPr>
        <w:pStyle w:val="83"/>
        <w:ind w:firstLine="480"/>
      </w:pPr>
      <w:r>
        <w:rPr>
          <w:rFonts w:hint="eastAsia"/>
        </w:rPr>
        <w:t>（一）保险期限</w:t>
      </w:r>
    </w:p>
    <w:p>
      <w:pPr>
        <w:pStyle w:val="83"/>
        <w:ind w:firstLine="480"/>
      </w:pPr>
      <w:r>
        <w:rPr>
          <w:rFonts w:hint="eastAsia"/>
        </w:rPr>
        <w:t>1年，以双方签订合同时约定的起止时间为准。</w:t>
      </w:r>
    </w:p>
    <w:p>
      <w:pPr>
        <w:pStyle w:val="83"/>
        <w:ind w:firstLine="480"/>
      </w:pPr>
      <w:r>
        <w:rPr>
          <w:rFonts w:hint="eastAsia"/>
        </w:rPr>
        <w:t>（二）进度要求</w:t>
      </w:r>
    </w:p>
    <w:p>
      <w:pPr>
        <w:pStyle w:val="83"/>
        <w:ind w:firstLine="480"/>
      </w:pPr>
      <w:r>
        <w:rPr>
          <w:rFonts w:hint="eastAsia"/>
        </w:rPr>
        <w:t>合同签订后</w:t>
      </w:r>
      <w:r>
        <w:t>，</w:t>
      </w:r>
      <w:r>
        <w:rPr>
          <w:rFonts w:hint="eastAsia"/>
        </w:rPr>
        <w:t>供应商于采购人完成保费支付后1个工作日内出具正式保单及保险卡。</w:t>
      </w:r>
    </w:p>
    <w:p>
      <w:pPr>
        <w:pStyle w:val="3"/>
      </w:pPr>
      <w:r>
        <w:t>六、</w:t>
      </w:r>
      <w:r>
        <w:rPr>
          <w:rFonts w:hint="eastAsia"/>
        </w:rPr>
        <w:t xml:space="preserve">附件： </w:t>
      </w:r>
    </w:p>
    <w:tbl>
      <w:tblPr>
        <w:tblStyle w:val="26"/>
        <w:tblW w:w="8315" w:type="dxa"/>
        <w:jc w:val="center"/>
        <w:tblLayout w:type="fixed"/>
        <w:tblCellMar>
          <w:top w:w="0" w:type="dxa"/>
          <w:left w:w="108" w:type="dxa"/>
          <w:bottom w:w="0" w:type="dxa"/>
          <w:right w:w="108" w:type="dxa"/>
        </w:tblCellMar>
      </w:tblPr>
      <w:tblGrid>
        <w:gridCol w:w="957"/>
        <w:gridCol w:w="2323"/>
        <w:gridCol w:w="5035"/>
      </w:tblGrid>
      <w:tr>
        <w:tblPrEx>
          <w:tblCellMar>
            <w:top w:w="0" w:type="dxa"/>
            <w:left w:w="108" w:type="dxa"/>
            <w:bottom w:w="0" w:type="dxa"/>
            <w:right w:w="108" w:type="dxa"/>
          </w:tblCellMar>
        </w:tblPrEx>
        <w:trPr>
          <w:trHeight w:val="313" w:hRule="atLeast"/>
          <w:jc w:val="center"/>
        </w:trPr>
        <w:tc>
          <w:tcPr>
            <w:tcW w:w="83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K" w:hAnsi="方正仿宋_GBK" w:eastAsia="方正仿宋_GBK" w:cs="方正仿宋_GBK"/>
                <w:b/>
                <w:color w:val="000000"/>
                <w:sz w:val="21"/>
                <w:szCs w:val="21"/>
                <w:lang w:bidi="ar"/>
              </w:rPr>
            </w:pPr>
            <w:r>
              <w:rPr>
                <w:rFonts w:hint="eastAsia" w:ascii="方正仿宋_GBK" w:hAnsi="方正仿宋_GBK" w:eastAsia="方正仿宋_GBK" w:cs="方正仿宋_GBK"/>
                <w:b/>
                <w:color w:val="000000"/>
                <w:sz w:val="21"/>
                <w:szCs w:val="21"/>
                <w:lang w:bidi="ar"/>
              </w:rPr>
              <w:t>西安市消防救援支队直属单位车辆保险清单</w:t>
            </w:r>
          </w:p>
        </w:tc>
      </w:tr>
      <w:tr>
        <w:tblPrEx>
          <w:tblCellMar>
            <w:top w:w="0" w:type="dxa"/>
            <w:left w:w="108" w:type="dxa"/>
            <w:bottom w:w="0" w:type="dxa"/>
            <w:right w:w="108" w:type="dxa"/>
          </w:tblCellMar>
        </w:tblPrEx>
        <w:trPr>
          <w:trHeight w:val="27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K" w:hAnsi="方正仿宋_GBK" w:eastAsia="方正仿宋_GBK" w:cs="方正仿宋_GBK"/>
                <w:b/>
                <w:color w:val="000000"/>
                <w:sz w:val="18"/>
                <w:szCs w:val="18"/>
                <w:lang w:bidi="ar"/>
              </w:rPr>
            </w:pPr>
            <w:r>
              <w:rPr>
                <w:rFonts w:hint="eastAsia" w:ascii="方正仿宋_GBK" w:hAnsi="方正仿宋_GBK" w:eastAsia="方正仿宋_GBK" w:cs="方正仿宋_GBK"/>
                <w:b/>
                <w:color w:val="000000"/>
                <w:sz w:val="18"/>
                <w:szCs w:val="18"/>
                <w:lang w:bidi="ar"/>
              </w:rPr>
              <w:t>序号</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K" w:hAnsi="方正仿宋_GBK" w:eastAsia="方正仿宋_GBK" w:cs="方正仿宋_GBK"/>
                <w:b/>
                <w:color w:val="000000"/>
                <w:sz w:val="18"/>
                <w:szCs w:val="18"/>
                <w:lang w:bidi="ar"/>
              </w:rPr>
            </w:pPr>
            <w:r>
              <w:rPr>
                <w:rFonts w:hint="eastAsia" w:ascii="方正仿宋_GBK" w:hAnsi="方正仿宋_GBK" w:eastAsia="方正仿宋_GBK" w:cs="方正仿宋_GBK"/>
                <w:b/>
                <w:color w:val="000000"/>
                <w:sz w:val="18"/>
                <w:szCs w:val="18"/>
                <w:lang w:bidi="ar"/>
              </w:rPr>
              <w:t>车牌号</w:t>
            </w:r>
          </w:p>
        </w:tc>
        <w:tc>
          <w:tcPr>
            <w:tcW w:w="5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方正仿宋_GBK" w:hAnsi="方正仿宋_GBK" w:eastAsia="方正仿宋_GBK" w:cs="方正仿宋_GBK"/>
                <w:b/>
                <w:color w:val="000000"/>
                <w:sz w:val="18"/>
                <w:szCs w:val="18"/>
                <w:lang w:bidi="ar"/>
              </w:rPr>
            </w:pPr>
            <w:r>
              <w:rPr>
                <w:rFonts w:hint="eastAsia" w:ascii="方正仿宋_GBK" w:hAnsi="方正仿宋_GBK" w:eastAsia="方正仿宋_GBK" w:cs="方正仿宋_GBK"/>
                <w:b/>
                <w:color w:val="000000"/>
                <w:sz w:val="18"/>
                <w:szCs w:val="18"/>
                <w:lang w:bidi="ar"/>
              </w:rPr>
              <w:t>车架号</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陕X5020应急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LWLYURAK8FL000381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陕X6357应急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WMA26SZZ7KM802533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陕X6375应急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LZZWBCSF3JW415058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陕X5023应急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LZZ1BYSF0GN122644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陕X5022应急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LWLYURGK1CL002833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LSKG4AC16LA069944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陕X6414应急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LZGCA2D11HB009162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陕X6410应急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LZGCA2D18HB009174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陕X6417应急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LZGCA2D19HB009152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陕X6408应急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LZGCA2D14HB009527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LZZ1BYSF9MW804122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陕X5141应急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LZZWBCSF1GW143800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陕X5144应急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LWLYURAKXGL001064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陕X5146应急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WDANHAAB0FL911251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陕X6370应急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LZZWBYSF7JW407395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陕X6366应急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WMA26SZZ3KM802576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LSKG4AC15LA069949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陕X5260应急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LZGCA2D10HB001103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陕X5274应急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LZGCA2D18HB007571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陕X5249应急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LZGCA2A14HB025098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陕X5250应急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LZGCA2A16HB025054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LZZ1BYSF4MW804125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陕AN0E31</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LVAV2MWB8HJ009588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陕X5191应急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WMA08DZZ3PY446529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陕X5068应急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LZZPBMNF8FJ063606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陕X6360应急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WMA26SZZ1KM802169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陕X6380应急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LWLYUAWK2JL002422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陕X5063应急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WDA7HAAA6EL860269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陕X5225应急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LZGCA2A11HB025060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陕X5226应急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LZGCA2D14HB006742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LSKG4AC13LA069948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陕X6672应急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LZZ1BMSF3LN525181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陕X6384应急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LZFF34T45JD030710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LZZ1BYSF6MW804126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陕X6690应急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LZZ1BYSF8MW804127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陕X5133应急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YV2XTY0D9MA871542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陕AB4L49</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LVAV2MWB3HJ009613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陕X5187应急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WMA04DZZ3NY442280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39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陕X7741应急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WMA06FZZ5PM907741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陕X5004应急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LWLYURAK8FL000395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陕X5005应急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LZZWBCSF7GW143803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陕X6356应急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WMA26SZZ1KM802480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陕X5007应急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LZZ1BYSF2FN073588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LSKG4AC18LA069945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LZZ1BYSF2MW804124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陕X5174应急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LZZWBCSF9GW143804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陕X6362应急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WMA26SZZ1KM802558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陕X5177应急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LWLYURAK4GL001058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49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陕X5101应急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WDAKHCAAXDL774693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陕X6402应急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LZGCA2D16HB009514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陕X5257应急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LZGCA2D18HB007568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陕X5256应急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LZGCA2D11HB007508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陕X6589应急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LSKG4AC19LA069940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陕X5130应急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LZZWBMWF1NW080288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陕X5009应急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LWLYURAK6FL000394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陕X6374应急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LZZWBCSF1JW415057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陕X5013应急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LZZ1BYSF9GN122643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陕X6358应急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WMA26SZZ0KM802521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59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陕X5221应急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LZGCA2A18HB025069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陕X5222应急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LZGCA2A17HB025063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陕X5258应急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LZGCA2A13HB025075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陕X6588应急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LSKG4AC12LA069939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LZZ1BYSF7MW804121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陕X6424应急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LJXBHDJEXKT061393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陕X6425应急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LJXBHDJE1KT061394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陕X6676应急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WMAN08ZZ2MY420388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陕X5061应急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LZZ1BYSF4FN072653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陕X6671应急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WDAKHCAA8K0360763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69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陕X5060应急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WMA26SZZ1CM595994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陕X6355应急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WMA26SZZ4KM802425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陕X6381应急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WDANHAAA1J0271150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LSKG4AC1XLA069946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陕X6708应急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WDAYHCAA6K0339047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陕X5033应急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WDB9700771K354065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陕X6691应急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LZZ1BYSFXMW804128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陕X6692应急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LZZ1BYSF1MW804129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陕X5059应急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WDAKHCAA1CL664002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陕X5300应急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LZZ8BMXF6PC525300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79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陕X5200应急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YS2P0X422B2063849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陕X5025应急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WDA7HAAA2FL946177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陕X6600应急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LSKG4AC13LA069951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陕X5199应急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WDAYHCAA7J0194020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陕X6364应急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WMA26SZZ9KM802596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陕X6378应急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LZZ1BYSF1JN395857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陕X6382应急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WDANHAAA5J0271152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陕X6678应急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ZCFC670D0L5354575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陕X6704应急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LWLDAA8G2LL004982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陕X6703应急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LWLDAA8G0LL005032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89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陕X6693应急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LZZ1BYSF8MW804130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陕X5032应急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WMA08DZZ6NY442102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陕X5117应急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YS2P6X433M5643586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陕X5012应急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WMA08DZZ2NY442114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陕X5071应急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LZZ8BMWF5PC502561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陕X5156应急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YV2XTY0D6MA871353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陕X5210应急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LVBV5PDB7PW005427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陕AB3W72</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LVAV2MWB0HJ009598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陕A0DY27</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LGWCA2197FB001685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陕AB6V73</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LGWCA3179DC001182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99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陕X5185应急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WMA08DZZXPY451520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陕X8356应急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YS2P4X292M2188356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陕X5531应急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WMA26FZZ1NM895531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陕X1462应急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WMA26FZZ7NM901462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陕X1227应急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LZZ1BYSF8MW801227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陕X5489应急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LZZWBMWF0RN265489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陕X6543应急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YV2XTY0D3MA876543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陕X6642应急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WMA06FZZ5NM896642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陕X0104应急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LFPH4BCP1J2L00101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陕A1L25S</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LFPH4BCP3J2L00214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109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陕X5136应急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LZZWBCSF4FW920081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陕X5134应急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LWLYURAK0FL000391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陕X5138应急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WDAKHCAA6G0060470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陕X5139应急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WDAKHCAA5FL954683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陕X6359应急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WMA26SZZ7KM802497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LSKG4AC12LA069942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陕X6418应急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LZGCA2A15HB025059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LZZ1BYSF7MW804118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LZZ1BYSF9MW804119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陕X5089应急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LZZWBCSF5FW923281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119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陕X5091应急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LZZPBMNF6FJ062454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陕X5093应急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WDAKHCAAXCL710815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陕X6379应急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LWLYUAWK5JL002415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陕X5096应急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LEFYDCD18CHP47428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陕X5095应急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LVRV3ABB4DE310410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陕X6365应急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WMA26SZZ4KM802473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LSKG4AC10LA069941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陕X5230应急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LZGCA2A13HB025058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陕X5231应急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LZGCA2A14HB025067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LZZ1BYSF5MW804120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129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LSKG4AC14LA069943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陕X6376应急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LZZWBCSFXJW415056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陕X6354应急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WMA26SZZ3KM802545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陕X5104应急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LZZPBMNF0FJ063681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陕X5107应急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LWLYURAK6GL001076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陕X5236应急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LZGCA2A18HB025038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陕X5232应急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LZGCA2D1XHB007569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LZZ1BYSF5MW804117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陕X5192应急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WMA04DZZ7NP182259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陕AP7D36</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LVAV2MWB1HJ009612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139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陕A1V26Q</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LVAV2MWB5HJ009614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陕AQ2F65</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LVAV2MWB7HJ009596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陕X5120应急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LWLYURAK8FL000400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陕X5124应急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LZZWBCSF2FW920080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陕X6368应急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LZZWBYSF1JW328112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陕X6363应急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WMA26SZZ8KM802332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陕X5245应急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LZGCA2A19HB025064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陕X5240应急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LZGCA2D13HB006750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陕X5241应急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LZGCA2D15HB007818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陕X5242应急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LZGCA2D11HB007573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149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陕X5243应急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LZGCA2A10HB025048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陕X5244应急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LZGCA2A11HB025043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陕X2079应急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LZZWBCNF1RN292079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陕X5011应急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LWLYURAK6EL000071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陕X6686应急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LZZ1BYSF0MW804123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LSKG4AC11LA069947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陕A1C53A</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LVAV2MWB9HJ009597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陕X5160应急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LWLYURAK9FL001166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陕X5161应急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LZZWBCSF5GW143802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陕X6361应急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WMA26SZZ7KM802418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159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陕X5163应急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LZZPBMNF6FJ063605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陕X5253应急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LZGCA2A1XHB025039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陕X5248应急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LZGCA2A15HB025028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陕X6407应急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LZGCA2D17HB009179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陕X6403应急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LZGCA2D12HB009168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陕X6401应急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LJVN83G83JT007935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陕X6427应急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LJVN83G87JT007937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陕X6599应急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LSKG4AC11LA069950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陕A1B18Q</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LVAV2MWB5HJ009595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陕X5094应急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WDAKHCAA8DL774692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169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陕X5105应急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LZZ8BCNG1MC374206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陕X5021应急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LZZ8BCMG0MC424529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陕X0118应急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LJXDJ3CB4MTU22114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陕X5116应急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LZZ8BEVGXMC403617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陕X5069应急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LZZ8BEVG2MC392094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陕X5043应急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LZZ8BEVGXMC392120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陕X5074应急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LZZ8BEVG2MC392113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陕X5100应急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LZZ8BEVG9MC407917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陕X1301应急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LGHGBG1H8C5001733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陕X5006应急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LZYTBTE60M1015205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179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陕X5062应急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WMAN08ZZ8EY303724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陕X4090应急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LZZ1BLNJ0RN274090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陕X5149应急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LGAX2B13771071341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陕X4088应急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LZZ1BLNJ2RN274088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陕X5151应急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LGAX4C443G3012196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陕X4082应急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LZZ1BLNJ1RN274082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陕X5153应急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LGAX4C441G3012195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陕X4083应急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LZZ1BLNJ3RN274083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陕X5155应急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LWLYURGK3CL001716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陕X2028应急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LZZ8BCNJ9RC652028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189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陕X0121应急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LSVAG6BR9EN191441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陕X6426应急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LNVU1CA33BV801087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陕X6385应急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WDAYHCAA3K0303283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陕X6383应急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LZZ1BMSF7JN431852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陕X6423应急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LZGJLNR468X040528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陕X6422应急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LWLYURBK56L005701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陕X5121应急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LZZ1BCNG4PW021446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陕X5067应急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LZZ8BCNF6PC472515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陕X5211应急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LVBV5PDB9PW005428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陕X5070应急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LZZ1BYSF0FN073587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199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陕X5137应急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LZZ1BYSF8GN122648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陕X5073应急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LZZWBCSF3GW143801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陕X1458应急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LZZ8BCNJ7RC581458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陕X6993应急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LZZ8BCNJXRC586993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陕X1455应急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LZZ8BCNLXRC581455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陕X6780应急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LVBV6PDC8RW066780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陕X6781应急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LVBV6PDCXRW066781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陕X6328应急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LZZ8BCNG1RC636328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陕A7T6L3</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LMGBC1C8XJ1040972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陕X0101应急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JTEBU25J685114072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209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陕X0103应急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LFMGLK741A3011337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陕X5279应急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WMA21XZZ7BP027600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陕X5218应急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WD3Y04934BN143640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陕X5280应急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LJXBHDJD2HT112174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陕X6585应急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LZYTATE69L1008299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陕X6586应急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LZYTATE61L1008300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陕X6663应急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1FTEW1E47KFD02147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陕A73939</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JTMHT05J8A5073939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陕X4446应急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LZYTBTD61L1024446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陕AQ1F57</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LFPH4BCP5H2L05088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219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陕A1R58B</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LFPH4BCP5H2L05067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陕AB2M75</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LVGBH40K9AG393769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陕A1B28E</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LVGBH40K8AG394105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陕A25YZ1</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LSKG4AC13JA049311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陕AP1K83</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LSKG4AC11JA049310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陕AN0B79</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LSKG4AC10JA067961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陕A1H00G</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LSKG4AC19JA067960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陕AX1005</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LZYTETE10J1009900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陕AW9270</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LZYTETE14H1072105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陕A1T80G</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WD3YE4A64CS636471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229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陕A1D79B</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LFV3A23C9C3167111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陕A1P80Y</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LFV3A24F0B3086831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陕AQ1T79</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LFPH4BCP5H2L05070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陕AN3V20</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LFPH4BCP9J2L00086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陕AP7J72</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LSKG4AC19JA049314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陕A1D55X</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LFPH4BCP6J2L00112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陕A0J25A</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LFPH4BCP2H2L05222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陕A1A11Z</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LSKG4AC15JA049309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陕A5U2E4</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LSVCH2A42EN046567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陕A1A35P</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LFPH4BCP2H2L05057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239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陕A0J92V</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LHGCM669752000640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陕A1Z19T</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LFPH4BCP5J2L00117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陕A5U4E9</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LSKG4AC17JA049313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陕AP5S30</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LFPH4BCP5H2L05053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陕A1R98U</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LFPH4BCPXJ2L00727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陕AV4G40</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LSKG4AC15JA049312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陕A1L23U</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LSVCH2A40EN046406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陕AP2T63</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LSVAG6BR5EN191033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陕AN9E37</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LL62H4C079B014222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陕A1Z18D</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LSVAG6BR4EN202314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249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陕X0102应急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JTEJV3FJ0AK005873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陕X5276应急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LZYTATE6681024595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陕X5278应急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LZYTETC6691022533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陕X5277应急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LZYTETC6191022536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陕X5198应急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LNVU1CA32AV902927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LJXEDEF11RTP71295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LJXEDEF13RTP71296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LJXEDEF15RTP71297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LJXEDEF17RTP71298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LJXEDEF15RTP71302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259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LJXEDEF17RTP71303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LJXEDEF10RTP71305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LJXEDEF12RTP71306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LJXEDEF13RTP71346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LJXEDEF17RTP71348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LJXEDEF19RTP71349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LJXEDEF15RTP71350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LJXEDEF17RTP71351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LEFEDEF16RTP70823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LEFEDEF13RTP70827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269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LEFEDEF15RTP70828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LEFEDEF14RTP70836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LEFEDEF1XRTP70842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LEFEDEF13RTP70844</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LEFEDEF10RTP70848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LEFEDEF19RTP70850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LEFEDEF10RTP70851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LEFEDEF18RTP70855</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LEFEDEF12RTP70396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LEFEDEF15RTP70392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279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LEFEDEF16RTP70398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LEFEDEF17RTP70393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LEFEDEF13RTP70388</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LEFEDEF18RTP70421</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LEFEDEF16RTP70403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LZYTBTE64S1046423</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LZYTBTE62S1046422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286</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LZZ1BCNHXRD316672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287</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LZYTETE1XR1001640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288</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LGDCWA1P3SB000207</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289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LGDCWA1P0SB000200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290</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LGDCWA1P7SB000212</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291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LZZ1BMWF9SA310520</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292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LZZ1BMWF2SA310519</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293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18"/>
                <w:szCs w:val="18"/>
              </w:rPr>
            </w:pP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LGDCWA1P4SB000216</w:t>
            </w:r>
          </w:p>
        </w:tc>
      </w:tr>
      <w:tr>
        <w:tblPrEx>
          <w:tblCellMar>
            <w:top w:w="0" w:type="dxa"/>
            <w:left w:w="108" w:type="dxa"/>
            <w:bottom w:w="0" w:type="dxa"/>
            <w:right w:w="108" w:type="dxa"/>
          </w:tblCellMar>
        </w:tblPrEx>
        <w:trPr>
          <w:trHeight w:val="3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textAlignment w:val="bottom"/>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294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陕X5143应急</w:t>
            </w:r>
          </w:p>
        </w:tc>
        <w:tc>
          <w:tcPr>
            <w:tcW w:w="5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sz w:val="18"/>
                <w:szCs w:val="18"/>
                <w:lang w:bidi="ar"/>
              </w:rPr>
              <w:t>WMA26FZZ3NM894977</w:t>
            </w:r>
          </w:p>
        </w:tc>
      </w:tr>
      <w:tr>
        <w:tblPrEx>
          <w:tblCellMar>
            <w:top w:w="0" w:type="dxa"/>
            <w:left w:w="108" w:type="dxa"/>
            <w:bottom w:w="0" w:type="dxa"/>
            <w:right w:w="108" w:type="dxa"/>
          </w:tblCellMar>
        </w:tblPrEx>
        <w:trPr>
          <w:trHeight w:val="315" w:hRule="atLeast"/>
          <w:jc w:val="center"/>
        </w:trPr>
        <w:tc>
          <w:tcPr>
            <w:tcW w:w="83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textAlignment w:val="center"/>
              <w:rPr>
                <w:rFonts w:ascii="方正仿宋_GBK" w:hAnsi="方正仿宋_GBK" w:eastAsia="方正仿宋_GBK" w:cs="方正仿宋_GBK"/>
                <w:color w:val="000000"/>
                <w:sz w:val="18"/>
                <w:szCs w:val="18"/>
                <w:lang w:bidi="ar"/>
              </w:rPr>
            </w:pPr>
            <w:r>
              <w:rPr>
                <w:rFonts w:hint="eastAsia" w:ascii="方正仿宋_GBK" w:hAnsi="方正仿宋_GBK" w:eastAsia="方正仿宋_GBK" w:cs="方正仿宋_GBK"/>
                <w:color w:val="000000"/>
                <w:sz w:val="18"/>
                <w:szCs w:val="18"/>
                <w:lang w:bidi="ar"/>
              </w:rPr>
              <w:t>西安市消防救援支队机关及直属单位车辆共294辆（消防车250辆（行政车44辆）。</w:t>
            </w:r>
          </w:p>
        </w:tc>
      </w:tr>
    </w:tbl>
    <w:p>
      <w:pPr>
        <w:pStyle w:val="83"/>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spacing w:before="190" w:after="190"/>
        <w:rPr>
          <w:color w:val="C00000"/>
        </w:rPr>
      </w:pPr>
      <w:bookmarkStart w:id="26" w:name="_Toc148453731"/>
      <w:r>
        <w:rPr>
          <w:rFonts w:hint="eastAsia"/>
        </w:rPr>
        <w:t>第四章　合同</w:t>
      </w:r>
      <w:bookmarkEnd w:id="26"/>
      <w:r>
        <w:rPr>
          <w:rFonts w:hint="eastAsia"/>
        </w:rPr>
        <w:t>草案条款</w:t>
      </w:r>
    </w:p>
    <w:p>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甲方（投保人）：西安市消防救援支队</w:t>
      </w:r>
    </w:p>
    <w:p>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住所地：________________________________</w:t>
      </w:r>
    </w:p>
    <w:p>
      <w:pPr>
        <w:pStyle w:val="42"/>
        <w:ind w:firstLine="480" w:firstLineChars="200"/>
        <w:jc w:val="both"/>
        <w:rPr>
          <w:rFonts w:asciiTheme="minorHAnsi" w:hAnsiTheme="minorHAnsi" w:eastAsiaTheme="minorEastAsia"/>
          <w:sz w:val="24"/>
          <w:szCs w:val="24"/>
        </w:rPr>
      </w:pPr>
    </w:p>
    <w:p>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乙方（保险人）：________________________</w:t>
      </w:r>
    </w:p>
    <w:p>
      <w:pPr>
        <w:pStyle w:val="42"/>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住所地：_______________________________</w:t>
      </w:r>
      <w:r>
        <w:rPr>
          <w:rFonts w:asciiTheme="minorHAnsi" w:hAnsiTheme="minorHAnsi" w:eastAsiaTheme="minorEastAsia"/>
          <w:sz w:val="24"/>
          <w:szCs w:val="24"/>
        </w:rPr>
        <w:t>_</w:t>
      </w:r>
    </w:p>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一、定义</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本合同中的下列术语应解释为：</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1、“合同”系指甲方与乙方签署的，合同格式中载明的甲方与乙方所达成的协议，包括所有的附件、附录和构成合同的所有文件。</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2、“服务”系指根据合同规定和乙方承诺应承担的义务及相关的后续服务，比如上门服务、24小时受理索赔接报案、限时理赔支付赔款、无偿提供保险知识培训和其他类似的乙方应承担的义务。</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3、“被保险人”系指</w:t>
      </w:r>
      <w:r>
        <w:rPr>
          <w:rFonts w:hint="eastAsia" w:ascii="Calibri" w:hAnsi="Calibri" w:eastAsia="宋体" w:cstheme="minorHAnsi"/>
          <w:color w:val="000000"/>
          <w:kern w:val="24"/>
          <w:sz w:val="24"/>
          <w:szCs w:val="24"/>
          <w:u w:val="single"/>
        </w:rPr>
        <w:t>西安市消防救援支队支队机关及直属单位</w:t>
      </w:r>
      <w:r>
        <w:rPr>
          <w:rFonts w:hint="eastAsia" w:ascii="Calibri" w:hAnsi="Calibri" w:eastAsia="宋体" w:cstheme="minorHAnsi"/>
          <w:color w:val="000000"/>
          <w:kern w:val="24"/>
          <w:sz w:val="24"/>
          <w:szCs w:val="24"/>
        </w:rPr>
        <w:t>。</w:t>
      </w:r>
    </w:p>
    <w:p>
      <w:pPr>
        <w:pStyle w:val="42"/>
        <w:ind w:firstLine="482" w:firstLineChars="200"/>
        <w:rPr>
          <w:rFonts w:ascii="Calibri" w:hAnsi="Calibri" w:eastAsia="宋体" w:cstheme="minorHAnsi"/>
          <w:color w:val="000000"/>
          <w:kern w:val="24"/>
          <w:sz w:val="24"/>
          <w:szCs w:val="24"/>
        </w:rPr>
      </w:pPr>
      <w:r>
        <w:rPr>
          <w:rFonts w:hint="eastAsia" w:ascii="Calibri" w:hAnsi="Calibri" w:eastAsia="宋体" w:cstheme="minorHAnsi"/>
          <w:b/>
          <w:color w:val="000000"/>
          <w:kern w:val="24"/>
          <w:sz w:val="24"/>
          <w:szCs w:val="24"/>
        </w:rPr>
        <w:t>二、合同总金额：</w:t>
      </w:r>
      <w:r>
        <w:rPr>
          <w:rFonts w:hint="eastAsia" w:ascii="Calibri" w:hAnsi="Calibri" w:eastAsia="宋体" w:cstheme="minorHAnsi"/>
          <w:color w:val="000000"/>
          <w:kern w:val="24"/>
        </w:rPr>
        <w:t>____________</w:t>
      </w:r>
      <w:r>
        <w:rPr>
          <w:rFonts w:hint="eastAsia" w:ascii="Calibri" w:hAnsi="Calibri" w:eastAsia="宋体" w:cstheme="minorHAnsi"/>
          <w:b/>
          <w:color w:val="000000"/>
          <w:kern w:val="24"/>
          <w:sz w:val="24"/>
          <w:szCs w:val="24"/>
        </w:rPr>
        <w:t>元</w:t>
      </w:r>
      <w:r>
        <w:rPr>
          <w:rFonts w:hint="eastAsia" w:ascii="Calibri" w:hAnsi="Calibri" w:eastAsia="宋体" w:cstheme="minorHAnsi"/>
          <w:color w:val="000000"/>
          <w:kern w:val="24"/>
          <w:sz w:val="24"/>
          <w:szCs w:val="24"/>
        </w:rPr>
        <w:t>（中标自主定价系数为（大写）：</w:t>
      </w:r>
      <w:r>
        <w:rPr>
          <w:rFonts w:hint="eastAsia" w:ascii="Calibri" w:hAnsi="Calibri" w:eastAsia="宋体" w:cstheme="minorHAnsi"/>
          <w:color w:val="000000"/>
          <w:kern w:val="24"/>
        </w:rPr>
        <w:t>________</w:t>
      </w:r>
      <w:r>
        <w:rPr>
          <w:rFonts w:hint="eastAsia" w:ascii="Calibri" w:hAnsi="Calibri" w:eastAsia="宋体" w:cstheme="minorHAnsi"/>
          <w:color w:val="000000"/>
          <w:kern w:val="24"/>
          <w:sz w:val="24"/>
          <w:szCs w:val="24"/>
        </w:rPr>
        <w:t>(</w:t>
      </w:r>
      <w:r>
        <w:rPr>
          <w:rFonts w:hint="eastAsia" w:ascii="Calibri" w:hAnsi="Calibri" w:eastAsia="宋体" w:cstheme="minorHAnsi"/>
          <w:color w:val="000000"/>
          <w:kern w:val="24"/>
        </w:rPr>
        <w:t>________</w:t>
      </w:r>
      <w:r>
        <w:rPr>
          <w:rFonts w:hint="eastAsia" w:ascii="Calibri" w:hAnsi="Calibri" w:eastAsia="宋体" w:cstheme="minorHAnsi"/>
          <w:color w:val="000000"/>
          <w:kern w:val="24"/>
          <w:sz w:val="24"/>
          <w:szCs w:val="24"/>
        </w:rPr>
        <w:t>)）包含保险费、税费等完成本合同所需要的全部费用。</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三、服务范围、保险期限</w:t>
      </w:r>
    </w:p>
    <w:p>
      <w:pPr>
        <w:pStyle w:val="42"/>
        <w:ind w:firstLine="480" w:firstLineChars="200"/>
        <w:jc w:val="both"/>
      </w:pPr>
      <w:r>
        <w:rPr>
          <w:rFonts w:hint="eastAsia" w:ascii="Calibri" w:hAnsi="Calibri" w:eastAsia="宋体" w:cstheme="minorHAnsi"/>
          <w:color w:val="000000"/>
          <w:kern w:val="24"/>
          <w:sz w:val="24"/>
          <w:szCs w:val="24"/>
        </w:rPr>
        <w:t>1、</w:t>
      </w:r>
      <w:r>
        <w:rPr>
          <w:rFonts w:hint="eastAsia" w:asciiTheme="minorHAnsi" w:hAnsiTheme="minorHAnsi" w:eastAsiaTheme="minorEastAsia"/>
          <w:sz w:val="24"/>
          <w:szCs w:val="24"/>
        </w:rPr>
        <w:t>1．拟投保机动车数量及主要信息：</w:t>
      </w:r>
    </w:p>
    <w:p>
      <w:pPr>
        <w:pStyle w:val="11"/>
        <w:keepNext/>
        <w:jc w:val="cente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机动车种类分类表</w:t>
      </w:r>
    </w:p>
    <w:tbl>
      <w:tblPr>
        <w:tblStyle w:val="26"/>
        <w:tblW w:w="90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82"/>
        <w:gridCol w:w="5154"/>
        <w:gridCol w:w="242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82"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仿宋_GB2312"/>
                <w:b/>
                <w:sz w:val="21"/>
                <w:szCs w:val="32"/>
              </w:rPr>
            </w:pPr>
            <w:r>
              <w:rPr>
                <w:rFonts w:hint="eastAsia" w:ascii="Calibri" w:hAnsi="宋体" w:eastAsia="宋体" w:cs="仿宋_GB2312"/>
                <w:b/>
                <w:sz w:val="21"/>
                <w:szCs w:val="32"/>
              </w:rPr>
              <w:t>序号</w:t>
            </w:r>
          </w:p>
        </w:tc>
        <w:tc>
          <w:tcPr>
            <w:tcW w:w="515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仿宋_GB2312"/>
                <w:b/>
                <w:sz w:val="21"/>
                <w:szCs w:val="32"/>
              </w:rPr>
            </w:pPr>
            <w:r>
              <w:rPr>
                <w:rFonts w:hint="eastAsia" w:ascii="Calibri" w:hAnsi="宋体" w:eastAsia="宋体" w:cs="仿宋_GB2312"/>
                <w:b/>
                <w:sz w:val="21"/>
                <w:szCs w:val="32"/>
              </w:rPr>
              <w:t>机动车种类</w:t>
            </w:r>
          </w:p>
        </w:tc>
        <w:tc>
          <w:tcPr>
            <w:tcW w:w="242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仿宋_GB2312"/>
                <w:b/>
                <w:sz w:val="21"/>
                <w:szCs w:val="32"/>
              </w:rPr>
            </w:pPr>
            <w:r>
              <w:rPr>
                <w:rFonts w:hint="eastAsia" w:ascii="Calibri" w:hAnsi="宋体" w:eastAsia="宋体" w:cs="仿宋_GB2312"/>
                <w:b/>
                <w:sz w:val="21"/>
                <w:szCs w:val="32"/>
              </w:rPr>
              <w:t>数量（辆）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82" w:type="dxa"/>
            <w:tcBorders>
              <w:top w:val="single" w:color="auto" w:sz="2" w:space="0"/>
            </w:tcBorders>
            <w:shd w:val="clear" w:color="auto" w:fill="auto"/>
            <w:vAlign w:val="center"/>
          </w:tcPr>
          <w:p>
            <w:pPr>
              <w:spacing w:line="320" w:lineRule="exact"/>
              <w:jc w:val="center"/>
              <w:rPr>
                <w:rFonts w:ascii="Calibri" w:hAnsi="宋体" w:eastAsia="宋体" w:cs="仿宋_GB2312"/>
                <w:sz w:val="21"/>
                <w:szCs w:val="32"/>
              </w:rPr>
            </w:pPr>
            <w:r>
              <w:rPr>
                <w:rFonts w:hint="eastAsia" w:ascii="Calibri" w:hAnsi="宋体" w:eastAsia="宋体" w:cs="仿宋_GB2312"/>
                <w:sz w:val="21"/>
                <w:szCs w:val="32"/>
              </w:rPr>
              <w:t>1</w:t>
            </w:r>
          </w:p>
        </w:tc>
        <w:tc>
          <w:tcPr>
            <w:tcW w:w="5154" w:type="dxa"/>
            <w:tcBorders>
              <w:top w:val="single" w:color="auto" w:sz="2" w:space="0"/>
            </w:tcBorders>
            <w:shd w:val="clear" w:color="auto" w:fill="auto"/>
            <w:vAlign w:val="center"/>
          </w:tcPr>
          <w:p>
            <w:pPr>
              <w:spacing w:line="320" w:lineRule="exact"/>
              <w:jc w:val="both"/>
              <w:rPr>
                <w:rFonts w:ascii="Calibri" w:hAnsi="宋体" w:eastAsia="宋体" w:cs="仿宋_GB2312"/>
                <w:sz w:val="21"/>
                <w:szCs w:val="32"/>
              </w:rPr>
            </w:pPr>
          </w:p>
        </w:tc>
        <w:tc>
          <w:tcPr>
            <w:tcW w:w="2421" w:type="dxa"/>
            <w:tcBorders>
              <w:top w:val="single" w:color="auto" w:sz="2" w:space="0"/>
            </w:tcBorders>
            <w:shd w:val="clear" w:color="auto" w:fill="auto"/>
            <w:vAlign w:val="center"/>
          </w:tcPr>
          <w:p>
            <w:pPr>
              <w:spacing w:line="320" w:lineRule="exact"/>
              <w:jc w:val="both"/>
              <w:rPr>
                <w:rFonts w:ascii="Calibri" w:hAnsi="宋体" w:eastAsia="宋体" w:cs="仿宋_GB2312"/>
                <w:sz w:val="21"/>
                <w:szCs w:val="3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82" w:type="dxa"/>
            <w:shd w:val="clear" w:color="auto" w:fill="auto"/>
            <w:vAlign w:val="center"/>
          </w:tcPr>
          <w:p>
            <w:pPr>
              <w:spacing w:line="320" w:lineRule="exact"/>
              <w:jc w:val="center"/>
              <w:rPr>
                <w:rFonts w:ascii="Calibri" w:hAnsi="宋体" w:eastAsia="宋体" w:cs="仿宋_GB2312"/>
                <w:sz w:val="21"/>
                <w:szCs w:val="32"/>
              </w:rPr>
            </w:pPr>
            <w:r>
              <w:rPr>
                <w:rFonts w:hint="eastAsia" w:ascii="Calibri" w:hAnsi="宋体" w:eastAsia="宋体" w:cs="仿宋_GB2312"/>
                <w:sz w:val="21"/>
                <w:szCs w:val="32"/>
              </w:rPr>
              <w:t>2</w:t>
            </w:r>
          </w:p>
        </w:tc>
        <w:tc>
          <w:tcPr>
            <w:tcW w:w="5154" w:type="dxa"/>
            <w:shd w:val="clear" w:color="auto" w:fill="auto"/>
            <w:vAlign w:val="center"/>
          </w:tcPr>
          <w:p>
            <w:pPr>
              <w:spacing w:line="320" w:lineRule="exact"/>
              <w:jc w:val="both"/>
              <w:rPr>
                <w:rFonts w:ascii="Calibri" w:hAnsi="宋体" w:eastAsia="宋体" w:cs="仿宋_GB2312"/>
                <w:sz w:val="21"/>
                <w:szCs w:val="32"/>
              </w:rPr>
            </w:pPr>
          </w:p>
        </w:tc>
        <w:tc>
          <w:tcPr>
            <w:tcW w:w="2421" w:type="dxa"/>
            <w:shd w:val="clear" w:color="auto" w:fill="auto"/>
            <w:vAlign w:val="center"/>
          </w:tcPr>
          <w:p>
            <w:pPr>
              <w:spacing w:line="320" w:lineRule="exact"/>
              <w:jc w:val="both"/>
              <w:rPr>
                <w:rFonts w:ascii="Calibri" w:hAnsi="宋体" w:eastAsia="宋体" w:cs="仿宋_GB2312"/>
                <w:sz w:val="21"/>
                <w:szCs w:val="3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82" w:type="dxa"/>
            <w:shd w:val="clear" w:color="auto" w:fill="auto"/>
            <w:vAlign w:val="center"/>
          </w:tcPr>
          <w:p>
            <w:pPr>
              <w:spacing w:line="320" w:lineRule="exact"/>
              <w:jc w:val="center"/>
              <w:rPr>
                <w:rFonts w:ascii="Calibri" w:hAnsi="宋体" w:eastAsia="宋体" w:cs="仿宋_GB2312"/>
                <w:sz w:val="21"/>
                <w:szCs w:val="32"/>
              </w:rPr>
            </w:pPr>
            <w:r>
              <w:rPr>
                <w:rFonts w:hint="eastAsia" w:ascii="Calibri" w:hAnsi="宋体" w:eastAsia="宋体" w:cs="仿宋_GB2312"/>
                <w:sz w:val="21"/>
                <w:szCs w:val="32"/>
              </w:rPr>
              <w:t>3</w:t>
            </w:r>
          </w:p>
        </w:tc>
        <w:tc>
          <w:tcPr>
            <w:tcW w:w="5154" w:type="dxa"/>
            <w:shd w:val="clear" w:color="auto" w:fill="auto"/>
            <w:vAlign w:val="center"/>
          </w:tcPr>
          <w:p>
            <w:pPr>
              <w:spacing w:line="320" w:lineRule="exact"/>
              <w:jc w:val="both"/>
              <w:rPr>
                <w:rFonts w:ascii="Calibri" w:hAnsi="宋体" w:eastAsia="宋体" w:cs="仿宋_GB2312"/>
                <w:sz w:val="21"/>
                <w:szCs w:val="32"/>
              </w:rPr>
            </w:pPr>
          </w:p>
        </w:tc>
        <w:tc>
          <w:tcPr>
            <w:tcW w:w="2421" w:type="dxa"/>
            <w:shd w:val="clear" w:color="auto" w:fill="auto"/>
            <w:vAlign w:val="center"/>
          </w:tcPr>
          <w:p>
            <w:pPr>
              <w:spacing w:line="320" w:lineRule="exact"/>
              <w:jc w:val="both"/>
              <w:rPr>
                <w:rFonts w:ascii="Calibri" w:hAnsi="宋体" w:eastAsia="宋体" w:cs="仿宋_GB2312"/>
                <w:sz w:val="21"/>
                <w:szCs w:val="3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482" w:type="dxa"/>
            <w:shd w:val="clear" w:color="auto" w:fill="auto"/>
            <w:vAlign w:val="center"/>
          </w:tcPr>
          <w:p>
            <w:pPr>
              <w:spacing w:line="320" w:lineRule="exact"/>
              <w:jc w:val="center"/>
              <w:rPr>
                <w:rFonts w:ascii="Calibri" w:hAnsi="宋体" w:eastAsia="宋体" w:cs="仿宋_GB2312"/>
                <w:sz w:val="21"/>
                <w:szCs w:val="32"/>
              </w:rPr>
            </w:pPr>
            <w:r>
              <w:rPr>
                <w:rFonts w:hint="eastAsia" w:ascii="Calibri" w:hAnsi="宋体" w:eastAsia="宋体" w:cs="仿宋_GB2312"/>
                <w:sz w:val="21"/>
                <w:szCs w:val="32"/>
              </w:rPr>
              <w:t>……</w:t>
            </w:r>
          </w:p>
        </w:tc>
        <w:tc>
          <w:tcPr>
            <w:tcW w:w="5154" w:type="dxa"/>
            <w:shd w:val="clear" w:color="auto" w:fill="auto"/>
            <w:vAlign w:val="center"/>
          </w:tcPr>
          <w:p>
            <w:pPr>
              <w:spacing w:line="320" w:lineRule="exact"/>
              <w:jc w:val="both"/>
              <w:rPr>
                <w:rFonts w:ascii="Calibri" w:hAnsi="宋体" w:eastAsia="宋体" w:cs="仿宋_GB2312"/>
                <w:sz w:val="21"/>
                <w:szCs w:val="32"/>
              </w:rPr>
            </w:pPr>
          </w:p>
        </w:tc>
        <w:tc>
          <w:tcPr>
            <w:tcW w:w="2421" w:type="dxa"/>
            <w:shd w:val="clear" w:color="auto" w:fill="auto"/>
            <w:vAlign w:val="center"/>
          </w:tcPr>
          <w:p>
            <w:pPr>
              <w:keepNext/>
              <w:spacing w:line="320" w:lineRule="exact"/>
              <w:jc w:val="both"/>
              <w:rPr>
                <w:rFonts w:ascii="Calibri" w:hAnsi="宋体" w:eastAsia="宋体" w:cs="仿宋_GB2312"/>
                <w:sz w:val="21"/>
                <w:szCs w:val="32"/>
              </w:rPr>
            </w:pPr>
          </w:p>
        </w:tc>
      </w:tr>
    </w:tbl>
    <w:p/>
    <w:p>
      <w:pPr>
        <w:pStyle w:val="11"/>
        <w:keepNext/>
        <w:jc w:val="cente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t xml:space="preserve"> 机动车明细表</w:t>
      </w:r>
    </w:p>
    <w:tbl>
      <w:tblPr>
        <w:tblStyle w:val="26"/>
        <w:tblW w:w="904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27"/>
        <w:gridCol w:w="2260"/>
        <w:gridCol w:w="8"/>
        <w:gridCol w:w="1783"/>
        <w:gridCol w:w="1450"/>
        <w:gridCol w:w="24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2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仿宋_GB2312"/>
                <w:b/>
                <w:sz w:val="21"/>
                <w:szCs w:val="32"/>
              </w:rPr>
            </w:pPr>
            <w:r>
              <w:rPr>
                <w:rFonts w:hint="eastAsia" w:ascii="Calibri" w:hAnsi="宋体" w:eastAsia="宋体" w:cs="仿宋_GB2312"/>
                <w:b/>
                <w:sz w:val="21"/>
                <w:szCs w:val="32"/>
              </w:rPr>
              <w:t>序号</w:t>
            </w:r>
          </w:p>
        </w:tc>
        <w:tc>
          <w:tcPr>
            <w:tcW w:w="2268"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仿宋_GB2312"/>
                <w:b/>
                <w:sz w:val="21"/>
                <w:szCs w:val="32"/>
              </w:rPr>
            </w:pPr>
            <w:r>
              <w:rPr>
                <w:rFonts w:hint="eastAsia" w:ascii="Calibri" w:hAnsi="宋体" w:eastAsia="宋体" w:cs="仿宋_GB2312"/>
                <w:b/>
                <w:sz w:val="21"/>
                <w:szCs w:val="32"/>
              </w:rPr>
              <w:t>机动车种类</w:t>
            </w:r>
          </w:p>
        </w:tc>
        <w:tc>
          <w:tcPr>
            <w:tcW w:w="178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仿宋_GB2312"/>
                <w:b/>
                <w:sz w:val="21"/>
                <w:szCs w:val="32"/>
              </w:rPr>
            </w:pPr>
            <w:r>
              <w:rPr>
                <w:rFonts w:hint="eastAsia" w:ascii="Calibri" w:hAnsi="宋体" w:eastAsia="宋体" w:cs="仿宋_GB2312"/>
                <w:b/>
                <w:sz w:val="21"/>
                <w:szCs w:val="32"/>
              </w:rPr>
              <w:t>品牌型号</w:t>
            </w:r>
          </w:p>
        </w:tc>
        <w:tc>
          <w:tcPr>
            <w:tcW w:w="145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仿宋_GB2312"/>
                <w:b/>
                <w:sz w:val="21"/>
                <w:szCs w:val="32"/>
              </w:rPr>
            </w:pPr>
            <w:r>
              <w:rPr>
                <w:rFonts w:hint="eastAsia" w:ascii="Calibri" w:hAnsi="宋体" w:eastAsia="宋体" w:cs="仿宋_GB2312"/>
                <w:b/>
                <w:sz w:val="21"/>
                <w:szCs w:val="32"/>
              </w:rPr>
              <w:t>车牌号</w:t>
            </w:r>
          </w:p>
        </w:tc>
        <w:tc>
          <w:tcPr>
            <w:tcW w:w="241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仿宋_GB2312"/>
                <w:b/>
                <w:sz w:val="21"/>
                <w:szCs w:val="32"/>
              </w:rPr>
            </w:pPr>
            <w:r>
              <w:rPr>
                <w:rFonts w:hint="eastAsia" w:ascii="Calibri" w:hAnsi="宋体" w:eastAsia="宋体" w:cs="仿宋_GB2312"/>
                <w:b/>
                <w:sz w:val="21"/>
                <w:szCs w:val="32"/>
              </w:rPr>
              <w:t>车架号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27" w:type="dxa"/>
            <w:tcBorders>
              <w:top w:val="single" w:color="auto" w:sz="2" w:space="0"/>
            </w:tcBorders>
            <w:shd w:val="clear" w:color="auto" w:fill="auto"/>
            <w:vAlign w:val="center"/>
          </w:tcPr>
          <w:p>
            <w:pPr>
              <w:spacing w:line="320" w:lineRule="exact"/>
              <w:jc w:val="center"/>
              <w:rPr>
                <w:rFonts w:ascii="Calibri" w:hAnsi="宋体" w:eastAsia="宋体" w:cs="仿宋_GB2312"/>
                <w:sz w:val="21"/>
                <w:szCs w:val="32"/>
              </w:rPr>
            </w:pPr>
            <w:r>
              <w:rPr>
                <w:rFonts w:hint="eastAsia" w:ascii="Calibri" w:hAnsi="宋体" w:eastAsia="宋体" w:cs="仿宋_GB2312"/>
                <w:sz w:val="21"/>
                <w:szCs w:val="32"/>
              </w:rPr>
              <w:t>1</w:t>
            </w:r>
          </w:p>
        </w:tc>
        <w:tc>
          <w:tcPr>
            <w:tcW w:w="2268" w:type="dxa"/>
            <w:gridSpan w:val="2"/>
            <w:tcBorders>
              <w:top w:val="single" w:color="auto" w:sz="2" w:space="0"/>
            </w:tcBorders>
            <w:shd w:val="clear" w:color="auto" w:fill="auto"/>
            <w:vAlign w:val="center"/>
          </w:tcPr>
          <w:p>
            <w:pPr>
              <w:spacing w:line="320" w:lineRule="exact"/>
              <w:jc w:val="both"/>
              <w:rPr>
                <w:rFonts w:ascii="Calibri" w:hAnsi="宋体" w:eastAsia="宋体" w:cs="仿宋_GB2312"/>
                <w:sz w:val="21"/>
                <w:szCs w:val="32"/>
              </w:rPr>
            </w:pPr>
          </w:p>
        </w:tc>
        <w:tc>
          <w:tcPr>
            <w:tcW w:w="1783" w:type="dxa"/>
            <w:tcBorders>
              <w:top w:val="single" w:color="auto" w:sz="2" w:space="0"/>
            </w:tcBorders>
            <w:shd w:val="clear" w:color="auto" w:fill="auto"/>
            <w:vAlign w:val="center"/>
          </w:tcPr>
          <w:p>
            <w:pPr>
              <w:spacing w:line="320" w:lineRule="exact"/>
              <w:jc w:val="both"/>
              <w:rPr>
                <w:rFonts w:ascii="Calibri" w:hAnsi="宋体" w:eastAsia="宋体" w:cs="仿宋_GB2312"/>
                <w:sz w:val="21"/>
                <w:szCs w:val="32"/>
              </w:rPr>
            </w:pPr>
          </w:p>
        </w:tc>
        <w:tc>
          <w:tcPr>
            <w:tcW w:w="1450" w:type="dxa"/>
            <w:tcBorders>
              <w:top w:val="single" w:color="auto" w:sz="2" w:space="0"/>
            </w:tcBorders>
            <w:shd w:val="clear" w:color="auto" w:fill="auto"/>
            <w:vAlign w:val="center"/>
          </w:tcPr>
          <w:p>
            <w:pPr>
              <w:spacing w:line="320" w:lineRule="exact"/>
              <w:jc w:val="both"/>
              <w:rPr>
                <w:rFonts w:ascii="Calibri" w:hAnsi="宋体" w:eastAsia="宋体" w:cs="仿宋_GB2312"/>
                <w:sz w:val="21"/>
                <w:szCs w:val="32"/>
              </w:rPr>
            </w:pPr>
          </w:p>
        </w:tc>
        <w:tc>
          <w:tcPr>
            <w:tcW w:w="2413" w:type="dxa"/>
            <w:tcBorders>
              <w:top w:val="single" w:color="auto" w:sz="2" w:space="0"/>
            </w:tcBorders>
            <w:shd w:val="clear" w:color="auto" w:fill="auto"/>
            <w:vAlign w:val="center"/>
          </w:tcPr>
          <w:p>
            <w:pPr>
              <w:spacing w:line="320" w:lineRule="exact"/>
              <w:jc w:val="both"/>
              <w:rPr>
                <w:rFonts w:ascii="Calibri" w:hAnsi="宋体" w:eastAsia="宋体" w:cs="仿宋_GB2312"/>
                <w:sz w:val="21"/>
                <w:szCs w:val="3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27" w:type="dxa"/>
            <w:shd w:val="clear" w:color="auto" w:fill="auto"/>
            <w:vAlign w:val="center"/>
          </w:tcPr>
          <w:p>
            <w:pPr>
              <w:spacing w:line="320" w:lineRule="exact"/>
              <w:jc w:val="center"/>
              <w:rPr>
                <w:rFonts w:ascii="Calibri" w:hAnsi="宋体" w:eastAsia="宋体" w:cs="仿宋_GB2312"/>
                <w:sz w:val="21"/>
                <w:szCs w:val="32"/>
              </w:rPr>
            </w:pPr>
            <w:r>
              <w:rPr>
                <w:rFonts w:hint="eastAsia" w:ascii="Calibri" w:hAnsi="宋体" w:eastAsia="宋体" w:cs="仿宋_GB2312"/>
                <w:sz w:val="21"/>
                <w:szCs w:val="32"/>
              </w:rPr>
              <w:t>2</w:t>
            </w:r>
          </w:p>
        </w:tc>
        <w:tc>
          <w:tcPr>
            <w:tcW w:w="2268" w:type="dxa"/>
            <w:gridSpan w:val="2"/>
            <w:shd w:val="clear" w:color="auto" w:fill="auto"/>
            <w:vAlign w:val="center"/>
          </w:tcPr>
          <w:p>
            <w:pPr>
              <w:spacing w:line="320" w:lineRule="exact"/>
              <w:jc w:val="both"/>
              <w:rPr>
                <w:rFonts w:ascii="Calibri" w:hAnsi="宋体" w:eastAsia="宋体" w:cs="仿宋_GB2312"/>
                <w:sz w:val="21"/>
                <w:szCs w:val="32"/>
              </w:rPr>
            </w:pPr>
          </w:p>
        </w:tc>
        <w:tc>
          <w:tcPr>
            <w:tcW w:w="1783" w:type="dxa"/>
            <w:shd w:val="clear" w:color="auto" w:fill="auto"/>
            <w:vAlign w:val="center"/>
          </w:tcPr>
          <w:p>
            <w:pPr>
              <w:spacing w:line="320" w:lineRule="exact"/>
              <w:jc w:val="both"/>
              <w:rPr>
                <w:rFonts w:ascii="Calibri" w:hAnsi="宋体" w:eastAsia="宋体" w:cs="仿宋_GB2312"/>
                <w:sz w:val="21"/>
                <w:szCs w:val="32"/>
              </w:rPr>
            </w:pPr>
          </w:p>
        </w:tc>
        <w:tc>
          <w:tcPr>
            <w:tcW w:w="1450" w:type="dxa"/>
            <w:shd w:val="clear" w:color="auto" w:fill="auto"/>
            <w:vAlign w:val="center"/>
          </w:tcPr>
          <w:p>
            <w:pPr>
              <w:spacing w:line="320" w:lineRule="exact"/>
              <w:jc w:val="both"/>
              <w:rPr>
                <w:rFonts w:ascii="Calibri" w:hAnsi="宋体" w:eastAsia="宋体" w:cs="仿宋_GB2312"/>
                <w:sz w:val="21"/>
                <w:szCs w:val="32"/>
              </w:rPr>
            </w:pPr>
          </w:p>
        </w:tc>
        <w:tc>
          <w:tcPr>
            <w:tcW w:w="2413" w:type="dxa"/>
            <w:shd w:val="clear" w:color="auto" w:fill="auto"/>
            <w:vAlign w:val="center"/>
          </w:tcPr>
          <w:p>
            <w:pPr>
              <w:spacing w:line="320" w:lineRule="exact"/>
              <w:jc w:val="both"/>
              <w:rPr>
                <w:rFonts w:ascii="Calibri" w:hAnsi="宋体" w:eastAsia="宋体" w:cs="仿宋_GB2312"/>
                <w:sz w:val="21"/>
                <w:szCs w:val="3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27" w:type="dxa"/>
            <w:shd w:val="clear" w:color="auto" w:fill="auto"/>
            <w:vAlign w:val="center"/>
          </w:tcPr>
          <w:p>
            <w:pPr>
              <w:spacing w:line="320" w:lineRule="exact"/>
              <w:jc w:val="center"/>
              <w:rPr>
                <w:rFonts w:ascii="Calibri" w:hAnsi="宋体" w:eastAsia="宋体" w:cs="仿宋_GB2312"/>
                <w:sz w:val="21"/>
                <w:szCs w:val="32"/>
              </w:rPr>
            </w:pPr>
            <w:r>
              <w:rPr>
                <w:rFonts w:hint="eastAsia" w:ascii="Calibri" w:hAnsi="宋体" w:eastAsia="宋体" w:cs="仿宋_GB2312"/>
                <w:sz w:val="21"/>
                <w:szCs w:val="32"/>
              </w:rPr>
              <w:t>3</w:t>
            </w:r>
          </w:p>
        </w:tc>
        <w:tc>
          <w:tcPr>
            <w:tcW w:w="2268" w:type="dxa"/>
            <w:gridSpan w:val="2"/>
            <w:shd w:val="clear" w:color="auto" w:fill="auto"/>
            <w:vAlign w:val="center"/>
          </w:tcPr>
          <w:p>
            <w:pPr>
              <w:spacing w:line="320" w:lineRule="exact"/>
              <w:jc w:val="both"/>
              <w:rPr>
                <w:rFonts w:ascii="Calibri" w:hAnsi="宋体" w:eastAsia="宋体" w:cs="仿宋_GB2312"/>
                <w:sz w:val="21"/>
                <w:szCs w:val="32"/>
              </w:rPr>
            </w:pPr>
          </w:p>
        </w:tc>
        <w:tc>
          <w:tcPr>
            <w:tcW w:w="1783" w:type="dxa"/>
            <w:shd w:val="clear" w:color="auto" w:fill="auto"/>
            <w:vAlign w:val="center"/>
          </w:tcPr>
          <w:p>
            <w:pPr>
              <w:spacing w:line="320" w:lineRule="exact"/>
              <w:jc w:val="both"/>
              <w:rPr>
                <w:rFonts w:ascii="Calibri" w:hAnsi="宋体" w:eastAsia="宋体" w:cs="仿宋_GB2312"/>
                <w:sz w:val="21"/>
                <w:szCs w:val="32"/>
              </w:rPr>
            </w:pPr>
          </w:p>
        </w:tc>
        <w:tc>
          <w:tcPr>
            <w:tcW w:w="1450" w:type="dxa"/>
            <w:shd w:val="clear" w:color="auto" w:fill="auto"/>
            <w:vAlign w:val="center"/>
          </w:tcPr>
          <w:p>
            <w:pPr>
              <w:spacing w:line="320" w:lineRule="exact"/>
              <w:jc w:val="both"/>
              <w:rPr>
                <w:rFonts w:ascii="Calibri" w:hAnsi="宋体" w:eastAsia="宋体" w:cs="仿宋_GB2312"/>
                <w:sz w:val="21"/>
                <w:szCs w:val="32"/>
              </w:rPr>
            </w:pPr>
          </w:p>
        </w:tc>
        <w:tc>
          <w:tcPr>
            <w:tcW w:w="2413" w:type="dxa"/>
            <w:shd w:val="clear" w:color="auto" w:fill="auto"/>
            <w:vAlign w:val="center"/>
          </w:tcPr>
          <w:p>
            <w:pPr>
              <w:spacing w:line="320" w:lineRule="exact"/>
              <w:jc w:val="both"/>
              <w:rPr>
                <w:rFonts w:ascii="Calibri" w:hAnsi="宋体" w:eastAsia="宋体" w:cs="仿宋_GB2312"/>
                <w:sz w:val="21"/>
                <w:szCs w:val="3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27" w:type="dxa"/>
            <w:shd w:val="clear" w:color="auto" w:fill="auto"/>
            <w:vAlign w:val="center"/>
          </w:tcPr>
          <w:p>
            <w:pPr>
              <w:spacing w:line="320" w:lineRule="exact"/>
              <w:jc w:val="center"/>
              <w:rPr>
                <w:rFonts w:ascii="Calibri" w:hAnsi="宋体" w:eastAsia="宋体" w:cs="仿宋_GB2312"/>
                <w:sz w:val="21"/>
                <w:szCs w:val="32"/>
              </w:rPr>
            </w:pPr>
            <w:r>
              <w:rPr>
                <w:rFonts w:hint="eastAsia" w:ascii="Calibri" w:hAnsi="宋体" w:eastAsia="宋体" w:cs="仿宋_GB2312"/>
                <w:sz w:val="21"/>
                <w:szCs w:val="32"/>
              </w:rPr>
              <w:t>……</w:t>
            </w:r>
          </w:p>
        </w:tc>
        <w:tc>
          <w:tcPr>
            <w:tcW w:w="2268" w:type="dxa"/>
            <w:gridSpan w:val="2"/>
            <w:shd w:val="clear" w:color="auto" w:fill="auto"/>
            <w:vAlign w:val="center"/>
          </w:tcPr>
          <w:p>
            <w:pPr>
              <w:spacing w:line="320" w:lineRule="exact"/>
              <w:jc w:val="both"/>
              <w:rPr>
                <w:rFonts w:ascii="Calibri" w:hAnsi="宋体" w:eastAsia="宋体" w:cs="仿宋_GB2312"/>
                <w:sz w:val="21"/>
                <w:szCs w:val="32"/>
              </w:rPr>
            </w:pPr>
          </w:p>
        </w:tc>
        <w:tc>
          <w:tcPr>
            <w:tcW w:w="1783" w:type="dxa"/>
            <w:shd w:val="clear" w:color="auto" w:fill="auto"/>
            <w:vAlign w:val="center"/>
          </w:tcPr>
          <w:p>
            <w:pPr>
              <w:spacing w:line="320" w:lineRule="exact"/>
              <w:jc w:val="both"/>
              <w:rPr>
                <w:rFonts w:ascii="Calibri" w:hAnsi="宋体" w:eastAsia="宋体" w:cs="仿宋_GB2312"/>
                <w:sz w:val="21"/>
                <w:szCs w:val="32"/>
              </w:rPr>
            </w:pPr>
          </w:p>
        </w:tc>
        <w:tc>
          <w:tcPr>
            <w:tcW w:w="1450" w:type="dxa"/>
            <w:shd w:val="clear" w:color="auto" w:fill="auto"/>
            <w:vAlign w:val="center"/>
          </w:tcPr>
          <w:p>
            <w:pPr>
              <w:spacing w:line="320" w:lineRule="exact"/>
              <w:jc w:val="both"/>
              <w:rPr>
                <w:rFonts w:ascii="Calibri" w:hAnsi="宋体" w:eastAsia="宋体" w:cs="仿宋_GB2312"/>
                <w:sz w:val="21"/>
                <w:szCs w:val="32"/>
              </w:rPr>
            </w:pPr>
          </w:p>
        </w:tc>
        <w:tc>
          <w:tcPr>
            <w:tcW w:w="2413" w:type="dxa"/>
            <w:shd w:val="clear" w:color="auto" w:fill="auto"/>
            <w:vAlign w:val="center"/>
          </w:tcPr>
          <w:p>
            <w:pPr>
              <w:spacing w:line="320" w:lineRule="exact"/>
              <w:jc w:val="both"/>
              <w:rPr>
                <w:rFonts w:ascii="Calibri" w:hAnsi="宋体" w:eastAsia="宋体" w:cs="仿宋_GB2312"/>
                <w:sz w:val="21"/>
                <w:szCs w:val="3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387" w:type="dxa"/>
            <w:gridSpan w:val="2"/>
            <w:shd w:val="clear" w:color="auto" w:fill="auto"/>
            <w:vAlign w:val="center"/>
          </w:tcPr>
          <w:p>
            <w:pPr>
              <w:spacing w:line="320" w:lineRule="exact"/>
              <w:jc w:val="center"/>
              <w:rPr>
                <w:rFonts w:ascii="Calibri" w:hAnsi="宋体" w:eastAsia="宋体" w:cs="仿宋_GB2312"/>
                <w:sz w:val="21"/>
                <w:szCs w:val="32"/>
              </w:rPr>
            </w:pPr>
            <w:r>
              <w:rPr>
                <w:rFonts w:hint="eastAsia" w:ascii="Calibri" w:hAnsi="宋体" w:eastAsia="宋体" w:cs="仿宋_GB2312"/>
                <w:sz w:val="21"/>
                <w:szCs w:val="32"/>
              </w:rPr>
              <w:t>合计数量（辆）</w:t>
            </w:r>
          </w:p>
        </w:tc>
        <w:tc>
          <w:tcPr>
            <w:tcW w:w="5654" w:type="dxa"/>
            <w:gridSpan w:val="4"/>
            <w:shd w:val="clear" w:color="auto" w:fill="auto"/>
            <w:vAlign w:val="center"/>
          </w:tcPr>
          <w:p>
            <w:pPr>
              <w:spacing w:line="320" w:lineRule="exact"/>
              <w:jc w:val="both"/>
              <w:rPr>
                <w:rFonts w:ascii="Calibri" w:hAnsi="宋体" w:eastAsia="宋体" w:cs="仿宋_GB2312"/>
                <w:sz w:val="21"/>
                <w:szCs w:val="32"/>
              </w:rPr>
            </w:pPr>
          </w:p>
        </w:tc>
      </w:tr>
    </w:tbl>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2、本合同的期限：1年，自</w:t>
      </w:r>
      <w:r>
        <w:rPr>
          <w:rFonts w:hint="eastAsia" w:ascii="Calibri" w:hAnsi="Calibri" w:eastAsia="宋体" w:cstheme="minorHAnsi"/>
          <w:color w:val="000000"/>
          <w:kern w:val="24"/>
        </w:rPr>
        <w:t>___</w:t>
      </w:r>
      <w:r>
        <w:rPr>
          <w:rFonts w:hint="eastAsia" w:ascii="Calibri" w:hAnsi="Calibri" w:eastAsia="宋体" w:cstheme="minorHAnsi"/>
          <w:color w:val="000000"/>
          <w:kern w:val="24"/>
          <w:sz w:val="24"/>
          <w:szCs w:val="24"/>
        </w:rPr>
        <w:t>年</w:t>
      </w:r>
      <w:r>
        <w:rPr>
          <w:rFonts w:hint="eastAsia" w:ascii="Calibri" w:hAnsi="Calibri" w:eastAsia="宋体" w:cstheme="minorHAnsi"/>
          <w:color w:val="000000"/>
          <w:kern w:val="24"/>
        </w:rPr>
        <w:t>___</w:t>
      </w:r>
      <w:r>
        <w:rPr>
          <w:rFonts w:hint="eastAsia" w:ascii="Calibri" w:hAnsi="Calibri" w:eastAsia="宋体" w:cstheme="minorHAnsi"/>
          <w:color w:val="000000"/>
          <w:kern w:val="24"/>
          <w:sz w:val="24"/>
          <w:szCs w:val="24"/>
        </w:rPr>
        <w:t>月</w:t>
      </w:r>
      <w:r>
        <w:rPr>
          <w:rFonts w:hint="eastAsia" w:ascii="Calibri" w:hAnsi="Calibri" w:eastAsia="宋体" w:cstheme="minorHAnsi"/>
          <w:color w:val="000000"/>
          <w:kern w:val="24"/>
        </w:rPr>
        <w:t>___</w:t>
      </w:r>
      <w:r>
        <w:rPr>
          <w:rFonts w:hint="eastAsia" w:ascii="Calibri" w:hAnsi="Calibri" w:eastAsia="宋体" w:cstheme="minorHAnsi"/>
          <w:color w:val="000000"/>
          <w:kern w:val="24"/>
          <w:sz w:val="24"/>
          <w:szCs w:val="24"/>
        </w:rPr>
        <w:t>日零时至</w:t>
      </w:r>
      <w:r>
        <w:rPr>
          <w:rFonts w:hint="eastAsia" w:ascii="Calibri" w:hAnsi="Calibri" w:eastAsia="宋体" w:cstheme="minorHAnsi"/>
          <w:color w:val="000000"/>
          <w:kern w:val="24"/>
        </w:rPr>
        <w:t>___</w:t>
      </w:r>
      <w:r>
        <w:rPr>
          <w:rFonts w:hint="eastAsia" w:ascii="Calibri" w:hAnsi="Calibri" w:eastAsia="宋体" w:cstheme="minorHAnsi"/>
          <w:color w:val="000000"/>
          <w:kern w:val="24"/>
          <w:sz w:val="24"/>
          <w:szCs w:val="24"/>
        </w:rPr>
        <w:t>年</w:t>
      </w:r>
      <w:r>
        <w:rPr>
          <w:rFonts w:hint="eastAsia" w:ascii="Calibri" w:hAnsi="Calibri" w:eastAsia="宋体" w:cstheme="minorHAnsi"/>
          <w:color w:val="000000"/>
          <w:kern w:val="24"/>
        </w:rPr>
        <w:t>___</w:t>
      </w:r>
      <w:r>
        <w:rPr>
          <w:rFonts w:hint="eastAsia" w:ascii="Calibri" w:hAnsi="Calibri" w:eastAsia="宋体" w:cstheme="minorHAnsi"/>
          <w:color w:val="000000"/>
          <w:kern w:val="24"/>
          <w:sz w:val="24"/>
          <w:szCs w:val="24"/>
        </w:rPr>
        <w:t>月</w:t>
      </w:r>
      <w:r>
        <w:rPr>
          <w:rFonts w:hint="eastAsia" w:ascii="Calibri" w:hAnsi="Calibri" w:eastAsia="宋体" w:cstheme="minorHAnsi"/>
          <w:color w:val="000000"/>
          <w:kern w:val="24"/>
        </w:rPr>
        <w:t>___</w:t>
      </w:r>
      <w:r>
        <w:rPr>
          <w:rFonts w:hint="eastAsia" w:ascii="Calibri" w:hAnsi="Calibri" w:eastAsia="宋体" w:cstheme="minorHAnsi"/>
          <w:color w:val="000000"/>
          <w:kern w:val="24"/>
          <w:sz w:val="24"/>
          <w:szCs w:val="24"/>
        </w:rPr>
        <w:t>日24时止（合同签订时明确起止时间）。</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3、在合同有效期内乙方与被保险单位签订的机动车辆保险单，在规定的保险期限内有效。</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四、投保手续</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1、乙方应根据甲方单位的通知，主动上门联系，并派专人负责与各被保险单位按照本合同有关条款及时签订机动车辆保险单。</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2、保险单有效期截止前，乙方应提前与被保险单位联系，提醒到期保险车辆及时继续参加保险。</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乙方与甲方签订保险单后，应将签订的保险清单包括保险车辆品牌型号、车牌号码、发动机号、车架号、投保险种和保险费等项内容按甲方规定的格式进行汇总，并按批次将汇总表及其电子版和保单原件装订成册后报送甲方。</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五、保险条款及费率、费率浮动</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1、乙方遵照中国保险监督管理委员会批准执行的条款和费率，提供服务，并按承诺优惠后的标准计收保险费用。</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w:t>
      </w:r>
      <w:r>
        <w:rPr>
          <w:rFonts w:hint="eastAsia" w:asciiTheme="minorHAnsi" w:hAnsiTheme="minorHAnsi" w:eastAsiaTheme="minorEastAsia"/>
          <w:sz w:val="24"/>
          <w:szCs w:val="24"/>
        </w:rPr>
        <w:t>当国家保险监督管理机构批准调整机动车辆保险条款、费率及调整系数时，乙方应将调整依据和方案在30个工作日内通知甲方。</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六、车辆使用性质和分类的认定</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甲方所有投保车辆的使用性质均为消防车（250辆）行政车（44辆）。</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七、无赔款优待</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被保险单位只要出具任何一家保险机构上一年度机动车辆保险无赔款的证明，乙方应予以认可，并在保险单上列明被保险单位在合同有效期内享受无赔款优待。</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八、保险险种和赔偿限额</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乙方必须按照下列保险险种与被保险单位签订机动车辆保险单：</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（1）交强险（含车船使用税）（≥20万元）；</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（2）车辆损失险（以实际价值为投保金额）；</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（3）第三者责任险（≥200万元）；</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九、结算方式</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1、本合同及乙方与甲方签订的保险单均以人民币结算。</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2、乙方根据甲方的通知，应及时上门与甲方签订机动车辆保险单，并凭下列单据与甲方结算：</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（1）正式的保险费收据：提供交强险保费发票原件及车船税发票原件，商业险保费发票原件和保费清单。</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w:t>
      </w:r>
      <w:r>
        <w:rPr>
          <w:rFonts w:hint="eastAsia" w:asciiTheme="minorHAnsi" w:hAnsiTheme="minorHAnsi" w:eastAsiaTheme="minorEastAsia"/>
          <w:sz w:val="24"/>
          <w:szCs w:val="24"/>
        </w:rPr>
        <w:t>机动车辆保险单正本。</w:t>
      </w:r>
    </w:p>
    <w:p>
      <w:pPr>
        <w:pStyle w:val="42"/>
        <w:ind w:firstLine="480" w:firstLineChars="200"/>
        <w:rPr>
          <w:rFonts w:asciiTheme="minorHAnsi" w:hAnsiTheme="minorHAnsi" w:eastAsiaTheme="minorEastAsia"/>
          <w:sz w:val="24"/>
          <w:szCs w:val="24"/>
        </w:rPr>
      </w:pPr>
      <w:r>
        <w:rPr>
          <w:rFonts w:hint="eastAsia" w:ascii="Calibri" w:hAnsi="Calibri" w:eastAsia="宋体" w:cstheme="minorHAnsi"/>
          <w:color w:val="000000"/>
          <w:kern w:val="24"/>
          <w:sz w:val="24"/>
          <w:szCs w:val="24"/>
        </w:rPr>
        <w:t>3、保险费支付方式：</w:t>
      </w:r>
      <w:r>
        <w:rPr>
          <w:rFonts w:hint="eastAsia" w:asciiTheme="minorHAnsi" w:hAnsiTheme="minorHAnsi" w:eastAsiaTheme="minorEastAsia"/>
          <w:sz w:val="24"/>
          <w:szCs w:val="24"/>
        </w:rPr>
        <w:t>乙方与甲方签订保险单后，应将签订的保险清单包括保险车辆品牌型号、车牌号码、发动机号、车架号、投保险种和保险费等项内容进行汇总，并于将电子版和保单原件装订成册后报送甲方审核，甲方于</w:t>
      </w:r>
      <w:r>
        <w:rPr>
          <w:rFonts w:asciiTheme="minorHAnsi" w:hAnsiTheme="minorHAnsi" w:eastAsiaTheme="minorEastAsia"/>
          <w:sz w:val="24"/>
          <w:szCs w:val="24"/>
        </w:rPr>
        <w:t>保险生效日前</w:t>
      </w:r>
      <w:r>
        <w:rPr>
          <w:rFonts w:hint="eastAsia" w:asciiTheme="minorHAnsi" w:hAnsiTheme="minorHAnsi" w:eastAsiaTheme="minorEastAsia"/>
          <w:sz w:val="24"/>
          <w:szCs w:val="24"/>
        </w:rPr>
        <w:t>一次性</w:t>
      </w:r>
      <w:r>
        <w:rPr>
          <w:rFonts w:asciiTheme="minorHAnsi" w:hAnsiTheme="minorHAnsi" w:eastAsiaTheme="minorEastAsia"/>
          <w:sz w:val="24"/>
          <w:szCs w:val="24"/>
        </w:rPr>
        <w:t>支付全部费用</w:t>
      </w:r>
      <w:r>
        <w:rPr>
          <w:rFonts w:hint="eastAsia" w:asciiTheme="minorHAnsi" w:hAnsiTheme="minorHAnsi" w:eastAsiaTheme="minorEastAsia"/>
          <w:sz w:val="24"/>
          <w:szCs w:val="24"/>
        </w:rPr>
        <w:t>。</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十、乙方在响应文件中承诺的预设服务措施和承诺的其他服务措施如下：</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（由乙方按本次响应文件内容填写）</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十一、出险处理及赔偿标准</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1、甲方的保险车辆出险后，乙方应根据服务承诺，对出险车辆及时提出处理意见，并按合同约定限时支付赔款。</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2、乙方应按照保险条款、国家相关部门规定的道路交通事故处理办法的有关规定和其对本项目的服务承诺处理甲方赔款事宜。</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甲方在保险有效期内的一切事故赔款事宜，直接与乙方办理。乙方在赔付结案后，应将赔款情况，包括出险原因、事故类型、事故责任、损失情况、赔款金额等信息按甲方规定的格式进行汇总，并于次月10前上报。（含电子版）</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十二、乙方对各项优惠承诺的告知义务</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本合同签订后15个工作日内，乙方须将响应书内各项服务措施和优惠承诺印制成册，由乙方送到被保险单位车管。使他们充分了解乙方在承保期内的服务和优惠项目内容，同时向甲方备案。</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十三、保密条款</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1、乙方有责任对获知的甲方涉密信息，业务信息，工作信息、相关数据等与甲方有关的所有信息及数据保密。</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2、乙方需对参加实施项目的人员进行保密教育，严格遵守 《中华人民共和国保守国家秘密法》《中华人民共和国保宁国家秘密法实施条例》的有关规定，遵守甲方单位保密制度、本合同内的保密条款的规定。</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乙方应妥善保管甲方提供的项目相关的各种资料、磁、纸介质文件、数据等，防止外泄、遗失或被盗，不论乙方因何种原因对甲方造成泄密或信息外泄时，甲方有权依照国家法律法规的规定追究乙方责任并追索赔偿损失。</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4、无论合同是否被撤销、交更、解除或终止，无论合同是否生效，合同之保密条款不受其限制而继续有效。</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十四、争议处理方式</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1、在执行本合同中所发生的或与本合同有关的一切争端，甲方、被保险单位、乙方通过友好协商的办法进行解决。如从协商开始30天内仍不能解决，则应申请仲裁。</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2、仲裁应根据《中华人民共和国仲裁法》的规定向西安仲裁委员会申请仲裁。</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3、仲裁裁决为最终裁决，对甲方和乙方均有约束力。</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4、在仲裁期间，除双方有异议条款外，本合同其他条款应继续执行。</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十五、合同的解除</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如有下列情况出现，在不影响甲方和被保险单位接受因乙方违约而采取任何补救措施的情况下，甲方可向乙方发出解除合同的书面通知书解除本合同：</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1、接到甲方增减变动通知单后，乙方未在3个工作日内上门签订机动车辆保险单，给被保险单位造成重大损失的；</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2、未经甲方批准，乙方擅自增加险种与用车单位签订机动车辆保险单的；</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3、手续齐全的赔案，乙方在承诺的期限内未能全额支付赔偿款，情节严重的；</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4、未按投标承诺履行义务，情节严重的；</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5、无论何种情况下，乙方未按投标承诺执行费率标准或擅自提高保费标准；</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6、乙方向甲方提供任何形式回扣的；</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7、其他严重违反本合同条款的情况。</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十六、赔偿责任：</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乙方应当承担因违约行为造成的被保险单位一切损失；因乙方原因解除本合同的，乙方应向甲方支付合同总金额3%的违约金。守约方通过诉讼的方式解决纠纷的，违约方应承担包括但不限于诉讼费、律师费、保全费、保全保险费等合理费用。</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十七、破产终止合同</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如果乙方破产或无清偿能力，甲方可在任何时候以书面形式通知乙方终止合同而不给乙方补偿。该终止合同将不损害或影响甲方已经采取或将要采取的任何行动或补救措施的权力。</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十八、权利义务转让禁止性约定</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除甲方事先书面同意外，乙方不得转让本合同中任何其享有或者履行的权利和义务。若乙方违反本条约定，甲方有权解除合同并要求乙方承担违约责任及合同总金额3%的违约金。</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十九、合同变更</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本合同的有效期内，如果经中国保监会核准备案的新的机动车辆保险条款及费率或国家有关法律、法规发生重大变化，乙方必须及时书面通知甲方，甲方有权选择是否签订补充协议，如补充协议的条款不能满足甲方的要求，则甲方有权终止本合同，重新选择其它保险机构。</w:t>
      </w:r>
    </w:p>
    <w:p>
      <w:pPr>
        <w:pStyle w:val="42"/>
        <w:ind w:firstLine="482" w:firstLineChars="200"/>
        <w:rPr>
          <w:rFonts w:ascii="Calibri" w:hAnsi="Calibri" w:eastAsia="宋体" w:cstheme="minorHAnsi"/>
          <w:b/>
          <w:color w:val="000000"/>
          <w:kern w:val="24"/>
          <w:sz w:val="24"/>
          <w:szCs w:val="24"/>
        </w:rPr>
      </w:pPr>
      <w:r>
        <w:rPr>
          <w:rFonts w:hint="eastAsia" w:ascii="Calibri" w:hAnsi="Calibri" w:eastAsia="宋体" w:cstheme="minorHAnsi"/>
          <w:b/>
          <w:color w:val="000000"/>
          <w:kern w:val="24"/>
          <w:sz w:val="24"/>
          <w:szCs w:val="24"/>
        </w:rPr>
        <w:t>二十、合同生效及其它</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1、本合同一式陆份，具有同等的法律效力，以中文书写，甲方伍份、乙方壹份。</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2、本合同签订后所发生的具体保险方面的合同纠纷，由甲方与乙方直接进行处理。</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3、本合同未尽事宜，应经甲方、乙方协商，共同签署书面修改或补充协议并盖章。该协议将作为本合同不可分割的一部分。</w:t>
      </w:r>
    </w:p>
    <w:p>
      <w:pPr>
        <w:pStyle w:val="42"/>
        <w:ind w:firstLine="480" w:firstLineChars="200"/>
        <w:rPr>
          <w:rFonts w:ascii="Calibri" w:hAnsi="Calibri" w:eastAsia="宋体" w:cstheme="minorHAnsi"/>
          <w:color w:val="000000"/>
          <w:kern w:val="24"/>
          <w:sz w:val="24"/>
          <w:szCs w:val="24"/>
        </w:rPr>
      </w:pPr>
      <w:r>
        <w:rPr>
          <w:rFonts w:hint="eastAsia" w:ascii="Calibri" w:hAnsi="Calibri" w:eastAsia="宋体" w:cstheme="minorHAnsi"/>
          <w:color w:val="000000"/>
          <w:kern w:val="24"/>
          <w:sz w:val="24"/>
          <w:szCs w:val="24"/>
        </w:rPr>
        <w:t>4、本合同应按照中华人民共和国的现行法律进行解释。</w:t>
      </w:r>
    </w:p>
    <w:p>
      <w:pPr>
        <w:pStyle w:val="42"/>
        <w:rPr>
          <w:rFonts w:ascii="Calibri" w:hAnsi="Calibri" w:eastAsia="宋体" w:cstheme="minorHAnsi"/>
          <w:b/>
          <w:color w:val="000000"/>
          <w:kern w:val="24"/>
          <w:sz w:val="24"/>
          <w:szCs w:val="24"/>
        </w:rPr>
        <w:sectPr>
          <w:footerReference r:id="rId15" w:type="default"/>
          <w:footerReference r:id="rId16" w:type="even"/>
          <w:pgSz w:w="11906" w:h="16838"/>
          <w:pgMar w:top="1417" w:right="1417" w:bottom="1417" w:left="1417" w:header="850" w:footer="992" w:gutter="0"/>
          <w:cols w:space="720" w:num="1"/>
          <w:docGrid w:type="lines" w:linePitch="381" w:charSpace="704"/>
        </w:sectPr>
      </w:pPr>
    </w:p>
    <w:p>
      <w:pPr>
        <w:pStyle w:val="2"/>
        <w:spacing w:before="230" w:after="230"/>
      </w:pPr>
      <w:bookmarkStart w:id="27" w:name="_Toc100219616"/>
      <w:r>
        <w:rPr>
          <w:rFonts w:hint="eastAsia"/>
        </w:rPr>
        <w:t>第五章　响应文件构成及格式</w:t>
      </w:r>
      <w:bookmarkEnd w:id="27"/>
    </w:p>
    <w:p>
      <w:pPr>
        <w:jc w:val="center"/>
        <w:rPr>
          <w:rFonts w:cstheme="minorHAnsi"/>
          <w:sz w:val="36"/>
          <w:szCs w:val="36"/>
        </w:rPr>
      </w:pPr>
    </w:p>
    <w:p>
      <w:pPr>
        <w:jc w:val="center"/>
        <w:rPr>
          <w:rFonts w:cstheme="minorHAnsi"/>
          <w:sz w:val="36"/>
          <w:szCs w:val="36"/>
        </w:rPr>
      </w:pPr>
    </w:p>
    <w:p>
      <w:pPr>
        <w:jc w:val="center"/>
        <w:rPr>
          <w:rFonts w:cstheme="minorHAnsi"/>
          <w:sz w:val="36"/>
          <w:szCs w:val="36"/>
        </w:rPr>
      </w:pPr>
    </w:p>
    <w:p>
      <w:pPr>
        <w:jc w:val="center"/>
        <w:rPr>
          <w:rFonts w:cstheme="minorHAnsi"/>
          <w:b/>
          <w:color w:val="C00000"/>
          <w:sz w:val="44"/>
          <w:szCs w:val="44"/>
        </w:rPr>
      </w:pPr>
      <w:r>
        <w:rPr>
          <w:rFonts w:cstheme="minorHAnsi"/>
          <w:b/>
          <w:color w:val="C00000"/>
          <w:sz w:val="36"/>
          <w:szCs w:val="36"/>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［___］（项目不分</w:t>
      </w:r>
      <w:r>
        <w:rPr>
          <w:rFonts w:hint="eastAsia" w:cstheme="minorHAnsi"/>
          <w:color w:val="C00000"/>
        </w:rPr>
        <w:t>采购包</w:t>
      </w:r>
      <w:r>
        <w:rPr>
          <w:rFonts w:cstheme="minorHAnsi"/>
          <w:color w:val="C00000"/>
        </w:rPr>
        <w:t>时留空或填写“/”，全文同）</w:t>
      </w:r>
      <w:r>
        <w:rPr>
          <w:rFonts w:cstheme="minorHAnsi"/>
        </w:rPr>
        <w:t>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1．我方已详细阅读了磋商文件，完全理解并同意磋商文件的所有事项及内容。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4．我方理解最低价不是成交的唯一条件，并尊重磋商小组的评审结果。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．若我方成交，我方承诺：</w:t>
      </w:r>
    </w:p>
    <w:p>
      <w:pPr>
        <w:ind w:firstLine="567"/>
        <w:jc w:val="both"/>
        <w:rPr>
          <w:rFonts w:cstheme="minorHAnsi"/>
          <w:color w:val="000000"/>
        </w:rPr>
      </w:pPr>
      <w:r>
        <w:rPr>
          <w:rFonts w:hint="eastAsia" w:cstheme="minorHAnsi"/>
          <w:color w:val="000000"/>
        </w:rPr>
        <w:t>（1）将成交文件有效期延长至合同执行完毕；</w:t>
      </w:r>
    </w:p>
    <w:p>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pPr>
        <w:ind w:firstLine="567"/>
        <w:jc w:val="both"/>
        <w:rPr>
          <w:rFonts w:cstheme="minorHAnsi"/>
          <w:color w:val="000000"/>
        </w:rPr>
      </w:pPr>
      <w:r>
        <w:rPr>
          <w:rFonts w:hint="eastAsia" w:cstheme="minorHAnsi"/>
          <w:color w:val="000000"/>
        </w:rPr>
        <w:t>（3）遵照磋商文件中的要求，完成本项目的合同责任和义务。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pPr>
        <w:pStyle w:val="42"/>
        <w:jc w:val="center"/>
        <w:rPr>
          <w:rFonts w:asciiTheme="minorHAnsi" w:hAnsiTheme="minorHAnsi" w:eastAsiaTheme="minorEastAsia"/>
          <w:b/>
          <w:color w:val="C00000"/>
          <w:sz w:val="24"/>
          <w:szCs w:val="24"/>
        </w:rPr>
      </w:pPr>
    </w:p>
    <w:tbl>
      <w:tblPr>
        <w:tblStyle w:val="2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3130"/>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3130"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130"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b/>
              </w:rPr>
            </w:pPr>
            <w:r>
              <w:rPr>
                <w:rFonts w:hint="eastAsia"/>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3130" w:type="dxa"/>
            <w:tcBorders>
              <w:top w:val="single" w:color="auto" w:sz="2" w:space="0"/>
              <w:left w:val="single" w:color="auto" w:sz="2" w:space="0"/>
              <w:bottom w:val="single" w:color="auto" w:sz="2" w:space="0"/>
              <w:right w:val="single" w:color="auto" w:sz="2" w:space="0"/>
            </w:tcBorders>
            <w:vAlign w:val="center"/>
          </w:tcPr>
          <w:p>
            <w:pPr>
              <w:jc w:val="center"/>
              <w:rPr>
                <w:b/>
              </w:rPr>
            </w:pPr>
            <w:r>
              <w:rPr>
                <w:rFonts w:hint="eastAsia"/>
                <w:b/>
              </w:rPr>
              <w:t>磋商报价</w:t>
            </w:r>
          </w:p>
        </w:tc>
        <w:tc>
          <w:tcPr>
            <w:tcW w:w="3130" w:type="dxa"/>
            <w:tcBorders>
              <w:top w:val="single" w:color="auto" w:sz="2" w:space="0"/>
              <w:left w:val="single" w:color="auto" w:sz="2" w:space="0"/>
              <w:bottom w:val="single" w:color="auto" w:sz="2" w:space="0"/>
              <w:right w:val="single" w:color="auto" w:sz="2" w:space="0"/>
            </w:tcBorders>
            <w:vAlign w:val="center"/>
          </w:tcPr>
          <w:p>
            <w:pPr>
              <w:jc w:val="center"/>
              <w:rPr>
                <w:b/>
              </w:rPr>
            </w:pPr>
            <w:r>
              <w:rPr>
                <w:rFonts w:hint="eastAsia"/>
                <w:b/>
              </w:rPr>
              <w:t>保险</w:t>
            </w:r>
            <w:r>
              <w:rPr>
                <w:b/>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cstheme="minorHAnsi"/>
                <w:color w:val="C00000"/>
                <w:sz w:val="21"/>
                <w:szCs w:val="21"/>
              </w:rPr>
              <w:t>第［___</w:t>
            </w:r>
            <w:bookmarkStart w:id="28" w:name="OLE_LINK7"/>
            <w:bookmarkStart w:id="29" w:name="OLE_LINK8"/>
            <w:r>
              <w:rPr>
                <w:rFonts w:cstheme="minorHAnsi"/>
                <w:color w:val="C00000"/>
                <w:sz w:val="21"/>
                <w:szCs w:val="21"/>
              </w:rPr>
              <w:t>］</w:t>
            </w:r>
            <w:bookmarkEnd w:id="28"/>
            <w:bookmarkEnd w:id="29"/>
            <w:r>
              <w:rPr>
                <w:rFonts w:hint="eastAsia" w:cstheme="minorHAnsi"/>
                <w:color w:val="C00000"/>
                <w:sz w:val="21"/>
                <w:szCs w:val="21"/>
              </w:rPr>
              <w:t>包</w:t>
            </w:r>
          </w:p>
        </w:tc>
        <w:tc>
          <w:tcPr>
            <w:tcW w:w="3130"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r>
              <w:rPr>
                <w:rFonts w:hint="eastAsia" w:ascii="Calibri Light" w:hAnsi="Calibri Light" w:eastAsia="华文仿宋" w:cs="Calibri Light"/>
                <w:i/>
                <w:color w:val="7030A0"/>
              </w:rPr>
              <w:t>（仅</w:t>
            </w:r>
            <w:r>
              <w:rPr>
                <w:rFonts w:ascii="Calibri Light" w:hAnsi="Calibri Light" w:eastAsia="华文仿宋" w:cs="Calibri Light"/>
                <w:i/>
                <w:color w:val="7030A0"/>
              </w:rPr>
              <w:t>填写数字，不填写单位</w:t>
            </w:r>
            <w:r>
              <w:rPr>
                <w:rFonts w:hint="eastAsia" w:ascii="Calibri Light" w:hAnsi="Calibri Light" w:eastAsia="华文仿宋" w:cs="Calibri Light"/>
                <w:i/>
                <w:color w:val="7030A0"/>
              </w:rPr>
              <w:t>）</w:t>
            </w:r>
          </w:p>
        </w:tc>
        <w:tc>
          <w:tcPr>
            <w:tcW w:w="3130"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rFonts w:hint="eastAsia"/>
                <w:b/>
              </w:rPr>
              <w:t>1年</w:t>
            </w: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rPr>
          <w:kern w:val="24"/>
        </w:rPr>
      </w:pPr>
    </w:p>
    <w:p>
      <w:pPr>
        <w:jc w:val="both"/>
        <w:rPr>
          <w:kern w:val="24"/>
        </w:rPr>
      </w:pPr>
      <w:r>
        <w:rPr>
          <w:kern w:val="24"/>
        </w:rPr>
        <w:t>〖注〗</w:t>
      </w:r>
    </w:p>
    <w:p>
      <w:pPr>
        <w:ind w:firstLine="480" w:firstLineChars="200"/>
        <w:jc w:val="both"/>
      </w:pPr>
      <w:r>
        <w:rPr>
          <w:rFonts w:hint="eastAsia"/>
          <w:kern w:val="24"/>
        </w:rPr>
        <w:t>一、</w:t>
      </w:r>
      <w:r>
        <w:rPr>
          <w:rFonts w:hint="eastAsia"/>
        </w:rPr>
        <w:t>磋商</w:t>
      </w:r>
      <w:r>
        <w:t>报价填报自主定价系数</w:t>
      </w:r>
      <w:r>
        <w:rPr>
          <w:rFonts w:hint="eastAsia"/>
        </w:rPr>
        <w:t>，供应商按照中国银保监会《</w:t>
      </w:r>
      <w:bookmarkStart w:id="30" w:name="OLE_LINK6"/>
      <w:bookmarkStart w:id="31" w:name="OLE_LINK5"/>
      <w:r>
        <w:rPr>
          <w:rFonts w:hint="eastAsia"/>
        </w:rPr>
        <w:t>关于进一步扩大商业车险自主定价系数浮动范围等有关事项的通知</w:t>
      </w:r>
      <w:bookmarkEnd w:id="30"/>
      <w:bookmarkEnd w:id="31"/>
      <w:r>
        <w:rPr>
          <w:rFonts w:hint="eastAsia"/>
        </w:rPr>
        <w:t>》中规定的商业车险自主定价系数范围（</w:t>
      </w:r>
      <w:r>
        <w:t>［</w:t>
      </w:r>
      <w:r>
        <w:rPr>
          <w:rFonts w:hint="eastAsia"/>
        </w:rPr>
        <w:t>0.5-1.5</w:t>
      </w:r>
      <w:r>
        <w:t>］</w:t>
      </w:r>
      <w:r>
        <w:rPr>
          <w:rFonts w:hint="eastAsia"/>
        </w:rPr>
        <w:t>）填报。</w:t>
      </w:r>
    </w:p>
    <w:p>
      <w:pPr>
        <w:ind w:firstLine="480" w:firstLineChars="200"/>
        <w:jc w:val="both"/>
        <w:rPr>
          <w:kern w:val="24"/>
        </w:rPr>
      </w:pPr>
      <w:r>
        <w:rPr>
          <w:rFonts w:hint="eastAsia"/>
          <w:kern w:val="24"/>
        </w:rPr>
        <w:t>二、在填写电子化开标一览表时，“磋商报价”栏须按A栏值填写（同样仅填写数字，不填写单位），若不按照本规则填写，可能导致电子化系统无法识别报价，后果自负。</w:t>
      </w:r>
    </w:p>
    <w:p>
      <w:pPr>
        <w:ind w:firstLine="480" w:firstLineChars="200"/>
        <w:jc w:val="both"/>
        <w:rPr>
          <w:kern w:val="24"/>
        </w:rPr>
      </w:pPr>
      <w:r>
        <w:rPr>
          <w:rFonts w:hint="eastAsia"/>
          <w:kern w:val="24"/>
        </w:rPr>
        <w:t>三、、以下情况按无效响应处理：</w:t>
      </w:r>
    </w:p>
    <w:p>
      <w:pPr>
        <w:ind w:firstLine="480" w:firstLineChars="200"/>
        <w:jc w:val="both"/>
        <w:rPr>
          <w:kern w:val="24"/>
        </w:rPr>
      </w:pPr>
      <w:r>
        <w:rPr>
          <w:rFonts w:hint="eastAsia"/>
          <w:kern w:val="24"/>
        </w:rPr>
        <w:t>1．A栏未填写阿拉伯数字；B栏</w:t>
      </w:r>
      <w:r>
        <w:rPr>
          <w:kern w:val="24"/>
        </w:rPr>
        <w:t>未</w:t>
      </w:r>
      <w:r>
        <w:rPr>
          <w:rFonts w:hint="eastAsia"/>
          <w:kern w:val="24"/>
        </w:rPr>
        <w:t>填写</w:t>
      </w:r>
      <w:r>
        <w:rPr>
          <w:kern w:val="24"/>
        </w:rPr>
        <w:t>保险期限。</w:t>
      </w:r>
    </w:p>
    <w:p>
      <w:pPr>
        <w:ind w:firstLine="480" w:firstLineChars="200"/>
        <w:jc w:val="both"/>
        <w:rPr>
          <w:kern w:val="24"/>
        </w:rPr>
      </w:pPr>
      <w:r>
        <w:rPr>
          <w:rFonts w:hint="eastAsia"/>
          <w:kern w:val="24"/>
        </w:rPr>
        <w:t>2、A栏</w:t>
      </w:r>
      <w:r>
        <w:rPr>
          <w:kern w:val="24"/>
        </w:rPr>
        <w:t>值＞</w:t>
      </w:r>
      <w:r>
        <w:rPr>
          <w:rFonts w:hint="eastAsia"/>
          <w:kern w:val="24"/>
        </w:rPr>
        <w:t>1.5，</w:t>
      </w:r>
      <w:r>
        <w:rPr>
          <w:kern w:val="24"/>
        </w:rPr>
        <w:t>或</w:t>
      </w:r>
      <w:r>
        <w:rPr>
          <w:rFonts w:hint="eastAsia"/>
          <w:kern w:val="24"/>
        </w:rPr>
        <w:t>A栏</w:t>
      </w:r>
      <w:r>
        <w:rPr>
          <w:kern w:val="24"/>
        </w:rPr>
        <w:t>值＜</w:t>
      </w:r>
      <w:r>
        <w:rPr>
          <w:rFonts w:hint="eastAsia"/>
          <w:kern w:val="24"/>
        </w:rPr>
        <w:t>0.5。</w:t>
      </w:r>
    </w:p>
    <w:p>
      <w:pPr>
        <w:rPr>
          <w:rFonts w:ascii="Calibri" w:hAnsi="Calibri" w:eastAsia="宋体"/>
          <w:kern w:val="24"/>
        </w:rPr>
      </w:pPr>
      <w:r>
        <w:rPr>
          <w:rFonts w:ascii="Calibri" w:hAnsi="Calibri" w:eastAsia="宋体"/>
          <w:kern w:val="24"/>
        </w:rPr>
        <w:br w:type="page"/>
      </w: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6"/>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widowControl w:val="0"/>
        <w:spacing w:before="120" w:after="60"/>
      </w:pPr>
      <w: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w:t>
      </w:r>
      <w:r>
        <w:rPr>
          <w:rFonts w:ascii="黑体" w:hAnsi="黑体" w:eastAsia="黑体"/>
          <w:kern w:val="28"/>
          <w:sz w:val="28"/>
          <w:szCs w:val="28"/>
        </w:rPr>
        <w:br w:type="page"/>
      </w:r>
    </w:p>
    <w:p>
      <w:pPr>
        <w:keepNext/>
        <w:spacing w:before="230" w:beforeLines="50" w:after="230" w:afterLines="50"/>
        <w:jc w:val="center"/>
        <w:outlineLvl w:val="1"/>
        <w:rPr>
          <w:rFonts w:ascii="Calibri" w:hAnsi="Calibri" w:eastAsia="黑体" w:cstheme="majorBidi"/>
          <w:sz w:val="32"/>
        </w:rPr>
      </w:pPr>
      <w:bookmarkStart w:id="32" w:name="OLE_LINK21"/>
      <w:bookmarkStart w:id="33" w:name="OLE_LINK22"/>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bookmarkEnd w:id="32"/>
    <w:bookmarkEnd w:id="33"/>
    <w:p>
      <w:pPr>
        <w:rPr>
          <w:rFonts w:cstheme="minorHAnsi"/>
        </w:rPr>
      </w:pPr>
    </w:p>
    <w:p>
      <w:pPr>
        <w:rPr>
          <w:rFonts w:cstheme="minorHAnsi"/>
        </w:rPr>
      </w:pPr>
    </w:p>
    <w:p>
      <w:pPr>
        <w:rPr>
          <w:rFonts w:cstheme="minorHAnsi"/>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w:t>
      </w:r>
    </w:p>
    <w:p>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sz w:val="21"/>
                <w:szCs w:val="21"/>
              </w:rPr>
            </w:pP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pPr>
              <w:jc w:val="both"/>
              <w:rPr>
                <w:rFonts w:ascii="Calibri" w:hAnsi="宋体" w:eastAsia="宋体" w:cstheme="minorHAnsi"/>
                <w:sz w:val="21"/>
              </w:rPr>
            </w:pPr>
            <w:r>
              <w:rPr>
                <w:rFonts w:ascii="Calibri" w:hAnsi="宋体" w:eastAsia="宋体" w:cstheme="minorHAnsi"/>
                <w:sz w:val="21"/>
              </w:rPr>
              <w:t>① 只需对</w:t>
            </w:r>
            <w:r>
              <w:rPr>
                <w:rFonts w:hint="eastAsia" w:ascii="Calibri" w:hAnsi="宋体" w:eastAsia="宋体" w:cstheme="minorHAnsi"/>
                <w:sz w:val="21"/>
              </w:rPr>
              <w:t>第三章</w:t>
            </w:r>
            <w:r>
              <w:rPr>
                <w:rFonts w:ascii="Calibri" w:hAnsi="宋体" w:eastAsia="宋体" w:cstheme="minorHAnsi"/>
                <w:sz w:val="21"/>
              </w:rPr>
              <w:t>技术（服务）要求中的非实质性条款（未标注★的）作出响应。表格行数不够时，请自行扩展。</w:t>
            </w:r>
          </w:p>
          <w:p>
            <w:pPr>
              <w:jc w:val="both"/>
              <w:rPr>
                <w:rFonts w:ascii="Calibri" w:hAnsi="宋体" w:eastAsia="宋体" w:cstheme="minorHAnsi"/>
                <w:sz w:val="21"/>
              </w:rPr>
            </w:pPr>
            <w:r>
              <w:rPr>
                <w:rFonts w:ascii="Calibri" w:hAnsi="宋体" w:eastAsia="宋体" w:cstheme="minorHAnsi"/>
                <w:sz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jc w:val="both"/>
              <w:rPr>
                <w:rFonts w:ascii="Calibri" w:hAnsi="宋体" w:eastAsia="宋体" w:cstheme="minorHAnsi"/>
                <w:sz w:val="21"/>
              </w:rPr>
            </w:pPr>
            <w:r>
              <w:rPr>
                <w:rFonts w:ascii="Calibri" w:hAnsi="宋体" w:eastAsia="宋体" w:cstheme="minorHAnsi"/>
                <w:sz w:val="21"/>
              </w:rPr>
              <w:t>③ “响应说明”应根据实际响应程度填写“优于”、“符合”、“负偏离”。</w:t>
            </w:r>
          </w:p>
        </w:tc>
      </w:tr>
    </w:tbl>
    <w:p>
      <w:pPr>
        <w:rPr>
          <w:rFonts w:asciiTheme="minorEastAsia" w:hAnsiTheme="minorEastAsia"/>
        </w:rPr>
      </w:pPr>
    </w:p>
    <w:p>
      <w:pPr>
        <w:jc w:val="center"/>
        <w:rPr>
          <w:rFonts w:asciiTheme="minorEastAsia" w:hAnsiTheme="minorEastAsia"/>
          <w:b/>
        </w:rPr>
      </w:pPr>
      <w:r>
        <w:rPr>
          <w:rFonts w:asciiTheme="minorEastAsia" w:hAnsiTheme="minorEastAsia"/>
          <w:b/>
        </w:rPr>
        <w:t>2</w:t>
      </w:r>
      <w:r>
        <w:rPr>
          <w:rFonts w:hint="eastAsia" w:asciiTheme="minorEastAsia" w:hAnsiTheme="minorEastAsia"/>
          <w:b/>
        </w:rPr>
        <w:t>.技术（服务）评审部分响应方案</w:t>
      </w:r>
    </w:p>
    <w:p>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pPr>
        <w:rPr>
          <w:rFonts w:asciiTheme="minorEastAsia" w:hAnsiTheme="minorEastAsia" w:cstheme="minorHAnsi"/>
          <w:color w:val="000000"/>
          <w:kern w:val="24"/>
        </w:rPr>
      </w:pPr>
      <w:r>
        <w:rPr>
          <w:rFonts w:hint="eastAsia" w:asciiTheme="minorEastAsia" w:hAnsiTheme="minorEastAsia" w:cstheme="minorHAnsi"/>
          <w:color w:val="000000"/>
          <w:kern w:val="24"/>
        </w:rPr>
        <w:t>1．实施方案</w:t>
      </w:r>
    </w:p>
    <w:p>
      <w:pPr>
        <w:rPr>
          <w:rFonts w:asciiTheme="minorEastAsia" w:hAnsiTheme="minorEastAsia" w:cstheme="minorHAnsi"/>
          <w:color w:val="000000"/>
          <w:kern w:val="24"/>
        </w:rPr>
      </w:pPr>
    </w:p>
    <w:p>
      <w:pPr>
        <w:rPr>
          <w:rFonts w:asciiTheme="minorEastAsia" w:hAnsiTheme="minorEastAsia" w:cstheme="minorHAnsi"/>
          <w:color w:val="000000"/>
          <w:kern w:val="24"/>
        </w:rPr>
      </w:pPr>
      <w:r>
        <w:rPr>
          <w:rFonts w:asciiTheme="minorEastAsia" w:hAnsiTheme="minorEastAsia" w:cstheme="minorHAnsi"/>
          <w:color w:val="000000"/>
          <w:kern w:val="24"/>
        </w:rPr>
        <w:t>2</w:t>
      </w:r>
      <w:r>
        <w:rPr>
          <w:rFonts w:hint="eastAsia" w:asciiTheme="minorEastAsia" w:hAnsiTheme="minorEastAsia" w:cstheme="minorHAnsi"/>
          <w:color w:val="000000"/>
          <w:kern w:val="24"/>
        </w:rPr>
        <w:t>．</w:t>
      </w:r>
      <w:r>
        <w:rPr>
          <w:rFonts w:asciiTheme="minorEastAsia" w:hAnsiTheme="minorEastAsia" w:cstheme="minorHAnsi"/>
          <w:color w:val="000000"/>
          <w:kern w:val="24"/>
        </w:rPr>
        <w:t xml:space="preserve"> </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6"/>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sz w:val="21"/>
                <w:szCs w:val="21"/>
              </w:rPr>
              <w:t>磋商文件</w:t>
            </w:r>
          </w:p>
        </w:tc>
        <w:tc>
          <w:tcPr>
            <w:tcW w:w="3432" w:type="dxa"/>
            <w:shd w:val="clear" w:color="auto" w:fill="F1F1F1" w:themeFill="background1" w:themeFillShade="F2"/>
            <w:vAlign w:val="center"/>
          </w:tcPr>
          <w:p>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tc>
      </w:tr>
    </w:tbl>
    <w:p>
      <w:pPr>
        <w:rPr>
          <w:i/>
          <w:color w:val="C00000"/>
        </w:rPr>
      </w:pPr>
    </w:p>
    <w:p>
      <w:pPr>
        <w:jc w:val="center"/>
        <w:rPr>
          <w:rFonts w:cstheme="minorHAnsi"/>
          <w:b/>
        </w:rPr>
      </w:pPr>
      <w:r>
        <w:rPr>
          <w:rFonts w:cstheme="minorHAnsi"/>
          <w:b/>
        </w:rPr>
        <w:t>2</w:t>
      </w:r>
      <w:r>
        <w:rPr>
          <w:rFonts w:hint="eastAsia" w:cstheme="minorHAnsi"/>
          <w:b/>
        </w:rPr>
        <w:t>.商务评审部分方案</w:t>
      </w:r>
    </w:p>
    <w:p>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pPr>
        <w:rPr>
          <w:rFonts w:hint="eastAsia" w:asciiTheme="minorEastAsia" w:hAnsiTheme="minorEastAsia" w:cstheme="minorHAnsi"/>
          <w:color w:val="000000"/>
          <w:kern w:val="24"/>
        </w:rPr>
      </w:pPr>
      <w:r>
        <w:rPr>
          <w:rFonts w:asciiTheme="minorEastAsia" w:hAnsiTheme="minorEastAsia" w:cstheme="minorHAnsi"/>
          <w:color w:val="000000"/>
          <w:kern w:val="24"/>
        </w:rPr>
        <w:t>1</w:t>
      </w:r>
      <w:r>
        <w:rPr>
          <w:rFonts w:hint="eastAsia" w:asciiTheme="minorEastAsia" w:hAnsiTheme="minorEastAsia" w:cstheme="minorHAnsi"/>
          <w:color w:val="000000"/>
          <w:kern w:val="24"/>
        </w:rPr>
        <w:t>．</w:t>
      </w:r>
      <w:r>
        <w:rPr>
          <w:rFonts w:hint="eastAsia" w:ascii="Calibri" w:hAnsi="宋体" w:eastAsia="宋体" w:cs="宋体"/>
          <w:sz w:val="21"/>
          <w:szCs w:val="21"/>
        </w:rPr>
        <w:t>承保及理赔部门人员配备</w:t>
      </w:r>
    </w:p>
    <w:tbl>
      <w:tblPr>
        <w:tblStyle w:val="26"/>
        <w:tblW w:w="91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86"/>
        <w:gridCol w:w="1121"/>
        <w:gridCol w:w="709"/>
        <w:gridCol w:w="709"/>
        <w:gridCol w:w="1701"/>
        <w:gridCol w:w="1417"/>
        <w:gridCol w:w="224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color w:val="000000"/>
                <w:sz w:val="21"/>
                <w:szCs w:val="21"/>
              </w:rPr>
            </w:pPr>
            <w:r>
              <w:rPr>
                <w:rFonts w:hint="eastAsia" w:ascii="Calibri" w:hAnsi="宋体" w:eastAsia="宋体" w:cs="Calibri"/>
                <w:b/>
                <w:color w:val="000000"/>
                <w:sz w:val="21"/>
                <w:szCs w:val="21"/>
              </w:rPr>
              <w:t>岗位</w:t>
            </w:r>
          </w:p>
        </w:tc>
        <w:tc>
          <w:tcPr>
            <w:tcW w:w="1121"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color w:val="000000"/>
                <w:sz w:val="21"/>
                <w:szCs w:val="21"/>
              </w:rPr>
            </w:pPr>
            <w:r>
              <w:rPr>
                <w:rFonts w:ascii="Calibri" w:hAnsi="宋体" w:eastAsia="宋体" w:cs="Calibri"/>
                <w:b/>
                <w:color w:val="000000"/>
                <w:sz w:val="21"/>
                <w:szCs w:val="21"/>
              </w:rPr>
              <w:t>姓名</w:t>
            </w:r>
          </w:p>
        </w:tc>
        <w:tc>
          <w:tcPr>
            <w:tcW w:w="709"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color w:val="000000"/>
                <w:sz w:val="21"/>
                <w:szCs w:val="21"/>
              </w:rPr>
            </w:pPr>
            <w:r>
              <w:rPr>
                <w:rFonts w:ascii="Calibri" w:hAnsi="宋体" w:eastAsia="宋体" w:cs="Calibri"/>
                <w:b/>
                <w:color w:val="000000"/>
                <w:sz w:val="21"/>
                <w:szCs w:val="21"/>
              </w:rPr>
              <w:t>年龄</w:t>
            </w:r>
          </w:p>
        </w:tc>
        <w:tc>
          <w:tcPr>
            <w:tcW w:w="709"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color w:val="000000"/>
                <w:sz w:val="21"/>
                <w:szCs w:val="21"/>
              </w:rPr>
            </w:pPr>
            <w:r>
              <w:rPr>
                <w:rFonts w:ascii="Calibri" w:hAnsi="宋体" w:eastAsia="宋体" w:cs="Calibri"/>
                <w:b/>
                <w:color w:val="000000"/>
                <w:sz w:val="21"/>
                <w:szCs w:val="21"/>
              </w:rPr>
              <w:t>性别</w:t>
            </w:r>
          </w:p>
        </w:tc>
        <w:tc>
          <w:tcPr>
            <w:tcW w:w="1701"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color w:val="000000"/>
                <w:sz w:val="21"/>
                <w:szCs w:val="21"/>
              </w:rPr>
            </w:pPr>
            <w:r>
              <w:rPr>
                <w:rFonts w:ascii="Calibri" w:hAnsi="宋体" w:eastAsia="宋体" w:cs="Calibri"/>
                <w:b/>
                <w:color w:val="000000"/>
                <w:sz w:val="21"/>
                <w:szCs w:val="21"/>
              </w:rPr>
              <w:t>资格\学历\职称</w:t>
            </w:r>
          </w:p>
        </w:tc>
        <w:tc>
          <w:tcPr>
            <w:tcW w:w="1417"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color w:val="000000"/>
                <w:sz w:val="21"/>
                <w:szCs w:val="21"/>
              </w:rPr>
            </w:pPr>
            <w:r>
              <w:rPr>
                <w:rFonts w:ascii="Calibri" w:hAnsi="宋体" w:eastAsia="宋体" w:cs="Calibri"/>
                <w:b/>
                <w:color w:val="000000"/>
                <w:sz w:val="21"/>
                <w:szCs w:val="21"/>
              </w:rPr>
              <w:t>在本行业从业工作年限</w:t>
            </w:r>
          </w:p>
        </w:tc>
        <w:tc>
          <w:tcPr>
            <w:tcW w:w="2242"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color w:val="000000"/>
                <w:sz w:val="21"/>
                <w:szCs w:val="21"/>
              </w:rPr>
            </w:pPr>
            <w:r>
              <w:rPr>
                <w:rFonts w:ascii="Calibri" w:hAnsi="宋体" w:eastAsia="宋体" w:cs="Calibri"/>
                <w:b/>
                <w:color w:val="000000"/>
                <w:sz w:val="21"/>
                <w:szCs w:val="21"/>
              </w:rPr>
              <w:t>主要工作业绩和经历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tcBorders>
              <w:top w:val="single" w:color="auto" w:sz="2" w:space="0"/>
            </w:tcBorders>
            <w:shd w:val="clear" w:color="auto" w:fill="auto"/>
            <w:vAlign w:val="center"/>
          </w:tcPr>
          <w:p>
            <w:pPr>
              <w:spacing w:line="320" w:lineRule="exact"/>
              <w:jc w:val="center"/>
              <w:rPr>
                <w:rFonts w:ascii="Calibri" w:hAnsi="宋体" w:eastAsia="宋体" w:cs="Calibri"/>
                <w:color w:val="000000"/>
                <w:sz w:val="21"/>
                <w:szCs w:val="21"/>
              </w:rPr>
            </w:pPr>
            <w:r>
              <w:rPr>
                <w:rFonts w:ascii="Calibri" w:hAnsi="宋体" w:eastAsia="宋体" w:cs="Calibri"/>
                <w:color w:val="000000"/>
                <w:sz w:val="21"/>
                <w:szCs w:val="21"/>
              </w:rPr>
              <w:t>项目经理</w:t>
            </w:r>
          </w:p>
        </w:tc>
        <w:tc>
          <w:tcPr>
            <w:tcW w:w="1121" w:type="dxa"/>
            <w:tcBorders>
              <w:top w:val="single" w:color="auto" w:sz="2" w:space="0"/>
            </w:tcBorders>
            <w:shd w:val="clear" w:color="auto" w:fill="auto"/>
            <w:vAlign w:val="center"/>
          </w:tcPr>
          <w:p>
            <w:pPr>
              <w:spacing w:line="320" w:lineRule="exact"/>
              <w:jc w:val="both"/>
              <w:rPr>
                <w:rFonts w:ascii="Calibri" w:hAnsi="宋体" w:eastAsia="宋体" w:cs="Calibri"/>
                <w:color w:val="000000"/>
                <w:sz w:val="21"/>
                <w:szCs w:val="21"/>
              </w:rPr>
            </w:pPr>
          </w:p>
        </w:tc>
        <w:tc>
          <w:tcPr>
            <w:tcW w:w="709" w:type="dxa"/>
            <w:tcBorders>
              <w:top w:val="single" w:color="auto" w:sz="2" w:space="0"/>
            </w:tcBorders>
            <w:shd w:val="clear" w:color="auto" w:fill="auto"/>
            <w:vAlign w:val="center"/>
          </w:tcPr>
          <w:p>
            <w:pPr>
              <w:spacing w:line="320" w:lineRule="exact"/>
              <w:jc w:val="both"/>
              <w:rPr>
                <w:rFonts w:ascii="Calibri" w:hAnsi="宋体" w:eastAsia="宋体" w:cs="Calibri"/>
                <w:color w:val="000000"/>
                <w:sz w:val="21"/>
                <w:szCs w:val="21"/>
              </w:rPr>
            </w:pPr>
          </w:p>
        </w:tc>
        <w:tc>
          <w:tcPr>
            <w:tcW w:w="709" w:type="dxa"/>
            <w:tcBorders>
              <w:top w:val="single" w:color="auto" w:sz="2" w:space="0"/>
            </w:tcBorders>
            <w:shd w:val="clear" w:color="auto" w:fill="auto"/>
            <w:vAlign w:val="center"/>
          </w:tcPr>
          <w:p>
            <w:pPr>
              <w:spacing w:line="320" w:lineRule="exact"/>
              <w:jc w:val="both"/>
              <w:rPr>
                <w:rFonts w:ascii="Calibri" w:hAnsi="宋体" w:eastAsia="宋体" w:cs="Calibri"/>
                <w:color w:val="000000"/>
                <w:sz w:val="21"/>
                <w:szCs w:val="21"/>
              </w:rPr>
            </w:pPr>
          </w:p>
        </w:tc>
        <w:tc>
          <w:tcPr>
            <w:tcW w:w="1701" w:type="dxa"/>
            <w:tcBorders>
              <w:top w:val="single" w:color="auto" w:sz="2" w:space="0"/>
            </w:tcBorders>
            <w:shd w:val="clear" w:color="auto" w:fill="auto"/>
            <w:vAlign w:val="center"/>
          </w:tcPr>
          <w:p>
            <w:pPr>
              <w:spacing w:line="320" w:lineRule="exact"/>
              <w:jc w:val="both"/>
              <w:rPr>
                <w:rFonts w:ascii="Calibri" w:hAnsi="宋体" w:eastAsia="宋体" w:cs="Calibri"/>
                <w:color w:val="000000"/>
                <w:sz w:val="21"/>
                <w:szCs w:val="21"/>
              </w:rPr>
            </w:pPr>
          </w:p>
        </w:tc>
        <w:tc>
          <w:tcPr>
            <w:tcW w:w="1417" w:type="dxa"/>
            <w:tcBorders>
              <w:top w:val="single" w:color="auto" w:sz="2" w:space="0"/>
            </w:tcBorders>
            <w:shd w:val="clear" w:color="auto" w:fill="auto"/>
            <w:vAlign w:val="center"/>
          </w:tcPr>
          <w:p>
            <w:pPr>
              <w:spacing w:line="320" w:lineRule="exact"/>
              <w:jc w:val="both"/>
              <w:rPr>
                <w:rFonts w:ascii="Calibri" w:hAnsi="宋体" w:eastAsia="宋体" w:cs="Calibri"/>
                <w:color w:val="000000"/>
                <w:sz w:val="21"/>
                <w:szCs w:val="21"/>
              </w:rPr>
            </w:pPr>
          </w:p>
        </w:tc>
        <w:tc>
          <w:tcPr>
            <w:tcW w:w="2242" w:type="dxa"/>
            <w:tcBorders>
              <w:top w:val="single" w:color="auto" w:sz="2" w:space="0"/>
            </w:tcBorders>
            <w:shd w:val="clear" w:color="auto" w:fill="auto"/>
            <w:vAlign w:val="center"/>
          </w:tcPr>
          <w:p>
            <w:pPr>
              <w:spacing w:line="320" w:lineRule="exact"/>
              <w:jc w:val="both"/>
              <w:rPr>
                <w:rFonts w:ascii="Calibri" w:hAnsi="宋体" w:eastAsia="宋体" w:cs="Calibr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vMerge w:val="restart"/>
            <w:shd w:val="clear" w:color="auto" w:fill="auto"/>
            <w:vAlign w:val="center"/>
          </w:tcPr>
          <w:p>
            <w:pPr>
              <w:spacing w:line="320" w:lineRule="exact"/>
              <w:jc w:val="center"/>
              <w:rPr>
                <w:rFonts w:ascii="Calibri" w:hAnsi="宋体" w:eastAsia="宋体" w:cs="Calibri"/>
                <w:color w:val="000000"/>
                <w:sz w:val="21"/>
                <w:szCs w:val="21"/>
              </w:rPr>
            </w:pPr>
            <w:r>
              <w:rPr>
                <w:rFonts w:hint="eastAsia" w:ascii="Calibri" w:hAnsi="宋体" w:eastAsia="宋体" w:cs="Calibri"/>
                <w:color w:val="000000"/>
                <w:sz w:val="21"/>
                <w:szCs w:val="21"/>
              </w:rPr>
              <w:t>日常</w:t>
            </w:r>
            <w:r>
              <w:rPr>
                <w:rFonts w:ascii="Calibri" w:hAnsi="宋体" w:eastAsia="宋体" w:cs="Calibri"/>
                <w:color w:val="000000"/>
                <w:sz w:val="21"/>
                <w:szCs w:val="21"/>
              </w:rPr>
              <w:t>服务</w:t>
            </w:r>
            <w:r>
              <w:rPr>
                <w:rFonts w:hint="eastAsia" w:ascii="Calibri" w:hAnsi="宋体" w:eastAsia="宋体" w:cs="Calibri"/>
                <w:color w:val="000000"/>
                <w:sz w:val="21"/>
                <w:szCs w:val="21"/>
              </w:rPr>
              <w:t>人</w:t>
            </w:r>
            <w:r>
              <w:rPr>
                <w:rFonts w:ascii="Calibri" w:hAnsi="宋体" w:eastAsia="宋体" w:cs="Calibri"/>
                <w:color w:val="000000"/>
                <w:sz w:val="21"/>
                <w:szCs w:val="21"/>
              </w:rPr>
              <w:t>员</w:t>
            </w:r>
          </w:p>
        </w:tc>
        <w:tc>
          <w:tcPr>
            <w:tcW w:w="1121"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1701" w:type="dxa"/>
            <w:shd w:val="clear" w:color="auto" w:fill="auto"/>
            <w:vAlign w:val="center"/>
          </w:tcPr>
          <w:p>
            <w:pPr>
              <w:spacing w:line="320" w:lineRule="exact"/>
              <w:jc w:val="both"/>
              <w:rPr>
                <w:rFonts w:ascii="Calibri" w:hAnsi="宋体" w:eastAsia="宋体" w:cs="Calibri"/>
                <w:color w:val="000000"/>
                <w:sz w:val="21"/>
                <w:szCs w:val="21"/>
              </w:rPr>
            </w:pPr>
          </w:p>
        </w:tc>
        <w:tc>
          <w:tcPr>
            <w:tcW w:w="1417" w:type="dxa"/>
            <w:shd w:val="clear" w:color="auto" w:fill="auto"/>
            <w:vAlign w:val="center"/>
          </w:tcPr>
          <w:p>
            <w:pPr>
              <w:spacing w:line="320" w:lineRule="exact"/>
              <w:jc w:val="both"/>
              <w:rPr>
                <w:rFonts w:ascii="Calibri" w:hAnsi="宋体" w:eastAsia="宋体" w:cs="Calibri"/>
                <w:color w:val="000000"/>
                <w:sz w:val="21"/>
                <w:szCs w:val="21"/>
              </w:rPr>
            </w:pPr>
          </w:p>
        </w:tc>
        <w:tc>
          <w:tcPr>
            <w:tcW w:w="2242" w:type="dxa"/>
            <w:shd w:val="clear" w:color="auto" w:fill="auto"/>
            <w:vAlign w:val="center"/>
          </w:tcPr>
          <w:p>
            <w:pPr>
              <w:spacing w:line="320" w:lineRule="exact"/>
              <w:jc w:val="both"/>
              <w:rPr>
                <w:rFonts w:ascii="Calibri" w:hAnsi="宋体" w:eastAsia="宋体" w:cs="Calibr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vMerge w:val="continue"/>
            <w:shd w:val="clear" w:color="auto" w:fill="auto"/>
            <w:vAlign w:val="center"/>
          </w:tcPr>
          <w:p>
            <w:pPr>
              <w:spacing w:line="320" w:lineRule="exact"/>
              <w:jc w:val="center"/>
              <w:rPr>
                <w:rFonts w:ascii="Calibri" w:hAnsi="宋体" w:eastAsia="宋体" w:cs="Calibri"/>
                <w:color w:val="000000"/>
                <w:sz w:val="21"/>
                <w:szCs w:val="21"/>
              </w:rPr>
            </w:pPr>
          </w:p>
        </w:tc>
        <w:tc>
          <w:tcPr>
            <w:tcW w:w="1121"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1701" w:type="dxa"/>
            <w:shd w:val="clear" w:color="auto" w:fill="auto"/>
            <w:vAlign w:val="center"/>
          </w:tcPr>
          <w:p>
            <w:pPr>
              <w:spacing w:line="320" w:lineRule="exact"/>
              <w:jc w:val="both"/>
              <w:rPr>
                <w:rFonts w:ascii="Calibri" w:hAnsi="宋体" w:eastAsia="宋体" w:cs="Calibri"/>
                <w:color w:val="000000"/>
                <w:sz w:val="21"/>
                <w:szCs w:val="21"/>
              </w:rPr>
            </w:pPr>
          </w:p>
        </w:tc>
        <w:tc>
          <w:tcPr>
            <w:tcW w:w="1417" w:type="dxa"/>
            <w:shd w:val="clear" w:color="auto" w:fill="auto"/>
            <w:vAlign w:val="center"/>
          </w:tcPr>
          <w:p>
            <w:pPr>
              <w:spacing w:line="320" w:lineRule="exact"/>
              <w:jc w:val="both"/>
              <w:rPr>
                <w:rFonts w:ascii="Calibri" w:hAnsi="宋体" w:eastAsia="宋体" w:cs="Calibri"/>
                <w:color w:val="000000"/>
                <w:sz w:val="21"/>
                <w:szCs w:val="21"/>
              </w:rPr>
            </w:pPr>
          </w:p>
        </w:tc>
        <w:tc>
          <w:tcPr>
            <w:tcW w:w="2242" w:type="dxa"/>
            <w:shd w:val="clear" w:color="auto" w:fill="auto"/>
            <w:vAlign w:val="center"/>
          </w:tcPr>
          <w:p>
            <w:pPr>
              <w:spacing w:line="320" w:lineRule="exact"/>
              <w:jc w:val="both"/>
              <w:rPr>
                <w:rFonts w:ascii="Calibri" w:hAnsi="宋体" w:eastAsia="宋体" w:cs="Calibr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vMerge w:val="restart"/>
            <w:shd w:val="clear" w:color="auto" w:fill="auto"/>
            <w:vAlign w:val="center"/>
          </w:tcPr>
          <w:p>
            <w:pPr>
              <w:spacing w:line="320" w:lineRule="exact"/>
              <w:jc w:val="center"/>
              <w:rPr>
                <w:rFonts w:ascii="Calibri" w:hAnsi="宋体" w:eastAsia="宋体" w:cs="Calibri"/>
                <w:color w:val="000000"/>
                <w:sz w:val="21"/>
                <w:szCs w:val="21"/>
              </w:rPr>
            </w:pPr>
            <w:r>
              <w:rPr>
                <w:rFonts w:cs="Calibri Light"/>
                <w:color w:val="000000"/>
                <w:sz w:val="21"/>
                <w:szCs w:val="21"/>
              </w:rPr>
              <w:t>报案专员</w:t>
            </w:r>
          </w:p>
        </w:tc>
        <w:tc>
          <w:tcPr>
            <w:tcW w:w="1121"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1701" w:type="dxa"/>
            <w:shd w:val="clear" w:color="auto" w:fill="auto"/>
            <w:vAlign w:val="center"/>
          </w:tcPr>
          <w:p>
            <w:pPr>
              <w:spacing w:line="320" w:lineRule="exact"/>
              <w:jc w:val="both"/>
              <w:rPr>
                <w:rFonts w:ascii="Calibri" w:hAnsi="宋体" w:eastAsia="宋体" w:cs="Calibri"/>
                <w:color w:val="000000"/>
                <w:sz w:val="21"/>
                <w:szCs w:val="21"/>
              </w:rPr>
            </w:pPr>
          </w:p>
        </w:tc>
        <w:tc>
          <w:tcPr>
            <w:tcW w:w="1417" w:type="dxa"/>
            <w:shd w:val="clear" w:color="auto" w:fill="auto"/>
            <w:vAlign w:val="center"/>
          </w:tcPr>
          <w:p>
            <w:pPr>
              <w:spacing w:line="320" w:lineRule="exact"/>
              <w:jc w:val="both"/>
              <w:rPr>
                <w:rFonts w:ascii="Calibri" w:hAnsi="宋体" w:eastAsia="宋体" w:cs="Calibri"/>
                <w:color w:val="000000"/>
                <w:sz w:val="21"/>
                <w:szCs w:val="21"/>
              </w:rPr>
            </w:pPr>
          </w:p>
        </w:tc>
        <w:tc>
          <w:tcPr>
            <w:tcW w:w="2242" w:type="dxa"/>
            <w:shd w:val="clear" w:color="auto" w:fill="auto"/>
            <w:vAlign w:val="center"/>
          </w:tcPr>
          <w:p>
            <w:pPr>
              <w:spacing w:line="320" w:lineRule="exact"/>
              <w:jc w:val="both"/>
              <w:rPr>
                <w:rFonts w:ascii="Calibri" w:hAnsi="宋体" w:eastAsia="宋体" w:cs="Calibr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vMerge w:val="continue"/>
            <w:shd w:val="clear" w:color="auto" w:fill="auto"/>
            <w:vAlign w:val="center"/>
          </w:tcPr>
          <w:p>
            <w:pPr>
              <w:spacing w:line="320" w:lineRule="exact"/>
              <w:jc w:val="center"/>
              <w:rPr>
                <w:rFonts w:ascii="Calibri" w:hAnsi="宋体" w:eastAsia="宋体" w:cs="Calibri"/>
                <w:color w:val="000000"/>
                <w:sz w:val="21"/>
                <w:szCs w:val="21"/>
              </w:rPr>
            </w:pPr>
          </w:p>
        </w:tc>
        <w:tc>
          <w:tcPr>
            <w:tcW w:w="1121"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1701" w:type="dxa"/>
            <w:shd w:val="clear" w:color="auto" w:fill="auto"/>
            <w:vAlign w:val="center"/>
          </w:tcPr>
          <w:p>
            <w:pPr>
              <w:spacing w:line="320" w:lineRule="exact"/>
              <w:jc w:val="both"/>
              <w:rPr>
                <w:rFonts w:ascii="Calibri" w:hAnsi="宋体" w:eastAsia="宋体" w:cs="Calibri"/>
                <w:color w:val="000000"/>
                <w:sz w:val="21"/>
                <w:szCs w:val="21"/>
              </w:rPr>
            </w:pPr>
          </w:p>
        </w:tc>
        <w:tc>
          <w:tcPr>
            <w:tcW w:w="1417" w:type="dxa"/>
            <w:shd w:val="clear" w:color="auto" w:fill="auto"/>
            <w:vAlign w:val="center"/>
          </w:tcPr>
          <w:p>
            <w:pPr>
              <w:spacing w:line="320" w:lineRule="exact"/>
              <w:jc w:val="both"/>
              <w:rPr>
                <w:rFonts w:ascii="Calibri" w:hAnsi="宋体" w:eastAsia="宋体" w:cs="Calibri"/>
                <w:color w:val="000000"/>
                <w:sz w:val="21"/>
                <w:szCs w:val="21"/>
              </w:rPr>
            </w:pPr>
          </w:p>
        </w:tc>
        <w:tc>
          <w:tcPr>
            <w:tcW w:w="2242" w:type="dxa"/>
            <w:shd w:val="clear" w:color="auto" w:fill="auto"/>
            <w:vAlign w:val="center"/>
          </w:tcPr>
          <w:p>
            <w:pPr>
              <w:spacing w:line="320" w:lineRule="exact"/>
              <w:jc w:val="both"/>
              <w:rPr>
                <w:rFonts w:ascii="Calibri" w:hAnsi="宋体" w:eastAsia="宋体" w:cs="Calibr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vMerge w:val="restart"/>
            <w:shd w:val="clear" w:color="auto" w:fill="auto"/>
            <w:vAlign w:val="center"/>
          </w:tcPr>
          <w:p>
            <w:pPr>
              <w:spacing w:line="320" w:lineRule="exact"/>
              <w:jc w:val="center"/>
              <w:rPr>
                <w:rFonts w:ascii="Calibri" w:hAnsi="宋体" w:eastAsia="宋体" w:cs="Calibri"/>
                <w:color w:val="000000"/>
                <w:sz w:val="21"/>
                <w:szCs w:val="21"/>
              </w:rPr>
            </w:pPr>
            <w:r>
              <w:rPr>
                <w:rFonts w:cs="Calibri Light"/>
                <w:color w:val="000000"/>
                <w:sz w:val="21"/>
                <w:szCs w:val="21"/>
              </w:rPr>
              <w:t>理赔专员</w:t>
            </w:r>
          </w:p>
        </w:tc>
        <w:tc>
          <w:tcPr>
            <w:tcW w:w="1121"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1701" w:type="dxa"/>
            <w:shd w:val="clear" w:color="auto" w:fill="auto"/>
            <w:vAlign w:val="center"/>
          </w:tcPr>
          <w:p>
            <w:pPr>
              <w:spacing w:line="320" w:lineRule="exact"/>
              <w:jc w:val="both"/>
              <w:rPr>
                <w:rFonts w:ascii="Calibri" w:hAnsi="宋体" w:eastAsia="宋体" w:cs="Calibri"/>
                <w:color w:val="000000"/>
                <w:sz w:val="21"/>
                <w:szCs w:val="21"/>
              </w:rPr>
            </w:pPr>
          </w:p>
        </w:tc>
        <w:tc>
          <w:tcPr>
            <w:tcW w:w="1417" w:type="dxa"/>
            <w:shd w:val="clear" w:color="auto" w:fill="auto"/>
            <w:vAlign w:val="center"/>
          </w:tcPr>
          <w:p>
            <w:pPr>
              <w:spacing w:line="320" w:lineRule="exact"/>
              <w:jc w:val="both"/>
              <w:rPr>
                <w:rFonts w:ascii="Calibri" w:hAnsi="宋体" w:eastAsia="宋体" w:cs="Calibri"/>
                <w:color w:val="000000"/>
                <w:sz w:val="21"/>
                <w:szCs w:val="21"/>
              </w:rPr>
            </w:pPr>
          </w:p>
        </w:tc>
        <w:tc>
          <w:tcPr>
            <w:tcW w:w="2242" w:type="dxa"/>
            <w:shd w:val="clear" w:color="auto" w:fill="auto"/>
            <w:vAlign w:val="center"/>
          </w:tcPr>
          <w:p>
            <w:pPr>
              <w:spacing w:line="320" w:lineRule="exact"/>
              <w:jc w:val="both"/>
              <w:rPr>
                <w:rFonts w:ascii="Calibri" w:hAnsi="宋体" w:eastAsia="宋体" w:cs="Calibr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vMerge w:val="continue"/>
            <w:shd w:val="clear" w:color="auto" w:fill="auto"/>
            <w:vAlign w:val="center"/>
          </w:tcPr>
          <w:p>
            <w:pPr>
              <w:spacing w:line="320" w:lineRule="exact"/>
              <w:jc w:val="center"/>
              <w:rPr>
                <w:rFonts w:ascii="Calibri" w:hAnsi="宋体" w:eastAsia="宋体" w:cs="Calibri"/>
                <w:color w:val="000000"/>
                <w:sz w:val="21"/>
                <w:szCs w:val="21"/>
              </w:rPr>
            </w:pPr>
          </w:p>
        </w:tc>
        <w:tc>
          <w:tcPr>
            <w:tcW w:w="1121"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1701" w:type="dxa"/>
            <w:shd w:val="clear" w:color="auto" w:fill="auto"/>
            <w:vAlign w:val="center"/>
          </w:tcPr>
          <w:p>
            <w:pPr>
              <w:spacing w:line="320" w:lineRule="exact"/>
              <w:jc w:val="both"/>
              <w:rPr>
                <w:rFonts w:ascii="Calibri" w:hAnsi="宋体" w:eastAsia="宋体" w:cs="Calibri"/>
                <w:color w:val="000000"/>
                <w:sz w:val="21"/>
                <w:szCs w:val="21"/>
              </w:rPr>
            </w:pPr>
          </w:p>
        </w:tc>
        <w:tc>
          <w:tcPr>
            <w:tcW w:w="1417" w:type="dxa"/>
            <w:shd w:val="clear" w:color="auto" w:fill="auto"/>
            <w:vAlign w:val="center"/>
          </w:tcPr>
          <w:p>
            <w:pPr>
              <w:spacing w:line="320" w:lineRule="exact"/>
              <w:jc w:val="both"/>
              <w:rPr>
                <w:rFonts w:ascii="Calibri" w:hAnsi="宋体" w:eastAsia="宋体" w:cs="Calibri"/>
                <w:color w:val="000000"/>
                <w:sz w:val="21"/>
                <w:szCs w:val="21"/>
              </w:rPr>
            </w:pPr>
          </w:p>
        </w:tc>
        <w:tc>
          <w:tcPr>
            <w:tcW w:w="2242" w:type="dxa"/>
            <w:shd w:val="clear" w:color="auto" w:fill="auto"/>
            <w:vAlign w:val="center"/>
          </w:tcPr>
          <w:p>
            <w:pPr>
              <w:spacing w:line="320" w:lineRule="exact"/>
              <w:jc w:val="both"/>
              <w:rPr>
                <w:rFonts w:ascii="Calibri" w:hAnsi="宋体" w:eastAsia="宋体" w:cs="Calibr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vMerge w:val="restart"/>
            <w:shd w:val="clear" w:color="auto" w:fill="auto"/>
            <w:vAlign w:val="center"/>
          </w:tcPr>
          <w:p>
            <w:pPr>
              <w:spacing w:line="320" w:lineRule="exact"/>
              <w:jc w:val="center"/>
              <w:rPr>
                <w:rFonts w:ascii="Calibri" w:hAnsi="宋体" w:eastAsia="宋体" w:cs="Calibri"/>
                <w:color w:val="000000"/>
                <w:sz w:val="21"/>
                <w:szCs w:val="21"/>
              </w:rPr>
            </w:pPr>
            <w:r>
              <w:rPr>
                <w:rFonts w:ascii="Calibri" w:hAnsi="宋体" w:eastAsia="宋体" w:cs="Calibri"/>
                <w:color w:val="000000"/>
                <w:sz w:val="21"/>
                <w:szCs w:val="21"/>
              </w:rPr>
              <w:t>其他人员</w:t>
            </w:r>
          </w:p>
        </w:tc>
        <w:tc>
          <w:tcPr>
            <w:tcW w:w="1121"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1701" w:type="dxa"/>
            <w:shd w:val="clear" w:color="auto" w:fill="auto"/>
            <w:vAlign w:val="center"/>
          </w:tcPr>
          <w:p>
            <w:pPr>
              <w:spacing w:line="320" w:lineRule="exact"/>
              <w:jc w:val="both"/>
              <w:rPr>
                <w:rFonts w:ascii="Calibri" w:hAnsi="宋体" w:eastAsia="宋体" w:cs="Calibri"/>
                <w:color w:val="000000"/>
                <w:sz w:val="21"/>
                <w:szCs w:val="21"/>
              </w:rPr>
            </w:pPr>
          </w:p>
        </w:tc>
        <w:tc>
          <w:tcPr>
            <w:tcW w:w="1417" w:type="dxa"/>
            <w:shd w:val="clear" w:color="auto" w:fill="auto"/>
            <w:vAlign w:val="center"/>
          </w:tcPr>
          <w:p>
            <w:pPr>
              <w:spacing w:line="320" w:lineRule="exact"/>
              <w:jc w:val="both"/>
              <w:rPr>
                <w:rFonts w:ascii="Calibri" w:hAnsi="宋体" w:eastAsia="宋体" w:cs="Calibri"/>
                <w:color w:val="000000"/>
                <w:sz w:val="21"/>
                <w:szCs w:val="21"/>
              </w:rPr>
            </w:pPr>
          </w:p>
        </w:tc>
        <w:tc>
          <w:tcPr>
            <w:tcW w:w="2242" w:type="dxa"/>
            <w:shd w:val="clear" w:color="auto" w:fill="auto"/>
            <w:vAlign w:val="center"/>
          </w:tcPr>
          <w:p>
            <w:pPr>
              <w:spacing w:line="320" w:lineRule="exact"/>
              <w:jc w:val="both"/>
              <w:rPr>
                <w:rFonts w:ascii="Calibri" w:hAnsi="宋体" w:eastAsia="宋体" w:cs="Calibr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vMerge w:val="continue"/>
            <w:shd w:val="clear" w:color="auto" w:fill="auto"/>
            <w:vAlign w:val="center"/>
          </w:tcPr>
          <w:p>
            <w:pPr>
              <w:spacing w:line="320" w:lineRule="exact"/>
              <w:jc w:val="center"/>
              <w:rPr>
                <w:rFonts w:ascii="Calibri" w:hAnsi="宋体" w:eastAsia="宋体" w:cs="Calibri"/>
                <w:color w:val="000000"/>
                <w:sz w:val="21"/>
                <w:szCs w:val="21"/>
              </w:rPr>
            </w:pPr>
          </w:p>
        </w:tc>
        <w:tc>
          <w:tcPr>
            <w:tcW w:w="1121"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709" w:type="dxa"/>
            <w:shd w:val="clear" w:color="auto" w:fill="auto"/>
            <w:vAlign w:val="center"/>
          </w:tcPr>
          <w:p>
            <w:pPr>
              <w:spacing w:line="320" w:lineRule="exact"/>
              <w:jc w:val="both"/>
              <w:rPr>
                <w:rFonts w:ascii="Calibri" w:hAnsi="宋体" w:eastAsia="宋体" w:cs="Calibri"/>
                <w:color w:val="000000"/>
                <w:sz w:val="21"/>
                <w:szCs w:val="21"/>
              </w:rPr>
            </w:pPr>
          </w:p>
        </w:tc>
        <w:tc>
          <w:tcPr>
            <w:tcW w:w="1701" w:type="dxa"/>
            <w:shd w:val="clear" w:color="auto" w:fill="auto"/>
            <w:vAlign w:val="center"/>
          </w:tcPr>
          <w:p>
            <w:pPr>
              <w:spacing w:line="320" w:lineRule="exact"/>
              <w:jc w:val="both"/>
              <w:rPr>
                <w:rFonts w:ascii="Calibri" w:hAnsi="宋体" w:eastAsia="宋体" w:cs="Calibri"/>
                <w:color w:val="000000"/>
                <w:sz w:val="21"/>
                <w:szCs w:val="21"/>
              </w:rPr>
            </w:pPr>
          </w:p>
        </w:tc>
        <w:tc>
          <w:tcPr>
            <w:tcW w:w="1417" w:type="dxa"/>
            <w:shd w:val="clear" w:color="auto" w:fill="auto"/>
            <w:vAlign w:val="center"/>
          </w:tcPr>
          <w:p>
            <w:pPr>
              <w:spacing w:line="320" w:lineRule="exact"/>
              <w:jc w:val="both"/>
              <w:rPr>
                <w:rFonts w:ascii="Calibri" w:hAnsi="宋体" w:eastAsia="宋体" w:cs="Calibri"/>
                <w:color w:val="000000"/>
                <w:sz w:val="21"/>
                <w:szCs w:val="21"/>
              </w:rPr>
            </w:pPr>
          </w:p>
        </w:tc>
        <w:tc>
          <w:tcPr>
            <w:tcW w:w="2242" w:type="dxa"/>
            <w:shd w:val="clear" w:color="auto" w:fill="auto"/>
            <w:vAlign w:val="center"/>
          </w:tcPr>
          <w:p>
            <w:pPr>
              <w:spacing w:line="320" w:lineRule="exact"/>
              <w:jc w:val="both"/>
              <w:rPr>
                <w:rFonts w:ascii="Calibri" w:hAnsi="宋体" w:eastAsia="宋体" w:cs="Calibr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6" w:type="dxa"/>
            <w:shd w:val="clear" w:color="auto" w:fill="auto"/>
            <w:vAlign w:val="center"/>
          </w:tcPr>
          <w:p>
            <w:pPr>
              <w:spacing w:line="320" w:lineRule="exact"/>
              <w:jc w:val="center"/>
              <w:rPr>
                <w:rFonts w:ascii="Calibri" w:hAnsi="宋体" w:eastAsia="宋体" w:cs="Calibri"/>
                <w:color w:val="000000"/>
                <w:sz w:val="21"/>
                <w:szCs w:val="21"/>
              </w:rPr>
            </w:pPr>
            <w:r>
              <w:rPr>
                <w:rFonts w:ascii="Calibri" w:hAnsi="宋体" w:eastAsia="宋体" w:cs="Calibri"/>
                <w:color w:val="000000"/>
                <w:sz w:val="21"/>
                <w:szCs w:val="21"/>
              </w:rPr>
              <w:t>备注</w:t>
            </w:r>
          </w:p>
        </w:tc>
        <w:tc>
          <w:tcPr>
            <w:tcW w:w="7899" w:type="dxa"/>
            <w:gridSpan w:val="6"/>
            <w:shd w:val="clear" w:color="auto" w:fill="auto"/>
            <w:vAlign w:val="center"/>
          </w:tcPr>
          <w:p>
            <w:pPr>
              <w:spacing w:line="320" w:lineRule="exact"/>
              <w:ind w:left="158" w:hanging="158"/>
              <w:jc w:val="both"/>
              <w:rPr>
                <w:rFonts w:hint="eastAsia" w:ascii="Calibri" w:hAnsi="宋体" w:eastAsia="宋体" w:cs="Calibri"/>
                <w:color w:val="000000"/>
                <w:sz w:val="21"/>
                <w:szCs w:val="21"/>
              </w:rPr>
            </w:pPr>
            <w:r>
              <w:rPr>
                <w:rFonts w:ascii="Calibri" w:hAnsi="宋体" w:eastAsia="宋体" w:cs="Calibri"/>
                <w:color w:val="000000"/>
                <w:sz w:val="21"/>
                <w:szCs w:val="21"/>
              </w:rPr>
              <w:t>① 表格行数不足时请自行扩展。</w:t>
            </w:r>
          </w:p>
        </w:tc>
      </w:tr>
    </w:tbl>
    <w:p>
      <w:pPr>
        <w:rPr>
          <w:rFonts w:ascii="Calibri" w:hAnsi="华文仿宋"/>
          <w:b/>
        </w:rPr>
      </w:pPr>
      <w:r>
        <w:rPr>
          <w:rFonts w:hint="eastAsia" w:ascii="Calibri" w:hAnsi="华文仿宋"/>
          <w:b/>
        </w:rPr>
        <w:t>2.……</w:t>
      </w: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6"/>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cstheme="minorHAnsi"/>
        </w:rPr>
      </w:pPr>
    </w:p>
    <w:p>
      <w:pPr>
        <w:rPr>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6"/>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3"/>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bookmarkStart w:id="34" w:name="OLE_LINK24"/>
      <w:bookmarkStart w:id="35" w:name="OLE_LINK23"/>
      <w:r>
        <w:rPr>
          <w:rFonts w:ascii="Calibri" w:hAnsi="Calibri" w:eastAsia="黑体"/>
          <w:kern w:val="28"/>
          <w:sz w:val="28"/>
        </w:rPr>
        <w:t>（三）享受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未按要求提供的，将不享受磋商文件</w:t>
      </w:r>
      <w:r>
        <w:rPr>
          <w:color w:val="C00000"/>
        </w:rPr>
        <w:t>规定的</w:t>
      </w:r>
      <w:r>
        <w:rPr>
          <w:rFonts w:hint="eastAsia"/>
          <w:color w:val="C00000"/>
        </w:rPr>
        <w:t>价格扣除，但不影响响应文件的有效性。</w:t>
      </w:r>
    </w:p>
    <w:p>
      <w:pPr>
        <w:ind w:firstLine="480" w:firstLineChars="200"/>
        <w:jc w:val="both"/>
      </w:pPr>
      <w:r>
        <w:rPr>
          <w:rFonts w:hint="eastAsia"/>
        </w:rPr>
        <w:t>成交供应商享受了政府采购优惠政策的，将随成交结果公开其声明函\证明函，接受社会监督。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2"/>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2"/>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2"/>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2"/>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jc w:val="center"/>
        <w:rPr>
          <w:rFonts w:cs="Calibri Light"/>
          <w:b/>
          <w:color w:val="1F4E79"/>
          <w:sz w:val="28"/>
          <w:szCs w:val="36"/>
        </w:rPr>
      </w:pPr>
      <w:r>
        <w:rPr>
          <w:rFonts w:cs="Calibri Light"/>
          <w:b/>
          <w:color w:val="1F4E79"/>
          <w:sz w:val="28"/>
          <w:szCs w:val="36"/>
        </w:rPr>
        <w:t>『中小企业声明函』（服务类格式）</w:t>
      </w:r>
    </w:p>
    <w:p>
      <w:pPr>
        <w:pStyle w:val="42"/>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2"/>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2"/>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2"/>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bookmarkEnd w:id="34"/>
      <w:bookmarkEnd w:id="35"/>
    </w:p>
    <w:sectPr>
      <w:footerReference r:id="rId27" w:type="default"/>
      <w:footerReference r:id="rId28"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6"/>
        <w:tab w:val="right" w:pos="907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6"/>
        <w:tab w:val="right" w:pos="907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陕西省西安市消防救援支队支队机关及直属单位车辆保险采购项目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陕西省西安市消防救援支队支队机关及直属单位车辆保险采购项目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陕西省西安市消防救援支队支队机关及直属单位车辆保险采购项目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100"/>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7B3"/>
    <w:rsid w:val="00044F32"/>
    <w:rsid w:val="00047455"/>
    <w:rsid w:val="00051EF3"/>
    <w:rsid w:val="00052177"/>
    <w:rsid w:val="000543B4"/>
    <w:rsid w:val="000547C0"/>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3FD2"/>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1CE"/>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B5F"/>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3559"/>
    <w:rsid w:val="001B49FD"/>
    <w:rsid w:val="001B5302"/>
    <w:rsid w:val="001B5B8B"/>
    <w:rsid w:val="001B6638"/>
    <w:rsid w:val="001C0305"/>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0E7C"/>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6D"/>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0820"/>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3890"/>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4BA8"/>
    <w:rsid w:val="002D5205"/>
    <w:rsid w:val="002D65D4"/>
    <w:rsid w:val="002D7418"/>
    <w:rsid w:val="002E1283"/>
    <w:rsid w:val="002E1660"/>
    <w:rsid w:val="002E379C"/>
    <w:rsid w:val="002E3BD8"/>
    <w:rsid w:val="002E43F6"/>
    <w:rsid w:val="002E44F8"/>
    <w:rsid w:val="002E45AE"/>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4783B"/>
    <w:rsid w:val="0035004F"/>
    <w:rsid w:val="003509CA"/>
    <w:rsid w:val="003511FC"/>
    <w:rsid w:val="00351734"/>
    <w:rsid w:val="0035221D"/>
    <w:rsid w:val="00354FCF"/>
    <w:rsid w:val="003551E0"/>
    <w:rsid w:val="003552C3"/>
    <w:rsid w:val="0035572B"/>
    <w:rsid w:val="00357EC3"/>
    <w:rsid w:val="00360830"/>
    <w:rsid w:val="0036148F"/>
    <w:rsid w:val="003626BC"/>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2F2"/>
    <w:rsid w:val="003943D1"/>
    <w:rsid w:val="0039449C"/>
    <w:rsid w:val="00394ED8"/>
    <w:rsid w:val="00395695"/>
    <w:rsid w:val="003966C3"/>
    <w:rsid w:val="00397EEA"/>
    <w:rsid w:val="003A0002"/>
    <w:rsid w:val="003A0295"/>
    <w:rsid w:val="003A0D83"/>
    <w:rsid w:val="003A192D"/>
    <w:rsid w:val="003A2A14"/>
    <w:rsid w:val="003A785E"/>
    <w:rsid w:val="003B086A"/>
    <w:rsid w:val="003B0D75"/>
    <w:rsid w:val="003B25DE"/>
    <w:rsid w:val="003B2AF6"/>
    <w:rsid w:val="003B3207"/>
    <w:rsid w:val="003B35A9"/>
    <w:rsid w:val="003B51A8"/>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091"/>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2C3"/>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537"/>
    <w:rsid w:val="004C17D4"/>
    <w:rsid w:val="004C48B9"/>
    <w:rsid w:val="004C5B48"/>
    <w:rsid w:val="004C6493"/>
    <w:rsid w:val="004C7371"/>
    <w:rsid w:val="004D11A6"/>
    <w:rsid w:val="004D2147"/>
    <w:rsid w:val="004D2BAF"/>
    <w:rsid w:val="004D2D8E"/>
    <w:rsid w:val="004D2F54"/>
    <w:rsid w:val="004D3590"/>
    <w:rsid w:val="004D4879"/>
    <w:rsid w:val="004D4AC1"/>
    <w:rsid w:val="004D6A1A"/>
    <w:rsid w:val="004D7112"/>
    <w:rsid w:val="004D7397"/>
    <w:rsid w:val="004D7C23"/>
    <w:rsid w:val="004D7F2C"/>
    <w:rsid w:val="004E07B6"/>
    <w:rsid w:val="004E0B6D"/>
    <w:rsid w:val="004E49E0"/>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65D"/>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07D36"/>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6F7C48"/>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574A"/>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822A9"/>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3F78"/>
    <w:rsid w:val="007E5F41"/>
    <w:rsid w:val="007E6311"/>
    <w:rsid w:val="007E6CF2"/>
    <w:rsid w:val="007F0BE0"/>
    <w:rsid w:val="007F1EB4"/>
    <w:rsid w:val="007F5493"/>
    <w:rsid w:val="007F575C"/>
    <w:rsid w:val="007F5B53"/>
    <w:rsid w:val="007F60D5"/>
    <w:rsid w:val="007F6DC7"/>
    <w:rsid w:val="0080075E"/>
    <w:rsid w:val="00801F91"/>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58A7"/>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2F1"/>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0D25"/>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30D3"/>
    <w:rsid w:val="0090408F"/>
    <w:rsid w:val="009066DC"/>
    <w:rsid w:val="00906F8A"/>
    <w:rsid w:val="009104E4"/>
    <w:rsid w:val="00910A37"/>
    <w:rsid w:val="00911C4C"/>
    <w:rsid w:val="00912421"/>
    <w:rsid w:val="00913E8C"/>
    <w:rsid w:val="00913EA0"/>
    <w:rsid w:val="00915570"/>
    <w:rsid w:val="0091611D"/>
    <w:rsid w:val="00916267"/>
    <w:rsid w:val="00917373"/>
    <w:rsid w:val="009173A3"/>
    <w:rsid w:val="00917B62"/>
    <w:rsid w:val="00917EB0"/>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3984"/>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2E0"/>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5D4C"/>
    <w:rsid w:val="00A0600A"/>
    <w:rsid w:val="00A06B7F"/>
    <w:rsid w:val="00A06FBD"/>
    <w:rsid w:val="00A07D9C"/>
    <w:rsid w:val="00A109CC"/>
    <w:rsid w:val="00A13EDB"/>
    <w:rsid w:val="00A14C4D"/>
    <w:rsid w:val="00A14C72"/>
    <w:rsid w:val="00A15845"/>
    <w:rsid w:val="00A16B48"/>
    <w:rsid w:val="00A17AE9"/>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095"/>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BBC"/>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4A3C"/>
    <w:rsid w:val="00AB6831"/>
    <w:rsid w:val="00AB7A0E"/>
    <w:rsid w:val="00AC0409"/>
    <w:rsid w:val="00AC0C60"/>
    <w:rsid w:val="00AC1643"/>
    <w:rsid w:val="00AC178D"/>
    <w:rsid w:val="00AC1897"/>
    <w:rsid w:val="00AC1A52"/>
    <w:rsid w:val="00AC2E63"/>
    <w:rsid w:val="00AC2EA5"/>
    <w:rsid w:val="00AC36EF"/>
    <w:rsid w:val="00AC3A70"/>
    <w:rsid w:val="00AC3B1D"/>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0F0C"/>
    <w:rsid w:val="00B81B0E"/>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A73"/>
    <w:rsid w:val="00BC3C19"/>
    <w:rsid w:val="00BC4501"/>
    <w:rsid w:val="00BC4B27"/>
    <w:rsid w:val="00BC4BC8"/>
    <w:rsid w:val="00BC5C23"/>
    <w:rsid w:val="00BC71FD"/>
    <w:rsid w:val="00BD15BE"/>
    <w:rsid w:val="00BD23DC"/>
    <w:rsid w:val="00BD2E19"/>
    <w:rsid w:val="00BD3BF3"/>
    <w:rsid w:val="00BD5316"/>
    <w:rsid w:val="00BD59EA"/>
    <w:rsid w:val="00BD6613"/>
    <w:rsid w:val="00BD7A29"/>
    <w:rsid w:val="00BE120A"/>
    <w:rsid w:val="00BE1F49"/>
    <w:rsid w:val="00BE32FA"/>
    <w:rsid w:val="00BE41BE"/>
    <w:rsid w:val="00BE4EBB"/>
    <w:rsid w:val="00BE6F8C"/>
    <w:rsid w:val="00BE735F"/>
    <w:rsid w:val="00BE7C8B"/>
    <w:rsid w:val="00BF0B0F"/>
    <w:rsid w:val="00BF150A"/>
    <w:rsid w:val="00BF2D38"/>
    <w:rsid w:val="00BF30A5"/>
    <w:rsid w:val="00BF3210"/>
    <w:rsid w:val="00BF3B09"/>
    <w:rsid w:val="00BF449C"/>
    <w:rsid w:val="00BF4A06"/>
    <w:rsid w:val="00BF4B27"/>
    <w:rsid w:val="00BF6335"/>
    <w:rsid w:val="00BF6721"/>
    <w:rsid w:val="00C02DA8"/>
    <w:rsid w:val="00C03270"/>
    <w:rsid w:val="00C03937"/>
    <w:rsid w:val="00C03D8E"/>
    <w:rsid w:val="00C044EA"/>
    <w:rsid w:val="00C048FB"/>
    <w:rsid w:val="00C04CFA"/>
    <w:rsid w:val="00C06BE4"/>
    <w:rsid w:val="00C074A8"/>
    <w:rsid w:val="00C076EF"/>
    <w:rsid w:val="00C1262A"/>
    <w:rsid w:val="00C1444A"/>
    <w:rsid w:val="00C144BA"/>
    <w:rsid w:val="00C15E59"/>
    <w:rsid w:val="00C15E84"/>
    <w:rsid w:val="00C16C84"/>
    <w:rsid w:val="00C17537"/>
    <w:rsid w:val="00C20D1A"/>
    <w:rsid w:val="00C21DB4"/>
    <w:rsid w:val="00C224CD"/>
    <w:rsid w:val="00C25539"/>
    <w:rsid w:val="00C25B4A"/>
    <w:rsid w:val="00C25C2B"/>
    <w:rsid w:val="00C2744F"/>
    <w:rsid w:val="00C318D3"/>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39F"/>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87F93"/>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F84"/>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691"/>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D9A"/>
    <w:rsid w:val="00E30E7D"/>
    <w:rsid w:val="00E31BA9"/>
    <w:rsid w:val="00E332F8"/>
    <w:rsid w:val="00E33659"/>
    <w:rsid w:val="00E40872"/>
    <w:rsid w:val="00E41594"/>
    <w:rsid w:val="00E4296F"/>
    <w:rsid w:val="00E44D88"/>
    <w:rsid w:val="00E46034"/>
    <w:rsid w:val="00E46A08"/>
    <w:rsid w:val="00E47BE1"/>
    <w:rsid w:val="00E518FB"/>
    <w:rsid w:val="00E51911"/>
    <w:rsid w:val="00E536E4"/>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434"/>
    <w:rsid w:val="00EF659E"/>
    <w:rsid w:val="00EF6A13"/>
    <w:rsid w:val="00EF74D5"/>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3D57"/>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A771A"/>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C7B26"/>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295"/>
    <w:rsid w:val="00FF568F"/>
    <w:rsid w:val="00FF7091"/>
    <w:rsid w:val="00FF756F"/>
    <w:rsid w:val="70153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8"/>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9"/>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60"/>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2"/>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3"/>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4"/>
    <w:semiHidden/>
    <w:unhideWhenUsed/>
    <w:qFormat/>
    <w:uiPriority w:val="9"/>
    <w:pPr>
      <w:numPr>
        <w:ilvl w:val="6"/>
        <w:numId w:val="1"/>
      </w:numPr>
      <w:spacing w:before="240" w:after="60"/>
      <w:outlineLvl w:val="6"/>
    </w:pPr>
  </w:style>
  <w:style w:type="paragraph" w:styleId="9">
    <w:name w:val="heading 8"/>
    <w:basedOn w:val="1"/>
    <w:next w:val="1"/>
    <w:link w:val="65"/>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90"/>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2"/>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w:basedOn w:val="1"/>
    <w:next w:val="1"/>
    <w:link w:val="101"/>
    <w:qFormat/>
    <w:uiPriority w:val="99"/>
    <w:pPr>
      <w:widowControl w:val="0"/>
      <w:ind w:right="-84" w:rightChars="-40"/>
      <w:jc w:val="center"/>
    </w:pPr>
    <w:rPr>
      <w:rFonts w:ascii="Calibri" w:hAnsi="Calibri" w:eastAsia="宋体"/>
      <w:kern w:val="2"/>
      <w:sz w:val="21"/>
      <w:szCs w:val="22"/>
    </w:rPr>
  </w:style>
  <w:style w:type="paragraph" w:styleId="15">
    <w:name w:val="Plain Text"/>
    <w:basedOn w:val="1"/>
    <w:link w:val="94"/>
    <w:unhideWhenUsed/>
    <w:qFormat/>
    <w:uiPriority w:val="0"/>
    <w:rPr>
      <w:rFonts w:ascii="宋体" w:hAnsi="Courier New" w:eastAsia="宋体" w:cs="Courier New"/>
      <w:sz w:val="21"/>
      <w:szCs w:val="21"/>
    </w:rPr>
  </w:style>
  <w:style w:type="paragraph" w:styleId="16">
    <w:name w:val="Date"/>
    <w:basedOn w:val="1"/>
    <w:next w:val="1"/>
    <w:link w:val="55"/>
    <w:unhideWhenUsed/>
    <w:qFormat/>
    <w:uiPriority w:val="0"/>
    <w:pPr>
      <w:ind w:left="100" w:leftChars="2500"/>
    </w:pPr>
  </w:style>
  <w:style w:type="paragraph" w:styleId="17">
    <w:name w:val="Balloon Text"/>
    <w:basedOn w:val="1"/>
    <w:link w:val="81"/>
    <w:semiHidden/>
    <w:unhideWhenUsed/>
    <w:qFormat/>
    <w:uiPriority w:val="99"/>
    <w:rPr>
      <w:sz w:val="18"/>
      <w:szCs w:val="18"/>
    </w:rPr>
  </w:style>
  <w:style w:type="paragraph" w:styleId="18">
    <w:name w:val="footer"/>
    <w:basedOn w:val="1"/>
    <w:link w:val="57"/>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8"/>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0"/>
  </w:style>
  <w:style w:type="paragraph" w:styleId="23">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9"/>
    <w:semiHidden/>
    <w:unhideWhenUsed/>
    <w:qFormat/>
    <w:uiPriority w:val="99"/>
    <w:rPr>
      <w:b/>
      <w:bCs/>
    </w:rPr>
  </w:style>
  <w:style w:type="paragraph" w:styleId="25">
    <w:name w:val="Body Text First Indent"/>
    <w:basedOn w:val="14"/>
    <w:link w:val="102"/>
    <w:qFormat/>
    <w:uiPriority w:val="0"/>
    <w:pPr>
      <w:ind w:firstLine="420" w:firstLineChars="1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qFormat/>
    <w:uiPriority w:val="0"/>
    <w:rPr>
      <w:rFonts w:ascii="Times New Roman" w:hAnsi="Times New Roman" w:eastAsia="宋体" w:cs="Times New Roman"/>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basedOn w:val="28"/>
    <w:qFormat/>
    <w:uiPriority w:val="20"/>
    <w:rPr>
      <w:rFonts w:asciiTheme="minorHAnsi" w:hAnsiTheme="minorHAnsi"/>
      <w:b/>
      <w:i/>
      <w:iCs/>
    </w:rPr>
  </w:style>
  <w:style w:type="character" w:styleId="33">
    <w:name w:val="Hyperlink"/>
    <w:basedOn w:val="28"/>
    <w:unhideWhenUsed/>
    <w:qFormat/>
    <w:uiPriority w:val="99"/>
    <w:rPr>
      <w:color w:val="0563C1" w:themeColor="hyperlink"/>
      <w:u w:val="single"/>
      <w14:textFill>
        <w14:solidFill>
          <w14:schemeClr w14:val="hlink"/>
        </w14:solidFill>
      </w14:textFill>
    </w:rPr>
  </w:style>
  <w:style w:type="character" w:styleId="34">
    <w:name w:val="annotation reference"/>
    <w:basedOn w:val="28"/>
    <w:semiHidden/>
    <w:unhideWhenUsed/>
    <w:qFormat/>
    <w:uiPriority w:val="99"/>
    <w:rPr>
      <w:sz w:val="21"/>
      <w:szCs w:val="21"/>
    </w:rPr>
  </w:style>
  <w:style w:type="paragraph" w:customStyle="1" w:styleId="35">
    <w:name w:val="※封面大标题"/>
    <w:basedOn w:val="1"/>
    <w:next w:val="1"/>
    <w:qFormat/>
    <w:uiPriority w:val="0"/>
    <w:pPr>
      <w:jc w:val="center"/>
    </w:pPr>
    <w:rPr>
      <w:rFonts w:ascii="华文中宋" w:hAnsi="华文中宋" w:eastAsia="华文中宋"/>
      <w:sz w:val="96"/>
      <w:szCs w:val="96"/>
    </w:rPr>
  </w:style>
  <w:style w:type="paragraph" w:customStyle="1" w:styleId="36">
    <w:name w:val="※封面题颌"/>
    <w:basedOn w:val="1"/>
    <w:next w:val="1"/>
    <w:qFormat/>
    <w:uiPriority w:val="0"/>
    <w:pPr>
      <w:jc w:val="center"/>
    </w:pPr>
    <w:rPr>
      <w:rFonts w:ascii="Calibri Light" w:hAnsi="Calibri Light" w:eastAsia="华文仿宋"/>
      <w:sz w:val="36"/>
      <w:szCs w:val="36"/>
    </w:rPr>
  </w:style>
  <w:style w:type="paragraph" w:customStyle="1" w:styleId="37">
    <w:name w:val="※封面题眉"/>
    <w:basedOn w:val="1"/>
    <w:next w:val="35"/>
    <w:qFormat/>
    <w:uiPriority w:val="0"/>
    <w:pPr>
      <w:jc w:val="center"/>
    </w:pPr>
    <w:rPr>
      <w:rFonts w:ascii="华文仿宋" w:hAnsi="华文仿宋" w:eastAsia="华文仿宋"/>
      <w:sz w:val="52"/>
      <w:szCs w:val="28"/>
    </w:rPr>
  </w:style>
  <w:style w:type="paragraph" w:customStyle="1" w:styleId="38">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9">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0">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1">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2">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3">
    <w:name w:val="※小标题 一"/>
    <w:basedOn w:val="42"/>
    <w:next w:val="42"/>
    <w:qFormat/>
    <w:uiPriority w:val="0"/>
    <w:pPr>
      <w:spacing w:before="120" w:line="240" w:lineRule="auto"/>
      <w:outlineLvl w:val="2"/>
    </w:pPr>
    <w:rPr>
      <w:b/>
      <w:color w:val="203864" w:themeColor="accent5" w:themeShade="80"/>
      <w:sz w:val="32"/>
    </w:rPr>
  </w:style>
  <w:style w:type="paragraph" w:customStyle="1" w:styleId="44">
    <w:name w:val="※小标题（1）"/>
    <w:basedOn w:val="1"/>
    <w:next w:val="42"/>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5">
    <w:name w:val="※小标题（一）"/>
    <w:basedOn w:val="1"/>
    <w:next w:val="42"/>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6">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7">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8">
    <w:name w:val="※页眉"/>
    <w:basedOn w:val="42"/>
    <w:qFormat/>
    <w:uiPriority w:val="0"/>
    <w:pPr>
      <w:pBdr>
        <w:bottom w:val="single" w:color="auto" w:sz="4" w:space="1"/>
      </w:pBdr>
      <w:spacing w:line="240" w:lineRule="atLeast"/>
      <w:jc w:val="right"/>
    </w:pPr>
    <w:rPr>
      <w:rFonts w:ascii="宋体" w:hAnsi="宋体" w:eastAsia="宋体"/>
      <w:sz w:val="18"/>
    </w:rPr>
  </w:style>
  <w:style w:type="paragraph" w:customStyle="1" w:styleId="49">
    <w:name w:val="※章节标题（第X章）"/>
    <w:basedOn w:val="1"/>
    <w:qFormat/>
    <w:uiPriority w:val="0"/>
    <w:pPr>
      <w:jc w:val="center"/>
      <w:outlineLvl w:val="0"/>
    </w:pPr>
    <w:rPr>
      <w:rFonts w:ascii="Calibri Light" w:hAnsi="Calibri Light" w:eastAsia="黑体"/>
      <w:sz w:val="36"/>
      <w:szCs w:val="28"/>
    </w:rPr>
  </w:style>
  <w:style w:type="paragraph" w:customStyle="1" w:styleId="50">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1">
    <w:name w:val="※章节标题（第Z部分分项）"/>
    <w:basedOn w:val="50"/>
    <w:qFormat/>
    <w:uiPriority w:val="0"/>
    <w:pPr>
      <w:outlineLvl w:val="2"/>
    </w:pPr>
  </w:style>
  <w:style w:type="paragraph" w:customStyle="1" w:styleId="52">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3">
    <w:name w:val="※正文（缩进2）"/>
    <w:basedOn w:val="42"/>
    <w:qFormat/>
    <w:uiPriority w:val="0"/>
    <w:pPr>
      <w:ind w:firstLine="200" w:firstLineChars="200"/>
    </w:pPr>
  </w:style>
  <w:style w:type="paragraph" w:customStyle="1" w:styleId="54">
    <w:name w:val="※正文（缩进4）"/>
    <w:basedOn w:val="42"/>
    <w:qFormat/>
    <w:uiPriority w:val="0"/>
    <w:pPr>
      <w:ind w:firstLine="400" w:firstLineChars="400"/>
    </w:pPr>
  </w:style>
  <w:style w:type="character" w:customStyle="1" w:styleId="55">
    <w:name w:val="日期 Char"/>
    <w:basedOn w:val="28"/>
    <w:link w:val="16"/>
    <w:semiHidden/>
    <w:qFormat/>
    <w:uiPriority w:val="99"/>
    <w:rPr>
      <w:rFonts w:ascii="华文仿宋" w:hAnsi="华文仿宋" w:eastAsia="华文仿宋"/>
      <w:sz w:val="28"/>
      <w:szCs w:val="28"/>
    </w:rPr>
  </w:style>
  <w:style w:type="character" w:customStyle="1" w:styleId="56">
    <w:name w:val="页眉 Char"/>
    <w:basedOn w:val="28"/>
    <w:link w:val="19"/>
    <w:qFormat/>
    <w:uiPriority w:val="99"/>
    <w:rPr>
      <w:rFonts w:ascii="华文仿宋" w:hAnsi="华文仿宋" w:eastAsia="华文仿宋"/>
      <w:sz w:val="18"/>
      <w:szCs w:val="18"/>
    </w:rPr>
  </w:style>
  <w:style w:type="character" w:customStyle="1" w:styleId="57">
    <w:name w:val="页脚 Char"/>
    <w:basedOn w:val="28"/>
    <w:link w:val="18"/>
    <w:qFormat/>
    <w:uiPriority w:val="99"/>
    <w:rPr>
      <w:rFonts w:ascii="华文仿宋" w:hAnsi="华文仿宋" w:eastAsia="华文仿宋"/>
      <w:sz w:val="18"/>
      <w:szCs w:val="18"/>
    </w:rPr>
  </w:style>
  <w:style w:type="character" w:customStyle="1" w:styleId="58">
    <w:name w:val="标题 1 Char"/>
    <w:basedOn w:val="28"/>
    <w:link w:val="2"/>
    <w:qFormat/>
    <w:uiPriority w:val="9"/>
    <w:rPr>
      <w:rFonts w:ascii="Calibri" w:hAnsi="Calibri" w:eastAsia="黑体"/>
      <w:bCs/>
      <w:kern w:val="36"/>
      <w:sz w:val="32"/>
      <w:szCs w:val="32"/>
    </w:rPr>
  </w:style>
  <w:style w:type="character" w:customStyle="1" w:styleId="59">
    <w:name w:val="标题 2 Char"/>
    <w:basedOn w:val="28"/>
    <w:link w:val="3"/>
    <w:qFormat/>
    <w:uiPriority w:val="9"/>
    <w:rPr>
      <w:rFonts w:ascii="Calibri" w:hAnsi="Calibri" w:eastAsia="黑体" w:cstheme="majorBidi"/>
      <w:bCs/>
      <w:iCs/>
      <w:kern w:val="32"/>
      <w:sz w:val="28"/>
      <w:szCs w:val="28"/>
    </w:rPr>
  </w:style>
  <w:style w:type="character" w:customStyle="1" w:styleId="60">
    <w:name w:val="标题 3 Char"/>
    <w:basedOn w:val="28"/>
    <w:link w:val="4"/>
    <w:qFormat/>
    <w:uiPriority w:val="9"/>
    <w:rPr>
      <w:rFonts w:ascii="Calibri Light" w:hAnsi="Calibri Light" w:eastAsia="宋体"/>
      <w:b/>
      <w:bCs/>
      <w:kern w:val="30"/>
      <w:sz w:val="24"/>
      <w:szCs w:val="26"/>
    </w:rPr>
  </w:style>
  <w:style w:type="character" w:customStyle="1" w:styleId="61">
    <w:name w:val="标题 4 Char"/>
    <w:basedOn w:val="28"/>
    <w:link w:val="5"/>
    <w:semiHidden/>
    <w:qFormat/>
    <w:uiPriority w:val="9"/>
    <w:rPr>
      <w:rFonts w:cstheme="majorBidi"/>
      <w:b/>
      <w:bCs/>
      <w:sz w:val="28"/>
      <w:szCs w:val="28"/>
    </w:rPr>
  </w:style>
  <w:style w:type="character" w:customStyle="1" w:styleId="62">
    <w:name w:val="标题 5 Char"/>
    <w:basedOn w:val="28"/>
    <w:link w:val="6"/>
    <w:semiHidden/>
    <w:qFormat/>
    <w:uiPriority w:val="9"/>
    <w:rPr>
      <w:b/>
      <w:bCs/>
      <w:i/>
      <w:iCs/>
      <w:sz w:val="26"/>
      <w:szCs w:val="26"/>
    </w:rPr>
  </w:style>
  <w:style w:type="character" w:customStyle="1" w:styleId="63">
    <w:name w:val="标题 6 Char"/>
    <w:basedOn w:val="28"/>
    <w:link w:val="7"/>
    <w:semiHidden/>
    <w:qFormat/>
    <w:uiPriority w:val="9"/>
    <w:rPr>
      <w:rFonts w:cstheme="majorBidi"/>
      <w:b/>
      <w:bCs/>
    </w:rPr>
  </w:style>
  <w:style w:type="character" w:customStyle="1" w:styleId="64">
    <w:name w:val="标题 7 Char"/>
    <w:basedOn w:val="28"/>
    <w:link w:val="8"/>
    <w:semiHidden/>
    <w:qFormat/>
    <w:uiPriority w:val="9"/>
    <w:rPr>
      <w:sz w:val="24"/>
      <w:szCs w:val="24"/>
    </w:rPr>
  </w:style>
  <w:style w:type="character" w:customStyle="1" w:styleId="65">
    <w:name w:val="标题 8 Char"/>
    <w:basedOn w:val="28"/>
    <w:link w:val="9"/>
    <w:semiHidden/>
    <w:qFormat/>
    <w:uiPriority w:val="9"/>
    <w:rPr>
      <w:rFonts w:cstheme="majorBidi"/>
      <w:i/>
      <w:iCs/>
      <w:sz w:val="24"/>
      <w:szCs w:val="24"/>
    </w:rPr>
  </w:style>
  <w:style w:type="character" w:customStyle="1" w:styleId="66">
    <w:name w:val="标题 9 Char"/>
    <w:basedOn w:val="28"/>
    <w:link w:val="10"/>
    <w:semiHidden/>
    <w:qFormat/>
    <w:uiPriority w:val="9"/>
    <w:rPr>
      <w:rFonts w:asciiTheme="majorHAnsi" w:hAnsiTheme="majorHAnsi" w:eastAsiaTheme="majorEastAsia" w:cstheme="majorBidi"/>
    </w:rPr>
  </w:style>
  <w:style w:type="character" w:customStyle="1" w:styleId="67">
    <w:name w:val="标题 Char"/>
    <w:basedOn w:val="28"/>
    <w:link w:val="23"/>
    <w:qFormat/>
    <w:uiPriority w:val="10"/>
    <w:rPr>
      <w:rFonts w:asciiTheme="majorHAnsi" w:hAnsiTheme="majorHAnsi" w:eastAsiaTheme="majorEastAsia" w:cstheme="majorBidi"/>
      <w:b/>
      <w:bCs/>
      <w:kern w:val="28"/>
      <w:sz w:val="32"/>
      <w:szCs w:val="32"/>
    </w:rPr>
  </w:style>
  <w:style w:type="character" w:customStyle="1" w:styleId="68">
    <w:name w:val="副标题 Char"/>
    <w:basedOn w:val="28"/>
    <w:link w:val="21"/>
    <w:qFormat/>
    <w:uiPriority w:val="11"/>
    <w:rPr>
      <w:rFonts w:ascii="Calibri" w:hAnsi="Calibri" w:eastAsia="黑体" w:cstheme="majorBidi"/>
      <w:sz w:val="32"/>
      <w:szCs w:val="24"/>
    </w:rPr>
  </w:style>
  <w:style w:type="paragraph" w:styleId="69">
    <w:name w:val="No Spacing"/>
    <w:basedOn w:val="1"/>
    <w:qFormat/>
    <w:uiPriority w:val="1"/>
    <w:rPr>
      <w:szCs w:val="32"/>
    </w:rPr>
  </w:style>
  <w:style w:type="paragraph" w:styleId="70">
    <w:name w:val="List Paragraph"/>
    <w:basedOn w:val="1"/>
    <w:qFormat/>
    <w:uiPriority w:val="0"/>
    <w:pPr>
      <w:ind w:left="720"/>
      <w:contextualSpacing/>
    </w:pPr>
  </w:style>
  <w:style w:type="paragraph" w:styleId="71">
    <w:name w:val="Quote"/>
    <w:basedOn w:val="1"/>
    <w:next w:val="1"/>
    <w:link w:val="72"/>
    <w:qFormat/>
    <w:uiPriority w:val="29"/>
    <w:rPr>
      <w:i/>
    </w:rPr>
  </w:style>
  <w:style w:type="character" w:customStyle="1" w:styleId="72">
    <w:name w:val="引用 Char"/>
    <w:basedOn w:val="28"/>
    <w:link w:val="71"/>
    <w:qFormat/>
    <w:uiPriority w:val="29"/>
    <w:rPr>
      <w:i/>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Char"/>
    <w:basedOn w:val="28"/>
    <w:link w:val="73"/>
    <w:qFormat/>
    <w:uiPriority w:val="30"/>
    <w:rPr>
      <w:b/>
      <w:i/>
      <w:sz w:val="24"/>
    </w:rPr>
  </w:style>
  <w:style w:type="character" w:customStyle="1" w:styleId="75">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6">
    <w:name w:val="Intense Emphasis"/>
    <w:basedOn w:val="28"/>
    <w:qFormat/>
    <w:uiPriority w:val="21"/>
    <w:rPr>
      <w:b/>
      <w:i/>
      <w:sz w:val="24"/>
      <w:szCs w:val="24"/>
      <w:u w:val="single"/>
    </w:rPr>
  </w:style>
  <w:style w:type="character" w:customStyle="1" w:styleId="77">
    <w:name w:val="Subtle Reference"/>
    <w:basedOn w:val="28"/>
    <w:qFormat/>
    <w:uiPriority w:val="31"/>
    <w:rPr>
      <w:sz w:val="24"/>
      <w:szCs w:val="24"/>
      <w:u w:val="single"/>
    </w:rPr>
  </w:style>
  <w:style w:type="character" w:customStyle="1" w:styleId="78">
    <w:name w:val="Intense Reference"/>
    <w:basedOn w:val="28"/>
    <w:qFormat/>
    <w:uiPriority w:val="32"/>
    <w:rPr>
      <w:b/>
      <w:sz w:val="24"/>
      <w:u w:val="single"/>
    </w:rPr>
  </w:style>
  <w:style w:type="character" w:customStyle="1" w:styleId="79">
    <w:name w:val="Book Title"/>
    <w:basedOn w:val="28"/>
    <w:qFormat/>
    <w:uiPriority w:val="33"/>
    <w:rPr>
      <w:rFonts w:asciiTheme="majorHAnsi" w:hAnsiTheme="majorHAnsi" w:eastAsiaTheme="majorEastAsia"/>
      <w:b/>
      <w:i/>
      <w:sz w:val="24"/>
      <w:szCs w:val="24"/>
    </w:rPr>
  </w:style>
  <w:style w:type="paragraph" w:customStyle="1" w:styleId="80">
    <w:name w:val="TOC Heading"/>
    <w:basedOn w:val="2"/>
    <w:next w:val="1"/>
    <w:semiHidden/>
    <w:unhideWhenUsed/>
    <w:qFormat/>
    <w:uiPriority w:val="39"/>
    <w:pPr>
      <w:outlineLvl w:val="9"/>
    </w:pPr>
  </w:style>
  <w:style w:type="character" w:customStyle="1" w:styleId="81">
    <w:name w:val="批注框文本 Char"/>
    <w:basedOn w:val="28"/>
    <w:link w:val="17"/>
    <w:semiHidden/>
    <w:qFormat/>
    <w:uiPriority w:val="99"/>
    <w:rPr>
      <w:sz w:val="18"/>
      <w:szCs w:val="18"/>
    </w:rPr>
  </w:style>
  <w:style w:type="character" w:customStyle="1" w:styleId="82">
    <w:name w:val="批注文字 Char"/>
    <w:basedOn w:val="28"/>
    <w:link w:val="13"/>
    <w:qFormat/>
    <w:uiPriority w:val="99"/>
    <w:rPr>
      <w:rFonts w:ascii="Calibri Light" w:hAnsi="Calibri Light" w:eastAsia="华文仿宋" w:cs="Calibri Light"/>
      <w:kern w:val="2"/>
      <w:sz w:val="28"/>
      <w:szCs w:val="28"/>
    </w:rPr>
  </w:style>
  <w:style w:type="paragraph" w:customStyle="1" w:styleId="83">
    <w:name w:val="@正文"/>
    <w:basedOn w:val="4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4">
    <w:name w:val="@一级小标题"/>
    <w:basedOn w:val="1"/>
    <w:next w:val="83"/>
    <w:qFormat/>
    <w:uiPriority w:val="0"/>
    <w:pPr>
      <w:keepNext/>
      <w:spacing w:before="120" w:after="60"/>
      <w:outlineLvl w:val="2"/>
    </w:pPr>
    <w:rPr>
      <w:rFonts w:ascii="Calibri" w:hAnsi="Calibri" w:eastAsia="黑体"/>
      <w:kern w:val="28"/>
      <w:sz w:val="28"/>
    </w:rPr>
  </w:style>
  <w:style w:type="paragraph" w:customStyle="1" w:styleId="85">
    <w:name w:val="@标题"/>
    <w:basedOn w:val="1"/>
    <w:next w:val="83"/>
    <w:qFormat/>
    <w:uiPriority w:val="0"/>
    <w:pPr>
      <w:keepNext/>
      <w:spacing w:before="50" w:beforeLines="50" w:after="50" w:afterLines="50"/>
      <w:jc w:val="center"/>
      <w:outlineLvl w:val="1"/>
    </w:pPr>
    <w:rPr>
      <w:rFonts w:ascii="Calibri" w:hAnsi="Calibri" w:eastAsia="黑体"/>
      <w:kern w:val="32"/>
      <w:sz w:val="32"/>
    </w:rPr>
  </w:style>
  <w:style w:type="table" w:customStyle="1" w:styleId="86">
    <w:name w:val="网格型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页眉 Char1"/>
    <w:basedOn w:val="28"/>
    <w:semiHidden/>
    <w:qFormat/>
    <w:uiPriority w:val="99"/>
    <w:rPr>
      <w:rFonts w:cs="Calibri Light"/>
      <w:sz w:val="18"/>
      <w:szCs w:val="18"/>
    </w:rPr>
  </w:style>
  <w:style w:type="character" w:customStyle="1" w:styleId="88">
    <w:name w:val="页脚 Char1"/>
    <w:basedOn w:val="28"/>
    <w:semiHidden/>
    <w:qFormat/>
    <w:uiPriority w:val="99"/>
    <w:rPr>
      <w:rFonts w:cs="Calibri Light"/>
      <w:sz w:val="18"/>
      <w:szCs w:val="18"/>
    </w:rPr>
  </w:style>
  <w:style w:type="character" w:customStyle="1" w:styleId="89">
    <w:name w:val="批注主题 Char"/>
    <w:basedOn w:val="82"/>
    <w:link w:val="24"/>
    <w:semiHidden/>
    <w:qFormat/>
    <w:uiPriority w:val="99"/>
    <w:rPr>
      <w:rFonts w:ascii="Calibri Light" w:hAnsi="Calibri Light" w:eastAsia="华文仿宋" w:cs="Calibri Light"/>
      <w:b/>
      <w:bCs/>
      <w:kern w:val="2"/>
      <w:sz w:val="28"/>
      <w:szCs w:val="28"/>
    </w:rPr>
  </w:style>
  <w:style w:type="character" w:customStyle="1" w:styleId="90">
    <w:name w:val="文档结构图 Char"/>
    <w:basedOn w:val="28"/>
    <w:link w:val="12"/>
    <w:semiHidden/>
    <w:qFormat/>
    <w:uiPriority w:val="99"/>
    <w:rPr>
      <w:rFonts w:ascii="宋体" w:hAnsi="Calibri Light" w:eastAsia="宋体" w:cs="Calibri Light"/>
      <w:kern w:val="2"/>
      <w:sz w:val="18"/>
      <w:szCs w:val="18"/>
    </w:rPr>
  </w:style>
  <w:style w:type="character" w:styleId="91">
    <w:name w:val="Placeholder Text"/>
    <w:basedOn w:val="28"/>
    <w:semiHidden/>
    <w:qFormat/>
    <w:uiPriority w:val="99"/>
    <w:rPr>
      <w:color w:val="808080"/>
    </w:rPr>
  </w:style>
  <w:style w:type="table" w:customStyle="1" w:styleId="92">
    <w:name w:val="网格型1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网格型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纯文本 Char"/>
    <w:basedOn w:val="28"/>
    <w:link w:val="15"/>
    <w:qFormat/>
    <w:uiPriority w:val="0"/>
    <w:rPr>
      <w:rFonts w:ascii="宋体" w:hAnsi="Courier New" w:eastAsia="宋体" w:cs="Courier New"/>
      <w:sz w:val="21"/>
      <w:szCs w:val="21"/>
    </w:rPr>
  </w:style>
  <w:style w:type="character" w:customStyle="1" w:styleId="9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6">
    <w:name w:val="明显强调1"/>
    <w:basedOn w:val="28"/>
    <w:qFormat/>
    <w:uiPriority w:val="21"/>
    <w:rPr>
      <w:b/>
      <w:i/>
      <w:sz w:val="24"/>
      <w:szCs w:val="24"/>
      <w:u w:val="single"/>
    </w:rPr>
  </w:style>
  <w:style w:type="character" w:customStyle="1" w:styleId="97">
    <w:name w:val="不明显参考1"/>
    <w:basedOn w:val="28"/>
    <w:qFormat/>
    <w:uiPriority w:val="31"/>
    <w:rPr>
      <w:sz w:val="24"/>
      <w:szCs w:val="24"/>
      <w:u w:val="single"/>
    </w:rPr>
  </w:style>
  <w:style w:type="character" w:customStyle="1" w:styleId="98">
    <w:name w:val="明显参考1"/>
    <w:basedOn w:val="28"/>
    <w:qFormat/>
    <w:uiPriority w:val="32"/>
    <w:rPr>
      <w:b/>
      <w:sz w:val="24"/>
      <w:u w:val="single"/>
    </w:rPr>
  </w:style>
  <w:style w:type="character" w:customStyle="1" w:styleId="99">
    <w:name w:val="书籍标题1"/>
    <w:basedOn w:val="28"/>
    <w:qFormat/>
    <w:uiPriority w:val="33"/>
    <w:rPr>
      <w:rFonts w:asciiTheme="majorHAnsi" w:hAnsiTheme="majorHAnsi" w:eastAsiaTheme="majorEastAsia"/>
      <w:b/>
      <w:i/>
      <w:sz w:val="24"/>
      <w:szCs w:val="24"/>
    </w:rPr>
  </w:style>
  <w:style w:type="paragraph" w:customStyle="1" w:styleId="100">
    <w:name w:val="TOC 标题1"/>
    <w:basedOn w:val="2"/>
    <w:next w:val="1"/>
    <w:semiHidden/>
    <w:unhideWhenUsed/>
    <w:qFormat/>
    <w:uiPriority w:val="39"/>
    <w:pPr>
      <w:numPr>
        <w:numId w:val="2"/>
      </w:numPr>
      <w:outlineLvl w:val="9"/>
    </w:pPr>
  </w:style>
  <w:style w:type="character" w:customStyle="1" w:styleId="101">
    <w:name w:val="正文文本 Char"/>
    <w:basedOn w:val="28"/>
    <w:link w:val="14"/>
    <w:qFormat/>
    <w:uiPriority w:val="99"/>
    <w:rPr>
      <w:rFonts w:ascii="Calibri" w:hAnsi="Calibri" w:eastAsia="宋体"/>
      <w:kern w:val="2"/>
      <w:sz w:val="21"/>
    </w:rPr>
  </w:style>
  <w:style w:type="character" w:customStyle="1" w:styleId="102">
    <w:name w:val="正文首行缩进 Char"/>
    <w:basedOn w:val="101"/>
    <w:link w:val="25"/>
    <w:qFormat/>
    <w:uiPriority w:val="0"/>
    <w:rPr>
      <w:rFonts w:ascii="Calibri" w:hAnsi="Calibri" w:eastAsia="宋体"/>
      <w:kern w:val="2"/>
      <w:sz w:val="21"/>
    </w:rPr>
  </w:style>
  <w:style w:type="paragraph" w:customStyle="1" w:styleId="103">
    <w:name w:val="样式"/>
    <w:link w:val="10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样式 Char Char"/>
    <w:link w:val="103"/>
    <w:qFormat/>
    <w:locked/>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82A19"/>
    <w:rsid w:val="000D27B6"/>
    <w:rsid w:val="000D2840"/>
    <w:rsid w:val="000F0D9C"/>
    <w:rsid w:val="001039B1"/>
    <w:rsid w:val="00113420"/>
    <w:rsid w:val="00176C3B"/>
    <w:rsid w:val="001E1C14"/>
    <w:rsid w:val="001E6971"/>
    <w:rsid w:val="0025478B"/>
    <w:rsid w:val="002E3790"/>
    <w:rsid w:val="003326D5"/>
    <w:rsid w:val="003362FC"/>
    <w:rsid w:val="00375459"/>
    <w:rsid w:val="003C7E4A"/>
    <w:rsid w:val="003E20A5"/>
    <w:rsid w:val="004874AF"/>
    <w:rsid w:val="005774E0"/>
    <w:rsid w:val="00580B99"/>
    <w:rsid w:val="005B3059"/>
    <w:rsid w:val="005D4A80"/>
    <w:rsid w:val="005E51DE"/>
    <w:rsid w:val="005F723A"/>
    <w:rsid w:val="00626103"/>
    <w:rsid w:val="006D613E"/>
    <w:rsid w:val="0072520E"/>
    <w:rsid w:val="0076050E"/>
    <w:rsid w:val="007970D2"/>
    <w:rsid w:val="007C0CC8"/>
    <w:rsid w:val="007D2B0D"/>
    <w:rsid w:val="007E7C2D"/>
    <w:rsid w:val="00813CAD"/>
    <w:rsid w:val="00823F53"/>
    <w:rsid w:val="008A0D32"/>
    <w:rsid w:val="008C5C04"/>
    <w:rsid w:val="009014DE"/>
    <w:rsid w:val="0091562D"/>
    <w:rsid w:val="0093199E"/>
    <w:rsid w:val="00946FAF"/>
    <w:rsid w:val="009A1BF6"/>
    <w:rsid w:val="009F2A1D"/>
    <w:rsid w:val="00A3218D"/>
    <w:rsid w:val="00A84B89"/>
    <w:rsid w:val="00AC6E44"/>
    <w:rsid w:val="00AD148E"/>
    <w:rsid w:val="00B16B0C"/>
    <w:rsid w:val="00BA36F6"/>
    <w:rsid w:val="00C47AA5"/>
    <w:rsid w:val="00C47C35"/>
    <w:rsid w:val="00CD5949"/>
    <w:rsid w:val="00CE0781"/>
    <w:rsid w:val="00CF08BA"/>
    <w:rsid w:val="00D83E68"/>
    <w:rsid w:val="00D938D8"/>
    <w:rsid w:val="00DD1067"/>
    <w:rsid w:val="00DF3362"/>
    <w:rsid w:val="00E66484"/>
    <w:rsid w:val="00EC1F22"/>
    <w:rsid w:val="00EE5F43"/>
    <w:rsid w:val="00F23E54"/>
    <w:rsid w:val="00F4086C"/>
    <w:rsid w:val="00F516FE"/>
    <w:rsid w:val="00F67502"/>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1C77B-22F0-49CE-A4AB-7147B63DB4B3}">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72</Pages>
  <Words>7203</Words>
  <Characters>41060</Characters>
  <Lines>342</Lines>
  <Paragraphs>96</Paragraphs>
  <TotalTime>1284</TotalTime>
  <ScaleCrop>false</ScaleCrop>
  <LinksUpToDate>false</LinksUpToDate>
  <CharactersWithSpaces>48167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趋之若鹜</cp:lastModifiedBy>
  <cp:lastPrinted>2025-10-20T08:53:00Z</cp:lastPrinted>
  <dcterms:modified xsi:type="dcterms:W3CDTF">2025-11-12T02:20:03Z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80188D929EED4CE4AC06A95EAEA3DEED</vt:lpwstr>
  </property>
</Properties>
</file>