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5DA661">
      <w:pPr>
        <w:spacing w:line="240" w:lineRule="auto"/>
        <w:jc w:val="both"/>
        <w:rPr>
          <w:rFonts w:hint="eastAsia" w:ascii="仿宋" w:hAnsi="仿宋" w:eastAsia="仿宋" w:cs="仿宋"/>
          <w:b/>
          <w:bCs/>
          <w:spacing w:val="100"/>
          <w:w w:val="90"/>
          <w:kern w:val="0"/>
          <w:sz w:val="48"/>
          <w:szCs w:val="48"/>
          <w:lang w:eastAsia="zh-CN"/>
        </w:rPr>
      </w:pPr>
      <w:r>
        <w:rPr>
          <w:rFonts w:hint="eastAsia" w:ascii="仿宋" w:hAnsi="仿宋" w:eastAsia="仿宋" w:cs="仿宋"/>
          <w:b/>
          <w:bCs/>
          <w:kern w:val="0"/>
          <w:sz w:val="28"/>
          <w:szCs w:val="28"/>
        </w:rPr>
        <w:t>项目编号</w:t>
      </w:r>
      <w:r>
        <w:rPr>
          <w:rFonts w:hint="eastAsia" w:ascii="仿宋" w:hAnsi="仿宋" w:eastAsia="仿宋" w:cs="仿宋"/>
          <w:b/>
          <w:bCs/>
          <w:kern w:val="0"/>
          <w:sz w:val="28"/>
          <w:szCs w:val="28"/>
          <w:lang w:eastAsia="zh-CN"/>
        </w:rPr>
        <w:t>：SXCQCGAK(2025)第46号</w:t>
      </w:r>
    </w:p>
    <w:p w14:paraId="177600E4">
      <w:pPr>
        <w:spacing w:line="240" w:lineRule="auto"/>
        <w:jc w:val="center"/>
        <w:rPr>
          <w:rFonts w:hint="eastAsia" w:ascii="仿宋" w:hAnsi="仿宋" w:eastAsia="仿宋" w:cs="仿宋"/>
          <w:b/>
          <w:bCs/>
          <w:spacing w:val="100"/>
          <w:w w:val="90"/>
          <w:kern w:val="0"/>
          <w:sz w:val="48"/>
          <w:szCs w:val="48"/>
          <w:lang w:eastAsia="zh-CN"/>
        </w:rPr>
      </w:pPr>
    </w:p>
    <w:p w14:paraId="15D8B5A8">
      <w:pPr>
        <w:spacing w:line="240" w:lineRule="auto"/>
        <w:jc w:val="center"/>
        <w:rPr>
          <w:rFonts w:hint="eastAsia" w:ascii="仿宋" w:hAnsi="仿宋" w:eastAsia="仿宋" w:cs="仿宋"/>
          <w:b/>
          <w:bCs/>
          <w:spacing w:val="100"/>
          <w:w w:val="90"/>
          <w:kern w:val="0"/>
          <w:sz w:val="48"/>
          <w:szCs w:val="48"/>
          <w:lang w:eastAsia="zh-CN"/>
        </w:rPr>
      </w:pPr>
      <w:bookmarkStart w:id="519" w:name="_GoBack"/>
      <w:bookmarkEnd w:id="519"/>
      <w:r>
        <w:rPr>
          <w:rFonts w:hint="eastAsia" w:ascii="仿宋" w:hAnsi="仿宋" w:eastAsia="仿宋" w:cs="仿宋"/>
          <w:b/>
          <w:bCs/>
          <w:spacing w:val="100"/>
          <w:w w:val="90"/>
          <w:kern w:val="0"/>
          <w:sz w:val="48"/>
          <w:szCs w:val="48"/>
          <w:lang w:eastAsia="zh-CN"/>
        </w:rPr>
        <w:t>汉阴县第二幼儿园2025-2027学年食堂原辅食材采购项目</w:t>
      </w:r>
    </w:p>
    <w:p w14:paraId="0DFDB5B0">
      <w:pPr>
        <w:spacing w:line="240" w:lineRule="auto"/>
        <w:jc w:val="center"/>
        <w:rPr>
          <w:rFonts w:hint="eastAsia" w:ascii="仿宋" w:hAnsi="仿宋" w:eastAsia="仿宋" w:cs="仿宋"/>
          <w:b/>
          <w:bCs/>
          <w:spacing w:val="100"/>
          <w:kern w:val="0"/>
          <w:sz w:val="52"/>
          <w:szCs w:val="52"/>
        </w:rPr>
      </w:pPr>
      <w:r>
        <w:rPr>
          <w:rFonts w:hint="eastAsia" w:ascii="仿宋" w:hAnsi="仿宋" w:eastAsia="仿宋" w:cs="仿宋"/>
          <w:b/>
          <w:bCs/>
          <w:spacing w:val="100"/>
          <w:kern w:val="0"/>
          <w:sz w:val="52"/>
          <w:szCs w:val="52"/>
          <w:lang w:val="en-US" w:eastAsia="zh-CN"/>
        </w:rPr>
        <w:t>竞争性谈判</w:t>
      </w:r>
      <w:r>
        <w:rPr>
          <w:rFonts w:hint="eastAsia" w:ascii="仿宋" w:hAnsi="仿宋" w:eastAsia="仿宋" w:cs="仿宋"/>
          <w:b/>
          <w:bCs/>
          <w:spacing w:val="100"/>
          <w:kern w:val="0"/>
          <w:sz w:val="52"/>
          <w:szCs w:val="52"/>
        </w:rPr>
        <w:t>文件</w:t>
      </w:r>
    </w:p>
    <w:p w14:paraId="57D57A64">
      <w:pPr>
        <w:pStyle w:val="22"/>
        <w:rPr>
          <w:rFonts w:hint="eastAsia" w:ascii="仿宋" w:hAnsi="仿宋" w:eastAsia="仿宋" w:cs="仿宋"/>
          <w:b/>
          <w:bCs/>
          <w:spacing w:val="100"/>
          <w:kern w:val="0"/>
          <w:sz w:val="96"/>
          <w:szCs w:val="96"/>
        </w:rPr>
      </w:pPr>
      <w:r>
        <w:rPr>
          <w:rFonts w:hint="eastAsia" w:ascii="仿宋" w:hAnsi="仿宋" w:eastAsia="仿宋" w:cs="仿宋"/>
          <w:b/>
          <w:bCs/>
          <w:color w:val="auto"/>
          <w:sz w:val="30"/>
          <w:szCs w:val="30"/>
          <w:highlight w:val="none"/>
          <w:lang w:val="zh-CN"/>
        </w:rPr>
        <w:drawing>
          <wp:anchor distT="0" distB="0" distL="114300" distR="114300" simplePos="0" relativeHeight="251659264" behindDoc="0" locked="0" layoutInCell="1" allowOverlap="1">
            <wp:simplePos x="0" y="0"/>
            <wp:positionH relativeFrom="column">
              <wp:posOffset>1910080</wp:posOffset>
            </wp:positionH>
            <wp:positionV relativeFrom="paragraph">
              <wp:posOffset>212090</wp:posOffset>
            </wp:positionV>
            <wp:extent cx="2962275" cy="1981200"/>
            <wp:effectExtent l="0" t="0" r="9525" b="0"/>
            <wp:wrapNone/>
            <wp:docPr id="35" name="图片 8" descr="155d3369c87c2fcef3c6254102c6c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8" descr="155d3369c87c2fcef3c6254102c6c34"/>
                    <pic:cNvPicPr>
                      <a:picLocks noChangeAspect="1"/>
                    </pic:cNvPicPr>
                  </pic:nvPicPr>
                  <pic:blipFill>
                    <a:blip r:embed="rId6"/>
                    <a:stretch>
                      <a:fillRect/>
                    </a:stretch>
                  </pic:blipFill>
                  <pic:spPr>
                    <a:xfrm>
                      <a:off x="0" y="0"/>
                      <a:ext cx="2962275" cy="1981200"/>
                    </a:xfrm>
                    <a:prstGeom prst="rect">
                      <a:avLst/>
                    </a:prstGeom>
                    <a:noFill/>
                    <a:ln>
                      <a:noFill/>
                    </a:ln>
                  </pic:spPr>
                </pic:pic>
              </a:graphicData>
            </a:graphic>
          </wp:anchor>
        </w:drawing>
      </w:r>
    </w:p>
    <w:p w14:paraId="58B68C60">
      <w:pPr>
        <w:ind w:firstLine="1124" w:firstLineChars="200"/>
        <w:jc w:val="both"/>
        <w:rPr>
          <w:rFonts w:hint="eastAsia" w:ascii="仿宋" w:hAnsi="仿宋" w:eastAsia="仿宋" w:cs="仿宋"/>
          <w:b/>
          <w:bCs/>
          <w:sz w:val="56"/>
          <w:szCs w:val="56"/>
        </w:rPr>
      </w:pPr>
    </w:p>
    <w:p w14:paraId="6B46D251">
      <w:pPr>
        <w:jc w:val="center"/>
        <w:rPr>
          <w:rFonts w:hint="eastAsia" w:ascii="仿宋" w:hAnsi="仿宋" w:eastAsia="仿宋" w:cs="仿宋"/>
          <w:b/>
          <w:bCs/>
          <w:sz w:val="48"/>
          <w:szCs w:val="48"/>
        </w:rPr>
      </w:pPr>
    </w:p>
    <w:p w14:paraId="4CD6531F">
      <w:pPr>
        <w:pStyle w:val="22"/>
        <w:rPr>
          <w:rFonts w:hint="eastAsia" w:ascii="仿宋" w:hAnsi="仿宋" w:eastAsia="仿宋" w:cs="仿宋"/>
          <w:lang w:eastAsia="zh-CN"/>
        </w:rPr>
      </w:pPr>
    </w:p>
    <w:p w14:paraId="28273385">
      <w:pPr>
        <w:rPr>
          <w:rFonts w:hint="eastAsia" w:ascii="仿宋" w:hAnsi="仿宋" w:eastAsia="仿宋" w:cs="仿宋"/>
        </w:rPr>
      </w:pPr>
    </w:p>
    <w:p w14:paraId="0D2BDE38">
      <w:pPr>
        <w:spacing w:line="600" w:lineRule="auto"/>
        <w:ind w:firstLine="1606" w:firstLineChars="500"/>
        <w:rPr>
          <w:rFonts w:hint="eastAsia" w:ascii="仿宋" w:hAnsi="仿宋" w:eastAsia="仿宋" w:cs="仿宋"/>
          <w:b/>
          <w:bCs/>
          <w:kern w:val="0"/>
          <w:sz w:val="32"/>
          <w:szCs w:val="32"/>
        </w:rPr>
      </w:pPr>
    </w:p>
    <w:p w14:paraId="626A445C">
      <w:pPr>
        <w:spacing w:line="600" w:lineRule="auto"/>
        <w:ind w:firstLine="1606" w:firstLineChars="500"/>
        <w:rPr>
          <w:rFonts w:hint="eastAsia" w:ascii="仿宋" w:hAnsi="仿宋" w:eastAsia="仿宋" w:cs="仿宋"/>
          <w:b/>
          <w:bCs/>
          <w:kern w:val="0"/>
          <w:sz w:val="32"/>
          <w:szCs w:val="32"/>
        </w:rPr>
      </w:pPr>
    </w:p>
    <w:p w14:paraId="6E5EFCDB">
      <w:pPr>
        <w:spacing w:line="600" w:lineRule="auto"/>
        <w:ind w:firstLine="1606" w:firstLineChars="500"/>
        <w:rPr>
          <w:rFonts w:hint="eastAsia" w:ascii="仿宋" w:hAnsi="仿宋" w:eastAsia="仿宋" w:cs="仿宋"/>
          <w:b/>
          <w:bCs/>
          <w:kern w:val="0"/>
          <w:sz w:val="32"/>
          <w:szCs w:val="32"/>
        </w:rPr>
      </w:pPr>
    </w:p>
    <w:p w14:paraId="45F87492">
      <w:pPr>
        <w:spacing w:line="600" w:lineRule="auto"/>
        <w:ind w:firstLine="1606" w:firstLineChars="500"/>
        <w:rPr>
          <w:rFonts w:hint="eastAsia" w:ascii="仿宋" w:hAnsi="仿宋" w:eastAsia="仿宋" w:cs="仿宋"/>
          <w:b/>
          <w:bCs/>
          <w:kern w:val="0"/>
          <w:sz w:val="32"/>
          <w:szCs w:val="32"/>
        </w:rPr>
      </w:pPr>
    </w:p>
    <w:p w14:paraId="2B78A411">
      <w:pPr>
        <w:spacing w:line="600" w:lineRule="auto"/>
        <w:ind w:firstLine="1606" w:firstLineChars="500"/>
        <w:rPr>
          <w:rFonts w:hint="eastAsia" w:ascii="仿宋" w:hAnsi="仿宋" w:eastAsia="仿宋" w:cs="仿宋"/>
          <w:b/>
          <w:bCs/>
          <w:kern w:val="0"/>
          <w:sz w:val="32"/>
          <w:szCs w:val="32"/>
        </w:rPr>
      </w:pPr>
    </w:p>
    <w:p w14:paraId="0E0F44C5">
      <w:pPr>
        <w:spacing w:line="600" w:lineRule="auto"/>
        <w:ind w:firstLine="1606" w:firstLineChars="500"/>
        <w:rPr>
          <w:rFonts w:hint="eastAsia" w:ascii="仿宋" w:hAnsi="仿宋" w:eastAsia="仿宋" w:cs="仿宋"/>
          <w:b/>
          <w:bCs/>
          <w:kern w:val="0"/>
          <w:sz w:val="32"/>
          <w:szCs w:val="32"/>
        </w:rPr>
      </w:pPr>
    </w:p>
    <w:p w14:paraId="51600F35">
      <w:pPr>
        <w:spacing w:line="480" w:lineRule="auto"/>
        <w:ind w:firstLine="1606" w:firstLineChars="500"/>
        <w:rPr>
          <w:rFonts w:hint="eastAsia" w:ascii="仿宋" w:hAnsi="仿宋" w:eastAsia="仿宋" w:cs="仿宋"/>
          <w:b/>
          <w:bCs/>
          <w:kern w:val="0"/>
          <w:sz w:val="32"/>
          <w:szCs w:val="32"/>
        </w:rPr>
      </w:pPr>
      <w:r>
        <w:rPr>
          <w:rFonts w:hint="eastAsia" w:ascii="仿宋" w:hAnsi="仿宋" w:eastAsia="仿宋" w:cs="仿宋"/>
          <w:b/>
          <w:bCs/>
          <w:kern w:val="0"/>
          <w:sz w:val="32"/>
          <w:szCs w:val="32"/>
        </w:rPr>
        <w:t>采 购 人：</w:t>
      </w:r>
      <w:r>
        <w:rPr>
          <w:rFonts w:hint="eastAsia" w:ascii="仿宋" w:hAnsi="仿宋" w:eastAsia="仿宋" w:cs="仿宋"/>
          <w:b/>
          <w:bCs/>
          <w:kern w:val="0"/>
          <w:sz w:val="32"/>
          <w:szCs w:val="32"/>
          <w:lang w:val="en-US" w:eastAsia="zh-CN"/>
        </w:rPr>
        <w:t>汉阴县第二幼儿园</w:t>
      </w:r>
    </w:p>
    <w:p w14:paraId="6AC5AD4F">
      <w:pPr>
        <w:spacing w:line="480" w:lineRule="auto"/>
        <w:ind w:firstLine="1606" w:firstLineChars="500"/>
        <w:rPr>
          <w:rFonts w:hint="eastAsia" w:ascii="仿宋" w:hAnsi="仿宋" w:eastAsia="仿宋" w:cs="仿宋"/>
          <w:b/>
          <w:bCs/>
          <w:kern w:val="0"/>
          <w:sz w:val="32"/>
          <w:szCs w:val="32"/>
        </w:rPr>
      </w:pPr>
      <w:r>
        <w:rPr>
          <w:rFonts w:hint="eastAsia" w:ascii="仿宋" w:hAnsi="仿宋" w:eastAsia="仿宋" w:cs="仿宋"/>
          <w:b/>
          <w:bCs/>
          <w:kern w:val="0"/>
          <w:sz w:val="32"/>
          <w:szCs w:val="32"/>
        </w:rPr>
        <w:t>代理机构：</w:t>
      </w:r>
      <w:r>
        <w:rPr>
          <w:rFonts w:hint="eastAsia" w:ascii="仿宋" w:hAnsi="仿宋" w:eastAsia="仿宋" w:cs="仿宋"/>
          <w:b/>
          <w:bCs/>
          <w:kern w:val="0"/>
          <w:sz w:val="32"/>
          <w:szCs w:val="32"/>
          <w:lang w:val="en-US" w:eastAsia="zh-CN"/>
        </w:rPr>
        <w:t>陕西春秋工程造价事务所有限公司</w:t>
      </w:r>
    </w:p>
    <w:p w14:paraId="45847F6E">
      <w:pPr>
        <w:pStyle w:val="5"/>
        <w:ind w:firstLine="1606" w:firstLineChars="500"/>
        <w:jc w:val="both"/>
        <w:rPr>
          <w:rFonts w:hint="eastAsia" w:ascii="仿宋" w:hAnsi="仿宋" w:eastAsia="仿宋" w:cs="仿宋"/>
          <w:b/>
          <w:bCs/>
          <w:kern w:val="0"/>
          <w:sz w:val="32"/>
          <w:szCs w:val="32"/>
          <w:lang w:val="en-US" w:eastAsia="zh-CN"/>
        </w:rPr>
      </w:pPr>
      <w:r>
        <w:rPr>
          <w:rFonts w:hint="eastAsia" w:ascii="仿宋" w:hAnsi="仿宋" w:eastAsia="仿宋" w:cs="仿宋"/>
          <w:b/>
          <w:bCs/>
          <w:kern w:val="0"/>
          <w:sz w:val="32"/>
          <w:szCs w:val="32"/>
        </w:rPr>
        <w:t>编制日期：202</w:t>
      </w:r>
      <w:r>
        <w:rPr>
          <w:rFonts w:hint="eastAsia" w:ascii="仿宋" w:hAnsi="仿宋" w:eastAsia="仿宋" w:cs="仿宋"/>
          <w:b/>
          <w:bCs/>
          <w:kern w:val="0"/>
          <w:sz w:val="32"/>
          <w:szCs w:val="32"/>
          <w:lang w:val="en-US" w:eastAsia="zh-CN"/>
        </w:rPr>
        <w:t>5</w:t>
      </w:r>
      <w:r>
        <w:rPr>
          <w:rFonts w:hint="eastAsia" w:ascii="仿宋" w:hAnsi="仿宋" w:eastAsia="仿宋" w:cs="仿宋"/>
          <w:b/>
          <w:bCs/>
          <w:kern w:val="0"/>
          <w:sz w:val="32"/>
          <w:szCs w:val="32"/>
        </w:rPr>
        <w:t>年</w:t>
      </w:r>
      <w:r>
        <w:rPr>
          <w:rFonts w:hint="eastAsia" w:ascii="仿宋" w:hAnsi="仿宋" w:eastAsia="仿宋" w:cs="仿宋"/>
          <w:b/>
          <w:bCs/>
          <w:kern w:val="0"/>
          <w:sz w:val="32"/>
          <w:szCs w:val="32"/>
          <w:lang w:val="en-US" w:eastAsia="zh-CN"/>
        </w:rPr>
        <w:t>11月</w:t>
      </w:r>
    </w:p>
    <w:p w14:paraId="62CB3243">
      <w:pPr>
        <w:rPr>
          <w:rFonts w:hint="eastAsia" w:ascii="仿宋" w:hAnsi="仿宋" w:eastAsia="仿宋" w:cs="仿宋"/>
          <w:b/>
          <w:bCs/>
          <w:kern w:val="0"/>
          <w:sz w:val="32"/>
          <w:szCs w:val="32"/>
          <w:lang w:val="en-US" w:eastAsia="zh-CN"/>
        </w:rPr>
      </w:pPr>
      <w:r>
        <w:rPr>
          <w:rFonts w:hint="eastAsia" w:ascii="仿宋" w:hAnsi="仿宋" w:eastAsia="仿宋" w:cs="仿宋"/>
          <w:b/>
          <w:bCs/>
          <w:kern w:val="0"/>
          <w:sz w:val="32"/>
          <w:szCs w:val="32"/>
          <w:lang w:val="en-US" w:eastAsia="zh-CN"/>
        </w:rPr>
        <w:br w:type="page"/>
      </w:r>
    </w:p>
    <w:p w14:paraId="6D9CD468">
      <w:pPr>
        <w:pStyle w:val="5"/>
        <w:ind w:firstLine="0" w:firstLineChars="0"/>
        <w:jc w:val="center"/>
        <w:rPr>
          <w:rFonts w:eastAsia="仿宋_GB2312"/>
          <w:b/>
          <w:sz w:val="32"/>
          <w:szCs w:val="32"/>
        </w:rPr>
      </w:pPr>
      <w:r>
        <w:rPr>
          <w:rFonts w:eastAsia="仿宋_GB2312"/>
          <w:b/>
          <w:sz w:val="32"/>
          <w:szCs w:val="32"/>
        </w:rPr>
        <w:t>目  录</w:t>
      </w:r>
    </w:p>
    <w:p w14:paraId="07B1645C">
      <w:pPr>
        <w:pStyle w:val="35"/>
        <w:keepNext w:val="0"/>
        <w:keepLines w:val="0"/>
        <w:pageBreakBefore w:val="0"/>
        <w:tabs>
          <w:tab w:val="right" w:leader="dot" w:pos="9740"/>
          <w:tab w:val="clear" w:pos="9344"/>
        </w:tabs>
        <w:kinsoku/>
        <w:wordWrap/>
        <w:overflowPunct/>
        <w:topLinePunct w:val="0"/>
        <w:autoSpaceDE/>
        <w:autoSpaceDN/>
        <w:bidi w:val="0"/>
        <w:snapToGrid/>
        <w:spacing w:before="0" w:after="0" w:line="480" w:lineRule="auto"/>
        <w:textAlignment w:val="auto"/>
      </w:pPr>
      <w:r>
        <w:rPr>
          <w:rFonts w:ascii="Times New Roman" w:eastAsia="仿宋_GB2312"/>
          <w:sz w:val="20"/>
        </w:rPr>
        <w:fldChar w:fldCharType="begin"/>
      </w:r>
      <w:r>
        <w:rPr>
          <w:rFonts w:ascii="Times New Roman" w:eastAsia="仿宋_GB2312"/>
          <w:sz w:val="20"/>
        </w:rPr>
        <w:instrText xml:space="preserve"> TOC \o "1-2" \h \z \u </w:instrText>
      </w:r>
      <w:r>
        <w:rPr>
          <w:rFonts w:ascii="Times New Roman" w:eastAsia="仿宋_GB2312"/>
          <w:sz w:val="20"/>
        </w:rPr>
        <w:fldChar w:fldCharType="separate"/>
      </w:r>
      <w:r>
        <w:rPr>
          <w:rFonts w:ascii="Times New Roman" w:eastAsia="仿宋_GB2312"/>
        </w:rPr>
        <w:fldChar w:fldCharType="begin"/>
      </w:r>
      <w:r>
        <w:rPr>
          <w:rFonts w:ascii="Times New Roman" w:eastAsia="仿宋_GB2312"/>
        </w:rPr>
        <w:instrText xml:space="preserve"> HYPERLINK \l _Toc3946 </w:instrText>
      </w:r>
      <w:r>
        <w:rPr>
          <w:rFonts w:ascii="Times New Roman" w:eastAsia="仿宋_GB2312"/>
        </w:rPr>
        <w:fldChar w:fldCharType="separate"/>
      </w:r>
      <w:r>
        <w:rPr>
          <w:rFonts w:ascii="Times New Roman" w:hAnsi="Times New Roman" w:eastAsia="仿宋_GB2312"/>
          <w:kern w:val="0"/>
          <w:szCs w:val="32"/>
        </w:rPr>
        <w:t>第一章  谈判公告</w:t>
      </w:r>
      <w:r>
        <w:tab/>
      </w:r>
      <w:r>
        <w:fldChar w:fldCharType="begin"/>
      </w:r>
      <w:r>
        <w:instrText xml:space="preserve"> PAGEREF _Toc3946 \h </w:instrText>
      </w:r>
      <w:r>
        <w:fldChar w:fldCharType="separate"/>
      </w:r>
      <w:r>
        <w:t>3</w:t>
      </w:r>
      <w:r>
        <w:fldChar w:fldCharType="end"/>
      </w:r>
      <w:r>
        <w:rPr>
          <w:rFonts w:ascii="Times New Roman" w:eastAsia="仿宋_GB2312"/>
        </w:rPr>
        <w:fldChar w:fldCharType="end"/>
      </w:r>
    </w:p>
    <w:p w14:paraId="50C09600">
      <w:pPr>
        <w:pStyle w:val="35"/>
        <w:keepNext w:val="0"/>
        <w:keepLines w:val="0"/>
        <w:pageBreakBefore w:val="0"/>
        <w:tabs>
          <w:tab w:val="right" w:leader="dot" w:pos="9740"/>
          <w:tab w:val="clear" w:pos="9344"/>
        </w:tabs>
        <w:kinsoku/>
        <w:wordWrap/>
        <w:overflowPunct/>
        <w:topLinePunct w:val="0"/>
        <w:autoSpaceDE/>
        <w:autoSpaceDN/>
        <w:bidi w:val="0"/>
        <w:snapToGrid/>
        <w:spacing w:before="0" w:after="0" w:line="480" w:lineRule="auto"/>
        <w:textAlignment w:val="auto"/>
      </w:pPr>
      <w:r>
        <w:rPr>
          <w:rFonts w:ascii="Times New Roman" w:hAnsi="Times New Roman" w:eastAsia="仿宋_GB2312"/>
          <w:szCs w:val="20"/>
        </w:rPr>
        <w:fldChar w:fldCharType="begin"/>
      </w:r>
      <w:r>
        <w:rPr>
          <w:rFonts w:ascii="Times New Roman" w:hAnsi="Times New Roman" w:eastAsia="仿宋_GB2312"/>
          <w:szCs w:val="20"/>
        </w:rPr>
        <w:instrText xml:space="preserve"> HYPERLINK \l _Toc10871 </w:instrText>
      </w:r>
      <w:r>
        <w:rPr>
          <w:rFonts w:ascii="Times New Roman" w:hAnsi="Times New Roman" w:eastAsia="仿宋_GB2312"/>
          <w:szCs w:val="20"/>
        </w:rPr>
        <w:fldChar w:fldCharType="separate"/>
      </w:r>
      <w:r>
        <w:rPr>
          <w:rFonts w:ascii="Times New Roman" w:hAnsi="Times New Roman" w:eastAsia="仿宋_GB2312"/>
          <w:kern w:val="0"/>
          <w:szCs w:val="32"/>
        </w:rPr>
        <w:t>第二章  供应商须知</w:t>
      </w:r>
      <w:r>
        <w:tab/>
      </w:r>
      <w:r>
        <w:fldChar w:fldCharType="begin"/>
      </w:r>
      <w:r>
        <w:instrText xml:space="preserve"> PAGEREF _Toc10871 \h </w:instrText>
      </w:r>
      <w:r>
        <w:fldChar w:fldCharType="separate"/>
      </w:r>
      <w:r>
        <w:t>8</w:t>
      </w:r>
      <w:r>
        <w:fldChar w:fldCharType="end"/>
      </w:r>
      <w:r>
        <w:rPr>
          <w:rFonts w:ascii="Times New Roman" w:hAnsi="Times New Roman" w:eastAsia="仿宋_GB2312"/>
          <w:szCs w:val="20"/>
        </w:rPr>
        <w:fldChar w:fldCharType="end"/>
      </w:r>
    </w:p>
    <w:p w14:paraId="16612873">
      <w:pPr>
        <w:pStyle w:val="35"/>
        <w:keepNext w:val="0"/>
        <w:keepLines w:val="0"/>
        <w:pageBreakBefore w:val="0"/>
        <w:tabs>
          <w:tab w:val="right" w:leader="dot" w:pos="9740"/>
          <w:tab w:val="clear" w:pos="9344"/>
        </w:tabs>
        <w:kinsoku/>
        <w:wordWrap/>
        <w:overflowPunct/>
        <w:topLinePunct w:val="0"/>
        <w:autoSpaceDE/>
        <w:autoSpaceDN/>
        <w:bidi w:val="0"/>
        <w:snapToGrid/>
        <w:spacing w:before="0" w:after="0" w:line="480" w:lineRule="auto"/>
        <w:textAlignment w:val="auto"/>
      </w:pPr>
      <w:r>
        <w:rPr>
          <w:rFonts w:ascii="Times New Roman" w:hAnsi="Times New Roman" w:eastAsia="仿宋_GB2312"/>
          <w:szCs w:val="20"/>
        </w:rPr>
        <w:fldChar w:fldCharType="begin"/>
      </w:r>
      <w:r>
        <w:rPr>
          <w:rFonts w:ascii="Times New Roman" w:hAnsi="Times New Roman" w:eastAsia="仿宋_GB2312"/>
          <w:szCs w:val="20"/>
        </w:rPr>
        <w:instrText xml:space="preserve"> HYPERLINK \l _Toc26291 </w:instrText>
      </w:r>
      <w:r>
        <w:rPr>
          <w:rFonts w:ascii="Times New Roman" w:hAnsi="Times New Roman" w:eastAsia="仿宋_GB2312"/>
          <w:szCs w:val="20"/>
        </w:rPr>
        <w:fldChar w:fldCharType="separate"/>
      </w:r>
      <w:r>
        <w:rPr>
          <w:rFonts w:ascii="Times New Roman" w:hAnsi="Times New Roman" w:eastAsia="仿宋_GB2312"/>
          <w:kern w:val="0"/>
          <w:szCs w:val="32"/>
        </w:rPr>
        <w:t>第三章  拟签订的合同文本</w:t>
      </w:r>
      <w:r>
        <w:tab/>
      </w:r>
      <w:r>
        <w:fldChar w:fldCharType="begin"/>
      </w:r>
      <w:r>
        <w:instrText xml:space="preserve"> PAGEREF _Toc26291 \h </w:instrText>
      </w:r>
      <w:r>
        <w:fldChar w:fldCharType="separate"/>
      </w:r>
      <w:r>
        <w:t>25</w:t>
      </w:r>
      <w:r>
        <w:fldChar w:fldCharType="end"/>
      </w:r>
      <w:r>
        <w:rPr>
          <w:rFonts w:ascii="Times New Roman" w:hAnsi="Times New Roman" w:eastAsia="仿宋_GB2312"/>
          <w:szCs w:val="20"/>
        </w:rPr>
        <w:fldChar w:fldCharType="end"/>
      </w:r>
    </w:p>
    <w:p w14:paraId="26D37AD9">
      <w:pPr>
        <w:pStyle w:val="35"/>
        <w:keepNext w:val="0"/>
        <w:keepLines w:val="0"/>
        <w:pageBreakBefore w:val="0"/>
        <w:tabs>
          <w:tab w:val="right" w:leader="dot" w:pos="9740"/>
          <w:tab w:val="clear" w:pos="9344"/>
        </w:tabs>
        <w:kinsoku/>
        <w:wordWrap/>
        <w:overflowPunct/>
        <w:topLinePunct w:val="0"/>
        <w:autoSpaceDE/>
        <w:autoSpaceDN/>
        <w:bidi w:val="0"/>
        <w:snapToGrid/>
        <w:spacing w:before="0" w:after="0" w:line="480" w:lineRule="auto"/>
        <w:textAlignment w:val="auto"/>
      </w:pPr>
      <w:r>
        <w:rPr>
          <w:rFonts w:ascii="Times New Roman" w:hAnsi="Times New Roman" w:eastAsia="仿宋_GB2312"/>
          <w:szCs w:val="20"/>
        </w:rPr>
        <w:fldChar w:fldCharType="begin"/>
      </w:r>
      <w:r>
        <w:rPr>
          <w:rFonts w:ascii="Times New Roman" w:hAnsi="Times New Roman" w:eastAsia="仿宋_GB2312"/>
          <w:szCs w:val="20"/>
        </w:rPr>
        <w:instrText xml:space="preserve"> HYPERLINK \l _Toc16724 </w:instrText>
      </w:r>
      <w:r>
        <w:rPr>
          <w:rFonts w:ascii="Times New Roman" w:hAnsi="Times New Roman" w:eastAsia="仿宋_GB2312"/>
          <w:szCs w:val="20"/>
        </w:rPr>
        <w:fldChar w:fldCharType="separate"/>
      </w:r>
      <w:r>
        <w:rPr>
          <w:rFonts w:ascii="Times New Roman" w:hAnsi="Times New Roman" w:eastAsia="仿宋_GB2312"/>
          <w:kern w:val="0"/>
          <w:szCs w:val="32"/>
        </w:rPr>
        <w:t>第四章  采购内容及要求</w:t>
      </w:r>
      <w:r>
        <w:tab/>
      </w:r>
      <w:r>
        <w:fldChar w:fldCharType="begin"/>
      </w:r>
      <w:r>
        <w:instrText xml:space="preserve"> PAGEREF _Toc16724 \h </w:instrText>
      </w:r>
      <w:r>
        <w:fldChar w:fldCharType="separate"/>
      </w:r>
      <w:r>
        <w:t>37</w:t>
      </w:r>
      <w:r>
        <w:fldChar w:fldCharType="end"/>
      </w:r>
      <w:r>
        <w:rPr>
          <w:rFonts w:ascii="Times New Roman" w:hAnsi="Times New Roman" w:eastAsia="仿宋_GB2312"/>
          <w:szCs w:val="20"/>
        </w:rPr>
        <w:fldChar w:fldCharType="end"/>
      </w:r>
    </w:p>
    <w:p w14:paraId="7013CF97">
      <w:pPr>
        <w:pStyle w:val="35"/>
        <w:keepNext w:val="0"/>
        <w:keepLines w:val="0"/>
        <w:pageBreakBefore w:val="0"/>
        <w:tabs>
          <w:tab w:val="right" w:leader="dot" w:pos="9740"/>
          <w:tab w:val="clear" w:pos="9344"/>
        </w:tabs>
        <w:kinsoku/>
        <w:wordWrap/>
        <w:overflowPunct/>
        <w:topLinePunct w:val="0"/>
        <w:autoSpaceDE/>
        <w:autoSpaceDN/>
        <w:bidi w:val="0"/>
        <w:snapToGrid/>
        <w:spacing w:before="0" w:after="0" w:line="480" w:lineRule="auto"/>
        <w:textAlignment w:val="auto"/>
      </w:pPr>
      <w:r>
        <w:rPr>
          <w:rFonts w:ascii="Times New Roman" w:hAnsi="Times New Roman" w:eastAsia="仿宋_GB2312"/>
          <w:szCs w:val="20"/>
        </w:rPr>
        <w:fldChar w:fldCharType="begin"/>
      </w:r>
      <w:r>
        <w:rPr>
          <w:rFonts w:ascii="Times New Roman" w:hAnsi="Times New Roman" w:eastAsia="仿宋_GB2312"/>
          <w:szCs w:val="20"/>
        </w:rPr>
        <w:instrText xml:space="preserve"> HYPERLINK \l _Toc26630 </w:instrText>
      </w:r>
      <w:r>
        <w:rPr>
          <w:rFonts w:ascii="Times New Roman" w:hAnsi="Times New Roman" w:eastAsia="仿宋_GB2312"/>
          <w:szCs w:val="20"/>
        </w:rPr>
        <w:fldChar w:fldCharType="separate"/>
      </w:r>
      <w:r>
        <w:rPr>
          <w:rFonts w:ascii="Times New Roman" w:hAnsi="Times New Roman" w:eastAsia="仿宋_GB2312"/>
          <w:kern w:val="0"/>
          <w:szCs w:val="32"/>
        </w:rPr>
        <w:t>第五章  谈判响应文件格式</w:t>
      </w:r>
      <w:r>
        <w:tab/>
      </w:r>
      <w:r>
        <w:fldChar w:fldCharType="begin"/>
      </w:r>
      <w:r>
        <w:instrText xml:space="preserve"> PAGEREF _Toc26630 \h </w:instrText>
      </w:r>
      <w:r>
        <w:fldChar w:fldCharType="separate"/>
      </w:r>
      <w:r>
        <w:t>44</w:t>
      </w:r>
      <w:r>
        <w:fldChar w:fldCharType="end"/>
      </w:r>
      <w:r>
        <w:rPr>
          <w:rFonts w:ascii="Times New Roman" w:hAnsi="Times New Roman" w:eastAsia="仿宋_GB2312"/>
          <w:szCs w:val="20"/>
        </w:rPr>
        <w:fldChar w:fldCharType="end"/>
      </w:r>
    </w:p>
    <w:p w14:paraId="083833B8">
      <w:pPr>
        <w:pStyle w:val="40"/>
        <w:keepNext w:val="0"/>
        <w:keepLines w:val="0"/>
        <w:pageBreakBefore w:val="0"/>
        <w:tabs>
          <w:tab w:val="right" w:leader="dot" w:pos="9740"/>
        </w:tabs>
        <w:kinsoku/>
        <w:wordWrap/>
        <w:overflowPunct/>
        <w:topLinePunct w:val="0"/>
        <w:autoSpaceDE/>
        <w:autoSpaceDN/>
        <w:bidi w:val="0"/>
        <w:snapToGrid/>
        <w:spacing w:line="480" w:lineRule="auto"/>
        <w:textAlignment w:val="auto"/>
      </w:pPr>
    </w:p>
    <w:p w14:paraId="28CD05D3">
      <w:pPr>
        <w:rPr>
          <w:rFonts w:ascii="Times New Roman" w:hAnsi="Times New Roman" w:eastAsia="仿宋_GB2312"/>
          <w:szCs w:val="20"/>
        </w:rPr>
      </w:pPr>
      <w:r>
        <w:rPr>
          <w:rFonts w:ascii="Times New Roman" w:hAnsi="Times New Roman" w:eastAsia="仿宋_GB2312"/>
          <w:szCs w:val="20"/>
        </w:rPr>
        <w:br w:type="page"/>
      </w:r>
      <w:r>
        <w:rPr>
          <w:rFonts w:ascii="Times New Roman" w:hAnsi="Times New Roman" w:eastAsia="仿宋_GB2312"/>
          <w:szCs w:val="20"/>
        </w:rPr>
        <w:fldChar w:fldCharType="end"/>
      </w:r>
      <w:bookmarkStart w:id="0" w:name="_Toc3946"/>
      <w:bookmarkStart w:id="1" w:name="_Toc58504445"/>
      <w:bookmarkStart w:id="2" w:name="_Toc21755"/>
      <w:bookmarkStart w:id="3" w:name="_Toc415499894"/>
      <w:bookmarkStart w:id="4" w:name="_Toc500747060"/>
      <w:bookmarkStart w:id="5" w:name="_Toc177995472"/>
      <w:bookmarkStart w:id="6" w:name="_Toc500746964"/>
      <w:bookmarkStart w:id="7" w:name="_Toc177817333"/>
      <w:bookmarkStart w:id="8" w:name="_Toc177189234"/>
      <w:bookmarkStart w:id="9" w:name="_Toc499711882"/>
      <w:bookmarkStart w:id="10" w:name="_Toc176882541"/>
      <w:bookmarkStart w:id="11" w:name="_Toc53722839"/>
      <w:bookmarkStart w:id="12" w:name="_Toc70687138"/>
      <w:bookmarkStart w:id="13" w:name="_Toc496324577"/>
      <w:bookmarkStart w:id="14" w:name="_Toc492955413"/>
      <w:bookmarkStart w:id="15" w:name="_Toc499711041"/>
      <w:bookmarkStart w:id="16" w:name="_Toc500747187"/>
      <w:bookmarkStart w:id="17" w:name="_Toc503063420"/>
      <w:bookmarkStart w:id="18" w:name="_Toc385992325"/>
      <w:bookmarkStart w:id="19" w:name="_Toc385992324"/>
    </w:p>
    <w:p w14:paraId="58105A9A">
      <w:pPr>
        <w:pStyle w:val="72"/>
        <w:adjustRightInd w:val="0"/>
        <w:spacing w:before="240" w:beforeLines="100" w:line="360" w:lineRule="auto"/>
        <w:ind w:right="-22" w:firstLine="0" w:firstLineChars="0"/>
        <w:jc w:val="center"/>
        <w:textAlignment w:val="baseline"/>
        <w:outlineLvl w:val="0"/>
        <w:rPr>
          <w:rFonts w:ascii="Times New Roman" w:hAnsi="Times New Roman" w:eastAsia="仿宋_GB2312"/>
          <w:b/>
          <w:kern w:val="0"/>
          <w:sz w:val="32"/>
          <w:szCs w:val="32"/>
        </w:rPr>
      </w:pPr>
      <w:r>
        <w:rPr>
          <w:rFonts w:ascii="Times New Roman" w:hAnsi="Times New Roman" w:eastAsia="仿宋_GB2312"/>
          <w:b/>
          <w:kern w:val="0"/>
          <w:sz w:val="32"/>
          <w:szCs w:val="32"/>
        </w:rPr>
        <w:t>第一章  谈判公告</w:t>
      </w:r>
      <w:bookmarkEnd w:id="0"/>
      <w:bookmarkEnd w:id="1"/>
      <w:bookmarkEnd w:id="2"/>
      <w:bookmarkEnd w:id="3"/>
    </w:p>
    <w:bookmarkEnd w:id="4"/>
    <w:bookmarkEnd w:id="5"/>
    <w:bookmarkEnd w:id="6"/>
    <w:bookmarkEnd w:id="7"/>
    <w:bookmarkEnd w:id="8"/>
    <w:bookmarkEnd w:id="9"/>
    <w:bookmarkEnd w:id="10"/>
    <w:bookmarkEnd w:id="11"/>
    <w:bookmarkEnd w:id="12"/>
    <w:bookmarkEnd w:id="13"/>
    <w:bookmarkEnd w:id="14"/>
    <w:bookmarkEnd w:id="15"/>
    <w:bookmarkEnd w:id="16"/>
    <w:bookmarkEnd w:id="17"/>
    <w:p w14:paraId="440DF099">
      <w:pPr>
        <w:pStyle w:val="22"/>
        <w:tabs>
          <w:tab w:val="left" w:pos="567"/>
        </w:tabs>
        <w:rPr>
          <w:rFonts w:hint="eastAsia"/>
        </w:rPr>
      </w:pPr>
      <w:bookmarkStart w:id="20" w:name="_Toc256342142"/>
      <w:bookmarkStart w:id="21" w:name="_Toc230583540"/>
      <w:bookmarkStart w:id="22" w:name="_Toc21126"/>
      <w:bookmarkStart w:id="23" w:name="_Toc249525158"/>
      <w:bookmarkStart w:id="24" w:name="_Toc230099796"/>
      <w:bookmarkStart w:id="25" w:name="_Toc232395211"/>
      <w:bookmarkStart w:id="26" w:name="_Toc232176271"/>
      <w:bookmarkStart w:id="27" w:name="_Toc58504446"/>
      <w:bookmarkStart w:id="28" w:name="_Toc249515389"/>
      <w:bookmarkStart w:id="29" w:name="_Toc184043011"/>
      <w:bookmarkStart w:id="30" w:name="_Toc230013631"/>
      <w:bookmarkStart w:id="31" w:name="_Toc415499895"/>
      <w:bookmarkStart w:id="32" w:name="_Toc249515277"/>
      <w:bookmarkStart w:id="33" w:name="_Toc177189235"/>
      <w:bookmarkStart w:id="34" w:name="_Toc230013632"/>
      <w:bookmarkStart w:id="35" w:name="_Toc499711042"/>
      <w:bookmarkStart w:id="36" w:name="_Toc177995473"/>
      <w:bookmarkStart w:id="37" w:name="_Toc230583541"/>
      <w:bookmarkStart w:id="38" w:name="_Toc499711883"/>
      <w:bookmarkStart w:id="39" w:name="_Toc249515278"/>
      <w:bookmarkStart w:id="40" w:name="_Toc256342143"/>
      <w:bookmarkStart w:id="41" w:name="_Toc53722840"/>
      <w:bookmarkStart w:id="42" w:name="_Toc249515390"/>
      <w:bookmarkStart w:id="43" w:name="_Toc70687139"/>
      <w:bookmarkStart w:id="44" w:name="_Toc176882542"/>
      <w:bookmarkStart w:id="45" w:name="_Toc500747188"/>
      <w:bookmarkStart w:id="46" w:name="_Toc496324578"/>
      <w:bookmarkStart w:id="47" w:name="_Toc177817334"/>
      <w:bookmarkStart w:id="48" w:name="_Toc500747061"/>
      <w:bookmarkStart w:id="49" w:name="_Toc503063421"/>
      <w:bookmarkStart w:id="50" w:name="_Toc249525159"/>
      <w:bookmarkStart w:id="51" w:name="_Toc232176272"/>
      <w:bookmarkStart w:id="52" w:name="_Toc492955414"/>
      <w:bookmarkStart w:id="53" w:name="_Toc500746965"/>
      <w:bookmarkStart w:id="54" w:name="_Toc184043012"/>
      <w:bookmarkStart w:id="55" w:name="_Toc232395212"/>
      <w:bookmarkStart w:id="56" w:name="_Toc230099797"/>
    </w:p>
    <w:p w14:paraId="56176D1E">
      <w:pPr>
        <w:keepNext w:val="0"/>
        <w:keepLines w:val="0"/>
        <w:widowControl/>
        <w:suppressLineNumbers w:val="0"/>
        <w:pBdr>
          <w:top w:val="single" w:color="auto" w:sz="4" w:space="0"/>
          <w:left w:val="single" w:color="auto" w:sz="4" w:space="0"/>
          <w:bottom w:val="single" w:color="auto" w:sz="4" w:space="0"/>
          <w:right w:val="single" w:color="auto" w:sz="4" w:space="0"/>
        </w:pBdr>
        <w:shd w:val="clear" w:color="auto" w:fill="FFFFFF"/>
        <w:spacing w:before="0" w:beforeAutospacing="0" w:after="0" w:afterAutospacing="0" w:line="30" w:lineRule="atLeast"/>
        <w:ind w:left="0" w:right="0" w:firstLine="0"/>
        <w:jc w:val="left"/>
        <w:outlineLvl w:val="9"/>
        <w:rPr>
          <w:rFonts w:hint="eastAsia" w:ascii="黑体" w:hAnsi="黑体" w:eastAsia="黑体" w:cs="黑体"/>
          <w:b w:val="0"/>
          <w:bCs w:val="0"/>
          <w:i w:val="0"/>
          <w:iCs w:val="0"/>
          <w:caps w:val="0"/>
          <w:color w:val="333333"/>
          <w:spacing w:val="0"/>
          <w:sz w:val="24"/>
          <w:szCs w:val="24"/>
        </w:rPr>
      </w:pPr>
      <w:r>
        <w:rPr>
          <w:rStyle w:val="53"/>
          <w:rFonts w:hint="eastAsia" w:ascii="黑体" w:hAnsi="黑体" w:eastAsia="黑体" w:cs="黑体"/>
          <w:b w:val="0"/>
          <w:bCs w:val="0"/>
          <w:i w:val="0"/>
          <w:iCs w:val="0"/>
          <w:caps w:val="0"/>
          <w:color w:val="333333"/>
          <w:spacing w:val="0"/>
          <w:sz w:val="24"/>
          <w:szCs w:val="24"/>
          <w:shd w:val="clear" w:color="auto" w:fill="FFFFFF"/>
        </w:rPr>
        <w:t>项目概况</w:t>
      </w:r>
    </w:p>
    <w:p w14:paraId="2DB28EC1">
      <w:pPr>
        <w:pStyle w:val="44"/>
        <w:keepNext w:val="0"/>
        <w:keepLines w:val="0"/>
        <w:widowControl/>
        <w:suppressLineNumbers w:val="0"/>
        <w:pBdr>
          <w:top w:val="single" w:color="auto" w:sz="4" w:space="0"/>
          <w:left w:val="single" w:color="auto" w:sz="4" w:space="0"/>
          <w:bottom w:val="single" w:color="auto" w:sz="4" w:space="0"/>
          <w:right w:val="single" w:color="auto" w:sz="4" w:space="0"/>
        </w:pBdr>
        <w:shd w:val="clear" w:color="auto" w:fill="FFFFFF"/>
        <w:spacing w:before="0" w:beforeAutospacing="0" w:after="0" w:afterAutospacing="0" w:line="480" w:lineRule="atLeast"/>
        <w:ind w:left="0" w:right="0" w:firstLine="480"/>
        <w:jc w:val="both"/>
        <w:rPr>
          <w:rFonts w:hint="eastAsia" w:ascii="仿宋_GB2312" w:hAnsi="仿宋_GB2312" w:eastAsia="仿宋_GB2312" w:cs="仿宋_GB2312"/>
          <w:i w:val="0"/>
          <w:iCs w:val="0"/>
          <w:caps w:val="0"/>
          <w:color w:val="auto"/>
          <w:spacing w:val="0"/>
          <w:sz w:val="24"/>
          <w:szCs w:val="24"/>
          <w:highlight w:val="none"/>
        </w:rPr>
      </w:pPr>
      <w:r>
        <w:rPr>
          <w:rFonts w:hint="eastAsia" w:ascii="仿宋_GB2312" w:hAnsi="仿宋_GB2312" w:eastAsia="仿宋_GB2312" w:cs="仿宋_GB2312"/>
          <w:i w:val="0"/>
          <w:iCs w:val="0"/>
          <w:caps w:val="0"/>
          <w:color w:val="auto"/>
          <w:spacing w:val="0"/>
          <w:sz w:val="24"/>
          <w:szCs w:val="24"/>
          <w:u w:val="single"/>
          <w:shd w:val="clear" w:color="auto" w:fill="FFFFFF"/>
          <w:lang w:eastAsia="zh-CN"/>
        </w:rPr>
        <w:t>汉阴县第二幼儿园2025-2027学年食堂原辅食材采购项目</w:t>
      </w:r>
      <w:r>
        <w:rPr>
          <w:rFonts w:hint="eastAsia" w:ascii="仿宋_GB2312" w:hAnsi="仿宋_GB2312" w:eastAsia="仿宋_GB2312" w:cs="仿宋_GB2312"/>
          <w:i w:val="0"/>
          <w:iCs w:val="0"/>
          <w:caps w:val="0"/>
          <w:color w:val="auto"/>
          <w:spacing w:val="0"/>
          <w:sz w:val="24"/>
          <w:szCs w:val="24"/>
          <w:shd w:val="clear" w:color="auto" w:fill="FFFFFF"/>
        </w:rPr>
        <w:t>的潜在</w:t>
      </w:r>
      <w:r>
        <w:rPr>
          <w:rFonts w:hint="eastAsia" w:ascii="仿宋_GB2312" w:hAnsi="仿宋_GB2312" w:eastAsia="仿宋_GB2312" w:cs="仿宋_GB2312"/>
          <w:i w:val="0"/>
          <w:iCs w:val="0"/>
          <w:caps w:val="0"/>
          <w:color w:val="auto"/>
          <w:spacing w:val="0"/>
          <w:sz w:val="24"/>
          <w:szCs w:val="24"/>
          <w:shd w:val="clear" w:color="auto" w:fill="FFFFFF"/>
          <w:lang w:eastAsia="zh-CN"/>
        </w:rPr>
        <w:t>供应商</w:t>
      </w:r>
      <w:r>
        <w:rPr>
          <w:rFonts w:hint="eastAsia" w:ascii="仿宋_GB2312" w:hAnsi="仿宋_GB2312" w:eastAsia="仿宋_GB2312" w:cs="仿宋_GB2312"/>
          <w:i w:val="0"/>
          <w:iCs w:val="0"/>
          <w:caps w:val="0"/>
          <w:color w:val="auto"/>
          <w:spacing w:val="0"/>
          <w:sz w:val="24"/>
          <w:szCs w:val="24"/>
          <w:shd w:val="clear" w:color="auto" w:fill="FFFFFF"/>
        </w:rPr>
        <w:t>应在</w:t>
      </w:r>
      <w:r>
        <w:rPr>
          <w:rFonts w:hint="eastAsia" w:ascii="仿宋_GB2312" w:hAnsi="仿宋_GB2312" w:eastAsia="仿宋_GB2312" w:cs="仿宋_GB2312"/>
          <w:i w:val="0"/>
          <w:iCs w:val="0"/>
          <w:caps w:val="0"/>
          <w:color w:val="auto"/>
          <w:spacing w:val="0"/>
          <w:sz w:val="24"/>
          <w:szCs w:val="24"/>
          <w:u w:val="single"/>
          <w:shd w:val="clear" w:color="auto" w:fill="FFFFFF"/>
          <w:lang w:val="en-US" w:eastAsia="zh-CN"/>
        </w:rPr>
        <w:t xml:space="preserve"> 【全国公共资源交易平台（陕西省·安康市）】</w:t>
      </w:r>
      <w:r>
        <w:rPr>
          <w:rFonts w:hint="eastAsia" w:ascii="仿宋_GB2312" w:hAnsi="仿宋_GB2312" w:eastAsia="仿宋_GB2312" w:cs="仿宋_GB2312"/>
          <w:i w:val="0"/>
          <w:iCs w:val="0"/>
          <w:caps w:val="0"/>
          <w:color w:val="auto"/>
          <w:spacing w:val="0"/>
          <w:sz w:val="24"/>
          <w:szCs w:val="24"/>
          <w:shd w:val="clear" w:color="auto" w:fill="FFFFFF"/>
        </w:rPr>
        <w:t>获取</w:t>
      </w:r>
      <w:r>
        <w:rPr>
          <w:rFonts w:hint="eastAsia" w:ascii="仿宋_GB2312" w:hAnsi="仿宋_GB2312" w:eastAsia="仿宋_GB2312" w:cs="仿宋_GB2312"/>
          <w:i w:val="0"/>
          <w:iCs w:val="0"/>
          <w:caps w:val="0"/>
          <w:color w:val="auto"/>
          <w:spacing w:val="0"/>
          <w:sz w:val="24"/>
          <w:szCs w:val="24"/>
          <w:highlight w:val="none"/>
          <w:shd w:val="clear" w:color="auto" w:fill="FFFFFF"/>
          <w:lang w:eastAsia="zh-CN"/>
        </w:rPr>
        <w:t>采购</w:t>
      </w:r>
      <w:r>
        <w:rPr>
          <w:rFonts w:hint="eastAsia" w:ascii="仿宋_GB2312" w:hAnsi="仿宋_GB2312" w:eastAsia="仿宋_GB2312" w:cs="仿宋_GB2312"/>
          <w:i w:val="0"/>
          <w:iCs w:val="0"/>
          <w:caps w:val="0"/>
          <w:color w:val="auto"/>
          <w:spacing w:val="0"/>
          <w:sz w:val="24"/>
          <w:szCs w:val="24"/>
          <w:highlight w:val="none"/>
          <w:shd w:val="clear" w:color="auto" w:fill="FFFFFF"/>
        </w:rPr>
        <w:t>文件，并于</w:t>
      </w:r>
      <w:r>
        <w:rPr>
          <w:rFonts w:hint="eastAsia" w:ascii="仿宋_GB2312" w:hAnsi="仿宋_GB2312" w:eastAsia="仿宋_GB2312" w:cs="仿宋_GB2312"/>
          <w:i w:val="0"/>
          <w:iCs w:val="0"/>
          <w:caps w:val="0"/>
          <w:color w:val="auto"/>
          <w:spacing w:val="0"/>
          <w:sz w:val="24"/>
          <w:szCs w:val="24"/>
          <w:highlight w:val="none"/>
          <w:u w:val="single"/>
          <w:shd w:val="clear" w:color="auto" w:fill="FFFFFF"/>
          <w:lang w:val="en-US" w:eastAsia="zh-CN"/>
        </w:rPr>
        <w:t xml:space="preserve"> 2025年 11月 21 日 16时 00 分（北京时间）前 </w:t>
      </w:r>
      <w:r>
        <w:rPr>
          <w:rFonts w:hint="eastAsia" w:ascii="仿宋_GB2312" w:hAnsi="仿宋_GB2312" w:eastAsia="仿宋_GB2312" w:cs="仿宋_GB2312"/>
          <w:i w:val="0"/>
          <w:iCs w:val="0"/>
          <w:caps w:val="0"/>
          <w:color w:val="auto"/>
          <w:spacing w:val="0"/>
          <w:sz w:val="24"/>
          <w:szCs w:val="24"/>
          <w:highlight w:val="none"/>
          <w:shd w:val="clear" w:color="auto" w:fill="FFFFFF"/>
        </w:rPr>
        <w:t>递交</w:t>
      </w:r>
      <w:r>
        <w:rPr>
          <w:rFonts w:hint="eastAsia" w:ascii="仿宋_GB2312" w:hAnsi="仿宋_GB2312" w:eastAsia="仿宋_GB2312" w:cs="仿宋_GB2312"/>
          <w:i w:val="0"/>
          <w:iCs w:val="0"/>
          <w:caps w:val="0"/>
          <w:color w:val="auto"/>
          <w:spacing w:val="0"/>
          <w:sz w:val="24"/>
          <w:szCs w:val="24"/>
          <w:highlight w:val="none"/>
          <w:shd w:val="clear" w:color="auto" w:fill="FFFFFF"/>
          <w:lang w:val="en-US" w:eastAsia="zh-CN"/>
        </w:rPr>
        <w:t>响应</w:t>
      </w:r>
      <w:r>
        <w:rPr>
          <w:rFonts w:hint="eastAsia" w:ascii="仿宋_GB2312" w:hAnsi="仿宋_GB2312" w:eastAsia="仿宋_GB2312" w:cs="仿宋_GB2312"/>
          <w:i w:val="0"/>
          <w:iCs w:val="0"/>
          <w:caps w:val="0"/>
          <w:color w:val="auto"/>
          <w:spacing w:val="0"/>
          <w:sz w:val="24"/>
          <w:szCs w:val="24"/>
          <w:highlight w:val="none"/>
          <w:shd w:val="clear" w:color="auto" w:fill="FFFFFF"/>
        </w:rPr>
        <w:t>文件。</w:t>
      </w:r>
    </w:p>
    <w:p w14:paraId="5D5E1240">
      <w:pPr>
        <w:pStyle w:val="22"/>
        <w:tabs>
          <w:tab w:val="left" w:pos="567"/>
        </w:tabs>
        <w:rPr>
          <w:rFonts w:hint="eastAsia"/>
          <w:highlight w:val="none"/>
        </w:rPr>
      </w:pPr>
    </w:p>
    <w:p w14:paraId="61A5E63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仿宋" w:hAnsi="仿宋" w:eastAsia="仿宋"/>
          <w:b/>
          <w:bCs/>
          <w:sz w:val="24"/>
          <w:highlight w:val="none"/>
        </w:rPr>
      </w:pPr>
      <w:bookmarkStart w:id="57" w:name="_Toc12736"/>
      <w:r>
        <w:rPr>
          <w:rFonts w:hint="eastAsia" w:ascii="仿宋" w:hAnsi="仿宋" w:eastAsia="仿宋"/>
          <w:b/>
          <w:bCs/>
          <w:sz w:val="24"/>
          <w:highlight w:val="none"/>
        </w:rPr>
        <w:t>一、项目基本情况</w:t>
      </w:r>
      <w:bookmarkEnd w:id="57"/>
    </w:p>
    <w:p w14:paraId="143309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sz w:val="24"/>
          <w:szCs w:val="24"/>
          <w:highlight w:val="none"/>
          <w:lang w:eastAsia="zh-CN"/>
        </w:rPr>
      </w:pPr>
      <w:r>
        <w:rPr>
          <w:rFonts w:hint="eastAsia" w:ascii="仿宋" w:hAnsi="仿宋" w:eastAsia="仿宋"/>
          <w:sz w:val="24"/>
          <w:szCs w:val="24"/>
          <w:highlight w:val="none"/>
        </w:rPr>
        <w:t>项目编号</w:t>
      </w:r>
      <w:r>
        <w:rPr>
          <w:rFonts w:hint="eastAsia" w:ascii="仿宋" w:hAnsi="仿宋" w:eastAsia="仿宋"/>
          <w:sz w:val="24"/>
          <w:szCs w:val="24"/>
          <w:highlight w:val="none"/>
          <w:lang w:eastAsia="zh-CN"/>
        </w:rPr>
        <w:t>：SXCQCGAK(2025)第46号</w:t>
      </w:r>
    </w:p>
    <w:p w14:paraId="074D0E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仿宋" w:hAnsi="仿宋" w:eastAsia="仿宋"/>
          <w:sz w:val="24"/>
          <w:szCs w:val="24"/>
          <w:highlight w:val="none"/>
          <w:lang w:eastAsia="zh-CN"/>
        </w:rPr>
      </w:pPr>
      <w:r>
        <w:rPr>
          <w:rFonts w:hint="eastAsia" w:ascii="仿宋" w:hAnsi="仿宋" w:eastAsia="仿宋"/>
          <w:sz w:val="24"/>
          <w:szCs w:val="24"/>
          <w:highlight w:val="none"/>
        </w:rPr>
        <w:t>项目名称：</w:t>
      </w:r>
      <w:r>
        <w:rPr>
          <w:rFonts w:hint="eastAsia" w:ascii="仿宋" w:hAnsi="仿宋" w:eastAsia="仿宋"/>
          <w:sz w:val="24"/>
          <w:szCs w:val="24"/>
          <w:highlight w:val="none"/>
          <w:lang w:eastAsia="zh-CN"/>
        </w:rPr>
        <w:t>汉阴县第二幼儿园2025-2027学年食堂原辅食材采购项目</w:t>
      </w:r>
    </w:p>
    <w:p w14:paraId="1B088C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仿宋" w:hAnsi="仿宋" w:eastAsia="仿宋"/>
          <w:sz w:val="24"/>
          <w:szCs w:val="24"/>
          <w:highlight w:val="none"/>
          <w:lang w:val="en-US" w:eastAsia="zh-CN"/>
        </w:rPr>
      </w:pPr>
      <w:r>
        <w:rPr>
          <w:rFonts w:hint="eastAsia" w:ascii="仿宋" w:hAnsi="仿宋" w:eastAsia="仿宋"/>
          <w:sz w:val="24"/>
          <w:szCs w:val="24"/>
          <w:highlight w:val="none"/>
        </w:rPr>
        <w:t>采购方式：</w:t>
      </w:r>
      <w:r>
        <w:rPr>
          <w:rFonts w:hint="eastAsia" w:ascii="仿宋" w:hAnsi="仿宋" w:eastAsia="仿宋"/>
          <w:sz w:val="24"/>
          <w:szCs w:val="24"/>
          <w:highlight w:val="none"/>
          <w:lang w:val="en-US" w:eastAsia="zh-CN"/>
        </w:rPr>
        <w:t>竞争性谈判</w:t>
      </w:r>
    </w:p>
    <w:p w14:paraId="422EAF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sz w:val="24"/>
          <w:szCs w:val="24"/>
          <w:highlight w:val="none"/>
        </w:rPr>
      </w:pPr>
      <w:r>
        <w:rPr>
          <w:rFonts w:hint="eastAsia" w:ascii="仿宋" w:hAnsi="仿宋" w:eastAsia="仿宋"/>
          <w:sz w:val="24"/>
          <w:szCs w:val="24"/>
          <w:highlight w:val="none"/>
        </w:rPr>
        <w:t>预算金额</w:t>
      </w:r>
      <w:r>
        <w:rPr>
          <w:rFonts w:hint="eastAsia" w:ascii="仿宋" w:hAnsi="仿宋" w:eastAsia="仿宋"/>
          <w:sz w:val="24"/>
          <w:szCs w:val="24"/>
          <w:highlight w:val="none"/>
          <w:lang w:eastAsia="zh-CN"/>
        </w:rPr>
        <w:t>：</w:t>
      </w:r>
      <w:r>
        <w:rPr>
          <w:rFonts w:hint="eastAsia" w:ascii="仿宋" w:hAnsi="仿宋" w:eastAsia="仿宋"/>
          <w:sz w:val="24"/>
          <w:szCs w:val="24"/>
          <w:highlight w:val="none"/>
          <w:lang w:val="en-US" w:eastAsia="zh-CN"/>
        </w:rPr>
        <w:t>900000.00</w:t>
      </w:r>
      <w:r>
        <w:rPr>
          <w:rFonts w:hint="eastAsia" w:ascii="仿宋" w:hAnsi="仿宋" w:eastAsia="仿宋"/>
          <w:sz w:val="24"/>
          <w:szCs w:val="24"/>
          <w:highlight w:val="none"/>
        </w:rPr>
        <w:t>元</w:t>
      </w:r>
    </w:p>
    <w:p w14:paraId="1B791E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sz w:val="24"/>
          <w:szCs w:val="24"/>
          <w:highlight w:val="none"/>
        </w:rPr>
      </w:pPr>
      <w:r>
        <w:rPr>
          <w:rFonts w:hint="eastAsia" w:ascii="仿宋" w:hAnsi="仿宋" w:eastAsia="仿宋"/>
          <w:sz w:val="24"/>
          <w:szCs w:val="24"/>
          <w:highlight w:val="none"/>
        </w:rPr>
        <w:t>采购需求：</w:t>
      </w:r>
    </w:p>
    <w:p w14:paraId="472026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仿宋" w:hAnsi="仿宋" w:eastAsia="仿宋"/>
          <w:sz w:val="24"/>
          <w:szCs w:val="24"/>
          <w:highlight w:val="none"/>
          <w:u w:val="single"/>
          <w:lang w:eastAsia="zh-CN"/>
        </w:rPr>
      </w:pPr>
      <w:r>
        <w:rPr>
          <w:rFonts w:hint="eastAsia" w:ascii="仿宋" w:hAnsi="仿宋" w:eastAsia="仿宋"/>
          <w:sz w:val="24"/>
          <w:szCs w:val="24"/>
          <w:highlight w:val="none"/>
          <w:lang w:val="en-US" w:eastAsia="zh-CN"/>
        </w:rPr>
        <w:t>合同包1：</w:t>
      </w:r>
      <w:r>
        <w:rPr>
          <w:rFonts w:hint="eastAsia" w:ascii="仿宋" w:hAnsi="仿宋" w:eastAsia="仿宋"/>
          <w:sz w:val="24"/>
          <w:szCs w:val="24"/>
          <w:highlight w:val="none"/>
          <w:u w:val="none"/>
          <w:lang w:eastAsia="zh-CN"/>
        </w:rPr>
        <w:t>汉阴县第二幼儿园2025-2027学年食堂原辅食材采购项目</w:t>
      </w:r>
    </w:p>
    <w:p w14:paraId="08A6DC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sz w:val="24"/>
          <w:szCs w:val="24"/>
          <w:highlight w:val="none"/>
        </w:rPr>
      </w:pPr>
      <w:r>
        <w:rPr>
          <w:rFonts w:hint="eastAsia" w:ascii="仿宋" w:hAnsi="仿宋" w:eastAsia="仿宋"/>
          <w:sz w:val="24"/>
          <w:szCs w:val="24"/>
          <w:highlight w:val="none"/>
        </w:rPr>
        <w:t>合同包预算金额：</w:t>
      </w:r>
      <w:r>
        <w:rPr>
          <w:rFonts w:hint="eastAsia" w:ascii="仿宋" w:hAnsi="仿宋" w:eastAsia="仿宋"/>
          <w:sz w:val="24"/>
          <w:szCs w:val="24"/>
          <w:highlight w:val="none"/>
          <w:lang w:val="en-US" w:eastAsia="zh-CN"/>
        </w:rPr>
        <w:t>900000.00</w:t>
      </w:r>
      <w:r>
        <w:rPr>
          <w:rFonts w:hint="eastAsia" w:ascii="仿宋" w:hAnsi="仿宋" w:eastAsia="仿宋"/>
          <w:sz w:val="24"/>
          <w:szCs w:val="24"/>
          <w:highlight w:val="none"/>
        </w:rPr>
        <w:t>元</w:t>
      </w:r>
    </w:p>
    <w:p w14:paraId="7B50A3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sz w:val="24"/>
          <w:szCs w:val="24"/>
          <w:highlight w:val="none"/>
        </w:rPr>
      </w:pPr>
      <w:r>
        <w:rPr>
          <w:rFonts w:hint="eastAsia" w:ascii="仿宋" w:hAnsi="仿宋" w:eastAsia="仿宋"/>
          <w:sz w:val="24"/>
          <w:szCs w:val="24"/>
          <w:highlight w:val="none"/>
        </w:rPr>
        <w:t>合同包最高限价：</w:t>
      </w:r>
      <w:r>
        <w:rPr>
          <w:rFonts w:hint="eastAsia" w:ascii="仿宋" w:hAnsi="仿宋" w:eastAsia="仿宋"/>
          <w:sz w:val="24"/>
          <w:szCs w:val="24"/>
          <w:highlight w:val="none"/>
          <w:lang w:val="en-US" w:eastAsia="zh-CN"/>
        </w:rPr>
        <w:t>900000.00</w:t>
      </w:r>
      <w:r>
        <w:rPr>
          <w:rFonts w:hint="eastAsia" w:ascii="仿宋" w:hAnsi="仿宋" w:eastAsia="仿宋"/>
          <w:sz w:val="24"/>
          <w:szCs w:val="24"/>
          <w:highlight w:val="none"/>
        </w:rPr>
        <w:t>元</w:t>
      </w:r>
    </w:p>
    <w:tbl>
      <w:tblPr>
        <w:tblStyle w:val="50"/>
        <w:tblW w:w="9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225"/>
        <w:gridCol w:w="2229"/>
        <w:gridCol w:w="1094"/>
        <w:gridCol w:w="1642"/>
        <w:gridCol w:w="1404"/>
        <w:gridCol w:w="1416"/>
      </w:tblGrid>
      <w:tr w14:paraId="3BF5E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58826E4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b/>
                <w:sz w:val="24"/>
                <w:szCs w:val="24"/>
                <w:highlight w:val="none"/>
              </w:rPr>
            </w:pPr>
            <w:r>
              <w:rPr>
                <w:rFonts w:hint="eastAsia" w:ascii="仿宋" w:hAnsi="仿宋" w:eastAsia="仿宋"/>
                <w:b/>
                <w:sz w:val="24"/>
                <w:szCs w:val="24"/>
                <w:highlight w:val="none"/>
              </w:rPr>
              <w:t>品目号</w:t>
            </w:r>
          </w:p>
        </w:tc>
        <w:tc>
          <w:tcPr>
            <w:tcW w:w="1225" w:type="dxa"/>
            <w:noWrap w:val="0"/>
            <w:vAlign w:val="center"/>
          </w:tcPr>
          <w:p w14:paraId="7C58CEC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b/>
                <w:sz w:val="24"/>
                <w:szCs w:val="24"/>
                <w:highlight w:val="none"/>
              </w:rPr>
            </w:pPr>
            <w:r>
              <w:rPr>
                <w:rFonts w:hint="eastAsia" w:ascii="仿宋" w:hAnsi="仿宋" w:eastAsia="仿宋"/>
                <w:b/>
                <w:sz w:val="24"/>
                <w:szCs w:val="24"/>
                <w:highlight w:val="none"/>
              </w:rPr>
              <w:t>品目名称</w:t>
            </w:r>
          </w:p>
        </w:tc>
        <w:tc>
          <w:tcPr>
            <w:tcW w:w="2229" w:type="dxa"/>
            <w:noWrap w:val="0"/>
            <w:vAlign w:val="center"/>
          </w:tcPr>
          <w:p w14:paraId="7EF16FC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b/>
                <w:sz w:val="24"/>
                <w:szCs w:val="24"/>
                <w:highlight w:val="none"/>
              </w:rPr>
            </w:pPr>
            <w:r>
              <w:rPr>
                <w:rFonts w:hint="eastAsia" w:ascii="仿宋" w:hAnsi="仿宋" w:eastAsia="仿宋"/>
                <w:b/>
                <w:sz w:val="24"/>
                <w:szCs w:val="24"/>
                <w:highlight w:val="none"/>
              </w:rPr>
              <w:t>采购标的</w:t>
            </w:r>
          </w:p>
        </w:tc>
        <w:tc>
          <w:tcPr>
            <w:tcW w:w="1094" w:type="dxa"/>
            <w:noWrap w:val="0"/>
            <w:vAlign w:val="center"/>
          </w:tcPr>
          <w:p w14:paraId="5DCA56B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b/>
                <w:sz w:val="24"/>
                <w:szCs w:val="24"/>
                <w:highlight w:val="none"/>
              </w:rPr>
            </w:pPr>
            <w:r>
              <w:rPr>
                <w:rFonts w:hint="eastAsia" w:ascii="仿宋" w:hAnsi="仿宋" w:eastAsia="仿宋"/>
                <w:b/>
                <w:sz w:val="24"/>
                <w:szCs w:val="24"/>
                <w:highlight w:val="none"/>
              </w:rPr>
              <w:t>数量</w:t>
            </w:r>
          </w:p>
          <w:p w14:paraId="4E8BA7A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b/>
                <w:sz w:val="24"/>
                <w:szCs w:val="24"/>
                <w:highlight w:val="none"/>
              </w:rPr>
            </w:pPr>
            <w:r>
              <w:rPr>
                <w:rFonts w:hint="eastAsia" w:ascii="仿宋" w:hAnsi="仿宋" w:eastAsia="仿宋"/>
                <w:b/>
                <w:sz w:val="24"/>
                <w:szCs w:val="24"/>
                <w:highlight w:val="none"/>
              </w:rPr>
              <w:t>（单位）</w:t>
            </w:r>
          </w:p>
        </w:tc>
        <w:tc>
          <w:tcPr>
            <w:tcW w:w="1642" w:type="dxa"/>
            <w:noWrap w:val="0"/>
            <w:vAlign w:val="center"/>
          </w:tcPr>
          <w:p w14:paraId="221F337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b/>
                <w:sz w:val="24"/>
                <w:szCs w:val="24"/>
                <w:highlight w:val="none"/>
              </w:rPr>
            </w:pPr>
            <w:r>
              <w:rPr>
                <w:rFonts w:hint="eastAsia" w:ascii="仿宋" w:hAnsi="仿宋" w:eastAsia="仿宋"/>
                <w:b/>
                <w:sz w:val="24"/>
                <w:szCs w:val="24"/>
                <w:highlight w:val="none"/>
              </w:rPr>
              <w:t>技术规格、参数及要求</w:t>
            </w:r>
          </w:p>
        </w:tc>
        <w:tc>
          <w:tcPr>
            <w:tcW w:w="1404" w:type="dxa"/>
            <w:noWrap w:val="0"/>
            <w:vAlign w:val="center"/>
          </w:tcPr>
          <w:p w14:paraId="0C86E3D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b/>
                <w:sz w:val="24"/>
                <w:szCs w:val="24"/>
                <w:highlight w:val="none"/>
                <w:lang w:eastAsia="zh-CN"/>
              </w:rPr>
            </w:pPr>
            <w:r>
              <w:rPr>
                <w:rFonts w:hint="eastAsia" w:ascii="仿宋" w:hAnsi="仿宋" w:eastAsia="仿宋"/>
                <w:b/>
                <w:sz w:val="24"/>
                <w:szCs w:val="24"/>
                <w:highlight w:val="none"/>
              </w:rPr>
              <w:t>品目预算</w:t>
            </w:r>
            <w:r>
              <w:rPr>
                <w:rFonts w:hint="eastAsia" w:ascii="仿宋" w:hAnsi="仿宋" w:eastAsia="仿宋"/>
                <w:b/>
                <w:sz w:val="24"/>
                <w:szCs w:val="24"/>
                <w:highlight w:val="none"/>
                <w:lang w:eastAsia="zh-CN"/>
              </w:rPr>
              <w:t>（</w:t>
            </w:r>
            <w:r>
              <w:rPr>
                <w:rFonts w:hint="eastAsia" w:ascii="仿宋" w:hAnsi="仿宋" w:eastAsia="仿宋"/>
                <w:b/>
                <w:sz w:val="24"/>
                <w:szCs w:val="24"/>
                <w:highlight w:val="none"/>
              </w:rPr>
              <w:t>元</w:t>
            </w:r>
            <w:r>
              <w:rPr>
                <w:rFonts w:hint="eastAsia" w:ascii="仿宋" w:hAnsi="仿宋" w:eastAsia="仿宋"/>
                <w:b/>
                <w:sz w:val="24"/>
                <w:szCs w:val="24"/>
                <w:highlight w:val="none"/>
                <w:lang w:eastAsia="zh-CN"/>
              </w:rPr>
              <w:t>）</w:t>
            </w:r>
          </w:p>
        </w:tc>
        <w:tc>
          <w:tcPr>
            <w:tcW w:w="1416" w:type="dxa"/>
            <w:noWrap w:val="0"/>
            <w:vAlign w:val="center"/>
          </w:tcPr>
          <w:p w14:paraId="7CDE176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b/>
                <w:sz w:val="24"/>
                <w:szCs w:val="24"/>
                <w:highlight w:val="none"/>
                <w:lang w:eastAsia="zh-CN"/>
              </w:rPr>
            </w:pPr>
            <w:r>
              <w:rPr>
                <w:rFonts w:hint="eastAsia" w:ascii="仿宋" w:hAnsi="仿宋" w:eastAsia="仿宋"/>
                <w:b/>
                <w:sz w:val="24"/>
                <w:szCs w:val="24"/>
                <w:highlight w:val="none"/>
              </w:rPr>
              <w:t>最高限价</w:t>
            </w:r>
            <w:r>
              <w:rPr>
                <w:rFonts w:hint="eastAsia" w:ascii="仿宋" w:hAnsi="仿宋" w:eastAsia="仿宋"/>
                <w:b/>
                <w:sz w:val="24"/>
                <w:szCs w:val="24"/>
                <w:highlight w:val="none"/>
                <w:lang w:eastAsia="zh-CN"/>
              </w:rPr>
              <w:t>（</w:t>
            </w:r>
            <w:r>
              <w:rPr>
                <w:rFonts w:hint="eastAsia" w:ascii="仿宋" w:hAnsi="仿宋" w:eastAsia="仿宋"/>
                <w:b/>
                <w:sz w:val="24"/>
                <w:szCs w:val="24"/>
                <w:highlight w:val="none"/>
              </w:rPr>
              <w:t>元</w:t>
            </w:r>
            <w:r>
              <w:rPr>
                <w:rFonts w:hint="eastAsia" w:ascii="仿宋" w:hAnsi="仿宋" w:eastAsia="仿宋"/>
                <w:b/>
                <w:sz w:val="24"/>
                <w:szCs w:val="24"/>
                <w:highlight w:val="none"/>
                <w:lang w:eastAsia="zh-CN"/>
              </w:rPr>
              <w:t>）</w:t>
            </w:r>
          </w:p>
        </w:tc>
      </w:tr>
      <w:tr w14:paraId="5EFDD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jc w:val="center"/>
        </w:trPr>
        <w:tc>
          <w:tcPr>
            <w:tcW w:w="760" w:type="dxa"/>
            <w:noWrap w:val="0"/>
            <w:vAlign w:val="center"/>
          </w:tcPr>
          <w:p w14:paraId="19EEFC3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1-1</w:t>
            </w:r>
          </w:p>
        </w:tc>
        <w:tc>
          <w:tcPr>
            <w:tcW w:w="1225" w:type="dxa"/>
            <w:noWrap w:val="0"/>
            <w:vAlign w:val="center"/>
          </w:tcPr>
          <w:p w14:paraId="67FEDD1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sz w:val="24"/>
                <w:szCs w:val="24"/>
                <w:highlight w:val="none"/>
              </w:rPr>
            </w:pPr>
            <w:r>
              <w:rPr>
                <w:rFonts w:hint="eastAsia" w:ascii="仿宋" w:hAnsi="仿宋" w:eastAsia="仿宋"/>
                <w:sz w:val="24"/>
                <w:szCs w:val="24"/>
                <w:highlight w:val="none"/>
                <w:lang w:val="en-US" w:eastAsia="zh-CN"/>
              </w:rPr>
              <w:t xml:space="preserve">其他农副 </w:t>
            </w:r>
          </w:p>
          <w:p w14:paraId="245086E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sz w:val="24"/>
                <w:szCs w:val="24"/>
                <w:highlight w:val="none"/>
              </w:rPr>
            </w:pPr>
            <w:r>
              <w:rPr>
                <w:rFonts w:hint="eastAsia" w:ascii="仿宋" w:hAnsi="仿宋" w:eastAsia="仿宋"/>
                <w:sz w:val="24"/>
                <w:szCs w:val="24"/>
                <w:highlight w:val="none"/>
                <w:lang w:val="en-US" w:eastAsia="zh-CN"/>
              </w:rPr>
              <w:t xml:space="preserve">食品， </w:t>
            </w:r>
          </w:p>
          <w:p w14:paraId="26CA11E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sz w:val="24"/>
                <w:szCs w:val="24"/>
                <w:highlight w:val="none"/>
              </w:rPr>
            </w:pPr>
            <w:r>
              <w:rPr>
                <w:rFonts w:hint="eastAsia" w:ascii="仿宋" w:hAnsi="仿宋" w:eastAsia="仿宋"/>
                <w:sz w:val="24"/>
                <w:szCs w:val="24"/>
                <w:highlight w:val="none"/>
                <w:lang w:val="en-US" w:eastAsia="zh-CN"/>
              </w:rPr>
              <w:t xml:space="preserve">动、植物 </w:t>
            </w:r>
          </w:p>
          <w:p w14:paraId="4E35882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sz w:val="24"/>
                <w:szCs w:val="24"/>
                <w:highlight w:val="none"/>
              </w:rPr>
            </w:pPr>
            <w:r>
              <w:rPr>
                <w:rFonts w:hint="eastAsia" w:ascii="仿宋" w:hAnsi="仿宋" w:eastAsia="仿宋"/>
                <w:sz w:val="24"/>
                <w:szCs w:val="24"/>
                <w:highlight w:val="none"/>
                <w:lang w:val="en-US" w:eastAsia="zh-CN"/>
              </w:rPr>
              <w:t>油制品</w:t>
            </w:r>
          </w:p>
        </w:tc>
        <w:tc>
          <w:tcPr>
            <w:tcW w:w="2229" w:type="dxa"/>
            <w:noWrap w:val="0"/>
            <w:vAlign w:val="center"/>
          </w:tcPr>
          <w:p w14:paraId="7E28BEC1">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sz w:val="24"/>
                <w:szCs w:val="24"/>
                <w:highlight w:val="none"/>
              </w:rPr>
            </w:pPr>
            <w:r>
              <w:rPr>
                <w:rFonts w:hint="eastAsia" w:ascii="仿宋" w:hAnsi="仿宋" w:eastAsia="仿宋"/>
                <w:sz w:val="24"/>
                <w:szCs w:val="24"/>
                <w:highlight w:val="none"/>
                <w:lang w:val="en-US" w:eastAsia="zh-CN"/>
              </w:rPr>
              <w:t>汉阴县第二幼儿园2025-2027学年食堂原辅食材采购项目</w:t>
            </w:r>
          </w:p>
        </w:tc>
        <w:tc>
          <w:tcPr>
            <w:tcW w:w="1094" w:type="dxa"/>
            <w:noWrap w:val="0"/>
            <w:vAlign w:val="center"/>
          </w:tcPr>
          <w:p w14:paraId="1B1067D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1（批）</w:t>
            </w:r>
          </w:p>
        </w:tc>
        <w:tc>
          <w:tcPr>
            <w:tcW w:w="1642" w:type="dxa"/>
            <w:noWrap w:val="0"/>
            <w:vAlign w:val="center"/>
          </w:tcPr>
          <w:p w14:paraId="67337A4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sz w:val="24"/>
                <w:szCs w:val="24"/>
                <w:highlight w:val="none"/>
              </w:rPr>
            </w:pPr>
            <w:r>
              <w:rPr>
                <w:rFonts w:hint="eastAsia" w:ascii="仿宋" w:hAnsi="仿宋" w:eastAsia="仿宋"/>
                <w:sz w:val="24"/>
                <w:szCs w:val="24"/>
                <w:highlight w:val="none"/>
              </w:rPr>
              <w:t>详见采购文件</w:t>
            </w:r>
          </w:p>
        </w:tc>
        <w:tc>
          <w:tcPr>
            <w:tcW w:w="1404" w:type="dxa"/>
            <w:noWrap w:val="0"/>
            <w:vAlign w:val="center"/>
          </w:tcPr>
          <w:p w14:paraId="3D0552F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sz w:val="24"/>
                <w:szCs w:val="24"/>
                <w:highlight w:val="none"/>
              </w:rPr>
            </w:pPr>
            <w:r>
              <w:rPr>
                <w:rFonts w:hint="eastAsia" w:ascii="仿宋" w:hAnsi="仿宋" w:eastAsia="仿宋"/>
                <w:sz w:val="24"/>
                <w:szCs w:val="24"/>
                <w:highlight w:val="none"/>
                <w:lang w:val="en-US" w:eastAsia="zh-CN"/>
              </w:rPr>
              <w:t>900000.00</w:t>
            </w:r>
          </w:p>
        </w:tc>
        <w:tc>
          <w:tcPr>
            <w:tcW w:w="1416" w:type="dxa"/>
            <w:noWrap w:val="0"/>
            <w:vAlign w:val="center"/>
          </w:tcPr>
          <w:p w14:paraId="01C3619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ascii="仿宋" w:hAnsi="仿宋" w:eastAsia="仿宋"/>
                <w:sz w:val="24"/>
                <w:szCs w:val="24"/>
                <w:highlight w:val="none"/>
              </w:rPr>
            </w:pPr>
            <w:r>
              <w:rPr>
                <w:rFonts w:hint="eastAsia" w:ascii="仿宋" w:hAnsi="仿宋" w:eastAsia="仿宋"/>
                <w:sz w:val="24"/>
                <w:szCs w:val="24"/>
                <w:highlight w:val="none"/>
                <w:lang w:val="en-US" w:eastAsia="zh-CN"/>
              </w:rPr>
              <w:t>900000.00</w:t>
            </w:r>
          </w:p>
        </w:tc>
      </w:tr>
    </w:tbl>
    <w:p w14:paraId="04DCD3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sz w:val="24"/>
          <w:szCs w:val="24"/>
          <w:highlight w:val="none"/>
          <w:lang w:eastAsia="zh-CN"/>
        </w:rPr>
      </w:pPr>
      <w:r>
        <w:rPr>
          <w:rFonts w:hint="eastAsia" w:ascii="仿宋" w:hAnsi="仿宋" w:eastAsia="仿宋"/>
          <w:sz w:val="24"/>
          <w:szCs w:val="24"/>
          <w:highlight w:val="none"/>
        </w:rPr>
        <w:t>本合同包</w:t>
      </w:r>
      <w:r>
        <w:rPr>
          <w:rFonts w:hint="eastAsia" w:ascii="仿宋" w:hAnsi="仿宋" w:eastAsia="仿宋"/>
          <w:sz w:val="24"/>
          <w:szCs w:val="24"/>
          <w:highlight w:val="none"/>
          <w:u w:val="single"/>
          <w:lang w:val="en-US" w:eastAsia="zh-CN"/>
        </w:rPr>
        <w:t xml:space="preserve"> </w:t>
      </w:r>
      <w:r>
        <w:rPr>
          <w:rFonts w:hint="eastAsia" w:ascii="仿宋" w:hAnsi="仿宋" w:eastAsia="仿宋"/>
          <w:sz w:val="24"/>
          <w:szCs w:val="24"/>
          <w:highlight w:val="none"/>
          <w:u w:val="single"/>
        </w:rPr>
        <w:t>不接受</w:t>
      </w:r>
      <w:r>
        <w:rPr>
          <w:rFonts w:hint="eastAsia" w:ascii="仿宋" w:hAnsi="仿宋" w:eastAsia="仿宋"/>
          <w:sz w:val="24"/>
          <w:szCs w:val="24"/>
          <w:highlight w:val="none"/>
          <w:u w:val="single"/>
          <w:lang w:val="en-US" w:eastAsia="zh-CN"/>
        </w:rPr>
        <w:t xml:space="preserve"> </w:t>
      </w:r>
      <w:r>
        <w:rPr>
          <w:rFonts w:hint="eastAsia" w:ascii="仿宋" w:hAnsi="仿宋" w:eastAsia="仿宋"/>
          <w:sz w:val="24"/>
          <w:szCs w:val="24"/>
          <w:highlight w:val="none"/>
        </w:rPr>
        <w:t>联合体投标</w:t>
      </w:r>
      <w:r>
        <w:rPr>
          <w:rFonts w:hint="eastAsia" w:ascii="仿宋" w:hAnsi="仿宋" w:eastAsia="仿宋"/>
          <w:sz w:val="24"/>
          <w:szCs w:val="24"/>
          <w:highlight w:val="none"/>
          <w:lang w:eastAsia="zh-CN"/>
        </w:rPr>
        <w:t>。</w:t>
      </w:r>
    </w:p>
    <w:p w14:paraId="627997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sz w:val="24"/>
          <w:szCs w:val="24"/>
          <w:highlight w:val="none"/>
        </w:rPr>
      </w:pPr>
      <w:r>
        <w:rPr>
          <w:rFonts w:hint="eastAsia" w:ascii="仿宋" w:hAnsi="仿宋" w:eastAsia="仿宋"/>
          <w:sz w:val="24"/>
          <w:szCs w:val="24"/>
          <w:highlight w:val="none"/>
        </w:rPr>
        <w:t>合同履行期限：</w:t>
      </w:r>
      <w:r>
        <w:rPr>
          <w:rFonts w:hint="eastAsia" w:ascii="仿宋" w:hAnsi="仿宋" w:eastAsia="仿宋"/>
          <w:color w:val="auto"/>
          <w:sz w:val="24"/>
          <w:szCs w:val="24"/>
          <w:highlight w:val="none"/>
          <w:lang w:val="en-US" w:eastAsia="zh-CN"/>
        </w:rPr>
        <w:t>两学年</w:t>
      </w:r>
    </w:p>
    <w:p w14:paraId="421B273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仿宋" w:hAnsi="仿宋" w:eastAsia="仿宋"/>
          <w:b/>
          <w:bCs/>
          <w:sz w:val="24"/>
          <w:highlight w:val="none"/>
        </w:rPr>
      </w:pPr>
      <w:bookmarkStart w:id="58" w:name="_Toc32327"/>
      <w:r>
        <w:rPr>
          <w:rFonts w:hint="eastAsia" w:ascii="仿宋" w:hAnsi="仿宋" w:eastAsia="仿宋"/>
          <w:b/>
          <w:bCs/>
          <w:sz w:val="24"/>
          <w:highlight w:val="none"/>
        </w:rPr>
        <w:t>二、申请人的资格要求</w:t>
      </w:r>
      <w:bookmarkEnd w:id="58"/>
    </w:p>
    <w:p w14:paraId="7CE9FD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eastAsia="仿宋"/>
          <w:sz w:val="24"/>
          <w:szCs w:val="24"/>
          <w:highlight w:val="none"/>
        </w:rPr>
      </w:pPr>
      <w:r>
        <w:rPr>
          <w:rFonts w:hint="eastAsia" w:eastAsia="仿宋"/>
          <w:sz w:val="24"/>
          <w:szCs w:val="24"/>
          <w:highlight w:val="none"/>
        </w:rPr>
        <w:t>1、满足《中华人民共和国政府采购法》第二十二条规定；</w:t>
      </w:r>
    </w:p>
    <w:p w14:paraId="3732FA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eastAsia="仿宋"/>
          <w:sz w:val="24"/>
          <w:szCs w:val="24"/>
          <w:highlight w:val="none"/>
        </w:rPr>
      </w:pPr>
      <w:r>
        <w:rPr>
          <w:rFonts w:hint="eastAsia" w:eastAsia="仿宋"/>
          <w:sz w:val="24"/>
          <w:szCs w:val="24"/>
          <w:highlight w:val="none"/>
        </w:rPr>
        <w:t>2、落实政府采购政策需满足的资格要求：</w:t>
      </w:r>
      <w:r>
        <w:rPr>
          <w:rFonts w:hint="eastAsia" w:eastAsia="仿宋"/>
          <w:b/>
          <w:bCs/>
          <w:sz w:val="24"/>
          <w:szCs w:val="24"/>
          <w:highlight w:val="none"/>
        </w:rPr>
        <w:t>本项目为专门面向中小企业的项目</w:t>
      </w:r>
      <w:r>
        <w:rPr>
          <w:rFonts w:hint="eastAsia" w:eastAsia="仿宋"/>
          <w:sz w:val="24"/>
          <w:szCs w:val="24"/>
          <w:highlight w:val="none"/>
        </w:rPr>
        <w:t>，</w:t>
      </w:r>
      <w:r>
        <w:rPr>
          <w:rFonts w:hint="eastAsia" w:eastAsia="仿宋"/>
          <w:sz w:val="24"/>
          <w:szCs w:val="24"/>
          <w:highlight w:val="none"/>
          <w:lang w:val="en-US" w:eastAsia="zh-CN"/>
        </w:rPr>
        <w:t>供应商</w:t>
      </w:r>
      <w:r>
        <w:rPr>
          <w:rFonts w:hint="eastAsia" w:eastAsia="仿宋"/>
          <w:sz w:val="24"/>
          <w:szCs w:val="24"/>
          <w:highlight w:val="none"/>
        </w:rPr>
        <w:t>应为中小微企业、监狱企业或残疾人福利性单位。</w:t>
      </w:r>
    </w:p>
    <w:p w14:paraId="0E0F22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eastAsia="仿宋"/>
          <w:sz w:val="24"/>
          <w:szCs w:val="24"/>
          <w:highlight w:val="none"/>
        </w:rPr>
      </w:pPr>
      <w:r>
        <w:rPr>
          <w:rFonts w:hint="eastAsia" w:eastAsia="仿宋"/>
          <w:sz w:val="24"/>
          <w:szCs w:val="24"/>
          <w:highlight w:val="none"/>
        </w:rPr>
        <w:t>3、本项目的特定资格要求：</w:t>
      </w:r>
    </w:p>
    <w:p w14:paraId="5CEE92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eastAsia="仿宋"/>
          <w:sz w:val="24"/>
          <w:szCs w:val="24"/>
          <w:highlight w:val="none"/>
        </w:rPr>
      </w:pPr>
      <w:r>
        <w:rPr>
          <w:rFonts w:hint="eastAsia" w:eastAsia="仿宋"/>
          <w:sz w:val="24"/>
          <w:szCs w:val="24"/>
          <w:highlight w:val="none"/>
        </w:rPr>
        <w:t>3.1、供应商在递交</w:t>
      </w:r>
      <w:r>
        <w:rPr>
          <w:rFonts w:hint="eastAsia" w:eastAsia="仿宋"/>
          <w:sz w:val="24"/>
          <w:szCs w:val="24"/>
          <w:highlight w:val="none"/>
          <w:lang w:eastAsia="zh-CN"/>
        </w:rPr>
        <w:t>响应文件</w:t>
      </w:r>
      <w:r>
        <w:rPr>
          <w:rFonts w:hint="eastAsia" w:eastAsia="仿宋"/>
          <w:sz w:val="24"/>
          <w:szCs w:val="24"/>
          <w:highlight w:val="none"/>
        </w:rPr>
        <w:t>截止时间前被“信用中国”网站（www.creditchina.gov.cn）和中国政府采购网（www.ccgp.gov.cn）上被列入失信被执行人、重大税收违法失信主体、政府采购严重违法失信行为记录名单的，不得参加投标；</w:t>
      </w:r>
    </w:p>
    <w:p w14:paraId="1FE69A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eastAsia="仿宋"/>
          <w:sz w:val="24"/>
          <w:szCs w:val="24"/>
          <w:highlight w:val="none"/>
        </w:rPr>
      </w:pPr>
      <w:r>
        <w:rPr>
          <w:rFonts w:hint="eastAsia" w:eastAsia="仿宋"/>
          <w:sz w:val="24"/>
          <w:szCs w:val="24"/>
          <w:highlight w:val="none"/>
        </w:rPr>
        <w:t>3.2供应商须为合法注册的法人、其他组织或者自然人，并具有独立承担民事责任的能力，且具备向采购人提供相关货物和服务的能力；提供统一社会信用代码的营业执照（或事业法人证、自然人身份证）等合法证明文件；</w:t>
      </w:r>
    </w:p>
    <w:p w14:paraId="030D1E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eastAsia="仿宋"/>
          <w:sz w:val="24"/>
          <w:szCs w:val="24"/>
          <w:highlight w:val="none"/>
          <w:lang w:eastAsia="zh-CN"/>
        </w:rPr>
      </w:pPr>
      <w:r>
        <w:rPr>
          <w:rFonts w:hint="eastAsia" w:eastAsia="仿宋"/>
          <w:sz w:val="24"/>
          <w:szCs w:val="24"/>
          <w:highlight w:val="none"/>
        </w:rPr>
        <w:t>3.3供应商具有健全的财务会计制度：</w:t>
      </w:r>
      <w:r>
        <w:rPr>
          <w:rFonts w:hint="eastAsia" w:eastAsia="仿宋"/>
          <w:sz w:val="24"/>
          <w:szCs w:val="24"/>
          <w:highlight w:val="none"/>
          <w:lang w:eastAsia="zh-CN"/>
        </w:rPr>
        <w:t>须提供由具有财务审计资质单位出具的2023年或2024年度审计报告或提供谈判响应文件递交截止时间前六个月内其基本户开户银行出具的资信证明（并附开户许可证或开户基本信息）；</w:t>
      </w:r>
    </w:p>
    <w:p w14:paraId="343571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eastAsia="仿宋"/>
          <w:sz w:val="24"/>
          <w:szCs w:val="24"/>
          <w:highlight w:val="none"/>
        </w:rPr>
      </w:pPr>
      <w:r>
        <w:rPr>
          <w:rFonts w:hint="eastAsia" w:eastAsia="仿宋"/>
          <w:sz w:val="24"/>
          <w:szCs w:val="24"/>
          <w:highlight w:val="none"/>
        </w:rPr>
        <w:t>3.4供应商社会保障资金缴纳证明：提供自</w:t>
      </w:r>
      <w:r>
        <w:rPr>
          <w:rFonts w:hint="eastAsia" w:eastAsia="仿宋"/>
          <w:sz w:val="24"/>
          <w:szCs w:val="24"/>
          <w:highlight w:val="none"/>
          <w:lang w:eastAsia="zh-CN"/>
        </w:rPr>
        <w:t>谈判</w:t>
      </w:r>
      <w:r>
        <w:rPr>
          <w:rFonts w:hint="eastAsia" w:eastAsia="仿宋"/>
          <w:sz w:val="24"/>
          <w:szCs w:val="24"/>
          <w:highlight w:val="none"/>
        </w:rPr>
        <w:t>响应文件递交截止时间前近六个月中至少一个月的缴纳社会保障资金的凭据（社保机构开具的社会保险参保缴费凭据或社会保险缴存凭据），依法不需要缴纳社会保障资金的单位应提供相关证明材料；</w:t>
      </w:r>
    </w:p>
    <w:p w14:paraId="12DFFA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eastAsia="仿宋"/>
          <w:sz w:val="24"/>
          <w:szCs w:val="24"/>
          <w:highlight w:val="none"/>
        </w:rPr>
      </w:pPr>
      <w:r>
        <w:rPr>
          <w:rFonts w:hint="eastAsia" w:eastAsia="仿宋"/>
          <w:sz w:val="24"/>
          <w:szCs w:val="24"/>
          <w:highlight w:val="none"/>
        </w:rPr>
        <w:t>3.5供应商缴纳税收证明：提供自</w:t>
      </w:r>
      <w:r>
        <w:rPr>
          <w:rFonts w:hint="eastAsia" w:eastAsia="仿宋"/>
          <w:sz w:val="24"/>
          <w:szCs w:val="24"/>
          <w:highlight w:val="none"/>
          <w:lang w:eastAsia="zh-CN"/>
        </w:rPr>
        <w:t>谈判</w:t>
      </w:r>
      <w:r>
        <w:rPr>
          <w:rFonts w:hint="eastAsia" w:eastAsia="仿宋"/>
          <w:sz w:val="24"/>
          <w:szCs w:val="24"/>
          <w:highlight w:val="none"/>
        </w:rPr>
        <w:t>响应文件递交截止时间前近六个月中任何一个月缴纳税收的凭证，时间以税款所属时期为准（银行出具的缴税凭证或税务机关出具的证明），依法不需要缴纳社会保障资金的单位应提供相关证明材料；</w:t>
      </w:r>
    </w:p>
    <w:p w14:paraId="3E4348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eastAsia="仿宋"/>
          <w:sz w:val="24"/>
          <w:szCs w:val="24"/>
          <w:highlight w:val="none"/>
        </w:rPr>
      </w:pPr>
      <w:r>
        <w:rPr>
          <w:rFonts w:hint="eastAsia" w:eastAsia="仿宋"/>
          <w:sz w:val="24"/>
          <w:szCs w:val="24"/>
          <w:highlight w:val="none"/>
        </w:rPr>
        <w:t>3.6供应商参加政府采购活动前三年内，在经营活动中没有重大违法记录的书面声明；</w:t>
      </w:r>
    </w:p>
    <w:p w14:paraId="5BECE0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eastAsia="仿宋"/>
          <w:sz w:val="24"/>
          <w:szCs w:val="24"/>
          <w:highlight w:val="none"/>
          <w:lang w:eastAsia="zh-CN"/>
        </w:rPr>
      </w:pPr>
      <w:r>
        <w:rPr>
          <w:rFonts w:hint="eastAsia" w:eastAsia="仿宋"/>
          <w:sz w:val="24"/>
          <w:szCs w:val="24"/>
          <w:highlight w:val="none"/>
        </w:rPr>
        <w:t>3.7供应商具有履行合同所必需的设备和专业技术能力</w:t>
      </w:r>
      <w:r>
        <w:rPr>
          <w:rFonts w:hint="eastAsia" w:eastAsia="仿宋"/>
          <w:sz w:val="24"/>
          <w:szCs w:val="24"/>
          <w:highlight w:val="none"/>
          <w:lang w:eastAsia="zh-CN"/>
        </w:rPr>
        <w:t>；</w:t>
      </w:r>
    </w:p>
    <w:p w14:paraId="68D608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eastAsia="仿宋"/>
          <w:sz w:val="24"/>
          <w:szCs w:val="24"/>
          <w:highlight w:val="none"/>
          <w:lang w:eastAsia="zh-CN"/>
        </w:rPr>
      </w:pPr>
      <w:r>
        <w:rPr>
          <w:rFonts w:hint="eastAsia" w:eastAsia="仿宋"/>
          <w:sz w:val="24"/>
          <w:szCs w:val="24"/>
          <w:highlight w:val="none"/>
        </w:rPr>
        <w:t>3</w:t>
      </w:r>
      <w:r>
        <w:rPr>
          <w:rFonts w:hint="eastAsia" w:eastAsia="仿宋"/>
          <w:sz w:val="24"/>
          <w:szCs w:val="24"/>
          <w:highlight w:val="none"/>
          <w:lang w:val="en-US" w:eastAsia="zh-CN"/>
        </w:rPr>
        <w:t>.8</w:t>
      </w:r>
      <w:r>
        <w:rPr>
          <w:rFonts w:hint="eastAsia" w:eastAsia="仿宋"/>
          <w:sz w:val="24"/>
          <w:szCs w:val="24"/>
          <w:highlight w:val="none"/>
          <w:lang w:eastAsia="zh-CN"/>
        </w:rPr>
        <w:t>供应商</w:t>
      </w:r>
      <w:r>
        <w:rPr>
          <w:rFonts w:hint="eastAsia" w:eastAsia="仿宋"/>
          <w:sz w:val="24"/>
          <w:szCs w:val="24"/>
          <w:highlight w:val="none"/>
          <w:lang w:val="en-US" w:eastAsia="zh-CN"/>
        </w:rPr>
        <w:t>须提供《食品经营许可证》</w:t>
      </w:r>
      <w:r>
        <w:rPr>
          <w:rFonts w:hint="eastAsia" w:eastAsia="仿宋"/>
          <w:sz w:val="24"/>
          <w:szCs w:val="24"/>
          <w:highlight w:val="none"/>
          <w:lang w:eastAsia="zh-CN"/>
        </w:rPr>
        <w:t>；</w:t>
      </w:r>
    </w:p>
    <w:p w14:paraId="1F5CC2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eastAsia="仿宋"/>
          <w:sz w:val="24"/>
          <w:szCs w:val="24"/>
          <w:highlight w:val="none"/>
        </w:rPr>
      </w:pPr>
      <w:r>
        <w:rPr>
          <w:rFonts w:hint="eastAsia" w:eastAsia="仿宋"/>
          <w:sz w:val="24"/>
          <w:szCs w:val="24"/>
          <w:highlight w:val="none"/>
        </w:rPr>
        <w:t>3</w:t>
      </w:r>
      <w:r>
        <w:rPr>
          <w:rFonts w:hint="eastAsia" w:eastAsia="仿宋"/>
          <w:sz w:val="24"/>
          <w:szCs w:val="24"/>
          <w:highlight w:val="none"/>
          <w:lang w:val="en-US" w:eastAsia="zh-CN"/>
        </w:rPr>
        <w:t>.9</w:t>
      </w:r>
      <w:r>
        <w:rPr>
          <w:rFonts w:hint="eastAsia" w:eastAsia="仿宋"/>
          <w:sz w:val="24"/>
          <w:szCs w:val="24"/>
          <w:highlight w:val="none"/>
        </w:rPr>
        <w:t>供应商不得存在下列情形之一：</w:t>
      </w:r>
    </w:p>
    <w:p w14:paraId="4C1D84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eastAsia="仿宋"/>
          <w:sz w:val="24"/>
          <w:szCs w:val="24"/>
          <w:highlight w:val="none"/>
        </w:rPr>
      </w:pPr>
      <w:r>
        <w:rPr>
          <w:rFonts w:hint="eastAsia" w:eastAsia="仿宋"/>
          <w:sz w:val="24"/>
          <w:szCs w:val="24"/>
          <w:highlight w:val="none"/>
        </w:rPr>
        <w:t>（1）单位负责人为同一人或者存在直接控股、管理关系的不同供应商，不得参加本次采购活动；</w:t>
      </w:r>
    </w:p>
    <w:p w14:paraId="066686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eastAsia="仿宋"/>
          <w:sz w:val="24"/>
          <w:szCs w:val="24"/>
          <w:highlight w:val="none"/>
        </w:rPr>
      </w:pPr>
      <w:r>
        <w:rPr>
          <w:rFonts w:hint="eastAsia" w:eastAsia="仿宋"/>
          <w:sz w:val="24"/>
          <w:szCs w:val="24"/>
          <w:highlight w:val="none"/>
        </w:rPr>
        <w:t>（2）为本项目提供整体设计、规范编制或者项目管理、监理、检测等服务的供应商，不得再参加该采购项目的其他采购活动。</w:t>
      </w:r>
    </w:p>
    <w:p w14:paraId="1A8ADCE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仿宋" w:hAnsi="仿宋" w:eastAsia="仿宋"/>
          <w:b/>
          <w:bCs/>
          <w:sz w:val="24"/>
          <w:highlight w:val="none"/>
        </w:rPr>
      </w:pPr>
      <w:bookmarkStart w:id="59" w:name="_Toc5706"/>
      <w:r>
        <w:rPr>
          <w:rFonts w:hint="eastAsia" w:ascii="仿宋" w:hAnsi="仿宋" w:eastAsia="仿宋"/>
          <w:b/>
          <w:bCs/>
          <w:sz w:val="24"/>
          <w:highlight w:val="none"/>
        </w:rPr>
        <w:t>三、获取</w:t>
      </w:r>
      <w:r>
        <w:rPr>
          <w:rFonts w:hint="eastAsia" w:ascii="仿宋" w:hAnsi="仿宋" w:eastAsia="仿宋"/>
          <w:b/>
          <w:bCs/>
          <w:sz w:val="24"/>
          <w:highlight w:val="none"/>
          <w:lang w:eastAsia="zh-CN"/>
        </w:rPr>
        <w:t>采购</w:t>
      </w:r>
      <w:r>
        <w:rPr>
          <w:rFonts w:hint="eastAsia" w:ascii="仿宋" w:hAnsi="仿宋" w:eastAsia="仿宋"/>
          <w:b/>
          <w:bCs/>
          <w:sz w:val="24"/>
          <w:highlight w:val="none"/>
        </w:rPr>
        <w:t>文件</w:t>
      </w:r>
      <w:bookmarkEnd w:id="59"/>
    </w:p>
    <w:p w14:paraId="4E91F7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eastAsia="仿宋"/>
          <w:sz w:val="24"/>
          <w:szCs w:val="24"/>
          <w:highlight w:val="none"/>
        </w:rPr>
      </w:pPr>
      <w:r>
        <w:rPr>
          <w:rFonts w:hint="eastAsia" w:eastAsia="仿宋"/>
          <w:sz w:val="24"/>
          <w:szCs w:val="24"/>
          <w:highlight w:val="none"/>
        </w:rPr>
        <w:t>时间：202</w:t>
      </w:r>
      <w:r>
        <w:rPr>
          <w:rFonts w:hint="eastAsia" w:eastAsia="仿宋"/>
          <w:sz w:val="24"/>
          <w:szCs w:val="24"/>
          <w:highlight w:val="none"/>
          <w:lang w:eastAsia="zh-CN"/>
        </w:rPr>
        <w:t>5</w:t>
      </w:r>
      <w:r>
        <w:rPr>
          <w:rFonts w:hint="eastAsia" w:eastAsia="仿宋"/>
          <w:sz w:val="24"/>
          <w:szCs w:val="24"/>
          <w:highlight w:val="none"/>
        </w:rPr>
        <w:t>年</w:t>
      </w:r>
      <w:r>
        <w:rPr>
          <w:rFonts w:hint="eastAsia" w:eastAsia="仿宋"/>
          <w:sz w:val="24"/>
          <w:szCs w:val="24"/>
          <w:highlight w:val="none"/>
          <w:lang w:val="en-US" w:eastAsia="zh-CN"/>
        </w:rPr>
        <w:t xml:space="preserve"> 11</w:t>
      </w:r>
      <w:r>
        <w:rPr>
          <w:rFonts w:hint="eastAsia" w:eastAsia="仿宋"/>
          <w:sz w:val="24"/>
          <w:szCs w:val="24"/>
          <w:highlight w:val="none"/>
        </w:rPr>
        <w:t>月</w:t>
      </w:r>
      <w:r>
        <w:rPr>
          <w:rFonts w:hint="eastAsia" w:eastAsia="仿宋"/>
          <w:sz w:val="24"/>
          <w:szCs w:val="24"/>
          <w:highlight w:val="none"/>
          <w:lang w:val="en-US" w:eastAsia="zh-CN"/>
        </w:rPr>
        <w:t>18</w:t>
      </w:r>
      <w:r>
        <w:rPr>
          <w:rFonts w:hint="eastAsia" w:eastAsia="仿宋"/>
          <w:sz w:val="24"/>
          <w:szCs w:val="24"/>
          <w:highlight w:val="none"/>
        </w:rPr>
        <w:t>日至202</w:t>
      </w:r>
      <w:r>
        <w:rPr>
          <w:rFonts w:hint="eastAsia" w:eastAsia="仿宋"/>
          <w:sz w:val="24"/>
          <w:szCs w:val="24"/>
          <w:highlight w:val="none"/>
          <w:lang w:eastAsia="zh-CN"/>
        </w:rPr>
        <w:t>5</w:t>
      </w:r>
      <w:r>
        <w:rPr>
          <w:rFonts w:hint="eastAsia" w:eastAsia="仿宋"/>
          <w:sz w:val="24"/>
          <w:szCs w:val="24"/>
          <w:highlight w:val="none"/>
        </w:rPr>
        <w:t>年</w:t>
      </w:r>
      <w:r>
        <w:rPr>
          <w:rFonts w:hint="eastAsia" w:eastAsia="仿宋"/>
          <w:sz w:val="24"/>
          <w:szCs w:val="24"/>
          <w:highlight w:val="none"/>
          <w:lang w:val="en-US" w:eastAsia="zh-CN"/>
        </w:rPr>
        <w:t xml:space="preserve"> 11 </w:t>
      </w:r>
      <w:r>
        <w:rPr>
          <w:rFonts w:hint="eastAsia" w:eastAsia="仿宋"/>
          <w:sz w:val="24"/>
          <w:szCs w:val="24"/>
          <w:highlight w:val="none"/>
        </w:rPr>
        <w:t>月</w:t>
      </w:r>
      <w:r>
        <w:rPr>
          <w:rFonts w:hint="eastAsia" w:eastAsia="仿宋"/>
          <w:sz w:val="24"/>
          <w:szCs w:val="24"/>
          <w:highlight w:val="none"/>
          <w:lang w:val="en-US" w:eastAsia="zh-CN"/>
        </w:rPr>
        <w:t>20</w:t>
      </w:r>
      <w:r>
        <w:rPr>
          <w:rFonts w:hint="eastAsia" w:eastAsia="仿宋"/>
          <w:sz w:val="24"/>
          <w:szCs w:val="24"/>
          <w:highlight w:val="none"/>
        </w:rPr>
        <w:t>日，每天上午0</w:t>
      </w:r>
      <w:r>
        <w:rPr>
          <w:rFonts w:hint="eastAsia" w:eastAsia="仿宋"/>
          <w:sz w:val="24"/>
          <w:szCs w:val="24"/>
          <w:highlight w:val="none"/>
          <w:lang w:val="en-US" w:eastAsia="zh-CN"/>
        </w:rPr>
        <w:t>8</w:t>
      </w:r>
      <w:r>
        <w:rPr>
          <w:rFonts w:hint="eastAsia" w:eastAsia="仿宋"/>
          <w:sz w:val="24"/>
          <w:szCs w:val="24"/>
          <w:highlight w:val="none"/>
        </w:rPr>
        <w:t>:00:00至12:00:00，下午12:00:00至</w:t>
      </w:r>
      <w:r>
        <w:rPr>
          <w:rFonts w:hint="eastAsia" w:eastAsia="仿宋"/>
          <w:sz w:val="24"/>
          <w:szCs w:val="24"/>
          <w:highlight w:val="none"/>
          <w:lang w:val="en-US" w:eastAsia="zh-CN"/>
        </w:rPr>
        <w:t>18</w:t>
      </w:r>
      <w:r>
        <w:rPr>
          <w:rFonts w:hint="eastAsia" w:eastAsia="仿宋"/>
          <w:sz w:val="24"/>
          <w:szCs w:val="24"/>
          <w:highlight w:val="none"/>
        </w:rPr>
        <w:t>:</w:t>
      </w:r>
      <w:r>
        <w:rPr>
          <w:rFonts w:hint="eastAsia" w:eastAsia="仿宋"/>
          <w:sz w:val="24"/>
          <w:szCs w:val="24"/>
          <w:highlight w:val="none"/>
          <w:lang w:val="en-US" w:eastAsia="zh-CN"/>
        </w:rPr>
        <w:t>00</w:t>
      </w:r>
      <w:r>
        <w:rPr>
          <w:rFonts w:hint="eastAsia" w:eastAsia="仿宋"/>
          <w:sz w:val="24"/>
          <w:szCs w:val="24"/>
          <w:highlight w:val="none"/>
        </w:rPr>
        <w:t>:</w:t>
      </w:r>
      <w:r>
        <w:rPr>
          <w:rFonts w:hint="eastAsia" w:eastAsia="仿宋"/>
          <w:sz w:val="24"/>
          <w:szCs w:val="24"/>
          <w:highlight w:val="none"/>
          <w:lang w:val="en-US" w:eastAsia="zh-CN"/>
        </w:rPr>
        <w:t>00</w:t>
      </w:r>
      <w:r>
        <w:rPr>
          <w:rFonts w:hint="eastAsia" w:eastAsia="仿宋"/>
          <w:sz w:val="24"/>
          <w:szCs w:val="24"/>
          <w:highlight w:val="none"/>
        </w:rPr>
        <w:t>（北京时间）</w:t>
      </w:r>
    </w:p>
    <w:p w14:paraId="578F58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eastAsia="仿宋"/>
          <w:sz w:val="24"/>
          <w:szCs w:val="24"/>
          <w:highlight w:val="none"/>
        </w:rPr>
      </w:pPr>
      <w:r>
        <w:rPr>
          <w:rFonts w:hint="eastAsia" w:eastAsia="仿宋"/>
          <w:sz w:val="24"/>
          <w:szCs w:val="24"/>
          <w:highlight w:val="none"/>
        </w:rPr>
        <w:t>途径：【全国公共资源交易平台（陕西省·安康市）】下载</w:t>
      </w:r>
    </w:p>
    <w:p w14:paraId="777025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eastAsia="仿宋"/>
          <w:sz w:val="24"/>
          <w:szCs w:val="24"/>
          <w:highlight w:val="none"/>
        </w:rPr>
      </w:pPr>
      <w:r>
        <w:rPr>
          <w:rFonts w:hint="eastAsia" w:eastAsia="仿宋"/>
          <w:sz w:val="24"/>
          <w:szCs w:val="24"/>
          <w:highlight w:val="none"/>
        </w:rPr>
        <w:t>方式：在线获取</w:t>
      </w:r>
    </w:p>
    <w:p w14:paraId="766C6C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eastAsia="仿宋"/>
          <w:sz w:val="24"/>
          <w:szCs w:val="24"/>
          <w:highlight w:val="none"/>
        </w:rPr>
      </w:pPr>
      <w:r>
        <w:rPr>
          <w:rFonts w:hint="eastAsia" w:eastAsia="仿宋"/>
          <w:sz w:val="24"/>
          <w:szCs w:val="24"/>
          <w:highlight w:val="none"/>
        </w:rPr>
        <w:t>售价：0元</w:t>
      </w:r>
    </w:p>
    <w:p w14:paraId="7348C0A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仿宋" w:hAnsi="仿宋" w:eastAsia="仿宋"/>
          <w:b/>
          <w:bCs/>
          <w:sz w:val="24"/>
          <w:highlight w:val="none"/>
        </w:rPr>
      </w:pPr>
      <w:bookmarkStart w:id="60" w:name="_Toc29505"/>
      <w:r>
        <w:rPr>
          <w:rFonts w:hint="eastAsia" w:ascii="仿宋" w:hAnsi="仿宋" w:eastAsia="仿宋"/>
          <w:b/>
          <w:bCs/>
          <w:sz w:val="24"/>
          <w:highlight w:val="none"/>
        </w:rPr>
        <w:t>四、响应文件提交</w:t>
      </w:r>
    </w:p>
    <w:p w14:paraId="5B1C9D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仿宋" w:hAnsi="仿宋" w:eastAsia="仿宋"/>
          <w:b w:val="0"/>
          <w:bCs w:val="0"/>
          <w:sz w:val="24"/>
          <w:highlight w:val="none"/>
        </w:rPr>
      </w:pPr>
      <w:r>
        <w:rPr>
          <w:rFonts w:hint="eastAsia" w:ascii="仿宋" w:hAnsi="仿宋" w:eastAsia="仿宋"/>
          <w:b w:val="0"/>
          <w:bCs w:val="0"/>
          <w:sz w:val="24"/>
          <w:highlight w:val="none"/>
        </w:rPr>
        <w:t>截止时间：202</w:t>
      </w:r>
      <w:r>
        <w:rPr>
          <w:rFonts w:hint="eastAsia" w:ascii="仿宋" w:hAnsi="仿宋" w:eastAsia="仿宋"/>
          <w:b w:val="0"/>
          <w:bCs w:val="0"/>
          <w:sz w:val="24"/>
          <w:highlight w:val="none"/>
          <w:lang w:eastAsia="zh-CN"/>
        </w:rPr>
        <w:t>5</w:t>
      </w:r>
      <w:r>
        <w:rPr>
          <w:rFonts w:hint="eastAsia" w:ascii="仿宋" w:hAnsi="仿宋" w:eastAsia="仿宋"/>
          <w:b w:val="0"/>
          <w:bCs w:val="0"/>
          <w:sz w:val="24"/>
          <w:highlight w:val="none"/>
        </w:rPr>
        <w:t>年</w:t>
      </w:r>
      <w:r>
        <w:rPr>
          <w:rFonts w:hint="eastAsia" w:ascii="仿宋" w:hAnsi="仿宋" w:eastAsia="仿宋"/>
          <w:b w:val="0"/>
          <w:bCs w:val="0"/>
          <w:sz w:val="24"/>
          <w:highlight w:val="none"/>
          <w:lang w:val="en-US" w:eastAsia="zh-CN"/>
        </w:rPr>
        <w:t>11</w:t>
      </w:r>
      <w:r>
        <w:rPr>
          <w:rFonts w:hint="eastAsia" w:ascii="仿宋" w:hAnsi="仿宋" w:eastAsia="仿宋"/>
          <w:b w:val="0"/>
          <w:bCs w:val="0"/>
          <w:sz w:val="24"/>
          <w:highlight w:val="none"/>
        </w:rPr>
        <w:t>月</w:t>
      </w:r>
      <w:r>
        <w:rPr>
          <w:rFonts w:hint="eastAsia" w:ascii="仿宋" w:hAnsi="仿宋" w:eastAsia="仿宋"/>
          <w:b w:val="0"/>
          <w:bCs w:val="0"/>
          <w:sz w:val="24"/>
          <w:highlight w:val="none"/>
          <w:lang w:val="en-US" w:eastAsia="zh-CN"/>
        </w:rPr>
        <w:t>21</w:t>
      </w:r>
      <w:r>
        <w:rPr>
          <w:rFonts w:hint="eastAsia" w:ascii="仿宋" w:hAnsi="仿宋" w:eastAsia="仿宋"/>
          <w:b w:val="0"/>
          <w:bCs w:val="0"/>
          <w:sz w:val="24"/>
          <w:highlight w:val="none"/>
        </w:rPr>
        <w:t>日</w:t>
      </w:r>
      <w:r>
        <w:rPr>
          <w:rFonts w:hint="eastAsia" w:ascii="仿宋" w:hAnsi="仿宋" w:eastAsia="仿宋"/>
          <w:b w:val="0"/>
          <w:bCs w:val="0"/>
          <w:sz w:val="24"/>
          <w:highlight w:val="none"/>
          <w:lang w:val="en-US" w:eastAsia="zh-CN"/>
        </w:rPr>
        <w:t>16</w:t>
      </w:r>
      <w:r>
        <w:rPr>
          <w:rFonts w:hint="eastAsia" w:ascii="仿宋" w:hAnsi="仿宋" w:eastAsia="仿宋"/>
          <w:b w:val="0"/>
          <w:bCs w:val="0"/>
          <w:sz w:val="24"/>
          <w:highlight w:val="none"/>
        </w:rPr>
        <w:t>时</w:t>
      </w:r>
      <w:r>
        <w:rPr>
          <w:rFonts w:hint="eastAsia" w:ascii="仿宋" w:hAnsi="仿宋" w:eastAsia="仿宋"/>
          <w:b w:val="0"/>
          <w:bCs w:val="0"/>
          <w:sz w:val="24"/>
          <w:highlight w:val="none"/>
          <w:lang w:val="en-US" w:eastAsia="zh-CN"/>
        </w:rPr>
        <w:t>00</w:t>
      </w:r>
      <w:r>
        <w:rPr>
          <w:rFonts w:hint="eastAsia" w:ascii="仿宋" w:hAnsi="仿宋" w:eastAsia="仿宋"/>
          <w:b w:val="0"/>
          <w:bCs w:val="0"/>
          <w:sz w:val="24"/>
          <w:highlight w:val="none"/>
        </w:rPr>
        <w:t>分00秒（北京时间）</w:t>
      </w:r>
    </w:p>
    <w:p w14:paraId="73181F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仿宋" w:hAnsi="仿宋" w:eastAsia="仿宋"/>
          <w:b w:val="0"/>
          <w:bCs w:val="0"/>
          <w:sz w:val="24"/>
          <w:highlight w:val="none"/>
        </w:rPr>
      </w:pPr>
      <w:r>
        <w:rPr>
          <w:rFonts w:hint="eastAsia" w:ascii="仿宋" w:hAnsi="仿宋" w:eastAsia="仿宋"/>
          <w:b w:val="0"/>
          <w:bCs w:val="0"/>
          <w:sz w:val="24"/>
          <w:highlight w:val="none"/>
        </w:rPr>
        <w:t>地点：【全国公共资源交易平台（陕西省·安康市）】上传</w:t>
      </w:r>
    </w:p>
    <w:p w14:paraId="5845BC5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仿宋" w:hAnsi="仿宋" w:eastAsia="仿宋"/>
          <w:b/>
          <w:bCs/>
          <w:sz w:val="24"/>
          <w:highlight w:val="none"/>
        </w:rPr>
      </w:pPr>
      <w:r>
        <w:rPr>
          <w:rFonts w:hint="eastAsia" w:ascii="仿宋" w:hAnsi="仿宋" w:eastAsia="仿宋"/>
          <w:b/>
          <w:bCs/>
          <w:sz w:val="24"/>
          <w:highlight w:val="none"/>
        </w:rPr>
        <w:t>五、开启</w:t>
      </w:r>
    </w:p>
    <w:p w14:paraId="4F800E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仿宋" w:hAnsi="仿宋" w:eastAsia="仿宋"/>
          <w:b w:val="0"/>
          <w:bCs w:val="0"/>
          <w:sz w:val="24"/>
          <w:highlight w:val="none"/>
        </w:rPr>
      </w:pPr>
      <w:r>
        <w:rPr>
          <w:rFonts w:hint="eastAsia" w:ascii="仿宋" w:hAnsi="仿宋" w:eastAsia="仿宋"/>
          <w:b w:val="0"/>
          <w:bCs w:val="0"/>
          <w:sz w:val="24"/>
          <w:highlight w:val="none"/>
        </w:rPr>
        <w:t>时间：202</w:t>
      </w:r>
      <w:r>
        <w:rPr>
          <w:rFonts w:hint="eastAsia" w:ascii="仿宋" w:hAnsi="仿宋" w:eastAsia="仿宋"/>
          <w:b w:val="0"/>
          <w:bCs w:val="0"/>
          <w:sz w:val="24"/>
          <w:highlight w:val="none"/>
          <w:lang w:eastAsia="zh-CN"/>
        </w:rPr>
        <w:t>5</w:t>
      </w:r>
      <w:r>
        <w:rPr>
          <w:rFonts w:hint="eastAsia" w:ascii="仿宋" w:hAnsi="仿宋" w:eastAsia="仿宋"/>
          <w:b w:val="0"/>
          <w:bCs w:val="0"/>
          <w:sz w:val="24"/>
          <w:highlight w:val="none"/>
        </w:rPr>
        <w:t>年</w:t>
      </w:r>
      <w:r>
        <w:rPr>
          <w:rFonts w:hint="eastAsia" w:ascii="仿宋" w:hAnsi="仿宋" w:eastAsia="仿宋"/>
          <w:b w:val="0"/>
          <w:bCs w:val="0"/>
          <w:sz w:val="24"/>
          <w:highlight w:val="none"/>
          <w:lang w:val="en-US" w:eastAsia="zh-CN"/>
        </w:rPr>
        <w:t xml:space="preserve"> 11</w:t>
      </w:r>
      <w:r>
        <w:rPr>
          <w:rFonts w:hint="eastAsia" w:ascii="仿宋" w:hAnsi="仿宋" w:eastAsia="仿宋"/>
          <w:b w:val="0"/>
          <w:bCs w:val="0"/>
          <w:sz w:val="24"/>
          <w:highlight w:val="none"/>
        </w:rPr>
        <w:t>月</w:t>
      </w:r>
      <w:r>
        <w:rPr>
          <w:rFonts w:hint="eastAsia" w:ascii="仿宋" w:hAnsi="仿宋" w:eastAsia="仿宋"/>
          <w:b w:val="0"/>
          <w:bCs w:val="0"/>
          <w:sz w:val="24"/>
          <w:highlight w:val="none"/>
          <w:lang w:val="en-US" w:eastAsia="zh-CN"/>
        </w:rPr>
        <w:t>21</w:t>
      </w:r>
      <w:r>
        <w:rPr>
          <w:rFonts w:hint="eastAsia" w:ascii="仿宋" w:hAnsi="仿宋" w:eastAsia="仿宋"/>
          <w:b w:val="0"/>
          <w:bCs w:val="0"/>
          <w:sz w:val="24"/>
          <w:highlight w:val="none"/>
        </w:rPr>
        <w:t>日</w:t>
      </w:r>
      <w:r>
        <w:rPr>
          <w:rFonts w:hint="eastAsia" w:ascii="仿宋" w:hAnsi="仿宋" w:eastAsia="仿宋"/>
          <w:b w:val="0"/>
          <w:bCs w:val="0"/>
          <w:sz w:val="24"/>
          <w:highlight w:val="none"/>
          <w:lang w:val="en-US" w:eastAsia="zh-CN"/>
        </w:rPr>
        <w:t xml:space="preserve"> 16</w:t>
      </w:r>
      <w:r>
        <w:rPr>
          <w:rFonts w:hint="eastAsia" w:ascii="仿宋" w:hAnsi="仿宋" w:eastAsia="仿宋"/>
          <w:b w:val="0"/>
          <w:bCs w:val="0"/>
          <w:sz w:val="24"/>
          <w:highlight w:val="none"/>
        </w:rPr>
        <w:t>时</w:t>
      </w:r>
      <w:r>
        <w:rPr>
          <w:rFonts w:hint="eastAsia" w:ascii="仿宋" w:hAnsi="仿宋" w:eastAsia="仿宋"/>
          <w:b w:val="0"/>
          <w:bCs w:val="0"/>
          <w:sz w:val="24"/>
          <w:highlight w:val="none"/>
          <w:lang w:val="en-US" w:eastAsia="zh-CN"/>
        </w:rPr>
        <w:t xml:space="preserve"> 00 </w:t>
      </w:r>
      <w:r>
        <w:rPr>
          <w:rFonts w:hint="eastAsia" w:ascii="仿宋" w:hAnsi="仿宋" w:eastAsia="仿宋"/>
          <w:b w:val="0"/>
          <w:bCs w:val="0"/>
          <w:sz w:val="24"/>
          <w:highlight w:val="none"/>
        </w:rPr>
        <w:t>分00秒（北京时间）</w:t>
      </w:r>
    </w:p>
    <w:p w14:paraId="3627C1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default" w:ascii="仿宋" w:hAnsi="仿宋" w:eastAsia="仿宋"/>
          <w:b w:val="0"/>
          <w:bCs w:val="0"/>
          <w:sz w:val="24"/>
          <w:highlight w:val="none"/>
          <w:lang w:val="en-US" w:eastAsia="zh-CN"/>
        </w:rPr>
      </w:pPr>
      <w:r>
        <w:rPr>
          <w:rFonts w:hint="eastAsia" w:ascii="仿宋" w:hAnsi="仿宋" w:eastAsia="仿宋"/>
          <w:b w:val="0"/>
          <w:bCs w:val="0"/>
          <w:sz w:val="24"/>
          <w:highlight w:val="none"/>
        </w:rPr>
        <w:t>地点：【全国公共资源交易平台（陕西省·安康市）】</w:t>
      </w:r>
      <w:r>
        <w:rPr>
          <w:rFonts w:hint="eastAsia" w:ascii="仿宋" w:hAnsi="仿宋" w:eastAsia="仿宋"/>
          <w:b w:val="0"/>
          <w:bCs w:val="0"/>
          <w:sz w:val="24"/>
          <w:highlight w:val="none"/>
          <w:lang w:val="en-US" w:eastAsia="zh-CN"/>
        </w:rPr>
        <w:t>不见面开标大厅</w:t>
      </w:r>
    </w:p>
    <w:p w14:paraId="016BCA5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仿宋" w:hAnsi="仿宋" w:eastAsia="仿宋"/>
          <w:b/>
          <w:bCs/>
          <w:sz w:val="24"/>
          <w:highlight w:val="none"/>
        </w:rPr>
      </w:pPr>
      <w:r>
        <w:rPr>
          <w:rFonts w:hint="eastAsia" w:ascii="仿宋" w:hAnsi="仿宋" w:eastAsia="仿宋"/>
          <w:b/>
          <w:bCs/>
          <w:sz w:val="24"/>
          <w:highlight w:val="none"/>
          <w:lang w:val="en-US" w:eastAsia="zh-CN"/>
        </w:rPr>
        <w:t>六</w:t>
      </w:r>
      <w:r>
        <w:rPr>
          <w:rFonts w:hint="eastAsia" w:ascii="仿宋" w:hAnsi="仿宋" w:eastAsia="仿宋"/>
          <w:b/>
          <w:bCs/>
          <w:sz w:val="24"/>
          <w:highlight w:val="none"/>
        </w:rPr>
        <w:t>、公告期限</w:t>
      </w:r>
      <w:bookmarkEnd w:id="60"/>
    </w:p>
    <w:p w14:paraId="0E9CB4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eastAsia="仿宋"/>
          <w:sz w:val="24"/>
          <w:szCs w:val="24"/>
          <w:highlight w:val="none"/>
        </w:rPr>
      </w:pPr>
      <w:r>
        <w:rPr>
          <w:rFonts w:eastAsia="仿宋"/>
          <w:sz w:val="24"/>
          <w:szCs w:val="24"/>
          <w:highlight w:val="none"/>
        </w:rPr>
        <w:t>自本公告发布之日起</w:t>
      </w:r>
      <w:r>
        <w:rPr>
          <w:rFonts w:hint="eastAsia" w:eastAsia="仿宋"/>
          <w:sz w:val="24"/>
          <w:szCs w:val="24"/>
          <w:highlight w:val="none"/>
          <w:lang w:val="en-US" w:eastAsia="zh-CN"/>
        </w:rPr>
        <w:t>3</w:t>
      </w:r>
      <w:r>
        <w:rPr>
          <w:rFonts w:eastAsia="仿宋"/>
          <w:sz w:val="24"/>
          <w:szCs w:val="24"/>
          <w:highlight w:val="none"/>
        </w:rPr>
        <w:t>个工作日。</w:t>
      </w:r>
    </w:p>
    <w:p w14:paraId="1E02F6B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仿宋" w:hAnsi="仿宋" w:eastAsia="仿宋"/>
          <w:b/>
          <w:bCs/>
          <w:sz w:val="24"/>
          <w:highlight w:val="none"/>
        </w:rPr>
      </w:pPr>
      <w:bookmarkStart w:id="61" w:name="_Toc1831"/>
      <w:r>
        <w:rPr>
          <w:rFonts w:hint="eastAsia" w:ascii="仿宋" w:hAnsi="仿宋" w:eastAsia="仿宋"/>
          <w:b/>
          <w:bCs/>
          <w:sz w:val="24"/>
          <w:highlight w:val="none"/>
          <w:lang w:val="en-US" w:eastAsia="zh-CN"/>
        </w:rPr>
        <w:t>七</w:t>
      </w:r>
      <w:r>
        <w:rPr>
          <w:rFonts w:hint="eastAsia" w:ascii="仿宋" w:hAnsi="仿宋" w:eastAsia="仿宋"/>
          <w:b/>
          <w:bCs/>
          <w:sz w:val="24"/>
          <w:highlight w:val="none"/>
        </w:rPr>
        <w:t>、其他补充事宜</w:t>
      </w:r>
      <w:bookmarkEnd w:id="61"/>
    </w:p>
    <w:p w14:paraId="10E095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eastAsia="仿宋"/>
          <w:sz w:val="24"/>
          <w:szCs w:val="24"/>
          <w:highlight w:val="none"/>
        </w:rPr>
      </w:pPr>
      <w:r>
        <w:rPr>
          <w:rFonts w:eastAsia="仿宋"/>
          <w:sz w:val="24"/>
          <w:szCs w:val="24"/>
          <w:highlight w:val="none"/>
        </w:rPr>
        <w:t>1、落实政府采购政策：</w:t>
      </w:r>
    </w:p>
    <w:p w14:paraId="046911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eastAsia="仿宋"/>
          <w:sz w:val="24"/>
          <w:szCs w:val="24"/>
          <w:highlight w:val="none"/>
        </w:rPr>
      </w:pPr>
      <w:r>
        <w:rPr>
          <w:rFonts w:eastAsia="仿宋"/>
          <w:sz w:val="24"/>
          <w:szCs w:val="24"/>
          <w:highlight w:val="none"/>
        </w:rPr>
        <w:t>1.1《关于进一步加大政府采购支持中小企业力度的通知》（财库</w:t>
      </w:r>
      <w:r>
        <w:rPr>
          <w:rFonts w:eastAsia="仿宋_GB2312"/>
          <w:sz w:val="24"/>
          <w:szCs w:val="24"/>
          <w:highlight w:val="none"/>
        </w:rPr>
        <w:t>〔</w:t>
      </w:r>
      <w:r>
        <w:rPr>
          <w:rFonts w:eastAsia="仿宋"/>
          <w:sz w:val="24"/>
          <w:szCs w:val="24"/>
          <w:highlight w:val="none"/>
        </w:rPr>
        <w:t>2022</w:t>
      </w:r>
      <w:r>
        <w:rPr>
          <w:rFonts w:eastAsia="仿宋_GB2312"/>
          <w:sz w:val="24"/>
          <w:szCs w:val="24"/>
          <w:highlight w:val="none"/>
        </w:rPr>
        <w:t>〕</w:t>
      </w:r>
      <w:r>
        <w:rPr>
          <w:rFonts w:eastAsia="仿宋"/>
          <w:sz w:val="24"/>
          <w:szCs w:val="24"/>
          <w:highlight w:val="none"/>
        </w:rPr>
        <w:t>19号）、《政府采购促进中小企业发展管理办法》（财库〔2020〕46号）、《关于政府采购支持监狱企业发展有关问题的通知》（财库〔2014〕68号）、《关于促进残疾人就业政府采购政策的通知》（财库〔2017〕141号）。</w:t>
      </w:r>
    </w:p>
    <w:p w14:paraId="4B28AF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eastAsia="仿宋"/>
          <w:sz w:val="24"/>
          <w:szCs w:val="24"/>
          <w:highlight w:val="none"/>
        </w:rPr>
      </w:pPr>
      <w:r>
        <w:rPr>
          <w:rFonts w:eastAsia="仿宋"/>
          <w:sz w:val="24"/>
          <w:szCs w:val="24"/>
          <w:highlight w:val="none"/>
        </w:rPr>
        <w:t>1.2 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督</w:t>
      </w:r>
      <w:r>
        <w:rPr>
          <w:rFonts w:hint="eastAsia" w:eastAsia="仿宋"/>
          <w:sz w:val="24"/>
          <w:szCs w:val="24"/>
          <w:highlight w:val="none"/>
          <w:lang w:val="en-US" w:eastAsia="zh-CN"/>
        </w:rPr>
        <w:t>管理</w:t>
      </w:r>
      <w:r>
        <w:rPr>
          <w:rFonts w:eastAsia="仿宋"/>
          <w:sz w:val="24"/>
          <w:szCs w:val="24"/>
          <w:highlight w:val="none"/>
        </w:rPr>
        <w:t>总局联合印发《关于调整优化节能产品、环境标志产品政府采购执行机制的通知》（财库〔2019〕9号）、《关于印发环境标志产品政府采购品目清单的通知》（财库〔2019〕18号）、《关于印发节能产品政府采购品目清单的通知》（财库〔2019〕19号）。</w:t>
      </w:r>
    </w:p>
    <w:p w14:paraId="26E3DE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eastAsia="仿宋"/>
          <w:sz w:val="24"/>
          <w:szCs w:val="24"/>
          <w:highlight w:val="none"/>
        </w:rPr>
      </w:pPr>
      <w:r>
        <w:rPr>
          <w:rFonts w:eastAsia="仿宋"/>
          <w:sz w:val="24"/>
          <w:szCs w:val="24"/>
          <w:highlight w:val="none"/>
        </w:rPr>
        <w:t>1.3《财政部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14:paraId="079848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eastAsia="仿宋"/>
          <w:sz w:val="24"/>
          <w:szCs w:val="24"/>
          <w:highlight w:val="none"/>
        </w:rPr>
      </w:pPr>
      <w:r>
        <w:rPr>
          <w:rFonts w:hint="eastAsia" w:eastAsia="仿宋"/>
          <w:sz w:val="24"/>
          <w:szCs w:val="24"/>
          <w:highlight w:val="none"/>
        </w:rPr>
        <w:t>1.4《财政部 国家发展改革委 信息产业部 关于印发无线局域网产品政府采购实施意见的通知》（财库〔2005〕366号）、《财政部 工业和信息化部 质检总局 认监委关于信息安全产品实施政府采购的通知》（财库〔2010〕48号）。</w:t>
      </w:r>
    </w:p>
    <w:p w14:paraId="6E9381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eastAsia="仿宋"/>
          <w:sz w:val="24"/>
          <w:szCs w:val="24"/>
          <w:highlight w:val="none"/>
        </w:rPr>
      </w:pPr>
      <w:r>
        <w:rPr>
          <w:rFonts w:eastAsia="仿宋"/>
          <w:sz w:val="24"/>
          <w:szCs w:val="24"/>
          <w:highlight w:val="none"/>
        </w:rPr>
        <w:t>1.</w:t>
      </w:r>
      <w:r>
        <w:rPr>
          <w:rFonts w:hint="eastAsia" w:eastAsia="仿宋"/>
          <w:sz w:val="24"/>
          <w:szCs w:val="24"/>
          <w:highlight w:val="none"/>
          <w:lang w:val="en-US" w:eastAsia="zh-CN"/>
        </w:rPr>
        <w:t>5</w:t>
      </w:r>
      <w:r>
        <w:rPr>
          <w:rFonts w:eastAsia="仿宋"/>
          <w:sz w:val="24"/>
          <w:szCs w:val="24"/>
          <w:highlight w:val="none"/>
        </w:rPr>
        <w:t>《陕西省财政厅关于加快推进我省中小企业政府采购信用融资工作的通知》（陕财办采〔2020〕15 号）、陕西省财政厅关于印发《陕西省中小企业政府采购信用融资办法》（陕财办采〔2018〕23号）。</w:t>
      </w:r>
    </w:p>
    <w:p w14:paraId="17D6A3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eastAsia="仿宋"/>
          <w:sz w:val="24"/>
          <w:szCs w:val="24"/>
          <w:highlight w:val="none"/>
          <w:lang w:val="en-US" w:eastAsia="zh-CN"/>
        </w:rPr>
      </w:pPr>
      <w:r>
        <w:rPr>
          <w:rFonts w:hint="eastAsia" w:eastAsia="仿宋"/>
          <w:sz w:val="24"/>
          <w:szCs w:val="24"/>
          <w:highlight w:val="none"/>
          <w:lang w:val="en-US" w:eastAsia="zh-CN"/>
        </w:rPr>
        <w:t>1.6其他需要落实的政府采购政策</w:t>
      </w:r>
    </w:p>
    <w:p w14:paraId="446128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eastAsia="仿宋"/>
          <w:sz w:val="24"/>
          <w:szCs w:val="24"/>
          <w:highlight w:val="none"/>
        </w:rPr>
      </w:pPr>
      <w:r>
        <w:rPr>
          <w:rFonts w:eastAsia="仿宋"/>
          <w:sz w:val="24"/>
          <w:szCs w:val="24"/>
          <w:highlight w:val="none"/>
        </w:rPr>
        <w:t>若享受以上政策优惠的企业，提供相应声明函或品目清单范围内产品的有效认证证书。</w:t>
      </w:r>
    </w:p>
    <w:p w14:paraId="12D134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eastAsia="仿宋"/>
          <w:sz w:val="24"/>
          <w:szCs w:val="24"/>
          <w:highlight w:val="none"/>
          <w:lang w:val="en-US" w:eastAsia="zh-CN"/>
        </w:rPr>
      </w:pPr>
      <w:r>
        <w:rPr>
          <w:rFonts w:hint="default" w:eastAsia="仿宋"/>
          <w:sz w:val="24"/>
          <w:szCs w:val="24"/>
          <w:highlight w:val="none"/>
          <w:lang w:val="en-US" w:eastAsia="zh-CN"/>
        </w:rPr>
        <w:t>2、供应商按照陕西省财政厅关于政府采购供应商注册登记有关事项的通知要求，通过陕西省政府采购网（http://www.ccgp-shaanxi.gov.cn/）注册登记加入陕西省政府采购供应商库并及时办理CA数字证书（陕西CA锁）；</w:t>
      </w:r>
    </w:p>
    <w:p w14:paraId="57790D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eastAsia="仿宋"/>
          <w:sz w:val="24"/>
          <w:szCs w:val="24"/>
          <w:highlight w:val="none"/>
          <w:lang w:val="en-US" w:eastAsia="zh-CN"/>
        </w:rPr>
      </w:pPr>
      <w:r>
        <w:rPr>
          <w:rFonts w:hint="default" w:eastAsia="仿宋"/>
          <w:sz w:val="24"/>
          <w:szCs w:val="24"/>
          <w:highlight w:val="none"/>
          <w:lang w:val="en-US" w:eastAsia="zh-CN"/>
        </w:rPr>
        <w:t>3、文件获取方式：打开【全国公共资源交易平台（陕西省·安康市）】网站（简称安康市公共资源交易平台），从〖首页·〉电子交易平台·〉陕西政府采购交易系统·〉企业端〗登录后，首先在〖招标公告/出让公告〗模块中预览全部可供参与的项目，然后选择有意向的项目点击〖我要投标〗，成功后切换到〖我的项目〗模块，依次点选〖项目流程·〉项目管理·〉交易文件下载〗获取本项目电子招标文件（</w:t>
      </w:r>
      <w:r>
        <w:rPr>
          <w:rFonts w:hint="eastAsia" w:eastAsia="仿宋"/>
          <w:sz w:val="24"/>
          <w:szCs w:val="24"/>
          <w:highlight w:val="none"/>
          <w:lang w:val="en-US" w:eastAsia="zh-CN"/>
        </w:rPr>
        <w:t>谈判</w:t>
      </w:r>
      <w:r>
        <w:rPr>
          <w:rFonts w:hint="default" w:eastAsia="仿宋"/>
          <w:sz w:val="24"/>
          <w:szCs w:val="24"/>
          <w:highlight w:val="none"/>
          <w:lang w:val="en-US" w:eastAsia="zh-CN"/>
        </w:rPr>
        <w:t>文件）（*.SXSZF）；</w:t>
      </w:r>
    </w:p>
    <w:p w14:paraId="091B59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eastAsia="仿宋"/>
          <w:sz w:val="24"/>
          <w:szCs w:val="24"/>
          <w:lang w:val="en-US" w:eastAsia="zh-CN"/>
        </w:rPr>
      </w:pPr>
      <w:r>
        <w:rPr>
          <w:rFonts w:hint="default" w:eastAsia="仿宋"/>
          <w:sz w:val="24"/>
          <w:szCs w:val="24"/>
          <w:highlight w:val="none"/>
          <w:lang w:val="en-US" w:eastAsia="zh-CN"/>
        </w:rPr>
        <w:t>4、提交</w:t>
      </w:r>
      <w:r>
        <w:rPr>
          <w:rFonts w:hint="eastAsia" w:eastAsia="仿宋"/>
          <w:sz w:val="24"/>
          <w:szCs w:val="24"/>
          <w:highlight w:val="none"/>
          <w:lang w:val="en-US" w:eastAsia="zh-CN"/>
        </w:rPr>
        <w:t>谈判</w:t>
      </w:r>
      <w:r>
        <w:rPr>
          <w:rFonts w:hint="default" w:eastAsia="仿宋"/>
          <w:sz w:val="24"/>
          <w:szCs w:val="24"/>
          <w:highlight w:val="none"/>
          <w:lang w:val="en-US" w:eastAsia="zh-CN"/>
        </w:rPr>
        <w:t>响应文件截止时间前，供应商应随时留意【陕西省政府采购网】、【全国公共资源交易平台（陕西省·安康市）】上可能发布的变更公告。若变更公告中明确注明本项目提供有变更文件的，供应商应登录企业端后，从〖项目流程·〉项</w:t>
      </w:r>
      <w:r>
        <w:rPr>
          <w:rFonts w:hint="default" w:eastAsia="仿宋"/>
          <w:sz w:val="24"/>
          <w:szCs w:val="24"/>
          <w:lang w:val="en-US" w:eastAsia="zh-CN"/>
        </w:rPr>
        <w:t>目管理·〉答疑文件下载〗获取更新后的电子招标文件（</w:t>
      </w:r>
      <w:r>
        <w:rPr>
          <w:rFonts w:hint="eastAsia" w:eastAsia="仿宋"/>
          <w:sz w:val="24"/>
          <w:szCs w:val="24"/>
          <w:lang w:val="en-US" w:eastAsia="zh-CN"/>
        </w:rPr>
        <w:t>谈判</w:t>
      </w:r>
      <w:r>
        <w:rPr>
          <w:rFonts w:hint="default" w:eastAsia="仿宋"/>
          <w:sz w:val="24"/>
          <w:szCs w:val="24"/>
          <w:lang w:val="en-US" w:eastAsia="zh-CN"/>
        </w:rPr>
        <w:t>文件）（*.SXSCF），使用旧版电子</w:t>
      </w:r>
      <w:r>
        <w:rPr>
          <w:rFonts w:hint="eastAsia" w:eastAsia="仿宋"/>
          <w:sz w:val="24"/>
          <w:szCs w:val="24"/>
          <w:lang w:val="en-US" w:eastAsia="zh-CN"/>
        </w:rPr>
        <w:t>谈判</w:t>
      </w:r>
      <w:r>
        <w:rPr>
          <w:rFonts w:hint="default" w:eastAsia="仿宋"/>
          <w:sz w:val="24"/>
          <w:szCs w:val="24"/>
          <w:lang w:val="en-US" w:eastAsia="zh-CN"/>
        </w:rPr>
        <w:t>文件制作的电子</w:t>
      </w:r>
      <w:r>
        <w:rPr>
          <w:rFonts w:hint="eastAsia" w:eastAsia="仿宋"/>
          <w:sz w:val="24"/>
          <w:szCs w:val="24"/>
          <w:lang w:val="en-US" w:eastAsia="zh-CN"/>
        </w:rPr>
        <w:t>谈判</w:t>
      </w:r>
      <w:r>
        <w:rPr>
          <w:rFonts w:hint="default" w:eastAsia="仿宋"/>
          <w:sz w:val="24"/>
          <w:szCs w:val="24"/>
          <w:lang w:val="en-US" w:eastAsia="zh-CN"/>
        </w:rPr>
        <w:t>响应文件（*.SXSTF），系统将拒绝接收；</w:t>
      </w:r>
    </w:p>
    <w:p w14:paraId="60DA66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eastAsia="仿宋"/>
          <w:sz w:val="24"/>
          <w:szCs w:val="24"/>
          <w:lang w:val="en-US" w:eastAsia="zh-CN"/>
        </w:rPr>
      </w:pPr>
      <w:r>
        <w:rPr>
          <w:rFonts w:hint="eastAsia" w:eastAsia="仿宋"/>
          <w:sz w:val="24"/>
          <w:szCs w:val="24"/>
          <w:lang w:val="en-US" w:eastAsia="zh-CN"/>
        </w:rPr>
        <w:t>5</w:t>
      </w:r>
      <w:r>
        <w:rPr>
          <w:rFonts w:hint="default" w:eastAsia="仿宋"/>
          <w:sz w:val="24"/>
          <w:szCs w:val="24"/>
          <w:lang w:val="en-US" w:eastAsia="zh-CN"/>
        </w:rPr>
        <w:t>.提交</w:t>
      </w:r>
      <w:r>
        <w:rPr>
          <w:rFonts w:hint="eastAsia" w:eastAsia="仿宋"/>
          <w:sz w:val="24"/>
          <w:szCs w:val="24"/>
          <w:lang w:val="en-US" w:eastAsia="zh-CN"/>
        </w:rPr>
        <w:t>谈判</w:t>
      </w:r>
      <w:r>
        <w:rPr>
          <w:rFonts w:hint="default" w:eastAsia="仿宋"/>
          <w:sz w:val="24"/>
          <w:szCs w:val="24"/>
          <w:lang w:val="en-US" w:eastAsia="zh-CN"/>
        </w:rPr>
        <w:t>响应文件的方式：从安康市公共资源交易平台〖首页·〉电子交易平台·〉陕西政府采购交易系统·〉企业端〗登录，登录后切换到〖我的项目〗模块，依次点选〖项目流程·〉项目管理·〉上传响应文件〗上传加密后的电子</w:t>
      </w:r>
      <w:r>
        <w:rPr>
          <w:rFonts w:hint="eastAsia" w:eastAsia="仿宋"/>
          <w:sz w:val="24"/>
          <w:szCs w:val="24"/>
          <w:lang w:val="en-US" w:eastAsia="zh-CN"/>
        </w:rPr>
        <w:t>谈判</w:t>
      </w:r>
      <w:r>
        <w:rPr>
          <w:rFonts w:hint="default" w:eastAsia="仿宋"/>
          <w:sz w:val="24"/>
          <w:szCs w:val="24"/>
          <w:lang w:val="en-US" w:eastAsia="zh-CN"/>
        </w:rPr>
        <w:t>响应文件（*.SXSTF）；</w:t>
      </w:r>
    </w:p>
    <w:p w14:paraId="4FCF5C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eastAsia="仿宋"/>
          <w:sz w:val="24"/>
          <w:szCs w:val="24"/>
          <w:lang w:val="en-US" w:eastAsia="zh-CN"/>
        </w:rPr>
      </w:pPr>
      <w:r>
        <w:rPr>
          <w:rFonts w:hint="eastAsia" w:eastAsia="仿宋"/>
          <w:sz w:val="24"/>
          <w:szCs w:val="24"/>
          <w:lang w:val="en-US" w:eastAsia="zh-CN"/>
        </w:rPr>
        <w:t>6</w:t>
      </w:r>
      <w:r>
        <w:rPr>
          <w:rFonts w:hint="default" w:eastAsia="仿宋"/>
          <w:sz w:val="24"/>
          <w:szCs w:val="24"/>
          <w:lang w:val="en-US" w:eastAsia="zh-CN"/>
        </w:rPr>
        <w:t>.逾期未在安康市公共资源交易平台上传电子版</w:t>
      </w:r>
      <w:r>
        <w:rPr>
          <w:rFonts w:hint="eastAsia" w:eastAsia="仿宋"/>
          <w:sz w:val="24"/>
          <w:szCs w:val="24"/>
          <w:lang w:val="en-US" w:eastAsia="zh-CN"/>
        </w:rPr>
        <w:t>谈判</w:t>
      </w:r>
      <w:r>
        <w:rPr>
          <w:rFonts w:hint="default" w:eastAsia="仿宋"/>
          <w:sz w:val="24"/>
          <w:szCs w:val="24"/>
          <w:lang w:val="en-US" w:eastAsia="zh-CN"/>
        </w:rPr>
        <w:t>响应文件的，采购人不予受理，系统将拒绝接收；</w:t>
      </w:r>
    </w:p>
    <w:p w14:paraId="434952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eastAsia="仿宋"/>
          <w:sz w:val="24"/>
          <w:szCs w:val="24"/>
          <w:lang w:val="en-US" w:eastAsia="zh-CN"/>
        </w:rPr>
      </w:pPr>
      <w:r>
        <w:rPr>
          <w:rFonts w:hint="eastAsia" w:eastAsia="仿宋"/>
          <w:sz w:val="24"/>
          <w:szCs w:val="24"/>
          <w:lang w:val="en-US" w:eastAsia="zh-CN"/>
        </w:rPr>
        <w:t>7</w:t>
      </w:r>
      <w:r>
        <w:rPr>
          <w:rFonts w:hint="default" w:eastAsia="仿宋"/>
          <w:sz w:val="24"/>
          <w:szCs w:val="24"/>
          <w:lang w:val="en-US" w:eastAsia="zh-CN"/>
        </w:rPr>
        <w:t>.开标形式：本项目将采用“不见面开标”形式。操作说明详见平台〖首页·〉服务指南·〉下载专区〗中的《</w:t>
      </w:r>
      <w:r>
        <w:rPr>
          <w:rFonts w:hint="eastAsia" w:eastAsia="仿宋"/>
          <w:sz w:val="24"/>
          <w:szCs w:val="24"/>
          <w:lang w:val="en-US" w:eastAsia="zh-CN"/>
        </w:rPr>
        <w:t>安康市</w:t>
      </w:r>
      <w:r>
        <w:rPr>
          <w:rFonts w:hint="default" w:eastAsia="仿宋"/>
          <w:sz w:val="24"/>
          <w:szCs w:val="24"/>
          <w:lang w:val="en-US" w:eastAsia="zh-CN"/>
        </w:rPr>
        <w:t>不见面开标大厅供应商操作手册》；</w:t>
      </w:r>
    </w:p>
    <w:p w14:paraId="57D6FA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eastAsia="仿宋"/>
          <w:sz w:val="24"/>
          <w:szCs w:val="24"/>
          <w:lang w:val="en-US" w:eastAsia="zh-CN"/>
        </w:rPr>
      </w:pPr>
      <w:r>
        <w:rPr>
          <w:rFonts w:hint="eastAsia" w:eastAsia="仿宋"/>
          <w:sz w:val="24"/>
          <w:szCs w:val="24"/>
          <w:lang w:val="en-US" w:eastAsia="zh-CN"/>
        </w:rPr>
        <w:t>8</w:t>
      </w:r>
      <w:r>
        <w:rPr>
          <w:rFonts w:hint="default" w:eastAsia="仿宋"/>
          <w:sz w:val="24"/>
          <w:szCs w:val="24"/>
          <w:lang w:val="en-US" w:eastAsia="zh-CN"/>
        </w:rPr>
        <w:t>.如有技术性问题，请先翻阅操作手册或致电软件开发商，技术支持热线：4009280095、4009980000</w:t>
      </w:r>
      <w:r>
        <w:rPr>
          <w:rFonts w:hint="eastAsia" w:eastAsia="仿宋"/>
          <w:sz w:val="24"/>
          <w:szCs w:val="24"/>
          <w:lang w:val="en-US" w:eastAsia="zh-CN"/>
        </w:rPr>
        <w:t>。</w:t>
      </w:r>
    </w:p>
    <w:p w14:paraId="1C3B280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仿宋" w:hAnsi="仿宋" w:eastAsia="仿宋"/>
          <w:b/>
          <w:bCs/>
          <w:sz w:val="24"/>
        </w:rPr>
      </w:pPr>
      <w:bookmarkStart w:id="62" w:name="_Toc2358"/>
      <w:r>
        <w:rPr>
          <w:rFonts w:hint="eastAsia" w:ascii="仿宋" w:hAnsi="仿宋" w:eastAsia="仿宋"/>
          <w:b/>
          <w:bCs/>
          <w:sz w:val="24"/>
          <w:lang w:val="en-US" w:eastAsia="zh-CN"/>
        </w:rPr>
        <w:t>八</w:t>
      </w:r>
      <w:r>
        <w:rPr>
          <w:rFonts w:hint="eastAsia" w:ascii="仿宋" w:hAnsi="仿宋" w:eastAsia="仿宋"/>
          <w:b/>
          <w:bCs/>
          <w:sz w:val="24"/>
        </w:rPr>
        <w:t>、对本次</w:t>
      </w:r>
      <w:r>
        <w:rPr>
          <w:rFonts w:hint="eastAsia" w:ascii="仿宋" w:hAnsi="仿宋" w:eastAsia="仿宋"/>
          <w:b/>
          <w:bCs/>
          <w:sz w:val="24"/>
          <w:lang w:eastAsia="zh-CN"/>
        </w:rPr>
        <w:t>采购</w:t>
      </w:r>
      <w:r>
        <w:rPr>
          <w:rFonts w:hint="eastAsia" w:ascii="仿宋" w:hAnsi="仿宋" w:eastAsia="仿宋"/>
          <w:b/>
          <w:bCs/>
          <w:sz w:val="24"/>
        </w:rPr>
        <w:t>提出询问，请按以下方式联系。</w:t>
      </w:r>
      <w:bookmarkEnd w:id="62"/>
    </w:p>
    <w:p w14:paraId="621ABB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eastAsia="仿宋"/>
          <w:sz w:val="24"/>
          <w:szCs w:val="24"/>
        </w:rPr>
      </w:pPr>
      <w:r>
        <w:rPr>
          <w:rFonts w:eastAsia="仿宋"/>
          <w:sz w:val="24"/>
          <w:szCs w:val="24"/>
        </w:rPr>
        <w:t>1、采购人信息</w:t>
      </w:r>
    </w:p>
    <w:p w14:paraId="2DEC56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eastAsia="仿宋"/>
          <w:sz w:val="24"/>
          <w:szCs w:val="24"/>
        </w:rPr>
      </w:pPr>
      <w:r>
        <w:rPr>
          <w:rFonts w:hint="eastAsia" w:eastAsia="仿宋"/>
          <w:sz w:val="24"/>
          <w:szCs w:val="24"/>
          <w:lang w:val="en-US" w:eastAsia="zh-CN"/>
        </w:rPr>
        <w:t>名称</w:t>
      </w:r>
      <w:r>
        <w:rPr>
          <w:rFonts w:eastAsia="仿宋"/>
          <w:sz w:val="24"/>
          <w:szCs w:val="24"/>
        </w:rPr>
        <w:t>：</w:t>
      </w:r>
      <w:r>
        <w:rPr>
          <w:rFonts w:hint="eastAsia" w:eastAsia="仿宋"/>
          <w:sz w:val="24"/>
          <w:szCs w:val="24"/>
          <w:lang w:val="en-US" w:eastAsia="zh-CN"/>
        </w:rPr>
        <w:t>汉阴县第二幼儿园</w:t>
      </w:r>
    </w:p>
    <w:p w14:paraId="4B43AA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eastAsia="仿宋"/>
          <w:sz w:val="24"/>
          <w:szCs w:val="24"/>
          <w:highlight w:val="none"/>
        </w:rPr>
      </w:pPr>
      <w:r>
        <w:rPr>
          <w:rFonts w:hint="eastAsia" w:eastAsia="仿宋"/>
          <w:sz w:val="24"/>
          <w:szCs w:val="24"/>
          <w:highlight w:val="none"/>
          <w:lang w:val="en-US" w:eastAsia="zh-CN"/>
        </w:rPr>
        <w:t>地址</w:t>
      </w:r>
      <w:r>
        <w:rPr>
          <w:rFonts w:eastAsia="仿宋"/>
          <w:sz w:val="24"/>
          <w:szCs w:val="24"/>
          <w:highlight w:val="none"/>
        </w:rPr>
        <w:t>：</w:t>
      </w:r>
      <w:r>
        <w:rPr>
          <w:rFonts w:hint="eastAsia" w:eastAsia="仿宋"/>
          <w:sz w:val="24"/>
          <w:szCs w:val="24"/>
          <w:highlight w:val="none"/>
          <w:lang w:val="en-US" w:eastAsia="zh-CN"/>
        </w:rPr>
        <w:t>汉阴县城关镇新街口89号（汉阴县第二幼儿园）(新街东)</w:t>
      </w:r>
    </w:p>
    <w:p w14:paraId="57BCA0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eastAsia="仿宋"/>
          <w:sz w:val="24"/>
          <w:szCs w:val="24"/>
          <w:highlight w:val="none"/>
          <w:lang w:eastAsia="zh-CN"/>
        </w:rPr>
      </w:pPr>
      <w:r>
        <w:rPr>
          <w:rFonts w:hint="eastAsia" w:eastAsia="仿宋"/>
          <w:sz w:val="24"/>
          <w:szCs w:val="24"/>
          <w:highlight w:val="none"/>
          <w:lang w:val="en-US" w:eastAsia="zh-CN"/>
        </w:rPr>
        <w:t>联系方式</w:t>
      </w:r>
      <w:r>
        <w:rPr>
          <w:rFonts w:eastAsia="仿宋"/>
          <w:sz w:val="24"/>
          <w:szCs w:val="24"/>
          <w:highlight w:val="none"/>
        </w:rPr>
        <w:t>：</w:t>
      </w:r>
      <w:r>
        <w:rPr>
          <w:rFonts w:hint="eastAsia" w:eastAsia="仿宋"/>
          <w:sz w:val="24"/>
          <w:szCs w:val="24"/>
          <w:highlight w:val="none"/>
          <w:lang w:eastAsia="zh-CN"/>
        </w:rPr>
        <w:t>15509151766</w:t>
      </w:r>
    </w:p>
    <w:p w14:paraId="30A0CB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eastAsia="仿宋"/>
          <w:sz w:val="24"/>
          <w:szCs w:val="24"/>
        </w:rPr>
      </w:pPr>
      <w:r>
        <w:rPr>
          <w:rFonts w:hint="eastAsia" w:eastAsia="仿宋"/>
          <w:sz w:val="24"/>
          <w:szCs w:val="24"/>
        </w:rPr>
        <w:t>2.采购代理机构信息</w:t>
      </w:r>
    </w:p>
    <w:p w14:paraId="508B39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eastAsia="仿宋"/>
          <w:sz w:val="24"/>
          <w:szCs w:val="24"/>
        </w:rPr>
      </w:pPr>
      <w:r>
        <w:rPr>
          <w:rFonts w:hint="eastAsia" w:eastAsia="仿宋"/>
          <w:sz w:val="24"/>
          <w:szCs w:val="24"/>
        </w:rPr>
        <w:t>名称：</w:t>
      </w:r>
      <w:r>
        <w:rPr>
          <w:rFonts w:hint="eastAsia" w:eastAsia="仿宋"/>
          <w:sz w:val="24"/>
          <w:szCs w:val="24"/>
          <w:lang w:eastAsia="zh-CN"/>
        </w:rPr>
        <w:t>陕西春秋工程造价事务所有限公司</w:t>
      </w:r>
    </w:p>
    <w:p w14:paraId="1E7B37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eastAsia="仿宋"/>
          <w:sz w:val="24"/>
          <w:szCs w:val="24"/>
          <w:lang w:eastAsia="zh-CN"/>
        </w:rPr>
      </w:pPr>
      <w:r>
        <w:rPr>
          <w:rFonts w:hint="eastAsia" w:eastAsia="仿宋"/>
          <w:sz w:val="24"/>
          <w:szCs w:val="24"/>
        </w:rPr>
        <w:t>地址：</w:t>
      </w:r>
      <w:r>
        <w:rPr>
          <w:rFonts w:hint="eastAsia" w:eastAsia="仿宋"/>
          <w:sz w:val="24"/>
          <w:szCs w:val="24"/>
          <w:lang w:eastAsia="zh-CN"/>
        </w:rPr>
        <w:t>陕西省西安市曲江新区雁翔路2575号3幢10603室</w:t>
      </w:r>
    </w:p>
    <w:p w14:paraId="09D0B1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eastAsia="仿宋"/>
          <w:sz w:val="24"/>
          <w:szCs w:val="24"/>
          <w:lang w:val="en-US" w:eastAsia="zh-CN"/>
        </w:rPr>
      </w:pPr>
      <w:r>
        <w:rPr>
          <w:rFonts w:hint="eastAsia" w:eastAsia="仿宋"/>
          <w:sz w:val="24"/>
          <w:szCs w:val="24"/>
        </w:rPr>
        <w:t>联系方式：</w:t>
      </w:r>
      <w:r>
        <w:rPr>
          <w:rFonts w:hint="eastAsia" w:eastAsia="仿宋"/>
          <w:sz w:val="24"/>
          <w:szCs w:val="24"/>
          <w:lang w:val="en-US" w:eastAsia="zh-CN"/>
        </w:rPr>
        <w:t>19279181029</w:t>
      </w:r>
    </w:p>
    <w:p w14:paraId="693A64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eastAsia="仿宋"/>
          <w:sz w:val="24"/>
          <w:szCs w:val="24"/>
        </w:rPr>
      </w:pPr>
      <w:r>
        <w:rPr>
          <w:rFonts w:hint="eastAsia" w:eastAsia="仿宋"/>
          <w:sz w:val="24"/>
          <w:szCs w:val="24"/>
        </w:rPr>
        <w:t>3.项目联系方式</w:t>
      </w:r>
    </w:p>
    <w:p w14:paraId="761006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eastAsia="仿宋"/>
          <w:sz w:val="24"/>
          <w:szCs w:val="24"/>
          <w:lang w:eastAsia="zh-CN"/>
        </w:rPr>
      </w:pPr>
      <w:r>
        <w:rPr>
          <w:rFonts w:hint="eastAsia" w:eastAsia="仿宋"/>
          <w:sz w:val="24"/>
          <w:szCs w:val="24"/>
        </w:rPr>
        <w:t>项目联系人：</w:t>
      </w:r>
      <w:r>
        <w:rPr>
          <w:rFonts w:hint="eastAsia" w:eastAsia="仿宋"/>
          <w:sz w:val="24"/>
          <w:szCs w:val="24"/>
          <w:lang w:val="en-US" w:eastAsia="zh-CN"/>
        </w:rPr>
        <w:t>王工</w:t>
      </w:r>
    </w:p>
    <w:p w14:paraId="1928A7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eastAsia="仿宋"/>
          <w:sz w:val="24"/>
          <w:szCs w:val="24"/>
        </w:rPr>
      </w:pPr>
      <w:r>
        <w:rPr>
          <w:rFonts w:hint="eastAsia" w:eastAsia="仿宋"/>
          <w:sz w:val="24"/>
          <w:szCs w:val="24"/>
        </w:rPr>
        <w:t>电话：</w:t>
      </w:r>
      <w:r>
        <w:rPr>
          <w:rFonts w:hint="eastAsia" w:eastAsia="仿宋"/>
          <w:sz w:val="24"/>
          <w:szCs w:val="24"/>
          <w:lang w:eastAsia="zh-CN"/>
        </w:rPr>
        <w:t>19279181029</w:t>
      </w:r>
    </w:p>
    <w:p w14:paraId="2B64436D">
      <w:pPr>
        <w:rPr>
          <w:rFonts w:eastAsia="仿宋"/>
          <w:sz w:val="24"/>
        </w:rPr>
      </w:pPr>
      <w:r>
        <w:rPr>
          <w:rFonts w:eastAsia="仿宋"/>
          <w:sz w:val="24"/>
        </w:rPr>
        <w:br w:type="page"/>
      </w:r>
    </w:p>
    <w:p w14:paraId="3B909259">
      <w:pPr>
        <w:pStyle w:val="72"/>
        <w:adjustRightInd w:val="0"/>
        <w:spacing w:before="240" w:beforeLines="100" w:line="360" w:lineRule="auto"/>
        <w:ind w:right="-22" w:firstLine="0" w:firstLineChars="0"/>
        <w:jc w:val="center"/>
        <w:textAlignment w:val="baseline"/>
        <w:outlineLvl w:val="0"/>
        <w:rPr>
          <w:rFonts w:ascii="Times New Roman" w:hAnsi="Times New Roman" w:eastAsia="仿宋_GB2312"/>
          <w:b/>
          <w:kern w:val="0"/>
          <w:sz w:val="32"/>
          <w:szCs w:val="32"/>
        </w:rPr>
      </w:pPr>
      <w:bookmarkStart w:id="63" w:name="_Toc10871"/>
      <w:r>
        <w:rPr>
          <w:rFonts w:ascii="Times New Roman" w:hAnsi="Times New Roman" w:eastAsia="仿宋_GB2312"/>
          <w:b/>
          <w:kern w:val="0"/>
          <w:sz w:val="32"/>
          <w:szCs w:val="32"/>
        </w:rPr>
        <w:t>第二章  供应商须知</w:t>
      </w:r>
      <w:bookmarkEnd w:id="20"/>
      <w:bookmarkEnd w:id="21"/>
      <w:bookmarkEnd w:id="22"/>
      <w:bookmarkEnd w:id="23"/>
      <w:bookmarkEnd w:id="24"/>
      <w:bookmarkEnd w:id="25"/>
      <w:bookmarkEnd w:id="26"/>
      <w:bookmarkEnd w:id="27"/>
      <w:bookmarkEnd w:id="28"/>
      <w:bookmarkEnd w:id="29"/>
      <w:bookmarkEnd w:id="30"/>
      <w:bookmarkEnd w:id="31"/>
      <w:bookmarkEnd w:id="32"/>
      <w:bookmarkEnd w:id="63"/>
    </w:p>
    <w:p w14:paraId="5E2EE328">
      <w:pPr>
        <w:keepNext w:val="0"/>
        <w:keepLines w:val="0"/>
        <w:pageBreakBefore w:val="0"/>
        <w:widowControl w:val="0"/>
        <w:kinsoku/>
        <w:wordWrap/>
        <w:overflowPunct/>
        <w:topLinePunct w:val="0"/>
        <w:autoSpaceDE/>
        <w:autoSpaceDN/>
        <w:bidi w:val="0"/>
        <w:adjustRightInd w:val="0"/>
        <w:snapToGrid/>
        <w:spacing w:line="360" w:lineRule="auto"/>
        <w:ind w:right="0"/>
        <w:jc w:val="center"/>
        <w:textAlignment w:val="baseline"/>
        <w:outlineLvl w:val="1"/>
        <w:rPr>
          <w:rFonts w:eastAsia="仿宋_GB2312"/>
          <w:b/>
          <w:kern w:val="0"/>
          <w:sz w:val="28"/>
          <w:szCs w:val="28"/>
        </w:rPr>
      </w:pPr>
      <w:bookmarkStart w:id="64" w:name="_Toc28247"/>
      <w:r>
        <w:rPr>
          <w:rFonts w:eastAsia="仿宋_GB2312"/>
          <w:b/>
          <w:kern w:val="0"/>
          <w:sz w:val="28"/>
          <w:szCs w:val="28"/>
        </w:rPr>
        <w:t>（一）供应商须知前附表</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64"/>
    </w:p>
    <w:p w14:paraId="69E00368">
      <w:pPr>
        <w:rPr>
          <w:rFonts w:eastAsia="仿宋_GB2312"/>
          <w:b/>
          <w:sz w:val="20"/>
          <w:szCs w:val="20"/>
        </w:rPr>
      </w:pPr>
      <w:r>
        <w:rPr>
          <w:rFonts w:eastAsia="仿宋_GB2312"/>
          <w:sz w:val="24"/>
        </w:rPr>
        <w:t>本表是对供应商须知的具体补充和修改，如有矛盾，均以本表为准。</w:t>
      </w:r>
    </w:p>
    <w:bookmarkEnd w:id="18"/>
    <w:tbl>
      <w:tblPr>
        <w:tblStyle w:val="50"/>
        <w:tblW w:w="9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8589"/>
      </w:tblGrid>
      <w:tr w14:paraId="7FE2D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blHeader/>
          <w:jc w:val="center"/>
        </w:trPr>
        <w:tc>
          <w:tcPr>
            <w:tcW w:w="1170" w:type="dxa"/>
            <w:vAlign w:val="center"/>
          </w:tcPr>
          <w:p w14:paraId="3DB3982A">
            <w:pPr>
              <w:pStyle w:val="28"/>
              <w:keepNext w:val="0"/>
              <w:keepLines w:val="0"/>
              <w:pageBreakBefore w:val="0"/>
              <w:widowControl w:val="0"/>
              <w:kinsoku/>
              <w:wordWrap/>
              <w:overflowPunct/>
              <w:topLinePunct w:val="0"/>
              <w:bidi w:val="0"/>
              <w:adjustRightInd w:val="0"/>
              <w:snapToGrid w:val="0"/>
              <w:spacing w:line="420" w:lineRule="exact"/>
              <w:jc w:val="center"/>
              <w:textAlignment w:val="auto"/>
              <w:rPr>
                <w:rFonts w:ascii="Times New Roman" w:hAnsi="Times New Roman" w:eastAsia="仿宋_GB2312"/>
                <w:b/>
                <w:sz w:val="24"/>
                <w:szCs w:val="24"/>
              </w:rPr>
            </w:pPr>
            <w:bookmarkStart w:id="65" w:name="_Hlt14560610"/>
            <w:bookmarkEnd w:id="65"/>
            <w:bookmarkStart w:id="66" w:name="_Toc499711044"/>
            <w:bookmarkStart w:id="67" w:name="_Toc499711885"/>
            <w:bookmarkStart w:id="68" w:name="_Toc385992326"/>
            <w:bookmarkStart w:id="69" w:name="_Toc500747190"/>
            <w:bookmarkStart w:id="70" w:name="_Toc389620165"/>
            <w:bookmarkStart w:id="71" w:name="_Toc500746967"/>
            <w:bookmarkStart w:id="72" w:name="_Toc503063423"/>
            <w:bookmarkStart w:id="73" w:name="_Toc500747063"/>
            <w:bookmarkStart w:id="74" w:name="_Toc492955416"/>
            <w:bookmarkStart w:id="75" w:name="_Toc496324580"/>
            <w:r>
              <w:rPr>
                <w:rFonts w:ascii="Times New Roman" w:hAnsi="Times New Roman" w:eastAsia="仿宋_GB2312"/>
                <w:b/>
                <w:sz w:val="24"/>
                <w:szCs w:val="24"/>
              </w:rPr>
              <w:t>条款号</w:t>
            </w:r>
          </w:p>
        </w:tc>
        <w:tc>
          <w:tcPr>
            <w:tcW w:w="8589" w:type="dxa"/>
            <w:vAlign w:val="center"/>
          </w:tcPr>
          <w:p w14:paraId="266DCD64">
            <w:pPr>
              <w:pStyle w:val="28"/>
              <w:keepNext w:val="0"/>
              <w:keepLines w:val="0"/>
              <w:pageBreakBefore w:val="0"/>
              <w:widowControl w:val="0"/>
              <w:kinsoku/>
              <w:wordWrap/>
              <w:overflowPunct/>
              <w:topLinePunct w:val="0"/>
              <w:bidi w:val="0"/>
              <w:adjustRightInd w:val="0"/>
              <w:snapToGrid w:val="0"/>
              <w:spacing w:line="420" w:lineRule="exact"/>
              <w:jc w:val="center"/>
              <w:textAlignment w:val="auto"/>
              <w:rPr>
                <w:rFonts w:ascii="Times New Roman" w:hAnsi="Times New Roman" w:eastAsia="仿宋_GB2312"/>
                <w:b/>
                <w:sz w:val="24"/>
                <w:szCs w:val="24"/>
              </w:rPr>
            </w:pPr>
            <w:r>
              <w:rPr>
                <w:rFonts w:ascii="Times New Roman" w:hAnsi="Times New Roman" w:eastAsia="仿宋_GB2312"/>
                <w:b/>
                <w:sz w:val="24"/>
                <w:szCs w:val="24"/>
              </w:rPr>
              <w:t>内容说明</w:t>
            </w:r>
          </w:p>
        </w:tc>
      </w:tr>
      <w:tr w14:paraId="52261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170" w:type="dxa"/>
            <w:vAlign w:val="center"/>
          </w:tcPr>
          <w:p w14:paraId="7FB1F3AE">
            <w:pPr>
              <w:pStyle w:val="28"/>
              <w:keepNext w:val="0"/>
              <w:keepLines w:val="0"/>
              <w:pageBreakBefore w:val="0"/>
              <w:widowControl w:val="0"/>
              <w:kinsoku/>
              <w:wordWrap/>
              <w:overflowPunct/>
              <w:topLinePunct w:val="0"/>
              <w:bidi w:val="0"/>
              <w:adjustRightInd w:val="0"/>
              <w:snapToGrid w:val="0"/>
              <w:spacing w:line="420" w:lineRule="exact"/>
              <w:jc w:val="center"/>
              <w:textAlignment w:val="auto"/>
              <w:rPr>
                <w:rFonts w:ascii="Times New Roman" w:hAnsi="Times New Roman" w:eastAsia="仿宋_GB2312"/>
                <w:sz w:val="24"/>
                <w:szCs w:val="24"/>
                <w:highlight w:val="none"/>
              </w:rPr>
            </w:pPr>
            <w:r>
              <w:rPr>
                <w:rFonts w:ascii="Times New Roman" w:hAnsi="Times New Roman" w:eastAsia="仿宋_GB2312"/>
                <w:sz w:val="24"/>
                <w:szCs w:val="24"/>
                <w:highlight w:val="none"/>
              </w:rPr>
              <w:t>1.1</w:t>
            </w:r>
          </w:p>
        </w:tc>
        <w:tc>
          <w:tcPr>
            <w:tcW w:w="8589" w:type="dxa"/>
            <w:vAlign w:val="center"/>
          </w:tcPr>
          <w:p w14:paraId="28186710">
            <w:pPr>
              <w:pStyle w:val="28"/>
              <w:keepNext w:val="0"/>
              <w:keepLines w:val="0"/>
              <w:pageBreakBefore w:val="0"/>
              <w:widowControl w:val="0"/>
              <w:kinsoku/>
              <w:wordWrap/>
              <w:overflowPunct/>
              <w:topLinePunct w:val="0"/>
              <w:bidi w:val="0"/>
              <w:adjustRightInd w:val="0"/>
              <w:snapToGrid w:val="0"/>
              <w:spacing w:line="420" w:lineRule="exact"/>
              <w:textAlignment w:val="auto"/>
              <w:rPr>
                <w:rFonts w:hint="default" w:ascii="Times New Roman" w:hAnsi="Times New Roman" w:eastAsia="仿宋_GB2312"/>
                <w:sz w:val="24"/>
                <w:szCs w:val="24"/>
                <w:highlight w:val="none"/>
                <w:lang w:eastAsia="zh-CN"/>
              </w:rPr>
            </w:pPr>
            <w:r>
              <w:rPr>
                <w:rFonts w:ascii="Times New Roman" w:hAnsi="Times New Roman" w:eastAsia="仿宋_GB2312"/>
                <w:sz w:val="24"/>
                <w:szCs w:val="24"/>
                <w:highlight w:val="none"/>
              </w:rPr>
              <w:t>项目名称：</w:t>
            </w:r>
            <w:r>
              <w:rPr>
                <w:rFonts w:hint="eastAsia" w:ascii="Times New Roman" w:hAnsi="Times New Roman" w:eastAsia="仿宋_GB2312"/>
                <w:sz w:val="24"/>
                <w:szCs w:val="24"/>
                <w:highlight w:val="none"/>
                <w:lang w:eastAsia="zh-CN"/>
              </w:rPr>
              <w:t>汉阴县第二幼儿园2025-2027学年食堂原辅食材采购项目</w:t>
            </w:r>
          </w:p>
          <w:p w14:paraId="2C8214DE">
            <w:pPr>
              <w:pStyle w:val="28"/>
              <w:keepNext w:val="0"/>
              <w:keepLines w:val="0"/>
              <w:pageBreakBefore w:val="0"/>
              <w:widowControl w:val="0"/>
              <w:kinsoku/>
              <w:wordWrap/>
              <w:overflowPunct/>
              <w:topLinePunct w:val="0"/>
              <w:bidi w:val="0"/>
              <w:adjustRightInd w:val="0"/>
              <w:snapToGrid w:val="0"/>
              <w:spacing w:line="420" w:lineRule="exact"/>
              <w:textAlignment w:val="auto"/>
              <w:rPr>
                <w:rFonts w:hint="eastAsia" w:ascii="Times New Roman" w:hAnsi="Times New Roman" w:eastAsia="仿宋_GB2312"/>
                <w:sz w:val="24"/>
                <w:szCs w:val="24"/>
                <w:highlight w:val="none"/>
                <w:lang w:eastAsia="zh-CN"/>
              </w:rPr>
            </w:pPr>
            <w:r>
              <w:rPr>
                <w:rFonts w:ascii="Times New Roman" w:hAnsi="Times New Roman" w:eastAsia="仿宋_GB2312"/>
                <w:sz w:val="24"/>
                <w:szCs w:val="24"/>
                <w:highlight w:val="none"/>
              </w:rPr>
              <w:t>项目编号</w:t>
            </w:r>
            <w:r>
              <w:rPr>
                <w:rFonts w:hint="eastAsia" w:ascii="Times New Roman" w:hAnsi="Times New Roman" w:eastAsia="仿宋_GB2312"/>
                <w:sz w:val="24"/>
                <w:szCs w:val="24"/>
                <w:highlight w:val="none"/>
                <w:lang w:eastAsia="zh-CN"/>
              </w:rPr>
              <w:t>SXCQCGAK(2025)第46号</w:t>
            </w:r>
          </w:p>
          <w:p w14:paraId="1A1EDF31">
            <w:pPr>
              <w:pStyle w:val="28"/>
              <w:keepNext w:val="0"/>
              <w:keepLines w:val="0"/>
              <w:pageBreakBefore w:val="0"/>
              <w:widowControl w:val="0"/>
              <w:kinsoku/>
              <w:wordWrap/>
              <w:overflowPunct/>
              <w:topLinePunct w:val="0"/>
              <w:bidi w:val="0"/>
              <w:adjustRightInd w:val="0"/>
              <w:snapToGrid w:val="0"/>
              <w:spacing w:line="420" w:lineRule="exact"/>
              <w:textAlignment w:val="auto"/>
              <w:rPr>
                <w:rFonts w:hint="default" w:ascii="Times New Roman" w:hAnsi="Times New Roman" w:eastAsia="仿宋_GB2312"/>
                <w:sz w:val="24"/>
                <w:szCs w:val="24"/>
                <w:highlight w:val="none"/>
                <w:lang w:val="en-US" w:eastAsia="zh-CN"/>
              </w:rPr>
            </w:pPr>
            <w:r>
              <w:rPr>
                <w:rFonts w:ascii="Times New Roman" w:hAnsi="Times New Roman" w:eastAsia="仿宋_GB2312"/>
                <w:sz w:val="24"/>
                <w:szCs w:val="24"/>
                <w:highlight w:val="none"/>
              </w:rPr>
              <w:t>预算金额：</w:t>
            </w:r>
            <w:r>
              <w:rPr>
                <w:rFonts w:hint="eastAsia" w:ascii="Times New Roman" w:hAnsi="Times New Roman" w:eastAsia="仿宋_GB2312"/>
                <w:sz w:val="24"/>
                <w:szCs w:val="24"/>
                <w:highlight w:val="none"/>
                <w:lang w:val="en-US" w:eastAsia="zh-CN"/>
              </w:rPr>
              <w:t>900000.00 元</w:t>
            </w:r>
          </w:p>
          <w:p w14:paraId="0167C95D">
            <w:pPr>
              <w:pStyle w:val="28"/>
              <w:keepNext w:val="0"/>
              <w:keepLines w:val="0"/>
              <w:pageBreakBefore w:val="0"/>
              <w:widowControl w:val="0"/>
              <w:kinsoku/>
              <w:wordWrap/>
              <w:overflowPunct/>
              <w:topLinePunct w:val="0"/>
              <w:bidi w:val="0"/>
              <w:adjustRightInd w:val="0"/>
              <w:snapToGrid w:val="0"/>
              <w:spacing w:line="420" w:lineRule="exact"/>
              <w:textAlignment w:val="auto"/>
              <w:rPr>
                <w:rFonts w:ascii="Times New Roman" w:hAnsi="Times New Roman" w:eastAsia="仿宋_GB2312"/>
                <w:sz w:val="24"/>
                <w:szCs w:val="24"/>
                <w:highlight w:val="none"/>
              </w:rPr>
            </w:pPr>
            <w:r>
              <w:rPr>
                <w:rFonts w:ascii="Times New Roman" w:hAnsi="Times New Roman" w:eastAsia="仿宋_GB2312"/>
                <w:sz w:val="24"/>
                <w:szCs w:val="24"/>
                <w:highlight w:val="none"/>
              </w:rPr>
              <w:t>采购方式：竞争性谈判</w:t>
            </w:r>
          </w:p>
          <w:p w14:paraId="326DF184">
            <w:pPr>
              <w:pStyle w:val="28"/>
              <w:keepNext w:val="0"/>
              <w:keepLines w:val="0"/>
              <w:pageBreakBefore w:val="0"/>
              <w:widowControl w:val="0"/>
              <w:kinsoku/>
              <w:wordWrap/>
              <w:overflowPunct/>
              <w:topLinePunct w:val="0"/>
              <w:bidi w:val="0"/>
              <w:adjustRightInd w:val="0"/>
              <w:snapToGrid w:val="0"/>
              <w:spacing w:line="420" w:lineRule="exact"/>
              <w:textAlignment w:val="auto"/>
              <w:rPr>
                <w:rFonts w:ascii="Times New Roman" w:hAnsi="Times New Roman" w:eastAsia="仿宋_GB2312"/>
                <w:sz w:val="24"/>
                <w:szCs w:val="24"/>
                <w:highlight w:val="none"/>
              </w:rPr>
            </w:pPr>
            <w:r>
              <w:rPr>
                <w:rFonts w:ascii="Times New Roman" w:hAnsi="Times New Roman" w:eastAsia="仿宋_GB2312"/>
                <w:sz w:val="24"/>
                <w:szCs w:val="24"/>
                <w:highlight w:val="none"/>
              </w:rPr>
              <w:t>采购内容：详见本谈判文件第四章</w:t>
            </w:r>
          </w:p>
          <w:p w14:paraId="76E3A1CF">
            <w:pPr>
              <w:pStyle w:val="28"/>
              <w:keepNext w:val="0"/>
              <w:keepLines w:val="0"/>
              <w:pageBreakBefore w:val="0"/>
              <w:widowControl w:val="0"/>
              <w:kinsoku/>
              <w:wordWrap/>
              <w:overflowPunct/>
              <w:topLinePunct w:val="0"/>
              <w:bidi w:val="0"/>
              <w:adjustRightInd w:val="0"/>
              <w:snapToGrid w:val="0"/>
              <w:spacing w:line="420" w:lineRule="exact"/>
              <w:textAlignment w:val="auto"/>
              <w:rPr>
                <w:rFonts w:hint="eastAsia" w:ascii="Times New Roman" w:hAnsi="Times New Roman" w:eastAsia="仿宋_GB2312"/>
                <w:sz w:val="24"/>
                <w:szCs w:val="24"/>
                <w:highlight w:val="none"/>
                <w:lang w:val="en-US" w:eastAsia="zh-CN"/>
              </w:rPr>
            </w:pPr>
            <w:r>
              <w:rPr>
                <w:rFonts w:ascii="Times New Roman" w:hAnsi="Times New Roman" w:eastAsia="仿宋_GB2312"/>
                <w:sz w:val="24"/>
                <w:szCs w:val="24"/>
                <w:highlight w:val="none"/>
              </w:rPr>
              <w:t>项目所属行业：</w:t>
            </w:r>
            <w:r>
              <w:rPr>
                <w:rFonts w:hint="eastAsia" w:ascii="Times New Roman" w:hAnsi="Times New Roman" w:eastAsia="仿宋_GB2312"/>
                <w:sz w:val="24"/>
                <w:szCs w:val="24"/>
                <w:highlight w:val="none"/>
                <w:lang w:val="en-US" w:eastAsia="zh-CN"/>
              </w:rPr>
              <w:t>工业</w:t>
            </w:r>
          </w:p>
        </w:tc>
      </w:tr>
      <w:tr w14:paraId="3DD96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170" w:type="dxa"/>
            <w:vAlign w:val="center"/>
          </w:tcPr>
          <w:p w14:paraId="78E372EB">
            <w:pPr>
              <w:pStyle w:val="28"/>
              <w:keepNext w:val="0"/>
              <w:keepLines w:val="0"/>
              <w:pageBreakBefore w:val="0"/>
              <w:widowControl w:val="0"/>
              <w:kinsoku/>
              <w:wordWrap/>
              <w:overflowPunct/>
              <w:topLinePunct w:val="0"/>
              <w:bidi w:val="0"/>
              <w:adjustRightInd w:val="0"/>
              <w:snapToGrid w:val="0"/>
              <w:spacing w:line="420" w:lineRule="exact"/>
              <w:jc w:val="center"/>
              <w:textAlignment w:val="auto"/>
              <w:rPr>
                <w:rFonts w:ascii="Times New Roman" w:hAnsi="Times New Roman" w:eastAsia="仿宋_GB2312"/>
                <w:sz w:val="24"/>
                <w:szCs w:val="24"/>
              </w:rPr>
            </w:pPr>
            <w:r>
              <w:rPr>
                <w:rFonts w:ascii="Times New Roman" w:hAnsi="Times New Roman" w:eastAsia="仿宋_GB2312"/>
                <w:sz w:val="24"/>
                <w:szCs w:val="24"/>
              </w:rPr>
              <w:t>2.1</w:t>
            </w:r>
          </w:p>
        </w:tc>
        <w:tc>
          <w:tcPr>
            <w:tcW w:w="8589" w:type="dxa"/>
            <w:vAlign w:val="center"/>
          </w:tcPr>
          <w:p w14:paraId="2EAEA3A8">
            <w:pPr>
              <w:pStyle w:val="28"/>
              <w:keepNext w:val="0"/>
              <w:keepLines w:val="0"/>
              <w:pageBreakBefore w:val="0"/>
              <w:widowControl w:val="0"/>
              <w:kinsoku/>
              <w:wordWrap/>
              <w:overflowPunct/>
              <w:topLinePunct w:val="0"/>
              <w:bidi w:val="0"/>
              <w:adjustRightInd w:val="0"/>
              <w:snapToGrid w:val="0"/>
              <w:spacing w:line="420" w:lineRule="exact"/>
              <w:textAlignment w:val="auto"/>
              <w:rPr>
                <w:rFonts w:ascii="Times New Roman" w:hAnsi="Times New Roman" w:eastAsia="仿宋_GB2312"/>
                <w:sz w:val="24"/>
                <w:szCs w:val="24"/>
              </w:rPr>
            </w:pPr>
            <w:r>
              <w:rPr>
                <w:rFonts w:ascii="Times New Roman" w:hAnsi="Times New Roman" w:eastAsia="仿宋_GB2312"/>
                <w:sz w:val="24"/>
                <w:szCs w:val="24"/>
              </w:rPr>
              <w:t>采购人：</w:t>
            </w:r>
            <w:r>
              <w:rPr>
                <w:rFonts w:hint="eastAsia" w:ascii="Times New Roman" w:hAnsi="Times New Roman" w:eastAsia="仿宋_GB2312"/>
                <w:sz w:val="24"/>
                <w:szCs w:val="24"/>
                <w:lang w:val="en-US" w:eastAsia="zh-CN"/>
              </w:rPr>
              <w:t>汉阴县第二幼儿园</w:t>
            </w:r>
          </w:p>
        </w:tc>
      </w:tr>
      <w:tr w14:paraId="3CF18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170" w:type="dxa"/>
            <w:vAlign w:val="center"/>
          </w:tcPr>
          <w:p w14:paraId="0941C206">
            <w:pPr>
              <w:pStyle w:val="28"/>
              <w:keepNext w:val="0"/>
              <w:keepLines w:val="0"/>
              <w:pageBreakBefore w:val="0"/>
              <w:widowControl w:val="0"/>
              <w:kinsoku/>
              <w:wordWrap/>
              <w:overflowPunct/>
              <w:topLinePunct w:val="0"/>
              <w:bidi w:val="0"/>
              <w:adjustRightInd w:val="0"/>
              <w:snapToGrid w:val="0"/>
              <w:spacing w:line="420" w:lineRule="exact"/>
              <w:jc w:val="center"/>
              <w:textAlignment w:val="auto"/>
              <w:rPr>
                <w:rFonts w:ascii="Times New Roman" w:hAnsi="Times New Roman" w:eastAsia="仿宋_GB2312"/>
                <w:sz w:val="24"/>
                <w:szCs w:val="24"/>
              </w:rPr>
            </w:pPr>
            <w:r>
              <w:rPr>
                <w:rFonts w:ascii="Times New Roman" w:hAnsi="Times New Roman" w:eastAsia="仿宋_GB2312"/>
                <w:sz w:val="24"/>
                <w:szCs w:val="24"/>
              </w:rPr>
              <w:t>2.2</w:t>
            </w:r>
          </w:p>
        </w:tc>
        <w:tc>
          <w:tcPr>
            <w:tcW w:w="8589" w:type="dxa"/>
            <w:vAlign w:val="center"/>
          </w:tcPr>
          <w:p w14:paraId="59071E1E">
            <w:pPr>
              <w:pStyle w:val="28"/>
              <w:keepNext w:val="0"/>
              <w:keepLines w:val="0"/>
              <w:pageBreakBefore w:val="0"/>
              <w:widowControl w:val="0"/>
              <w:kinsoku/>
              <w:wordWrap/>
              <w:overflowPunct/>
              <w:topLinePunct w:val="0"/>
              <w:bidi w:val="0"/>
              <w:adjustRightInd w:val="0"/>
              <w:snapToGrid w:val="0"/>
              <w:spacing w:line="420" w:lineRule="exact"/>
              <w:textAlignment w:val="auto"/>
              <w:rPr>
                <w:rFonts w:hint="eastAsia" w:ascii="Times New Roman" w:hAnsi="Times New Roman" w:eastAsia="仿宋_GB2312"/>
                <w:sz w:val="24"/>
                <w:szCs w:val="24"/>
                <w:lang w:eastAsia="zh-CN"/>
              </w:rPr>
            </w:pPr>
            <w:r>
              <w:rPr>
                <w:rFonts w:ascii="Times New Roman" w:hAnsi="Times New Roman" w:eastAsia="仿宋_GB2312"/>
                <w:sz w:val="24"/>
                <w:szCs w:val="24"/>
              </w:rPr>
              <w:t>采购代理机构：</w:t>
            </w:r>
            <w:r>
              <w:rPr>
                <w:rFonts w:hint="eastAsia" w:ascii="Times New Roman" w:hAnsi="Times New Roman" w:eastAsia="仿宋_GB2312"/>
                <w:sz w:val="24"/>
                <w:szCs w:val="24"/>
                <w:lang w:eastAsia="zh-CN"/>
              </w:rPr>
              <w:t>陕西春秋工程造价事务所有限公司</w:t>
            </w:r>
          </w:p>
        </w:tc>
      </w:tr>
      <w:tr w14:paraId="6194A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170" w:type="dxa"/>
            <w:vAlign w:val="center"/>
          </w:tcPr>
          <w:p w14:paraId="137B256D">
            <w:pPr>
              <w:pStyle w:val="28"/>
              <w:keepNext w:val="0"/>
              <w:keepLines w:val="0"/>
              <w:pageBreakBefore w:val="0"/>
              <w:widowControl w:val="0"/>
              <w:kinsoku/>
              <w:wordWrap/>
              <w:overflowPunct/>
              <w:topLinePunct w:val="0"/>
              <w:bidi w:val="0"/>
              <w:adjustRightInd w:val="0"/>
              <w:snapToGrid w:val="0"/>
              <w:spacing w:line="420" w:lineRule="exact"/>
              <w:jc w:val="center"/>
              <w:textAlignment w:val="auto"/>
              <w:rPr>
                <w:rFonts w:ascii="Times New Roman" w:hAnsi="Times New Roman" w:eastAsia="仿宋_GB2312"/>
                <w:sz w:val="24"/>
                <w:szCs w:val="24"/>
              </w:rPr>
            </w:pPr>
            <w:r>
              <w:rPr>
                <w:rFonts w:ascii="Times New Roman" w:hAnsi="Times New Roman" w:eastAsia="仿宋_GB2312"/>
                <w:sz w:val="24"/>
                <w:szCs w:val="24"/>
              </w:rPr>
              <w:t>2.3</w:t>
            </w:r>
          </w:p>
        </w:tc>
        <w:tc>
          <w:tcPr>
            <w:tcW w:w="8589" w:type="dxa"/>
            <w:vAlign w:val="center"/>
          </w:tcPr>
          <w:p w14:paraId="0FD24BFB">
            <w:pPr>
              <w:pStyle w:val="28"/>
              <w:keepNext w:val="0"/>
              <w:keepLines w:val="0"/>
              <w:pageBreakBefore w:val="0"/>
              <w:widowControl w:val="0"/>
              <w:kinsoku/>
              <w:wordWrap/>
              <w:overflowPunct/>
              <w:topLinePunct w:val="0"/>
              <w:bidi w:val="0"/>
              <w:adjustRightInd w:val="0"/>
              <w:snapToGrid w:val="0"/>
              <w:spacing w:line="420" w:lineRule="exact"/>
              <w:textAlignment w:val="auto"/>
              <w:rPr>
                <w:rFonts w:ascii="Times New Roman" w:hAnsi="Times New Roman" w:eastAsia="仿宋_GB2312"/>
                <w:sz w:val="24"/>
                <w:szCs w:val="24"/>
              </w:rPr>
            </w:pPr>
            <w:r>
              <w:rPr>
                <w:rFonts w:ascii="Times New Roman" w:hAnsi="Times New Roman" w:eastAsia="仿宋_GB2312"/>
                <w:sz w:val="24"/>
                <w:szCs w:val="24"/>
              </w:rPr>
              <w:t>邀请供应商的方式：</w:t>
            </w:r>
          </w:p>
          <w:p w14:paraId="644F4885">
            <w:pPr>
              <w:pStyle w:val="28"/>
              <w:keepNext w:val="0"/>
              <w:keepLines w:val="0"/>
              <w:pageBreakBefore w:val="0"/>
              <w:widowControl w:val="0"/>
              <w:kinsoku/>
              <w:wordWrap/>
              <w:overflowPunct/>
              <w:topLinePunct w:val="0"/>
              <w:bidi w:val="0"/>
              <w:adjustRightInd w:val="0"/>
              <w:snapToGrid w:val="0"/>
              <w:spacing w:line="420" w:lineRule="exact"/>
              <w:textAlignment w:val="auto"/>
              <w:rPr>
                <w:rFonts w:ascii="Times New Roman" w:hAnsi="Times New Roman" w:eastAsia="仿宋_GB2312"/>
                <w:sz w:val="24"/>
                <w:szCs w:val="24"/>
              </w:rPr>
            </w:pPr>
            <w:r>
              <w:rPr>
                <w:rFonts w:ascii="Times New Roman" w:hAnsi="Times New Roman" w:eastAsia="仿宋_GB2312"/>
                <w:sz w:val="24"/>
                <w:szCs w:val="24"/>
              </w:rPr>
              <w:t>■ （1）发布</w:t>
            </w:r>
            <w:r>
              <w:rPr>
                <w:rFonts w:hint="eastAsia" w:ascii="Times New Roman" w:hAnsi="Times New Roman" w:eastAsia="仿宋_GB2312"/>
                <w:sz w:val="24"/>
                <w:szCs w:val="24"/>
                <w:lang w:val="en-US" w:eastAsia="zh-CN"/>
              </w:rPr>
              <w:t>谈判</w:t>
            </w:r>
            <w:r>
              <w:rPr>
                <w:rFonts w:ascii="Times New Roman" w:hAnsi="Times New Roman" w:eastAsia="仿宋_GB2312"/>
                <w:sz w:val="24"/>
                <w:szCs w:val="24"/>
              </w:rPr>
              <w:t>公告</w:t>
            </w:r>
          </w:p>
          <w:p w14:paraId="553FA618">
            <w:pPr>
              <w:pStyle w:val="28"/>
              <w:keepNext w:val="0"/>
              <w:keepLines w:val="0"/>
              <w:pageBreakBefore w:val="0"/>
              <w:widowControl w:val="0"/>
              <w:kinsoku/>
              <w:wordWrap/>
              <w:overflowPunct/>
              <w:topLinePunct w:val="0"/>
              <w:bidi w:val="0"/>
              <w:adjustRightInd w:val="0"/>
              <w:snapToGrid w:val="0"/>
              <w:spacing w:line="420" w:lineRule="exact"/>
              <w:textAlignment w:val="auto"/>
              <w:rPr>
                <w:rFonts w:ascii="Times New Roman" w:hAnsi="Times New Roman" w:eastAsia="仿宋_GB2312"/>
                <w:sz w:val="24"/>
                <w:szCs w:val="24"/>
              </w:rPr>
            </w:pPr>
            <w:r>
              <w:rPr>
                <w:rFonts w:ascii="Times New Roman" w:hAnsi="Times New Roman" w:eastAsia="仿宋_GB2312"/>
                <w:sz w:val="24"/>
                <w:szCs w:val="24"/>
              </w:rPr>
              <w:t>□ （2）采购人和评审专家分别书面推荐的方式邀请不少于3家</w:t>
            </w:r>
          </w:p>
          <w:p w14:paraId="2AC78CE9">
            <w:pPr>
              <w:pStyle w:val="28"/>
              <w:keepNext w:val="0"/>
              <w:keepLines w:val="0"/>
              <w:pageBreakBefore w:val="0"/>
              <w:widowControl w:val="0"/>
              <w:kinsoku/>
              <w:wordWrap/>
              <w:overflowPunct/>
              <w:topLinePunct w:val="0"/>
              <w:bidi w:val="0"/>
              <w:adjustRightInd w:val="0"/>
              <w:snapToGrid w:val="0"/>
              <w:spacing w:line="420" w:lineRule="exact"/>
              <w:textAlignment w:val="auto"/>
              <w:rPr>
                <w:rFonts w:ascii="Times New Roman" w:hAnsi="Times New Roman" w:eastAsia="仿宋_GB2312"/>
                <w:sz w:val="24"/>
                <w:szCs w:val="24"/>
              </w:rPr>
            </w:pPr>
            <w:r>
              <w:rPr>
                <w:rFonts w:ascii="Times New Roman" w:hAnsi="Times New Roman" w:eastAsia="仿宋_GB2312"/>
                <w:sz w:val="24"/>
                <w:szCs w:val="24"/>
              </w:rPr>
              <w:t>符合相应资格条件的供应商</w:t>
            </w:r>
          </w:p>
          <w:p w14:paraId="7F61CFA2">
            <w:pPr>
              <w:pStyle w:val="28"/>
              <w:keepNext w:val="0"/>
              <w:keepLines w:val="0"/>
              <w:pageBreakBefore w:val="0"/>
              <w:widowControl w:val="0"/>
              <w:kinsoku/>
              <w:wordWrap/>
              <w:overflowPunct/>
              <w:topLinePunct w:val="0"/>
              <w:bidi w:val="0"/>
              <w:adjustRightInd w:val="0"/>
              <w:snapToGrid w:val="0"/>
              <w:spacing w:line="420" w:lineRule="exact"/>
              <w:textAlignment w:val="auto"/>
              <w:rPr>
                <w:rFonts w:ascii="Times New Roman" w:hAnsi="Times New Roman" w:eastAsia="仿宋_GB2312"/>
                <w:sz w:val="24"/>
                <w:szCs w:val="24"/>
              </w:rPr>
            </w:pPr>
            <w:r>
              <w:rPr>
                <w:rFonts w:ascii="Times New Roman" w:hAnsi="Times New Roman" w:eastAsia="仿宋_GB2312"/>
                <w:sz w:val="24"/>
                <w:szCs w:val="24"/>
              </w:rPr>
              <w:t>□ （3）随机从省级财政部门建立的供应商库中抽取</w:t>
            </w:r>
          </w:p>
        </w:tc>
      </w:tr>
      <w:tr w14:paraId="7C0BC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170" w:type="dxa"/>
            <w:vAlign w:val="center"/>
          </w:tcPr>
          <w:p w14:paraId="5B5356B1">
            <w:pPr>
              <w:pStyle w:val="28"/>
              <w:keepNext w:val="0"/>
              <w:keepLines w:val="0"/>
              <w:pageBreakBefore w:val="0"/>
              <w:widowControl w:val="0"/>
              <w:kinsoku/>
              <w:wordWrap/>
              <w:overflowPunct/>
              <w:topLinePunct w:val="0"/>
              <w:bidi w:val="0"/>
              <w:adjustRightInd w:val="0"/>
              <w:snapToGrid w:val="0"/>
              <w:spacing w:line="420" w:lineRule="exact"/>
              <w:jc w:val="center"/>
              <w:textAlignment w:val="auto"/>
              <w:rPr>
                <w:rFonts w:ascii="Times New Roman" w:hAnsi="Times New Roman" w:eastAsia="仿宋_GB2312"/>
                <w:sz w:val="24"/>
                <w:szCs w:val="24"/>
              </w:rPr>
            </w:pPr>
            <w:r>
              <w:rPr>
                <w:rFonts w:ascii="Times New Roman" w:hAnsi="Times New Roman" w:eastAsia="仿宋_GB2312"/>
                <w:sz w:val="24"/>
                <w:szCs w:val="24"/>
              </w:rPr>
              <w:t>3.1</w:t>
            </w:r>
          </w:p>
        </w:tc>
        <w:tc>
          <w:tcPr>
            <w:tcW w:w="8589" w:type="dxa"/>
            <w:vAlign w:val="center"/>
          </w:tcPr>
          <w:p w14:paraId="20BE7BC7">
            <w:pPr>
              <w:pStyle w:val="14"/>
              <w:keepNext w:val="0"/>
              <w:keepLines w:val="0"/>
              <w:pageBreakBefore w:val="0"/>
              <w:widowControl w:val="0"/>
              <w:kinsoku/>
              <w:wordWrap/>
              <w:overflowPunct/>
              <w:topLinePunct w:val="0"/>
              <w:bidi w:val="0"/>
              <w:spacing w:line="420" w:lineRule="exact"/>
              <w:textAlignment w:val="auto"/>
              <w:rPr>
                <w:rFonts w:ascii="Times New Roman" w:eastAsia="仿宋_GB2312" w:cs="Times New Roman"/>
                <w:color w:val="auto"/>
              </w:rPr>
            </w:pPr>
            <w:r>
              <w:rPr>
                <w:rFonts w:ascii="Times New Roman" w:eastAsia="仿宋_GB2312" w:cs="Times New Roman"/>
                <w:color w:val="auto"/>
                <w:kern w:val="2"/>
              </w:rPr>
              <w:t>对供应商的资格要求：见谈判公告 （或谈判邀请）</w:t>
            </w:r>
          </w:p>
        </w:tc>
      </w:tr>
      <w:tr w14:paraId="06762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170" w:type="dxa"/>
            <w:vAlign w:val="center"/>
          </w:tcPr>
          <w:p w14:paraId="496171AD">
            <w:pPr>
              <w:pStyle w:val="28"/>
              <w:keepNext w:val="0"/>
              <w:keepLines w:val="0"/>
              <w:pageBreakBefore w:val="0"/>
              <w:widowControl w:val="0"/>
              <w:kinsoku/>
              <w:wordWrap/>
              <w:overflowPunct/>
              <w:topLinePunct w:val="0"/>
              <w:bidi w:val="0"/>
              <w:adjustRightInd w:val="0"/>
              <w:snapToGrid w:val="0"/>
              <w:spacing w:line="420" w:lineRule="exact"/>
              <w:jc w:val="center"/>
              <w:textAlignment w:val="auto"/>
              <w:rPr>
                <w:rFonts w:ascii="Times New Roman" w:hAnsi="Times New Roman" w:eastAsia="仿宋_GB2312"/>
                <w:sz w:val="24"/>
                <w:szCs w:val="24"/>
              </w:rPr>
            </w:pPr>
            <w:r>
              <w:rPr>
                <w:rFonts w:ascii="Times New Roman" w:hAnsi="Times New Roman" w:eastAsia="仿宋_GB2312"/>
                <w:sz w:val="24"/>
                <w:szCs w:val="24"/>
              </w:rPr>
              <w:t>3.</w:t>
            </w:r>
            <w:r>
              <w:rPr>
                <w:rFonts w:hint="eastAsia" w:ascii="Times New Roman" w:hAnsi="Times New Roman" w:eastAsia="仿宋_GB2312"/>
                <w:sz w:val="24"/>
                <w:szCs w:val="24"/>
              </w:rPr>
              <w:t>5</w:t>
            </w:r>
          </w:p>
        </w:tc>
        <w:tc>
          <w:tcPr>
            <w:tcW w:w="8589" w:type="dxa"/>
            <w:vAlign w:val="center"/>
          </w:tcPr>
          <w:p w14:paraId="3C199049">
            <w:pPr>
              <w:pStyle w:val="14"/>
              <w:keepNext w:val="0"/>
              <w:keepLines w:val="0"/>
              <w:pageBreakBefore w:val="0"/>
              <w:widowControl w:val="0"/>
              <w:kinsoku/>
              <w:wordWrap/>
              <w:overflowPunct/>
              <w:topLinePunct w:val="0"/>
              <w:bidi w:val="0"/>
              <w:spacing w:line="420" w:lineRule="exact"/>
              <w:textAlignment w:val="auto"/>
              <w:rPr>
                <w:rFonts w:ascii="Times New Roman" w:eastAsia="仿宋_GB2312" w:cs="Times New Roman"/>
                <w:color w:val="auto"/>
                <w:kern w:val="2"/>
              </w:rPr>
            </w:pPr>
            <w:r>
              <w:rPr>
                <w:rFonts w:ascii="Times New Roman" w:eastAsia="仿宋_GB2312" w:cs="Times New Roman"/>
                <w:color w:val="auto"/>
                <w:kern w:val="2"/>
              </w:rPr>
              <w:t>是否允许采购进口产品：</w:t>
            </w:r>
            <w:r>
              <w:rPr>
                <w:rFonts w:ascii="Times New Roman" w:eastAsia="仿宋_GB2312" w:cs="Times New Roman"/>
                <w:color w:val="auto"/>
                <w:kern w:val="2"/>
                <w:u w:val="single"/>
              </w:rPr>
              <w:t>否</w:t>
            </w:r>
          </w:p>
        </w:tc>
      </w:tr>
      <w:tr w14:paraId="5568E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170" w:type="dxa"/>
            <w:vAlign w:val="center"/>
          </w:tcPr>
          <w:p w14:paraId="663D9E89">
            <w:pPr>
              <w:pStyle w:val="28"/>
              <w:keepNext w:val="0"/>
              <w:keepLines w:val="0"/>
              <w:pageBreakBefore w:val="0"/>
              <w:widowControl w:val="0"/>
              <w:kinsoku/>
              <w:wordWrap/>
              <w:overflowPunct/>
              <w:topLinePunct w:val="0"/>
              <w:bidi w:val="0"/>
              <w:adjustRightInd w:val="0"/>
              <w:snapToGrid w:val="0"/>
              <w:spacing w:line="420" w:lineRule="exact"/>
              <w:jc w:val="center"/>
              <w:textAlignment w:val="auto"/>
              <w:rPr>
                <w:rFonts w:ascii="Times New Roman" w:hAnsi="Times New Roman" w:eastAsia="仿宋_GB2312"/>
                <w:sz w:val="24"/>
                <w:szCs w:val="24"/>
              </w:rPr>
            </w:pPr>
            <w:r>
              <w:rPr>
                <w:rFonts w:ascii="Times New Roman" w:hAnsi="Times New Roman" w:eastAsia="仿宋_GB2312"/>
                <w:sz w:val="24"/>
                <w:szCs w:val="24"/>
              </w:rPr>
              <w:t>3.</w:t>
            </w:r>
            <w:r>
              <w:rPr>
                <w:rFonts w:hint="eastAsia" w:ascii="Times New Roman" w:hAnsi="Times New Roman" w:eastAsia="仿宋_GB2312"/>
                <w:sz w:val="24"/>
                <w:szCs w:val="24"/>
              </w:rPr>
              <w:t>6</w:t>
            </w:r>
          </w:p>
        </w:tc>
        <w:tc>
          <w:tcPr>
            <w:tcW w:w="8589" w:type="dxa"/>
            <w:vAlign w:val="center"/>
          </w:tcPr>
          <w:p w14:paraId="317CA9A5">
            <w:pPr>
              <w:pStyle w:val="14"/>
              <w:keepNext w:val="0"/>
              <w:keepLines w:val="0"/>
              <w:pageBreakBefore w:val="0"/>
              <w:widowControl w:val="0"/>
              <w:kinsoku/>
              <w:wordWrap/>
              <w:overflowPunct/>
              <w:topLinePunct w:val="0"/>
              <w:bidi w:val="0"/>
              <w:spacing w:line="420" w:lineRule="exact"/>
              <w:textAlignment w:val="auto"/>
              <w:rPr>
                <w:rFonts w:ascii="Times New Roman" w:eastAsia="仿宋_GB2312" w:cs="Times New Roman"/>
                <w:color w:val="auto"/>
                <w:kern w:val="2"/>
              </w:rPr>
            </w:pPr>
            <w:r>
              <w:rPr>
                <w:rFonts w:ascii="Times New Roman" w:eastAsia="仿宋_GB2312" w:cs="Times New Roman"/>
                <w:color w:val="auto"/>
                <w:kern w:val="2"/>
              </w:rPr>
              <w:t>是否允许联合体</w:t>
            </w:r>
            <w:r>
              <w:rPr>
                <w:rFonts w:hint="eastAsia" w:ascii="Times New Roman" w:eastAsia="仿宋_GB2312" w:cs="Times New Roman"/>
                <w:color w:val="auto"/>
                <w:kern w:val="2"/>
              </w:rPr>
              <w:t>谈判</w:t>
            </w:r>
            <w:r>
              <w:rPr>
                <w:rFonts w:hint="eastAsia" w:ascii="Times New Roman" w:eastAsia="仿宋_GB2312" w:cs="Times New Roman"/>
                <w:color w:val="auto"/>
                <w:kern w:val="2"/>
                <w:lang w:eastAsia="zh-CN"/>
              </w:rPr>
              <w:t>：</w:t>
            </w:r>
            <w:r>
              <w:rPr>
                <w:rFonts w:ascii="Times New Roman" w:eastAsia="仿宋_GB2312" w:cs="Times New Roman"/>
                <w:color w:val="auto"/>
                <w:kern w:val="2"/>
                <w:u w:val="single"/>
              </w:rPr>
              <w:t>否</w:t>
            </w:r>
          </w:p>
        </w:tc>
      </w:tr>
      <w:tr w14:paraId="3EC26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170" w:type="dxa"/>
            <w:vAlign w:val="center"/>
          </w:tcPr>
          <w:p w14:paraId="089785B3">
            <w:pPr>
              <w:pStyle w:val="28"/>
              <w:keepNext w:val="0"/>
              <w:keepLines w:val="0"/>
              <w:pageBreakBefore w:val="0"/>
              <w:widowControl w:val="0"/>
              <w:kinsoku/>
              <w:wordWrap/>
              <w:overflowPunct/>
              <w:topLinePunct w:val="0"/>
              <w:bidi w:val="0"/>
              <w:adjustRightInd w:val="0"/>
              <w:snapToGrid w:val="0"/>
              <w:spacing w:line="420" w:lineRule="exact"/>
              <w:jc w:val="center"/>
              <w:textAlignment w:val="auto"/>
              <w:rPr>
                <w:rFonts w:ascii="Times New Roman" w:hAnsi="Times New Roman" w:eastAsia="仿宋_GB2312"/>
                <w:sz w:val="24"/>
                <w:szCs w:val="24"/>
              </w:rPr>
            </w:pPr>
            <w:r>
              <w:rPr>
                <w:rFonts w:ascii="Times New Roman" w:hAnsi="Times New Roman" w:eastAsia="仿宋_GB2312"/>
                <w:sz w:val="24"/>
                <w:szCs w:val="24"/>
              </w:rPr>
              <w:t>3.</w:t>
            </w:r>
            <w:r>
              <w:rPr>
                <w:rFonts w:hint="eastAsia" w:ascii="Times New Roman" w:hAnsi="Times New Roman" w:eastAsia="仿宋_GB2312"/>
                <w:sz w:val="24"/>
                <w:szCs w:val="24"/>
              </w:rPr>
              <w:t>7</w:t>
            </w:r>
          </w:p>
        </w:tc>
        <w:tc>
          <w:tcPr>
            <w:tcW w:w="8589" w:type="dxa"/>
            <w:vAlign w:val="center"/>
          </w:tcPr>
          <w:p w14:paraId="429A4FC9">
            <w:pPr>
              <w:pStyle w:val="14"/>
              <w:keepNext w:val="0"/>
              <w:keepLines w:val="0"/>
              <w:pageBreakBefore w:val="0"/>
              <w:widowControl w:val="0"/>
              <w:kinsoku/>
              <w:wordWrap/>
              <w:overflowPunct/>
              <w:topLinePunct w:val="0"/>
              <w:bidi w:val="0"/>
              <w:spacing w:line="420" w:lineRule="exact"/>
              <w:textAlignment w:val="auto"/>
              <w:rPr>
                <w:rFonts w:ascii="Times New Roman" w:eastAsia="仿宋_GB2312" w:cs="Times New Roman"/>
                <w:color w:val="auto"/>
              </w:rPr>
            </w:pPr>
            <w:r>
              <w:rPr>
                <w:rFonts w:ascii="Times New Roman" w:eastAsia="仿宋_GB2312" w:cs="Times New Roman"/>
                <w:color w:val="auto"/>
              </w:rPr>
              <w:t>是否为专门面向中小企业采购：</w:t>
            </w:r>
            <w:r>
              <w:rPr>
                <w:rFonts w:ascii="Times New Roman" w:eastAsia="仿宋_GB2312" w:cs="Times New Roman"/>
                <w:color w:val="auto"/>
                <w:u w:val="single"/>
              </w:rPr>
              <w:t>是</w:t>
            </w:r>
          </w:p>
        </w:tc>
      </w:tr>
      <w:tr w14:paraId="1D376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170" w:type="dxa"/>
            <w:vAlign w:val="center"/>
          </w:tcPr>
          <w:p w14:paraId="6068B38B">
            <w:pPr>
              <w:pStyle w:val="28"/>
              <w:keepNext w:val="0"/>
              <w:keepLines w:val="0"/>
              <w:pageBreakBefore w:val="0"/>
              <w:widowControl w:val="0"/>
              <w:kinsoku/>
              <w:wordWrap/>
              <w:overflowPunct/>
              <w:topLinePunct w:val="0"/>
              <w:bidi w:val="0"/>
              <w:adjustRightInd w:val="0"/>
              <w:snapToGrid w:val="0"/>
              <w:spacing w:line="420" w:lineRule="exact"/>
              <w:jc w:val="center"/>
              <w:textAlignment w:val="auto"/>
              <w:rPr>
                <w:rFonts w:ascii="Times New Roman" w:hAnsi="Times New Roman" w:eastAsia="仿宋_GB2312"/>
                <w:sz w:val="24"/>
                <w:szCs w:val="24"/>
              </w:rPr>
            </w:pPr>
            <w:r>
              <w:rPr>
                <w:rFonts w:ascii="Times New Roman" w:hAnsi="Times New Roman" w:eastAsia="仿宋_GB2312"/>
                <w:sz w:val="24"/>
                <w:szCs w:val="24"/>
              </w:rPr>
              <w:t>12.1</w:t>
            </w:r>
          </w:p>
        </w:tc>
        <w:tc>
          <w:tcPr>
            <w:tcW w:w="8589" w:type="dxa"/>
            <w:vAlign w:val="center"/>
          </w:tcPr>
          <w:p w14:paraId="2579E372">
            <w:pPr>
              <w:keepNext w:val="0"/>
              <w:keepLines w:val="0"/>
              <w:pageBreakBefore w:val="0"/>
              <w:widowControl w:val="0"/>
              <w:kinsoku/>
              <w:wordWrap/>
              <w:overflowPunct/>
              <w:topLinePunct w:val="0"/>
              <w:bidi w:val="0"/>
              <w:spacing w:line="420" w:lineRule="exact"/>
              <w:ind w:firstLine="480" w:firstLineChars="200"/>
              <w:textAlignment w:val="auto"/>
              <w:rPr>
                <w:rFonts w:eastAsia="仿宋_GB2312"/>
                <w:sz w:val="24"/>
                <w:highlight w:val="none"/>
              </w:rPr>
            </w:pPr>
            <w:r>
              <w:rPr>
                <w:rFonts w:eastAsia="仿宋_GB2312"/>
                <w:sz w:val="24"/>
                <w:highlight w:val="none"/>
              </w:rPr>
              <w:t>货物响应报价为完成本项目并达到谈判文件要求所需要的全部费用。包括产品供货、安装调试、验收、培训售后服务、以及增值税等税费、运杂保险费等）。 服务响应报价为提供谈判文件要求服务的所有费用，包括但不限于提供项目实施费、自行测试费、培训费、人工费、材料费、管理费、供应商应缴纳的所有税费、规费、保险费（如果有）、安装费、集成费等全部费用。</w:t>
            </w:r>
          </w:p>
          <w:p w14:paraId="09F98F07">
            <w:pPr>
              <w:pStyle w:val="28"/>
              <w:keepNext w:val="0"/>
              <w:keepLines w:val="0"/>
              <w:pageBreakBefore w:val="0"/>
              <w:widowControl w:val="0"/>
              <w:kinsoku/>
              <w:wordWrap/>
              <w:overflowPunct/>
              <w:topLinePunct w:val="0"/>
              <w:bidi w:val="0"/>
              <w:adjustRightInd w:val="0"/>
              <w:snapToGrid w:val="0"/>
              <w:spacing w:line="420" w:lineRule="exact"/>
              <w:ind w:firstLine="480" w:firstLineChars="200"/>
              <w:textAlignment w:val="auto"/>
              <w:rPr>
                <w:rFonts w:hint="eastAsia" w:ascii="Times New Roman" w:hAnsi="Times New Roman" w:eastAsia="仿宋_GB2312"/>
                <w:sz w:val="24"/>
                <w:highlight w:val="none"/>
              </w:rPr>
            </w:pPr>
            <w:r>
              <w:rPr>
                <w:rFonts w:ascii="Times New Roman" w:hAnsi="Times New Roman" w:eastAsia="仿宋_GB2312"/>
                <w:sz w:val="24"/>
                <w:highlight w:val="none"/>
              </w:rPr>
              <w:t>（1）报价</w:t>
            </w:r>
            <w:r>
              <w:rPr>
                <w:rFonts w:hint="eastAsia" w:ascii="Times New Roman" w:hAnsi="Times New Roman" w:eastAsia="仿宋_GB2312"/>
                <w:sz w:val="24"/>
                <w:highlight w:val="none"/>
                <w:lang w:val="en-US" w:eastAsia="zh-CN"/>
              </w:rPr>
              <w:t>形式</w:t>
            </w:r>
            <w:r>
              <w:rPr>
                <w:rFonts w:ascii="Times New Roman" w:hAnsi="Times New Roman" w:eastAsia="仿宋_GB2312"/>
                <w:sz w:val="24"/>
                <w:highlight w:val="none"/>
              </w:rPr>
              <w:t>：</w:t>
            </w:r>
            <w:r>
              <w:rPr>
                <w:rFonts w:hint="eastAsia" w:ascii="Times New Roman" w:hAnsi="Times New Roman" w:eastAsia="仿宋_GB2312"/>
                <w:sz w:val="24"/>
                <w:highlight w:val="none"/>
                <w:lang w:val="en-US" w:eastAsia="zh-CN"/>
              </w:rPr>
              <w:t>费率</w:t>
            </w:r>
            <w:r>
              <w:rPr>
                <w:rFonts w:ascii="Times New Roman" w:hAnsi="Times New Roman" w:eastAsia="仿宋_GB2312"/>
                <w:sz w:val="24"/>
                <w:highlight w:val="none"/>
              </w:rPr>
              <w:t>；</w:t>
            </w:r>
            <w:r>
              <w:rPr>
                <w:rFonts w:hint="eastAsia" w:ascii="Times New Roman" w:hAnsi="Times New Roman" w:eastAsia="仿宋_GB2312"/>
                <w:sz w:val="24"/>
                <w:highlight w:val="none"/>
              </w:rPr>
              <w:t>按折扣率计价的，原辅食材以县教体局经每两周市场询价发布的《汉阴县“校园餐”原辅食材最高限价》作为结算基础价格，若乙方报价低于指导价则以乙方报价为结算基础价格。</w:t>
            </w:r>
          </w:p>
          <w:p w14:paraId="11A1C5EA">
            <w:pPr>
              <w:pStyle w:val="28"/>
              <w:keepNext w:val="0"/>
              <w:keepLines w:val="0"/>
              <w:pageBreakBefore w:val="0"/>
              <w:widowControl w:val="0"/>
              <w:kinsoku/>
              <w:wordWrap/>
              <w:overflowPunct/>
              <w:topLinePunct w:val="0"/>
              <w:bidi w:val="0"/>
              <w:adjustRightInd w:val="0"/>
              <w:snapToGrid w:val="0"/>
              <w:spacing w:line="420" w:lineRule="exact"/>
              <w:ind w:firstLine="480" w:firstLineChars="200"/>
              <w:textAlignment w:val="auto"/>
              <w:rPr>
                <w:rFonts w:ascii="Times New Roman" w:hAnsi="Times New Roman" w:eastAsia="仿宋_GB2312"/>
                <w:sz w:val="24"/>
              </w:rPr>
            </w:pPr>
            <w:r>
              <w:rPr>
                <w:rFonts w:hint="eastAsia" w:ascii="Times New Roman" w:hAnsi="Times New Roman" w:eastAsia="仿宋_GB2312"/>
                <w:sz w:val="24"/>
                <w:highlight w:val="none"/>
              </w:rPr>
              <w:t>实际结算货款=实际供货数量×县教体局发布的原辅食材最高限价×中标折扣。</w:t>
            </w:r>
          </w:p>
        </w:tc>
      </w:tr>
      <w:tr w14:paraId="62D98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170" w:type="dxa"/>
            <w:vAlign w:val="center"/>
          </w:tcPr>
          <w:p w14:paraId="22575DC3">
            <w:pPr>
              <w:pStyle w:val="28"/>
              <w:keepNext w:val="0"/>
              <w:keepLines w:val="0"/>
              <w:pageBreakBefore w:val="0"/>
              <w:widowControl w:val="0"/>
              <w:kinsoku/>
              <w:wordWrap/>
              <w:overflowPunct/>
              <w:topLinePunct w:val="0"/>
              <w:bidi w:val="0"/>
              <w:adjustRightInd w:val="0"/>
              <w:snapToGrid w:val="0"/>
              <w:spacing w:line="420" w:lineRule="exact"/>
              <w:jc w:val="center"/>
              <w:textAlignment w:val="auto"/>
              <w:rPr>
                <w:rFonts w:ascii="Times New Roman" w:hAnsi="Times New Roman" w:eastAsia="仿宋_GB2312"/>
                <w:sz w:val="24"/>
                <w:szCs w:val="24"/>
              </w:rPr>
            </w:pPr>
            <w:r>
              <w:rPr>
                <w:rFonts w:ascii="Times New Roman" w:hAnsi="Times New Roman" w:eastAsia="仿宋_GB2312"/>
                <w:sz w:val="24"/>
                <w:szCs w:val="24"/>
              </w:rPr>
              <w:t>14.1</w:t>
            </w:r>
          </w:p>
        </w:tc>
        <w:tc>
          <w:tcPr>
            <w:tcW w:w="8589" w:type="dxa"/>
            <w:vAlign w:val="center"/>
          </w:tcPr>
          <w:p w14:paraId="2CE194B0">
            <w:pPr>
              <w:pStyle w:val="28"/>
              <w:keepNext w:val="0"/>
              <w:keepLines w:val="0"/>
              <w:pageBreakBefore w:val="0"/>
              <w:widowControl w:val="0"/>
              <w:kinsoku/>
              <w:wordWrap/>
              <w:overflowPunct/>
              <w:topLinePunct w:val="0"/>
              <w:bidi w:val="0"/>
              <w:adjustRightInd w:val="0"/>
              <w:snapToGrid w:val="0"/>
              <w:spacing w:line="420" w:lineRule="exact"/>
              <w:textAlignment w:val="auto"/>
              <w:rPr>
                <w:rFonts w:ascii="Times New Roman" w:hAnsi="Times New Roman" w:eastAsia="仿宋_GB2312"/>
                <w:sz w:val="24"/>
              </w:rPr>
            </w:pPr>
            <w:r>
              <w:rPr>
                <w:rFonts w:ascii="Times New Roman" w:hAnsi="Times New Roman" w:eastAsia="仿宋_GB2312"/>
                <w:sz w:val="24"/>
                <w:szCs w:val="24"/>
              </w:rPr>
              <w:t>本项目</w:t>
            </w:r>
            <w:r>
              <w:rPr>
                <w:rFonts w:hint="eastAsia" w:ascii="Times New Roman" w:hAnsi="Times New Roman" w:eastAsia="仿宋_GB2312"/>
                <w:sz w:val="24"/>
                <w:szCs w:val="24"/>
                <w:lang w:val="en-US" w:eastAsia="zh-CN"/>
              </w:rPr>
              <w:t>不收取</w:t>
            </w:r>
            <w:r>
              <w:rPr>
                <w:rFonts w:ascii="Times New Roman" w:hAnsi="Times New Roman" w:eastAsia="仿宋_GB2312"/>
                <w:sz w:val="24"/>
                <w:szCs w:val="24"/>
              </w:rPr>
              <w:t>谈判保证金。</w:t>
            </w:r>
          </w:p>
        </w:tc>
      </w:tr>
      <w:tr w14:paraId="5F5BD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170" w:type="dxa"/>
            <w:vAlign w:val="center"/>
          </w:tcPr>
          <w:p w14:paraId="298E1C7F">
            <w:pPr>
              <w:pStyle w:val="28"/>
              <w:keepNext w:val="0"/>
              <w:keepLines w:val="0"/>
              <w:pageBreakBefore w:val="0"/>
              <w:widowControl w:val="0"/>
              <w:kinsoku/>
              <w:wordWrap/>
              <w:overflowPunct/>
              <w:topLinePunct w:val="0"/>
              <w:bidi w:val="0"/>
              <w:adjustRightInd w:val="0"/>
              <w:snapToGrid w:val="0"/>
              <w:spacing w:line="420" w:lineRule="exact"/>
              <w:jc w:val="center"/>
              <w:textAlignment w:val="auto"/>
              <w:rPr>
                <w:rFonts w:ascii="Times New Roman" w:hAnsi="Times New Roman" w:eastAsia="仿宋_GB2312"/>
                <w:sz w:val="24"/>
                <w:szCs w:val="24"/>
              </w:rPr>
            </w:pPr>
            <w:r>
              <w:rPr>
                <w:rFonts w:ascii="Times New Roman" w:hAnsi="Times New Roman" w:eastAsia="仿宋_GB2312"/>
                <w:sz w:val="24"/>
                <w:szCs w:val="24"/>
              </w:rPr>
              <w:t>15.1</w:t>
            </w:r>
          </w:p>
        </w:tc>
        <w:tc>
          <w:tcPr>
            <w:tcW w:w="8589" w:type="dxa"/>
            <w:vAlign w:val="center"/>
          </w:tcPr>
          <w:p w14:paraId="50BCD419">
            <w:pPr>
              <w:pStyle w:val="28"/>
              <w:keepNext w:val="0"/>
              <w:keepLines w:val="0"/>
              <w:pageBreakBefore w:val="0"/>
              <w:widowControl w:val="0"/>
              <w:kinsoku/>
              <w:wordWrap/>
              <w:overflowPunct/>
              <w:topLinePunct w:val="0"/>
              <w:bidi w:val="0"/>
              <w:adjustRightInd w:val="0"/>
              <w:snapToGrid w:val="0"/>
              <w:spacing w:line="420" w:lineRule="exact"/>
              <w:textAlignment w:val="auto"/>
              <w:rPr>
                <w:rFonts w:ascii="Times New Roman" w:hAnsi="Times New Roman" w:eastAsia="仿宋_GB2312"/>
                <w:sz w:val="24"/>
                <w:szCs w:val="24"/>
              </w:rPr>
            </w:pPr>
            <w:r>
              <w:rPr>
                <w:rFonts w:ascii="Times New Roman" w:hAnsi="Times New Roman" w:eastAsia="仿宋_GB2312"/>
                <w:sz w:val="24"/>
                <w:szCs w:val="24"/>
              </w:rPr>
              <w:t>谈判有效期：自响应文件递交之日起</w:t>
            </w:r>
            <w:r>
              <w:rPr>
                <w:rFonts w:ascii="Times New Roman" w:hAnsi="Times New Roman" w:eastAsia="仿宋_GB2312"/>
                <w:sz w:val="24"/>
                <w:szCs w:val="24"/>
                <w:u w:val="single"/>
              </w:rPr>
              <w:t xml:space="preserve"> </w:t>
            </w:r>
            <w:r>
              <w:rPr>
                <w:rFonts w:hint="eastAsia" w:ascii="Times New Roman" w:hAnsi="Times New Roman" w:eastAsia="仿宋_GB2312"/>
                <w:sz w:val="24"/>
                <w:szCs w:val="24"/>
                <w:u w:val="single"/>
                <w:lang w:val="en-US" w:eastAsia="zh-CN"/>
              </w:rPr>
              <w:t>9</w:t>
            </w:r>
            <w:r>
              <w:rPr>
                <w:rFonts w:ascii="Times New Roman" w:hAnsi="Times New Roman" w:eastAsia="仿宋_GB2312"/>
                <w:sz w:val="24"/>
                <w:szCs w:val="24"/>
                <w:u w:val="single"/>
              </w:rPr>
              <w:t xml:space="preserve">0 </w:t>
            </w:r>
            <w:r>
              <w:rPr>
                <w:rFonts w:ascii="Times New Roman" w:hAnsi="Times New Roman" w:eastAsia="仿宋_GB2312"/>
                <w:sz w:val="24"/>
                <w:szCs w:val="24"/>
              </w:rPr>
              <w:t>日历天。</w:t>
            </w:r>
          </w:p>
        </w:tc>
      </w:tr>
      <w:tr w14:paraId="1294B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170" w:type="dxa"/>
            <w:vAlign w:val="center"/>
          </w:tcPr>
          <w:p w14:paraId="7056C44F">
            <w:pPr>
              <w:pStyle w:val="28"/>
              <w:keepNext w:val="0"/>
              <w:keepLines w:val="0"/>
              <w:pageBreakBefore w:val="0"/>
              <w:widowControl w:val="0"/>
              <w:kinsoku/>
              <w:wordWrap/>
              <w:overflowPunct/>
              <w:topLinePunct w:val="0"/>
              <w:bidi w:val="0"/>
              <w:adjustRightInd w:val="0"/>
              <w:snapToGrid w:val="0"/>
              <w:spacing w:line="420" w:lineRule="exact"/>
              <w:jc w:val="center"/>
              <w:textAlignment w:val="auto"/>
              <w:rPr>
                <w:rFonts w:ascii="Times New Roman" w:hAnsi="Times New Roman" w:eastAsia="仿宋_GB2312"/>
                <w:sz w:val="24"/>
                <w:szCs w:val="24"/>
              </w:rPr>
            </w:pPr>
            <w:r>
              <w:rPr>
                <w:rFonts w:ascii="Times New Roman" w:hAnsi="Times New Roman" w:eastAsia="仿宋_GB2312"/>
                <w:sz w:val="24"/>
                <w:szCs w:val="24"/>
              </w:rPr>
              <w:t>16.1</w:t>
            </w:r>
          </w:p>
        </w:tc>
        <w:tc>
          <w:tcPr>
            <w:tcW w:w="8589" w:type="dxa"/>
            <w:vAlign w:val="center"/>
          </w:tcPr>
          <w:p w14:paraId="0F306EA7">
            <w:pPr>
              <w:pStyle w:val="28"/>
              <w:keepNext w:val="0"/>
              <w:keepLines w:val="0"/>
              <w:pageBreakBefore w:val="0"/>
              <w:widowControl w:val="0"/>
              <w:kinsoku/>
              <w:wordWrap/>
              <w:overflowPunct/>
              <w:topLinePunct w:val="0"/>
              <w:bidi w:val="0"/>
              <w:adjustRightInd w:val="0"/>
              <w:snapToGrid w:val="0"/>
              <w:spacing w:line="420" w:lineRule="exact"/>
              <w:textAlignment w:val="auto"/>
              <w:rPr>
                <w:rFonts w:ascii="Times New Roman" w:hAnsi="Times New Roman" w:eastAsia="仿宋_GB2312"/>
                <w:sz w:val="24"/>
                <w:szCs w:val="24"/>
              </w:rPr>
            </w:pPr>
            <w:r>
              <w:rPr>
                <w:rFonts w:ascii="Times New Roman" w:hAnsi="Times New Roman" w:eastAsia="仿宋_GB2312"/>
                <w:sz w:val="24"/>
                <w:szCs w:val="24"/>
              </w:rPr>
              <w:t>响应文件的份数：</w:t>
            </w:r>
          </w:p>
          <w:p w14:paraId="713023E1">
            <w:pPr>
              <w:pStyle w:val="28"/>
              <w:keepNext w:val="0"/>
              <w:keepLines w:val="0"/>
              <w:pageBreakBefore w:val="0"/>
              <w:widowControl w:val="0"/>
              <w:kinsoku/>
              <w:wordWrap/>
              <w:overflowPunct/>
              <w:topLinePunct w:val="0"/>
              <w:bidi w:val="0"/>
              <w:adjustRightInd w:val="0"/>
              <w:snapToGrid w:val="0"/>
              <w:spacing w:line="420" w:lineRule="exact"/>
              <w:ind w:firstLine="480" w:firstLineChars="200"/>
              <w:textAlignment w:val="auto"/>
              <w:rPr>
                <w:rFonts w:hint="eastAsia" w:ascii="Times New Roman" w:hAnsi="Times New Roman" w:eastAsia="仿宋_GB2312"/>
                <w:b w:val="0"/>
                <w:bCs w:val="0"/>
                <w:sz w:val="24"/>
                <w:szCs w:val="24"/>
                <w:lang w:eastAsia="zh-CN"/>
              </w:rPr>
            </w:pPr>
            <w:r>
              <w:rPr>
                <w:rFonts w:hint="eastAsia" w:ascii="Times New Roman" w:hAnsi="Times New Roman" w:eastAsia="仿宋_GB2312"/>
                <w:b w:val="0"/>
                <w:bCs w:val="0"/>
                <w:sz w:val="24"/>
                <w:szCs w:val="24"/>
                <w:lang w:eastAsia="zh-CN"/>
              </w:rPr>
              <w:t>供应商须</w:t>
            </w:r>
            <w:r>
              <w:rPr>
                <w:rFonts w:hint="eastAsia" w:ascii="Times New Roman" w:hAnsi="Times New Roman" w:eastAsia="仿宋_GB2312"/>
                <w:b w:val="0"/>
                <w:bCs w:val="0"/>
                <w:sz w:val="24"/>
                <w:szCs w:val="24"/>
              </w:rPr>
              <w:t>在</w:t>
            </w:r>
            <w:r>
              <w:rPr>
                <w:rFonts w:hint="eastAsia" w:ascii="Times New Roman" w:hAnsi="Times New Roman" w:eastAsia="仿宋_GB2312"/>
                <w:b w:val="0"/>
                <w:bCs w:val="0"/>
                <w:sz w:val="24"/>
                <w:szCs w:val="24"/>
                <w:lang w:eastAsia="zh-CN"/>
              </w:rPr>
              <w:t>谈判</w:t>
            </w:r>
            <w:r>
              <w:rPr>
                <w:rFonts w:hint="eastAsia" w:ascii="Times New Roman" w:hAnsi="Times New Roman" w:eastAsia="仿宋_GB2312"/>
                <w:b w:val="0"/>
                <w:bCs w:val="0"/>
                <w:sz w:val="24"/>
                <w:szCs w:val="24"/>
              </w:rPr>
              <w:t>截止时间前上传电子版</w:t>
            </w:r>
            <w:r>
              <w:rPr>
                <w:rFonts w:hint="eastAsia" w:ascii="Times New Roman" w:hAnsi="Times New Roman" w:eastAsia="仿宋_GB2312"/>
                <w:b w:val="0"/>
                <w:bCs w:val="0"/>
                <w:sz w:val="24"/>
                <w:szCs w:val="24"/>
                <w:lang w:eastAsia="zh-CN"/>
              </w:rPr>
              <w:t>响应</w:t>
            </w:r>
            <w:r>
              <w:rPr>
                <w:rFonts w:hint="eastAsia" w:ascii="Times New Roman" w:hAnsi="Times New Roman" w:eastAsia="仿宋_GB2312"/>
                <w:b w:val="0"/>
                <w:bCs w:val="0"/>
                <w:sz w:val="24"/>
                <w:szCs w:val="24"/>
              </w:rPr>
              <w:t>文件，并于</w:t>
            </w:r>
            <w:r>
              <w:rPr>
                <w:rFonts w:hint="eastAsia" w:ascii="Times New Roman" w:hAnsi="Times New Roman" w:eastAsia="仿宋_GB2312"/>
                <w:b w:val="0"/>
                <w:bCs w:val="0"/>
                <w:sz w:val="24"/>
                <w:szCs w:val="24"/>
                <w:lang w:eastAsia="zh-CN"/>
              </w:rPr>
              <w:t>谈判截止</w:t>
            </w:r>
            <w:r>
              <w:rPr>
                <w:rFonts w:hint="eastAsia" w:ascii="Times New Roman" w:hAnsi="Times New Roman" w:eastAsia="仿宋_GB2312"/>
                <w:b w:val="0"/>
                <w:bCs w:val="0"/>
                <w:sz w:val="24"/>
                <w:szCs w:val="24"/>
              </w:rPr>
              <w:t>时间前</w:t>
            </w:r>
            <w:r>
              <w:rPr>
                <w:rFonts w:hint="eastAsia" w:ascii="Times New Roman" w:hAnsi="Times New Roman" w:eastAsia="仿宋_GB2312"/>
                <w:b w:val="0"/>
                <w:bCs w:val="0"/>
                <w:sz w:val="24"/>
                <w:szCs w:val="24"/>
                <w:lang w:eastAsia="zh-CN"/>
              </w:rPr>
              <w:t>在</w:t>
            </w:r>
            <w:r>
              <w:rPr>
                <w:rFonts w:hint="eastAsia" w:ascii="Times New Roman" w:hAnsi="Times New Roman" w:eastAsia="仿宋_GB2312"/>
                <w:b w:val="0"/>
                <w:bCs w:val="0"/>
                <w:sz w:val="24"/>
                <w:szCs w:val="24"/>
              </w:rPr>
              <w:t>全国公共资源交易平台（陕西省·</w:t>
            </w:r>
            <w:r>
              <w:rPr>
                <w:rFonts w:hint="eastAsia" w:ascii="Times New Roman" w:hAnsi="Times New Roman" w:eastAsia="仿宋_GB2312"/>
                <w:b w:val="0"/>
                <w:bCs w:val="0"/>
                <w:sz w:val="24"/>
                <w:szCs w:val="24"/>
                <w:lang w:eastAsia="zh-CN"/>
              </w:rPr>
              <w:t>安康市</w:t>
            </w:r>
            <w:r>
              <w:rPr>
                <w:rFonts w:hint="eastAsia" w:ascii="Times New Roman" w:hAnsi="Times New Roman" w:eastAsia="仿宋_GB2312"/>
                <w:b w:val="0"/>
                <w:bCs w:val="0"/>
                <w:sz w:val="24"/>
                <w:szCs w:val="24"/>
              </w:rPr>
              <w:t>）-电子交易平台-</w:t>
            </w:r>
            <w:r>
              <w:rPr>
                <w:rFonts w:hint="eastAsia" w:ascii="Times New Roman" w:hAnsi="Times New Roman" w:eastAsia="仿宋_GB2312"/>
                <w:b w:val="0"/>
                <w:bCs w:val="0"/>
                <w:sz w:val="24"/>
                <w:szCs w:val="24"/>
                <w:lang w:eastAsia="zh-CN"/>
              </w:rPr>
              <w:t>安康市</w:t>
            </w:r>
            <w:r>
              <w:rPr>
                <w:rFonts w:hint="eastAsia" w:ascii="Times New Roman" w:hAnsi="Times New Roman" w:eastAsia="仿宋_GB2312"/>
                <w:b w:val="0"/>
                <w:bCs w:val="0"/>
                <w:sz w:val="24"/>
                <w:szCs w:val="24"/>
              </w:rPr>
              <w:t>公共资源交易不见面开标系统进行电子签到</w:t>
            </w:r>
            <w:r>
              <w:rPr>
                <w:rFonts w:hint="eastAsia" w:ascii="Times New Roman" w:hAnsi="Times New Roman" w:eastAsia="仿宋_GB2312"/>
                <w:b/>
                <w:bCs/>
                <w:sz w:val="24"/>
                <w:szCs w:val="24"/>
                <w:lang w:eastAsia="zh-CN"/>
              </w:rPr>
              <w:t>（</w:t>
            </w:r>
            <w:r>
              <w:rPr>
                <w:rFonts w:hint="eastAsia" w:ascii="Times New Roman" w:hAnsi="Times New Roman" w:eastAsia="仿宋_GB2312"/>
                <w:b/>
                <w:bCs/>
                <w:i w:val="0"/>
                <w:iCs w:val="0"/>
                <w:sz w:val="24"/>
                <w:szCs w:val="24"/>
                <w:lang w:eastAsia="zh-CN"/>
              </w:rPr>
              <w:t>谈判截止时间前</w:t>
            </w:r>
            <w:r>
              <w:rPr>
                <w:rFonts w:hint="eastAsia" w:ascii="Times New Roman" w:hAnsi="Times New Roman" w:eastAsia="仿宋_GB2312"/>
                <w:b/>
                <w:bCs/>
                <w:i w:val="0"/>
                <w:iCs w:val="0"/>
                <w:sz w:val="24"/>
                <w:szCs w:val="24"/>
                <w:lang w:val="en-US" w:eastAsia="zh-CN"/>
              </w:rPr>
              <w:t>1小时均可签到</w:t>
            </w:r>
            <w:r>
              <w:rPr>
                <w:rFonts w:hint="eastAsia" w:ascii="Times New Roman" w:hAnsi="Times New Roman" w:eastAsia="仿宋_GB2312"/>
                <w:b/>
                <w:bCs/>
                <w:sz w:val="24"/>
                <w:szCs w:val="24"/>
                <w:lang w:eastAsia="zh-CN"/>
              </w:rPr>
              <w:t>）</w:t>
            </w:r>
            <w:r>
              <w:rPr>
                <w:rFonts w:hint="eastAsia" w:ascii="Times New Roman" w:hAnsi="Times New Roman" w:eastAsia="仿宋_GB2312"/>
                <w:b/>
                <w:bCs/>
                <w:sz w:val="24"/>
                <w:szCs w:val="24"/>
              </w:rPr>
              <w:t>，</w:t>
            </w:r>
            <w:r>
              <w:rPr>
                <w:rFonts w:hint="eastAsia" w:ascii="Times New Roman" w:hAnsi="Times New Roman" w:eastAsia="仿宋_GB2312"/>
                <w:b w:val="0"/>
                <w:bCs w:val="0"/>
                <w:sz w:val="24"/>
                <w:szCs w:val="24"/>
                <w:lang w:eastAsia="zh-CN"/>
              </w:rPr>
              <w:t>后续在响应文件解密阶段，须于</w:t>
            </w:r>
            <w:r>
              <w:rPr>
                <w:rFonts w:hint="eastAsia" w:ascii="Times New Roman" w:hAnsi="Times New Roman" w:eastAsia="仿宋_GB2312"/>
                <w:b w:val="0"/>
                <w:bCs w:val="0"/>
                <w:sz w:val="24"/>
                <w:szCs w:val="24"/>
                <w:lang w:val="en-US" w:eastAsia="zh-CN"/>
              </w:rPr>
              <w:t>1小时内，</w:t>
            </w:r>
            <w:r>
              <w:rPr>
                <w:rFonts w:hint="eastAsia" w:ascii="Times New Roman" w:hAnsi="Times New Roman" w:eastAsia="仿宋_GB2312"/>
                <w:b w:val="0"/>
                <w:bCs w:val="0"/>
                <w:sz w:val="24"/>
                <w:szCs w:val="24"/>
              </w:rPr>
              <w:t>使用制作</w:t>
            </w:r>
            <w:r>
              <w:rPr>
                <w:rFonts w:hint="eastAsia" w:ascii="Times New Roman" w:hAnsi="Times New Roman" w:eastAsia="仿宋_GB2312"/>
                <w:b w:val="0"/>
                <w:bCs w:val="0"/>
                <w:sz w:val="24"/>
                <w:szCs w:val="24"/>
                <w:lang w:eastAsia="zh-CN"/>
              </w:rPr>
              <w:t>响应</w:t>
            </w:r>
            <w:r>
              <w:rPr>
                <w:rFonts w:hint="eastAsia" w:ascii="Times New Roman" w:hAnsi="Times New Roman" w:eastAsia="仿宋_GB2312"/>
                <w:b w:val="0"/>
                <w:bCs w:val="0"/>
                <w:sz w:val="24"/>
                <w:szCs w:val="24"/>
              </w:rPr>
              <w:t>文件时的加密锁（CA锁），对上传的</w:t>
            </w:r>
            <w:r>
              <w:rPr>
                <w:rFonts w:hint="eastAsia" w:ascii="Times New Roman" w:hAnsi="Times New Roman" w:eastAsia="仿宋_GB2312"/>
                <w:b w:val="0"/>
                <w:bCs w:val="0"/>
                <w:sz w:val="24"/>
                <w:szCs w:val="24"/>
                <w:lang w:eastAsia="zh-CN"/>
              </w:rPr>
              <w:t>响应</w:t>
            </w:r>
            <w:r>
              <w:rPr>
                <w:rFonts w:hint="eastAsia" w:ascii="Times New Roman" w:hAnsi="Times New Roman" w:eastAsia="仿宋_GB2312"/>
                <w:b w:val="0"/>
                <w:bCs w:val="0"/>
                <w:sz w:val="24"/>
                <w:szCs w:val="24"/>
              </w:rPr>
              <w:t>文件进行解密，因供应商原因</w:t>
            </w:r>
            <w:r>
              <w:rPr>
                <w:rFonts w:hint="eastAsia" w:ascii="Times New Roman" w:hAnsi="Times New Roman" w:eastAsia="仿宋_GB2312"/>
                <w:b w:val="0"/>
                <w:bCs w:val="0"/>
                <w:sz w:val="24"/>
                <w:szCs w:val="24"/>
                <w:lang w:eastAsia="zh-CN"/>
              </w:rPr>
              <w:t>导致响应</w:t>
            </w:r>
            <w:r>
              <w:rPr>
                <w:rFonts w:hint="eastAsia" w:ascii="Times New Roman" w:hAnsi="Times New Roman" w:eastAsia="仿宋_GB2312"/>
                <w:b w:val="0"/>
                <w:bCs w:val="0"/>
                <w:sz w:val="24"/>
                <w:szCs w:val="24"/>
              </w:rPr>
              <w:t>文件无法解密或无法打开的，按无效</w:t>
            </w:r>
            <w:r>
              <w:rPr>
                <w:rFonts w:hint="eastAsia" w:ascii="Times New Roman" w:hAnsi="Times New Roman" w:eastAsia="仿宋_GB2312"/>
                <w:b w:val="0"/>
                <w:bCs w:val="0"/>
                <w:sz w:val="24"/>
                <w:szCs w:val="24"/>
                <w:lang w:eastAsia="zh-CN"/>
              </w:rPr>
              <w:t>响应文件</w:t>
            </w:r>
            <w:r>
              <w:rPr>
                <w:rFonts w:hint="eastAsia" w:ascii="Times New Roman" w:hAnsi="Times New Roman" w:eastAsia="仿宋_GB2312"/>
                <w:b w:val="0"/>
                <w:bCs w:val="0"/>
                <w:sz w:val="24"/>
                <w:szCs w:val="24"/>
              </w:rPr>
              <w:t>处理。</w:t>
            </w:r>
            <w:r>
              <w:rPr>
                <w:rFonts w:hint="eastAsia" w:ascii="Times New Roman" w:hAnsi="Times New Roman" w:eastAsia="仿宋_GB2312"/>
                <w:b w:val="0"/>
                <w:bCs w:val="0"/>
                <w:sz w:val="24"/>
                <w:szCs w:val="24"/>
                <w:lang w:eastAsia="zh-CN"/>
              </w:rPr>
              <w:t>（后续在评审过程中，须使用</w:t>
            </w:r>
            <w:r>
              <w:rPr>
                <w:rFonts w:hint="eastAsia" w:ascii="Times New Roman" w:hAnsi="Times New Roman" w:eastAsia="仿宋_GB2312"/>
                <w:b w:val="0"/>
                <w:bCs w:val="0"/>
                <w:sz w:val="24"/>
                <w:szCs w:val="24"/>
                <w:lang w:val="en-US" w:eastAsia="zh-CN"/>
              </w:rPr>
              <w:t>CA锁进行远程二次报价，请在下载谈判文件界面进行网上报价</w:t>
            </w:r>
            <w:r>
              <w:rPr>
                <w:rFonts w:hint="eastAsia" w:ascii="Times New Roman" w:hAnsi="Times New Roman" w:eastAsia="仿宋_GB2312"/>
                <w:b w:val="0"/>
                <w:bCs w:val="0"/>
                <w:sz w:val="24"/>
                <w:szCs w:val="24"/>
                <w:lang w:eastAsia="zh-CN"/>
              </w:rPr>
              <w:t>）。</w:t>
            </w:r>
          </w:p>
          <w:p w14:paraId="104B7A04">
            <w:pPr>
              <w:pStyle w:val="28"/>
              <w:keepNext w:val="0"/>
              <w:keepLines w:val="0"/>
              <w:pageBreakBefore w:val="0"/>
              <w:widowControl w:val="0"/>
              <w:kinsoku/>
              <w:wordWrap/>
              <w:overflowPunct/>
              <w:topLinePunct w:val="0"/>
              <w:bidi w:val="0"/>
              <w:adjustRightInd w:val="0"/>
              <w:snapToGrid w:val="0"/>
              <w:spacing w:line="420" w:lineRule="exact"/>
              <w:ind w:firstLine="480" w:firstLineChars="200"/>
              <w:textAlignment w:val="auto"/>
              <w:rPr>
                <w:rFonts w:ascii="Times New Roman" w:hAnsi="Times New Roman" w:eastAsia="仿宋_GB2312"/>
                <w:sz w:val="24"/>
                <w:szCs w:val="24"/>
              </w:rPr>
            </w:pPr>
            <w:r>
              <w:rPr>
                <w:rFonts w:hint="eastAsia" w:ascii="Times New Roman" w:hAnsi="Times New Roman" w:eastAsia="仿宋_GB2312"/>
                <w:b w:val="0"/>
                <w:bCs w:val="0"/>
                <w:sz w:val="24"/>
                <w:szCs w:val="24"/>
                <w:lang w:eastAsia="zh-CN"/>
              </w:rPr>
              <w:t>采购结果公示</w:t>
            </w:r>
            <w:r>
              <w:rPr>
                <w:rFonts w:hint="eastAsia" w:ascii="Times New Roman" w:hAnsi="Times New Roman" w:eastAsia="仿宋_GB2312"/>
                <w:b w:val="0"/>
                <w:bCs w:val="0"/>
                <w:sz w:val="24"/>
                <w:szCs w:val="24"/>
              </w:rPr>
              <w:t>后，</w:t>
            </w:r>
            <w:r>
              <w:rPr>
                <w:rFonts w:hint="eastAsia" w:ascii="Times New Roman" w:hAnsi="Times New Roman" w:eastAsia="仿宋_GB2312"/>
                <w:b w:val="0"/>
                <w:bCs w:val="0"/>
                <w:sz w:val="24"/>
                <w:szCs w:val="24"/>
                <w:lang w:eastAsia="zh-CN"/>
              </w:rPr>
              <w:t>成交单位</w:t>
            </w:r>
            <w:r>
              <w:rPr>
                <w:rFonts w:hint="eastAsia" w:ascii="Times New Roman" w:hAnsi="Times New Roman" w:eastAsia="仿宋_GB2312"/>
                <w:b w:val="0"/>
                <w:bCs w:val="0"/>
                <w:sz w:val="24"/>
                <w:szCs w:val="24"/>
              </w:rPr>
              <w:t>须无偿为采购人提供盖章齐全的纸质版</w:t>
            </w:r>
            <w:r>
              <w:rPr>
                <w:rFonts w:hint="eastAsia" w:ascii="Times New Roman" w:hAnsi="Times New Roman" w:eastAsia="仿宋_GB2312"/>
                <w:b w:val="0"/>
                <w:bCs w:val="0"/>
                <w:sz w:val="24"/>
                <w:szCs w:val="24"/>
                <w:lang w:eastAsia="zh-CN"/>
              </w:rPr>
              <w:t>响应</w:t>
            </w:r>
            <w:r>
              <w:rPr>
                <w:rFonts w:hint="eastAsia" w:ascii="Times New Roman" w:hAnsi="Times New Roman" w:eastAsia="仿宋_GB2312"/>
                <w:b w:val="0"/>
                <w:bCs w:val="0"/>
                <w:sz w:val="24"/>
                <w:szCs w:val="24"/>
              </w:rPr>
              <w:t>文件二套（正本：1份、副本：</w:t>
            </w:r>
            <w:r>
              <w:rPr>
                <w:rFonts w:hint="eastAsia" w:ascii="Times New Roman" w:hAnsi="Times New Roman" w:eastAsia="仿宋_GB2312"/>
                <w:b w:val="0"/>
                <w:bCs w:val="0"/>
                <w:sz w:val="24"/>
                <w:szCs w:val="24"/>
                <w:lang w:val="en-US" w:eastAsia="zh-CN"/>
              </w:rPr>
              <w:t>1</w:t>
            </w:r>
            <w:r>
              <w:rPr>
                <w:rFonts w:hint="eastAsia" w:ascii="Times New Roman" w:hAnsi="Times New Roman" w:eastAsia="仿宋_GB2312"/>
                <w:b w:val="0"/>
                <w:bCs w:val="0"/>
                <w:sz w:val="24"/>
                <w:szCs w:val="24"/>
              </w:rPr>
              <w:t>份），纸质版应与电子</w:t>
            </w:r>
            <w:r>
              <w:rPr>
                <w:rFonts w:hint="eastAsia" w:ascii="Times New Roman" w:hAnsi="Times New Roman" w:eastAsia="仿宋_GB2312"/>
                <w:b w:val="0"/>
                <w:bCs w:val="0"/>
                <w:sz w:val="24"/>
                <w:szCs w:val="24"/>
                <w:lang w:eastAsia="zh-CN"/>
              </w:rPr>
              <w:t>响应</w:t>
            </w:r>
            <w:r>
              <w:rPr>
                <w:rFonts w:hint="eastAsia" w:ascii="Times New Roman" w:hAnsi="Times New Roman" w:eastAsia="仿宋_GB2312"/>
                <w:b w:val="0"/>
                <w:bCs w:val="0"/>
                <w:sz w:val="24"/>
                <w:szCs w:val="24"/>
              </w:rPr>
              <w:t>文件保持一致。</w:t>
            </w:r>
          </w:p>
        </w:tc>
      </w:tr>
      <w:tr w14:paraId="64385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170" w:type="dxa"/>
            <w:vAlign w:val="center"/>
          </w:tcPr>
          <w:p w14:paraId="62EBCA8C">
            <w:pPr>
              <w:pStyle w:val="28"/>
              <w:keepNext w:val="0"/>
              <w:keepLines w:val="0"/>
              <w:pageBreakBefore w:val="0"/>
              <w:widowControl w:val="0"/>
              <w:kinsoku/>
              <w:wordWrap/>
              <w:overflowPunct/>
              <w:topLinePunct w:val="0"/>
              <w:bidi w:val="0"/>
              <w:adjustRightInd w:val="0"/>
              <w:snapToGrid w:val="0"/>
              <w:spacing w:line="420" w:lineRule="exact"/>
              <w:jc w:val="center"/>
              <w:textAlignment w:val="auto"/>
              <w:rPr>
                <w:rFonts w:hint="eastAsia" w:ascii="Times New Roman" w:hAnsi="Times New Roman" w:eastAsia="仿宋_GB2312"/>
                <w:sz w:val="24"/>
                <w:szCs w:val="24"/>
                <w:lang w:eastAsia="zh-CN"/>
              </w:rPr>
            </w:pPr>
            <w:r>
              <w:rPr>
                <w:rFonts w:ascii="Times New Roman" w:hAnsi="Times New Roman" w:eastAsia="仿宋_GB2312"/>
                <w:sz w:val="24"/>
                <w:szCs w:val="24"/>
              </w:rPr>
              <w:t>17.</w:t>
            </w:r>
            <w:r>
              <w:rPr>
                <w:rFonts w:hint="eastAsia" w:ascii="Times New Roman" w:hAnsi="Times New Roman" w:eastAsia="仿宋_GB2312"/>
                <w:sz w:val="24"/>
                <w:szCs w:val="24"/>
                <w:lang w:val="en-US" w:eastAsia="zh-CN"/>
              </w:rPr>
              <w:t>2</w:t>
            </w:r>
          </w:p>
        </w:tc>
        <w:tc>
          <w:tcPr>
            <w:tcW w:w="8589" w:type="dxa"/>
            <w:vAlign w:val="center"/>
          </w:tcPr>
          <w:p w14:paraId="08524C0D">
            <w:pPr>
              <w:pStyle w:val="28"/>
              <w:keepNext w:val="0"/>
              <w:keepLines w:val="0"/>
              <w:pageBreakBefore w:val="0"/>
              <w:widowControl w:val="0"/>
              <w:kinsoku/>
              <w:wordWrap/>
              <w:overflowPunct/>
              <w:topLinePunct w:val="0"/>
              <w:bidi w:val="0"/>
              <w:adjustRightInd w:val="0"/>
              <w:snapToGrid w:val="0"/>
              <w:spacing w:line="420" w:lineRule="exact"/>
              <w:ind w:firstLine="120" w:firstLineChars="50"/>
              <w:textAlignment w:val="auto"/>
              <w:rPr>
                <w:rFonts w:ascii="Times New Roman" w:hAnsi="Times New Roman" w:eastAsia="仿宋_GB2312"/>
                <w:sz w:val="24"/>
                <w:szCs w:val="24"/>
              </w:rPr>
            </w:pPr>
            <w:r>
              <w:rPr>
                <w:rFonts w:ascii="Times New Roman" w:hAnsi="Times New Roman" w:eastAsia="仿宋_GB2312"/>
                <w:sz w:val="24"/>
                <w:szCs w:val="24"/>
              </w:rPr>
              <w:t>■本项目不要求提交样品。</w:t>
            </w:r>
          </w:p>
          <w:p w14:paraId="001F1E80">
            <w:pPr>
              <w:pStyle w:val="28"/>
              <w:keepNext w:val="0"/>
              <w:keepLines w:val="0"/>
              <w:pageBreakBefore w:val="0"/>
              <w:widowControl w:val="0"/>
              <w:kinsoku/>
              <w:wordWrap/>
              <w:overflowPunct/>
              <w:topLinePunct w:val="0"/>
              <w:bidi w:val="0"/>
              <w:adjustRightInd w:val="0"/>
              <w:snapToGrid w:val="0"/>
              <w:spacing w:line="420" w:lineRule="exact"/>
              <w:ind w:firstLine="120" w:firstLineChars="50"/>
              <w:textAlignment w:val="auto"/>
              <w:rPr>
                <w:rFonts w:ascii="Times New Roman" w:hAnsi="Times New Roman" w:eastAsia="仿宋_GB2312"/>
                <w:sz w:val="24"/>
                <w:szCs w:val="24"/>
              </w:rPr>
            </w:pPr>
            <w:r>
              <w:rPr>
                <w:rFonts w:ascii="Times New Roman" w:hAnsi="Times New Roman" w:eastAsia="仿宋_GB2312"/>
                <w:sz w:val="24"/>
                <w:szCs w:val="24"/>
              </w:rPr>
              <w:t>□本项目要求提交样品。样品为响应文件的一部分，随响应文件同时递交。</w:t>
            </w:r>
          </w:p>
          <w:p w14:paraId="4711AD0F">
            <w:pPr>
              <w:pStyle w:val="28"/>
              <w:keepNext w:val="0"/>
              <w:keepLines w:val="0"/>
              <w:pageBreakBefore w:val="0"/>
              <w:widowControl w:val="0"/>
              <w:kinsoku/>
              <w:wordWrap/>
              <w:overflowPunct/>
              <w:topLinePunct w:val="0"/>
              <w:bidi w:val="0"/>
              <w:adjustRightInd w:val="0"/>
              <w:snapToGrid w:val="0"/>
              <w:spacing w:line="420" w:lineRule="exact"/>
              <w:ind w:firstLine="360" w:firstLineChars="150"/>
              <w:textAlignment w:val="auto"/>
              <w:rPr>
                <w:rFonts w:ascii="Times New Roman" w:hAnsi="Times New Roman" w:eastAsia="仿宋_GB2312"/>
                <w:sz w:val="24"/>
                <w:szCs w:val="24"/>
              </w:rPr>
            </w:pPr>
            <w:r>
              <w:rPr>
                <w:rFonts w:ascii="Times New Roman" w:hAnsi="Times New Roman" w:eastAsia="仿宋_GB2312"/>
                <w:sz w:val="24"/>
                <w:szCs w:val="24"/>
              </w:rPr>
              <w:t>（1）样品需标明：项目名称、供应商名称、样品名称等内容。</w:t>
            </w:r>
          </w:p>
          <w:p w14:paraId="30608E05">
            <w:pPr>
              <w:pStyle w:val="28"/>
              <w:keepNext w:val="0"/>
              <w:keepLines w:val="0"/>
              <w:pageBreakBefore w:val="0"/>
              <w:widowControl w:val="0"/>
              <w:kinsoku/>
              <w:wordWrap/>
              <w:overflowPunct/>
              <w:topLinePunct w:val="0"/>
              <w:bidi w:val="0"/>
              <w:adjustRightInd w:val="0"/>
              <w:snapToGrid w:val="0"/>
              <w:spacing w:line="420" w:lineRule="exact"/>
              <w:ind w:firstLine="360" w:firstLineChars="150"/>
              <w:textAlignment w:val="auto"/>
              <w:rPr>
                <w:rFonts w:hint="eastAsia" w:ascii="Times New Roman" w:hAnsi="Times New Roman" w:eastAsia="仿宋_GB2312"/>
                <w:sz w:val="24"/>
                <w:szCs w:val="24"/>
                <w:lang w:eastAsia="zh-CN"/>
              </w:rPr>
            </w:pPr>
            <w:r>
              <w:rPr>
                <w:rFonts w:ascii="Times New Roman" w:hAnsi="Times New Roman" w:eastAsia="仿宋_GB2312"/>
                <w:sz w:val="24"/>
                <w:szCs w:val="24"/>
              </w:rPr>
              <w:t>（2）其他要求：</w:t>
            </w:r>
            <w:r>
              <w:rPr>
                <w:rFonts w:hint="eastAsia" w:ascii="Times New Roman" w:hAnsi="Times New Roman" w:eastAsia="仿宋_GB2312"/>
                <w:sz w:val="24"/>
                <w:szCs w:val="24"/>
                <w:lang w:val="en-US" w:eastAsia="zh-CN"/>
              </w:rPr>
              <w:t>/</w:t>
            </w:r>
          </w:p>
        </w:tc>
      </w:tr>
      <w:tr w14:paraId="31364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170" w:type="dxa"/>
            <w:vAlign w:val="center"/>
          </w:tcPr>
          <w:p w14:paraId="47DE10D3">
            <w:pPr>
              <w:pStyle w:val="28"/>
              <w:keepNext w:val="0"/>
              <w:keepLines w:val="0"/>
              <w:pageBreakBefore w:val="0"/>
              <w:widowControl w:val="0"/>
              <w:kinsoku/>
              <w:wordWrap/>
              <w:overflowPunct/>
              <w:topLinePunct w:val="0"/>
              <w:bidi w:val="0"/>
              <w:adjustRightInd w:val="0"/>
              <w:snapToGrid w:val="0"/>
              <w:spacing w:line="420" w:lineRule="exact"/>
              <w:jc w:val="center"/>
              <w:textAlignment w:val="auto"/>
              <w:rPr>
                <w:rFonts w:ascii="Times New Roman" w:hAnsi="Times New Roman" w:eastAsia="仿宋_GB2312"/>
                <w:sz w:val="24"/>
                <w:szCs w:val="24"/>
              </w:rPr>
            </w:pPr>
            <w:r>
              <w:rPr>
                <w:rFonts w:ascii="Times New Roman" w:hAnsi="Times New Roman" w:eastAsia="仿宋_GB2312"/>
                <w:sz w:val="24"/>
                <w:szCs w:val="24"/>
              </w:rPr>
              <w:t>18.1</w:t>
            </w:r>
          </w:p>
        </w:tc>
        <w:tc>
          <w:tcPr>
            <w:tcW w:w="8589" w:type="dxa"/>
            <w:vAlign w:val="center"/>
          </w:tcPr>
          <w:p w14:paraId="6140C7D0">
            <w:pPr>
              <w:keepNext w:val="0"/>
              <w:keepLines w:val="0"/>
              <w:pageBreakBefore w:val="0"/>
              <w:widowControl w:val="0"/>
              <w:tabs>
                <w:tab w:val="left" w:pos="588"/>
              </w:tabs>
              <w:kinsoku/>
              <w:wordWrap/>
              <w:overflowPunct/>
              <w:topLinePunct w:val="0"/>
              <w:bidi w:val="0"/>
              <w:spacing w:line="420" w:lineRule="exact"/>
              <w:textAlignment w:val="auto"/>
              <w:rPr>
                <w:rFonts w:eastAsia="仿宋_GB2312"/>
                <w:kern w:val="24"/>
                <w:sz w:val="24"/>
                <w:szCs w:val="21"/>
                <w:highlight w:val="none"/>
              </w:rPr>
            </w:pPr>
            <w:r>
              <w:rPr>
                <w:rFonts w:eastAsia="仿宋_GB2312"/>
                <w:kern w:val="24"/>
                <w:sz w:val="24"/>
                <w:szCs w:val="21"/>
              </w:rPr>
              <w:t>响应文件递交截</w:t>
            </w:r>
            <w:r>
              <w:rPr>
                <w:rFonts w:eastAsia="仿宋_GB2312"/>
                <w:kern w:val="24"/>
                <w:sz w:val="24"/>
                <w:szCs w:val="21"/>
                <w:highlight w:val="none"/>
              </w:rPr>
              <w:t>止时间：20</w:t>
            </w:r>
            <w:r>
              <w:rPr>
                <w:rFonts w:hint="eastAsia" w:eastAsia="仿宋_GB2312"/>
                <w:kern w:val="24"/>
                <w:sz w:val="24"/>
                <w:szCs w:val="21"/>
                <w:highlight w:val="none"/>
                <w:lang w:val="en-US" w:eastAsia="zh-CN"/>
              </w:rPr>
              <w:t>25</w:t>
            </w:r>
            <w:r>
              <w:rPr>
                <w:rFonts w:eastAsia="仿宋_GB2312"/>
                <w:kern w:val="24"/>
                <w:sz w:val="24"/>
                <w:szCs w:val="21"/>
                <w:highlight w:val="none"/>
              </w:rPr>
              <w:t>年</w:t>
            </w:r>
            <w:r>
              <w:rPr>
                <w:rFonts w:hint="eastAsia" w:eastAsia="仿宋_GB2312"/>
                <w:kern w:val="24"/>
                <w:sz w:val="24"/>
                <w:szCs w:val="21"/>
                <w:highlight w:val="none"/>
                <w:lang w:val="en-US" w:eastAsia="zh-CN"/>
              </w:rPr>
              <w:t xml:space="preserve"> 11</w:t>
            </w:r>
            <w:r>
              <w:rPr>
                <w:rFonts w:eastAsia="仿宋_GB2312"/>
                <w:kern w:val="24"/>
                <w:sz w:val="24"/>
                <w:szCs w:val="21"/>
                <w:highlight w:val="none"/>
              </w:rPr>
              <w:t>月</w:t>
            </w:r>
            <w:r>
              <w:rPr>
                <w:rFonts w:hint="eastAsia" w:eastAsia="仿宋_GB2312"/>
                <w:kern w:val="24"/>
                <w:sz w:val="24"/>
                <w:szCs w:val="21"/>
                <w:highlight w:val="none"/>
                <w:lang w:val="en-US" w:eastAsia="zh-CN"/>
              </w:rPr>
              <w:t>21</w:t>
            </w:r>
            <w:r>
              <w:rPr>
                <w:rFonts w:eastAsia="仿宋_GB2312"/>
                <w:kern w:val="24"/>
                <w:sz w:val="24"/>
                <w:szCs w:val="21"/>
                <w:highlight w:val="none"/>
              </w:rPr>
              <w:t>日</w:t>
            </w:r>
            <w:r>
              <w:rPr>
                <w:rFonts w:hint="eastAsia" w:eastAsia="仿宋_GB2312"/>
                <w:kern w:val="24"/>
                <w:sz w:val="24"/>
                <w:szCs w:val="21"/>
                <w:highlight w:val="none"/>
                <w:lang w:val="en-US" w:eastAsia="zh-CN"/>
              </w:rPr>
              <w:t xml:space="preserve"> 16 </w:t>
            </w:r>
            <w:r>
              <w:rPr>
                <w:rFonts w:hint="eastAsia" w:eastAsia="仿宋_GB2312"/>
                <w:kern w:val="24"/>
                <w:sz w:val="24"/>
                <w:szCs w:val="21"/>
                <w:highlight w:val="none"/>
                <w:lang w:eastAsia="zh-CN"/>
              </w:rPr>
              <w:t>：</w:t>
            </w:r>
            <w:r>
              <w:rPr>
                <w:rFonts w:hint="eastAsia" w:eastAsia="仿宋_GB2312"/>
                <w:kern w:val="24"/>
                <w:sz w:val="24"/>
                <w:szCs w:val="21"/>
                <w:highlight w:val="none"/>
                <w:lang w:val="en-US" w:eastAsia="zh-CN"/>
              </w:rPr>
              <w:t xml:space="preserve">00 </w:t>
            </w:r>
            <w:r>
              <w:rPr>
                <w:rFonts w:eastAsia="仿宋_GB2312"/>
                <w:kern w:val="24"/>
                <w:sz w:val="24"/>
                <w:szCs w:val="21"/>
                <w:highlight w:val="none"/>
              </w:rPr>
              <w:t>（北京时间）。</w:t>
            </w:r>
          </w:p>
          <w:p w14:paraId="0958E13C">
            <w:pPr>
              <w:keepNext w:val="0"/>
              <w:keepLines w:val="0"/>
              <w:pageBreakBefore w:val="0"/>
              <w:widowControl w:val="0"/>
              <w:tabs>
                <w:tab w:val="left" w:pos="588"/>
              </w:tabs>
              <w:kinsoku/>
              <w:wordWrap/>
              <w:overflowPunct/>
              <w:topLinePunct w:val="0"/>
              <w:bidi w:val="0"/>
              <w:spacing w:line="420" w:lineRule="exact"/>
              <w:textAlignment w:val="auto"/>
              <w:rPr>
                <w:rFonts w:eastAsia="仿宋_GB2312"/>
                <w:sz w:val="24"/>
              </w:rPr>
            </w:pPr>
            <w:r>
              <w:rPr>
                <w:rFonts w:eastAsia="仿宋_GB2312"/>
                <w:kern w:val="24"/>
                <w:sz w:val="24"/>
                <w:szCs w:val="21"/>
                <w:highlight w:val="none"/>
              </w:rPr>
              <w:t>响应文件递交地点：</w:t>
            </w:r>
            <w:r>
              <w:rPr>
                <w:rFonts w:hint="eastAsia" w:eastAsia="仿宋_GB2312"/>
                <w:kern w:val="24"/>
                <w:sz w:val="24"/>
                <w:szCs w:val="21"/>
                <w:highlight w:val="none"/>
              </w:rPr>
              <w:t>全国公共资源交易平台（陕西省·安康市）</w:t>
            </w:r>
          </w:p>
        </w:tc>
      </w:tr>
      <w:tr w14:paraId="72C43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170" w:type="dxa"/>
            <w:vAlign w:val="center"/>
          </w:tcPr>
          <w:p w14:paraId="799E9DEC">
            <w:pPr>
              <w:pStyle w:val="28"/>
              <w:keepNext w:val="0"/>
              <w:keepLines w:val="0"/>
              <w:pageBreakBefore w:val="0"/>
              <w:widowControl w:val="0"/>
              <w:kinsoku/>
              <w:wordWrap/>
              <w:overflowPunct/>
              <w:topLinePunct w:val="0"/>
              <w:bidi w:val="0"/>
              <w:adjustRightInd w:val="0"/>
              <w:snapToGrid w:val="0"/>
              <w:spacing w:line="420" w:lineRule="exact"/>
              <w:jc w:val="center"/>
              <w:textAlignment w:val="auto"/>
              <w:rPr>
                <w:rFonts w:ascii="Times New Roman" w:hAnsi="Times New Roman" w:eastAsia="仿宋_GB2312"/>
                <w:sz w:val="24"/>
                <w:szCs w:val="24"/>
              </w:rPr>
            </w:pPr>
            <w:r>
              <w:rPr>
                <w:rFonts w:ascii="Times New Roman" w:hAnsi="Times New Roman" w:eastAsia="仿宋_GB2312"/>
                <w:sz w:val="24"/>
                <w:szCs w:val="24"/>
              </w:rPr>
              <w:t>21.1</w:t>
            </w:r>
          </w:p>
        </w:tc>
        <w:tc>
          <w:tcPr>
            <w:tcW w:w="8589" w:type="dxa"/>
            <w:vAlign w:val="center"/>
          </w:tcPr>
          <w:p w14:paraId="36E69AC3">
            <w:pPr>
              <w:keepNext w:val="0"/>
              <w:keepLines w:val="0"/>
              <w:pageBreakBefore w:val="0"/>
              <w:widowControl w:val="0"/>
              <w:kinsoku/>
              <w:wordWrap/>
              <w:overflowPunct/>
              <w:topLinePunct w:val="0"/>
              <w:bidi w:val="0"/>
              <w:spacing w:line="420" w:lineRule="exact"/>
              <w:textAlignment w:val="auto"/>
              <w:rPr>
                <w:rFonts w:eastAsia="仿宋_GB2312"/>
                <w:sz w:val="24"/>
              </w:rPr>
            </w:pPr>
            <w:r>
              <w:rPr>
                <w:rFonts w:eastAsia="仿宋_GB2312"/>
                <w:sz w:val="24"/>
              </w:rPr>
              <w:t>谈判小组由</w:t>
            </w:r>
            <w:r>
              <w:rPr>
                <w:rFonts w:eastAsia="仿宋_GB2312"/>
                <w:sz w:val="24"/>
                <w:u w:val="single"/>
              </w:rPr>
              <w:t>3人组成，其中评审专家</w:t>
            </w:r>
            <w:r>
              <w:rPr>
                <w:rFonts w:hint="eastAsia" w:eastAsia="仿宋_GB2312"/>
                <w:sz w:val="24"/>
                <w:u w:val="single"/>
                <w:lang w:val="en-US" w:eastAsia="zh-CN"/>
              </w:rPr>
              <w:t>2</w:t>
            </w:r>
            <w:r>
              <w:rPr>
                <w:rFonts w:eastAsia="仿宋_GB2312"/>
                <w:sz w:val="24"/>
                <w:u w:val="single"/>
              </w:rPr>
              <w:t>人，采购人代表</w:t>
            </w:r>
            <w:r>
              <w:rPr>
                <w:rFonts w:hint="eastAsia" w:eastAsia="仿宋_GB2312"/>
                <w:sz w:val="24"/>
                <w:u w:val="single"/>
                <w:lang w:val="en-US" w:eastAsia="zh-CN"/>
              </w:rPr>
              <w:t>1</w:t>
            </w:r>
            <w:r>
              <w:rPr>
                <w:rFonts w:eastAsia="仿宋_GB2312"/>
                <w:sz w:val="24"/>
                <w:u w:val="single"/>
              </w:rPr>
              <w:t>人。</w:t>
            </w:r>
          </w:p>
        </w:tc>
      </w:tr>
      <w:tr w14:paraId="6A70F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170" w:type="dxa"/>
            <w:vAlign w:val="center"/>
          </w:tcPr>
          <w:p w14:paraId="4E6A117F">
            <w:pPr>
              <w:keepNext w:val="0"/>
              <w:keepLines w:val="0"/>
              <w:pageBreakBefore w:val="0"/>
              <w:widowControl w:val="0"/>
              <w:kinsoku/>
              <w:wordWrap/>
              <w:overflowPunct/>
              <w:topLinePunct w:val="0"/>
              <w:bidi w:val="0"/>
              <w:spacing w:line="420" w:lineRule="exact"/>
              <w:jc w:val="center"/>
              <w:textAlignment w:val="auto"/>
              <w:rPr>
                <w:rFonts w:eastAsia="仿宋_GB2312"/>
                <w:sz w:val="24"/>
                <w:highlight w:val="none"/>
              </w:rPr>
            </w:pPr>
            <w:r>
              <w:rPr>
                <w:rFonts w:eastAsia="仿宋_GB2312"/>
                <w:sz w:val="24"/>
                <w:highlight w:val="none"/>
              </w:rPr>
              <w:t>28.1</w:t>
            </w:r>
          </w:p>
        </w:tc>
        <w:tc>
          <w:tcPr>
            <w:tcW w:w="8589" w:type="dxa"/>
            <w:vAlign w:val="center"/>
          </w:tcPr>
          <w:p w14:paraId="34A61B3B">
            <w:pPr>
              <w:keepNext w:val="0"/>
              <w:keepLines w:val="0"/>
              <w:pageBreakBefore w:val="0"/>
              <w:widowControl w:val="0"/>
              <w:kinsoku/>
              <w:wordWrap/>
              <w:overflowPunct/>
              <w:topLinePunct w:val="0"/>
              <w:bidi w:val="0"/>
              <w:spacing w:line="420" w:lineRule="exact"/>
              <w:jc w:val="left"/>
              <w:textAlignment w:val="auto"/>
              <w:rPr>
                <w:rFonts w:hint="eastAsia" w:eastAsia="仿宋_GB2312"/>
                <w:sz w:val="24"/>
                <w:highlight w:val="none"/>
                <w:lang w:eastAsia="zh-CN"/>
              </w:rPr>
            </w:pPr>
            <w:r>
              <w:rPr>
                <w:rFonts w:hint="eastAsia" w:eastAsia="仿宋_GB2312"/>
                <w:sz w:val="24"/>
                <w:highlight w:val="none"/>
                <w:lang w:eastAsia="zh-CN"/>
              </w:rPr>
              <w:t>□</w:t>
            </w:r>
            <w:r>
              <w:rPr>
                <w:rFonts w:eastAsia="仿宋_GB2312"/>
                <w:sz w:val="24"/>
                <w:highlight w:val="none"/>
              </w:rPr>
              <w:t xml:space="preserve"> 本项目要求履约保证金，金额为成交合同金额的</w:t>
            </w:r>
            <w:r>
              <w:rPr>
                <w:rFonts w:eastAsia="仿宋_GB2312"/>
                <w:sz w:val="24"/>
                <w:highlight w:val="none"/>
                <w:u w:val="single"/>
              </w:rPr>
              <w:t>5%</w:t>
            </w:r>
            <w:r>
              <w:rPr>
                <w:rFonts w:hint="eastAsia" w:eastAsia="仿宋_GB2312"/>
                <w:sz w:val="24"/>
                <w:highlight w:val="none"/>
                <w:u w:val="single"/>
                <w:lang w:eastAsia="zh-CN"/>
              </w:rPr>
              <w:t>。</w:t>
            </w:r>
          </w:p>
          <w:p w14:paraId="51D43D68">
            <w:pPr>
              <w:keepNext w:val="0"/>
              <w:keepLines w:val="0"/>
              <w:pageBreakBefore w:val="0"/>
              <w:widowControl w:val="0"/>
              <w:kinsoku/>
              <w:wordWrap/>
              <w:overflowPunct/>
              <w:topLinePunct w:val="0"/>
              <w:bidi w:val="0"/>
              <w:spacing w:line="420" w:lineRule="exact"/>
              <w:jc w:val="left"/>
              <w:textAlignment w:val="auto"/>
              <w:rPr>
                <w:rFonts w:eastAsia="仿宋_GB2312"/>
                <w:highlight w:val="none"/>
              </w:rPr>
            </w:pPr>
            <w:r>
              <w:rPr>
                <w:rFonts w:hint="eastAsia" w:eastAsia="仿宋_GB2312"/>
                <w:sz w:val="24"/>
                <w:highlight w:val="none"/>
                <w:lang w:eastAsia="zh-CN"/>
              </w:rPr>
              <w:t>☑</w:t>
            </w:r>
            <w:r>
              <w:rPr>
                <w:rFonts w:hint="eastAsia" w:eastAsia="仿宋_GB2312"/>
                <w:sz w:val="24"/>
                <w:highlight w:val="none"/>
                <w:lang w:val="en-US" w:eastAsia="zh-CN"/>
              </w:rPr>
              <w:t xml:space="preserve"> </w:t>
            </w:r>
            <w:r>
              <w:rPr>
                <w:rFonts w:eastAsia="仿宋_GB2312"/>
                <w:sz w:val="24"/>
                <w:highlight w:val="none"/>
              </w:rPr>
              <w:t>本项目不要求履约保证金。</w:t>
            </w:r>
          </w:p>
        </w:tc>
      </w:tr>
      <w:tr w14:paraId="792B2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170" w:type="dxa"/>
            <w:vAlign w:val="center"/>
          </w:tcPr>
          <w:p w14:paraId="3E232C66">
            <w:pPr>
              <w:keepNext w:val="0"/>
              <w:keepLines w:val="0"/>
              <w:pageBreakBefore w:val="0"/>
              <w:widowControl w:val="0"/>
              <w:kinsoku/>
              <w:wordWrap/>
              <w:overflowPunct/>
              <w:topLinePunct w:val="0"/>
              <w:bidi w:val="0"/>
              <w:spacing w:line="420" w:lineRule="exact"/>
              <w:jc w:val="center"/>
              <w:textAlignment w:val="auto"/>
              <w:rPr>
                <w:rFonts w:eastAsia="仿宋_GB2312"/>
                <w:sz w:val="24"/>
                <w:highlight w:val="none"/>
                <w:lang w:val="en-US" w:eastAsia="zh-CN"/>
              </w:rPr>
            </w:pPr>
            <w:r>
              <w:rPr>
                <w:rFonts w:hint="eastAsia" w:eastAsia="仿宋_GB2312"/>
                <w:sz w:val="24"/>
                <w:highlight w:val="none"/>
                <w:lang w:val="en-US" w:eastAsia="zh-CN"/>
              </w:rPr>
              <w:t>技术支持电话</w:t>
            </w:r>
          </w:p>
        </w:tc>
        <w:tc>
          <w:tcPr>
            <w:tcW w:w="8589" w:type="dxa"/>
            <w:vAlign w:val="center"/>
          </w:tcPr>
          <w:p w14:paraId="07830C78">
            <w:pPr>
              <w:keepNext w:val="0"/>
              <w:keepLines w:val="0"/>
              <w:pageBreakBefore w:val="0"/>
              <w:widowControl w:val="0"/>
              <w:kinsoku/>
              <w:wordWrap/>
              <w:overflowPunct/>
              <w:topLinePunct w:val="0"/>
              <w:bidi w:val="0"/>
              <w:spacing w:line="420" w:lineRule="exact"/>
              <w:jc w:val="left"/>
              <w:textAlignment w:val="auto"/>
              <w:rPr>
                <w:rFonts w:hint="eastAsia" w:eastAsia="仿宋_GB2312"/>
                <w:sz w:val="24"/>
                <w:highlight w:val="none"/>
              </w:rPr>
            </w:pPr>
            <w:r>
              <w:rPr>
                <w:rFonts w:hint="eastAsia" w:eastAsia="仿宋_GB2312"/>
                <w:sz w:val="24"/>
                <w:highlight w:val="none"/>
              </w:rPr>
              <w:t>电子化政府采购系统技术支持（软件开发商）</w:t>
            </w:r>
          </w:p>
          <w:p w14:paraId="03EDF456">
            <w:pPr>
              <w:keepNext w:val="0"/>
              <w:keepLines w:val="0"/>
              <w:pageBreakBefore w:val="0"/>
              <w:widowControl w:val="0"/>
              <w:kinsoku/>
              <w:wordWrap/>
              <w:overflowPunct/>
              <w:topLinePunct w:val="0"/>
              <w:bidi w:val="0"/>
              <w:spacing w:line="420" w:lineRule="exact"/>
              <w:jc w:val="left"/>
              <w:textAlignment w:val="auto"/>
              <w:rPr>
                <w:rFonts w:hint="eastAsia" w:eastAsia="仿宋_GB2312"/>
                <w:sz w:val="24"/>
                <w:highlight w:val="none"/>
              </w:rPr>
            </w:pPr>
            <w:r>
              <w:rPr>
                <w:rFonts w:hint="eastAsia" w:eastAsia="仿宋_GB2312"/>
                <w:sz w:val="24"/>
                <w:highlight w:val="none"/>
              </w:rPr>
              <w:t>国泰新点软件股份有限公司</w:t>
            </w:r>
          </w:p>
          <w:p w14:paraId="6A7B863F">
            <w:pPr>
              <w:keepNext w:val="0"/>
              <w:keepLines w:val="0"/>
              <w:pageBreakBefore w:val="0"/>
              <w:widowControl w:val="0"/>
              <w:kinsoku/>
              <w:wordWrap/>
              <w:overflowPunct/>
              <w:topLinePunct w:val="0"/>
              <w:bidi w:val="0"/>
              <w:spacing w:line="420" w:lineRule="exact"/>
              <w:jc w:val="left"/>
              <w:textAlignment w:val="auto"/>
              <w:rPr>
                <w:rFonts w:eastAsia="仿宋_GB2312"/>
                <w:sz w:val="24"/>
                <w:highlight w:val="none"/>
                <w:lang w:val="en-US" w:eastAsia="zh-CN"/>
              </w:rPr>
            </w:pPr>
            <w:r>
              <w:rPr>
                <w:rFonts w:hint="eastAsia" w:eastAsia="仿宋_GB2312"/>
                <w:sz w:val="24"/>
                <w:highlight w:val="none"/>
              </w:rPr>
              <w:t>技术支持热线：400-998-0000/400-928-0095</w:t>
            </w:r>
          </w:p>
        </w:tc>
      </w:tr>
    </w:tbl>
    <w:p w14:paraId="53BD1738">
      <w:pPr>
        <w:adjustRightInd w:val="0"/>
        <w:spacing w:before="240" w:beforeLines="100" w:line="360" w:lineRule="auto"/>
        <w:ind w:right="-22"/>
        <w:jc w:val="center"/>
        <w:textAlignment w:val="baseline"/>
        <w:rPr>
          <w:rFonts w:eastAsia="仿宋_GB2312"/>
        </w:rPr>
      </w:pPr>
      <w:r>
        <w:rPr>
          <w:rFonts w:eastAsia="仿宋_GB2312"/>
        </w:rPr>
        <w:br w:type="page"/>
      </w:r>
      <w:bookmarkStart w:id="76" w:name="_Toc249515391"/>
      <w:bookmarkStart w:id="77" w:name="_Toc177817335"/>
      <w:bookmarkStart w:id="78" w:name="_Toc230099798"/>
      <w:bookmarkStart w:id="79" w:name="_Toc230583542"/>
      <w:bookmarkStart w:id="80" w:name="_Toc249525160"/>
      <w:bookmarkStart w:id="81" w:name="_Toc53722841"/>
      <w:bookmarkStart w:id="82" w:name="_Toc177189236"/>
      <w:bookmarkStart w:id="83" w:name="_Toc177995474"/>
      <w:bookmarkStart w:id="84" w:name="_Toc230013633"/>
      <w:bookmarkStart w:id="85" w:name="_Toc249515279"/>
      <w:bookmarkStart w:id="86" w:name="_Toc176882543"/>
      <w:bookmarkStart w:id="87" w:name="_Toc184043013"/>
      <w:bookmarkStart w:id="88" w:name="_Toc256342144"/>
      <w:bookmarkStart w:id="89" w:name="_Toc232395213"/>
      <w:bookmarkStart w:id="90" w:name="_Toc232176273"/>
      <w:bookmarkStart w:id="91" w:name="_Toc70687140"/>
    </w:p>
    <w:p w14:paraId="64F435BB">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jc w:val="center"/>
        <w:textAlignment w:val="baseline"/>
        <w:outlineLvl w:val="1"/>
        <w:rPr>
          <w:rFonts w:eastAsia="仿宋_GB2312"/>
          <w:b/>
          <w:kern w:val="0"/>
          <w:sz w:val="28"/>
          <w:szCs w:val="28"/>
        </w:rPr>
      </w:pPr>
      <w:bookmarkStart w:id="92" w:name="_Toc4603"/>
      <w:r>
        <w:rPr>
          <w:rFonts w:eastAsia="仿宋_GB2312"/>
          <w:b/>
          <w:kern w:val="0"/>
          <w:sz w:val="28"/>
          <w:szCs w:val="28"/>
        </w:rPr>
        <w:t>（二）供应商须知</w:t>
      </w:r>
      <w:bookmarkEnd w:id="92"/>
    </w:p>
    <w:p w14:paraId="1B1D73F0">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jc w:val="center"/>
        <w:textAlignment w:val="baseline"/>
        <w:outlineLvl w:val="9"/>
        <w:rPr>
          <w:rFonts w:eastAsia="仿宋_GB2312"/>
          <w:b/>
          <w:kern w:val="0"/>
          <w:sz w:val="28"/>
          <w:szCs w:val="28"/>
        </w:rPr>
      </w:pPr>
    </w:p>
    <w:p w14:paraId="6FFA02CF">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jc w:val="center"/>
        <w:textAlignment w:val="baseline"/>
        <w:outlineLvl w:val="2"/>
        <w:rPr>
          <w:rFonts w:eastAsia="仿宋_GB2312"/>
          <w:b/>
          <w:kern w:val="0"/>
          <w:sz w:val="28"/>
          <w:szCs w:val="28"/>
        </w:rPr>
      </w:pPr>
      <w:r>
        <w:rPr>
          <w:rFonts w:eastAsia="仿宋_GB2312"/>
          <w:b/>
          <w:kern w:val="0"/>
          <w:sz w:val="28"/>
          <w:szCs w:val="28"/>
        </w:rPr>
        <w:t>一、总则</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4A2BD71D">
      <w:pPr>
        <w:pStyle w:val="6"/>
        <w:keepNext w:val="0"/>
        <w:keepLines w:val="0"/>
        <w:pageBreakBefore w:val="0"/>
        <w:widowControl w:val="0"/>
        <w:tabs>
          <w:tab w:val="left" w:pos="588"/>
        </w:tabs>
        <w:kinsoku/>
        <w:wordWrap/>
        <w:overflowPunct/>
        <w:topLinePunct w:val="0"/>
        <w:autoSpaceDE/>
        <w:autoSpaceDN/>
        <w:bidi w:val="0"/>
        <w:adjustRightInd w:val="0"/>
        <w:snapToGrid w:val="0"/>
        <w:spacing w:beforeAutospacing="0" w:afterAutospacing="0" w:line="460" w:lineRule="exact"/>
        <w:ind w:left="0" w:leftChars="0"/>
        <w:textAlignment w:val="baseline"/>
        <w:outlineLvl w:val="3"/>
        <w:rPr>
          <w:rFonts w:ascii="Times New Roman" w:hAnsi="Times New Roman" w:eastAsia="仿宋_GB2312"/>
          <w:b/>
          <w:sz w:val="24"/>
          <w:szCs w:val="21"/>
        </w:rPr>
      </w:pPr>
      <w:bookmarkStart w:id="93" w:name="_Hlt14560612"/>
      <w:bookmarkEnd w:id="93"/>
      <w:bookmarkStart w:id="94" w:name="_Toc25504"/>
      <w:bookmarkStart w:id="95" w:name="_Toc184043014"/>
      <w:bookmarkStart w:id="96" w:name="_Toc249515280"/>
      <w:bookmarkStart w:id="97" w:name="_Toc249515392"/>
      <w:bookmarkStart w:id="98" w:name="_Toc249525161"/>
      <w:r>
        <w:rPr>
          <w:rFonts w:ascii="Times New Roman" w:hAnsi="Times New Roman" w:eastAsia="仿宋_GB2312"/>
          <w:b/>
          <w:sz w:val="24"/>
          <w:szCs w:val="21"/>
        </w:rPr>
        <w:t>1.     项目说明</w:t>
      </w:r>
      <w:bookmarkEnd w:id="94"/>
      <w:bookmarkEnd w:id="95"/>
      <w:bookmarkEnd w:id="96"/>
      <w:bookmarkEnd w:id="97"/>
      <w:bookmarkEnd w:id="98"/>
    </w:p>
    <w:p w14:paraId="5F40B63B">
      <w:pPr>
        <w:pStyle w:val="68"/>
        <w:keepNext w:val="0"/>
        <w:keepLines w:val="0"/>
        <w:pageBreakBefore w:val="0"/>
        <w:widowControl w:val="0"/>
        <w:numPr>
          <w:ilvl w:val="0"/>
          <w:numId w:val="0"/>
        </w:numPr>
        <w:tabs>
          <w:tab w:val="left" w:pos="588"/>
        </w:tabs>
        <w:kinsoku/>
        <w:wordWrap/>
        <w:overflowPunct/>
        <w:topLinePunct w:val="0"/>
        <w:bidi w:val="0"/>
        <w:adjustRightInd w:val="0"/>
        <w:snapToGrid w:val="0"/>
        <w:spacing w:before="0" w:beforeAutospacing="0" w:after="0" w:afterAutospacing="0" w:line="460" w:lineRule="exact"/>
        <w:textAlignment w:val="auto"/>
        <w:rPr>
          <w:rFonts w:eastAsia="仿宋_GB2312"/>
          <w:kern w:val="24"/>
          <w:szCs w:val="21"/>
        </w:rPr>
      </w:pPr>
      <w:r>
        <w:rPr>
          <w:rFonts w:hint="eastAsia" w:eastAsia="仿宋_GB2312"/>
          <w:kern w:val="24"/>
          <w:szCs w:val="21"/>
          <w:lang w:val="en-US" w:eastAsia="zh-CN"/>
        </w:rPr>
        <w:t>1.1</w:t>
      </w:r>
      <w:r>
        <w:rPr>
          <w:rFonts w:eastAsia="仿宋_GB2312"/>
          <w:kern w:val="24"/>
          <w:szCs w:val="21"/>
        </w:rPr>
        <w:t xml:space="preserve">    项目说明：</w:t>
      </w:r>
      <w:r>
        <w:rPr>
          <w:rFonts w:eastAsia="仿宋_GB2312"/>
          <w:b/>
          <w:kern w:val="24"/>
          <w:szCs w:val="21"/>
        </w:rPr>
        <w:t>见供应商须知前附表</w:t>
      </w:r>
      <w:r>
        <w:rPr>
          <w:rFonts w:eastAsia="仿宋_GB2312"/>
          <w:kern w:val="24"/>
          <w:szCs w:val="21"/>
        </w:rPr>
        <w:t>。</w:t>
      </w:r>
    </w:p>
    <w:p w14:paraId="04E6B300">
      <w:pPr>
        <w:pStyle w:val="6"/>
        <w:keepNext w:val="0"/>
        <w:keepLines w:val="0"/>
        <w:pageBreakBefore w:val="0"/>
        <w:widowControl w:val="0"/>
        <w:tabs>
          <w:tab w:val="left" w:pos="588"/>
        </w:tabs>
        <w:kinsoku/>
        <w:wordWrap/>
        <w:overflowPunct/>
        <w:topLinePunct w:val="0"/>
        <w:autoSpaceDE/>
        <w:autoSpaceDN/>
        <w:bidi w:val="0"/>
        <w:adjustRightInd w:val="0"/>
        <w:snapToGrid w:val="0"/>
        <w:spacing w:beforeAutospacing="0" w:afterAutospacing="0" w:line="460" w:lineRule="exact"/>
        <w:ind w:left="0" w:leftChars="0"/>
        <w:textAlignment w:val="baseline"/>
        <w:outlineLvl w:val="3"/>
        <w:rPr>
          <w:rFonts w:ascii="Times New Roman" w:hAnsi="Times New Roman" w:eastAsia="仿宋_GB2312"/>
          <w:b/>
          <w:sz w:val="24"/>
          <w:szCs w:val="21"/>
        </w:rPr>
      </w:pPr>
      <w:bookmarkStart w:id="99" w:name="_Toc249515393"/>
      <w:bookmarkStart w:id="100" w:name="_Toc184043015"/>
      <w:bookmarkStart w:id="101" w:name="_Toc249515281"/>
      <w:bookmarkStart w:id="102" w:name="_Toc70687142"/>
      <w:bookmarkStart w:id="103" w:name="_Toc249525162"/>
      <w:bookmarkStart w:id="104" w:name="_Toc31509"/>
      <w:r>
        <w:rPr>
          <w:rFonts w:ascii="Times New Roman" w:hAnsi="Times New Roman" w:eastAsia="仿宋_GB2312"/>
          <w:b/>
          <w:sz w:val="24"/>
          <w:szCs w:val="21"/>
        </w:rPr>
        <w:t>2.     定义</w:t>
      </w:r>
      <w:bookmarkEnd w:id="99"/>
      <w:bookmarkEnd w:id="100"/>
      <w:bookmarkEnd w:id="101"/>
      <w:bookmarkEnd w:id="102"/>
      <w:bookmarkEnd w:id="103"/>
      <w:bookmarkEnd w:id="104"/>
    </w:p>
    <w:p w14:paraId="40F79C7E">
      <w:pPr>
        <w:keepNext w:val="0"/>
        <w:keepLines w:val="0"/>
        <w:pageBreakBefore w:val="0"/>
        <w:tabs>
          <w:tab w:val="left" w:pos="588"/>
        </w:tabs>
        <w:kinsoku/>
        <w:wordWrap/>
        <w:overflowPunct/>
        <w:topLinePunct w:val="0"/>
        <w:bidi w:val="0"/>
        <w:adjustRightInd w:val="0"/>
        <w:snapToGrid w:val="0"/>
        <w:spacing w:line="460" w:lineRule="exact"/>
        <w:ind w:left="0" w:leftChars="0"/>
        <w:rPr>
          <w:rFonts w:eastAsia="仿宋_GB2312"/>
          <w:sz w:val="24"/>
        </w:rPr>
      </w:pPr>
      <w:r>
        <w:rPr>
          <w:rFonts w:eastAsia="仿宋_GB2312"/>
          <w:sz w:val="24"/>
        </w:rPr>
        <w:t>2.1    采购人：</w:t>
      </w:r>
      <w:r>
        <w:rPr>
          <w:rFonts w:eastAsia="仿宋_GB2312"/>
          <w:b/>
          <w:sz w:val="24"/>
        </w:rPr>
        <w:t>见供应商须知前附表</w:t>
      </w:r>
      <w:r>
        <w:rPr>
          <w:rFonts w:eastAsia="仿宋_GB2312"/>
          <w:sz w:val="24"/>
        </w:rPr>
        <w:t>。</w:t>
      </w:r>
    </w:p>
    <w:p w14:paraId="34DA249B">
      <w:pPr>
        <w:pStyle w:val="22"/>
        <w:keepNext w:val="0"/>
        <w:keepLines w:val="0"/>
        <w:pageBreakBefore w:val="0"/>
        <w:kinsoku/>
        <w:wordWrap/>
        <w:overflowPunct/>
        <w:topLinePunct w:val="0"/>
        <w:bidi w:val="0"/>
        <w:adjustRightInd w:val="0"/>
        <w:snapToGrid w:val="0"/>
        <w:spacing w:line="460" w:lineRule="exact"/>
        <w:ind w:left="0" w:leftChars="0"/>
        <w:rPr>
          <w:rFonts w:ascii="Times New Roman" w:hAnsi="Times New Roman" w:eastAsia="仿宋_GB2312"/>
          <w:kern w:val="24"/>
          <w:sz w:val="24"/>
          <w:szCs w:val="21"/>
        </w:rPr>
      </w:pPr>
      <w:r>
        <w:rPr>
          <w:rFonts w:ascii="Times New Roman" w:hAnsi="Times New Roman" w:eastAsia="仿宋_GB2312"/>
          <w:kern w:val="24"/>
          <w:sz w:val="24"/>
          <w:szCs w:val="21"/>
        </w:rPr>
        <w:t>2.2    采购代理机构：</w:t>
      </w:r>
      <w:r>
        <w:rPr>
          <w:rFonts w:ascii="Times New Roman" w:hAnsi="Times New Roman" w:eastAsia="仿宋_GB2312"/>
          <w:b/>
          <w:kern w:val="24"/>
          <w:sz w:val="24"/>
          <w:szCs w:val="21"/>
        </w:rPr>
        <w:t>见供应商须知前附表</w:t>
      </w:r>
      <w:r>
        <w:rPr>
          <w:rFonts w:ascii="Times New Roman" w:hAnsi="Times New Roman" w:eastAsia="仿宋_GB2312"/>
          <w:kern w:val="24"/>
          <w:sz w:val="24"/>
          <w:szCs w:val="21"/>
        </w:rPr>
        <w:t>。</w:t>
      </w:r>
    </w:p>
    <w:p w14:paraId="1C988B79">
      <w:pPr>
        <w:pStyle w:val="22"/>
        <w:keepNext w:val="0"/>
        <w:keepLines w:val="0"/>
        <w:pageBreakBefore w:val="0"/>
        <w:kinsoku/>
        <w:wordWrap/>
        <w:overflowPunct/>
        <w:topLinePunct w:val="0"/>
        <w:bidi w:val="0"/>
        <w:adjustRightInd w:val="0"/>
        <w:snapToGrid w:val="0"/>
        <w:spacing w:line="460" w:lineRule="exact"/>
        <w:ind w:left="840" w:leftChars="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2.3    供应商：指响应谈判文件要求、参加竞争性谈判采购的法人、其他组织或者自然人。本次政府采购项目邀请供应商方式</w:t>
      </w:r>
      <w:r>
        <w:rPr>
          <w:rFonts w:ascii="Times New Roman" w:hAnsi="Times New Roman" w:eastAsia="仿宋_GB2312"/>
          <w:b/>
          <w:bCs/>
          <w:kern w:val="24"/>
          <w:sz w:val="24"/>
          <w:szCs w:val="21"/>
        </w:rPr>
        <w:t>见供应商须知前附表</w:t>
      </w:r>
      <w:r>
        <w:rPr>
          <w:rFonts w:ascii="Times New Roman" w:hAnsi="Times New Roman" w:eastAsia="仿宋_GB2312"/>
          <w:kern w:val="24"/>
          <w:sz w:val="24"/>
          <w:szCs w:val="21"/>
        </w:rPr>
        <w:t>。</w:t>
      </w:r>
    </w:p>
    <w:p w14:paraId="7B22A01C">
      <w:pPr>
        <w:pStyle w:val="22"/>
        <w:keepNext w:val="0"/>
        <w:keepLines w:val="0"/>
        <w:pageBreakBefore w:val="0"/>
        <w:tabs>
          <w:tab w:val="left" w:pos="360"/>
        </w:tabs>
        <w:kinsoku/>
        <w:wordWrap/>
        <w:overflowPunct/>
        <w:topLinePunct w:val="0"/>
        <w:bidi w:val="0"/>
        <w:adjustRightInd w:val="0"/>
        <w:snapToGrid w:val="0"/>
        <w:spacing w:line="460" w:lineRule="exact"/>
        <w:ind w:left="840" w:leftChars="0" w:hanging="840" w:hangingChars="350"/>
        <w:rPr>
          <w:rFonts w:ascii="Times New Roman" w:hAnsi="Times New Roman" w:eastAsia="仿宋_GB2312"/>
          <w:sz w:val="24"/>
        </w:rPr>
      </w:pPr>
      <w:r>
        <w:rPr>
          <w:rFonts w:ascii="Times New Roman" w:hAnsi="Times New Roman" w:eastAsia="仿宋_GB2312"/>
          <w:sz w:val="24"/>
        </w:rPr>
        <w:t>2.4    谈判小组：指依据《中华人民共和国政府采购法》和财政部《政府采购非招标采购方式管理办法》有关规定组建，依法依规履行其职责和义务的机构。</w:t>
      </w:r>
    </w:p>
    <w:p w14:paraId="6B24E325">
      <w:pPr>
        <w:pStyle w:val="6"/>
        <w:keepNext w:val="0"/>
        <w:keepLines w:val="0"/>
        <w:pageBreakBefore w:val="0"/>
        <w:widowControl w:val="0"/>
        <w:tabs>
          <w:tab w:val="left" w:pos="588"/>
        </w:tabs>
        <w:kinsoku/>
        <w:wordWrap/>
        <w:overflowPunct/>
        <w:topLinePunct w:val="0"/>
        <w:autoSpaceDE/>
        <w:autoSpaceDN/>
        <w:bidi w:val="0"/>
        <w:adjustRightInd w:val="0"/>
        <w:snapToGrid w:val="0"/>
        <w:spacing w:beforeAutospacing="0" w:afterAutospacing="0" w:line="460" w:lineRule="exact"/>
        <w:ind w:left="0" w:leftChars="0"/>
        <w:textAlignment w:val="baseline"/>
        <w:outlineLvl w:val="3"/>
        <w:rPr>
          <w:rFonts w:ascii="Times New Roman" w:hAnsi="Times New Roman" w:eastAsia="仿宋_GB2312"/>
          <w:b/>
          <w:sz w:val="24"/>
          <w:szCs w:val="21"/>
        </w:rPr>
      </w:pPr>
      <w:bookmarkStart w:id="105" w:name="_Toc184043016"/>
      <w:bookmarkStart w:id="106" w:name="_Toc70687143"/>
      <w:bookmarkStart w:id="107" w:name="_Toc385992329"/>
      <w:bookmarkStart w:id="108" w:name="_Toc249515394"/>
      <w:bookmarkStart w:id="109" w:name="_Toc389620168"/>
      <w:bookmarkStart w:id="110" w:name="_Toc249525163"/>
      <w:bookmarkStart w:id="111" w:name="_Toc23705"/>
      <w:bookmarkStart w:id="112" w:name="_Toc249515282"/>
      <w:r>
        <w:rPr>
          <w:rFonts w:ascii="Times New Roman" w:hAnsi="Times New Roman" w:eastAsia="仿宋_GB2312"/>
          <w:b/>
          <w:sz w:val="24"/>
          <w:szCs w:val="21"/>
        </w:rPr>
        <w:t>3.     合格的供应商</w:t>
      </w:r>
      <w:bookmarkEnd w:id="105"/>
      <w:bookmarkEnd w:id="106"/>
      <w:bookmarkEnd w:id="107"/>
      <w:bookmarkEnd w:id="108"/>
      <w:bookmarkEnd w:id="109"/>
      <w:bookmarkEnd w:id="110"/>
      <w:bookmarkEnd w:id="111"/>
      <w:bookmarkEnd w:id="112"/>
    </w:p>
    <w:p w14:paraId="0EBE9A4A">
      <w:pPr>
        <w:keepNext w:val="0"/>
        <w:keepLines w:val="0"/>
        <w:pageBreakBefore w:val="0"/>
        <w:tabs>
          <w:tab w:val="left" w:pos="588"/>
        </w:tabs>
        <w:kinsoku/>
        <w:wordWrap/>
        <w:overflowPunct/>
        <w:topLinePunct w:val="0"/>
        <w:bidi w:val="0"/>
        <w:adjustRightInd w:val="0"/>
        <w:snapToGrid w:val="0"/>
        <w:spacing w:line="460" w:lineRule="exact"/>
        <w:ind w:left="0" w:leftChars="0"/>
        <w:rPr>
          <w:rFonts w:eastAsia="仿宋_GB2312"/>
          <w:kern w:val="24"/>
          <w:sz w:val="24"/>
          <w:szCs w:val="21"/>
        </w:rPr>
      </w:pPr>
      <w:r>
        <w:rPr>
          <w:rFonts w:eastAsia="仿宋_GB2312"/>
          <w:kern w:val="24"/>
          <w:sz w:val="24"/>
          <w:szCs w:val="21"/>
        </w:rPr>
        <w:t>3.1    供应商基本资质要求详见</w:t>
      </w:r>
      <w:r>
        <w:rPr>
          <w:rFonts w:eastAsia="仿宋_GB2312"/>
          <w:b/>
          <w:kern w:val="24"/>
          <w:sz w:val="24"/>
          <w:szCs w:val="21"/>
        </w:rPr>
        <w:t>供应商须知前附表</w:t>
      </w:r>
      <w:r>
        <w:rPr>
          <w:rFonts w:eastAsia="仿宋_GB2312"/>
          <w:kern w:val="24"/>
          <w:sz w:val="24"/>
          <w:szCs w:val="21"/>
        </w:rPr>
        <w:t>。</w:t>
      </w:r>
    </w:p>
    <w:p w14:paraId="4A71568D">
      <w:pPr>
        <w:keepNext w:val="0"/>
        <w:keepLines w:val="0"/>
        <w:pageBreakBefore w:val="0"/>
        <w:tabs>
          <w:tab w:val="left" w:pos="588"/>
        </w:tabs>
        <w:kinsoku/>
        <w:wordWrap/>
        <w:overflowPunct/>
        <w:topLinePunct w:val="0"/>
        <w:bidi w:val="0"/>
        <w:adjustRightInd w:val="0"/>
        <w:snapToGrid w:val="0"/>
        <w:spacing w:line="460" w:lineRule="exact"/>
        <w:ind w:left="0" w:leftChars="0"/>
        <w:rPr>
          <w:rFonts w:eastAsia="仿宋_GB2312"/>
          <w:kern w:val="24"/>
          <w:sz w:val="24"/>
          <w:szCs w:val="21"/>
        </w:rPr>
      </w:pPr>
      <w:r>
        <w:rPr>
          <w:rFonts w:eastAsia="仿宋_GB2312"/>
          <w:kern w:val="24"/>
          <w:sz w:val="24"/>
          <w:szCs w:val="21"/>
        </w:rPr>
        <w:t>3.2    本项目将执行在政府采购活动中查询及使用信用记录的规定，具体要求为：</w:t>
      </w:r>
    </w:p>
    <w:p w14:paraId="1AA973EA">
      <w:pPr>
        <w:keepNext w:val="0"/>
        <w:keepLines w:val="0"/>
        <w:pageBreakBefore w:val="0"/>
        <w:tabs>
          <w:tab w:val="left" w:pos="588"/>
        </w:tabs>
        <w:kinsoku/>
        <w:wordWrap/>
        <w:overflowPunct/>
        <w:topLinePunct w:val="0"/>
        <w:bidi w:val="0"/>
        <w:adjustRightInd w:val="0"/>
        <w:snapToGrid w:val="0"/>
        <w:spacing w:line="460" w:lineRule="exact"/>
        <w:ind w:left="840" w:leftChars="0" w:hanging="840" w:hangingChars="350"/>
        <w:rPr>
          <w:rFonts w:eastAsia="仿宋_GB2312"/>
          <w:kern w:val="24"/>
          <w:sz w:val="24"/>
          <w:szCs w:val="21"/>
        </w:rPr>
      </w:pPr>
      <w:r>
        <w:rPr>
          <w:rFonts w:eastAsia="仿宋_GB2312"/>
          <w:kern w:val="24"/>
          <w:sz w:val="24"/>
          <w:szCs w:val="21"/>
        </w:rPr>
        <w:t>3.2.1  供应商应当未被列入失信被执行人、</w:t>
      </w:r>
      <w:r>
        <w:rPr>
          <w:rFonts w:hint="eastAsia" w:eastAsia="仿宋_GB2312"/>
          <w:kern w:val="24"/>
          <w:sz w:val="24"/>
          <w:szCs w:val="21"/>
        </w:rPr>
        <w:t>重大</w:t>
      </w:r>
      <w:r>
        <w:rPr>
          <w:rFonts w:eastAsia="仿宋_GB2312"/>
          <w:sz w:val="24"/>
        </w:rPr>
        <w:t>税收违法</w:t>
      </w:r>
      <w:r>
        <w:rPr>
          <w:rFonts w:hint="eastAsia" w:eastAsia="仿宋_GB2312"/>
          <w:sz w:val="24"/>
        </w:rPr>
        <w:t>失信主体</w:t>
      </w:r>
      <w:r>
        <w:rPr>
          <w:rFonts w:eastAsia="仿宋_GB2312"/>
          <w:kern w:val="24"/>
          <w:sz w:val="24"/>
          <w:szCs w:val="21"/>
        </w:rPr>
        <w:t>、政府采购严重违法失信行为记录名单，否则不得参与政府采购活动。</w:t>
      </w:r>
    </w:p>
    <w:p w14:paraId="3ADDCF5F">
      <w:pPr>
        <w:keepNext w:val="0"/>
        <w:keepLines w:val="0"/>
        <w:pageBreakBefore w:val="0"/>
        <w:tabs>
          <w:tab w:val="left" w:pos="588"/>
        </w:tabs>
        <w:kinsoku/>
        <w:wordWrap/>
        <w:overflowPunct/>
        <w:topLinePunct w:val="0"/>
        <w:bidi w:val="0"/>
        <w:adjustRightInd w:val="0"/>
        <w:snapToGrid w:val="0"/>
        <w:spacing w:line="460" w:lineRule="exact"/>
        <w:ind w:left="0" w:leftChars="0"/>
        <w:rPr>
          <w:rFonts w:eastAsia="仿宋_GB2312"/>
          <w:kern w:val="24"/>
          <w:sz w:val="24"/>
          <w:szCs w:val="21"/>
        </w:rPr>
      </w:pPr>
      <w:r>
        <w:rPr>
          <w:rFonts w:eastAsia="仿宋_GB2312"/>
          <w:kern w:val="24"/>
          <w:sz w:val="24"/>
          <w:szCs w:val="21"/>
        </w:rPr>
        <w:t>3.2.2  信用信息查询的时间：</w:t>
      </w:r>
      <w:r>
        <w:rPr>
          <w:rFonts w:hint="eastAsia" w:eastAsia="仿宋_GB2312"/>
          <w:kern w:val="24"/>
          <w:sz w:val="24"/>
          <w:szCs w:val="21"/>
        </w:rPr>
        <w:t>自</w:t>
      </w:r>
      <w:r>
        <w:rPr>
          <w:rFonts w:hint="eastAsia" w:eastAsia="仿宋_GB2312"/>
          <w:kern w:val="24"/>
          <w:sz w:val="24"/>
          <w:szCs w:val="21"/>
          <w:lang w:val="en-US" w:eastAsia="zh-CN"/>
        </w:rPr>
        <w:t>采购</w:t>
      </w:r>
      <w:r>
        <w:rPr>
          <w:rFonts w:hint="eastAsia" w:eastAsia="仿宋_GB2312"/>
          <w:kern w:val="24"/>
          <w:sz w:val="24"/>
          <w:szCs w:val="21"/>
        </w:rPr>
        <w:t>文件发售之日起至资格审查结束之前。</w:t>
      </w:r>
      <w:r>
        <w:rPr>
          <w:rFonts w:eastAsia="仿宋_GB2312"/>
          <w:kern w:val="24"/>
          <w:sz w:val="24"/>
          <w:szCs w:val="21"/>
        </w:rPr>
        <w:t xml:space="preserve"> </w:t>
      </w:r>
    </w:p>
    <w:p w14:paraId="63E5CE98">
      <w:pPr>
        <w:keepNext w:val="0"/>
        <w:keepLines w:val="0"/>
        <w:pageBreakBefore w:val="0"/>
        <w:tabs>
          <w:tab w:val="left" w:pos="588"/>
        </w:tabs>
        <w:kinsoku/>
        <w:wordWrap/>
        <w:overflowPunct/>
        <w:topLinePunct w:val="0"/>
        <w:bidi w:val="0"/>
        <w:adjustRightInd w:val="0"/>
        <w:snapToGrid w:val="0"/>
        <w:spacing w:line="460" w:lineRule="exact"/>
        <w:ind w:left="840" w:leftChars="0" w:hanging="840" w:hangingChars="350"/>
        <w:rPr>
          <w:rFonts w:eastAsia="仿宋_GB2312"/>
          <w:kern w:val="24"/>
          <w:sz w:val="24"/>
          <w:szCs w:val="21"/>
        </w:rPr>
      </w:pPr>
      <w:r>
        <w:rPr>
          <w:rFonts w:eastAsia="仿宋_GB2312"/>
          <w:kern w:val="24"/>
          <w:sz w:val="24"/>
          <w:szCs w:val="21"/>
        </w:rPr>
        <w:t>3.2.3  查询渠道：“信用中国”网站（www.creditchina.gov.cn）和中国政府采购网（www.ccgp.gov.cn）。</w:t>
      </w:r>
    </w:p>
    <w:p w14:paraId="519F4397">
      <w:pPr>
        <w:keepNext w:val="0"/>
        <w:keepLines w:val="0"/>
        <w:pageBreakBefore w:val="0"/>
        <w:tabs>
          <w:tab w:val="left" w:pos="588"/>
        </w:tabs>
        <w:kinsoku/>
        <w:wordWrap/>
        <w:overflowPunct/>
        <w:topLinePunct w:val="0"/>
        <w:bidi w:val="0"/>
        <w:adjustRightInd w:val="0"/>
        <w:snapToGrid w:val="0"/>
        <w:spacing w:line="460" w:lineRule="exact"/>
        <w:ind w:left="840" w:leftChars="0" w:hanging="840" w:hangingChars="350"/>
        <w:rPr>
          <w:rFonts w:eastAsia="仿宋_GB2312"/>
          <w:kern w:val="24"/>
          <w:sz w:val="24"/>
          <w:szCs w:val="21"/>
        </w:rPr>
      </w:pPr>
      <w:r>
        <w:rPr>
          <w:rFonts w:eastAsia="仿宋_GB2312"/>
          <w:kern w:val="24"/>
          <w:sz w:val="24"/>
          <w:szCs w:val="21"/>
        </w:rPr>
        <w:t>3.2.4  信用信息查询记录和证据留存具体方式：将经查询存在不良信用记录的潜在供应商的查询结果网页截图作为查询记录和证据，与其他采购文件一并保存。</w:t>
      </w:r>
    </w:p>
    <w:p w14:paraId="511D5E09">
      <w:pPr>
        <w:keepNext w:val="0"/>
        <w:keepLines w:val="0"/>
        <w:pageBreakBefore w:val="0"/>
        <w:tabs>
          <w:tab w:val="left" w:pos="588"/>
        </w:tabs>
        <w:kinsoku/>
        <w:wordWrap/>
        <w:overflowPunct/>
        <w:topLinePunct w:val="0"/>
        <w:bidi w:val="0"/>
        <w:adjustRightInd w:val="0"/>
        <w:snapToGrid w:val="0"/>
        <w:spacing w:line="460" w:lineRule="exact"/>
        <w:ind w:left="840" w:leftChars="0" w:hanging="840" w:hangingChars="350"/>
        <w:rPr>
          <w:rFonts w:eastAsia="仿宋_GB2312"/>
          <w:kern w:val="24"/>
          <w:sz w:val="24"/>
          <w:szCs w:val="21"/>
        </w:rPr>
      </w:pPr>
      <w:r>
        <w:rPr>
          <w:rFonts w:eastAsia="仿宋_GB2312"/>
          <w:kern w:val="24"/>
          <w:sz w:val="24"/>
          <w:szCs w:val="21"/>
        </w:rPr>
        <w:t>3.</w:t>
      </w:r>
      <w:r>
        <w:rPr>
          <w:rFonts w:hint="eastAsia" w:eastAsia="仿宋_GB2312"/>
          <w:kern w:val="24"/>
          <w:sz w:val="24"/>
          <w:szCs w:val="21"/>
        </w:rPr>
        <w:t>2</w:t>
      </w:r>
      <w:r>
        <w:rPr>
          <w:rFonts w:eastAsia="仿宋_GB2312"/>
          <w:kern w:val="24"/>
          <w:sz w:val="24"/>
          <w:szCs w:val="21"/>
        </w:rPr>
        <w:t>.5  信用信息的使用规则：采购人或采购代理机构若发现参与本项目政府采购活动的供应商在存在不良信用记录的，将信用信息查询记录提交给谈判小组，作无效文件进行处理。</w:t>
      </w:r>
    </w:p>
    <w:p w14:paraId="09ED33FC">
      <w:pPr>
        <w:keepNext w:val="0"/>
        <w:keepLines w:val="0"/>
        <w:pageBreakBefore w:val="0"/>
        <w:tabs>
          <w:tab w:val="left" w:pos="588"/>
        </w:tabs>
        <w:kinsoku/>
        <w:wordWrap/>
        <w:overflowPunct/>
        <w:topLinePunct w:val="0"/>
        <w:bidi w:val="0"/>
        <w:adjustRightInd w:val="0"/>
        <w:snapToGrid w:val="0"/>
        <w:spacing w:line="460" w:lineRule="exact"/>
        <w:ind w:left="840" w:leftChars="0" w:hanging="840" w:hangingChars="350"/>
        <w:rPr>
          <w:rFonts w:eastAsia="仿宋_GB2312"/>
          <w:kern w:val="24"/>
          <w:sz w:val="24"/>
          <w:szCs w:val="21"/>
        </w:rPr>
      </w:pPr>
      <w:r>
        <w:rPr>
          <w:rFonts w:eastAsia="仿宋_GB2312"/>
          <w:kern w:val="24"/>
          <w:sz w:val="24"/>
          <w:szCs w:val="21"/>
        </w:rPr>
        <w:t>3.3    供应商必须向采购人</w:t>
      </w:r>
      <w:r>
        <w:rPr>
          <w:rFonts w:hint="eastAsia" w:eastAsia="仿宋_GB2312"/>
          <w:kern w:val="24"/>
          <w:sz w:val="24"/>
          <w:szCs w:val="21"/>
        </w:rPr>
        <w:t>或采购代理机构获取</w:t>
      </w:r>
      <w:r>
        <w:rPr>
          <w:rFonts w:eastAsia="仿宋_GB2312"/>
          <w:kern w:val="24"/>
          <w:sz w:val="24"/>
          <w:szCs w:val="21"/>
        </w:rPr>
        <w:t>谈判文件，未向采购人</w:t>
      </w:r>
      <w:r>
        <w:rPr>
          <w:rFonts w:hint="eastAsia" w:eastAsia="仿宋_GB2312"/>
          <w:kern w:val="24"/>
          <w:sz w:val="24"/>
          <w:szCs w:val="21"/>
        </w:rPr>
        <w:t>或采购代理机构获取</w:t>
      </w:r>
      <w:r>
        <w:rPr>
          <w:rFonts w:eastAsia="仿宋_GB2312"/>
          <w:kern w:val="24"/>
          <w:sz w:val="24"/>
          <w:szCs w:val="21"/>
        </w:rPr>
        <w:t>谈判文件的潜在供应商均无资格参加本次采购。</w:t>
      </w:r>
    </w:p>
    <w:p w14:paraId="347E907A">
      <w:pPr>
        <w:keepNext w:val="0"/>
        <w:keepLines w:val="0"/>
        <w:pageBreakBefore w:val="0"/>
        <w:tabs>
          <w:tab w:val="left" w:pos="588"/>
        </w:tabs>
        <w:kinsoku/>
        <w:wordWrap/>
        <w:overflowPunct/>
        <w:topLinePunct w:val="0"/>
        <w:bidi w:val="0"/>
        <w:adjustRightInd w:val="0"/>
        <w:snapToGrid w:val="0"/>
        <w:spacing w:line="460" w:lineRule="exact"/>
        <w:ind w:left="0" w:leftChars="0"/>
        <w:rPr>
          <w:rFonts w:eastAsia="仿宋_GB2312"/>
          <w:kern w:val="24"/>
          <w:sz w:val="24"/>
          <w:szCs w:val="21"/>
        </w:rPr>
      </w:pPr>
      <w:r>
        <w:rPr>
          <w:rFonts w:eastAsia="仿宋_GB2312"/>
          <w:kern w:val="24"/>
          <w:sz w:val="24"/>
          <w:szCs w:val="21"/>
        </w:rPr>
        <w:t>3.</w:t>
      </w:r>
      <w:r>
        <w:rPr>
          <w:rFonts w:hint="eastAsia" w:eastAsia="仿宋_GB2312"/>
          <w:kern w:val="24"/>
          <w:sz w:val="24"/>
          <w:szCs w:val="21"/>
        </w:rPr>
        <w:t>4</w:t>
      </w:r>
      <w:r>
        <w:rPr>
          <w:rFonts w:eastAsia="仿宋_GB2312"/>
          <w:kern w:val="24"/>
          <w:sz w:val="24"/>
          <w:szCs w:val="21"/>
        </w:rPr>
        <w:t xml:space="preserve">    供应商应遵守《中华人民共和国政府采购法》及其它有关的中国法律和法规。</w:t>
      </w:r>
    </w:p>
    <w:p w14:paraId="4BBD220C">
      <w:pPr>
        <w:pStyle w:val="22"/>
        <w:keepNext w:val="0"/>
        <w:keepLines w:val="0"/>
        <w:pageBreakBefore w:val="0"/>
        <w:kinsoku/>
        <w:wordWrap/>
        <w:overflowPunct/>
        <w:topLinePunct w:val="0"/>
        <w:bidi w:val="0"/>
        <w:adjustRightInd w:val="0"/>
        <w:snapToGrid w:val="0"/>
        <w:spacing w:line="460" w:lineRule="exact"/>
        <w:ind w:left="840" w:leftChars="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5</w:t>
      </w:r>
      <w:r>
        <w:rPr>
          <w:rFonts w:ascii="Times New Roman" w:hAnsi="Times New Roman" w:eastAsia="仿宋_GB2312"/>
          <w:kern w:val="24"/>
          <w:sz w:val="24"/>
          <w:szCs w:val="21"/>
        </w:rPr>
        <w:t xml:space="preserve">    若前附表中写明允许采购进口产品，供应商应保证所投产品可履行合法报通关手续进入中国关境内。</w:t>
      </w:r>
    </w:p>
    <w:p w14:paraId="2CCCFD82">
      <w:pPr>
        <w:keepNext w:val="0"/>
        <w:keepLines w:val="0"/>
        <w:pageBreakBefore w:val="0"/>
        <w:widowControl w:val="0"/>
        <w:tabs>
          <w:tab w:val="left" w:pos="588"/>
        </w:tabs>
        <w:kinsoku/>
        <w:wordWrap/>
        <w:overflowPunct/>
        <w:topLinePunct w:val="0"/>
        <w:autoSpaceDE/>
        <w:autoSpaceDN/>
        <w:bidi w:val="0"/>
        <w:adjustRightInd/>
        <w:snapToGrid/>
        <w:spacing w:line="360" w:lineRule="auto"/>
        <w:ind w:left="735" w:leftChars="350" w:firstLine="0" w:firstLineChars="0"/>
        <w:textAlignment w:val="auto"/>
        <w:rPr>
          <w:rFonts w:eastAsia="仿宋_GB2312"/>
          <w:sz w:val="24"/>
        </w:rPr>
      </w:pPr>
      <w:r>
        <w:rPr>
          <w:rFonts w:eastAsia="仿宋_GB2312"/>
          <w:sz w:val="24"/>
        </w:rPr>
        <w:t>若前附表中不允许采购进口产品，如供应商所投产品为进口产品，其响应文件将被认定为无效。</w:t>
      </w:r>
    </w:p>
    <w:p w14:paraId="72B3379D">
      <w:pPr>
        <w:pStyle w:val="22"/>
        <w:keepNext w:val="0"/>
        <w:keepLines w:val="0"/>
        <w:pageBreakBefore w:val="0"/>
        <w:kinsoku/>
        <w:wordWrap/>
        <w:overflowPunct/>
        <w:topLinePunct w:val="0"/>
        <w:bidi w:val="0"/>
        <w:adjustRightInd w:val="0"/>
        <w:snapToGrid w:val="0"/>
        <w:spacing w:line="460" w:lineRule="exact"/>
        <w:ind w:left="0" w:leftChars="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 xml:space="preserve">    如须知前附表中允许联合体投标，对联合体规定如下：</w:t>
      </w:r>
    </w:p>
    <w:p w14:paraId="614F3CAB">
      <w:pPr>
        <w:pStyle w:val="22"/>
        <w:keepNext w:val="0"/>
        <w:keepLines w:val="0"/>
        <w:pageBreakBefore w:val="0"/>
        <w:kinsoku/>
        <w:wordWrap/>
        <w:overflowPunct/>
        <w:topLinePunct w:val="0"/>
        <w:bidi w:val="0"/>
        <w:adjustRightInd w:val="0"/>
        <w:snapToGrid w:val="0"/>
        <w:spacing w:line="460" w:lineRule="exact"/>
        <w:ind w:left="0" w:leftChars="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.1  两个及以上供应商可以组成一个投标联合体，以一个供应商的身份投标。</w:t>
      </w:r>
    </w:p>
    <w:p w14:paraId="5408FCD5">
      <w:pPr>
        <w:pStyle w:val="22"/>
        <w:keepNext w:val="0"/>
        <w:keepLines w:val="0"/>
        <w:pageBreakBefore w:val="0"/>
        <w:kinsoku/>
        <w:wordWrap/>
        <w:overflowPunct/>
        <w:topLinePunct w:val="0"/>
        <w:bidi w:val="0"/>
        <w:adjustRightInd w:val="0"/>
        <w:snapToGrid w:val="0"/>
        <w:spacing w:line="460" w:lineRule="exact"/>
        <w:ind w:left="0" w:leftChars="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.2  联合体各方均应符合本须知规定。</w:t>
      </w:r>
    </w:p>
    <w:p w14:paraId="066F4F9C">
      <w:pPr>
        <w:pStyle w:val="22"/>
        <w:keepNext w:val="0"/>
        <w:keepLines w:val="0"/>
        <w:pageBreakBefore w:val="0"/>
        <w:kinsoku/>
        <w:wordWrap/>
        <w:overflowPunct/>
        <w:topLinePunct w:val="0"/>
        <w:bidi w:val="0"/>
        <w:adjustRightInd w:val="0"/>
        <w:snapToGrid w:val="0"/>
        <w:spacing w:line="460" w:lineRule="exact"/>
        <w:ind w:left="840" w:leftChars="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.3  采购人根据采购项目对供应商的特殊要求，联合体中至少应当有一方符合相关规定。</w:t>
      </w:r>
    </w:p>
    <w:p w14:paraId="310077BA">
      <w:pPr>
        <w:pStyle w:val="22"/>
        <w:keepNext w:val="0"/>
        <w:keepLines w:val="0"/>
        <w:pageBreakBefore w:val="0"/>
        <w:kinsoku/>
        <w:wordWrap/>
        <w:overflowPunct/>
        <w:topLinePunct w:val="0"/>
        <w:bidi w:val="0"/>
        <w:adjustRightInd w:val="0"/>
        <w:snapToGrid w:val="0"/>
        <w:spacing w:line="460" w:lineRule="exact"/>
        <w:ind w:left="840" w:leftChars="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.4  联合体各方应签订共同</w:t>
      </w:r>
      <w:r>
        <w:rPr>
          <w:rFonts w:hint="eastAsia" w:ascii="Times New Roman" w:hAnsi="Times New Roman" w:eastAsia="仿宋_GB2312"/>
          <w:kern w:val="24"/>
          <w:sz w:val="24"/>
          <w:szCs w:val="21"/>
        </w:rPr>
        <w:t>谈判</w:t>
      </w:r>
      <w:r>
        <w:rPr>
          <w:rFonts w:ascii="Times New Roman" w:hAnsi="Times New Roman" w:eastAsia="仿宋_GB2312"/>
          <w:kern w:val="24"/>
          <w:sz w:val="24"/>
          <w:szCs w:val="21"/>
        </w:rPr>
        <w:t>响应协议，明确约定联合体各方承担的工作和相应的责任，并将共同响应协议作为响应文件的内容提交。</w:t>
      </w:r>
    </w:p>
    <w:p w14:paraId="4C7EF750">
      <w:pPr>
        <w:pStyle w:val="22"/>
        <w:keepNext w:val="0"/>
        <w:keepLines w:val="0"/>
        <w:pageBreakBefore w:val="0"/>
        <w:kinsoku/>
        <w:wordWrap/>
        <w:overflowPunct/>
        <w:topLinePunct w:val="0"/>
        <w:bidi w:val="0"/>
        <w:adjustRightInd w:val="0"/>
        <w:snapToGrid w:val="0"/>
        <w:spacing w:line="460" w:lineRule="exact"/>
        <w:ind w:left="840" w:leftChars="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.5  大中型企业、其他自然人、法人或者其他组织与小型、微型企业组成联合体共同参加</w:t>
      </w:r>
      <w:r>
        <w:rPr>
          <w:rFonts w:hint="eastAsia" w:ascii="Times New Roman" w:hAnsi="Times New Roman" w:eastAsia="仿宋_GB2312"/>
          <w:kern w:val="24"/>
          <w:sz w:val="24"/>
          <w:szCs w:val="21"/>
          <w:lang w:eastAsia="zh-CN"/>
        </w:rPr>
        <w:t>谈判</w:t>
      </w:r>
      <w:r>
        <w:rPr>
          <w:rFonts w:ascii="Times New Roman" w:hAnsi="Times New Roman" w:eastAsia="仿宋_GB2312"/>
          <w:kern w:val="24"/>
          <w:sz w:val="24"/>
          <w:szCs w:val="21"/>
        </w:rPr>
        <w:t>，共同响应协议中应写明小型、微型企业的协议合同金额占到共同响应协议报价总金额的比例。</w:t>
      </w:r>
    </w:p>
    <w:p w14:paraId="64590051">
      <w:pPr>
        <w:pStyle w:val="22"/>
        <w:keepNext w:val="0"/>
        <w:keepLines w:val="0"/>
        <w:pageBreakBefore w:val="0"/>
        <w:kinsoku/>
        <w:wordWrap/>
        <w:overflowPunct/>
        <w:topLinePunct w:val="0"/>
        <w:bidi w:val="0"/>
        <w:adjustRightInd w:val="0"/>
        <w:snapToGrid w:val="0"/>
        <w:spacing w:line="460" w:lineRule="exact"/>
        <w:ind w:left="840" w:leftChars="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.6  以联合体形式参加政府采购活动的，联合体各方不得再单独参加或者与其他供应商另外组成联合体参加本项目同一合同项下的</w:t>
      </w:r>
      <w:r>
        <w:rPr>
          <w:rFonts w:hint="eastAsia" w:ascii="Times New Roman" w:hAnsi="Times New Roman" w:eastAsia="仿宋_GB2312"/>
          <w:kern w:val="24"/>
          <w:sz w:val="24"/>
          <w:szCs w:val="21"/>
        </w:rPr>
        <w:t>谈判</w:t>
      </w:r>
      <w:r>
        <w:rPr>
          <w:rFonts w:ascii="Times New Roman" w:hAnsi="Times New Roman" w:eastAsia="仿宋_GB2312"/>
          <w:kern w:val="24"/>
          <w:sz w:val="24"/>
          <w:szCs w:val="21"/>
        </w:rPr>
        <w:t>，否则相关响应文件将被认定为无效。</w:t>
      </w:r>
    </w:p>
    <w:p w14:paraId="1825CD67">
      <w:pPr>
        <w:pStyle w:val="22"/>
        <w:keepNext w:val="0"/>
        <w:keepLines w:val="0"/>
        <w:pageBreakBefore w:val="0"/>
        <w:kinsoku/>
        <w:wordWrap/>
        <w:overflowPunct/>
        <w:topLinePunct w:val="0"/>
        <w:bidi w:val="0"/>
        <w:adjustRightInd w:val="0"/>
        <w:snapToGrid w:val="0"/>
        <w:spacing w:line="460" w:lineRule="exact"/>
        <w:ind w:left="0" w:leftChars="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.7  对联合体</w:t>
      </w:r>
      <w:r>
        <w:rPr>
          <w:rFonts w:hint="eastAsia" w:ascii="Times New Roman" w:hAnsi="Times New Roman" w:eastAsia="仿宋_GB2312"/>
          <w:kern w:val="24"/>
          <w:sz w:val="24"/>
          <w:szCs w:val="21"/>
        </w:rPr>
        <w:t>谈判</w:t>
      </w:r>
      <w:r>
        <w:rPr>
          <w:rFonts w:ascii="Times New Roman" w:hAnsi="Times New Roman" w:eastAsia="仿宋_GB2312"/>
          <w:kern w:val="24"/>
          <w:sz w:val="24"/>
          <w:szCs w:val="21"/>
        </w:rPr>
        <w:t>的其他资格要求见须知前附表。</w:t>
      </w:r>
    </w:p>
    <w:p w14:paraId="2C14DBF1">
      <w:pPr>
        <w:pStyle w:val="22"/>
        <w:keepNext w:val="0"/>
        <w:keepLines w:val="0"/>
        <w:pageBreakBefore w:val="0"/>
        <w:kinsoku/>
        <w:wordWrap/>
        <w:overflowPunct/>
        <w:topLinePunct w:val="0"/>
        <w:bidi w:val="0"/>
        <w:adjustRightInd w:val="0"/>
        <w:snapToGrid w:val="0"/>
        <w:spacing w:line="460" w:lineRule="exact"/>
        <w:ind w:left="840" w:leftChars="0" w:hanging="840" w:hangingChars="350"/>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7</w:t>
      </w:r>
      <w:r>
        <w:rPr>
          <w:rFonts w:ascii="Times New Roman" w:hAnsi="Times New Roman" w:eastAsia="仿宋_GB2312"/>
          <w:kern w:val="24"/>
          <w:sz w:val="24"/>
          <w:szCs w:val="21"/>
        </w:rPr>
        <w:t xml:space="preserve">    </w:t>
      </w:r>
      <w:r>
        <w:rPr>
          <w:rFonts w:ascii="Times New Roman" w:hAnsi="Times New Roman" w:eastAsia="仿宋_GB2312"/>
          <w:sz w:val="24"/>
        </w:rPr>
        <w:t>若前附表中写明专门面向中小企业采购的，如供应商为非中小企业或所投产品为非中小企业产品，其响应文件将被认定为无效。</w:t>
      </w:r>
    </w:p>
    <w:p w14:paraId="546BE3BB">
      <w:pPr>
        <w:pStyle w:val="6"/>
        <w:keepNext w:val="0"/>
        <w:keepLines w:val="0"/>
        <w:pageBreakBefore w:val="0"/>
        <w:widowControl w:val="0"/>
        <w:tabs>
          <w:tab w:val="left" w:pos="588"/>
        </w:tabs>
        <w:kinsoku/>
        <w:wordWrap/>
        <w:overflowPunct/>
        <w:topLinePunct w:val="0"/>
        <w:autoSpaceDE/>
        <w:autoSpaceDN/>
        <w:bidi w:val="0"/>
        <w:adjustRightInd w:val="0"/>
        <w:snapToGrid w:val="0"/>
        <w:spacing w:beforeAutospacing="0" w:afterAutospacing="0" w:line="460" w:lineRule="exact"/>
        <w:ind w:left="0" w:leftChars="0"/>
        <w:textAlignment w:val="baseline"/>
        <w:outlineLvl w:val="3"/>
        <w:rPr>
          <w:rFonts w:ascii="Times New Roman" w:hAnsi="Times New Roman" w:eastAsia="仿宋_GB2312"/>
          <w:b/>
          <w:sz w:val="24"/>
          <w:szCs w:val="21"/>
        </w:rPr>
      </w:pPr>
      <w:bookmarkStart w:id="113" w:name="_Toc249515395"/>
      <w:bookmarkStart w:id="114" w:name="_Toc249515283"/>
      <w:bookmarkStart w:id="115" w:name="_Toc184043017"/>
      <w:bookmarkStart w:id="116" w:name="_Toc249525164"/>
      <w:bookmarkStart w:id="117" w:name="_Toc389620169"/>
      <w:bookmarkStart w:id="118" w:name="_Toc26580"/>
      <w:bookmarkStart w:id="119" w:name="_Toc385992330"/>
      <w:bookmarkStart w:id="120" w:name="_Toc70687144"/>
      <w:r>
        <w:rPr>
          <w:rFonts w:ascii="Times New Roman" w:hAnsi="Times New Roman" w:eastAsia="仿宋_GB2312"/>
          <w:b/>
          <w:sz w:val="24"/>
          <w:szCs w:val="21"/>
        </w:rPr>
        <w:t>4.     响应费用</w:t>
      </w:r>
      <w:bookmarkEnd w:id="113"/>
      <w:bookmarkEnd w:id="114"/>
      <w:bookmarkEnd w:id="115"/>
      <w:bookmarkEnd w:id="116"/>
      <w:bookmarkEnd w:id="117"/>
      <w:bookmarkEnd w:id="118"/>
      <w:bookmarkEnd w:id="119"/>
      <w:bookmarkEnd w:id="120"/>
    </w:p>
    <w:p w14:paraId="233DFD86">
      <w:pPr>
        <w:keepNext w:val="0"/>
        <w:keepLines w:val="0"/>
        <w:pageBreakBefore w:val="0"/>
        <w:tabs>
          <w:tab w:val="left" w:pos="588"/>
        </w:tabs>
        <w:kinsoku/>
        <w:wordWrap/>
        <w:overflowPunct/>
        <w:topLinePunct w:val="0"/>
        <w:bidi w:val="0"/>
        <w:adjustRightInd w:val="0"/>
        <w:snapToGrid w:val="0"/>
        <w:spacing w:line="460" w:lineRule="exact"/>
        <w:ind w:left="840" w:leftChars="0" w:hanging="840" w:hangingChars="350"/>
        <w:rPr>
          <w:rFonts w:eastAsia="仿宋_GB2312"/>
          <w:kern w:val="24"/>
          <w:sz w:val="24"/>
          <w:szCs w:val="21"/>
        </w:rPr>
      </w:pPr>
      <w:r>
        <w:rPr>
          <w:rFonts w:eastAsia="仿宋_GB2312"/>
          <w:kern w:val="24"/>
          <w:sz w:val="24"/>
          <w:szCs w:val="21"/>
        </w:rPr>
        <w:t>4.1    供应商应承担所有与编写和提交响应文件有关的费用，无论响应过程和结果如何，采购人在任何情况下均无义务和责任承担这些费用。</w:t>
      </w:r>
    </w:p>
    <w:p w14:paraId="07F05E38">
      <w:pPr>
        <w:pStyle w:val="22"/>
      </w:pPr>
    </w:p>
    <w:p w14:paraId="17A6DD7E">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jc w:val="center"/>
        <w:textAlignment w:val="baseline"/>
        <w:outlineLvl w:val="2"/>
        <w:rPr>
          <w:rFonts w:eastAsia="仿宋_GB2312"/>
          <w:b/>
          <w:kern w:val="0"/>
          <w:sz w:val="28"/>
          <w:szCs w:val="28"/>
        </w:rPr>
      </w:pPr>
      <w:bookmarkStart w:id="121" w:name="_Toc500747064"/>
      <w:bookmarkStart w:id="122" w:name="_Toc232176274"/>
      <w:bookmarkStart w:id="123" w:name="_Toc249515284"/>
      <w:bookmarkStart w:id="124" w:name="_Toc176882544"/>
      <w:bookmarkStart w:id="125" w:name="_Toc496324581"/>
      <w:bookmarkStart w:id="126" w:name="_Toc500747191"/>
      <w:bookmarkStart w:id="127" w:name="_Toc177995475"/>
      <w:bookmarkStart w:id="128" w:name="_Toc389620170"/>
      <w:bookmarkStart w:id="129" w:name="_Toc503063424"/>
      <w:bookmarkStart w:id="130" w:name="_Toc256342145"/>
      <w:bookmarkStart w:id="131" w:name="_Toc177817336"/>
      <w:bookmarkStart w:id="132" w:name="_Toc492955417"/>
      <w:bookmarkStart w:id="133" w:name="_Toc230013634"/>
      <w:bookmarkStart w:id="134" w:name="_Toc500746968"/>
      <w:bookmarkStart w:id="135" w:name="_Toc499711886"/>
      <w:bookmarkStart w:id="136" w:name="_Toc232395214"/>
      <w:bookmarkStart w:id="137" w:name="_Toc385992331"/>
      <w:bookmarkStart w:id="138" w:name="_Toc249525165"/>
      <w:bookmarkStart w:id="139" w:name="_Toc70687145"/>
      <w:bookmarkStart w:id="140" w:name="_Toc177189237"/>
      <w:bookmarkStart w:id="141" w:name="_Toc184043018"/>
      <w:bookmarkStart w:id="142" w:name="_Toc499711045"/>
      <w:bookmarkStart w:id="143" w:name="_Toc249515396"/>
      <w:bookmarkStart w:id="144" w:name="_Toc230099799"/>
      <w:bookmarkStart w:id="145" w:name="_Toc53722842"/>
      <w:bookmarkStart w:id="146" w:name="_Toc230583543"/>
      <w:r>
        <w:rPr>
          <w:rFonts w:eastAsia="仿宋_GB2312"/>
          <w:b/>
          <w:kern w:val="0"/>
          <w:sz w:val="28"/>
          <w:szCs w:val="28"/>
        </w:rPr>
        <w:t>二、</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Pr>
          <w:rFonts w:eastAsia="仿宋_GB2312"/>
          <w:b/>
          <w:kern w:val="0"/>
          <w:sz w:val="28"/>
          <w:szCs w:val="28"/>
        </w:rPr>
        <w:t>谈判文件说明</w:t>
      </w:r>
    </w:p>
    <w:p w14:paraId="6D436AFE">
      <w:pPr>
        <w:pStyle w:val="6"/>
        <w:keepNext w:val="0"/>
        <w:keepLines w:val="0"/>
        <w:pageBreakBefore w:val="0"/>
        <w:widowControl w:val="0"/>
        <w:tabs>
          <w:tab w:val="left" w:pos="588"/>
        </w:tabs>
        <w:kinsoku/>
        <w:wordWrap/>
        <w:overflowPunct/>
        <w:topLinePunct w:val="0"/>
        <w:autoSpaceDE/>
        <w:autoSpaceDN/>
        <w:bidi w:val="0"/>
        <w:adjustRightInd w:val="0"/>
        <w:snapToGrid w:val="0"/>
        <w:spacing w:beforeAutospacing="0" w:afterAutospacing="0" w:line="460" w:lineRule="exact"/>
        <w:ind w:left="0" w:leftChars="0"/>
        <w:textAlignment w:val="baseline"/>
        <w:outlineLvl w:val="3"/>
        <w:rPr>
          <w:rFonts w:ascii="Times New Roman" w:hAnsi="Times New Roman" w:eastAsia="仿宋_GB2312"/>
          <w:b/>
          <w:sz w:val="24"/>
          <w:szCs w:val="21"/>
        </w:rPr>
      </w:pPr>
      <w:bookmarkStart w:id="147" w:name="_Toc128"/>
      <w:bookmarkStart w:id="148" w:name="_Toc249515285"/>
      <w:bookmarkStart w:id="149" w:name="_Toc385992332"/>
      <w:bookmarkStart w:id="150" w:name="_Toc389620171"/>
      <w:bookmarkStart w:id="151" w:name="_Toc70687146"/>
      <w:bookmarkStart w:id="152" w:name="_Toc184043019"/>
      <w:bookmarkStart w:id="153" w:name="_Toc249525166"/>
      <w:bookmarkStart w:id="154" w:name="_Toc249515397"/>
      <w:r>
        <w:rPr>
          <w:rFonts w:ascii="Times New Roman" w:hAnsi="Times New Roman" w:eastAsia="仿宋_GB2312"/>
          <w:b/>
          <w:sz w:val="24"/>
          <w:szCs w:val="21"/>
        </w:rPr>
        <w:t>5.     通知</w:t>
      </w:r>
      <w:bookmarkEnd w:id="147"/>
    </w:p>
    <w:p w14:paraId="1C442E0A">
      <w:pPr>
        <w:keepNext w:val="0"/>
        <w:keepLines w:val="0"/>
        <w:pageBreakBefore w:val="0"/>
        <w:tabs>
          <w:tab w:val="left" w:pos="588"/>
        </w:tabs>
        <w:kinsoku/>
        <w:wordWrap/>
        <w:overflowPunct/>
        <w:topLinePunct w:val="0"/>
        <w:bidi w:val="0"/>
        <w:adjustRightInd w:val="0"/>
        <w:snapToGrid w:val="0"/>
        <w:spacing w:line="460" w:lineRule="exact"/>
        <w:ind w:left="840" w:leftChars="0" w:hanging="840" w:hangingChars="350"/>
        <w:rPr>
          <w:rFonts w:eastAsia="仿宋_GB2312"/>
          <w:kern w:val="24"/>
          <w:sz w:val="24"/>
          <w:szCs w:val="21"/>
        </w:rPr>
      </w:pPr>
      <w:r>
        <w:rPr>
          <w:rFonts w:eastAsia="仿宋_GB2312"/>
          <w:kern w:val="24"/>
          <w:sz w:val="24"/>
          <w:szCs w:val="21"/>
        </w:rPr>
        <w:t>5.1    对与本项目有关的通知，采购人或采购代理机构将以书面（包括书面材料、信函、传真、电子邮件等，下同）的形式，送达所有与通知有关的已</w:t>
      </w:r>
      <w:r>
        <w:rPr>
          <w:rFonts w:hint="eastAsia" w:eastAsia="仿宋_GB2312"/>
          <w:kern w:val="24"/>
          <w:sz w:val="24"/>
          <w:szCs w:val="21"/>
        </w:rPr>
        <w:t>获取</w:t>
      </w:r>
      <w:r>
        <w:rPr>
          <w:rFonts w:eastAsia="仿宋_GB2312"/>
          <w:kern w:val="24"/>
          <w:sz w:val="24"/>
          <w:szCs w:val="21"/>
        </w:rPr>
        <w:t>了谈判文件的供应商（潜在供应商）。供应商应于收到通知后按规定时间以书面方式予以回复确认。因登记有误或传真线路故障导致通知延迟送达或无法送达，采购人或采购代理机构不承担责任。</w:t>
      </w:r>
    </w:p>
    <w:p w14:paraId="558770E9">
      <w:pPr>
        <w:pStyle w:val="6"/>
        <w:keepNext w:val="0"/>
        <w:keepLines w:val="0"/>
        <w:pageBreakBefore w:val="0"/>
        <w:widowControl w:val="0"/>
        <w:tabs>
          <w:tab w:val="left" w:pos="588"/>
        </w:tabs>
        <w:kinsoku/>
        <w:wordWrap/>
        <w:overflowPunct/>
        <w:topLinePunct w:val="0"/>
        <w:autoSpaceDE/>
        <w:autoSpaceDN/>
        <w:bidi w:val="0"/>
        <w:adjustRightInd w:val="0"/>
        <w:snapToGrid w:val="0"/>
        <w:spacing w:beforeAutospacing="0" w:afterAutospacing="0" w:line="460" w:lineRule="exact"/>
        <w:ind w:left="0" w:leftChars="0"/>
        <w:textAlignment w:val="baseline"/>
        <w:outlineLvl w:val="3"/>
        <w:rPr>
          <w:rFonts w:ascii="Times New Roman" w:hAnsi="Times New Roman" w:eastAsia="仿宋_GB2312"/>
          <w:b/>
          <w:sz w:val="24"/>
          <w:szCs w:val="21"/>
        </w:rPr>
      </w:pPr>
      <w:bookmarkStart w:id="155" w:name="_Toc27223"/>
      <w:r>
        <w:rPr>
          <w:rFonts w:ascii="Times New Roman" w:hAnsi="Times New Roman" w:eastAsia="仿宋_GB2312"/>
          <w:b/>
          <w:sz w:val="24"/>
          <w:szCs w:val="21"/>
        </w:rPr>
        <w:t>6.     谈判文件的构成</w:t>
      </w:r>
      <w:bookmarkEnd w:id="148"/>
      <w:bookmarkEnd w:id="149"/>
      <w:bookmarkEnd w:id="150"/>
      <w:bookmarkEnd w:id="151"/>
      <w:bookmarkEnd w:id="152"/>
      <w:bookmarkEnd w:id="153"/>
      <w:bookmarkEnd w:id="154"/>
      <w:bookmarkEnd w:id="155"/>
    </w:p>
    <w:p w14:paraId="58E95A33">
      <w:pPr>
        <w:keepNext w:val="0"/>
        <w:keepLines w:val="0"/>
        <w:pageBreakBefore w:val="0"/>
        <w:tabs>
          <w:tab w:val="left" w:pos="588"/>
        </w:tabs>
        <w:kinsoku/>
        <w:wordWrap/>
        <w:overflowPunct/>
        <w:topLinePunct w:val="0"/>
        <w:bidi w:val="0"/>
        <w:adjustRightInd w:val="0"/>
        <w:snapToGrid w:val="0"/>
        <w:spacing w:line="460" w:lineRule="exact"/>
        <w:ind w:left="840" w:leftChars="0" w:hanging="840" w:hangingChars="350"/>
        <w:rPr>
          <w:rFonts w:eastAsia="仿宋_GB2312"/>
          <w:sz w:val="24"/>
        </w:rPr>
      </w:pPr>
      <w:r>
        <w:rPr>
          <w:rFonts w:eastAsia="仿宋_GB2312"/>
          <w:sz w:val="24"/>
        </w:rPr>
        <w:t>6.1    谈判文件用以阐明供应商所需提供的服务以及其它类似的义务、采购响应程序和合同条款。谈判文件包括如下五章内容：</w:t>
      </w:r>
    </w:p>
    <w:p w14:paraId="5DE60C7B">
      <w:pPr>
        <w:keepNext w:val="0"/>
        <w:keepLines w:val="0"/>
        <w:pageBreakBefore w:val="0"/>
        <w:widowControl w:val="0"/>
        <w:tabs>
          <w:tab w:val="left" w:pos="588"/>
        </w:tabs>
        <w:kinsoku/>
        <w:wordWrap/>
        <w:overflowPunct/>
        <w:topLinePunct w:val="0"/>
        <w:autoSpaceDE/>
        <w:autoSpaceDN/>
        <w:bidi w:val="0"/>
        <w:adjustRightInd/>
        <w:snapToGrid/>
        <w:spacing w:line="360" w:lineRule="auto"/>
        <w:ind w:left="735" w:leftChars="350" w:firstLine="0" w:firstLineChars="0"/>
        <w:textAlignment w:val="auto"/>
        <w:rPr>
          <w:rFonts w:eastAsia="仿宋_GB2312"/>
          <w:sz w:val="24"/>
        </w:rPr>
      </w:pPr>
      <w:r>
        <w:rPr>
          <w:rFonts w:eastAsia="仿宋_GB2312"/>
          <w:sz w:val="24"/>
        </w:rPr>
        <w:t>第一章 谈判邀请</w:t>
      </w:r>
    </w:p>
    <w:p w14:paraId="028BE2CE">
      <w:pPr>
        <w:keepNext w:val="0"/>
        <w:keepLines w:val="0"/>
        <w:pageBreakBefore w:val="0"/>
        <w:widowControl w:val="0"/>
        <w:tabs>
          <w:tab w:val="left" w:pos="588"/>
        </w:tabs>
        <w:kinsoku/>
        <w:wordWrap/>
        <w:overflowPunct/>
        <w:topLinePunct w:val="0"/>
        <w:autoSpaceDE/>
        <w:autoSpaceDN/>
        <w:bidi w:val="0"/>
        <w:adjustRightInd/>
        <w:snapToGrid/>
        <w:spacing w:line="360" w:lineRule="auto"/>
        <w:ind w:left="735" w:leftChars="350" w:firstLine="0" w:firstLineChars="0"/>
        <w:textAlignment w:val="auto"/>
        <w:rPr>
          <w:rFonts w:eastAsia="仿宋_GB2312"/>
          <w:sz w:val="24"/>
        </w:rPr>
      </w:pPr>
      <w:r>
        <w:rPr>
          <w:rFonts w:eastAsia="仿宋_GB2312"/>
          <w:sz w:val="24"/>
        </w:rPr>
        <w:t>第二章 供应商须知</w:t>
      </w:r>
    </w:p>
    <w:p w14:paraId="66F5D5AF">
      <w:pPr>
        <w:keepNext w:val="0"/>
        <w:keepLines w:val="0"/>
        <w:pageBreakBefore w:val="0"/>
        <w:widowControl w:val="0"/>
        <w:tabs>
          <w:tab w:val="left" w:pos="588"/>
        </w:tabs>
        <w:kinsoku/>
        <w:wordWrap/>
        <w:overflowPunct/>
        <w:topLinePunct w:val="0"/>
        <w:autoSpaceDE/>
        <w:autoSpaceDN/>
        <w:bidi w:val="0"/>
        <w:adjustRightInd/>
        <w:snapToGrid/>
        <w:spacing w:line="360" w:lineRule="auto"/>
        <w:ind w:left="735" w:leftChars="350" w:firstLine="0" w:firstLineChars="0"/>
        <w:textAlignment w:val="auto"/>
        <w:rPr>
          <w:rFonts w:eastAsia="仿宋_GB2312"/>
          <w:sz w:val="24"/>
        </w:rPr>
      </w:pPr>
      <w:r>
        <w:rPr>
          <w:rFonts w:eastAsia="仿宋_GB2312"/>
          <w:sz w:val="24"/>
        </w:rPr>
        <w:t>第三章 合同草案条款</w:t>
      </w:r>
    </w:p>
    <w:p w14:paraId="50CC2369">
      <w:pPr>
        <w:keepNext w:val="0"/>
        <w:keepLines w:val="0"/>
        <w:pageBreakBefore w:val="0"/>
        <w:widowControl w:val="0"/>
        <w:tabs>
          <w:tab w:val="left" w:pos="588"/>
        </w:tabs>
        <w:kinsoku/>
        <w:wordWrap/>
        <w:overflowPunct/>
        <w:topLinePunct w:val="0"/>
        <w:autoSpaceDE/>
        <w:autoSpaceDN/>
        <w:bidi w:val="0"/>
        <w:adjustRightInd/>
        <w:snapToGrid/>
        <w:spacing w:line="360" w:lineRule="auto"/>
        <w:ind w:left="735" w:leftChars="350" w:firstLine="0" w:firstLineChars="0"/>
        <w:textAlignment w:val="auto"/>
        <w:rPr>
          <w:rFonts w:eastAsia="仿宋_GB2312"/>
          <w:sz w:val="24"/>
        </w:rPr>
      </w:pPr>
      <w:r>
        <w:rPr>
          <w:rFonts w:eastAsia="仿宋_GB2312"/>
          <w:sz w:val="24"/>
        </w:rPr>
        <w:t>第四章 采购内容及要求</w:t>
      </w:r>
    </w:p>
    <w:p w14:paraId="56B33D3C">
      <w:pPr>
        <w:keepNext w:val="0"/>
        <w:keepLines w:val="0"/>
        <w:pageBreakBefore w:val="0"/>
        <w:widowControl w:val="0"/>
        <w:tabs>
          <w:tab w:val="left" w:pos="588"/>
        </w:tabs>
        <w:kinsoku/>
        <w:wordWrap/>
        <w:overflowPunct/>
        <w:topLinePunct w:val="0"/>
        <w:autoSpaceDE/>
        <w:autoSpaceDN/>
        <w:bidi w:val="0"/>
        <w:adjustRightInd/>
        <w:snapToGrid/>
        <w:spacing w:line="360" w:lineRule="auto"/>
        <w:ind w:left="735" w:leftChars="350" w:firstLine="0" w:firstLineChars="0"/>
        <w:textAlignment w:val="auto"/>
        <w:rPr>
          <w:rFonts w:eastAsia="仿宋_GB2312"/>
          <w:sz w:val="24"/>
        </w:rPr>
      </w:pPr>
      <w:r>
        <w:rPr>
          <w:rFonts w:eastAsia="仿宋_GB2312"/>
          <w:sz w:val="24"/>
        </w:rPr>
        <w:t>第五章 谈判响应文件格式</w:t>
      </w:r>
    </w:p>
    <w:p w14:paraId="0F3EEB76">
      <w:pPr>
        <w:keepNext w:val="0"/>
        <w:keepLines w:val="0"/>
        <w:pageBreakBefore w:val="0"/>
        <w:tabs>
          <w:tab w:val="left" w:pos="588"/>
        </w:tabs>
        <w:kinsoku/>
        <w:wordWrap/>
        <w:overflowPunct/>
        <w:topLinePunct w:val="0"/>
        <w:bidi w:val="0"/>
        <w:adjustRightInd w:val="0"/>
        <w:snapToGrid w:val="0"/>
        <w:spacing w:line="460" w:lineRule="exact"/>
        <w:ind w:left="840" w:leftChars="0" w:hanging="840" w:hangingChars="350"/>
        <w:rPr>
          <w:rFonts w:eastAsia="仿宋_GB2312"/>
          <w:sz w:val="24"/>
        </w:rPr>
      </w:pPr>
      <w:r>
        <w:rPr>
          <w:rFonts w:eastAsia="仿宋_GB2312"/>
          <w:sz w:val="24"/>
        </w:rPr>
        <w:t>6.2    供应商应认真阅读谈判文件中所有的事项、格式条款和规范要求等。供应商没有对谈判文件做出全面的实质性响应是供应商的风险。采购人有权拒绝没有对谈判文件要求做出实质性响应的响应文件。</w:t>
      </w:r>
    </w:p>
    <w:p w14:paraId="20B21F9F">
      <w:pPr>
        <w:pStyle w:val="6"/>
        <w:keepNext w:val="0"/>
        <w:keepLines w:val="0"/>
        <w:pageBreakBefore w:val="0"/>
        <w:widowControl w:val="0"/>
        <w:tabs>
          <w:tab w:val="left" w:pos="588"/>
        </w:tabs>
        <w:kinsoku/>
        <w:wordWrap/>
        <w:overflowPunct/>
        <w:topLinePunct w:val="0"/>
        <w:autoSpaceDE/>
        <w:autoSpaceDN/>
        <w:bidi w:val="0"/>
        <w:adjustRightInd w:val="0"/>
        <w:snapToGrid w:val="0"/>
        <w:spacing w:beforeAutospacing="0" w:afterAutospacing="0" w:line="460" w:lineRule="exact"/>
        <w:ind w:left="0" w:leftChars="0"/>
        <w:textAlignment w:val="baseline"/>
        <w:outlineLvl w:val="3"/>
        <w:rPr>
          <w:rFonts w:ascii="Times New Roman" w:hAnsi="Times New Roman" w:eastAsia="仿宋_GB2312"/>
          <w:b/>
          <w:sz w:val="24"/>
          <w:szCs w:val="21"/>
        </w:rPr>
      </w:pPr>
      <w:bookmarkStart w:id="156" w:name="_Toc389620172"/>
      <w:bookmarkStart w:id="157" w:name="_Toc249515398"/>
      <w:bookmarkStart w:id="158" w:name="_Toc184043020"/>
      <w:bookmarkStart w:id="159" w:name="_Toc70687147"/>
      <w:bookmarkStart w:id="160" w:name="_Toc249525167"/>
      <w:bookmarkStart w:id="161" w:name="_Toc385992333"/>
      <w:bookmarkStart w:id="162" w:name="_Toc249515286"/>
      <w:bookmarkStart w:id="163" w:name="_Toc10350"/>
      <w:r>
        <w:rPr>
          <w:rFonts w:ascii="Times New Roman" w:hAnsi="Times New Roman" w:eastAsia="仿宋_GB2312"/>
          <w:b/>
          <w:sz w:val="24"/>
          <w:szCs w:val="21"/>
        </w:rPr>
        <w:t>7.     谈判文件的澄清</w:t>
      </w:r>
      <w:bookmarkEnd w:id="156"/>
      <w:bookmarkEnd w:id="157"/>
      <w:bookmarkEnd w:id="158"/>
      <w:bookmarkEnd w:id="159"/>
      <w:bookmarkEnd w:id="160"/>
      <w:bookmarkEnd w:id="161"/>
      <w:bookmarkEnd w:id="162"/>
      <w:r>
        <w:rPr>
          <w:rFonts w:ascii="Times New Roman" w:hAnsi="Times New Roman" w:eastAsia="仿宋_GB2312"/>
          <w:b/>
          <w:sz w:val="24"/>
          <w:szCs w:val="21"/>
        </w:rPr>
        <w:t>和修改</w:t>
      </w:r>
      <w:bookmarkEnd w:id="163"/>
    </w:p>
    <w:p w14:paraId="284CBC64">
      <w:pPr>
        <w:keepNext w:val="0"/>
        <w:keepLines w:val="0"/>
        <w:pageBreakBefore w:val="0"/>
        <w:tabs>
          <w:tab w:val="left" w:pos="588"/>
        </w:tabs>
        <w:kinsoku/>
        <w:wordWrap/>
        <w:overflowPunct/>
        <w:topLinePunct w:val="0"/>
        <w:bidi w:val="0"/>
        <w:adjustRightInd w:val="0"/>
        <w:snapToGrid w:val="0"/>
        <w:spacing w:line="460" w:lineRule="exact"/>
        <w:ind w:left="840" w:leftChars="0" w:hanging="840" w:hangingChars="350"/>
        <w:rPr>
          <w:rFonts w:eastAsia="仿宋_GB2312"/>
          <w:sz w:val="24"/>
        </w:rPr>
      </w:pPr>
      <w:bookmarkStart w:id="164" w:name="_Toc385992334"/>
      <w:bookmarkStart w:id="165" w:name="_Toc389620173"/>
      <w:bookmarkStart w:id="166" w:name="_Toc70687148"/>
      <w:r>
        <w:rPr>
          <w:rFonts w:eastAsia="仿宋_GB2312"/>
          <w:sz w:val="24"/>
        </w:rPr>
        <w:t xml:space="preserve">7.1   </w:t>
      </w:r>
      <w:bookmarkEnd w:id="164"/>
      <w:bookmarkEnd w:id="165"/>
      <w:bookmarkEnd w:id="166"/>
      <w:bookmarkStart w:id="167" w:name="_Hlt491765710"/>
      <w:bookmarkEnd w:id="167"/>
      <w:bookmarkStart w:id="168" w:name="_Hlt497729436"/>
      <w:bookmarkEnd w:id="168"/>
      <w:bookmarkStart w:id="169" w:name="_Toc499711887"/>
      <w:bookmarkStart w:id="170" w:name="_Toc500746969"/>
      <w:bookmarkStart w:id="171" w:name="_Toc500747192"/>
      <w:bookmarkStart w:id="172" w:name="_Toc503063425"/>
      <w:bookmarkStart w:id="173" w:name="_Toc385992335"/>
      <w:bookmarkStart w:id="174" w:name="_Toc496324582"/>
      <w:bookmarkStart w:id="175" w:name="_Toc389620174"/>
      <w:bookmarkStart w:id="176" w:name="_Toc53722843"/>
      <w:bookmarkStart w:id="177" w:name="_Toc492955418"/>
      <w:bookmarkStart w:id="178" w:name="_Toc500747065"/>
      <w:bookmarkStart w:id="179" w:name="_Toc70687149"/>
      <w:bookmarkStart w:id="180" w:name="_Toc499711046"/>
      <w:r>
        <w:rPr>
          <w:rFonts w:eastAsia="仿宋_GB2312"/>
          <w:sz w:val="24"/>
        </w:rPr>
        <w:t xml:space="preserve"> 在首次响应文件递交截止时间前，采购人或采购代理机构可主动地或在解答供应商提出的澄清问题时对谈判文件进行必要的澄清或修改，澄清或修改的内容为谈判文件的组成部分。</w:t>
      </w:r>
    </w:p>
    <w:p w14:paraId="72877429">
      <w:pPr>
        <w:keepNext w:val="0"/>
        <w:keepLines w:val="0"/>
        <w:pageBreakBefore w:val="0"/>
        <w:tabs>
          <w:tab w:val="left" w:pos="588"/>
        </w:tabs>
        <w:kinsoku/>
        <w:wordWrap/>
        <w:overflowPunct/>
        <w:topLinePunct w:val="0"/>
        <w:bidi w:val="0"/>
        <w:adjustRightInd w:val="0"/>
        <w:snapToGrid w:val="0"/>
        <w:spacing w:line="460" w:lineRule="exact"/>
        <w:ind w:left="840" w:leftChars="0" w:hanging="840" w:hangingChars="350"/>
        <w:rPr>
          <w:rFonts w:eastAsia="仿宋_GB2312"/>
          <w:sz w:val="24"/>
        </w:rPr>
      </w:pPr>
      <w:r>
        <w:rPr>
          <w:rFonts w:eastAsia="仿宋_GB2312"/>
          <w:sz w:val="24"/>
        </w:rPr>
        <w:t>7.2    谈判文件的修改将以书面形式通知所有</w:t>
      </w:r>
      <w:r>
        <w:rPr>
          <w:rFonts w:hint="eastAsia" w:eastAsia="仿宋_GB2312"/>
          <w:sz w:val="24"/>
        </w:rPr>
        <w:t>获取</w:t>
      </w:r>
      <w:r>
        <w:rPr>
          <w:rFonts w:eastAsia="仿宋_GB2312"/>
          <w:sz w:val="24"/>
        </w:rPr>
        <w:t>谈判文件的供应商，并对其具有约束力。供应商在收到上述通知后，应立即向采购人回函确认。</w:t>
      </w:r>
    </w:p>
    <w:p w14:paraId="5ABC0BE3">
      <w:pPr>
        <w:keepNext w:val="0"/>
        <w:keepLines w:val="0"/>
        <w:pageBreakBefore w:val="0"/>
        <w:tabs>
          <w:tab w:val="left" w:pos="588"/>
        </w:tabs>
        <w:kinsoku/>
        <w:wordWrap/>
        <w:overflowPunct/>
        <w:topLinePunct w:val="0"/>
        <w:bidi w:val="0"/>
        <w:adjustRightInd w:val="0"/>
        <w:snapToGrid w:val="0"/>
        <w:spacing w:line="460" w:lineRule="exact"/>
        <w:ind w:left="840" w:leftChars="0" w:hanging="840" w:hangingChars="350"/>
        <w:rPr>
          <w:rFonts w:eastAsia="仿宋_GB2312"/>
          <w:sz w:val="24"/>
        </w:rPr>
      </w:pPr>
      <w:r>
        <w:rPr>
          <w:rFonts w:eastAsia="仿宋_GB2312"/>
          <w:sz w:val="24"/>
        </w:rPr>
        <w:t>7.3    澄清或修改的内容可能影响响应文件编制的，采购人或采购代理机构可适当延长首次响应文件递交截止时间，并以书面形式通知所有</w:t>
      </w:r>
      <w:r>
        <w:rPr>
          <w:rFonts w:hint="eastAsia" w:eastAsia="仿宋_GB2312"/>
          <w:sz w:val="24"/>
        </w:rPr>
        <w:t>获取</w:t>
      </w:r>
      <w:r>
        <w:rPr>
          <w:rFonts w:eastAsia="仿宋_GB2312"/>
          <w:sz w:val="24"/>
        </w:rPr>
        <w:t>谈判文件的供应商。</w:t>
      </w:r>
    </w:p>
    <w:p w14:paraId="110C1B5B">
      <w:pPr>
        <w:pStyle w:val="22"/>
      </w:pPr>
    </w:p>
    <w:p w14:paraId="615CD5C8">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jc w:val="center"/>
        <w:textAlignment w:val="baseline"/>
        <w:outlineLvl w:val="2"/>
        <w:rPr>
          <w:rFonts w:eastAsia="仿宋_GB2312"/>
          <w:b/>
          <w:kern w:val="0"/>
          <w:sz w:val="28"/>
          <w:szCs w:val="28"/>
        </w:rPr>
      </w:pPr>
      <w:bookmarkStart w:id="181" w:name="_Toc249515288"/>
      <w:bookmarkStart w:id="182" w:name="_Toc177189238"/>
      <w:bookmarkStart w:id="183" w:name="_Toc177817337"/>
      <w:bookmarkStart w:id="184" w:name="_Toc249525169"/>
      <w:bookmarkStart w:id="185" w:name="_Toc249515400"/>
      <w:bookmarkStart w:id="186" w:name="_Toc230583544"/>
      <w:bookmarkStart w:id="187" w:name="_Toc230013635"/>
      <w:bookmarkStart w:id="188" w:name="_Toc256342146"/>
      <w:bookmarkStart w:id="189" w:name="_Toc232176275"/>
      <w:bookmarkStart w:id="190" w:name="_Toc176882545"/>
      <w:bookmarkStart w:id="191" w:name="_Toc230099800"/>
      <w:bookmarkStart w:id="192" w:name="_Toc177995476"/>
      <w:bookmarkStart w:id="193" w:name="_Toc232395215"/>
      <w:bookmarkStart w:id="194" w:name="_Toc184043022"/>
      <w:r>
        <w:rPr>
          <w:rFonts w:eastAsia="仿宋_GB2312"/>
          <w:b/>
          <w:kern w:val="0"/>
          <w:sz w:val="28"/>
          <w:szCs w:val="28"/>
        </w:rPr>
        <w:t>三、响应文件的编写</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41C68CCE">
      <w:pPr>
        <w:pStyle w:val="6"/>
        <w:keepNext w:val="0"/>
        <w:keepLines w:val="0"/>
        <w:pageBreakBefore w:val="0"/>
        <w:widowControl w:val="0"/>
        <w:tabs>
          <w:tab w:val="left" w:pos="588"/>
        </w:tabs>
        <w:kinsoku/>
        <w:wordWrap/>
        <w:overflowPunct/>
        <w:topLinePunct w:val="0"/>
        <w:autoSpaceDE/>
        <w:autoSpaceDN/>
        <w:bidi w:val="0"/>
        <w:adjustRightInd w:val="0"/>
        <w:snapToGrid w:val="0"/>
        <w:spacing w:beforeAutospacing="0" w:afterAutospacing="0" w:line="460" w:lineRule="exact"/>
        <w:ind w:left="0" w:leftChars="0"/>
        <w:textAlignment w:val="baseline"/>
        <w:outlineLvl w:val="3"/>
        <w:rPr>
          <w:rFonts w:ascii="Times New Roman" w:hAnsi="Times New Roman" w:eastAsia="仿宋_GB2312"/>
          <w:b/>
          <w:sz w:val="24"/>
          <w:szCs w:val="21"/>
        </w:rPr>
      </w:pPr>
      <w:bookmarkStart w:id="195" w:name="_Toc249525170"/>
      <w:bookmarkStart w:id="196" w:name="_Toc249515401"/>
      <w:bookmarkStart w:id="197" w:name="_Toc249515289"/>
      <w:bookmarkStart w:id="198" w:name="_Toc30150"/>
      <w:bookmarkStart w:id="199" w:name="_Toc70687150"/>
      <w:bookmarkStart w:id="200" w:name="_Toc184043023"/>
      <w:bookmarkStart w:id="201" w:name="_Toc385992337"/>
      <w:bookmarkStart w:id="202" w:name="_Toc389620176"/>
      <w:r>
        <w:rPr>
          <w:rFonts w:ascii="Times New Roman" w:hAnsi="Times New Roman" w:eastAsia="仿宋_GB2312"/>
          <w:b/>
          <w:sz w:val="24"/>
          <w:szCs w:val="21"/>
        </w:rPr>
        <w:t>8.     响应文件语言</w:t>
      </w:r>
      <w:bookmarkEnd w:id="195"/>
      <w:bookmarkEnd w:id="196"/>
      <w:bookmarkEnd w:id="197"/>
      <w:bookmarkEnd w:id="198"/>
      <w:bookmarkEnd w:id="199"/>
      <w:bookmarkEnd w:id="200"/>
    </w:p>
    <w:p w14:paraId="443C892E">
      <w:pPr>
        <w:keepNext w:val="0"/>
        <w:keepLines w:val="0"/>
        <w:pageBreakBefore w:val="0"/>
        <w:tabs>
          <w:tab w:val="left" w:pos="588"/>
        </w:tabs>
        <w:kinsoku/>
        <w:wordWrap/>
        <w:overflowPunct/>
        <w:topLinePunct w:val="0"/>
        <w:bidi w:val="0"/>
        <w:adjustRightInd w:val="0"/>
        <w:snapToGrid w:val="0"/>
        <w:spacing w:line="460" w:lineRule="exact"/>
        <w:ind w:left="0" w:leftChars="0"/>
        <w:rPr>
          <w:rFonts w:eastAsia="仿宋_GB2312"/>
          <w:sz w:val="24"/>
        </w:rPr>
      </w:pPr>
      <w:r>
        <w:rPr>
          <w:rFonts w:eastAsia="仿宋_GB2312"/>
          <w:sz w:val="24"/>
        </w:rPr>
        <w:t>8.1    响应文件及与响应相关的所有文件均应以中文书写。</w:t>
      </w:r>
    </w:p>
    <w:p w14:paraId="0ADA29BC">
      <w:pPr>
        <w:pStyle w:val="6"/>
        <w:keepNext w:val="0"/>
        <w:keepLines w:val="0"/>
        <w:pageBreakBefore w:val="0"/>
        <w:widowControl w:val="0"/>
        <w:tabs>
          <w:tab w:val="left" w:pos="588"/>
        </w:tabs>
        <w:kinsoku/>
        <w:wordWrap/>
        <w:overflowPunct/>
        <w:topLinePunct w:val="0"/>
        <w:autoSpaceDE/>
        <w:autoSpaceDN/>
        <w:bidi w:val="0"/>
        <w:adjustRightInd w:val="0"/>
        <w:snapToGrid w:val="0"/>
        <w:spacing w:beforeAutospacing="0" w:afterAutospacing="0" w:line="460" w:lineRule="exact"/>
        <w:ind w:left="0" w:leftChars="0"/>
        <w:textAlignment w:val="baseline"/>
        <w:outlineLvl w:val="3"/>
        <w:rPr>
          <w:rFonts w:ascii="Times New Roman" w:hAnsi="Times New Roman" w:eastAsia="仿宋_GB2312"/>
          <w:b/>
          <w:sz w:val="24"/>
          <w:szCs w:val="21"/>
        </w:rPr>
      </w:pPr>
      <w:bookmarkStart w:id="203" w:name="_Toc249525171"/>
      <w:bookmarkStart w:id="204" w:name="_Toc184043024"/>
      <w:bookmarkStart w:id="205" w:name="_Toc18327"/>
      <w:bookmarkStart w:id="206" w:name="_Toc70687151"/>
      <w:bookmarkStart w:id="207" w:name="_Toc249515290"/>
      <w:bookmarkStart w:id="208" w:name="_Toc249515402"/>
      <w:r>
        <w:rPr>
          <w:rFonts w:ascii="Times New Roman" w:hAnsi="Times New Roman" w:eastAsia="仿宋_GB2312"/>
          <w:b/>
          <w:sz w:val="24"/>
          <w:szCs w:val="21"/>
        </w:rPr>
        <w:t>9.     计量单位</w:t>
      </w:r>
      <w:bookmarkEnd w:id="201"/>
      <w:bookmarkEnd w:id="202"/>
      <w:bookmarkEnd w:id="203"/>
      <w:bookmarkEnd w:id="204"/>
      <w:bookmarkEnd w:id="205"/>
      <w:bookmarkEnd w:id="206"/>
      <w:bookmarkEnd w:id="207"/>
      <w:bookmarkEnd w:id="208"/>
    </w:p>
    <w:p w14:paraId="1AD9E53B">
      <w:pPr>
        <w:keepNext w:val="0"/>
        <w:keepLines w:val="0"/>
        <w:pageBreakBefore w:val="0"/>
        <w:tabs>
          <w:tab w:val="left" w:pos="588"/>
        </w:tabs>
        <w:kinsoku/>
        <w:wordWrap/>
        <w:overflowPunct/>
        <w:topLinePunct w:val="0"/>
        <w:bidi w:val="0"/>
        <w:adjustRightInd w:val="0"/>
        <w:snapToGrid w:val="0"/>
        <w:spacing w:line="460" w:lineRule="exact"/>
        <w:ind w:left="840" w:leftChars="0" w:hanging="840" w:hangingChars="350"/>
        <w:rPr>
          <w:rFonts w:eastAsia="仿宋_GB2312"/>
          <w:sz w:val="24"/>
        </w:rPr>
      </w:pPr>
      <w:r>
        <w:rPr>
          <w:rFonts w:eastAsia="仿宋_GB2312"/>
          <w:sz w:val="24"/>
        </w:rPr>
        <w:t>9.1    除在谈判文件的技术规格中另有规定外，计量单位应使用中华人民共和国法定计量单位。</w:t>
      </w:r>
    </w:p>
    <w:p w14:paraId="32084473">
      <w:pPr>
        <w:pStyle w:val="6"/>
        <w:keepNext w:val="0"/>
        <w:keepLines w:val="0"/>
        <w:pageBreakBefore w:val="0"/>
        <w:widowControl w:val="0"/>
        <w:tabs>
          <w:tab w:val="left" w:pos="588"/>
        </w:tabs>
        <w:kinsoku/>
        <w:wordWrap/>
        <w:overflowPunct/>
        <w:topLinePunct w:val="0"/>
        <w:autoSpaceDE/>
        <w:autoSpaceDN/>
        <w:bidi w:val="0"/>
        <w:adjustRightInd w:val="0"/>
        <w:snapToGrid w:val="0"/>
        <w:spacing w:beforeAutospacing="0" w:afterAutospacing="0" w:line="460" w:lineRule="exact"/>
        <w:ind w:left="0" w:leftChars="0"/>
        <w:textAlignment w:val="baseline"/>
        <w:outlineLvl w:val="3"/>
        <w:rPr>
          <w:rFonts w:ascii="Times New Roman" w:hAnsi="Times New Roman" w:eastAsia="仿宋_GB2312"/>
          <w:b/>
          <w:sz w:val="24"/>
          <w:szCs w:val="21"/>
          <w:highlight w:val="none"/>
        </w:rPr>
      </w:pPr>
      <w:bookmarkStart w:id="209" w:name="_Toc70687152"/>
      <w:bookmarkStart w:id="210" w:name="_Toc249515291"/>
      <w:bookmarkStart w:id="211" w:name="_Toc29318"/>
      <w:bookmarkStart w:id="212" w:name="_Toc249525172"/>
      <w:bookmarkStart w:id="213" w:name="_Toc184043025"/>
      <w:bookmarkStart w:id="214" w:name="_Toc385992338"/>
      <w:bookmarkStart w:id="215" w:name="_Toc389620177"/>
      <w:bookmarkStart w:id="216" w:name="_Toc249515403"/>
      <w:r>
        <w:rPr>
          <w:rFonts w:ascii="Times New Roman" w:hAnsi="Times New Roman" w:eastAsia="仿宋_GB2312"/>
          <w:b/>
          <w:sz w:val="24"/>
          <w:szCs w:val="21"/>
        </w:rPr>
        <w:t>10.    响应文件的组成</w:t>
      </w:r>
      <w:bookmarkEnd w:id="209"/>
      <w:bookmarkEnd w:id="210"/>
      <w:bookmarkEnd w:id="211"/>
      <w:bookmarkEnd w:id="212"/>
      <w:bookmarkEnd w:id="213"/>
      <w:bookmarkEnd w:id="214"/>
      <w:bookmarkEnd w:id="215"/>
      <w:bookmarkEnd w:id="216"/>
    </w:p>
    <w:p w14:paraId="5F38683B">
      <w:pPr>
        <w:keepNext w:val="0"/>
        <w:keepLines w:val="0"/>
        <w:pageBreakBefore w:val="0"/>
        <w:tabs>
          <w:tab w:val="left" w:pos="588"/>
        </w:tabs>
        <w:kinsoku/>
        <w:wordWrap/>
        <w:overflowPunct/>
        <w:topLinePunct w:val="0"/>
        <w:bidi w:val="0"/>
        <w:adjustRightInd w:val="0"/>
        <w:snapToGrid w:val="0"/>
        <w:spacing w:line="460" w:lineRule="exact"/>
        <w:ind w:left="840" w:leftChars="0" w:hanging="840" w:hangingChars="350"/>
        <w:rPr>
          <w:rFonts w:eastAsia="仿宋_GB2312"/>
          <w:sz w:val="24"/>
          <w:highlight w:val="none"/>
        </w:rPr>
      </w:pPr>
      <w:r>
        <w:rPr>
          <w:rFonts w:eastAsia="仿宋_GB2312"/>
          <w:sz w:val="24"/>
          <w:highlight w:val="none"/>
        </w:rPr>
        <w:t>10.1   供应商编写的响应文件</w:t>
      </w:r>
      <w:r>
        <w:rPr>
          <w:rFonts w:eastAsia="仿宋_GB2312"/>
          <w:b/>
          <w:sz w:val="24"/>
          <w:highlight w:val="none"/>
        </w:rPr>
        <w:t>由《资格证明文件》、《商务及技术文件》两部分</w:t>
      </w:r>
      <w:r>
        <w:rPr>
          <w:rFonts w:eastAsia="仿宋_GB2312"/>
          <w:sz w:val="24"/>
          <w:highlight w:val="none"/>
        </w:rPr>
        <w:t>组成。供应商应完整地按照</w:t>
      </w:r>
      <w:r>
        <w:rPr>
          <w:rFonts w:hint="eastAsia" w:eastAsia="仿宋_GB2312"/>
          <w:sz w:val="24"/>
          <w:highlight w:val="none"/>
          <w:lang w:eastAsia="zh-CN"/>
        </w:rPr>
        <w:t>谈判</w:t>
      </w:r>
      <w:r>
        <w:rPr>
          <w:rFonts w:eastAsia="仿宋_GB2312"/>
          <w:sz w:val="24"/>
          <w:highlight w:val="none"/>
        </w:rPr>
        <w:t>文件提供的响应文件格式及要求编写响应文件。响应文件中资格审查和符合性审查涉及的事项不满足要求的，其响应文件将被认定为无效。</w:t>
      </w:r>
    </w:p>
    <w:p w14:paraId="6D95BE29">
      <w:pPr>
        <w:keepNext w:val="0"/>
        <w:keepLines w:val="0"/>
        <w:pageBreakBefore w:val="0"/>
        <w:tabs>
          <w:tab w:val="left" w:pos="360"/>
          <w:tab w:val="left" w:pos="502"/>
          <w:tab w:val="left" w:pos="588"/>
        </w:tabs>
        <w:kinsoku/>
        <w:wordWrap/>
        <w:overflowPunct/>
        <w:topLinePunct w:val="0"/>
        <w:bidi w:val="0"/>
        <w:adjustRightInd w:val="0"/>
        <w:snapToGrid w:val="0"/>
        <w:spacing w:line="460" w:lineRule="exact"/>
        <w:ind w:left="0" w:leftChars="0"/>
        <w:rPr>
          <w:rFonts w:eastAsia="仿宋_GB2312"/>
          <w:sz w:val="24"/>
        </w:rPr>
      </w:pPr>
      <w:r>
        <w:rPr>
          <w:rFonts w:hint="eastAsia" w:eastAsia="仿宋_GB2312"/>
          <w:sz w:val="24"/>
          <w:highlight w:val="none"/>
        </w:rPr>
        <w:t xml:space="preserve">10.2   </w:t>
      </w:r>
      <w:r>
        <w:rPr>
          <w:rFonts w:eastAsia="仿宋_GB2312"/>
          <w:sz w:val="24"/>
          <w:highlight w:val="none"/>
        </w:rPr>
        <w:t>供应商提供的以上材料必须真实有效，任何一项的虚假将导</w:t>
      </w:r>
      <w:r>
        <w:rPr>
          <w:rFonts w:eastAsia="仿宋_GB2312"/>
          <w:sz w:val="24"/>
        </w:rPr>
        <w:t>致其响应被拒绝。</w:t>
      </w:r>
    </w:p>
    <w:p w14:paraId="50F70D5A">
      <w:pPr>
        <w:pStyle w:val="6"/>
        <w:keepNext w:val="0"/>
        <w:keepLines w:val="0"/>
        <w:pageBreakBefore w:val="0"/>
        <w:widowControl w:val="0"/>
        <w:tabs>
          <w:tab w:val="left" w:pos="588"/>
        </w:tabs>
        <w:kinsoku/>
        <w:wordWrap/>
        <w:overflowPunct/>
        <w:topLinePunct w:val="0"/>
        <w:autoSpaceDE/>
        <w:autoSpaceDN/>
        <w:bidi w:val="0"/>
        <w:adjustRightInd w:val="0"/>
        <w:snapToGrid w:val="0"/>
        <w:spacing w:beforeAutospacing="0" w:afterAutospacing="0" w:line="460" w:lineRule="exact"/>
        <w:ind w:left="0" w:leftChars="0"/>
        <w:textAlignment w:val="baseline"/>
        <w:outlineLvl w:val="3"/>
        <w:rPr>
          <w:rFonts w:ascii="Times New Roman" w:hAnsi="Times New Roman" w:eastAsia="仿宋_GB2312"/>
          <w:b/>
          <w:sz w:val="24"/>
          <w:szCs w:val="21"/>
        </w:rPr>
      </w:pPr>
      <w:bookmarkStart w:id="217" w:name="_Toc385992339"/>
      <w:bookmarkStart w:id="218" w:name="_Toc249525173"/>
      <w:bookmarkStart w:id="219" w:name="_Toc184043026"/>
      <w:bookmarkStart w:id="220" w:name="_Toc70687153"/>
      <w:bookmarkStart w:id="221" w:name="_Toc249515404"/>
      <w:bookmarkStart w:id="222" w:name="_Toc389620178"/>
      <w:bookmarkStart w:id="223" w:name="_Toc249515292"/>
      <w:bookmarkStart w:id="224" w:name="_Toc26312"/>
      <w:r>
        <w:rPr>
          <w:rFonts w:ascii="Times New Roman" w:hAnsi="Times New Roman" w:eastAsia="仿宋_GB2312"/>
          <w:b/>
          <w:sz w:val="24"/>
          <w:szCs w:val="21"/>
        </w:rPr>
        <w:t>11.    响应文件格式</w:t>
      </w:r>
      <w:bookmarkEnd w:id="217"/>
      <w:bookmarkEnd w:id="218"/>
      <w:bookmarkEnd w:id="219"/>
      <w:bookmarkEnd w:id="220"/>
      <w:bookmarkEnd w:id="221"/>
      <w:bookmarkEnd w:id="222"/>
      <w:bookmarkEnd w:id="223"/>
      <w:bookmarkEnd w:id="224"/>
    </w:p>
    <w:p w14:paraId="72F47446">
      <w:pPr>
        <w:keepNext w:val="0"/>
        <w:keepLines w:val="0"/>
        <w:pageBreakBefore w:val="0"/>
        <w:tabs>
          <w:tab w:val="left" w:pos="588"/>
        </w:tabs>
        <w:kinsoku/>
        <w:wordWrap/>
        <w:overflowPunct/>
        <w:topLinePunct w:val="0"/>
        <w:bidi w:val="0"/>
        <w:adjustRightInd w:val="0"/>
        <w:snapToGrid w:val="0"/>
        <w:spacing w:line="460" w:lineRule="exact"/>
        <w:ind w:left="840" w:leftChars="0" w:hanging="840" w:hangingChars="350"/>
        <w:rPr>
          <w:rFonts w:eastAsia="仿宋_GB2312"/>
          <w:kern w:val="24"/>
          <w:sz w:val="24"/>
          <w:szCs w:val="21"/>
        </w:rPr>
      </w:pPr>
      <w:r>
        <w:rPr>
          <w:rFonts w:eastAsia="仿宋_GB2312"/>
          <w:kern w:val="24"/>
          <w:sz w:val="24"/>
          <w:szCs w:val="21"/>
        </w:rPr>
        <w:t>11.1   对于谈判文件第五章中已经提供了格式的响应文件内容，供应商必须按提供的响应文件格式进行填写和编制，没有提供格式的可自行设计。</w:t>
      </w:r>
    </w:p>
    <w:p w14:paraId="1C2911DB">
      <w:pPr>
        <w:pStyle w:val="6"/>
        <w:keepNext w:val="0"/>
        <w:keepLines w:val="0"/>
        <w:pageBreakBefore w:val="0"/>
        <w:widowControl w:val="0"/>
        <w:tabs>
          <w:tab w:val="left" w:pos="588"/>
        </w:tabs>
        <w:kinsoku/>
        <w:wordWrap/>
        <w:overflowPunct/>
        <w:topLinePunct w:val="0"/>
        <w:autoSpaceDE/>
        <w:autoSpaceDN/>
        <w:bidi w:val="0"/>
        <w:adjustRightInd w:val="0"/>
        <w:snapToGrid w:val="0"/>
        <w:spacing w:beforeAutospacing="0" w:afterAutospacing="0" w:line="460" w:lineRule="exact"/>
        <w:ind w:left="0" w:leftChars="0"/>
        <w:textAlignment w:val="baseline"/>
        <w:outlineLvl w:val="3"/>
        <w:rPr>
          <w:rFonts w:ascii="Times New Roman" w:hAnsi="Times New Roman" w:eastAsia="仿宋_GB2312"/>
          <w:b/>
          <w:sz w:val="24"/>
          <w:szCs w:val="21"/>
        </w:rPr>
      </w:pPr>
      <w:bookmarkStart w:id="225" w:name="_Toc26688"/>
      <w:r>
        <w:rPr>
          <w:rFonts w:ascii="Times New Roman" w:hAnsi="Times New Roman" w:eastAsia="仿宋_GB2312"/>
          <w:b/>
          <w:sz w:val="24"/>
          <w:szCs w:val="21"/>
        </w:rPr>
        <w:t>12.    响应报价</w:t>
      </w:r>
      <w:bookmarkEnd w:id="225"/>
    </w:p>
    <w:p w14:paraId="78E0476D">
      <w:pPr>
        <w:keepNext w:val="0"/>
        <w:keepLines w:val="0"/>
        <w:pageBreakBefore w:val="0"/>
        <w:tabs>
          <w:tab w:val="left" w:pos="540"/>
          <w:tab w:val="left" w:pos="720"/>
        </w:tabs>
        <w:kinsoku/>
        <w:wordWrap/>
        <w:overflowPunct/>
        <w:topLinePunct w:val="0"/>
        <w:bidi w:val="0"/>
        <w:adjustRightInd w:val="0"/>
        <w:snapToGrid w:val="0"/>
        <w:spacing w:line="460" w:lineRule="exact"/>
        <w:ind w:left="840" w:leftChars="0" w:hanging="840" w:hangingChars="350"/>
        <w:rPr>
          <w:rFonts w:eastAsia="仿宋_GB2312"/>
        </w:rPr>
      </w:pPr>
      <w:r>
        <w:rPr>
          <w:rFonts w:eastAsia="仿宋_GB2312"/>
          <w:kern w:val="24"/>
          <w:sz w:val="24"/>
          <w:szCs w:val="21"/>
        </w:rPr>
        <w:t>12.1   响应报价应包括供应商为完成谈判文件中规定的本项目采购内容和范围所需要的全部费用，以及与所报货物、服务相关的所有税费，具体包括但不限于第四章列出的内容。供应商估算错误或漏项的风险一律由供应商承担。见</w:t>
      </w:r>
      <w:r>
        <w:rPr>
          <w:rFonts w:eastAsia="仿宋_GB2312"/>
          <w:b/>
          <w:kern w:val="24"/>
          <w:sz w:val="24"/>
          <w:szCs w:val="21"/>
        </w:rPr>
        <w:t>供应商须知前附表。</w:t>
      </w:r>
    </w:p>
    <w:p w14:paraId="7DA3B10C">
      <w:pPr>
        <w:keepNext w:val="0"/>
        <w:keepLines w:val="0"/>
        <w:pageBreakBefore w:val="0"/>
        <w:tabs>
          <w:tab w:val="left" w:pos="540"/>
          <w:tab w:val="left" w:pos="840"/>
        </w:tabs>
        <w:kinsoku/>
        <w:wordWrap/>
        <w:overflowPunct/>
        <w:topLinePunct w:val="0"/>
        <w:bidi w:val="0"/>
        <w:adjustRightInd w:val="0"/>
        <w:snapToGrid w:val="0"/>
        <w:spacing w:line="460" w:lineRule="exact"/>
        <w:ind w:left="840" w:leftChars="0" w:hanging="840" w:hangingChars="350"/>
        <w:rPr>
          <w:rFonts w:eastAsia="仿宋_GB2312"/>
          <w:kern w:val="24"/>
          <w:sz w:val="24"/>
          <w:szCs w:val="21"/>
        </w:rPr>
      </w:pPr>
      <w:r>
        <w:rPr>
          <w:rFonts w:eastAsia="仿宋_GB2312"/>
          <w:kern w:val="24"/>
          <w:sz w:val="24"/>
          <w:szCs w:val="21"/>
        </w:rPr>
        <w:t>12.2   供应商应在响应分项报价表中详细列出所报货物和</w:t>
      </w:r>
      <w:r>
        <w:rPr>
          <w:rFonts w:eastAsia="仿宋_GB2312"/>
          <w:sz w:val="24"/>
        </w:rPr>
        <w:t>服务</w:t>
      </w:r>
      <w:r>
        <w:rPr>
          <w:rFonts w:eastAsia="仿宋_GB2312"/>
          <w:kern w:val="24"/>
          <w:sz w:val="24"/>
          <w:szCs w:val="21"/>
        </w:rPr>
        <w:t>的单价（如适用）和总价，并由法定代表人或其授权代表签署并加盖公章。响应分项报价表上的价格应按谈判文件第五章的格式填写。</w:t>
      </w:r>
    </w:p>
    <w:p w14:paraId="1BE07FA4">
      <w:pPr>
        <w:keepNext w:val="0"/>
        <w:keepLines w:val="0"/>
        <w:pageBreakBefore w:val="0"/>
        <w:tabs>
          <w:tab w:val="left" w:pos="180"/>
          <w:tab w:val="left" w:pos="540"/>
        </w:tabs>
        <w:kinsoku/>
        <w:wordWrap/>
        <w:overflowPunct/>
        <w:topLinePunct w:val="0"/>
        <w:bidi w:val="0"/>
        <w:adjustRightInd w:val="0"/>
        <w:snapToGrid w:val="0"/>
        <w:spacing w:line="460" w:lineRule="exact"/>
        <w:ind w:left="840" w:leftChars="0" w:hanging="840" w:hangingChars="350"/>
        <w:rPr>
          <w:rFonts w:eastAsia="仿宋_GB2312"/>
          <w:kern w:val="24"/>
          <w:sz w:val="24"/>
          <w:szCs w:val="21"/>
        </w:rPr>
      </w:pPr>
      <w:r>
        <w:rPr>
          <w:rFonts w:eastAsia="仿宋_GB2312"/>
          <w:kern w:val="24"/>
          <w:sz w:val="24"/>
          <w:szCs w:val="21"/>
        </w:rPr>
        <w:t>12.3   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响应报价为准。</w:t>
      </w:r>
    </w:p>
    <w:p w14:paraId="1F5A14AB">
      <w:pPr>
        <w:keepNext w:val="0"/>
        <w:keepLines w:val="0"/>
        <w:pageBreakBefore w:val="0"/>
        <w:tabs>
          <w:tab w:val="left" w:pos="180"/>
          <w:tab w:val="left" w:pos="540"/>
        </w:tabs>
        <w:kinsoku/>
        <w:wordWrap/>
        <w:overflowPunct/>
        <w:topLinePunct w:val="0"/>
        <w:bidi w:val="0"/>
        <w:adjustRightInd w:val="0"/>
        <w:snapToGrid w:val="0"/>
        <w:spacing w:line="460" w:lineRule="exact"/>
        <w:ind w:left="840" w:leftChars="0" w:hanging="840" w:hangingChars="350"/>
        <w:rPr>
          <w:rFonts w:eastAsia="仿宋_GB2312"/>
          <w:kern w:val="24"/>
          <w:sz w:val="24"/>
          <w:szCs w:val="21"/>
        </w:rPr>
      </w:pPr>
      <w:r>
        <w:rPr>
          <w:rFonts w:eastAsia="仿宋_GB2312"/>
          <w:kern w:val="24"/>
          <w:sz w:val="24"/>
          <w:szCs w:val="21"/>
        </w:rPr>
        <w:t>12.4   供应商的所报单价在合同执行过程中是固定不变的，未经采购人许可不得以任何理由予以变更。以可调整的价格提交的响应文件将作为非实质性响应而予以拒绝。</w:t>
      </w:r>
    </w:p>
    <w:p w14:paraId="4C2300FA">
      <w:pPr>
        <w:keepNext w:val="0"/>
        <w:keepLines w:val="0"/>
        <w:pageBreakBefore w:val="0"/>
        <w:tabs>
          <w:tab w:val="left" w:pos="588"/>
        </w:tabs>
        <w:kinsoku/>
        <w:wordWrap/>
        <w:overflowPunct/>
        <w:topLinePunct w:val="0"/>
        <w:bidi w:val="0"/>
        <w:adjustRightInd w:val="0"/>
        <w:snapToGrid w:val="0"/>
        <w:spacing w:line="460" w:lineRule="exact"/>
        <w:ind w:left="840" w:leftChars="0" w:hanging="840" w:hangingChars="350"/>
        <w:rPr>
          <w:rFonts w:eastAsia="仿宋_GB2312"/>
          <w:kern w:val="24"/>
          <w:sz w:val="24"/>
          <w:szCs w:val="21"/>
        </w:rPr>
      </w:pPr>
      <w:r>
        <w:rPr>
          <w:rFonts w:eastAsia="仿宋_GB2312"/>
          <w:kern w:val="24"/>
          <w:sz w:val="24"/>
          <w:szCs w:val="21"/>
        </w:rPr>
        <w:t>12.5   供应商每次对每种</w:t>
      </w:r>
      <w:r>
        <w:rPr>
          <w:rFonts w:eastAsia="仿宋_GB2312"/>
          <w:kern w:val="24"/>
          <w:sz w:val="24"/>
          <w:szCs w:val="21"/>
          <w:u w:val="single"/>
        </w:rPr>
        <w:t xml:space="preserve"> 产品（或服务） </w:t>
      </w:r>
      <w:r>
        <w:rPr>
          <w:rFonts w:eastAsia="仿宋_GB2312"/>
          <w:kern w:val="24"/>
          <w:sz w:val="24"/>
          <w:szCs w:val="21"/>
        </w:rPr>
        <w:t>只允许有一个报价，采购人不接受有任何选择的报价。</w:t>
      </w:r>
    </w:p>
    <w:p w14:paraId="056C1F81">
      <w:pPr>
        <w:keepNext w:val="0"/>
        <w:keepLines w:val="0"/>
        <w:pageBreakBefore w:val="0"/>
        <w:tabs>
          <w:tab w:val="left" w:pos="180"/>
          <w:tab w:val="left" w:pos="540"/>
        </w:tabs>
        <w:kinsoku/>
        <w:wordWrap/>
        <w:overflowPunct/>
        <w:topLinePunct w:val="0"/>
        <w:bidi w:val="0"/>
        <w:adjustRightInd w:val="0"/>
        <w:snapToGrid w:val="0"/>
        <w:spacing w:line="460" w:lineRule="exact"/>
        <w:ind w:left="840" w:leftChars="0" w:hanging="840" w:hangingChars="350"/>
        <w:rPr>
          <w:rFonts w:eastAsia="仿宋_GB2312"/>
          <w:kern w:val="24"/>
          <w:sz w:val="24"/>
          <w:szCs w:val="21"/>
        </w:rPr>
      </w:pPr>
      <w:r>
        <w:rPr>
          <w:rFonts w:eastAsia="仿宋_GB2312"/>
          <w:sz w:val="24"/>
        </w:rPr>
        <w:t>12.6   供应商根据本须知12.2条规定将响应报价分成几部分并按</w:t>
      </w:r>
      <w:r>
        <w:rPr>
          <w:rFonts w:eastAsia="仿宋_GB2312"/>
          <w:kern w:val="24"/>
          <w:sz w:val="24"/>
          <w:szCs w:val="21"/>
        </w:rPr>
        <w:t>谈判文件第五章提供的格式填写“响应分项报价表”，只是为了方便采购人对响应文件进行比较，并不限制采购人以其它方式签订合同的权力。</w:t>
      </w:r>
    </w:p>
    <w:p w14:paraId="0C54F0B4">
      <w:pPr>
        <w:pStyle w:val="6"/>
        <w:keepNext w:val="0"/>
        <w:keepLines w:val="0"/>
        <w:pageBreakBefore w:val="0"/>
        <w:widowControl w:val="0"/>
        <w:tabs>
          <w:tab w:val="left" w:pos="588"/>
        </w:tabs>
        <w:kinsoku/>
        <w:wordWrap/>
        <w:overflowPunct/>
        <w:topLinePunct w:val="0"/>
        <w:autoSpaceDE/>
        <w:autoSpaceDN/>
        <w:bidi w:val="0"/>
        <w:adjustRightInd w:val="0"/>
        <w:snapToGrid w:val="0"/>
        <w:spacing w:beforeAutospacing="0" w:afterAutospacing="0" w:line="460" w:lineRule="exact"/>
        <w:ind w:left="0" w:leftChars="0"/>
        <w:textAlignment w:val="baseline"/>
        <w:outlineLvl w:val="3"/>
        <w:rPr>
          <w:rFonts w:ascii="Times New Roman" w:hAnsi="Times New Roman" w:eastAsia="仿宋_GB2312"/>
          <w:b/>
          <w:sz w:val="24"/>
          <w:szCs w:val="21"/>
        </w:rPr>
      </w:pPr>
      <w:bookmarkStart w:id="226" w:name="_Toc389620180"/>
      <w:bookmarkStart w:id="227" w:name="_Toc385992341"/>
      <w:bookmarkStart w:id="228" w:name="_Toc249515294"/>
      <w:bookmarkStart w:id="229" w:name="_Toc20687"/>
      <w:bookmarkStart w:id="230" w:name="_Toc249515406"/>
      <w:bookmarkStart w:id="231" w:name="_Toc249525175"/>
      <w:bookmarkStart w:id="232" w:name="_Toc184043028"/>
      <w:bookmarkStart w:id="233" w:name="_Toc70687155"/>
      <w:r>
        <w:rPr>
          <w:rFonts w:ascii="Times New Roman" w:hAnsi="Times New Roman" w:eastAsia="仿宋_GB2312"/>
          <w:b/>
          <w:sz w:val="24"/>
          <w:szCs w:val="21"/>
        </w:rPr>
        <w:t>13.    报价货币</w:t>
      </w:r>
      <w:bookmarkEnd w:id="226"/>
      <w:bookmarkEnd w:id="227"/>
      <w:bookmarkEnd w:id="228"/>
      <w:bookmarkEnd w:id="229"/>
      <w:bookmarkEnd w:id="230"/>
      <w:bookmarkEnd w:id="231"/>
      <w:bookmarkEnd w:id="232"/>
      <w:bookmarkEnd w:id="233"/>
    </w:p>
    <w:p w14:paraId="318CEBB0">
      <w:pPr>
        <w:keepNext w:val="0"/>
        <w:keepLines w:val="0"/>
        <w:pageBreakBefore w:val="0"/>
        <w:tabs>
          <w:tab w:val="left" w:pos="180"/>
          <w:tab w:val="left" w:pos="540"/>
        </w:tabs>
        <w:kinsoku/>
        <w:wordWrap/>
        <w:overflowPunct/>
        <w:topLinePunct w:val="0"/>
        <w:bidi w:val="0"/>
        <w:adjustRightInd w:val="0"/>
        <w:snapToGrid w:val="0"/>
        <w:spacing w:line="460" w:lineRule="exact"/>
        <w:ind w:left="840" w:leftChars="0" w:hanging="840" w:hangingChars="350"/>
        <w:rPr>
          <w:rFonts w:eastAsia="仿宋_GB2312"/>
          <w:kern w:val="24"/>
          <w:sz w:val="24"/>
          <w:szCs w:val="21"/>
        </w:rPr>
      </w:pPr>
      <w:r>
        <w:rPr>
          <w:rFonts w:eastAsia="仿宋_GB2312"/>
          <w:kern w:val="24"/>
          <w:sz w:val="24"/>
          <w:szCs w:val="21"/>
        </w:rPr>
        <w:t>13.1   谈判响应函、响应报价一览表、响应分项报价表、最后报价表等所有报价一律用</w:t>
      </w:r>
      <w:r>
        <w:rPr>
          <w:rFonts w:hint="eastAsia" w:eastAsia="仿宋_GB2312"/>
          <w:kern w:val="24"/>
          <w:sz w:val="24"/>
          <w:szCs w:val="21"/>
          <w:lang w:val="en-US" w:eastAsia="zh-CN"/>
        </w:rPr>
        <w:t>费率</w:t>
      </w:r>
      <w:r>
        <w:rPr>
          <w:rFonts w:eastAsia="仿宋_GB2312"/>
          <w:kern w:val="24"/>
          <w:sz w:val="24"/>
          <w:szCs w:val="21"/>
        </w:rPr>
        <w:t>填报。采购人不接受任何非</w:t>
      </w:r>
      <w:r>
        <w:rPr>
          <w:rFonts w:hint="eastAsia" w:eastAsia="仿宋_GB2312"/>
          <w:kern w:val="24"/>
          <w:sz w:val="24"/>
          <w:szCs w:val="21"/>
          <w:lang w:val="en-US" w:eastAsia="zh-CN"/>
        </w:rPr>
        <w:t>费率形式</w:t>
      </w:r>
      <w:r>
        <w:rPr>
          <w:rFonts w:eastAsia="仿宋_GB2312"/>
          <w:kern w:val="24"/>
          <w:sz w:val="24"/>
          <w:szCs w:val="21"/>
        </w:rPr>
        <w:t>的报价。</w:t>
      </w:r>
      <w:bookmarkStart w:id="234" w:name="_Toc389620181"/>
      <w:bookmarkStart w:id="235" w:name="_Toc385992342"/>
    </w:p>
    <w:bookmarkEnd w:id="234"/>
    <w:bookmarkEnd w:id="235"/>
    <w:p w14:paraId="1ABBC74E">
      <w:pPr>
        <w:pStyle w:val="6"/>
        <w:keepNext w:val="0"/>
        <w:keepLines w:val="0"/>
        <w:pageBreakBefore w:val="0"/>
        <w:widowControl w:val="0"/>
        <w:tabs>
          <w:tab w:val="left" w:pos="588"/>
        </w:tabs>
        <w:kinsoku/>
        <w:wordWrap/>
        <w:overflowPunct/>
        <w:topLinePunct w:val="0"/>
        <w:autoSpaceDE/>
        <w:autoSpaceDN/>
        <w:bidi w:val="0"/>
        <w:adjustRightInd w:val="0"/>
        <w:snapToGrid w:val="0"/>
        <w:spacing w:beforeAutospacing="0" w:afterAutospacing="0" w:line="460" w:lineRule="exact"/>
        <w:ind w:left="0" w:leftChars="0"/>
        <w:textAlignment w:val="baseline"/>
        <w:outlineLvl w:val="3"/>
        <w:rPr>
          <w:rFonts w:ascii="Times New Roman" w:hAnsi="Times New Roman" w:eastAsia="仿宋_GB2312"/>
          <w:b/>
          <w:sz w:val="24"/>
          <w:szCs w:val="21"/>
        </w:rPr>
      </w:pPr>
      <w:bookmarkStart w:id="236" w:name="止观"/>
      <w:bookmarkEnd w:id="236"/>
      <w:r>
        <w:rPr>
          <w:rFonts w:ascii="Times New Roman" w:hAnsi="Times New Roman" w:eastAsia="仿宋_GB2312"/>
          <w:b/>
          <w:sz w:val="24"/>
          <w:szCs w:val="21"/>
        </w:rPr>
        <w:t>14.    谈判保证金</w:t>
      </w:r>
    </w:p>
    <w:p w14:paraId="43A89AF2">
      <w:pPr>
        <w:keepNext w:val="0"/>
        <w:keepLines w:val="0"/>
        <w:pageBreakBefore w:val="0"/>
        <w:tabs>
          <w:tab w:val="left" w:pos="360"/>
          <w:tab w:val="left" w:pos="502"/>
          <w:tab w:val="left" w:pos="588"/>
        </w:tabs>
        <w:kinsoku/>
        <w:wordWrap/>
        <w:overflowPunct/>
        <w:topLinePunct w:val="0"/>
        <w:bidi w:val="0"/>
        <w:adjustRightInd w:val="0"/>
        <w:snapToGrid w:val="0"/>
        <w:spacing w:line="460" w:lineRule="exact"/>
        <w:ind w:left="840" w:leftChars="0" w:hanging="840" w:hangingChars="350"/>
        <w:rPr>
          <w:rFonts w:eastAsia="仿宋_GB2312"/>
          <w:kern w:val="24"/>
          <w:sz w:val="24"/>
          <w:szCs w:val="21"/>
        </w:rPr>
      </w:pPr>
      <w:r>
        <w:rPr>
          <w:rFonts w:eastAsia="仿宋_GB2312"/>
          <w:sz w:val="24"/>
          <w:szCs w:val="21"/>
        </w:rPr>
        <w:t>14.1   本项目须在谈判前向采购代理机构提供</w:t>
      </w:r>
      <w:r>
        <w:rPr>
          <w:rFonts w:eastAsia="仿宋_GB2312"/>
          <w:b/>
          <w:sz w:val="24"/>
          <w:szCs w:val="21"/>
        </w:rPr>
        <w:t>供应商须知前附表</w:t>
      </w:r>
      <w:r>
        <w:rPr>
          <w:rFonts w:eastAsia="仿宋_GB2312"/>
          <w:sz w:val="24"/>
          <w:szCs w:val="21"/>
        </w:rPr>
        <w:t>规定金额的保证金，并作为其响应文件的一部分。</w:t>
      </w:r>
    </w:p>
    <w:p w14:paraId="2E658A0C">
      <w:pPr>
        <w:keepNext w:val="0"/>
        <w:keepLines w:val="0"/>
        <w:pageBreakBefore w:val="0"/>
        <w:tabs>
          <w:tab w:val="left" w:pos="360"/>
          <w:tab w:val="left" w:pos="502"/>
          <w:tab w:val="left" w:pos="588"/>
        </w:tabs>
        <w:kinsoku/>
        <w:wordWrap/>
        <w:overflowPunct/>
        <w:topLinePunct w:val="0"/>
        <w:bidi w:val="0"/>
        <w:adjustRightInd w:val="0"/>
        <w:snapToGrid w:val="0"/>
        <w:spacing w:line="460" w:lineRule="exact"/>
        <w:ind w:left="0" w:leftChars="0"/>
        <w:rPr>
          <w:rFonts w:eastAsia="仿宋_GB2312"/>
          <w:kern w:val="24"/>
          <w:sz w:val="24"/>
          <w:szCs w:val="21"/>
        </w:rPr>
      </w:pPr>
      <w:r>
        <w:rPr>
          <w:rFonts w:eastAsia="仿宋_GB2312"/>
          <w:kern w:val="24"/>
          <w:sz w:val="24"/>
          <w:szCs w:val="21"/>
        </w:rPr>
        <w:t>14.2   保证金的货币为人民币，并采用下列任何一种非现金形式递交：</w:t>
      </w:r>
    </w:p>
    <w:p w14:paraId="055F50BF">
      <w:pPr>
        <w:pStyle w:val="22"/>
        <w:keepNext w:val="0"/>
        <w:keepLines w:val="0"/>
        <w:pageBreakBefore w:val="0"/>
        <w:kinsoku/>
        <w:wordWrap/>
        <w:overflowPunct/>
        <w:topLinePunct w:val="0"/>
        <w:bidi w:val="0"/>
        <w:adjustRightInd w:val="0"/>
        <w:snapToGrid w:val="0"/>
        <w:spacing w:line="460" w:lineRule="exact"/>
        <w:ind w:left="0" w:leftChars="0" w:firstLine="720" w:firstLineChars="300"/>
        <w:rPr>
          <w:rFonts w:ascii="Times New Roman" w:hAnsi="Times New Roman" w:eastAsia="仿宋_GB2312"/>
          <w:sz w:val="24"/>
        </w:rPr>
      </w:pPr>
      <w:r>
        <w:rPr>
          <w:rFonts w:hint="eastAsia" w:ascii="Times New Roman" w:hAnsi="Times New Roman" w:eastAsia="仿宋_GB2312"/>
          <w:sz w:val="24"/>
          <w:lang w:eastAsia="zh-CN"/>
        </w:rPr>
        <w:t>（</w:t>
      </w:r>
      <w:r>
        <w:rPr>
          <w:rFonts w:hint="eastAsia" w:ascii="Times New Roman" w:hAnsi="Times New Roman" w:eastAsia="仿宋_GB2312"/>
          <w:sz w:val="24"/>
          <w:lang w:val="en-US" w:eastAsia="zh-CN"/>
        </w:rPr>
        <w:t>1</w:t>
      </w:r>
      <w:r>
        <w:rPr>
          <w:rFonts w:hint="eastAsia" w:ascii="Times New Roman" w:hAnsi="Times New Roman" w:eastAsia="仿宋_GB2312"/>
          <w:sz w:val="24"/>
          <w:lang w:eastAsia="zh-CN"/>
        </w:rPr>
        <w:t>）</w:t>
      </w:r>
      <w:r>
        <w:rPr>
          <w:rFonts w:ascii="Times New Roman" w:hAnsi="Times New Roman" w:eastAsia="仿宋_GB2312"/>
          <w:sz w:val="24"/>
        </w:rPr>
        <w:t>电汇；</w:t>
      </w:r>
    </w:p>
    <w:p w14:paraId="7D7542E3">
      <w:pPr>
        <w:pStyle w:val="22"/>
        <w:keepNext w:val="0"/>
        <w:keepLines w:val="0"/>
        <w:pageBreakBefore w:val="0"/>
        <w:kinsoku/>
        <w:wordWrap/>
        <w:overflowPunct/>
        <w:topLinePunct w:val="0"/>
        <w:bidi w:val="0"/>
        <w:adjustRightInd w:val="0"/>
        <w:snapToGrid w:val="0"/>
        <w:spacing w:line="460" w:lineRule="exact"/>
        <w:ind w:left="0" w:leftChars="0" w:firstLine="720" w:firstLineChars="300"/>
        <w:rPr>
          <w:rFonts w:ascii="Times New Roman" w:hAnsi="Times New Roman" w:eastAsia="仿宋_GB2312"/>
          <w:sz w:val="24"/>
        </w:rPr>
      </w:pPr>
      <w:r>
        <w:rPr>
          <w:rFonts w:hint="eastAsia" w:ascii="Times New Roman" w:hAnsi="Times New Roman" w:eastAsia="仿宋_GB2312"/>
          <w:sz w:val="24"/>
          <w:lang w:eastAsia="zh-CN"/>
        </w:rPr>
        <w:t>（</w:t>
      </w:r>
      <w:r>
        <w:rPr>
          <w:rFonts w:hint="eastAsia" w:ascii="Times New Roman" w:hAnsi="Times New Roman" w:eastAsia="仿宋_GB2312"/>
          <w:sz w:val="24"/>
          <w:lang w:val="en-US" w:eastAsia="zh-CN"/>
        </w:rPr>
        <w:t>2</w:t>
      </w:r>
      <w:r>
        <w:rPr>
          <w:rFonts w:hint="eastAsia" w:ascii="Times New Roman" w:hAnsi="Times New Roman" w:eastAsia="仿宋_GB2312"/>
          <w:sz w:val="24"/>
          <w:lang w:eastAsia="zh-CN"/>
        </w:rPr>
        <w:t>）</w:t>
      </w:r>
      <w:r>
        <w:rPr>
          <w:rFonts w:ascii="Times New Roman" w:hAnsi="Times New Roman" w:eastAsia="仿宋_GB2312"/>
          <w:sz w:val="24"/>
        </w:rPr>
        <w:t>银行转账；</w:t>
      </w:r>
    </w:p>
    <w:p w14:paraId="3BD2FFC8">
      <w:pPr>
        <w:pStyle w:val="22"/>
        <w:keepNext w:val="0"/>
        <w:keepLines w:val="0"/>
        <w:pageBreakBefore w:val="0"/>
        <w:kinsoku/>
        <w:wordWrap/>
        <w:overflowPunct/>
        <w:topLinePunct w:val="0"/>
        <w:bidi w:val="0"/>
        <w:adjustRightInd w:val="0"/>
        <w:snapToGrid w:val="0"/>
        <w:spacing w:line="460" w:lineRule="exact"/>
        <w:ind w:left="0" w:leftChars="0" w:firstLine="720" w:firstLineChars="300"/>
        <w:rPr>
          <w:rFonts w:ascii="Times New Roman" w:hAnsi="Times New Roman" w:eastAsia="仿宋_GB2312"/>
          <w:sz w:val="24"/>
        </w:rPr>
      </w:pPr>
      <w:r>
        <w:rPr>
          <w:rFonts w:hint="eastAsia" w:ascii="Times New Roman" w:hAnsi="Times New Roman" w:eastAsia="仿宋_GB2312"/>
          <w:sz w:val="24"/>
          <w:lang w:eastAsia="zh-CN"/>
        </w:rPr>
        <w:t>（</w:t>
      </w:r>
      <w:r>
        <w:rPr>
          <w:rFonts w:hint="eastAsia" w:ascii="Times New Roman" w:hAnsi="Times New Roman" w:eastAsia="仿宋_GB2312"/>
          <w:sz w:val="24"/>
          <w:lang w:val="en-US" w:eastAsia="zh-CN"/>
        </w:rPr>
        <w:t>3</w:t>
      </w:r>
      <w:r>
        <w:rPr>
          <w:rFonts w:hint="eastAsia" w:ascii="Times New Roman" w:hAnsi="Times New Roman" w:eastAsia="仿宋_GB2312"/>
          <w:sz w:val="24"/>
          <w:lang w:eastAsia="zh-CN"/>
        </w:rPr>
        <w:t>）</w:t>
      </w:r>
      <w:r>
        <w:rPr>
          <w:rFonts w:ascii="Times New Roman" w:hAnsi="Times New Roman" w:eastAsia="仿宋_GB2312"/>
          <w:sz w:val="24"/>
        </w:rPr>
        <w:t>支票、汇票、本票、金融机构或担保机构出具的保函等非现金形式。</w:t>
      </w:r>
    </w:p>
    <w:p w14:paraId="4F3DEC0E">
      <w:pPr>
        <w:keepNext w:val="0"/>
        <w:keepLines w:val="0"/>
        <w:pageBreakBefore w:val="0"/>
        <w:tabs>
          <w:tab w:val="left" w:pos="360"/>
          <w:tab w:val="left" w:pos="502"/>
          <w:tab w:val="left" w:pos="588"/>
        </w:tabs>
        <w:kinsoku/>
        <w:wordWrap/>
        <w:overflowPunct/>
        <w:topLinePunct w:val="0"/>
        <w:bidi w:val="0"/>
        <w:adjustRightInd w:val="0"/>
        <w:snapToGrid w:val="0"/>
        <w:spacing w:line="460" w:lineRule="exact"/>
        <w:ind w:left="840" w:leftChars="0" w:hanging="840" w:hangingChars="350"/>
        <w:rPr>
          <w:rFonts w:eastAsia="仿宋_GB2312"/>
          <w:kern w:val="24"/>
          <w:sz w:val="24"/>
          <w:szCs w:val="21"/>
        </w:rPr>
      </w:pPr>
      <w:r>
        <w:rPr>
          <w:rFonts w:eastAsia="仿宋_GB2312"/>
          <w:kern w:val="24"/>
          <w:sz w:val="24"/>
          <w:szCs w:val="21"/>
        </w:rPr>
        <w:t>14.3   保证金以保函形式交纳的，供应商须按谈判文件附件1格式和内容开具保函，并将保函原件附在谈判响应文件中或随谈判响应文件同时递交，否则视为无效文件。联合体参加谈判的，可以由联合体中的一方或者共同提交保证金，以一方提交保证金的，对联合体各方均具有约束力。</w:t>
      </w:r>
    </w:p>
    <w:p w14:paraId="53D29756">
      <w:pPr>
        <w:keepNext w:val="0"/>
        <w:keepLines w:val="0"/>
        <w:pageBreakBefore w:val="0"/>
        <w:tabs>
          <w:tab w:val="left" w:pos="360"/>
          <w:tab w:val="left" w:pos="502"/>
          <w:tab w:val="left" w:pos="588"/>
        </w:tabs>
        <w:kinsoku/>
        <w:wordWrap/>
        <w:overflowPunct/>
        <w:topLinePunct w:val="0"/>
        <w:bidi w:val="0"/>
        <w:adjustRightInd w:val="0"/>
        <w:snapToGrid w:val="0"/>
        <w:spacing w:line="460" w:lineRule="exact"/>
        <w:ind w:left="840" w:leftChars="0" w:hanging="840" w:hangingChars="350"/>
        <w:rPr>
          <w:rFonts w:eastAsia="仿宋_GB2312"/>
          <w:kern w:val="24"/>
          <w:sz w:val="24"/>
          <w:szCs w:val="21"/>
        </w:rPr>
      </w:pPr>
      <w:r>
        <w:rPr>
          <w:rFonts w:eastAsia="仿宋_GB2312"/>
          <w:kern w:val="24"/>
          <w:sz w:val="24"/>
          <w:szCs w:val="21"/>
        </w:rPr>
        <w:t>14.4   凡没有根据本须知第14.1条的规定随附保证金的响应文件，将被视为非响应予以拒绝。</w:t>
      </w:r>
    </w:p>
    <w:p w14:paraId="0DE271EB">
      <w:pPr>
        <w:keepNext w:val="0"/>
        <w:keepLines w:val="0"/>
        <w:pageBreakBefore w:val="0"/>
        <w:tabs>
          <w:tab w:val="left" w:pos="360"/>
          <w:tab w:val="left" w:pos="502"/>
          <w:tab w:val="left" w:pos="588"/>
        </w:tabs>
        <w:kinsoku/>
        <w:wordWrap/>
        <w:overflowPunct/>
        <w:topLinePunct w:val="0"/>
        <w:bidi w:val="0"/>
        <w:adjustRightInd w:val="0"/>
        <w:snapToGrid w:val="0"/>
        <w:spacing w:line="460" w:lineRule="exact"/>
        <w:ind w:left="840" w:leftChars="0" w:hanging="840" w:hangingChars="350"/>
        <w:rPr>
          <w:rFonts w:eastAsia="仿宋_GB2312"/>
          <w:kern w:val="24"/>
          <w:sz w:val="24"/>
          <w:szCs w:val="21"/>
        </w:rPr>
      </w:pPr>
      <w:r>
        <w:rPr>
          <w:rFonts w:eastAsia="仿宋_GB2312"/>
          <w:kern w:val="24"/>
          <w:sz w:val="24"/>
          <w:szCs w:val="21"/>
        </w:rPr>
        <w:t>14.5   未成交供应商的保证金</w:t>
      </w:r>
      <w:r>
        <w:rPr>
          <w:rFonts w:hint="eastAsia" w:eastAsia="仿宋_GB2312"/>
          <w:kern w:val="24"/>
          <w:sz w:val="24"/>
          <w:szCs w:val="21"/>
          <w:lang w:eastAsia="zh-CN"/>
        </w:rPr>
        <w:t>，</w:t>
      </w:r>
      <w:r>
        <w:rPr>
          <w:rFonts w:eastAsia="仿宋_GB2312"/>
          <w:kern w:val="24"/>
          <w:sz w:val="24"/>
          <w:szCs w:val="21"/>
        </w:rPr>
        <w:t xml:space="preserve"> 采购代理机构将在成交通知书发出后5个工作日内退还。</w:t>
      </w:r>
    </w:p>
    <w:p w14:paraId="1EC98D0A">
      <w:pPr>
        <w:keepNext w:val="0"/>
        <w:keepLines w:val="0"/>
        <w:pageBreakBefore w:val="0"/>
        <w:tabs>
          <w:tab w:val="left" w:pos="360"/>
          <w:tab w:val="left" w:pos="502"/>
          <w:tab w:val="left" w:pos="588"/>
        </w:tabs>
        <w:kinsoku/>
        <w:wordWrap/>
        <w:overflowPunct/>
        <w:topLinePunct w:val="0"/>
        <w:bidi w:val="0"/>
        <w:adjustRightInd w:val="0"/>
        <w:snapToGrid w:val="0"/>
        <w:spacing w:line="460" w:lineRule="exact"/>
        <w:ind w:left="0" w:leftChars="0"/>
        <w:rPr>
          <w:rFonts w:eastAsia="仿宋_GB2312"/>
          <w:kern w:val="24"/>
          <w:sz w:val="24"/>
          <w:szCs w:val="21"/>
        </w:rPr>
      </w:pPr>
      <w:r>
        <w:rPr>
          <w:rFonts w:eastAsia="仿宋_GB2312"/>
          <w:kern w:val="24"/>
          <w:sz w:val="24"/>
          <w:szCs w:val="21"/>
        </w:rPr>
        <w:t>14.6   成交供应商的保证金在按本须知第26条规定签订合同后5个工作日退还。</w:t>
      </w:r>
    </w:p>
    <w:p w14:paraId="7C7FDF11">
      <w:pPr>
        <w:keepNext w:val="0"/>
        <w:keepLines w:val="0"/>
        <w:pageBreakBefore w:val="0"/>
        <w:tabs>
          <w:tab w:val="left" w:pos="360"/>
          <w:tab w:val="left" w:pos="502"/>
          <w:tab w:val="left" w:pos="588"/>
        </w:tabs>
        <w:kinsoku/>
        <w:wordWrap/>
        <w:overflowPunct/>
        <w:topLinePunct w:val="0"/>
        <w:bidi w:val="0"/>
        <w:adjustRightInd w:val="0"/>
        <w:snapToGrid w:val="0"/>
        <w:spacing w:line="460" w:lineRule="exact"/>
        <w:ind w:left="840" w:leftChars="0" w:hanging="840" w:hangingChars="350"/>
        <w:rPr>
          <w:rFonts w:eastAsia="仿宋_GB2312"/>
          <w:kern w:val="24"/>
          <w:sz w:val="24"/>
          <w:szCs w:val="21"/>
        </w:rPr>
      </w:pPr>
      <w:r>
        <w:rPr>
          <w:rFonts w:eastAsia="仿宋_GB2312"/>
          <w:kern w:val="24"/>
          <w:sz w:val="24"/>
          <w:szCs w:val="21"/>
        </w:rPr>
        <w:t>14.7   成交供应商有下列情形之一的，采购代理机构不予退还其交纳的保证金，并在项目财政主管部门备案；情节严重的，由财政部门将其列入不良行为纪录名单予以通报，在一至三年内禁止参加政府采购活动：</w:t>
      </w:r>
    </w:p>
    <w:p w14:paraId="604F152A">
      <w:pPr>
        <w:keepNext w:val="0"/>
        <w:keepLines w:val="0"/>
        <w:pageBreakBefore w:val="0"/>
        <w:widowControl w:val="0"/>
        <w:numPr>
          <w:ilvl w:val="0"/>
          <w:numId w:val="5"/>
        </w:numPr>
        <w:tabs>
          <w:tab w:val="left" w:pos="425"/>
          <w:tab w:val="left" w:pos="588"/>
          <w:tab w:val="clear" w:pos="420"/>
        </w:tabs>
        <w:kinsoku/>
        <w:wordWrap/>
        <w:overflowPunct/>
        <w:topLinePunct w:val="0"/>
        <w:autoSpaceDE/>
        <w:autoSpaceDN/>
        <w:bidi w:val="0"/>
        <w:adjustRightInd w:val="0"/>
        <w:snapToGrid w:val="0"/>
        <w:spacing w:line="460" w:lineRule="exact"/>
        <w:ind w:left="0" w:leftChars="0" w:firstLine="840" w:firstLineChars="350"/>
        <w:textAlignment w:val="auto"/>
        <w:rPr>
          <w:rFonts w:eastAsia="仿宋_GB2312"/>
          <w:kern w:val="24"/>
          <w:sz w:val="24"/>
          <w:szCs w:val="21"/>
        </w:rPr>
      </w:pPr>
      <w:r>
        <w:rPr>
          <w:rFonts w:eastAsia="仿宋_GB2312"/>
          <w:kern w:val="24"/>
          <w:sz w:val="24"/>
          <w:szCs w:val="21"/>
        </w:rPr>
        <w:t>供应商在提交响应文件截止时间后撤回响应文件的；</w:t>
      </w:r>
    </w:p>
    <w:p w14:paraId="0CBBB16F">
      <w:pPr>
        <w:keepNext w:val="0"/>
        <w:keepLines w:val="0"/>
        <w:pageBreakBefore w:val="0"/>
        <w:widowControl w:val="0"/>
        <w:numPr>
          <w:ilvl w:val="0"/>
          <w:numId w:val="5"/>
        </w:numPr>
        <w:tabs>
          <w:tab w:val="left" w:pos="425"/>
          <w:tab w:val="left" w:pos="588"/>
          <w:tab w:val="clear" w:pos="420"/>
        </w:tabs>
        <w:kinsoku/>
        <w:wordWrap/>
        <w:overflowPunct/>
        <w:topLinePunct w:val="0"/>
        <w:autoSpaceDE/>
        <w:autoSpaceDN/>
        <w:bidi w:val="0"/>
        <w:adjustRightInd w:val="0"/>
        <w:snapToGrid w:val="0"/>
        <w:spacing w:line="460" w:lineRule="exact"/>
        <w:ind w:left="0" w:leftChars="0" w:firstLine="840" w:firstLineChars="350"/>
        <w:textAlignment w:val="auto"/>
        <w:rPr>
          <w:rFonts w:eastAsia="仿宋_GB2312"/>
          <w:kern w:val="24"/>
          <w:sz w:val="24"/>
          <w:szCs w:val="21"/>
        </w:rPr>
      </w:pPr>
      <w:r>
        <w:rPr>
          <w:rFonts w:eastAsia="仿宋_GB2312"/>
          <w:kern w:val="24"/>
          <w:sz w:val="24"/>
          <w:szCs w:val="21"/>
        </w:rPr>
        <w:t>供应商在响应文件中提供虚假材料的；</w:t>
      </w:r>
    </w:p>
    <w:p w14:paraId="10B19B67">
      <w:pPr>
        <w:keepNext w:val="0"/>
        <w:keepLines w:val="0"/>
        <w:pageBreakBefore w:val="0"/>
        <w:widowControl w:val="0"/>
        <w:numPr>
          <w:ilvl w:val="0"/>
          <w:numId w:val="5"/>
        </w:numPr>
        <w:tabs>
          <w:tab w:val="left" w:pos="425"/>
          <w:tab w:val="left" w:pos="588"/>
          <w:tab w:val="clear" w:pos="420"/>
        </w:tabs>
        <w:kinsoku/>
        <w:wordWrap/>
        <w:overflowPunct/>
        <w:topLinePunct w:val="0"/>
        <w:autoSpaceDE/>
        <w:autoSpaceDN/>
        <w:bidi w:val="0"/>
        <w:adjustRightInd w:val="0"/>
        <w:snapToGrid w:val="0"/>
        <w:spacing w:line="460" w:lineRule="exact"/>
        <w:ind w:left="0" w:leftChars="0" w:firstLine="840" w:firstLineChars="350"/>
        <w:textAlignment w:val="auto"/>
        <w:rPr>
          <w:rFonts w:eastAsia="仿宋_GB2312"/>
          <w:kern w:val="24"/>
          <w:sz w:val="24"/>
          <w:szCs w:val="21"/>
        </w:rPr>
      </w:pPr>
      <w:r>
        <w:rPr>
          <w:rFonts w:eastAsia="仿宋_GB2312"/>
          <w:kern w:val="24"/>
          <w:sz w:val="24"/>
          <w:szCs w:val="21"/>
        </w:rPr>
        <w:t xml:space="preserve">除因不可抗力外，成交供应商在规定期限内未能根据本须知第26条规定签订合同； </w:t>
      </w:r>
    </w:p>
    <w:p w14:paraId="722B38FD">
      <w:pPr>
        <w:keepNext w:val="0"/>
        <w:keepLines w:val="0"/>
        <w:pageBreakBefore w:val="0"/>
        <w:widowControl w:val="0"/>
        <w:numPr>
          <w:ilvl w:val="0"/>
          <w:numId w:val="5"/>
        </w:numPr>
        <w:tabs>
          <w:tab w:val="left" w:pos="425"/>
          <w:tab w:val="left" w:pos="588"/>
          <w:tab w:val="clear" w:pos="420"/>
        </w:tabs>
        <w:kinsoku/>
        <w:wordWrap/>
        <w:overflowPunct/>
        <w:topLinePunct w:val="0"/>
        <w:autoSpaceDE/>
        <w:autoSpaceDN/>
        <w:bidi w:val="0"/>
        <w:adjustRightInd w:val="0"/>
        <w:snapToGrid w:val="0"/>
        <w:spacing w:line="460" w:lineRule="exact"/>
        <w:ind w:left="0" w:leftChars="0" w:firstLine="840" w:firstLineChars="350"/>
        <w:textAlignment w:val="auto"/>
        <w:rPr>
          <w:rFonts w:eastAsia="仿宋_GB2312"/>
          <w:kern w:val="24"/>
          <w:sz w:val="24"/>
          <w:szCs w:val="21"/>
        </w:rPr>
      </w:pPr>
      <w:r>
        <w:rPr>
          <w:rFonts w:eastAsia="仿宋_GB2312"/>
          <w:kern w:val="24"/>
          <w:sz w:val="24"/>
          <w:szCs w:val="21"/>
        </w:rPr>
        <w:t>供应商与采购人、其他供应商或者采购代理机构恶意串通的；</w:t>
      </w:r>
    </w:p>
    <w:p w14:paraId="018EC1F3">
      <w:pPr>
        <w:keepNext w:val="0"/>
        <w:keepLines w:val="0"/>
        <w:pageBreakBefore w:val="0"/>
        <w:widowControl w:val="0"/>
        <w:numPr>
          <w:ilvl w:val="0"/>
          <w:numId w:val="5"/>
        </w:numPr>
        <w:tabs>
          <w:tab w:val="left" w:pos="425"/>
          <w:tab w:val="left" w:pos="588"/>
          <w:tab w:val="clear" w:pos="420"/>
        </w:tabs>
        <w:kinsoku/>
        <w:wordWrap/>
        <w:overflowPunct/>
        <w:topLinePunct w:val="0"/>
        <w:autoSpaceDE/>
        <w:autoSpaceDN/>
        <w:bidi w:val="0"/>
        <w:adjustRightInd w:val="0"/>
        <w:snapToGrid w:val="0"/>
        <w:spacing w:line="460" w:lineRule="exact"/>
        <w:ind w:left="0" w:leftChars="0" w:firstLine="840" w:firstLineChars="350"/>
        <w:textAlignment w:val="auto"/>
        <w:rPr>
          <w:rFonts w:eastAsia="仿宋_GB2312"/>
          <w:kern w:val="24"/>
          <w:sz w:val="24"/>
          <w:szCs w:val="21"/>
        </w:rPr>
      </w:pPr>
      <w:r>
        <w:rPr>
          <w:rFonts w:eastAsia="仿宋_GB2312"/>
          <w:kern w:val="24"/>
          <w:sz w:val="24"/>
          <w:szCs w:val="21"/>
        </w:rPr>
        <w:t>成交供应商未按本须知第29条规定缴纳服务费。</w:t>
      </w:r>
    </w:p>
    <w:p w14:paraId="0428F891">
      <w:pPr>
        <w:pStyle w:val="6"/>
        <w:keepNext w:val="0"/>
        <w:keepLines w:val="0"/>
        <w:pageBreakBefore w:val="0"/>
        <w:widowControl w:val="0"/>
        <w:tabs>
          <w:tab w:val="left" w:pos="588"/>
        </w:tabs>
        <w:kinsoku/>
        <w:wordWrap/>
        <w:overflowPunct/>
        <w:topLinePunct w:val="0"/>
        <w:autoSpaceDE/>
        <w:autoSpaceDN/>
        <w:bidi w:val="0"/>
        <w:adjustRightInd w:val="0"/>
        <w:snapToGrid w:val="0"/>
        <w:spacing w:beforeAutospacing="0" w:afterAutospacing="0" w:line="460" w:lineRule="exact"/>
        <w:ind w:left="0" w:leftChars="0"/>
        <w:textAlignment w:val="baseline"/>
        <w:outlineLvl w:val="3"/>
        <w:rPr>
          <w:rFonts w:ascii="Times New Roman" w:hAnsi="Times New Roman" w:eastAsia="仿宋_GB2312"/>
          <w:b/>
          <w:sz w:val="24"/>
          <w:szCs w:val="21"/>
        </w:rPr>
      </w:pPr>
      <w:bookmarkStart w:id="237" w:name="_Toc7949"/>
      <w:bookmarkStart w:id="238" w:name="_Toc249515408"/>
      <w:bookmarkStart w:id="239" w:name="_Toc249515296"/>
      <w:bookmarkStart w:id="240" w:name="_Toc249525177"/>
      <w:r>
        <w:rPr>
          <w:rFonts w:hint="eastAsia" w:eastAsia="仿宋_GB2312"/>
          <w:b/>
          <w:sz w:val="24"/>
          <w:szCs w:val="21"/>
          <w:lang w:val="en-US" w:eastAsia="zh-CN"/>
        </w:rPr>
        <w:t xml:space="preserve">15 </w:t>
      </w:r>
      <w:r>
        <w:rPr>
          <w:rFonts w:ascii="Times New Roman" w:hAnsi="Times New Roman" w:eastAsia="仿宋_GB2312"/>
          <w:b/>
          <w:sz w:val="24"/>
          <w:szCs w:val="21"/>
        </w:rPr>
        <w:t xml:space="preserve">   谈判有效期</w:t>
      </w:r>
      <w:bookmarkEnd w:id="237"/>
      <w:bookmarkEnd w:id="238"/>
      <w:bookmarkEnd w:id="239"/>
      <w:bookmarkEnd w:id="240"/>
    </w:p>
    <w:p w14:paraId="5D3E6F10">
      <w:pPr>
        <w:keepNext w:val="0"/>
        <w:keepLines w:val="0"/>
        <w:pageBreakBefore w:val="0"/>
        <w:tabs>
          <w:tab w:val="left" w:pos="360"/>
          <w:tab w:val="left" w:pos="502"/>
          <w:tab w:val="left" w:pos="588"/>
        </w:tabs>
        <w:kinsoku/>
        <w:wordWrap/>
        <w:overflowPunct/>
        <w:topLinePunct w:val="0"/>
        <w:bidi w:val="0"/>
        <w:adjustRightInd w:val="0"/>
        <w:snapToGrid w:val="0"/>
        <w:spacing w:line="460" w:lineRule="exact"/>
        <w:ind w:left="840" w:leftChars="0" w:hanging="840" w:hangingChars="350"/>
        <w:rPr>
          <w:rFonts w:eastAsia="仿宋_GB2312"/>
          <w:sz w:val="24"/>
        </w:rPr>
      </w:pPr>
      <w:r>
        <w:rPr>
          <w:rFonts w:eastAsia="仿宋_GB2312"/>
          <w:sz w:val="24"/>
        </w:rPr>
        <w:t>15.1   谈判有效期见</w:t>
      </w:r>
      <w:r>
        <w:rPr>
          <w:rFonts w:eastAsia="仿宋_GB2312"/>
          <w:b/>
          <w:sz w:val="24"/>
        </w:rPr>
        <w:t>本须知前附表</w:t>
      </w:r>
      <w:r>
        <w:rPr>
          <w:rFonts w:eastAsia="仿宋_GB2312"/>
          <w:sz w:val="24"/>
        </w:rPr>
        <w:t>。在谈判有效期内，所有响应文件均保持有效。响应文件的有效期比本须知规定的有效期短的，将被视为非实质响应，采购人有权拒绝。</w:t>
      </w:r>
    </w:p>
    <w:p w14:paraId="7292F677">
      <w:pPr>
        <w:keepNext w:val="0"/>
        <w:keepLines w:val="0"/>
        <w:pageBreakBefore w:val="0"/>
        <w:tabs>
          <w:tab w:val="left" w:pos="360"/>
          <w:tab w:val="left" w:pos="502"/>
          <w:tab w:val="left" w:pos="588"/>
        </w:tabs>
        <w:kinsoku/>
        <w:wordWrap/>
        <w:overflowPunct/>
        <w:topLinePunct w:val="0"/>
        <w:bidi w:val="0"/>
        <w:adjustRightInd w:val="0"/>
        <w:snapToGrid w:val="0"/>
        <w:spacing w:line="460" w:lineRule="exact"/>
        <w:ind w:left="840" w:leftChars="0" w:hanging="840" w:hangingChars="350"/>
        <w:rPr>
          <w:rFonts w:eastAsia="仿宋_GB2312"/>
          <w:sz w:val="24"/>
        </w:rPr>
      </w:pPr>
      <w:r>
        <w:rPr>
          <w:rFonts w:eastAsia="仿宋_GB2312"/>
          <w:sz w:val="24"/>
        </w:rPr>
        <w:t>15.2   特殊情况下，采购人可于原谈判有效期满之前要求供应商同意延长有效期，要求与答复均应为书面形式。供应商可以拒绝上述要求，其</w:t>
      </w:r>
      <w:r>
        <w:rPr>
          <w:rFonts w:hint="eastAsia" w:eastAsia="仿宋_GB2312"/>
          <w:sz w:val="24"/>
          <w:lang w:val="en-US" w:eastAsia="zh-CN"/>
        </w:rPr>
        <w:t>谈判</w:t>
      </w:r>
      <w:r>
        <w:rPr>
          <w:rFonts w:eastAsia="仿宋_GB2312"/>
          <w:sz w:val="24"/>
        </w:rPr>
        <w:t>保证金不被没收。对于同意该要求的供应商，既不要求也不允许其修改响应文件，但将要求其相应延长投标保证金的有效期，有关退还和没收投标保证金的规定在谈判有效期的延长期内继续有效。</w:t>
      </w:r>
    </w:p>
    <w:p w14:paraId="5F7916C7">
      <w:pPr>
        <w:pStyle w:val="6"/>
        <w:keepNext w:val="0"/>
        <w:keepLines w:val="0"/>
        <w:pageBreakBefore w:val="0"/>
        <w:widowControl w:val="0"/>
        <w:tabs>
          <w:tab w:val="left" w:pos="588"/>
        </w:tabs>
        <w:kinsoku/>
        <w:wordWrap/>
        <w:overflowPunct/>
        <w:topLinePunct w:val="0"/>
        <w:autoSpaceDE/>
        <w:autoSpaceDN/>
        <w:bidi w:val="0"/>
        <w:adjustRightInd w:val="0"/>
        <w:snapToGrid w:val="0"/>
        <w:spacing w:beforeAutospacing="0" w:afterAutospacing="0" w:line="460" w:lineRule="exact"/>
        <w:ind w:left="0" w:leftChars="0"/>
        <w:textAlignment w:val="baseline"/>
        <w:outlineLvl w:val="3"/>
        <w:rPr>
          <w:rFonts w:ascii="Times New Roman" w:hAnsi="Times New Roman" w:eastAsia="仿宋_GB2312"/>
          <w:b/>
          <w:sz w:val="24"/>
          <w:szCs w:val="21"/>
        </w:rPr>
      </w:pPr>
      <w:bookmarkStart w:id="241" w:name="_Toc184043033"/>
      <w:bookmarkStart w:id="242" w:name="_Toc385992346"/>
      <w:bookmarkStart w:id="243" w:name="_Toc16612"/>
      <w:bookmarkStart w:id="244" w:name="_Toc249525178"/>
      <w:bookmarkStart w:id="245" w:name="_Toc249515409"/>
      <w:bookmarkStart w:id="246" w:name="_Toc389620185"/>
      <w:bookmarkStart w:id="247" w:name="_Toc70687160"/>
      <w:bookmarkStart w:id="248" w:name="_Toc249515297"/>
      <w:r>
        <w:rPr>
          <w:rFonts w:ascii="Times New Roman" w:hAnsi="Times New Roman" w:eastAsia="仿宋_GB2312"/>
          <w:b/>
          <w:sz w:val="24"/>
          <w:szCs w:val="21"/>
        </w:rPr>
        <w:t>16.    响应文件的制作和签署</w:t>
      </w:r>
      <w:bookmarkEnd w:id="241"/>
      <w:bookmarkEnd w:id="242"/>
      <w:bookmarkEnd w:id="243"/>
      <w:bookmarkEnd w:id="244"/>
      <w:bookmarkEnd w:id="245"/>
      <w:bookmarkEnd w:id="246"/>
      <w:bookmarkEnd w:id="247"/>
      <w:bookmarkEnd w:id="248"/>
    </w:p>
    <w:p w14:paraId="5F5F54D2">
      <w:pPr>
        <w:keepNext w:val="0"/>
        <w:keepLines w:val="0"/>
        <w:pageBreakBefore w:val="0"/>
        <w:tabs>
          <w:tab w:val="left" w:pos="360"/>
          <w:tab w:val="left" w:pos="502"/>
          <w:tab w:val="left" w:pos="588"/>
        </w:tabs>
        <w:kinsoku/>
        <w:wordWrap/>
        <w:overflowPunct/>
        <w:topLinePunct w:val="0"/>
        <w:bidi w:val="0"/>
        <w:adjustRightInd w:val="0"/>
        <w:snapToGrid w:val="0"/>
        <w:spacing w:line="460" w:lineRule="exact"/>
        <w:ind w:left="840" w:leftChars="0" w:hanging="840" w:hangingChars="350"/>
        <w:rPr>
          <w:rFonts w:eastAsia="仿宋_GB2312"/>
          <w:sz w:val="24"/>
        </w:rPr>
      </w:pPr>
      <w:r>
        <w:rPr>
          <w:rFonts w:eastAsia="仿宋_GB2312"/>
          <w:sz w:val="24"/>
        </w:rPr>
        <w:t>16.1   供应商应准备一份响应文件正本和“</w:t>
      </w:r>
      <w:r>
        <w:rPr>
          <w:rFonts w:eastAsia="仿宋_GB2312"/>
          <w:b/>
          <w:sz w:val="24"/>
        </w:rPr>
        <w:t>供应商须知前附表</w:t>
      </w:r>
      <w:r>
        <w:rPr>
          <w:rFonts w:eastAsia="仿宋_GB2312"/>
          <w:sz w:val="24"/>
        </w:rPr>
        <w:t>”中规定数目的副本，每套响应文件须清楚地标明“正本”、“副本”。若正本和副本不符，以正本为准。</w:t>
      </w:r>
    </w:p>
    <w:p w14:paraId="0CB0A5A8">
      <w:pPr>
        <w:keepNext w:val="0"/>
        <w:keepLines w:val="0"/>
        <w:pageBreakBefore w:val="0"/>
        <w:tabs>
          <w:tab w:val="left" w:pos="360"/>
          <w:tab w:val="left" w:pos="502"/>
          <w:tab w:val="left" w:pos="588"/>
        </w:tabs>
        <w:kinsoku/>
        <w:wordWrap/>
        <w:overflowPunct/>
        <w:topLinePunct w:val="0"/>
        <w:bidi w:val="0"/>
        <w:adjustRightInd w:val="0"/>
        <w:snapToGrid w:val="0"/>
        <w:spacing w:line="460" w:lineRule="exact"/>
        <w:ind w:left="840" w:leftChars="0" w:hanging="840" w:hangingChars="350"/>
        <w:rPr>
          <w:rFonts w:eastAsia="仿宋_GB2312"/>
          <w:sz w:val="24"/>
        </w:rPr>
      </w:pPr>
      <w:r>
        <w:rPr>
          <w:rFonts w:eastAsia="仿宋_GB2312"/>
          <w:sz w:val="24"/>
        </w:rPr>
        <w:t>16.2   响应文件须用中文编写，并采用A4纸张装订成册。装订须牢固，不易拆散和换页，采用软胶装，不得采用活页方式装订，封面不建议硬装。</w:t>
      </w:r>
    </w:p>
    <w:p w14:paraId="0A71461C">
      <w:pPr>
        <w:keepNext w:val="0"/>
        <w:keepLines w:val="0"/>
        <w:pageBreakBefore w:val="0"/>
        <w:tabs>
          <w:tab w:val="left" w:pos="360"/>
          <w:tab w:val="left" w:pos="502"/>
          <w:tab w:val="left" w:pos="588"/>
        </w:tabs>
        <w:kinsoku/>
        <w:wordWrap/>
        <w:overflowPunct/>
        <w:topLinePunct w:val="0"/>
        <w:bidi w:val="0"/>
        <w:adjustRightInd w:val="0"/>
        <w:snapToGrid w:val="0"/>
        <w:spacing w:line="460" w:lineRule="exact"/>
        <w:ind w:left="840" w:leftChars="0" w:hanging="840" w:hangingChars="350"/>
        <w:rPr>
          <w:rFonts w:eastAsia="仿宋_GB2312"/>
          <w:sz w:val="24"/>
        </w:rPr>
      </w:pPr>
      <w:r>
        <w:rPr>
          <w:rFonts w:eastAsia="仿宋_GB2312"/>
          <w:sz w:val="24"/>
        </w:rPr>
        <w:t>16.3   响应文件的正本，一律用不褪色的墨水书写或打印，签字页加盖供应商单位公章，并由供应商的法定代表人或其授权的代理人签署。响应文件的副本可采用正本的复印件。</w:t>
      </w:r>
    </w:p>
    <w:p w14:paraId="754D9D15">
      <w:pPr>
        <w:keepNext w:val="0"/>
        <w:keepLines w:val="0"/>
        <w:pageBreakBefore w:val="0"/>
        <w:tabs>
          <w:tab w:val="left" w:pos="360"/>
          <w:tab w:val="left" w:pos="502"/>
          <w:tab w:val="left" w:pos="588"/>
        </w:tabs>
        <w:kinsoku/>
        <w:wordWrap/>
        <w:overflowPunct/>
        <w:topLinePunct w:val="0"/>
        <w:bidi w:val="0"/>
        <w:adjustRightInd w:val="0"/>
        <w:snapToGrid w:val="0"/>
        <w:spacing w:line="460" w:lineRule="exact"/>
        <w:ind w:left="840" w:leftChars="0" w:hanging="840" w:hangingChars="350"/>
        <w:rPr>
          <w:rFonts w:eastAsia="仿宋_GB2312"/>
          <w:sz w:val="24"/>
        </w:rPr>
      </w:pPr>
      <w:r>
        <w:rPr>
          <w:rFonts w:eastAsia="仿宋_GB2312"/>
          <w:sz w:val="24"/>
        </w:rPr>
        <w:t>16.4   任何行间插字、涂改或增删，必须由响应文件签字人将姓或首字母在旁边签字才有效。</w:t>
      </w:r>
    </w:p>
    <w:p w14:paraId="4A88E3EE">
      <w:pPr>
        <w:keepNext w:val="0"/>
        <w:keepLines w:val="0"/>
        <w:pageBreakBefore w:val="0"/>
        <w:tabs>
          <w:tab w:val="left" w:pos="360"/>
          <w:tab w:val="left" w:pos="502"/>
          <w:tab w:val="left" w:pos="588"/>
        </w:tabs>
        <w:kinsoku/>
        <w:wordWrap/>
        <w:overflowPunct/>
        <w:topLinePunct w:val="0"/>
        <w:bidi w:val="0"/>
        <w:adjustRightInd w:val="0"/>
        <w:snapToGrid w:val="0"/>
        <w:spacing w:line="460" w:lineRule="exact"/>
        <w:ind w:left="0" w:leftChars="0"/>
        <w:rPr>
          <w:rFonts w:eastAsia="仿宋_GB2312"/>
          <w:sz w:val="24"/>
        </w:rPr>
      </w:pPr>
      <w:r>
        <w:rPr>
          <w:rFonts w:eastAsia="仿宋_GB2312"/>
          <w:sz w:val="24"/>
        </w:rPr>
        <w:t>16.5   采购人不接受以电报、电话、传真、电子邮件形式递交的响应文件。</w:t>
      </w:r>
    </w:p>
    <w:p w14:paraId="2BED607E">
      <w:pPr>
        <w:keepNext w:val="0"/>
        <w:keepLines w:val="0"/>
        <w:pageBreakBefore w:val="0"/>
        <w:tabs>
          <w:tab w:val="left" w:pos="360"/>
          <w:tab w:val="left" w:pos="502"/>
          <w:tab w:val="left" w:pos="588"/>
        </w:tabs>
        <w:kinsoku/>
        <w:wordWrap/>
        <w:overflowPunct/>
        <w:topLinePunct w:val="0"/>
        <w:bidi w:val="0"/>
        <w:adjustRightInd w:val="0"/>
        <w:snapToGrid w:val="0"/>
        <w:spacing w:line="460" w:lineRule="exact"/>
        <w:ind w:left="840" w:leftChars="0" w:hanging="840" w:hangingChars="350"/>
        <w:rPr>
          <w:rFonts w:eastAsia="仿宋_GB2312"/>
          <w:sz w:val="24"/>
        </w:rPr>
      </w:pPr>
      <w:r>
        <w:rPr>
          <w:rFonts w:eastAsia="仿宋_GB2312"/>
          <w:sz w:val="24"/>
        </w:rPr>
        <w:t>16.6   供应商在谈判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p>
    <w:p w14:paraId="3DA81214">
      <w:pPr>
        <w:keepNext w:val="0"/>
        <w:keepLines w:val="0"/>
        <w:pageBreakBefore w:val="0"/>
        <w:tabs>
          <w:tab w:val="left" w:pos="588"/>
        </w:tabs>
        <w:kinsoku/>
        <w:wordWrap/>
        <w:overflowPunct/>
        <w:topLinePunct w:val="0"/>
        <w:bidi w:val="0"/>
        <w:adjustRightInd w:val="0"/>
        <w:snapToGrid w:val="0"/>
        <w:spacing w:line="460" w:lineRule="exact"/>
        <w:ind w:left="840" w:leftChars="0" w:hanging="840" w:hangingChars="350"/>
        <w:rPr>
          <w:rFonts w:eastAsia="仿宋_GB2312"/>
          <w:sz w:val="24"/>
        </w:rPr>
      </w:pPr>
      <w:r>
        <w:rPr>
          <w:rFonts w:eastAsia="仿宋_GB2312"/>
          <w:sz w:val="24"/>
        </w:rPr>
        <w:t>16.7   响应文件应按照“资格证明文件”和“商务及技术文件”分成两部分，并用不可拆装的方式分别装订成册。</w:t>
      </w:r>
    </w:p>
    <w:p w14:paraId="64959FFC">
      <w:pPr>
        <w:pStyle w:val="22"/>
      </w:pPr>
    </w:p>
    <w:p w14:paraId="3B9EAA82">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jc w:val="center"/>
        <w:textAlignment w:val="baseline"/>
        <w:outlineLvl w:val="2"/>
        <w:rPr>
          <w:rFonts w:eastAsia="仿宋_GB2312"/>
          <w:b/>
          <w:kern w:val="0"/>
          <w:sz w:val="28"/>
          <w:szCs w:val="28"/>
        </w:rPr>
      </w:pPr>
      <w:bookmarkStart w:id="249" w:name="_Hlt491765640"/>
      <w:bookmarkEnd w:id="249"/>
      <w:bookmarkStart w:id="250" w:name="_Toc70687161"/>
      <w:bookmarkStart w:id="251" w:name="_Toc230013636"/>
      <w:bookmarkStart w:id="252" w:name="_Toc230099801"/>
      <w:bookmarkStart w:id="253" w:name="_Toc177189239"/>
      <w:bookmarkStart w:id="254" w:name="_Toc249515298"/>
      <w:bookmarkStart w:id="255" w:name="_Toc492955419"/>
      <w:bookmarkStart w:id="256" w:name="_Toc177817338"/>
      <w:bookmarkStart w:id="257" w:name="_Toc499711888"/>
      <w:bookmarkStart w:id="258" w:name="_Toc500747066"/>
      <w:bookmarkStart w:id="259" w:name="_Toc232395216"/>
      <w:bookmarkStart w:id="260" w:name="_Toc256342147"/>
      <w:bookmarkStart w:id="261" w:name="_Toc53722844"/>
      <w:bookmarkStart w:id="262" w:name="_Toc496324583"/>
      <w:bookmarkStart w:id="263" w:name="_Toc176882546"/>
      <w:bookmarkStart w:id="264" w:name="_Toc500747193"/>
      <w:bookmarkStart w:id="265" w:name="_Toc230583545"/>
      <w:bookmarkStart w:id="266" w:name="_Toc249525179"/>
      <w:bookmarkStart w:id="267" w:name="_Toc184043034"/>
      <w:bookmarkStart w:id="268" w:name="_Toc232176276"/>
      <w:bookmarkStart w:id="269" w:name="_Toc500746970"/>
      <w:bookmarkStart w:id="270" w:name="_Toc249515410"/>
      <w:bookmarkStart w:id="271" w:name="_Toc503063426"/>
      <w:bookmarkStart w:id="272" w:name="_Toc499711047"/>
      <w:bookmarkStart w:id="273" w:name="_Toc389620186"/>
      <w:bookmarkStart w:id="274" w:name="_Toc385992347"/>
      <w:bookmarkStart w:id="275" w:name="_Toc177995477"/>
      <w:r>
        <w:rPr>
          <w:rFonts w:eastAsia="仿宋_GB2312"/>
          <w:b/>
          <w:kern w:val="0"/>
          <w:sz w:val="28"/>
          <w:szCs w:val="28"/>
        </w:rPr>
        <w:t>四、响应文件的密封和递交</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14:paraId="0B8C0A0C">
      <w:pPr>
        <w:pStyle w:val="6"/>
        <w:keepNext w:val="0"/>
        <w:keepLines w:val="0"/>
        <w:pageBreakBefore w:val="0"/>
        <w:widowControl w:val="0"/>
        <w:tabs>
          <w:tab w:val="left" w:pos="588"/>
        </w:tabs>
        <w:kinsoku/>
        <w:wordWrap/>
        <w:overflowPunct/>
        <w:topLinePunct w:val="0"/>
        <w:autoSpaceDE/>
        <w:autoSpaceDN/>
        <w:bidi w:val="0"/>
        <w:adjustRightInd w:val="0"/>
        <w:snapToGrid w:val="0"/>
        <w:spacing w:beforeAutospacing="0" w:afterAutospacing="0" w:line="460" w:lineRule="exact"/>
        <w:ind w:left="0" w:leftChars="0"/>
        <w:textAlignment w:val="baseline"/>
        <w:outlineLvl w:val="3"/>
        <w:rPr>
          <w:rFonts w:ascii="Times New Roman" w:hAnsi="Times New Roman" w:eastAsia="仿宋_GB2312"/>
          <w:b/>
          <w:sz w:val="24"/>
          <w:szCs w:val="21"/>
        </w:rPr>
      </w:pPr>
      <w:bookmarkStart w:id="276" w:name="_Toc249525180"/>
      <w:bookmarkStart w:id="277" w:name="_Toc385992348"/>
      <w:bookmarkStart w:id="278" w:name="_Toc70687162"/>
      <w:bookmarkStart w:id="279" w:name="_Toc389620187"/>
      <w:bookmarkStart w:id="280" w:name="_Toc249515411"/>
      <w:bookmarkStart w:id="281" w:name="_Toc249515299"/>
      <w:bookmarkStart w:id="282" w:name="_Toc184043035"/>
      <w:bookmarkStart w:id="283" w:name="_Toc4042"/>
      <w:r>
        <w:rPr>
          <w:rFonts w:ascii="Times New Roman" w:hAnsi="Times New Roman" w:eastAsia="仿宋_GB2312"/>
          <w:b/>
          <w:sz w:val="24"/>
          <w:szCs w:val="21"/>
        </w:rPr>
        <w:t>17.    响应文件的密封和标记</w:t>
      </w:r>
      <w:bookmarkEnd w:id="276"/>
      <w:bookmarkEnd w:id="277"/>
      <w:bookmarkEnd w:id="278"/>
      <w:bookmarkEnd w:id="279"/>
      <w:bookmarkEnd w:id="280"/>
      <w:bookmarkEnd w:id="281"/>
      <w:bookmarkEnd w:id="282"/>
      <w:bookmarkEnd w:id="283"/>
    </w:p>
    <w:p w14:paraId="67862FB8">
      <w:pPr>
        <w:keepNext w:val="0"/>
        <w:keepLines w:val="0"/>
        <w:pageBreakBefore w:val="0"/>
        <w:tabs>
          <w:tab w:val="left" w:pos="360"/>
          <w:tab w:val="left" w:pos="502"/>
          <w:tab w:val="left" w:pos="588"/>
        </w:tabs>
        <w:kinsoku/>
        <w:wordWrap/>
        <w:overflowPunct/>
        <w:topLinePunct w:val="0"/>
        <w:bidi w:val="0"/>
        <w:adjustRightInd w:val="0"/>
        <w:snapToGrid w:val="0"/>
        <w:spacing w:line="460" w:lineRule="exact"/>
        <w:ind w:left="840" w:leftChars="0" w:hanging="840" w:hangingChars="350"/>
        <w:rPr>
          <w:rFonts w:eastAsia="仿宋_GB2312"/>
          <w:sz w:val="24"/>
        </w:rPr>
      </w:pPr>
      <w:bookmarkStart w:id="284" w:name="_Toc389620188"/>
      <w:bookmarkStart w:id="285" w:name="_Toc184043036"/>
      <w:bookmarkStart w:id="286" w:name="_Toc385992349"/>
      <w:bookmarkStart w:id="287" w:name="_Toc70687163"/>
      <w:r>
        <w:rPr>
          <w:rFonts w:eastAsia="仿宋_GB2312"/>
          <w:kern w:val="0"/>
          <w:sz w:val="24"/>
          <w:szCs w:val="21"/>
        </w:rPr>
        <w:t xml:space="preserve">17.1   </w:t>
      </w:r>
      <w:r>
        <w:rPr>
          <w:rFonts w:hint="eastAsia" w:eastAsia="仿宋_GB2312"/>
          <w:kern w:val="0"/>
          <w:sz w:val="24"/>
          <w:szCs w:val="21"/>
        </w:rPr>
        <w:t>电子</w:t>
      </w:r>
      <w:r>
        <w:rPr>
          <w:rFonts w:hint="eastAsia" w:eastAsia="仿宋_GB2312"/>
          <w:kern w:val="0"/>
          <w:sz w:val="24"/>
          <w:szCs w:val="21"/>
          <w:lang w:val="en-US" w:eastAsia="zh-CN"/>
        </w:rPr>
        <w:t>响应</w:t>
      </w:r>
      <w:r>
        <w:rPr>
          <w:rFonts w:hint="eastAsia" w:eastAsia="仿宋_GB2312"/>
          <w:kern w:val="0"/>
          <w:sz w:val="24"/>
          <w:szCs w:val="21"/>
        </w:rPr>
        <w:t>文件可于提交</w:t>
      </w:r>
      <w:r>
        <w:rPr>
          <w:rFonts w:hint="eastAsia" w:eastAsia="仿宋_GB2312"/>
          <w:kern w:val="0"/>
          <w:sz w:val="24"/>
          <w:szCs w:val="21"/>
          <w:lang w:val="en-US" w:eastAsia="zh-CN"/>
        </w:rPr>
        <w:t>响应</w:t>
      </w:r>
      <w:r>
        <w:rPr>
          <w:rFonts w:hint="eastAsia" w:eastAsia="仿宋_GB2312"/>
          <w:kern w:val="0"/>
          <w:sz w:val="24"/>
          <w:szCs w:val="21"/>
        </w:rPr>
        <w:t>文件截止时间前任意时段，登录</w:t>
      </w:r>
      <w:r>
        <w:rPr>
          <w:rFonts w:hint="eastAsia" w:eastAsia="仿宋_GB2312"/>
          <w:kern w:val="0"/>
          <w:sz w:val="24"/>
          <w:szCs w:val="21"/>
          <w:lang w:val="en-US" w:eastAsia="zh-CN"/>
        </w:rPr>
        <w:t>安康市</w:t>
      </w:r>
      <w:r>
        <w:rPr>
          <w:rFonts w:hint="eastAsia" w:eastAsia="仿宋_GB2312"/>
          <w:kern w:val="0"/>
          <w:sz w:val="24"/>
          <w:szCs w:val="21"/>
        </w:rPr>
        <w:t>公共资源交易平台〖首页·〉电子交易平台·〉企业端〗，登录后切换到〖我的项目〗模块下，依次点选〖项目流程·〉项目管理·〉上传投标文件〗，上传加密后的电子</w:t>
      </w:r>
      <w:r>
        <w:rPr>
          <w:rFonts w:hint="eastAsia" w:eastAsia="仿宋_GB2312"/>
          <w:kern w:val="0"/>
          <w:sz w:val="24"/>
          <w:szCs w:val="21"/>
          <w:lang w:val="en-US" w:eastAsia="zh-CN"/>
        </w:rPr>
        <w:t>响应</w:t>
      </w:r>
      <w:r>
        <w:rPr>
          <w:rFonts w:hint="eastAsia" w:eastAsia="仿宋_GB2312"/>
          <w:kern w:val="0"/>
          <w:sz w:val="24"/>
          <w:szCs w:val="21"/>
        </w:rPr>
        <w:t>文件（*.SXSTF）。上传成功后，</w:t>
      </w:r>
      <w:r>
        <w:rPr>
          <w:rFonts w:hint="eastAsia" w:eastAsia="仿宋_GB2312"/>
          <w:kern w:val="0"/>
          <w:sz w:val="24"/>
          <w:szCs w:val="21"/>
          <w:lang w:val="en-US" w:eastAsia="zh-CN"/>
        </w:rPr>
        <w:t>陕西省</w:t>
      </w:r>
      <w:r>
        <w:rPr>
          <w:rFonts w:hint="eastAsia" w:eastAsia="仿宋_GB2312"/>
          <w:kern w:val="0"/>
          <w:sz w:val="24"/>
          <w:szCs w:val="21"/>
        </w:rPr>
        <w:t>公共资源交易平台政府采购系统将予以记录</w:t>
      </w:r>
      <w:r>
        <w:rPr>
          <w:rFonts w:eastAsia="仿宋_GB2312"/>
          <w:kern w:val="0"/>
          <w:sz w:val="24"/>
          <w:szCs w:val="21"/>
        </w:rPr>
        <w:t>。</w:t>
      </w:r>
    </w:p>
    <w:p w14:paraId="4D1FD052">
      <w:pPr>
        <w:pStyle w:val="22"/>
        <w:keepNext w:val="0"/>
        <w:keepLines w:val="0"/>
        <w:pageBreakBefore w:val="0"/>
        <w:kinsoku/>
        <w:wordWrap/>
        <w:overflowPunct/>
        <w:topLinePunct w:val="0"/>
        <w:bidi w:val="0"/>
        <w:adjustRightInd w:val="0"/>
        <w:snapToGrid w:val="0"/>
        <w:spacing w:line="460" w:lineRule="exact"/>
        <w:ind w:left="840" w:leftChars="0" w:hanging="840" w:hangingChars="350"/>
        <w:rPr>
          <w:rFonts w:ascii="Times New Roman" w:hAnsi="Times New Roman" w:eastAsia="仿宋_GB2312"/>
          <w:sz w:val="24"/>
        </w:rPr>
      </w:pPr>
      <w:r>
        <w:rPr>
          <w:rFonts w:ascii="Times New Roman" w:hAnsi="Times New Roman" w:eastAsia="仿宋_GB2312"/>
          <w:sz w:val="24"/>
        </w:rPr>
        <w:t>17.</w:t>
      </w:r>
      <w:r>
        <w:rPr>
          <w:rFonts w:hint="eastAsia" w:ascii="Times New Roman" w:hAnsi="Times New Roman" w:eastAsia="仿宋_GB2312"/>
          <w:sz w:val="24"/>
          <w:lang w:val="en-US" w:eastAsia="zh-CN"/>
        </w:rPr>
        <w:t>2</w:t>
      </w:r>
      <w:r>
        <w:rPr>
          <w:rFonts w:ascii="Times New Roman" w:hAnsi="Times New Roman" w:eastAsia="仿宋_GB2312"/>
          <w:sz w:val="24"/>
        </w:rPr>
        <w:t xml:space="preserve">   书面方式不能准确描述采购需求或者需要对样品进行主观判断以确认是否满足采购需求的情况下需提交样品。成交单位样品不予退还，成为合同内容的一部分，做为验收依据。样品的要求见</w:t>
      </w:r>
      <w:r>
        <w:rPr>
          <w:rFonts w:ascii="Times New Roman" w:hAnsi="Times New Roman" w:eastAsia="仿宋_GB2312"/>
          <w:b/>
          <w:sz w:val="24"/>
        </w:rPr>
        <w:t>供应商须知前附表</w:t>
      </w:r>
      <w:r>
        <w:rPr>
          <w:rFonts w:ascii="Times New Roman" w:hAnsi="Times New Roman" w:eastAsia="仿宋_GB2312"/>
          <w:sz w:val="24"/>
        </w:rPr>
        <w:t>。</w:t>
      </w:r>
    </w:p>
    <w:bookmarkEnd w:id="284"/>
    <w:bookmarkEnd w:id="285"/>
    <w:bookmarkEnd w:id="286"/>
    <w:bookmarkEnd w:id="287"/>
    <w:p w14:paraId="685ADE96">
      <w:pPr>
        <w:pStyle w:val="6"/>
        <w:keepNext w:val="0"/>
        <w:keepLines w:val="0"/>
        <w:pageBreakBefore w:val="0"/>
        <w:widowControl w:val="0"/>
        <w:tabs>
          <w:tab w:val="left" w:pos="588"/>
        </w:tabs>
        <w:kinsoku/>
        <w:wordWrap/>
        <w:overflowPunct/>
        <w:topLinePunct w:val="0"/>
        <w:autoSpaceDE/>
        <w:autoSpaceDN/>
        <w:bidi w:val="0"/>
        <w:adjustRightInd w:val="0"/>
        <w:snapToGrid w:val="0"/>
        <w:spacing w:beforeAutospacing="0" w:afterAutospacing="0" w:line="460" w:lineRule="exact"/>
        <w:ind w:left="0" w:leftChars="0"/>
        <w:textAlignment w:val="baseline"/>
        <w:outlineLvl w:val="3"/>
        <w:rPr>
          <w:rFonts w:ascii="Times New Roman" w:hAnsi="Times New Roman" w:eastAsia="仿宋_GB2312"/>
          <w:b/>
          <w:sz w:val="24"/>
          <w:szCs w:val="21"/>
        </w:rPr>
      </w:pPr>
      <w:bookmarkStart w:id="288" w:name="_Toc31171"/>
      <w:bookmarkStart w:id="289" w:name="_Toc249525181"/>
      <w:bookmarkStart w:id="290" w:name="_Toc249515300"/>
      <w:bookmarkStart w:id="291" w:name="_Toc249515412"/>
      <w:r>
        <w:rPr>
          <w:rFonts w:ascii="Times New Roman" w:hAnsi="Times New Roman" w:eastAsia="仿宋_GB2312"/>
          <w:b/>
          <w:sz w:val="24"/>
          <w:szCs w:val="21"/>
        </w:rPr>
        <w:t>18.    响应文件递交截止时间</w:t>
      </w:r>
      <w:bookmarkEnd w:id="288"/>
      <w:bookmarkEnd w:id="289"/>
      <w:bookmarkEnd w:id="290"/>
      <w:bookmarkEnd w:id="291"/>
    </w:p>
    <w:p w14:paraId="1736CF82">
      <w:pPr>
        <w:tabs>
          <w:tab w:val="left" w:pos="588"/>
        </w:tabs>
        <w:spacing w:line="360" w:lineRule="auto"/>
        <w:rPr>
          <w:rFonts w:eastAsia="仿宋_GB2312"/>
          <w:sz w:val="24"/>
        </w:rPr>
      </w:pPr>
      <w:bookmarkStart w:id="292" w:name="_Toc385992350"/>
      <w:bookmarkStart w:id="293" w:name="_Toc70687164"/>
      <w:bookmarkStart w:id="294" w:name="_Toc184043037"/>
      <w:bookmarkStart w:id="295" w:name="_Toc389620189"/>
      <w:r>
        <w:rPr>
          <w:rFonts w:eastAsia="仿宋_GB2312"/>
          <w:sz w:val="24"/>
        </w:rPr>
        <w:t>18.1   响应文件递交截止时间和地点见</w:t>
      </w:r>
      <w:r>
        <w:rPr>
          <w:rFonts w:eastAsia="仿宋_GB2312"/>
          <w:b/>
          <w:sz w:val="24"/>
        </w:rPr>
        <w:t>供应商须知前附表</w:t>
      </w:r>
      <w:r>
        <w:rPr>
          <w:rFonts w:eastAsia="仿宋_GB2312"/>
          <w:sz w:val="24"/>
        </w:rPr>
        <w:t>。</w:t>
      </w:r>
    </w:p>
    <w:p w14:paraId="237BB10D">
      <w:pPr>
        <w:tabs>
          <w:tab w:val="left" w:pos="588"/>
        </w:tabs>
        <w:spacing w:line="360" w:lineRule="auto"/>
        <w:ind w:left="840" w:hanging="840" w:hangingChars="350"/>
        <w:rPr>
          <w:rFonts w:eastAsia="仿宋_GB2312"/>
          <w:sz w:val="24"/>
        </w:rPr>
      </w:pPr>
      <w:r>
        <w:rPr>
          <w:rFonts w:eastAsia="仿宋_GB2312"/>
          <w:sz w:val="24"/>
        </w:rPr>
        <w:t xml:space="preserve">18.2   </w:t>
      </w:r>
      <w:r>
        <w:rPr>
          <w:rFonts w:hint="eastAsia" w:eastAsia="仿宋_GB2312"/>
          <w:color w:val="auto"/>
          <w:sz w:val="24"/>
          <w:highlight w:val="none"/>
        </w:rPr>
        <w:t>投标人在提交</w:t>
      </w:r>
      <w:r>
        <w:rPr>
          <w:rFonts w:hint="eastAsia" w:eastAsia="仿宋_GB2312"/>
          <w:color w:val="auto"/>
          <w:kern w:val="0"/>
          <w:sz w:val="24"/>
          <w:szCs w:val="21"/>
          <w:highlight w:val="none"/>
          <w:lang w:val="en-US" w:eastAsia="zh-CN"/>
        </w:rPr>
        <w:t>响应</w:t>
      </w:r>
      <w:r>
        <w:rPr>
          <w:rFonts w:hint="eastAsia" w:eastAsia="仿宋_GB2312"/>
          <w:color w:val="auto"/>
          <w:sz w:val="24"/>
          <w:highlight w:val="none"/>
        </w:rPr>
        <w:t>文件截止时间前，可以对所提交的</w:t>
      </w:r>
      <w:r>
        <w:rPr>
          <w:rFonts w:hint="eastAsia" w:eastAsia="仿宋_GB2312"/>
          <w:color w:val="auto"/>
          <w:kern w:val="0"/>
          <w:sz w:val="24"/>
          <w:szCs w:val="21"/>
          <w:highlight w:val="none"/>
          <w:lang w:val="en-US" w:eastAsia="zh-CN"/>
        </w:rPr>
        <w:t>响应</w:t>
      </w:r>
      <w:r>
        <w:rPr>
          <w:rFonts w:hint="eastAsia" w:eastAsia="仿宋_GB2312"/>
          <w:color w:val="auto"/>
          <w:sz w:val="24"/>
          <w:highlight w:val="none"/>
        </w:rPr>
        <w:t>文件进行补充、修改或者撤回，并书面通知采购人、采购代理机构。补充、修改的内容作为</w:t>
      </w:r>
      <w:r>
        <w:rPr>
          <w:rFonts w:hint="eastAsia" w:eastAsia="仿宋_GB2312"/>
          <w:color w:val="auto"/>
          <w:kern w:val="0"/>
          <w:sz w:val="24"/>
          <w:szCs w:val="21"/>
          <w:highlight w:val="none"/>
          <w:lang w:val="en-US" w:eastAsia="zh-CN"/>
        </w:rPr>
        <w:t>响应</w:t>
      </w:r>
      <w:r>
        <w:rPr>
          <w:rFonts w:hint="eastAsia" w:eastAsia="仿宋_GB2312"/>
          <w:color w:val="auto"/>
          <w:sz w:val="24"/>
          <w:highlight w:val="none"/>
        </w:rPr>
        <w:t>文件的组成部分。补充、修改的内容与</w:t>
      </w:r>
      <w:r>
        <w:rPr>
          <w:rFonts w:hint="eastAsia" w:eastAsia="仿宋_GB2312"/>
          <w:color w:val="auto"/>
          <w:kern w:val="0"/>
          <w:sz w:val="24"/>
          <w:szCs w:val="21"/>
          <w:highlight w:val="none"/>
          <w:lang w:val="en-US" w:eastAsia="zh-CN"/>
        </w:rPr>
        <w:t>响应</w:t>
      </w:r>
      <w:r>
        <w:rPr>
          <w:rFonts w:hint="eastAsia" w:eastAsia="仿宋_GB2312"/>
          <w:color w:val="auto"/>
          <w:sz w:val="24"/>
          <w:highlight w:val="none"/>
        </w:rPr>
        <w:t>文件不一致的，以补充、修改的内容为准。对已提交的电子</w:t>
      </w:r>
      <w:r>
        <w:rPr>
          <w:rFonts w:hint="eastAsia" w:eastAsia="仿宋_GB2312"/>
          <w:color w:val="auto"/>
          <w:kern w:val="0"/>
          <w:sz w:val="24"/>
          <w:szCs w:val="21"/>
          <w:highlight w:val="none"/>
          <w:lang w:val="en-US" w:eastAsia="zh-CN"/>
        </w:rPr>
        <w:t>响应</w:t>
      </w:r>
      <w:r>
        <w:rPr>
          <w:rFonts w:hint="eastAsia" w:eastAsia="仿宋_GB2312"/>
          <w:color w:val="auto"/>
          <w:sz w:val="24"/>
          <w:highlight w:val="none"/>
        </w:rPr>
        <w:t>文件进行补充、修改的，应先从电子交易平台上撤回旧文件，再重新提交新文件；提交的纸质文件（备案用）应从专用制作软件中直接打印，与电子</w:t>
      </w:r>
      <w:r>
        <w:rPr>
          <w:rFonts w:hint="eastAsia" w:eastAsia="仿宋_GB2312"/>
          <w:color w:val="auto"/>
          <w:kern w:val="0"/>
          <w:sz w:val="24"/>
          <w:szCs w:val="21"/>
          <w:highlight w:val="none"/>
          <w:lang w:val="en-US" w:eastAsia="zh-CN"/>
        </w:rPr>
        <w:t>响应</w:t>
      </w:r>
      <w:r>
        <w:rPr>
          <w:rFonts w:hint="eastAsia" w:eastAsia="仿宋_GB2312"/>
          <w:color w:val="auto"/>
          <w:sz w:val="24"/>
          <w:highlight w:val="none"/>
        </w:rPr>
        <w:t>文件保持一致，不允许补充和修改。</w:t>
      </w:r>
    </w:p>
    <w:p w14:paraId="0F8D5E0E">
      <w:pPr>
        <w:tabs>
          <w:tab w:val="left" w:pos="588"/>
        </w:tabs>
        <w:spacing w:line="360" w:lineRule="auto"/>
        <w:ind w:left="840" w:hanging="840" w:hangingChars="350"/>
        <w:rPr>
          <w:rFonts w:eastAsia="仿宋_GB2312"/>
          <w:sz w:val="24"/>
        </w:rPr>
      </w:pPr>
      <w:r>
        <w:rPr>
          <w:rFonts w:eastAsia="仿宋_GB2312"/>
          <w:sz w:val="24"/>
        </w:rPr>
        <w:t>18.3   采购人可以按本须知第7条规定，通知修改</w:t>
      </w:r>
      <w:r>
        <w:rPr>
          <w:rFonts w:hint="eastAsia" w:eastAsia="仿宋_GB2312"/>
          <w:sz w:val="24"/>
          <w:lang w:eastAsia="zh-CN"/>
        </w:rPr>
        <w:t>谈判</w:t>
      </w:r>
      <w:r>
        <w:rPr>
          <w:rFonts w:eastAsia="仿宋_GB2312"/>
          <w:sz w:val="24"/>
        </w:rPr>
        <w:t>文件，适当延长响应文件递交截止时间。在此情况下，采购人和供应商受响应文件递交截止时间制约的所有权利和义务均应延长至新的截止期。</w:t>
      </w:r>
    </w:p>
    <w:p w14:paraId="1D11A36E">
      <w:pPr>
        <w:pStyle w:val="6"/>
        <w:keepNext w:val="0"/>
        <w:keepLines w:val="0"/>
        <w:pageBreakBefore w:val="0"/>
        <w:widowControl w:val="0"/>
        <w:tabs>
          <w:tab w:val="left" w:pos="588"/>
        </w:tabs>
        <w:kinsoku/>
        <w:wordWrap/>
        <w:overflowPunct/>
        <w:topLinePunct w:val="0"/>
        <w:autoSpaceDE/>
        <w:autoSpaceDN/>
        <w:bidi w:val="0"/>
        <w:adjustRightInd w:val="0"/>
        <w:snapToGrid w:val="0"/>
        <w:spacing w:beforeAutospacing="0" w:afterAutospacing="0" w:line="460" w:lineRule="exact"/>
        <w:ind w:left="0" w:leftChars="0"/>
        <w:textAlignment w:val="baseline"/>
        <w:outlineLvl w:val="3"/>
        <w:rPr>
          <w:rFonts w:ascii="Times New Roman" w:hAnsi="Times New Roman" w:eastAsia="仿宋_GB2312"/>
          <w:b/>
          <w:sz w:val="24"/>
          <w:szCs w:val="21"/>
        </w:rPr>
      </w:pPr>
      <w:bookmarkStart w:id="296" w:name="_Toc249525182"/>
      <w:bookmarkStart w:id="297" w:name="_Toc249515301"/>
      <w:bookmarkStart w:id="298" w:name="_Toc249515413"/>
      <w:bookmarkStart w:id="299" w:name="_Toc7175"/>
      <w:r>
        <w:rPr>
          <w:rFonts w:ascii="Times New Roman" w:hAnsi="Times New Roman" w:eastAsia="仿宋_GB2312"/>
          <w:b/>
          <w:sz w:val="24"/>
          <w:szCs w:val="21"/>
        </w:rPr>
        <w:t>19.    迟交的响应文件</w:t>
      </w:r>
      <w:bookmarkEnd w:id="292"/>
      <w:bookmarkEnd w:id="293"/>
      <w:bookmarkEnd w:id="294"/>
      <w:bookmarkEnd w:id="295"/>
      <w:bookmarkEnd w:id="296"/>
      <w:bookmarkEnd w:id="297"/>
      <w:bookmarkEnd w:id="298"/>
      <w:bookmarkEnd w:id="299"/>
    </w:p>
    <w:p w14:paraId="0678C6E0">
      <w:pPr>
        <w:tabs>
          <w:tab w:val="left" w:pos="588"/>
        </w:tabs>
        <w:spacing w:line="360" w:lineRule="auto"/>
        <w:ind w:left="840" w:hanging="840" w:hangingChars="350"/>
        <w:rPr>
          <w:rFonts w:eastAsia="仿宋_GB2312"/>
          <w:sz w:val="24"/>
        </w:rPr>
      </w:pPr>
      <w:r>
        <w:rPr>
          <w:rFonts w:eastAsia="仿宋_GB2312"/>
          <w:sz w:val="24"/>
        </w:rPr>
        <w:t>19.1   采购人将拒绝接收第18条规定的响应文件递交截止时间后递交的任何响应文件。</w:t>
      </w:r>
    </w:p>
    <w:p w14:paraId="19CC56AC">
      <w:pPr>
        <w:pStyle w:val="6"/>
        <w:keepNext w:val="0"/>
        <w:keepLines w:val="0"/>
        <w:pageBreakBefore w:val="0"/>
        <w:widowControl w:val="0"/>
        <w:tabs>
          <w:tab w:val="left" w:pos="588"/>
        </w:tabs>
        <w:kinsoku/>
        <w:wordWrap/>
        <w:overflowPunct/>
        <w:topLinePunct w:val="0"/>
        <w:autoSpaceDE/>
        <w:autoSpaceDN/>
        <w:bidi w:val="0"/>
        <w:adjustRightInd w:val="0"/>
        <w:snapToGrid w:val="0"/>
        <w:spacing w:beforeAutospacing="0" w:afterAutospacing="0" w:line="460" w:lineRule="exact"/>
        <w:ind w:left="0" w:leftChars="0"/>
        <w:textAlignment w:val="baseline"/>
        <w:outlineLvl w:val="3"/>
        <w:rPr>
          <w:rFonts w:ascii="Times New Roman" w:hAnsi="Times New Roman" w:eastAsia="仿宋_GB2312"/>
          <w:b/>
          <w:sz w:val="24"/>
          <w:szCs w:val="21"/>
        </w:rPr>
      </w:pPr>
      <w:bookmarkStart w:id="300" w:name="_Toc249515414"/>
      <w:bookmarkStart w:id="301" w:name="_Toc10272"/>
      <w:bookmarkStart w:id="302" w:name="_Toc184043038"/>
      <w:bookmarkStart w:id="303" w:name="_Toc249525183"/>
      <w:bookmarkStart w:id="304" w:name="_Toc70687165"/>
      <w:bookmarkStart w:id="305" w:name="_Toc249515302"/>
      <w:bookmarkStart w:id="306" w:name="_Toc385992351"/>
      <w:bookmarkStart w:id="307" w:name="_Toc389620190"/>
      <w:r>
        <w:rPr>
          <w:rFonts w:ascii="Times New Roman" w:hAnsi="Times New Roman" w:eastAsia="仿宋_GB2312"/>
          <w:b/>
          <w:sz w:val="24"/>
          <w:szCs w:val="21"/>
        </w:rPr>
        <w:t>20.    响应文件的修改和撤</w:t>
      </w:r>
      <w:bookmarkEnd w:id="300"/>
      <w:bookmarkEnd w:id="301"/>
      <w:bookmarkEnd w:id="302"/>
      <w:bookmarkEnd w:id="303"/>
      <w:bookmarkEnd w:id="304"/>
      <w:bookmarkEnd w:id="305"/>
      <w:bookmarkEnd w:id="306"/>
      <w:bookmarkEnd w:id="307"/>
      <w:r>
        <w:rPr>
          <w:rFonts w:ascii="Times New Roman" w:hAnsi="Times New Roman" w:eastAsia="仿宋_GB2312"/>
          <w:b/>
          <w:sz w:val="24"/>
          <w:szCs w:val="21"/>
        </w:rPr>
        <w:t>回</w:t>
      </w:r>
    </w:p>
    <w:p w14:paraId="3B823747">
      <w:pPr>
        <w:keepNext w:val="0"/>
        <w:keepLines w:val="0"/>
        <w:pageBreakBefore w:val="0"/>
        <w:widowControl w:val="0"/>
        <w:tabs>
          <w:tab w:val="left" w:pos="588"/>
        </w:tabs>
        <w:kinsoku/>
        <w:wordWrap/>
        <w:overflowPunct/>
        <w:topLinePunct w:val="0"/>
        <w:autoSpaceDE/>
        <w:autoSpaceDN/>
        <w:bidi w:val="0"/>
        <w:adjustRightInd/>
        <w:snapToGrid/>
        <w:spacing w:line="360" w:lineRule="auto"/>
        <w:ind w:left="735" w:leftChars="350" w:firstLine="0" w:firstLineChars="0"/>
        <w:textAlignment w:val="auto"/>
        <w:rPr>
          <w:rFonts w:eastAsia="仿宋_GB2312"/>
          <w:sz w:val="24"/>
        </w:rPr>
      </w:pPr>
      <w:r>
        <w:rPr>
          <w:rFonts w:eastAsia="仿宋_GB2312"/>
          <w:sz w:val="24"/>
        </w:rPr>
        <w:t>供应商在提交响应文件后可对其响应文件进行修改或撤回，</w:t>
      </w:r>
      <w:r>
        <w:rPr>
          <w:rFonts w:hint="eastAsia" w:eastAsia="仿宋_GB2312"/>
          <w:sz w:val="24"/>
          <w:lang w:val="en-US" w:eastAsia="zh-CN"/>
        </w:rPr>
        <w:t>相关程序按公共资源交易中心有关规定执行</w:t>
      </w:r>
      <w:r>
        <w:rPr>
          <w:rFonts w:eastAsia="仿宋_GB2312"/>
          <w:sz w:val="24"/>
        </w:rPr>
        <w:t>。</w:t>
      </w:r>
    </w:p>
    <w:p w14:paraId="50AC2FD8">
      <w:pPr>
        <w:tabs>
          <w:tab w:val="left" w:pos="588"/>
        </w:tabs>
        <w:spacing w:line="360" w:lineRule="auto"/>
        <w:ind w:left="840" w:hanging="840" w:hangingChars="350"/>
        <w:rPr>
          <w:rFonts w:eastAsia="仿宋_GB2312"/>
          <w:sz w:val="24"/>
        </w:rPr>
      </w:pPr>
      <w:r>
        <w:rPr>
          <w:rFonts w:eastAsia="仿宋_GB2312"/>
          <w:sz w:val="24"/>
        </w:rPr>
        <w:t>20.1   供应商对响应文件修改的书面材料或撤回的通知应按第16和17条规定进行编写、密封、标注和递送，并注明“修改响应文件”或“撤回响应文件”字样。</w:t>
      </w:r>
    </w:p>
    <w:p w14:paraId="5EDEBC66">
      <w:pPr>
        <w:tabs>
          <w:tab w:val="left" w:pos="588"/>
        </w:tabs>
        <w:spacing w:line="360" w:lineRule="auto"/>
        <w:rPr>
          <w:rFonts w:eastAsia="仿宋_GB2312"/>
          <w:sz w:val="24"/>
        </w:rPr>
      </w:pPr>
      <w:r>
        <w:rPr>
          <w:rFonts w:eastAsia="仿宋_GB2312"/>
          <w:sz w:val="24"/>
        </w:rPr>
        <w:t>20.2   在响应文件递交截止时间之后，供应商不得对其响应文件做任何修改。</w:t>
      </w:r>
    </w:p>
    <w:p w14:paraId="20977AF1">
      <w:pPr>
        <w:keepNext w:val="0"/>
        <w:keepLines w:val="0"/>
        <w:pageBreakBefore w:val="0"/>
        <w:tabs>
          <w:tab w:val="left" w:pos="360"/>
          <w:tab w:val="left" w:pos="502"/>
          <w:tab w:val="left" w:pos="588"/>
        </w:tabs>
        <w:kinsoku/>
        <w:wordWrap/>
        <w:overflowPunct/>
        <w:topLinePunct w:val="0"/>
        <w:bidi w:val="0"/>
        <w:adjustRightInd w:val="0"/>
        <w:snapToGrid w:val="0"/>
        <w:spacing w:line="460" w:lineRule="exact"/>
        <w:ind w:left="840" w:leftChars="0" w:hanging="840" w:hangingChars="350"/>
        <w:rPr>
          <w:rFonts w:eastAsia="仿宋_GB2312"/>
          <w:sz w:val="24"/>
        </w:rPr>
      </w:pPr>
      <w:r>
        <w:rPr>
          <w:rFonts w:eastAsia="仿宋_GB2312"/>
          <w:sz w:val="24"/>
        </w:rPr>
        <w:t>20.3   供应商不得在响应文件递交截止时间起至响应文件有效期期满前撤销其响应文件。</w:t>
      </w:r>
    </w:p>
    <w:p w14:paraId="7F68F6BC">
      <w:pPr>
        <w:pStyle w:val="22"/>
      </w:pPr>
    </w:p>
    <w:p w14:paraId="6C7D383F">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jc w:val="center"/>
        <w:textAlignment w:val="baseline"/>
        <w:outlineLvl w:val="2"/>
        <w:rPr>
          <w:rFonts w:eastAsia="仿宋_GB2312"/>
          <w:b/>
          <w:kern w:val="0"/>
          <w:sz w:val="28"/>
          <w:szCs w:val="28"/>
        </w:rPr>
      </w:pPr>
      <w:bookmarkStart w:id="308" w:name="_Hlt491765712"/>
      <w:bookmarkEnd w:id="308"/>
      <w:bookmarkStart w:id="309" w:name="_Hlt497729441"/>
      <w:bookmarkEnd w:id="309"/>
      <w:bookmarkStart w:id="310" w:name="_Toc232395217"/>
      <w:bookmarkStart w:id="311" w:name="_Toc214357452"/>
      <w:bookmarkStart w:id="312" w:name="_Toc232176277"/>
      <w:bookmarkStart w:id="313" w:name="_Toc249515303"/>
      <w:bookmarkStart w:id="314" w:name="_Toc249525184"/>
      <w:bookmarkStart w:id="315" w:name="_Toc256342148"/>
      <w:bookmarkStart w:id="316" w:name="_Toc249515415"/>
      <w:bookmarkStart w:id="317" w:name="_Toc500747194"/>
      <w:bookmarkStart w:id="318" w:name="_Toc177995478"/>
      <w:bookmarkStart w:id="319" w:name="_Toc176882547"/>
      <w:bookmarkStart w:id="320" w:name="_Toc500746971"/>
      <w:bookmarkStart w:id="321" w:name="_Toc70687166"/>
      <w:bookmarkStart w:id="322" w:name="_Toc177817339"/>
      <w:bookmarkStart w:id="323" w:name="_Toc499711048"/>
      <w:bookmarkStart w:id="324" w:name="_Toc53722845"/>
      <w:bookmarkStart w:id="325" w:name="_Toc177189240"/>
      <w:bookmarkStart w:id="326" w:name="_Toc389620191"/>
      <w:bookmarkStart w:id="327" w:name="_Toc492955420"/>
      <w:bookmarkStart w:id="328" w:name="_Toc496324584"/>
      <w:bookmarkStart w:id="329" w:name="_Toc184043039"/>
      <w:bookmarkStart w:id="330" w:name="_Toc503063427"/>
      <w:bookmarkStart w:id="331" w:name="_Toc385992352"/>
      <w:bookmarkStart w:id="332" w:name="_Toc500747067"/>
      <w:bookmarkStart w:id="333" w:name="_Toc499711889"/>
      <w:r>
        <w:rPr>
          <w:rFonts w:eastAsia="仿宋_GB2312"/>
          <w:b/>
          <w:kern w:val="0"/>
          <w:sz w:val="28"/>
          <w:szCs w:val="28"/>
        </w:rPr>
        <w:t>五、</w:t>
      </w:r>
      <w:bookmarkEnd w:id="310"/>
      <w:bookmarkEnd w:id="311"/>
      <w:bookmarkEnd w:id="312"/>
      <w:r>
        <w:rPr>
          <w:rFonts w:eastAsia="仿宋_GB2312"/>
          <w:b/>
          <w:kern w:val="0"/>
          <w:sz w:val="28"/>
          <w:szCs w:val="28"/>
        </w:rPr>
        <w:t>评审与</w:t>
      </w:r>
      <w:bookmarkEnd w:id="313"/>
      <w:bookmarkEnd w:id="314"/>
      <w:bookmarkEnd w:id="315"/>
      <w:bookmarkEnd w:id="316"/>
      <w:r>
        <w:rPr>
          <w:rFonts w:eastAsia="仿宋_GB2312"/>
          <w:b/>
          <w:kern w:val="0"/>
          <w:sz w:val="28"/>
          <w:szCs w:val="28"/>
        </w:rPr>
        <w:t>谈判</w:t>
      </w:r>
    </w:p>
    <w:p w14:paraId="6F479F2E">
      <w:pPr>
        <w:pStyle w:val="6"/>
        <w:keepNext w:val="0"/>
        <w:keepLines w:val="0"/>
        <w:pageBreakBefore w:val="0"/>
        <w:widowControl w:val="0"/>
        <w:tabs>
          <w:tab w:val="left" w:pos="588"/>
        </w:tabs>
        <w:kinsoku/>
        <w:wordWrap/>
        <w:overflowPunct/>
        <w:topLinePunct w:val="0"/>
        <w:autoSpaceDE/>
        <w:autoSpaceDN/>
        <w:bidi w:val="0"/>
        <w:adjustRightInd w:val="0"/>
        <w:snapToGrid w:val="0"/>
        <w:spacing w:beforeAutospacing="0" w:afterAutospacing="0" w:line="460" w:lineRule="exact"/>
        <w:ind w:left="0" w:leftChars="0"/>
        <w:textAlignment w:val="baseline"/>
        <w:outlineLvl w:val="3"/>
        <w:rPr>
          <w:rFonts w:ascii="Times New Roman" w:hAnsi="Times New Roman" w:eastAsia="仿宋_GB2312"/>
          <w:b/>
          <w:sz w:val="24"/>
          <w:szCs w:val="21"/>
        </w:rPr>
      </w:pPr>
      <w:r>
        <w:rPr>
          <w:rFonts w:ascii="Times New Roman" w:hAnsi="Times New Roman" w:eastAsia="仿宋_GB2312"/>
          <w:b/>
          <w:sz w:val="24"/>
          <w:szCs w:val="21"/>
        </w:rPr>
        <w:t>21.    谈判小组</w:t>
      </w:r>
    </w:p>
    <w:p w14:paraId="2F26CADD">
      <w:pPr>
        <w:pStyle w:val="28"/>
        <w:keepNext w:val="0"/>
        <w:keepLines w:val="0"/>
        <w:pageBreakBefore w:val="0"/>
        <w:kinsoku/>
        <w:wordWrap/>
        <w:overflowPunct/>
        <w:topLinePunct w:val="0"/>
        <w:bidi w:val="0"/>
        <w:adjustRightInd w:val="0"/>
        <w:snapToGrid w:val="0"/>
        <w:spacing w:line="460" w:lineRule="exact"/>
        <w:ind w:left="840" w:leftChars="0" w:hanging="840" w:hangingChars="350"/>
        <w:rPr>
          <w:rFonts w:ascii="Times New Roman" w:hAnsi="Times New Roman" w:eastAsia="仿宋_GB2312"/>
          <w:sz w:val="24"/>
          <w:szCs w:val="24"/>
        </w:rPr>
      </w:pPr>
      <w:r>
        <w:rPr>
          <w:rFonts w:ascii="Times New Roman" w:hAnsi="Times New Roman" w:eastAsia="仿宋_GB2312"/>
          <w:sz w:val="24"/>
          <w:szCs w:val="24"/>
        </w:rPr>
        <w:t>21.1   在谈判开始前组建谈判小组，谈判小组由采购人代表及有关专家组成。专家从政府采购评审专家库相关专业中随机抽取。谈判小组组成见</w:t>
      </w:r>
      <w:r>
        <w:rPr>
          <w:rFonts w:ascii="Times New Roman" w:hAnsi="Times New Roman" w:eastAsia="仿宋_GB2312"/>
          <w:b/>
          <w:sz w:val="24"/>
        </w:rPr>
        <w:t>供应商须知前附表。</w:t>
      </w:r>
    </w:p>
    <w:p w14:paraId="56F2D1B0">
      <w:pPr>
        <w:pStyle w:val="28"/>
        <w:keepNext w:val="0"/>
        <w:keepLines w:val="0"/>
        <w:pageBreakBefore w:val="0"/>
        <w:kinsoku/>
        <w:wordWrap/>
        <w:overflowPunct/>
        <w:topLinePunct w:val="0"/>
        <w:bidi w:val="0"/>
        <w:adjustRightInd w:val="0"/>
        <w:snapToGrid w:val="0"/>
        <w:spacing w:line="460" w:lineRule="exact"/>
        <w:ind w:left="0" w:leftChars="0"/>
        <w:rPr>
          <w:rFonts w:ascii="Times New Roman" w:hAnsi="Times New Roman" w:eastAsia="仿宋_GB2312"/>
          <w:sz w:val="24"/>
          <w:szCs w:val="24"/>
        </w:rPr>
      </w:pPr>
      <w:r>
        <w:rPr>
          <w:rFonts w:ascii="Times New Roman" w:hAnsi="Times New Roman" w:eastAsia="仿宋_GB2312"/>
          <w:sz w:val="24"/>
          <w:szCs w:val="24"/>
        </w:rPr>
        <w:t>21.2   谈判小组职责</w:t>
      </w:r>
    </w:p>
    <w:p w14:paraId="55DF9C7B">
      <w:pPr>
        <w:pStyle w:val="28"/>
        <w:keepNext w:val="0"/>
        <w:keepLines w:val="0"/>
        <w:pageBreakBefore w:val="0"/>
        <w:kinsoku/>
        <w:wordWrap/>
        <w:overflowPunct/>
        <w:topLinePunct w:val="0"/>
        <w:bidi w:val="0"/>
        <w:adjustRightInd w:val="0"/>
        <w:snapToGrid w:val="0"/>
        <w:spacing w:line="460" w:lineRule="exact"/>
        <w:ind w:left="718" w:leftChars="342" w:firstLine="0" w:firstLineChars="0"/>
        <w:rPr>
          <w:rFonts w:ascii="Times New Roman" w:hAnsi="Times New Roman" w:eastAsia="仿宋_GB2312"/>
          <w:sz w:val="24"/>
          <w:szCs w:val="24"/>
        </w:rPr>
      </w:pPr>
      <w:r>
        <w:rPr>
          <w:rFonts w:ascii="Times New Roman" w:hAnsi="Times New Roman" w:eastAsia="仿宋_GB2312"/>
          <w:sz w:val="24"/>
          <w:szCs w:val="24"/>
        </w:rPr>
        <w:t>（1）确认竞争性谈判文件。审阅谈判文件，无修改进行签字确认。有修改，修改内容经采购人确认后，谈判小组以书面形式通知所有供应商。</w:t>
      </w:r>
    </w:p>
    <w:p w14:paraId="0F7A85FB">
      <w:pPr>
        <w:pStyle w:val="28"/>
        <w:keepNext w:val="0"/>
        <w:keepLines w:val="0"/>
        <w:pageBreakBefore w:val="0"/>
        <w:kinsoku/>
        <w:wordWrap/>
        <w:overflowPunct/>
        <w:topLinePunct w:val="0"/>
        <w:bidi w:val="0"/>
        <w:adjustRightInd w:val="0"/>
        <w:snapToGrid w:val="0"/>
        <w:spacing w:line="460" w:lineRule="exact"/>
        <w:ind w:left="718" w:leftChars="342" w:firstLine="0" w:firstLineChars="0"/>
        <w:rPr>
          <w:rFonts w:ascii="Times New Roman" w:hAnsi="Times New Roman" w:eastAsia="仿宋_GB2312"/>
          <w:sz w:val="24"/>
          <w:szCs w:val="24"/>
        </w:rPr>
      </w:pPr>
      <w:r>
        <w:rPr>
          <w:rFonts w:ascii="Times New Roman" w:hAnsi="Times New Roman" w:eastAsia="仿宋_GB2312"/>
          <w:sz w:val="24"/>
          <w:szCs w:val="24"/>
        </w:rPr>
        <w:t>（2）确定符合要求的供应商参加谈判；</w:t>
      </w:r>
    </w:p>
    <w:p w14:paraId="79B61200">
      <w:pPr>
        <w:pStyle w:val="28"/>
        <w:keepNext w:val="0"/>
        <w:keepLines w:val="0"/>
        <w:pageBreakBefore w:val="0"/>
        <w:kinsoku/>
        <w:wordWrap/>
        <w:overflowPunct/>
        <w:topLinePunct w:val="0"/>
        <w:bidi w:val="0"/>
        <w:adjustRightInd w:val="0"/>
        <w:snapToGrid w:val="0"/>
        <w:spacing w:line="460" w:lineRule="exact"/>
        <w:ind w:left="718" w:leftChars="342" w:firstLine="0" w:firstLineChars="0"/>
        <w:rPr>
          <w:rFonts w:ascii="Times New Roman" w:hAnsi="Times New Roman" w:eastAsia="仿宋_GB2312"/>
          <w:sz w:val="24"/>
          <w:szCs w:val="24"/>
        </w:rPr>
      </w:pPr>
      <w:r>
        <w:rPr>
          <w:rFonts w:ascii="Times New Roman" w:hAnsi="Times New Roman" w:eastAsia="仿宋_GB2312"/>
          <w:sz w:val="24"/>
          <w:szCs w:val="24"/>
        </w:rPr>
        <w:t>（3）审查供应商的响应文件并做出评价；</w:t>
      </w:r>
    </w:p>
    <w:p w14:paraId="7068F372">
      <w:pPr>
        <w:pStyle w:val="28"/>
        <w:keepNext w:val="0"/>
        <w:keepLines w:val="0"/>
        <w:pageBreakBefore w:val="0"/>
        <w:kinsoku/>
        <w:wordWrap/>
        <w:overflowPunct/>
        <w:topLinePunct w:val="0"/>
        <w:bidi w:val="0"/>
        <w:adjustRightInd w:val="0"/>
        <w:snapToGrid w:val="0"/>
        <w:spacing w:line="460" w:lineRule="exact"/>
        <w:ind w:left="718" w:leftChars="342" w:firstLine="0" w:firstLineChars="0"/>
        <w:rPr>
          <w:rFonts w:ascii="Times New Roman" w:hAnsi="Times New Roman" w:eastAsia="仿宋_GB2312"/>
          <w:sz w:val="24"/>
          <w:szCs w:val="24"/>
        </w:rPr>
      </w:pPr>
      <w:r>
        <w:rPr>
          <w:rFonts w:ascii="Times New Roman" w:hAnsi="Times New Roman" w:eastAsia="仿宋_GB2312"/>
          <w:sz w:val="24"/>
          <w:szCs w:val="24"/>
        </w:rPr>
        <w:t>（4）要求供应商解释或者澄清其响应文件；</w:t>
      </w:r>
    </w:p>
    <w:p w14:paraId="6337ED06">
      <w:pPr>
        <w:pStyle w:val="28"/>
        <w:keepNext w:val="0"/>
        <w:keepLines w:val="0"/>
        <w:pageBreakBefore w:val="0"/>
        <w:kinsoku/>
        <w:wordWrap/>
        <w:overflowPunct/>
        <w:topLinePunct w:val="0"/>
        <w:bidi w:val="0"/>
        <w:adjustRightInd w:val="0"/>
        <w:snapToGrid w:val="0"/>
        <w:spacing w:line="460" w:lineRule="exact"/>
        <w:ind w:left="718" w:leftChars="342" w:firstLine="0" w:firstLineChars="0"/>
        <w:rPr>
          <w:rFonts w:ascii="Times New Roman" w:hAnsi="Times New Roman" w:eastAsia="仿宋_GB2312"/>
          <w:sz w:val="24"/>
          <w:szCs w:val="24"/>
        </w:rPr>
      </w:pPr>
      <w:r>
        <w:rPr>
          <w:rFonts w:ascii="Times New Roman" w:hAnsi="Times New Roman" w:eastAsia="仿宋_GB2312"/>
          <w:sz w:val="24"/>
          <w:szCs w:val="24"/>
        </w:rPr>
        <w:t>（5）编写评审报告；</w:t>
      </w:r>
    </w:p>
    <w:p w14:paraId="4951711B">
      <w:pPr>
        <w:pStyle w:val="28"/>
        <w:keepNext w:val="0"/>
        <w:keepLines w:val="0"/>
        <w:pageBreakBefore w:val="0"/>
        <w:kinsoku/>
        <w:wordWrap/>
        <w:overflowPunct/>
        <w:topLinePunct w:val="0"/>
        <w:bidi w:val="0"/>
        <w:adjustRightInd w:val="0"/>
        <w:snapToGrid w:val="0"/>
        <w:spacing w:line="460" w:lineRule="exact"/>
        <w:ind w:left="718" w:leftChars="342" w:firstLine="0" w:firstLineChars="0"/>
        <w:rPr>
          <w:rFonts w:ascii="Times New Roman" w:hAnsi="Times New Roman" w:eastAsia="仿宋_GB2312"/>
          <w:sz w:val="24"/>
          <w:szCs w:val="24"/>
        </w:rPr>
      </w:pPr>
      <w:r>
        <w:rPr>
          <w:rFonts w:ascii="Times New Roman" w:hAnsi="Times New Roman" w:eastAsia="仿宋_GB2312"/>
          <w:sz w:val="24"/>
          <w:szCs w:val="24"/>
        </w:rPr>
        <w:t>（6）告知采购人、采购代理机构在评审过程中发现的供应商的违法违规行为。</w:t>
      </w:r>
    </w:p>
    <w:p w14:paraId="5F821F1D">
      <w:pPr>
        <w:pStyle w:val="28"/>
        <w:keepNext w:val="0"/>
        <w:keepLines w:val="0"/>
        <w:pageBreakBefore w:val="0"/>
        <w:kinsoku/>
        <w:wordWrap/>
        <w:overflowPunct/>
        <w:topLinePunct w:val="0"/>
        <w:bidi w:val="0"/>
        <w:adjustRightInd w:val="0"/>
        <w:snapToGrid w:val="0"/>
        <w:spacing w:line="460" w:lineRule="exact"/>
        <w:ind w:left="0" w:leftChars="0"/>
        <w:rPr>
          <w:rFonts w:ascii="Times New Roman" w:hAnsi="Times New Roman" w:eastAsia="仿宋_GB2312"/>
          <w:sz w:val="24"/>
          <w:szCs w:val="24"/>
        </w:rPr>
      </w:pPr>
      <w:r>
        <w:rPr>
          <w:rFonts w:ascii="Times New Roman" w:hAnsi="Times New Roman" w:eastAsia="仿宋_GB2312"/>
          <w:sz w:val="24"/>
          <w:szCs w:val="24"/>
        </w:rPr>
        <w:t>21.3   谈判小组义务</w:t>
      </w:r>
    </w:p>
    <w:p w14:paraId="45F8E4F9">
      <w:pPr>
        <w:pStyle w:val="28"/>
        <w:keepNext w:val="0"/>
        <w:keepLines w:val="0"/>
        <w:pageBreakBefore w:val="0"/>
        <w:kinsoku/>
        <w:wordWrap/>
        <w:overflowPunct/>
        <w:topLinePunct w:val="0"/>
        <w:bidi w:val="0"/>
        <w:adjustRightInd w:val="0"/>
        <w:snapToGrid w:val="0"/>
        <w:spacing w:line="460" w:lineRule="exact"/>
        <w:ind w:left="718" w:leftChars="342" w:firstLine="0" w:firstLineChars="0"/>
        <w:rPr>
          <w:rFonts w:ascii="Times New Roman" w:hAnsi="Times New Roman" w:eastAsia="仿宋_GB2312"/>
          <w:sz w:val="24"/>
          <w:szCs w:val="24"/>
        </w:rPr>
      </w:pPr>
      <w:r>
        <w:rPr>
          <w:rFonts w:ascii="Times New Roman" w:hAnsi="Times New Roman" w:eastAsia="仿宋_GB2312"/>
          <w:sz w:val="24"/>
          <w:szCs w:val="24"/>
        </w:rPr>
        <w:t>（1）遵纪守法、客观、公正、廉洁地履行职责；</w:t>
      </w:r>
    </w:p>
    <w:p w14:paraId="7F4D730B">
      <w:pPr>
        <w:pStyle w:val="28"/>
        <w:keepNext w:val="0"/>
        <w:keepLines w:val="0"/>
        <w:pageBreakBefore w:val="0"/>
        <w:kinsoku/>
        <w:wordWrap/>
        <w:overflowPunct/>
        <w:topLinePunct w:val="0"/>
        <w:bidi w:val="0"/>
        <w:adjustRightInd w:val="0"/>
        <w:snapToGrid w:val="0"/>
        <w:spacing w:line="460" w:lineRule="exact"/>
        <w:ind w:left="718" w:leftChars="342" w:firstLine="0" w:firstLineChars="0"/>
        <w:rPr>
          <w:rFonts w:ascii="Times New Roman" w:hAnsi="Times New Roman" w:eastAsia="仿宋_GB2312"/>
          <w:sz w:val="24"/>
          <w:szCs w:val="24"/>
        </w:rPr>
      </w:pPr>
      <w:r>
        <w:rPr>
          <w:rFonts w:ascii="Times New Roman" w:hAnsi="Times New Roman" w:eastAsia="仿宋_GB2312"/>
          <w:sz w:val="24"/>
          <w:szCs w:val="24"/>
        </w:rPr>
        <w:t>（2）根据谈判文件的规定独立进行评审，对个人的评审意见承担法律责任；</w:t>
      </w:r>
    </w:p>
    <w:p w14:paraId="0761078D">
      <w:pPr>
        <w:pStyle w:val="28"/>
        <w:keepNext w:val="0"/>
        <w:keepLines w:val="0"/>
        <w:pageBreakBefore w:val="0"/>
        <w:kinsoku/>
        <w:wordWrap/>
        <w:overflowPunct/>
        <w:topLinePunct w:val="0"/>
        <w:bidi w:val="0"/>
        <w:adjustRightInd w:val="0"/>
        <w:snapToGrid w:val="0"/>
        <w:spacing w:line="460" w:lineRule="exact"/>
        <w:ind w:left="718" w:leftChars="342" w:firstLine="0" w:firstLineChars="0"/>
        <w:rPr>
          <w:rFonts w:ascii="Times New Roman" w:hAnsi="Times New Roman" w:eastAsia="仿宋_GB2312"/>
          <w:sz w:val="24"/>
          <w:szCs w:val="24"/>
        </w:rPr>
      </w:pPr>
      <w:r>
        <w:rPr>
          <w:rFonts w:ascii="Times New Roman" w:hAnsi="Times New Roman" w:eastAsia="仿宋_GB2312"/>
          <w:sz w:val="24"/>
          <w:szCs w:val="24"/>
        </w:rPr>
        <w:t>（3）参与评审报告的起草；</w:t>
      </w:r>
    </w:p>
    <w:p w14:paraId="707CA983">
      <w:pPr>
        <w:pStyle w:val="28"/>
        <w:keepNext w:val="0"/>
        <w:keepLines w:val="0"/>
        <w:pageBreakBefore w:val="0"/>
        <w:kinsoku/>
        <w:wordWrap/>
        <w:overflowPunct/>
        <w:topLinePunct w:val="0"/>
        <w:bidi w:val="0"/>
        <w:adjustRightInd w:val="0"/>
        <w:snapToGrid w:val="0"/>
        <w:spacing w:line="460" w:lineRule="exact"/>
        <w:ind w:left="718" w:leftChars="342" w:firstLine="0" w:firstLineChars="0"/>
        <w:rPr>
          <w:rFonts w:ascii="Times New Roman" w:hAnsi="Times New Roman" w:eastAsia="仿宋_GB2312"/>
          <w:sz w:val="24"/>
          <w:szCs w:val="24"/>
        </w:rPr>
      </w:pPr>
      <w:r>
        <w:rPr>
          <w:rFonts w:ascii="Times New Roman" w:hAnsi="Times New Roman" w:eastAsia="仿宋_GB2312"/>
          <w:sz w:val="24"/>
          <w:szCs w:val="24"/>
        </w:rPr>
        <w:t>（4）配合采购人、采购代理机构答复供应商提出的质疑；</w:t>
      </w:r>
    </w:p>
    <w:p w14:paraId="38510902">
      <w:pPr>
        <w:pStyle w:val="28"/>
        <w:keepNext w:val="0"/>
        <w:keepLines w:val="0"/>
        <w:pageBreakBefore w:val="0"/>
        <w:kinsoku/>
        <w:wordWrap/>
        <w:overflowPunct/>
        <w:topLinePunct w:val="0"/>
        <w:bidi w:val="0"/>
        <w:adjustRightInd w:val="0"/>
        <w:snapToGrid w:val="0"/>
        <w:spacing w:line="460" w:lineRule="exact"/>
        <w:ind w:left="718" w:leftChars="342" w:firstLine="0" w:firstLineChars="0"/>
        <w:rPr>
          <w:rFonts w:ascii="Times New Roman" w:hAnsi="Times New Roman" w:eastAsia="仿宋_GB2312"/>
          <w:sz w:val="24"/>
          <w:szCs w:val="24"/>
        </w:rPr>
      </w:pPr>
      <w:r>
        <w:rPr>
          <w:rFonts w:ascii="Times New Roman" w:hAnsi="Times New Roman" w:eastAsia="仿宋_GB2312"/>
          <w:sz w:val="24"/>
          <w:szCs w:val="24"/>
        </w:rPr>
        <w:t>（5）配合财政部门的投诉处理和监督检查工作。</w:t>
      </w:r>
    </w:p>
    <w:p w14:paraId="32687162">
      <w:pPr>
        <w:pStyle w:val="28"/>
        <w:keepNext w:val="0"/>
        <w:keepLines w:val="0"/>
        <w:pageBreakBefore w:val="0"/>
        <w:kinsoku/>
        <w:wordWrap/>
        <w:overflowPunct/>
        <w:topLinePunct w:val="0"/>
        <w:bidi w:val="0"/>
        <w:adjustRightInd w:val="0"/>
        <w:snapToGrid w:val="0"/>
        <w:spacing w:line="460" w:lineRule="exact"/>
        <w:ind w:left="0" w:leftChars="0"/>
        <w:rPr>
          <w:rFonts w:ascii="Times New Roman" w:hAnsi="Times New Roman" w:eastAsia="仿宋_GB2312"/>
          <w:sz w:val="24"/>
          <w:szCs w:val="24"/>
        </w:rPr>
      </w:pPr>
      <w:bookmarkStart w:id="334" w:name="_Toc83547667"/>
      <w:r>
        <w:rPr>
          <w:rFonts w:ascii="Times New Roman" w:hAnsi="Times New Roman" w:eastAsia="仿宋_GB2312"/>
          <w:sz w:val="24"/>
          <w:szCs w:val="24"/>
        </w:rPr>
        <w:t>21.4   谈判小组成员有下列情形之一的，应当回避：</w:t>
      </w:r>
    </w:p>
    <w:p w14:paraId="330BD394">
      <w:pPr>
        <w:pStyle w:val="28"/>
        <w:keepNext w:val="0"/>
        <w:keepLines w:val="0"/>
        <w:pageBreakBefore w:val="0"/>
        <w:kinsoku/>
        <w:wordWrap/>
        <w:overflowPunct/>
        <w:topLinePunct w:val="0"/>
        <w:bidi w:val="0"/>
        <w:adjustRightInd w:val="0"/>
        <w:snapToGrid w:val="0"/>
        <w:spacing w:line="460" w:lineRule="exact"/>
        <w:ind w:left="718" w:leftChars="342" w:firstLine="0" w:firstLineChars="0"/>
        <w:rPr>
          <w:rFonts w:ascii="Times New Roman" w:hAnsi="Times New Roman" w:eastAsia="仿宋_GB2312"/>
          <w:sz w:val="24"/>
          <w:szCs w:val="24"/>
        </w:rPr>
      </w:pPr>
      <w:r>
        <w:rPr>
          <w:rFonts w:ascii="Times New Roman" w:hAnsi="Times New Roman" w:eastAsia="仿宋_GB2312"/>
          <w:sz w:val="24"/>
          <w:szCs w:val="24"/>
        </w:rPr>
        <w:t>（1）参加采购活动前3年内与供应商存在劳动关系；</w:t>
      </w:r>
    </w:p>
    <w:p w14:paraId="501E5CE0">
      <w:pPr>
        <w:pStyle w:val="28"/>
        <w:keepNext w:val="0"/>
        <w:keepLines w:val="0"/>
        <w:pageBreakBefore w:val="0"/>
        <w:kinsoku/>
        <w:wordWrap/>
        <w:overflowPunct/>
        <w:topLinePunct w:val="0"/>
        <w:bidi w:val="0"/>
        <w:adjustRightInd w:val="0"/>
        <w:snapToGrid w:val="0"/>
        <w:spacing w:line="460" w:lineRule="exact"/>
        <w:ind w:left="718" w:leftChars="342" w:firstLine="0" w:firstLineChars="0"/>
        <w:rPr>
          <w:rFonts w:ascii="Times New Roman" w:hAnsi="Times New Roman" w:eastAsia="仿宋_GB2312"/>
          <w:sz w:val="24"/>
          <w:szCs w:val="24"/>
        </w:rPr>
      </w:pPr>
      <w:r>
        <w:rPr>
          <w:rFonts w:ascii="Times New Roman" w:hAnsi="Times New Roman" w:eastAsia="仿宋_GB2312"/>
          <w:sz w:val="24"/>
          <w:szCs w:val="24"/>
        </w:rPr>
        <w:t>（2）参加采购活动前3年内担任供应商的董事、监事；</w:t>
      </w:r>
    </w:p>
    <w:p w14:paraId="6A907832">
      <w:pPr>
        <w:pStyle w:val="28"/>
        <w:keepNext w:val="0"/>
        <w:keepLines w:val="0"/>
        <w:pageBreakBefore w:val="0"/>
        <w:kinsoku/>
        <w:wordWrap/>
        <w:overflowPunct/>
        <w:topLinePunct w:val="0"/>
        <w:bidi w:val="0"/>
        <w:adjustRightInd w:val="0"/>
        <w:snapToGrid w:val="0"/>
        <w:spacing w:line="460" w:lineRule="exact"/>
        <w:ind w:left="718" w:leftChars="342" w:firstLine="0" w:firstLineChars="0"/>
        <w:rPr>
          <w:rFonts w:ascii="Times New Roman" w:hAnsi="Times New Roman" w:eastAsia="仿宋_GB2312"/>
          <w:sz w:val="24"/>
          <w:szCs w:val="24"/>
        </w:rPr>
      </w:pPr>
      <w:r>
        <w:rPr>
          <w:rFonts w:ascii="Times New Roman" w:hAnsi="Times New Roman" w:eastAsia="仿宋_GB2312"/>
          <w:sz w:val="24"/>
          <w:szCs w:val="24"/>
        </w:rPr>
        <w:t>（3）参加采购活动前3年内是供应商的控股股东或者实际控制人；</w:t>
      </w:r>
    </w:p>
    <w:p w14:paraId="32075299">
      <w:pPr>
        <w:pStyle w:val="28"/>
        <w:keepNext w:val="0"/>
        <w:keepLines w:val="0"/>
        <w:pageBreakBefore w:val="0"/>
        <w:kinsoku/>
        <w:wordWrap/>
        <w:overflowPunct/>
        <w:topLinePunct w:val="0"/>
        <w:bidi w:val="0"/>
        <w:adjustRightInd w:val="0"/>
        <w:snapToGrid w:val="0"/>
        <w:spacing w:line="460" w:lineRule="exact"/>
        <w:ind w:left="718" w:leftChars="342" w:firstLine="0" w:firstLineChars="0"/>
        <w:rPr>
          <w:rFonts w:ascii="Times New Roman" w:hAnsi="Times New Roman" w:eastAsia="仿宋_GB2312"/>
          <w:sz w:val="24"/>
          <w:szCs w:val="24"/>
        </w:rPr>
      </w:pPr>
      <w:r>
        <w:rPr>
          <w:rFonts w:ascii="Times New Roman" w:hAnsi="Times New Roman" w:eastAsia="仿宋_GB2312"/>
          <w:sz w:val="24"/>
          <w:szCs w:val="24"/>
        </w:rPr>
        <w:t>（4）与供应商的法定代表人或者负责人有夫妻、直系血亲、三代以内旁系血亲或者近姻亲关系；</w:t>
      </w:r>
    </w:p>
    <w:p w14:paraId="2962E0C7">
      <w:pPr>
        <w:pStyle w:val="28"/>
        <w:keepNext w:val="0"/>
        <w:keepLines w:val="0"/>
        <w:pageBreakBefore w:val="0"/>
        <w:kinsoku/>
        <w:wordWrap/>
        <w:overflowPunct/>
        <w:topLinePunct w:val="0"/>
        <w:bidi w:val="0"/>
        <w:adjustRightInd w:val="0"/>
        <w:snapToGrid w:val="0"/>
        <w:spacing w:line="460" w:lineRule="exact"/>
        <w:ind w:left="718" w:leftChars="342" w:firstLine="0" w:firstLineChars="0"/>
        <w:rPr>
          <w:rFonts w:ascii="Times New Roman" w:hAnsi="Times New Roman" w:eastAsia="仿宋_GB2312"/>
          <w:sz w:val="24"/>
          <w:szCs w:val="24"/>
        </w:rPr>
      </w:pPr>
      <w:r>
        <w:rPr>
          <w:rFonts w:ascii="Times New Roman" w:hAnsi="Times New Roman" w:eastAsia="仿宋_GB2312"/>
          <w:sz w:val="24"/>
          <w:szCs w:val="24"/>
        </w:rPr>
        <w:t>（5）与供应商有其他可能影响政府采购活动公平、公正进行的关系。</w:t>
      </w:r>
    </w:p>
    <w:p w14:paraId="7B057FA5">
      <w:pPr>
        <w:pStyle w:val="6"/>
        <w:keepNext w:val="0"/>
        <w:keepLines w:val="0"/>
        <w:pageBreakBefore w:val="0"/>
        <w:widowControl w:val="0"/>
        <w:tabs>
          <w:tab w:val="left" w:pos="588"/>
        </w:tabs>
        <w:kinsoku/>
        <w:wordWrap/>
        <w:overflowPunct/>
        <w:topLinePunct w:val="0"/>
        <w:autoSpaceDE/>
        <w:autoSpaceDN/>
        <w:bidi w:val="0"/>
        <w:adjustRightInd w:val="0"/>
        <w:snapToGrid w:val="0"/>
        <w:spacing w:beforeAutospacing="0" w:afterAutospacing="0" w:line="460" w:lineRule="exact"/>
        <w:ind w:left="0" w:leftChars="0"/>
        <w:textAlignment w:val="baseline"/>
        <w:outlineLvl w:val="3"/>
        <w:rPr>
          <w:rFonts w:ascii="Times New Roman" w:hAnsi="Times New Roman" w:eastAsia="仿宋_GB2312"/>
          <w:b/>
          <w:sz w:val="24"/>
          <w:szCs w:val="21"/>
        </w:rPr>
      </w:pPr>
      <w:bookmarkStart w:id="335" w:name="_Toc20608"/>
      <w:bookmarkStart w:id="336" w:name="_Toc249515306"/>
      <w:bookmarkStart w:id="337" w:name="_Toc249515418"/>
      <w:bookmarkStart w:id="338" w:name="_Toc249525187"/>
      <w:r>
        <w:rPr>
          <w:rFonts w:ascii="Times New Roman" w:hAnsi="Times New Roman" w:eastAsia="仿宋_GB2312"/>
          <w:b/>
          <w:sz w:val="24"/>
          <w:szCs w:val="21"/>
        </w:rPr>
        <w:t>22.    谈判程序</w:t>
      </w:r>
    </w:p>
    <w:p w14:paraId="72525533">
      <w:pPr>
        <w:keepNext w:val="0"/>
        <w:keepLines w:val="0"/>
        <w:pageBreakBefore w:val="0"/>
        <w:tabs>
          <w:tab w:val="left" w:pos="360"/>
          <w:tab w:val="left" w:pos="588"/>
        </w:tabs>
        <w:kinsoku/>
        <w:wordWrap/>
        <w:overflowPunct/>
        <w:topLinePunct w:val="0"/>
        <w:bidi w:val="0"/>
        <w:adjustRightInd w:val="0"/>
        <w:snapToGrid w:val="0"/>
        <w:spacing w:line="460" w:lineRule="exact"/>
        <w:ind w:left="0" w:leftChars="0"/>
        <w:outlineLvl w:val="9"/>
        <w:rPr>
          <w:rFonts w:ascii="Times New Roman" w:hAnsi="Times New Roman" w:eastAsia="仿宋_GB2312"/>
          <w:b/>
          <w:sz w:val="24"/>
          <w:szCs w:val="21"/>
        </w:rPr>
      </w:pPr>
      <w:bookmarkStart w:id="339" w:name="_Toc58504507"/>
      <w:r>
        <w:rPr>
          <w:rFonts w:ascii="Times New Roman" w:hAnsi="Times New Roman" w:eastAsia="仿宋_GB2312"/>
          <w:b/>
          <w:sz w:val="24"/>
          <w:szCs w:val="21"/>
        </w:rPr>
        <w:t>22.1   谈判会议</w:t>
      </w:r>
      <w:bookmarkEnd w:id="339"/>
    </w:p>
    <w:p w14:paraId="0A60240E">
      <w:pPr>
        <w:pStyle w:val="28"/>
        <w:keepNext w:val="0"/>
        <w:keepLines w:val="0"/>
        <w:pageBreakBefore w:val="0"/>
        <w:kinsoku/>
        <w:wordWrap/>
        <w:overflowPunct/>
        <w:topLinePunct w:val="0"/>
        <w:bidi w:val="0"/>
        <w:adjustRightInd w:val="0"/>
        <w:snapToGrid w:val="0"/>
        <w:spacing w:line="460" w:lineRule="exact"/>
        <w:ind w:left="718" w:leftChars="342" w:firstLine="0" w:firstLineChars="0"/>
        <w:rPr>
          <w:rFonts w:ascii="Times New Roman" w:hAnsi="Times New Roman" w:eastAsia="仿宋_GB2312"/>
          <w:sz w:val="24"/>
          <w:szCs w:val="24"/>
        </w:rPr>
      </w:pPr>
      <w:bookmarkStart w:id="340" w:name="_Toc58504508"/>
      <w:r>
        <w:rPr>
          <w:rFonts w:ascii="Times New Roman" w:hAnsi="Times New Roman" w:eastAsia="仿宋_GB2312"/>
          <w:sz w:val="24"/>
          <w:szCs w:val="24"/>
        </w:rPr>
        <w:t>在谈判文件规定的时间和地点，由采购代理机构组织谈判工作，供应商须委派代表参加，签名以证明其出席。</w:t>
      </w:r>
      <w:bookmarkEnd w:id="340"/>
    </w:p>
    <w:p w14:paraId="09FFCC83">
      <w:pPr>
        <w:keepNext w:val="0"/>
        <w:keepLines w:val="0"/>
        <w:pageBreakBefore w:val="0"/>
        <w:tabs>
          <w:tab w:val="left" w:pos="360"/>
          <w:tab w:val="left" w:pos="588"/>
        </w:tabs>
        <w:kinsoku/>
        <w:wordWrap/>
        <w:overflowPunct/>
        <w:topLinePunct w:val="0"/>
        <w:bidi w:val="0"/>
        <w:adjustRightInd w:val="0"/>
        <w:snapToGrid w:val="0"/>
        <w:spacing w:line="460" w:lineRule="exact"/>
        <w:ind w:left="0" w:leftChars="0"/>
        <w:outlineLvl w:val="9"/>
        <w:rPr>
          <w:rFonts w:ascii="Times New Roman" w:hAnsi="Times New Roman" w:eastAsia="仿宋_GB2312"/>
          <w:b/>
          <w:sz w:val="24"/>
          <w:szCs w:val="21"/>
        </w:rPr>
      </w:pPr>
      <w:bookmarkStart w:id="341" w:name="_Toc58504511"/>
      <w:r>
        <w:rPr>
          <w:rFonts w:ascii="Times New Roman" w:hAnsi="Times New Roman" w:eastAsia="仿宋_GB2312"/>
          <w:b/>
          <w:sz w:val="24"/>
          <w:szCs w:val="21"/>
        </w:rPr>
        <w:t>22.2   响应文件</w:t>
      </w:r>
      <w:bookmarkEnd w:id="334"/>
      <w:bookmarkEnd w:id="335"/>
      <w:bookmarkEnd w:id="336"/>
      <w:bookmarkEnd w:id="337"/>
      <w:bookmarkEnd w:id="338"/>
      <w:r>
        <w:rPr>
          <w:rFonts w:ascii="Times New Roman" w:hAnsi="Times New Roman" w:eastAsia="仿宋_GB2312"/>
          <w:b/>
          <w:sz w:val="24"/>
          <w:szCs w:val="21"/>
        </w:rPr>
        <w:t>评审</w:t>
      </w:r>
      <w:bookmarkEnd w:id="341"/>
    </w:p>
    <w:p w14:paraId="3C6B1F7E">
      <w:pPr>
        <w:keepNext w:val="0"/>
        <w:keepLines w:val="0"/>
        <w:pageBreakBefore w:val="0"/>
        <w:tabs>
          <w:tab w:val="left" w:pos="360"/>
          <w:tab w:val="left" w:pos="588"/>
        </w:tabs>
        <w:kinsoku/>
        <w:wordWrap/>
        <w:overflowPunct/>
        <w:topLinePunct w:val="0"/>
        <w:bidi w:val="0"/>
        <w:adjustRightInd w:val="0"/>
        <w:snapToGrid w:val="0"/>
        <w:spacing w:line="460" w:lineRule="exact"/>
        <w:ind w:left="843" w:leftChars="0" w:hanging="843" w:hangingChars="350"/>
        <w:rPr>
          <w:rFonts w:eastAsia="仿宋_GB2312"/>
          <w:sz w:val="24"/>
        </w:rPr>
      </w:pPr>
      <w:bookmarkStart w:id="342" w:name="_Toc83547671"/>
      <w:r>
        <w:rPr>
          <w:rFonts w:eastAsia="仿宋_GB2312"/>
          <w:b/>
          <w:sz w:val="24"/>
        </w:rPr>
        <w:t>22.2.1 响应文件的资格性审查</w:t>
      </w:r>
      <w:r>
        <w:rPr>
          <w:rFonts w:eastAsia="仿宋_GB2312"/>
          <w:sz w:val="24"/>
        </w:rPr>
        <w:t>。依据《政府采购法》第二十</w:t>
      </w:r>
      <w:r>
        <w:rPr>
          <w:rFonts w:hint="eastAsia" w:eastAsia="仿宋_GB2312"/>
          <w:sz w:val="24"/>
          <w:lang w:val="en-US" w:eastAsia="zh-CN"/>
        </w:rPr>
        <w:t>二</w:t>
      </w:r>
      <w:r>
        <w:rPr>
          <w:rFonts w:eastAsia="仿宋_GB2312"/>
          <w:sz w:val="24"/>
        </w:rPr>
        <w:t>条和谈判文件的规定，对响应文件中的资格证明文件、信用查询记录等进行审查，以确认供应商具备相应资格。资格性审查出现下列情况者（但不限于），按无效文件处理：</w:t>
      </w:r>
    </w:p>
    <w:p w14:paraId="5724FA53">
      <w:pPr>
        <w:pStyle w:val="28"/>
        <w:keepNext w:val="0"/>
        <w:keepLines w:val="0"/>
        <w:pageBreakBefore w:val="0"/>
        <w:kinsoku/>
        <w:wordWrap/>
        <w:overflowPunct/>
        <w:topLinePunct w:val="0"/>
        <w:bidi w:val="0"/>
        <w:adjustRightInd w:val="0"/>
        <w:snapToGrid w:val="0"/>
        <w:spacing w:line="460" w:lineRule="exact"/>
        <w:ind w:left="718" w:leftChars="342" w:firstLine="0" w:firstLineChars="0"/>
        <w:rPr>
          <w:rFonts w:ascii="Times New Roman" w:hAnsi="Times New Roman" w:eastAsia="仿宋_GB2312"/>
          <w:sz w:val="24"/>
          <w:szCs w:val="24"/>
        </w:rPr>
      </w:pPr>
      <w:r>
        <w:rPr>
          <w:rFonts w:ascii="Times New Roman" w:hAnsi="Times New Roman" w:eastAsia="仿宋_GB2312"/>
          <w:sz w:val="24"/>
          <w:szCs w:val="24"/>
        </w:rPr>
        <w:t>（1）供应商资格不符合《中华人民共和国政府采购法》第二十二条的规定和特定资格条件要求的。</w:t>
      </w:r>
    </w:p>
    <w:p w14:paraId="7B41E777">
      <w:pPr>
        <w:pStyle w:val="28"/>
        <w:keepNext w:val="0"/>
        <w:keepLines w:val="0"/>
        <w:pageBreakBefore w:val="0"/>
        <w:kinsoku/>
        <w:wordWrap/>
        <w:overflowPunct/>
        <w:topLinePunct w:val="0"/>
        <w:bidi w:val="0"/>
        <w:adjustRightInd w:val="0"/>
        <w:snapToGrid w:val="0"/>
        <w:spacing w:line="460" w:lineRule="exact"/>
        <w:ind w:left="718" w:leftChars="342" w:firstLine="0" w:firstLineChars="0"/>
        <w:rPr>
          <w:rFonts w:ascii="Times New Roman" w:hAnsi="Times New Roman" w:eastAsia="仿宋_GB2312"/>
          <w:sz w:val="24"/>
          <w:szCs w:val="24"/>
        </w:rPr>
      </w:pPr>
      <w:r>
        <w:rPr>
          <w:rFonts w:ascii="Times New Roman" w:hAnsi="Times New Roman" w:eastAsia="仿宋_GB2312"/>
          <w:sz w:val="24"/>
          <w:szCs w:val="24"/>
        </w:rPr>
        <w:t>（</w:t>
      </w:r>
      <w:r>
        <w:rPr>
          <w:rFonts w:hint="eastAsia" w:ascii="Times New Roman" w:hAnsi="Times New Roman" w:eastAsia="仿宋_GB2312"/>
          <w:sz w:val="24"/>
          <w:szCs w:val="24"/>
          <w:lang w:val="en-US" w:eastAsia="zh-CN"/>
        </w:rPr>
        <w:t>2</w:t>
      </w:r>
      <w:r>
        <w:rPr>
          <w:rFonts w:ascii="Times New Roman" w:hAnsi="Times New Roman" w:eastAsia="仿宋_GB2312"/>
          <w:sz w:val="24"/>
          <w:szCs w:val="24"/>
        </w:rPr>
        <w:t>）谈判响应文件中未提交法定代表人授权书（法定代表人直接参加谈判未按要求提交其有效身份证）或授权书的合法性或有效性不符合谈判文件规定。授权代表本单位证明的有效性或符合性不符合要求的。</w:t>
      </w:r>
    </w:p>
    <w:p w14:paraId="13244238">
      <w:pPr>
        <w:pStyle w:val="28"/>
        <w:keepNext w:val="0"/>
        <w:keepLines w:val="0"/>
        <w:pageBreakBefore w:val="0"/>
        <w:kinsoku/>
        <w:wordWrap/>
        <w:overflowPunct/>
        <w:topLinePunct w:val="0"/>
        <w:bidi w:val="0"/>
        <w:adjustRightInd w:val="0"/>
        <w:snapToGrid w:val="0"/>
        <w:spacing w:line="460" w:lineRule="exact"/>
        <w:ind w:left="718" w:leftChars="342" w:firstLine="0" w:firstLineChars="0"/>
        <w:rPr>
          <w:rFonts w:ascii="Times New Roman" w:hAnsi="Times New Roman" w:eastAsia="仿宋_GB2312"/>
          <w:sz w:val="24"/>
          <w:szCs w:val="24"/>
        </w:rPr>
      </w:pPr>
      <w:r>
        <w:rPr>
          <w:rFonts w:ascii="Times New Roman" w:hAnsi="Times New Roman" w:eastAsia="仿宋_GB2312"/>
          <w:sz w:val="24"/>
          <w:szCs w:val="24"/>
        </w:rPr>
        <w:t>（</w:t>
      </w:r>
      <w:r>
        <w:rPr>
          <w:rFonts w:hint="eastAsia" w:ascii="Times New Roman" w:hAnsi="Times New Roman" w:eastAsia="仿宋_GB2312"/>
          <w:sz w:val="24"/>
          <w:szCs w:val="24"/>
          <w:lang w:val="en-US" w:eastAsia="zh-CN"/>
        </w:rPr>
        <w:t>3</w:t>
      </w:r>
      <w:r>
        <w:rPr>
          <w:rFonts w:ascii="Times New Roman" w:hAnsi="Times New Roman" w:eastAsia="仿宋_GB2312"/>
          <w:sz w:val="24"/>
          <w:szCs w:val="24"/>
        </w:rPr>
        <w:t>）信用查询中列入失信被执行人、重大税收违法</w:t>
      </w:r>
      <w:r>
        <w:rPr>
          <w:rFonts w:hint="eastAsia" w:ascii="Times New Roman" w:hAnsi="Times New Roman" w:eastAsia="仿宋_GB2312"/>
          <w:sz w:val="24"/>
          <w:szCs w:val="24"/>
        </w:rPr>
        <w:t>失信主体</w:t>
      </w:r>
      <w:r>
        <w:rPr>
          <w:rFonts w:ascii="Times New Roman" w:hAnsi="Times New Roman" w:eastAsia="仿宋_GB2312"/>
          <w:sz w:val="24"/>
          <w:szCs w:val="24"/>
        </w:rPr>
        <w:t>、政府采购严重违法失信行为记录名单及其他不符合《中华人民共和国政府采购法》第二十二条规定条件的供应商，拒绝参与政府采购活动。</w:t>
      </w:r>
    </w:p>
    <w:p w14:paraId="2FA1277E">
      <w:pPr>
        <w:pStyle w:val="28"/>
        <w:keepNext w:val="0"/>
        <w:keepLines w:val="0"/>
        <w:pageBreakBefore w:val="0"/>
        <w:kinsoku/>
        <w:wordWrap/>
        <w:overflowPunct/>
        <w:topLinePunct w:val="0"/>
        <w:bidi w:val="0"/>
        <w:adjustRightInd w:val="0"/>
        <w:snapToGrid w:val="0"/>
        <w:spacing w:line="460" w:lineRule="exact"/>
        <w:ind w:left="718" w:leftChars="342" w:firstLine="0" w:firstLineChars="0"/>
        <w:rPr>
          <w:rFonts w:ascii="Times New Roman" w:hAnsi="Times New Roman" w:eastAsia="仿宋_GB2312"/>
          <w:sz w:val="24"/>
          <w:szCs w:val="24"/>
        </w:rPr>
      </w:pPr>
      <w:r>
        <w:rPr>
          <w:rFonts w:ascii="Times New Roman" w:hAnsi="Times New Roman" w:eastAsia="仿宋_GB2312"/>
          <w:sz w:val="24"/>
          <w:szCs w:val="24"/>
        </w:rPr>
        <w:t>（</w:t>
      </w:r>
      <w:r>
        <w:rPr>
          <w:rFonts w:hint="eastAsia" w:ascii="Times New Roman" w:hAnsi="Times New Roman" w:eastAsia="仿宋_GB2312"/>
          <w:sz w:val="24"/>
          <w:szCs w:val="24"/>
          <w:lang w:val="en-US" w:eastAsia="zh-CN"/>
        </w:rPr>
        <w:t>4</w:t>
      </w:r>
      <w:r>
        <w:rPr>
          <w:rFonts w:ascii="Times New Roman" w:hAnsi="Times New Roman" w:eastAsia="仿宋_GB2312"/>
          <w:sz w:val="24"/>
          <w:szCs w:val="24"/>
        </w:rPr>
        <w:t>）采购人或采购代理机构通过“信用中国”网站</w:t>
      </w:r>
      <w:r>
        <w:rPr>
          <w:rFonts w:hint="eastAsia" w:ascii="Times New Roman" w:hAnsi="Times New Roman" w:eastAsia="仿宋_GB2312"/>
          <w:sz w:val="24"/>
          <w:szCs w:val="24"/>
          <w:lang w:eastAsia="zh-CN"/>
        </w:rPr>
        <w:t>（</w:t>
      </w:r>
      <w:r>
        <w:rPr>
          <w:rFonts w:ascii="Times New Roman" w:hAnsi="Times New Roman" w:eastAsia="仿宋_GB2312"/>
          <w:sz w:val="24"/>
          <w:szCs w:val="24"/>
        </w:rPr>
        <w:t>www.creditchina.gov.cn</w:t>
      </w:r>
      <w:r>
        <w:rPr>
          <w:rFonts w:hint="eastAsia" w:ascii="Times New Roman" w:hAnsi="Times New Roman" w:eastAsia="仿宋_GB2312"/>
          <w:sz w:val="24"/>
          <w:szCs w:val="24"/>
          <w:lang w:eastAsia="zh-CN"/>
        </w:rPr>
        <w:t>）</w:t>
      </w:r>
      <w:r>
        <w:rPr>
          <w:rFonts w:ascii="Times New Roman" w:hAnsi="Times New Roman" w:eastAsia="仿宋_GB2312"/>
          <w:sz w:val="24"/>
          <w:szCs w:val="24"/>
        </w:rPr>
        <w:t>、中国政府采购网</w:t>
      </w:r>
      <w:r>
        <w:rPr>
          <w:rFonts w:hint="eastAsia" w:ascii="Times New Roman" w:hAnsi="Times New Roman" w:eastAsia="仿宋_GB2312"/>
          <w:sz w:val="24"/>
          <w:szCs w:val="24"/>
          <w:lang w:eastAsia="zh-CN"/>
        </w:rPr>
        <w:t>（</w:t>
      </w:r>
      <w:r>
        <w:rPr>
          <w:rFonts w:ascii="Times New Roman" w:hAnsi="Times New Roman" w:eastAsia="仿宋_GB2312"/>
          <w:sz w:val="24"/>
          <w:szCs w:val="24"/>
        </w:rPr>
        <w:t>www.ccgp.gov.cn</w:t>
      </w:r>
      <w:r>
        <w:rPr>
          <w:rFonts w:hint="eastAsia" w:ascii="Times New Roman" w:hAnsi="Times New Roman" w:eastAsia="仿宋_GB2312"/>
          <w:sz w:val="24"/>
          <w:szCs w:val="24"/>
          <w:lang w:eastAsia="zh-CN"/>
        </w:rPr>
        <w:t>）</w:t>
      </w:r>
      <w:r>
        <w:rPr>
          <w:rFonts w:ascii="Times New Roman" w:hAnsi="Times New Roman" w:eastAsia="仿宋_GB2312"/>
          <w:sz w:val="24"/>
          <w:szCs w:val="24"/>
        </w:rPr>
        <w:t xml:space="preserve"> 等查询相关主体信用记录，并将查询网页打印、存档备查。</w:t>
      </w:r>
    </w:p>
    <w:p w14:paraId="39C4ECC5">
      <w:pPr>
        <w:pStyle w:val="28"/>
        <w:keepNext w:val="0"/>
        <w:keepLines w:val="0"/>
        <w:pageBreakBefore w:val="0"/>
        <w:kinsoku/>
        <w:wordWrap/>
        <w:overflowPunct/>
        <w:topLinePunct w:val="0"/>
        <w:bidi w:val="0"/>
        <w:adjustRightInd w:val="0"/>
        <w:snapToGrid w:val="0"/>
        <w:spacing w:line="460" w:lineRule="exact"/>
        <w:ind w:left="718" w:leftChars="342" w:firstLine="0" w:firstLineChars="0"/>
        <w:rPr>
          <w:rFonts w:ascii="Times New Roman" w:hAnsi="Times New Roman" w:eastAsia="仿宋_GB2312"/>
          <w:sz w:val="24"/>
          <w:szCs w:val="24"/>
        </w:rPr>
      </w:pPr>
      <w:r>
        <w:rPr>
          <w:rFonts w:ascii="Times New Roman" w:hAnsi="Times New Roman" w:eastAsia="仿宋_GB2312"/>
          <w:sz w:val="24"/>
          <w:szCs w:val="24"/>
        </w:rPr>
        <w:t>（</w:t>
      </w:r>
      <w:r>
        <w:rPr>
          <w:rFonts w:hint="eastAsia" w:ascii="Times New Roman" w:hAnsi="Times New Roman" w:eastAsia="仿宋_GB2312"/>
          <w:sz w:val="24"/>
          <w:szCs w:val="24"/>
          <w:lang w:val="en-US" w:eastAsia="zh-CN"/>
        </w:rPr>
        <w:t>5</w:t>
      </w:r>
      <w:r>
        <w:rPr>
          <w:rFonts w:ascii="Times New Roman" w:hAnsi="Times New Roman" w:eastAsia="仿宋_GB2312"/>
          <w:sz w:val="24"/>
          <w:szCs w:val="24"/>
        </w:rPr>
        <w:t>）查询时间为</w:t>
      </w:r>
      <w:r>
        <w:rPr>
          <w:rFonts w:hint="eastAsia" w:ascii="Times New Roman" w:hAnsi="Times New Roman" w:eastAsia="仿宋_GB2312"/>
          <w:sz w:val="24"/>
          <w:szCs w:val="24"/>
        </w:rPr>
        <w:t>自</w:t>
      </w:r>
      <w:r>
        <w:rPr>
          <w:rFonts w:hint="eastAsia" w:ascii="Times New Roman" w:hAnsi="Times New Roman" w:eastAsia="仿宋_GB2312"/>
          <w:sz w:val="24"/>
          <w:szCs w:val="24"/>
          <w:lang w:val="en-US" w:eastAsia="zh-CN"/>
        </w:rPr>
        <w:t>采购</w:t>
      </w:r>
      <w:r>
        <w:rPr>
          <w:rFonts w:hint="eastAsia" w:ascii="Times New Roman" w:hAnsi="Times New Roman" w:eastAsia="仿宋_GB2312"/>
          <w:sz w:val="24"/>
          <w:szCs w:val="24"/>
        </w:rPr>
        <w:t>文件发售之日起至资格审查结束之前</w:t>
      </w:r>
      <w:r>
        <w:rPr>
          <w:rFonts w:ascii="Times New Roman" w:hAnsi="Times New Roman" w:eastAsia="仿宋_GB2312"/>
          <w:sz w:val="24"/>
          <w:szCs w:val="24"/>
        </w:rPr>
        <w:t>，此段时间段外，网站信息发生的任何变更均不作为资格审查依据。</w:t>
      </w:r>
    </w:p>
    <w:p w14:paraId="34A7A380">
      <w:pPr>
        <w:pStyle w:val="28"/>
        <w:keepNext w:val="0"/>
        <w:keepLines w:val="0"/>
        <w:pageBreakBefore w:val="0"/>
        <w:kinsoku/>
        <w:wordWrap/>
        <w:overflowPunct/>
        <w:topLinePunct w:val="0"/>
        <w:bidi w:val="0"/>
        <w:adjustRightInd w:val="0"/>
        <w:snapToGrid w:val="0"/>
        <w:spacing w:line="460" w:lineRule="exact"/>
        <w:ind w:left="718" w:leftChars="342" w:firstLine="0" w:firstLineChars="0"/>
        <w:rPr>
          <w:rFonts w:ascii="Times New Roman" w:hAnsi="Times New Roman" w:eastAsia="仿宋_GB2312"/>
          <w:sz w:val="24"/>
          <w:szCs w:val="24"/>
        </w:rPr>
      </w:pPr>
      <w:r>
        <w:rPr>
          <w:rFonts w:ascii="Times New Roman" w:hAnsi="Times New Roman" w:eastAsia="仿宋_GB2312"/>
          <w:sz w:val="24"/>
          <w:szCs w:val="24"/>
        </w:rPr>
        <w:t>供应商不良信用记录以采购人或采购代理机构查询结果为准。供应商自行提供的与网站信息不一致的其他证明材料亦不作为资格审查依据。</w:t>
      </w:r>
    </w:p>
    <w:p w14:paraId="42506551">
      <w:pPr>
        <w:pStyle w:val="28"/>
        <w:keepNext w:val="0"/>
        <w:keepLines w:val="0"/>
        <w:pageBreakBefore w:val="0"/>
        <w:kinsoku/>
        <w:wordWrap/>
        <w:overflowPunct/>
        <w:topLinePunct w:val="0"/>
        <w:bidi w:val="0"/>
        <w:adjustRightInd w:val="0"/>
        <w:snapToGrid w:val="0"/>
        <w:spacing w:line="460" w:lineRule="exact"/>
        <w:ind w:left="718" w:leftChars="342" w:firstLine="0" w:firstLineChars="0"/>
        <w:rPr>
          <w:rFonts w:hint="eastAsia" w:ascii="Times New Roman" w:hAnsi="Times New Roman" w:eastAsia="仿宋_GB2312"/>
          <w:sz w:val="24"/>
          <w:szCs w:val="24"/>
          <w:lang w:eastAsia="zh-CN"/>
        </w:rPr>
      </w:pPr>
      <w:r>
        <w:rPr>
          <w:rFonts w:ascii="Times New Roman" w:hAnsi="Times New Roman" w:eastAsia="仿宋_GB2312"/>
          <w:sz w:val="24"/>
          <w:szCs w:val="24"/>
        </w:rPr>
        <w:t>（</w:t>
      </w:r>
      <w:r>
        <w:rPr>
          <w:rFonts w:hint="eastAsia" w:ascii="Times New Roman" w:hAnsi="Times New Roman" w:eastAsia="仿宋_GB2312"/>
          <w:sz w:val="24"/>
          <w:szCs w:val="24"/>
          <w:lang w:val="en-US" w:eastAsia="zh-CN"/>
        </w:rPr>
        <w:t>6</w:t>
      </w:r>
      <w:r>
        <w:rPr>
          <w:rFonts w:ascii="Times New Roman" w:hAnsi="Times New Roman" w:eastAsia="仿宋_GB2312"/>
          <w:sz w:val="24"/>
          <w:szCs w:val="24"/>
        </w:rPr>
        <w:t>）</w:t>
      </w:r>
      <w:r>
        <w:rPr>
          <w:rFonts w:hint="eastAsia" w:ascii="Times New Roman" w:hAnsi="Times New Roman" w:eastAsia="仿宋_GB2312"/>
          <w:sz w:val="24"/>
          <w:szCs w:val="24"/>
          <w:lang w:eastAsia="zh-CN"/>
        </w:rPr>
        <w:t>（</w:t>
      </w:r>
      <w:r>
        <w:rPr>
          <w:rFonts w:ascii="Times New Roman" w:hAnsi="Times New Roman" w:eastAsia="仿宋_GB2312"/>
          <w:sz w:val="24"/>
          <w:szCs w:val="24"/>
        </w:rPr>
        <w:t>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Times New Roman" w:hAnsi="Times New Roman" w:eastAsia="仿宋_GB2312"/>
          <w:sz w:val="24"/>
          <w:szCs w:val="24"/>
          <w:lang w:eastAsia="zh-CN"/>
        </w:rPr>
        <w:t>）</w:t>
      </w:r>
    </w:p>
    <w:p w14:paraId="115D401A">
      <w:pPr>
        <w:pStyle w:val="28"/>
        <w:keepNext w:val="0"/>
        <w:keepLines w:val="0"/>
        <w:pageBreakBefore w:val="0"/>
        <w:kinsoku/>
        <w:wordWrap/>
        <w:overflowPunct/>
        <w:topLinePunct w:val="0"/>
        <w:bidi w:val="0"/>
        <w:adjustRightInd w:val="0"/>
        <w:snapToGrid w:val="0"/>
        <w:spacing w:line="460" w:lineRule="exact"/>
        <w:ind w:left="718" w:leftChars="342" w:firstLine="0" w:firstLineChars="0"/>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eastAsia="zh-CN"/>
        </w:rPr>
        <w:t>（</w:t>
      </w:r>
      <w:r>
        <w:rPr>
          <w:rFonts w:hint="eastAsia" w:ascii="Times New Roman" w:hAnsi="Times New Roman" w:eastAsia="仿宋_GB2312"/>
          <w:sz w:val="24"/>
          <w:szCs w:val="24"/>
          <w:lang w:val="en-US" w:eastAsia="zh-CN"/>
        </w:rPr>
        <w:t>7</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lang w:val="en-US" w:eastAsia="zh-CN"/>
        </w:rPr>
        <w:t>公告中资格要求的其他内容。</w:t>
      </w:r>
    </w:p>
    <w:p w14:paraId="628BF628">
      <w:pPr>
        <w:pStyle w:val="22"/>
        <w:keepNext w:val="0"/>
        <w:keepLines w:val="0"/>
        <w:pageBreakBefore w:val="0"/>
        <w:kinsoku/>
        <w:wordWrap/>
        <w:overflowPunct/>
        <w:topLinePunct w:val="0"/>
        <w:bidi w:val="0"/>
        <w:adjustRightInd w:val="0"/>
        <w:snapToGrid w:val="0"/>
        <w:spacing w:line="460" w:lineRule="exact"/>
        <w:ind w:left="843" w:leftChars="0" w:hanging="843" w:hangingChars="350"/>
        <w:rPr>
          <w:rFonts w:ascii="Times New Roman" w:hAnsi="Times New Roman" w:eastAsia="仿宋_GB2312"/>
          <w:sz w:val="24"/>
        </w:rPr>
      </w:pPr>
      <w:r>
        <w:rPr>
          <w:rFonts w:ascii="Times New Roman" w:hAnsi="Times New Roman" w:eastAsia="仿宋_GB2312"/>
          <w:b/>
          <w:sz w:val="24"/>
        </w:rPr>
        <w:t>22.2.2 谈判响应文件有效性、完整性和响应程度审查：谈判小组</w:t>
      </w:r>
      <w:r>
        <w:rPr>
          <w:rFonts w:ascii="Times New Roman" w:hAnsi="Times New Roman" w:eastAsia="仿宋_GB2312"/>
          <w:sz w:val="24"/>
        </w:rPr>
        <w:t>依据谈判文件的规定，对响应文件的有效性、完整性和响应性进行审查，以确定是否满足谈判文件要求，出现下列情况者（但不限于），按无效文件处理。</w:t>
      </w:r>
    </w:p>
    <w:p w14:paraId="1791A57F">
      <w:pPr>
        <w:pStyle w:val="28"/>
        <w:keepNext w:val="0"/>
        <w:keepLines w:val="0"/>
        <w:pageBreakBefore w:val="0"/>
        <w:kinsoku/>
        <w:wordWrap/>
        <w:overflowPunct/>
        <w:topLinePunct w:val="0"/>
        <w:bidi w:val="0"/>
        <w:adjustRightInd w:val="0"/>
        <w:snapToGrid w:val="0"/>
        <w:spacing w:line="460" w:lineRule="exact"/>
        <w:ind w:left="718" w:leftChars="342" w:firstLine="0" w:firstLineChars="0"/>
        <w:rPr>
          <w:rFonts w:ascii="Times New Roman" w:hAnsi="Times New Roman" w:eastAsia="仿宋_GB2312"/>
          <w:sz w:val="24"/>
          <w:szCs w:val="24"/>
        </w:rPr>
      </w:pPr>
      <w:r>
        <w:rPr>
          <w:rFonts w:ascii="Times New Roman" w:hAnsi="Times New Roman" w:eastAsia="仿宋_GB2312"/>
          <w:sz w:val="24"/>
          <w:szCs w:val="24"/>
        </w:rPr>
        <w:t>（1）供应商未按谈判文件要求加盖单位公章；</w:t>
      </w:r>
    </w:p>
    <w:p w14:paraId="2DC819EE">
      <w:pPr>
        <w:pStyle w:val="28"/>
        <w:keepNext w:val="0"/>
        <w:keepLines w:val="0"/>
        <w:pageBreakBefore w:val="0"/>
        <w:kinsoku/>
        <w:wordWrap/>
        <w:overflowPunct/>
        <w:topLinePunct w:val="0"/>
        <w:bidi w:val="0"/>
        <w:adjustRightInd w:val="0"/>
        <w:snapToGrid w:val="0"/>
        <w:spacing w:line="460" w:lineRule="exact"/>
        <w:ind w:left="718" w:leftChars="342" w:firstLine="0" w:firstLineChars="0"/>
        <w:rPr>
          <w:rFonts w:ascii="Times New Roman" w:hAnsi="Times New Roman" w:eastAsia="仿宋_GB2312"/>
          <w:sz w:val="24"/>
          <w:szCs w:val="24"/>
        </w:rPr>
      </w:pPr>
      <w:r>
        <w:rPr>
          <w:rFonts w:ascii="Times New Roman" w:hAnsi="Times New Roman" w:eastAsia="仿宋_GB2312"/>
          <w:sz w:val="24"/>
          <w:szCs w:val="24"/>
        </w:rPr>
        <w:t>（2）谈判响应文件未按谈判文件要求法定代表人或其授权代表签字；</w:t>
      </w:r>
    </w:p>
    <w:p w14:paraId="0D7ABD7B">
      <w:pPr>
        <w:pStyle w:val="28"/>
        <w:keepNext w:val="0"/>
        <w:keepLines w:val="0"/>
        <w:pageBreakBefore w:val="0"/>
        <w:kinsoku/>
        <w:wordWrap/>
        <w:overflowPunct/>
        <w:topLinePunct w:val="0"/>
        <w:bidi w:val="0"/>
        <w:adjustRightInd w:val="0"/>
        <w:snapToGrid w:val="0"/>
        <w:spacing w:line="460" w:lineRule="exact"/>
        <w:ind w:left="718" w:leftChars="342" w:firstLine="0" w:firstLineChars="0"/>
        <w:rPr>
          <w:rFonts w:ascii="Times New Roman" w:hAnsi="Times New Roman" w:eastAsia="仿宋_GB2312"/>
          <w:sz w:val="24"/>
          <w:szCs w:val="24"/>
        </w:rPr>
      </w:pPr>
      <w:r>
        <w:rPr>
          <w:rFonts w:ascii="Times New Roman" w:hAnsi="Times New Roman" w:eastAsia="仿宋_GB2312"/>
          <w:sz w:val="24"/>
          <w:szCs w:val="24"/>
        </w:rPr>
        <w:t>（3）无有效期或有效期达不到谈判文件的要求；</w:t>
      </w:r>
    </w:p>
    <w:p w14:paraId="63F5A3D4">
      <w:pPr>
        <w:pStyle w:val="28"/>
        <w:keepNext w:val="0"/>
        <w:keepLines w:val="0"/>
        <w:pageBreakBefore w:val="0"/>
        <w:kinsoku/>
        <w:wordWrap/>
        <w:overflowPunct/>
        <w:topLinePunct w:val="0"/>
        <w:bidi w:val="0"/>
        <w:adjustRightInd w:val="0"/>
        <w:snapToGrid w:val="0"/>
        <w:spacing w:line="460" w:lineRule="exact"/>
        <w:ind w:left="718" w:leftChars="342" w:firstLine="0" w:firstLineChars="0"/>
        <w:rPr>
          <w:rFonts w:ascii="Times New Roman" w:hAnsi="Times New Roman" w:eastAsia="仿宋_GB2312"/>
          <w:sz w:val="24"/>
          <w:szCs w:val="24"/>
        </w:rPr>
      </w:pPr>
      <w:r>
        <w:rPr>
          <w:rFonts w:ascii="Times New Roman" w:hAnsi="Times New Roman" w:eastAsia="仿宋_GB2312"/>
          <w:sz w:val="24"/>
          <w:szCs w:val="24"/>
        </w:rPr>
        <w:t>（4）供应商首次谈判报价出现选择性报价；</w:t>
      </w:r>
    </w:p>
    <w:p w14:paraId="2A5FB9F5">
      <w:pPr>
        <w:pStyle w:val="28"/>
        <w:keepNext w:val="0"/>
        <w:keepLines w:val="0"/>
        <w:pageBreakBefore w:val="0"/>
        <w:kinsoku/>
        <w:wordWrap/>
        <w:overflowPunct/>
        <w:topLinePunct w:val="0"/>
        <w:bidi w:val="0"/>
        <w:adjustRightInd w:val="0"/>
        <w:snapToGrid w:val="0"/>
        <w:spacing w:line="460" w:lineRule="exact"/>
        <w:ind w:left="718" w:leftChars="342" w:firstLine="0" w:firstLineChars="0"/>
        <w:rPr>
          <w:rFonts w:ascii="Times New Roman" w:hAnsi="Times New Roman" w:eastAsia="仿宋_GB2312"/>
          <w:sz w:val="24"/>
          <w:szCs w:val="24"/>
        </w:rPr>
      </w:pPr>
      <w:r>
        <w:rPr>
          <w:rFonts w:ascii="Times New Roman" w:hAnsi="Times New Roman" w:eastAsia="仿宋_GB2312"/>
          <w:sz w:val="24"/>
          <w:szCs w:val="24"/>
        </w:rPr>
        <w:t>（5）首次谈判报价超出采购预算</w:t>
      </w:r>
      <w:r>
        <w:rPr>
          <w:rFonts w:hint="eastAsia" w:ascii="Times New Roman" w:hAnsi="Times New Roman" w:eastAsia="仿宋_GB2312"/>
          <w:sz w:val="24"/>
          <w:szCs w:val="24"/>
          <w:lang w:val="en-US" w:eastAsia="zh-CN"/>
        </w:rPr>
        <w:t>（</w:t>
      </w:r>
      <w:r>
        <w:rPr>
          <w:rFonts w:ascii="Times New Roman" w:hAnsi="Times New Roman" w:eastAsia="仿宋_GB2312"/>
          <w:sz w:val="24"/>
          <w:szCs w:val="24"/>
          <w:lang w:val="en-US" w:eastAsia="zh-CN"/>
        </w:rPr>
        <w:t>最高限价的</w:t>
      </w:r>
      <w:r>
        <w:rPr>
          <w:rFonts w:hint="eastAsia" w:ascii="Times New Roman" w:hAnsi="Times New Roman" w:eastAsia="仿宋_GB2312"/>
          <w:sz w:val="24"/>
          <w:szCs w:val="24"/>
          <w:lang w:val="en-US" w:eastAsia="zh-CN"/>
        </w:rPr>
        <w:t>）</w:t>
      </w:r>
      <w:r>
        <w:rPr>
          <w:rFonts w:ascii="Times New Roman" w:hAnsi="Times New Roman" w:eastAsia="仿宋_GB2312"/>
          <w:sz w:val="24"/>
          <w:szCs w:val="24"/>
          <w:lang w:val="en-US" w:eastAsia="zh-CN"/>
        </w:rPr>
        <w:t>或</w:t>
      </w:r>
      <w:r>
        <w:rPr>
          <w:rFonts w:hint="eastAsia" w:ascii="Times New Roman" w:hAnsi="Times New Roman" w:eastAsia="仿宋_GB2312"/>
          <w:sz w:val="24"/>
          <w:szCs w:val="24"/>
          <w:lang w:val="en-US" w:eastAsia="zh-CN"/>
        </w:rPr>
        <w:t>单项最高限价</w:t>
      </w:r>
      <w:r>
        <w:rPr>
          <w:rFonts w:ascii="Times New Roman" w:hAnsi="Times New Roman" w:eastAsia="仿宋_GB2312"/>
          <w:sz w:val="24"/>
          <w:szCs w:val="24"/>
        </w:rPr>
        <w:t>；</w:t>
      </w:r>
    </w:p>
    <w:p w14:paraId="5ACBB400">
      <w:pPr>
        <w:pStyle w:val="28"/>
        <w:keepNext w:val="0"/>
        <w:keepLines w:val="0"/>
        <w:pageBreakBefore w:val="0"/>
        <w:kinsoku/>
        <w:wordWrap/>
        <w:overflowPunct/>
        <w:topLinePunct w:val="0"/>
        <w:bidi w:val="0"/>
        <w:adjustRightInd w:val="0"/>
        <w:snapToGrid w:val="0"/>
        <w:spacing w:line="460" w:lineRule="exact"/>
        <w:ind w:left="718" w:leftChars="342" w:firstLine="0" w:firstLineChars="0"/>
        <w:rPr>
          <w:rFonts w:ascii="Times New Roman" w:hAnsi="Times New Roman" w:eastAsia="仿宋_GB2312"/>
          <w:sz w:val="24"/>
          <w:szCs w:val="24"/>
        </w:rPr>
      </w:pPr>
      <w:r>
        <w:rPr>
          <w:rFonts w:ascii="Times New Roman" w:hAnsi="Times New Roman" w:eastAsia="仿宋_GB2312"/>
          <w:sz w:val="24"/>
          <w:szCs w:val="24"/>
        </w:rPr>
        <w:t>（6）响应文件中对合同草案条款附加了采购人难以接受的条件；</w:t>
      </w:r>
    </w:p>
    <w:p w14:paraId="6E145786">
      <w:pPr>
        <w:pStyle w:val="28"/>
        <w:keepNext w:val="0"/>
        <w:keepLines w:val="0"/>
        <w:pageBreakBefore w:val="0"/>
        <w:kinsoku/>
        <w:wordWrap/>
        <w:overflowPunct/>
        <w:topLinePunct w:val="0"/>
        <w:bidi w:val="0"/>
        <w:adjustRightInd w:val="0"/>
        <w:snapToGrid w:val="0"/>
        <w:spacing w:line="460" w:lineRule="exact"/>
        <w:ind w:left="718" w:leftChars="342" w:firstLine="0" w:firstLineChars="0"/>
        <w:rPr>
          <w:rFonts w:ascii="Times New Roman" w:hAnsi="Times New Roman" w:eastAsia="仿宋_GB2312"/>
          <w:sz w:val="24"/>
          <w:szCs w:val="24"/>
        </w:rPr>
      </w:pPr>
      <w:r>
        <w:rPr>
          <w:rFonts w:ascii="Times New Roman" w:hAnsi="Times New Roman" w:eastAsia="仿宋_GB2312"/>
          <w:sz w:val="24"/>
          <w:szCs w:val="24"/>
        </w:rPr>
        <w:t>（7）谈判内容出现漏项或数量与要求不符，出现重大负偏差；</w:t>
      </w:r>
    </w:p>
    <w:p w14:paraId="07AB2840">
      <w:pPr>
        <w:pStyle w:val="28"/>
        <w:keepNext w:val="0"/>
        <w:keepLines w:val="0"/>
        <w:pageBreakBefore w:val="0"/>
        <w:kinsoku/>
        <w:wordWrap/>
        <w:overflowPunct/>
        <w:topLinePunct w:val="0"/>
        <w:bidi w:val="0"/>
        <w:adjustRightInd w:val="0"/>
        <w:snapToGrid w:val="0"/>
        <w:spacing w:line="460" w:lineRule="exact"/>
        <w:ind w:left="718" w:leftChars="342" w:firstLine="0" w:firstLineChars="0"/>
        <w:rPr>
          <w:rFonts w:ascii="Times New Roman" w:hAnsi="Times New Roman" w:eastAsia="仿宋_GB2312"/>
          <w:sz w:val="24"/>
          <w:szCs w:val="24"/>
        </w:rPr>
      </w:pPr>
      <w:r>
        <w:rPr>
          <w:rFonts w:ascii="Times New Roman" w:hAnsi="Times New Roman" w:eastAsia="仿宋_GB2312"/>
          <w:sz w:val="24"/>
          <w:szCs w:val="24"/>
        </w:rPr>
        <w:t>（8）响应文件中技术指标达不到采购要求，降低了产品档次或影响产品性能、功能；</w:t>
      </w:r>
    </w:p>
    <w:p w14:paraId="36C10B3C">
      <w:pPr>
        <w:pStyle w:val="28"/>
        <w:keepNext w:val="0"/>
        <w:keepLines w:val="0"/>
        <w:pageBreakBefore w:val="0"/>
        <w:kinsoku/>
        <w:wordWrap/>
        <w:overflowPunct/>
        <w:topLinePunct w:val="0"/>
        <w:bidi w:val="0"/>
        <w:adjustRightInd w:val="0"/>
        <w:snapToGrid w:val="0"/>
        <w:spacing w:line="460" w:lineRule="exact"/>
        <w:ind w:left="718" w:leftChars="342" w:firstLine="0" w:firstLineChars="0"/>
        <w:rPr>
          <w:rFonts w:ascii="Times New Roman" w:hAnsi="Times New Roman" w:eastAsia="仿宋_GB2312"/>
          <w:sz w:val="24"/>
          <w:szCs w:val="24"/>
        </w:rPr>
      </w:pPr>
      <w:r>
        <w:rPr>
          <w:rFonts w:ascii="Times New Roman" w:hAnsi="Times New Roman" w:eastAsia="仿宋_GB2312"/>
          <w:sz w:val="24"/>
          <w:szCs w:val="24"/>
        </w:rPr>
        <w:t>（9）响应报价与市场价偏离较大，低于成本，形成不正当竞争；</w:t>
      </w:r>
    </w:p>
    <w:p w14:paraId="359BE7DE">
      <w:pPr>
        <w:pStyle w:val="28"/>
        <w:keepNext w:val="0"/>
        <w:keepLines w:val="0"/>
        <w:pageBreakBefore w:val="0"/>
        <w:kinsoku/>
        <w:wordWrap/>
        <w:overflowPunct/>
        <w:topLinePunct w:val="0"/>
        <w:bidi w:val="0"/>
        <w:adjustRightInd w:val="0"/>
        <w:snapToGrid w:val="0"/>
        <w:spacing w:line="460" w:lineRule="exact"/>
        <w:ind w:left="718" w:leftChars="342" w:firstLine="0" w:firstLineChars="0"/>
        <w:rPr>
          <w:rFonts w:ascii="Times New Roman" w:hAnsi="Times New Roman" w:eastAsia="仿宋_GB2312"/>
          <w:sz w:val="24"/>
          <w:szCs w:val="24"/>
        </w:rPr>
      </w:pPr>
      <w:r>
        <w:rPr>
          <w:rFonts w:ascii="Times New Roman" w:hAnsi="Times New Roman" w:eastAsia="仿宋_GB2312"/>
          <w:sz w:val="24"/>
          <w:szCs w:val="24"/>
        </w:rPr>
        <w:t>（10）供应商提供虚假证明，开具虚假资质，出现虚假应答或故意隐瞒行为；</w:t>
      </w:r>
    </w:p>
    <w:p w14:paraId="627FD833">
      <w:pPr>
        <w:pStyle w:val="6"/>
        <w:keepNext w:val="0"/>
        <w:keepLines w:val="0"/>
        <w:pageBreakBefore w:val="0"/>
        <w:widowControl w:val="0"/>
        <w:tabs>
          <w:tab w:val="left" w:pos="588"/>
        </w:tabs>
        <w:kinsoku/>
        <w:wordWrap/>
        <w:overflowPunct/>
        <w:topLinePunct w:val="0"/>
        <w:autoSpaceDE/>
        <w:autoSpaceDN/>
        <w:bidi w:val="0"/>
        <w:adjustRightInd w:val="0"/>
        <w:snapToGrid w:val="0"/>
        <w:spacing w:beforeAutospacing="0" w:afterAutospacing="0" w:line="460" w:lineRule="exact"/>
        <w:ind w:left="0" w:leftChars="0"/>
        <w:textAlignment w:val="baseline"/>
        <w:outlineLvl w:val="3"/>
        <w:rPr>
          <w:rFonts w:ascii="Times New Roman" w:hAnsi="Times New Roman" w:eastAsia="仿宋_GB2312"/>
          <w:b/>
          <w:sz w:val="24"/>
          <w:szCs w:val="21"/>
        </w:rPr>
      </w:pPr>
      <w:bookmarkStart w:id="343" w:name="_Toc58504512"/>
      <w:r>
        <w:rPr>
          <w:rFonts w:ascii="Times New Roman" w:hAnsi="Times New Roman" w:eastAsia="仿宋_GB2312"/>
          <w:b/>
          <w:sz w:val="24"/>
          <w:szCs w:val="21"/>
        </w:rPr>
        <w:t>23.    谈判</w:t>
      </w:r>
      <w:bookmarkEnd w:id="343"/>
    </w:p>
    <w:p w14:paraId="20C5A5F5">
      <w:pPr>
        <w:pStyle w:val="22"/>
        <w:keepNext w:val="0"/>
        <w:keepLines w:val="0"/>
        <w:pageBreakBefore w:val="0"/>
        <w:kinsoku/>
        <w:wordWrap/>
        <w:overflowPunct/>
        <w:topLinePunct w:val="0"/>
        <w:bidi w:val="0"/>
        <w:adjustRightInd w:val="0"/>
        <w:snapToGrid w:val="0"/>
        <w:spacing w:line="460" w:lineRule="exact"/>
        <w:ind w:left="840" w:leftChars="0" w:hanging="840" w:hangingChars="350"/>
        <w:outlineLvl w:val="9"/>
        <w:rPr>
          <w:rFonts w:ascii="Times New Roman" w:hAnsi="Times New Roman" w:eastAsia="仿宋_GB2312"/>
          <w:sz w:val="24"/>
        </w:rPr>
      </w:pPr>
      <w:bookmarkStart w:id="344" w:name="_Toc58504513"/>
      <w:r>
        <w:rPr>
          <w:rFonts w:ascii="Times New Roman" w:hAnsi="Times New Roman" w:eastAsia="仿宋_GB2312"/>
          <w:sz w:val="24"/>
        </w:rPr>
        <w:t>23.3.1 谈判小组集中与各供应商分别进行谈判，并给所有参加谈判供应商平等的谈判机会。</w:t>
      </w:r>
      <w:bookmarkEnd w:id="344"/>
    </w:p>
    <w:p w14:paraId="6F054182">
      <w:pPr>
        <w:pStyle w:val="22"/>
        <w:keepNext w:val="0"/>
        <w:keepLines w:val="0"/>
        <w:pageBreakBefore w:val="0"/>
        <w:kinsoku/>
        <w:wordWrap/>
        <w:overflowPunct/>
        <w:topLinePunct w:val="0"/>
        <w:bidi w:val="0"/>
        <w:adjustRightInd w:val="0"/>
        <w:snapToGrid w:val="0"/>
        <w:spacing w:line="460" w:lineRule="exact"/>
        <w:ind w:left="840" w:leftChars="0" w:hanging="840" w:hangingChars="350"/>
        <w:outlineLvl w:val="9"/>
        <w:rPr>
          <w:rFonts w:ascii="Times New Roman" w:hAnsi="Times New Roman" w:eastAsia="仿宋_GB2312"/>
          <w:sz w:val="24"/>
        </w:rPr>
      </w:pPr>
      <w:r>
        <w:rPr>
          <w:rFonts w:ascii="Times New Roman" w:hAnsi="Times New Roman" w:eastAsia="仿宋_GB2312"/>
          <w:sz w:val="24"/>
        </w:rPr>
        <w:t>23.3.2 谈判小组在对响应文件的有效性、完整性和响应程度进行审核时，以书面形式要求供应商对响应文件中含义不明确、同类问题表述不一致、或者明显文字和计算错误的内容在约定时间内做出必要的澄清、说明或更正。供应商澄清、说明或者更正应当由法定代表人或者授权代表签字或者加盖公章。澄清、说明或者更正不得超出响应范围，或者改变响应文件的实质性内容。</w:t>
      </w:r>
    </w:p>
    <w:p w14:paraId="1C502A3D">
      <w:pPr>
        <w:pStyle w:val="22"/>
        <w:keepNext w:val="0"/>
        <w:keepLines w:val="0"/>
        <w:pageBreakBefore w:val="0"/>
        <w:kinsoku/>
        <w:wordWrap/>
        <w:overflowPunct/>
        <w:topLinePunct w:val="0"/>
        <w:bidi w:val="0"/>
        <w:adjustRightInd w:val="0"/>
        <w:snapToGrid w:val="0"/>
        <w:spacing w:line="460" w:lineRule="exact"/>
        <w:ind w:left="840" w:leftChars="0" w:hanging="840" w:hangingChars="350"/>
        <w:rPr>
          <w:rFonts w:ascii="Times New Roman" w:hAnsi="Times New Roman" w:eastAsia="仿宋_GB2312"/>
          <w:sz w:val="24"/>
        </w:rPr>
      </w:pPr>
      <w:r>
        <w:rPr>
          <w:rFonts w:ascii="Times New Roman" w:hAnsi="Times New Roman" w:eastAsia="仿宋_GB2312"/>
          <w:sz w:val="24"/>
        </w:rPr>
        <w:t>23.3.3 谈判过程中，谈判小组可以根据谈判文件和谈判情况实质性变动采购需求中的技术、服务要求以及合同草案条款，但不得变动谈判文件中的其他内容。实质性变动的内容，须经采购人代表确认，并成为谈判文件的有效组成部分。</w:t>
      </w:r>
    </w:p>
    <w:p w14:paraId="435BC281">
      <w:pPr>
        <w:pStyle w:val="22"/>
        <w:keepNext w:val="0"/>
        <w:keepLines w:val="0"/>
        <w:pageBreakBefore w:val="0"/>
        <w:kinsoku/>
        <w:wordWrap/>
        <w:overflowPunct/>
        <w:topLinePunct w:val="0"/>
        <w:bidi w:val="0"/>
        <w:adjustRightInd w:val="0"/>
        <w:snapToGrid w:val="0"/>
        <w:spacing w:line="460" w:lineRule="exact"/>
        <w:ind w:left="0" w:leftChars="0"/>
        <w:rPr>
          <w:rFonts w:ascii="Times New Roman" w:hAnsi="Times New Roman" w:eastAsia="仿宋_GB2312"/>
          <w:sz w:val="24"/>
        </w:rPr>
      </w:pPr>
      <w:r>
        <w:rPr>
          <w:rFonts w:ascii="Times New Roman" w:hAnsi="Times New Roman" w:eastAsia="仿宋_GB2312"/>
          <w:sz w:val="24"/>
        </w:rPr>
        <w:t>23.3.4 如出现下述情形之一的，视为供应商主动退出谈判，其响应将被拒绝：</w:t>
      </w:r>
    </w:p>
    <w:p w14:paraId="06144BE9">
      <w:pPr>
        <w:pStyle w:val="28"/>
        <w:keepNext w:val="0"/>
        <w:keepLines w:val="0"/>
        <w:pageBreakBefore w:val="0"/>
        <w:kinsoku/>
        <w:wordWrap/>
        <w:overflowPunct/>
        <w:topLinePunct w:val="0"/>
        <w:bidi w:val="0"/>
        <w:adjustRightInd w:val="0"/>
        <w:snapToGrid w:val="0"/>
        <w:spacing w:line="460" w:lineRule="exact"/>
        <w:ind w:left="718" w:leftChars="342" w:firstLine="0" w:firstLineChars="0"/>
        <w:rPr>
          <w:rFonts w:ascii="Times New Roman" w:hAnsi="Times New Roman" w:eastAsia="仿宋_GB2312"/>
          <w:sz w:val="24"/>
          <w:szCs w:val="24"/>
        </w:rPr>
      </w:pPr>
      <w:r>
        <w:rPr>
          <w:rFonts w:ascii="Times New Roman" w:hAnsi="Times New Roman" w:eastAsia="仿宋_GB2312"/>
          <w:sz w:val="24"/>
          <w:szCs w:val="24"/>
        </w:rPr>
        <w:t>（1）供应商未按要求确认谈判小组确定的本项目最终技术需求的；</w:t>
      </w:r>
    </w:p>
    <w:p w14:paraId="047CD336">
      <w:pPr>
        <w:pStyle w:val="28"/>
        <w:keepNext w:val="0"/>
        <w:keepLines w:val="0"/>
        <w:pageBreakBefore w:val="0"/>
        <w:kinsoku/>
        <w:wordWrap/>
        <w:overflowPunct/>
        <w:topLinePunct w:val="0"/>
        <w:bidi w:val="0"/>
        <w:adjustRightInd w:val="0"/>
        <w:snapToGrid w:val="0"/>
        <w:spacing w:line="460" w:lineRule="exact"/>
        <w:ind w:left="718" w:leftChars="342" w:firstLine="0" w:firstLineChars="0"/>
        <w:rPr>
          <w:rFonts w:ascii="Times New Roman" w:hAnsi="Times New Roman" w:eastAsia="仿宋_GB2312"/>
          <w:sz w:val="24"/>
          <w:szCs w:val="24"/>
        </w:rPr>
      </w:pPr>
      <w:r>
        <w:rPr>
          <w:rFonts w:ascii="Times New Roman" w:hAnsi="Times New Roman" w:eastAsia="仿宋_GB2312"/>
          <w:sz w:val="24"/>
          <w:szCs w:val="24"/>
        </w:rPr>
        <w:t>（2）最后报价未实质性响应谈判小组确定的本项目最终技术需求的，或附有采购人无法接受的条件的。</w:t>
      </w:r>
    </w:p>
    <w:p w14:paraId="6C8E90A7">
      <w:pPr>
        <w:pStyle w:val="22"/>
        <w:keepNext w:val="0"/>
        <w:keepLines w:val="0"/>
        <w:pageBreakBefore w:val="0"/>
        <w:kinsoku/>
        <w:wordWrap/>
        <w:overflowPunct/>
        <w:topLinePunct w:val="0"/>
        <w:bidi w:val="0"/>
        <w:adjustRightInd w:val="0"/>
        <w:snapToGrid w:val="0"/>
        <w:spacing w:line="460" w:lineRule="exact"/>
        <w:ind w:left="0" w:leftChars="0"/>
        <w:rPr>
          <w:rFonts w:ascii="Times New Roman" w:hAnsi="Times New Roman" w:eastAsia="仿宋_GB2312"/>
          <w:b/>
          <w:sz w:val="24"/>
          <w:szCs w:val="21"/>
        </w:rPr>
      </w:pPr>
      <w:r>
        <w:rPr>
          <w:rFonts w:ascii="Times New Roman" w:hAnsi="Times New Roman" w:eastAsia="仿宋_GB2312"/>
          <w:b/>
          <w:sz w:val="24"/>
          <w:szCs w:val="21"/>
        </w:rPr>
        <w:t>23.4   最后报价</w:t>
      </w:r>
    </w:p>
    <w:p w14:paraId="62E27B77">
      <w:pPr>
        <w:pStyle w:val="22"/>
        <w:keepNext w:val="0"/>
        <w:keepLines w:val="0"/>
        <w:pageBreakBefore w:val="0"/>
        <w:kinsoku/>
        <w:wordWrap/>
        <w:overflowPunct/>
        <w:topLinePunct w:val="0"/>
        <w:bidi w:val="0"/>
        <w:adjustRightInd w:val="0"/>
        <w:snapToGrid w:val="0"/>
        <w:spacing w:line="460" w:lineRule="exact"/>
        <w:ind w:left="840" w:leftChars="0" w:hanging="840" w:hangingChars="350"/>
        <w:rPr>
          <w:rFonts w:ascii="Times New Roman" w:hAnsi="Times New Roman" w:eastAsia="仿宋_GB2312"/>
          <w:sz w:val="24"/>
        </w:rPr>
      </w:pPr>
      <w:r>
        <w:rPr>
          <w:rFonts w:ascii="Times New Roman" w:hAnsi="Times New Roman" w:eastAsia="仿宋_GB2312"/>
          <w:sz w:val="24"/>
        </w:rPr>
        <w:t>23.4.1 谈判结束后，有效响应供应商不少于3家。谈判小组要求供应商在规定时间内提交最后报价，最后报价是供应商响应文件的有效组成部分。</w:t>
      </w:r>
    </w:p>
    <w:p w14:paraId="763C0847">
      <w:pPr>
        <w:pStyle w:val="22"/>
        <w:keepNext w:val="0"/>
        <w:keepLines w:val="0"/>
        <w:pageBreakBefore w:val="0"/>
        <w:kinsoku/>
        <w:wordWrap/>
        <w:overflowPunct/>
        <w:topLinePunct w:val="0"/>
        <w:bidi w:val="0"/>
        <w:adjustRightInd w:val="0"/>
        <w:snapToGrid w:val="0"/>
        <w:spacing w:line="460" w:lineRule="exact"/>
        <w:ind w:left="840" w:leftChars="0" w:hanging="840" w:hangingChars="350"/>
        <w:rPr>
          <w:rFonts w:ascii="Times New Roman" w:hAnsi="Times New Roman" w:eastAsia="仿宋_GB2312"/>
          <w:sz w:val="24"/>
        </w:rPr>
      </w:pPr>
      <w:r>
        <w:rPr>
          <w:rFonts w:ascii="Times New Roman" w:hAnsi="Times New Roman" w:eastAsia="仿宋_GB2312"/>
          <w:sz w:val="24"/>
        </w:rPr>
        <w:t>23.4.2 最后报价应按附件中报价的格式内容填写，并且同时提交最后响应报价表、最后报价明细表、最后节能、环境标志产品明细表等内容。各供应商在提交响应文件时，应对最后报价加盖供应商红色公章，且由法定代表人（或授权代表人）签字。</w:t>
      </w:r>
    </w:p>
    <w:p w14:paraId="78FAB993">
      <w:pPr>
        <w:pStyle w:val="6"/>
        <w:keepNext w:val="0"/>
        <w:keepLines w:val="0"/>
        <w:pageBreakBefore w:val="0"/>
        <w:widowControl w:val="0"/>
        <w:tabs>
          <w:tab w:val="left" w:pos="588"/>
        </w:tabs>
        <w:kinsoku/>
        <w:wordWrap/>
        <w:overflowPunct/>
        <w:topLinePunct w:val="0"/>
        <w:autoSpaceDE/>
        <w:autoSpaceDN/>
        <w:bidi w:val="0"/>
        <w:adjustRightInd w:val="0"/>
        <w:snapToGrid w:val="0"/>
        <w:spacing w:beforeAutospacing="0" w:afterAutospacing="0" w:line="460" w:lineRule="exact"/>
        <w:ind w:left="0" w:leftChars="0"/>
        <w:textAlignment w:val="baseline"/>
        <w:outlineLvl w:val="3"/>
        <w:rPr>
          <w:rFonts w:ascii="Times New Roman" w:hAnsi="Times New Roman" w:eastAsia="仿宋_GB2312"/>
          <w:b/>
          <w:sz w:val="24"/>
          <w:szCs w:val="21"/>
        </w:rPr>
      </w:pPr>
      <w:bookmarkStart w:id="345" w:name="_Toc164351640"/>
      <w:bookmarkStart w:id="346" w:name="_Toc150480784"/>
      <w:bookmarkStart w:id="347" w:name="_Toc520356170"/>
      <w:bookmarkStart w:id="348" w:name="_Toc151193716"/>
      <w:bookmarkStart w:id="349" w:name="_Toc151193788"/>
      <w:bookmarkStart w:id="350" w:name="_Toc150774751"/>
      <w:bookmarkStart w:id="351" w:name="_Ref467307010"/>
      <w:bookmarkStart w:id="352" w:name="_Toc149720839"/>
      <w:bookmarkStart w:id="353" w:name="_Toc127161460"/>
      <w:bookmarkStart w:id="354" w:name="_Toc13753"/>
      <w:bookmarkStart w:id="355" w:name="_Toc249515422"/>
      <w:bookmarkStart w:id="356" w:name="_Toc249515310"/>
      <w:bookmarkStart w:id="357" w:name="_Toc150774646"/>
      <w:bookmarkStart w:id="358" w:name="_Toc249525191"/>
      <w:bookmarkStart w:id="359" w:name="_Toc151190173"/>
      <w:bookmarkStart w:id="360" w:name="_Toc142311048"/>
      <w:bookmarkStart w:id="361" w:name="_Toc164608660"/>
      <w:bookmarkStart w:id="362" w:name="_Toc164608815"/>
      <w:bookmarkStart w:id="363" w:name="_Toc127151747"/>
      <w:bookmarkStart w:id="364" w:name="_Toc195842911"/>
      <w:bookmarkStart w:id="365" w:name="_Toc164229387"/>
      <w:bookmarkStart w:id="366" w:name="_Toc127151546"/>
      <w:bookmarkStart w:id="367" w:name="_Toc164229241"/>
      <w:bookmarkStart w:id="368" w:name="_Toc151193934"/>
      <w:bookmarkStart w:id="369" w:name="_Toc151193644"/>
      <w:bookmarkStart w:id="370" w:name="_Toc150509297"/>
      <w:bookmarkStart w:id="371" w:name="_Toc151193860"/>
      <w:r>
        <w:rPr>
          <w:rFonts w:ascii="Times New Roman" w:hAnsi="Times New Roman" w:eastAsia="仿宋_GB2312"/>
          <w:b/>
          <w:sz w:val="24"/>
          <w:szCs w:val="21"/>
        </w:rPr>
        <w:t>24.    评审办法及</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r>
        <w:rPr>
          <w:rFonts w:ascii="Times New Roman" w:hAnsi="Times New Roman" w:eastAsia="仿宋_GB2312"/>
          <w:b/>
          <w:sz w:val="24"/>
          <w:szCs w:val="21"/>
        </w:rPr>
        <w:t>落实政府采购政策</w:t>
      </w:r>
    </w:p>
    <w:bookmarkEnd w:id="342"/>
    <w:p w14:paraId="1AC325F2">
      <w:pPr>
        <w:keepNext w:val="0"/>
        <w:keepLines w:val="0"/>
        <w:pageBreakBefore w:val="0"/>
        <w:tabs>
          <w:tab w:val="left" w:pos="360"/>
          <w:tab w:val="left" w:pos="502"/>
          <w:tab w:val="left" w:pos="588"/>
        </w:tabs>
        <w:kinsoku/>
        <w:wordWrap/>
        <w:overflowPunct/>
        <w:topLinePunct w:val="0"/>
        <w:bidi w:val="0"/>
        <w:adjustRightInd w:val="0"/>
        <w:snapToGrid w:val="0"/>
        <w:spacing w:line="460" w:lineRule="exact"/>
        <w:ind w:left="840" w:leftChars="0" w:hanging="840" w:hangingChars="350"/>
        <w:rPr>
          <w:rFonts w:eastAsia="仿宋_GB2312"/>
          <w:sz w:val="24"/>
        </w:rPr>
      </w:pPr>
      <w:r>
        <w:rPr>
          <w:rFonts w:eastAsia="仿宋_GB2312"/>
          <w:sz w:val="24"/>
        </w:rPr>
        <w:t>24.1   谈判小组按照谈判文件规定的评审方法和标准，对审查合格的文件进行商务和技术评审，比较和评价。</w:t>
      </w:r>
    </w:p>
    <w:p w14:paraId="35932E3D">
      <w:pPr>
        <w:pStyle w:val="72"/>
        <w:keepNext w:val="0"/>
        <w:keepLines w:val="0"/>
        <w:pageBreakBefore w:val="0"/>
        <w:tabs>
          <w:tab w:val="left" w:pos="360"/>
          <w:tab w:val="left" w:pos="502"/>
          <w:tab w:val="left" w:pos="588"/>
        </w:tabs>
        <w:kinsoku/>
        <w:wordWrap/>
        <w:overflowPunct/>
        <w:topLinePunct w:val="0"/>
        <w:bidi w:val="0"/>
        <w:adjustRightInd w:val="0"/>
        <w:snapToGrid w:val="0"/>
        <w:spacing w:line="460" w:lineRule="exact"/>
        <w:ind w:left="840" w:leftChars="0" w:hanging="840" w:hangingChars="350"/>
        <w:rPr>
          <w:rFonts w:ascii="Times New Roman" w:hAnsi="Times New Roman" w:eastAsia="仿宋_GB2312"/>
          <w:sz w:val="24"/>
        </w:rPr>
      </w:pPr>
      <w:r>
        <w:rPr>
          <w:rFonts w:ascii="Times New Roman" w:hAnsi="Times New Roman" w:eastAsia="仿宋_GB2312"/>
          <w:sz w:val="24"/>
        </w:rPr>
        <w:t>24.2   评审办法：比照最低评标价法，在质量和服务均能满足谈判文件实质性响应要求的供应商中，按照最后报价由低到高的顺序提出3名以上成交候选人，并编写评审报告。</w:t>
      </w:r>
    </w:p>
    <w:p w14:paraId="3F82EFD4">
      <w:pPr>
        <w:keepNext w:val="0"/>
        <w:keepLines w:val="0"/>
        <w:pageBreakBefore w:val="0"/>
        <w:tabs>
          <w:tab w:val="left" w:pos="588"/>
        </w:tabs>
        <w:kinsoku/>
        <w:wordWrap/>
        <w:overflowPunct/>
        <w:topLinePunct w:val="0"/>
        <w:bidi w:val="0"/>
        <w:adjustRightInd w:val="0"/>
        <w:snapToGrid w:val="0"/>
        <w:spacing w:line="460" w:lineRule="exact"/>
        <w:ind w:left="840" w:leftChars="0" w:hanging="840" w:hangingChars="350"/>
        <w:rPr>
          <w:rFonts w:eastAsia="仿宋_GB2312"/>
          <w:sz w:val="24"/>
        </w:rPr>
      </w:pPr>
      <w:r>
        <w:rPr>
          <w:rFonts w:eastAsia="仿宋_GB2312"/>
          <w:sz w:val="24"/>
        </w:rPr>
        <w:t xml:space="preserve">24.3   </w:t>
      </w:r>
      <w:r>
        <w:rPr>
          <w:rFonts w:hint="eastAsia" w:eastAsia="仿宋_GB2312"/>
          <w:sz w:val="24"/>
          <w:lang w:val="en-US" w:eastAsia="zh-CN"/>
        </w:rPr>
        <w:t>若</w:t>
      </w:r>
      <w:r>
        <w:rPr>
          <w:rFonts w:eastAsia="仿宋_GB2312"/>
          <w:sz w:val="24"/>
        </w:rPr>
        <w:t>项目</w:t>
      </w:r>
      <w:r>
        <w:rPr>
          <w:rFonts w:hint="eastAsia" w:eastAsia="仿宋_GB2312"/>
          <w:sz w:val="24"/>
          <w:lang w:val="en-US" w:eastAsia="zh-CN"/>
        </w:rPr>
        <w:t>未专门面向中小企业采购，</w:t>
      </w:r>
      <w:r>
        <w:rPr>
          <w:rFonts w:eastAsia="仿宋_GB2312"/>
          <w:sz w:val="24"/>
        </w:rPr>
        <w:t>对小微型企业、监狱企业、残疾人福利性单位产品的价格给</w:t>
      </w:r>
      <w:r>
        <w:rPr>
          <w:rFonts w:eastAsia="仿宋_GB2312"/>
          <w:sz w:val="24"/>
          <w:highlight w:val="none"/>
        </w:rPr>
        <w:t>予</w:t>
      </w:r>
      <w:r>
        <w:rPr>
          <w:rFonts w:eastAsia="仿宋_GB2312"/>
          <w:i/>
          <w:iCs/>
          <w:highlight w:val="none"/>
          <w:u w:val="single"/>
        </w:rPr>
        <w:t>（货物服务10%（通用）</w:t>
      </w:r>
      <w:r>
        <w:rPr>
          <w:rFonts w:eastAsia="仿宋_GB2312"/>
          <w:sz w:val="24"/>
        </w:rPr>
        <w:t>的扣除，用扣除后的价格参与评审。</w:t>
      </w:r>
      <w:r>
        <w:rPr>
          <w:rFonts w:hint="eastAsia" w:eastAsia="仿宋_GB2312"/>
          <w:sz w:val="24"/>
          <w:lang w:val="en-US" w:eastAsia="zh-CN"/>
        </w:rPr>
        <w:t>若</w:t>
      </w:r>
      <w:r>
        <w:rPr>
          <w:rFonts w:hint="eastAsia" w:eastAsia="仿宋_GB2312"/>
          <w:sz w:val="24"/>
        </w:rPr>
        <w:t>项目专门面向中小企业采购，则不再进行价格扣除。</w:t>
      </w:r>
    </w:p>
    <w:p w14:paraId="0BF1D548">
      <w:pPr>
        <w:pStyle w:val="28"/>
        <w:keepNext w:val="0"/>
        <w:keepLines w:val="0"/>
        <w:pageBreakBefore w:val="0"/>
        <w:kinsoku/>
        <w:wordWrap/>
        <w:overflowPunct/>
        <w:topLinePunct w:val="0"/>
        <w:bidi w:val="0"/>
        <w:adjustRightInd w:val="0"/>
        <w:snapToGrid w:val="0"/>
        <w:spacing w:line="460" w:lineRule="exact"/>
        <w:ind w:left="718" w:leftChars="342" w:firstLine="0" w:firstLineChars="0"/>
        <w:rPr>
          <w:rFonts w:ascii="Times New Roman" w:hAnsi="Times New Roman" w:eastAsia="仿宋_GB2312"/>
          <w:sz w:val="24"/>
          <w:szCs w:val="24"/>
        </w:rPr>
      </w:pPr>
      <w:r>
        <w:rPr>
          <w:rFonts w:ascii="Times New Roman" w:hAnsi="Times New Roman" w:eastAsia="仿宋_GB2312"/>
          <w:sz w:val="24"/>
          <w:szCs w:val="24"/>
        </w:rPr>
        <w:t>（1）根据《关于进一步加大政府采购支持中小企业力度的通知》（财库〔2022〕19号）、《政府采购促进中小企业发展管理办法》（财库〔2020〕46号），中小企业应出具《中小企业声明函》，符合工信部联企业〔2011〕300号文件规定；监狱和戒毒企业应符合《财政部 司法部关于政府采购支持监狱企业发展有关问题的通知》（财库〔2014〕68号），并提供由省级以上监狱管理局、戒毒管理局</w:t>
      </w:r>
      <w:r>
        <w:rPr>
          <w:rFonts w:hint="eastAsia" w:ascii="Times New Roman" w:hAnsi="Times New Roman" w:eastAsia="仿宋_GB2312"/>
          <w:sz w:val="24"/>
          <w:szCs w:val="24"/>
          <w:lang w:eastAsia="zh-CN"/>
        </w:rPr>
        <w:t>（</w:t>
      </w:r>
      <w:r>
        <w:rPr>
          <w:rFonts w:ascii="Times New Roman" w:hAnsi="Times New Roman" w:eastAsia="仿宋_GB2312"/>
          <w:sz w:val="24"/>
          <w:szCs w:val="24"/>
        </w:rPr>
        <w:t>含新疆生产建设兵团</w:t>
      </w:r>
      <w:r>
        <w:rPr>
          <w:rFonts w:hint="eastAsia" w:ascii="Times New Roman" w:hAnsi="Times New Roman" w:eastAsia="仿宋_GB2312"/>
          <w:sz w:val="24"/>
          <w:szCs w:val="24"/>
          <w:lang w:eastAsia="zh-CN"/>
        </w:rPr>
        <w:t>）</w:t>
      </w:r>
      <w:r>
        <w:rPr>
          <w:rFonts w:ascii="Times New Roman" w:hAnsi="Times New Roman" w:eastAsia="仿宋_GB2312"/>
          <w:sz w:val="24"/>
          <w:szCs w:val="24"/>
        </w:rPr>
        <w:t>出具的属于监狱企业的证明；残疾人福利性单位应符合《财政部、民政部、中国残疾人联合会关于促进残疾人就业政府采购政策的通知》（财库〔2017〕141号）文件规定，并提供《残疾人福利性单位声明函》。</w:t>
      </w:r>
    </w:p>
    <w:p w14:paraId="23422831">
      <w:pPr>
        <w:pStyle w:val="28"/>
        <w:keepNext w:val="0"/>
        <w:keepLines w:val="0"/>
        <w:pageBreakBefore w:val="0"/>
        <w:kinsoku/>
        <w:wordWrap/>
        <w:overflowPunct/>
        <w:topLinePunct w:val="0"/>
        <w:bidi w:val="0"/>
        <w:adjustRightInd w:val="0"/>
        <w:snapToGrid w:val="0"/>
        <w:spacing w:line="460" w:lineRule="exact"/>
        <w:ind w:left="718" w:leftChars="342" w:firstLine="0" w:firstLineChars="0"/>
        <w:rPr>
          <w:rFonts w:ascii="Times New Roman" w:hAnsi="Times New Roman" w:eastAsia="仿宋_GB2312"/>
          <w:sz w:val="24"/>
          <w:szCs w:val="24"/>
        </w:rPr>
      </w:pPr>
      <w:r>
        <w:rPr>
          <w:rFonts w:ascii="Times New Roman" w:hAnsi="Times New Roman" w:eastAsia="仿宋_GB2312"/>
          <w:sz w:val="24"/>
          <w:szCs w:val="24"/>
        </w:rPr>
        <w:t>（2）对于同时属于小微企业、监狱企业或残疾人福利性单位的，不重复进行价格扣除。</w:t>
      </w:r>
    </w:p>
    <w:p w14:paraId="79DC0D9A">
      <w:pPr>
        <w:pStyle w:val="28"/>
        <w:keepNext w:val="0"/>
        <w:keepLines w:val="0"/>
        <w:pageBreakBefore w:val="0"/>
        <w:kinsoku/>
        <w:wordWrap/>
        <w:overflowPunct/>
        <w:topLinePunct w:val="0"/>
        <w:bidi w:val="0"/>
        <w:adjustRightInd w:val="0"/>
        <w:snapToGrid w:val="0"/>
        <w:spacing w:line="460" w:lineRule="exact"/>
        <w:ind w:left="718" w:leftChars="342" w:firstLine="0" w:firstLineChars="0"/>
        <w:rPr>
          <w:rFonts w:ascii="Times New Roman" w:hAnsi="Times New Roman" w:eastAsia="仿宋_GB2312"/>
          <w:sz w:val="24"/>
          <w:szCs w:val="24"/>
        </w:rPr>
      </w:pPr>
      <w:r>
        <w:rPr>
          <w:rFonts w:ascii="Times New Roman" w:hAnsi="Times New Roman" w:eastAsia="仿宋_GB2312"/>
          <w:sz w:val="24"/>
          <w:szCs w:val="24"/>
        </w:rPr>
        <w:t>（3）如允许与小微企业组成联合体或向其分包的，且合同额占总金额30%以上的，给予4%（工程为1%）的扣除。联合体各方均为小型、微型企业和监狱企业的，联合体视同为小型、微型企业和监狱企业。</w:t>
      </w:r>
    </w:p>
    <w:p w14:paraId="185D31A6">
      <w:pPr>
        <w:keepNext w:val="0"/>
        <w:keepLines w:val="0"/>
        <w:pageBreakBefore w:val="0"/>
        <w:tabs>
          <w:tab w:val="left" w:pos="588"/>
        </w:tabs>
        <w:kinsoku/>
        <w:wordWrap/>
        <w:overflowPunct/>
        <w:topLinePunct w:val="0"/>
        <w:bidi w:val="0"/>
        <w:adjustRightInd w:val="0"/>
        <w:snapToGrid w:val="0"/>
        <w:spacing w:line="460" w:lineRule="exact"/>
        <w:ind w:left="840" w:leftChars="0" w:hanging="840" w:hangingChars="350"/>
        <w:rPr>
          <w:rFonts w:eastAsia="仿宋_GB2312"/>
          <w:sz w:val="24"/>
        </w:rPr>
      </w:pPr>
      <w:r>
        <w:rPr>
          <w:rFonts w:eastAsia="仿宋_GB2312"/>
          <w:sz w:val="24"/>
        </w:rPr>
        <w:t>24.4   谈判产品为节能、环境标志产品，符合谈判文件要求的，可优先采购，价格扣除百分比计算公式为：节能、环境标志产品清单中的产品价格占谈判响应总价的</w:t>
      </w:r>
      <w:r>
        <w:rPr>
          <w:rFonts w:eastAsia="仿宋_GB2312"/>
          <w:b/>
          <w:sz w:val="24"/>
        </w:rPr>
        <w:t>百分比×5%</w:t>
      </w:r>
      <w:r>
        <w:rPr>
          <w:rFonts w:eastAsia="仿宋_GB2312"/>
          <w:sz w:val="24"/>
        </w:rPr>
        <w:t>，用扣除后的价格参与评审。</w:t>
      </w:r>
    </w:p>
    <w:p w14:paraId="406024A7">
      <w:pPr>
        <w:pStyle w:val="28"/>
        <w:keepNext w:val="0"/>
        <w:keepLines w:val="0"/>
        <w:pageBreakBefore w:val="0"/>
        <w:kinsoku/>
        <w:wordWrap/>
        <w:overflowPunct/>
        <w:topLinePunct w:val="0"/>
        <w:bidi w:val="0"/>
        <w:adjustRightInd w:val="0"/>
        <w:snapToGrid w:val="0"/>
        <w:spacing w:line="460" w:lineRule="exact"/>
        <w:ind w:left="718" w:leftChars="342" w:firstLine="0" w:firstLineChars="0"/>
        <w:rPr>
          <w:rFonts w:ascii="Times New Roman" w:hAnsi="Times New Roman" w:eastAsia="仿宋_GB2312"/>
          <w:sz w:val="24"/>
          <w:szCs w:val="24"/>
        </w:rPr>
      </w:pPr>
      <w:r>
        <w:rPr>
          <w:rFonts w:ascii="Times New Roman" w:hAnsi="Times New Roman" w:eastAsia="仿宋_GB2312"/>
          <w:sz w:val="24"/>
          <w:szCs w:val="24"/>
        </w:rPr>
        <w:t>（1）根据《关于调整优化节能产品、环境标志产品政府采购执行机制的通知》（财库〔2019〕9号）、《国务院办公厅关于建立政府强制采购节能产品制度的通知》（国办发〔2007〕51号）、环境标志产品根据《环境标志产品政府采购实施的意见》（财库〔2006〕90号）的规定，节能、环境标志产品依据品目清单和认证证书实施政府采购优先采购和强制采购。</w:t>
      </w:r>
    </w:p>
    <w:p w14:paraId="5EF9B771">
      <w:pPr>
        <w:pStyle w:val="28"/>
        <w:keepNext w:val="0"/>
        <w:keepLines w:val="0"/>
        <w:pageBreakBefore w:val="0"/>
        <w:kinsoku/>
        <w:wordWrap/>
        <w:overflowPunct/>
        <w:topLinePunct w:val="0"/>
        <w:bidi w:val="0"/>
        <w:adjustRightInd w:val="0"/>
        <w:snapToGrid w:val="0"/>
        <w:spacing w:line="460" w:lineRule="exact"/>
        <w:ind w:left="718" w:leftChars="342" w:firstLine="0" w:firstLineChars="0"/>
        <w:rPr>
          <w:rFonts w:ascii="Times New Roman" w:hAnsi="Times New Roman" w:eastAsia="仿宋_GB2312"/>
          <w:sz w:val="24"/>
          <w:szCs w:val="24"/>
        </w:rPr>
      </w:pPr>
      <w:r>
        <w:rPr>
          <w:rFonts w:ascii="Times New Roman" w:hAnsi="Times New Roman" w:eastAsia="仿宋_GB2312"/>
          <w:sz w:val="24"/>
          <w:szCs w:val="24"/>
        </w:rPr>
        <w:t>（2）以在有效期之内的，国家确定的认证机构出具的节能产品、环境标志产品认证证书为依据，复印件须加盖供应商公章，否则不予扣除。</w:t>
      </w:r>
    </w:p>
    <w:p w14:paraId="6A88C183">
      <w:pPr>
        <w:pStyle w:val="28"/>
        <w:keepNext w:val="0"/>
        <w:keepLines w:val="0"/>
        <w:pageBreakBefore w:val="0"/>
        <w:kinsoku/>
        <w:wordWrap/>
        <w:overflowPunct/>
        <w:topLinePunct w:val="0"/>
        <w:bidi w:val="0"/>
        <w:adjustRightInd w:val="0"/>
        <w:snapToGrid w:val="0"/>
        <w:spacing w:line="460" w:lineRule="exact"/>
        <w:ind w:left="718" w:leftChars="342" w:firstLine="0" w:firstLineChars="0"/>
        <w:rPr>
          <w:rFonts w:ascii="Times New Roman" w:hAnsi="Times New Roman" w:eastAsia="仿宋_GB2312"/>
          <w:sz w:val="24"/>
          <w:szCs w:val="24"/>
        </w:rPr>
      </w:pPr>
      <w:r>
        <w:rPr>
          <w:rFonts w:ascii="Times New Roman" w:hAnsi="Times New Roman" w:eastAsia="仿宋_GB2312"/>
          <w:sz w:val="24"/>
          <w:szCs w:val="24"/>
        </w:rPr>
        <w:t>（3）供应商在响应文件中对所响应产品为节能、环境标志品目清单中的产品，在谈判报价时必须对此类产品单独分项报价，未提供节能、环境标志产品计分明细表不予扣除。</w:t>
      </w:r>
    </w:p>
    <w:p w14:paraId="5F44F724">
      <w:pPr>
        <w:pStyle w:val="28"/>
        <w:keepNext w:val="0"/>
        <w:keepLines w:val="0"/>
        <w:pageBreakBefore w:val="0"/>
        <w:kinsoku/>
        <w:wordWrap/>
        <w:overflowPunct/>
        <w:topLinePunct w:val="0"/>
        <w:bidi w:val="0"/>
        <w:adjustRightInd w:val="0"/>
        <w:snapToGrid w:val="0"/>
        <w:spacing w:line="460" w:lineRule="exact"/>
        <w:ind w:left="718" w:leftChars="342" w:firstLine="0" w:firstLineChars="0"/>
        <w:rPr>
          <w:rFonts w:ascii="Times New Roman" w:hAnsi="Times New Roman" w:eastAsia="仿宋_GB2312"/>
          <w:sz w:val="24"/>
          <w:szCs w:val="24"/>
        </w:rPr>
      </w:pPr>
      <w:r>
        <w:rPr>
          <w:rFonts w:ascii="Times New Roman" w:hAnsi="Times New Roman" w:eastAsia="仿宋_GB2312"/>
          <w:sz w:val="24"/>
          <w:szCs w:val="24"/>
        </w:rPr>
        <w:t>（4）若节能、环境标志清单内的产品仅是构成响应产品的部件、组件或零件的，则该产品不享受鼓励优惠政策。</w:t>
      </w:r>
    </w:p>
    <w:p w14:paraId="2D201059">
      <w:pPr>
        <w:pStyle w:val="28"/>
        <w:keepNext w:val="0"/>
        <w:keepLines w:val="0"/>
        <w:pageBreakBefore w:val="0"/>
        <w:kinsoku/>
        <w:wordWrap/>
        <w:overflowPunct/>
        <w:topLinePunct w:val="0"/>
        <w:bidi w:val="0"/>
        <w:adjustRightInd w:val="0"/>
        <w:snapToGrid w:val="0"/>
        <w:spacing w:line="460" w:lineRule="exact"/>
        <w:ind w:left="718" w:leftChars="342" w:firstLine="0" w:firstLineChars="0"/>
        <w:rPr>
          <w:rFonts w:hint="eastAsia" w:ascii="Times New Roman" w:hAnsi="Times New Roman" w:eastAsia="仿宋_GB2312"/>
          <w:sz w:val="24"/>
          <w:szCs w:val="24"/>
          <w:lang w:eastAsia="zh-CN"/>
        </w:rPr>
      </w:pPr>
      <w:r>
        <w:rPr>
          <w:rFonts w:ascii="Times New Roman" w:hAnsi="Times New Roman" w:eastAsia="仿宋_GB2312"/>
          <w:sz w:val="24"/>
          <w:szCs w:val="24"/>
        </w:rPr>
        <w:t>（5）同一包内的节能、环境标志产品部分计分只对属于清单内的非强制类产品进行计分，强制类产品不给予扣除。</w:t>
      </w:r>
    </w:p>
    <w:p w14:paraId="28ABE2F8">
      <w:pPr>
        <w:pStyle w:val="28"/>
        <w:keepNext w:val="0"/>
        <w:keepLines w:val="0"/>
        <w:pageBreakBefore w:val="0"/>
        <w:kinsoku/>
        <w:wordWrap/>
        <w:overflowPunct/>
        <w:topLinePunct w:val="0"/>
        <w:bidi w:val="0"/>
        <w:adjustRightInd w:val="0"/>
        <w:snapToGrid w:val="0"/>
        <w:spacing w:line="460" w:lineRule="exact"/>
        <w:ind w:left="718" w:leftChars="342" w:firstLine="0" w:firstLineChars="0"/>
        <w:rPr>
          <w:rFonts w:ascii="Times New Roman" w:hAnsi="Times New Roman" w:eastAsia="仿宋_GB2312"/>
          <w:sz w:val="24"/>
          <w:szCs w:val="24"/>
        </w:rPr>
      </w:pPr>
      <w:r>
        <w:rPr>
          <w:rFonts w:ascii="Times New Roman" w:hAnsi="Times New Roman" w:eastAsia="仿宋_GB2312"/>
          <w:sz w:val="24"/>
          <w:szCs w:val="24"/>
        </w:rPr>
        <w:t>（6）节能、环境标志产品不重复扣除；同时列入国家级清单和省级清单的产品不重复扣除。</w:t>
      </w:r>
    </w:p>
    <w:p w14:paraId="0CB8FC61">
      <w:pPr>
        <w:keepNext w:val="0"/>
        <w:keepLines w:val="0"/>
        <w:pageBreakBefore w:val="0"/>
        <w:tabs>
          <w:tab w:val="left" w:pos="588"/>
        </w:tabs>
        <w:kinsoku/>
        <w:wordWrap/>
        <w:overflowPunct/>
        <w:topLinePunct w:val="0"/>
        <w:bidi w:val="0"/>
        <w:adjustRightInd w:val="0"/>
        <w:snapToGrid w:val="0"/>
        <w:spacing w:line="460" w:lineRule="exact"/>
        <w:ind w:left="840" w:leftChars="0" w:hanging="840" w:hangingChars="350"/>
        <w:rPr>
          <w:rFonts w:eastAsia="仿宋_GB2312"/>
          <w:sz w:val="24"/>
        </w:rPr>
      </w:pPr>
      <w:r>
        <w:rPr>
          <w:rFonts w:eastAsia="仿宋_GB2312"/>
          <w:sz w:val="24"/>
        </w:rPr>
        <w:t>24.5   响应文件出现下列情况之一者，谈判小组在评审过程中按以下原则修正：</w:t>
      </w:r>
    </w:p>
    <w:p w14:paraId="58B92D89">
      <w:pPr>
        <w:pStyle w:val="28"/>
        <w:keepNext w:val="0"/>
        <w:keepLines w:val="0"/>
        <w:pageBreakBefore w:val="0"/>
        <w:kinsoku/>
        <w:wordWrap/>
        <w:overflowPunct/>
        <w:topLinePunct w:val="0"/>
        <w:bidi w:val="0"/>
        <w:adjustRightInd w:val="0"/>
        <w:snapToGrid w:val="0"/>
        <w:spacing w:line="460" w:lineRule="exact"/>
        <w:ind w:left="718" w:leftChars="342" w:firstLine="0" w:firstLineChars="0"/>
        <w:rPr>
          <w:rFonts w:ascii="Times New Roman" w:hAnsi="Times New Roman" w:eastAsia="仿宋_GB2312"/>
          <w:sz w:val="24"/>
          <w:szCs w:val="24"/>
        </w:rPr>
      </w:pPr>
      <w:r>
        <w:rPr>
          <w:rFonts w:ascii="Times New Roman" w:hAnsi="Times New Roman" w:eastAsia="仿宋_GB2312"/>
          <w:sz w:val="24"/>
          <w:szCs w:val="24"/>
        </w:rPr>
        <w:t>（1）大写金额与小写金额不一致的，以大写金额为准；</w:t>
      </w:r>
    </w:p>
    <w:p w14:paraId="3B00E971">
      <w:pPr>
        <w:pStyle w:val="28"/>
        <w:keepNext w:val="0"/>
        <w:keepLines w:val="0"/>
        <w:pageBreakBefore w:val="0"/>
        <w:kinsoku/>
        <w:wordWrap/>
        <w:overflowPunct/>
        <w:topLinePunct w:val="0"/>
        <w:bidi w:val="0"/>
        <w:adjustRightInd w:val="0"/>
        <w:snapToGrid w:val="0"/>
        <w:spacing w:line="460" w:lineRule="exact"/>
        <w:ind w:left="718" w:leftChars="342" w:firstLine="0" w:firstLineChars="0"/>
        <w:rPr>
          <w:rFonts w:ascii="Times New Roman" w:hAnsi="Times New Roman" w:eastAsia="仿宋_GB2312"/>
          <w:sz w:val="24"/>
          <w:szCs w:val="24"/>
        </w:rPr>
      </w:pPr>
      <w:r>
        <w:rPr>
          <w:rFonts w:ascii="Times New Roman" w:hAnsi="Times New Roman" w:eastAsia="仿宋_GB2312"/>
          <w:sz w:val="24"/>
          <w:szCs w:val="24"/>
        </w:rPr>
        <w:t>（2）总价金额与按单价汇总金额不一致的，以单价金额计算结果为准；</w:t>
      </w:r>
    </w:p>
    <w:p w14:paraId="7065F6D3">
      <w:pPr>
        <w:pStyle w:val="28"/>
        <w:keepNext w:val="0"/>
        <w:keepLines w:val="0"/>
        <w:pageBreakBefore w:val="0"/>
        <w:kinsoku/>
        <w:wordWrap/>
        <w:overflowPunct/>
        <w:topLinePunct w:val="0"/>
        <w:bidi w:val="0"/>
        <w:adjustRightInd w:val="0"/>
        <w:snapToGrid w:val="0"/>
        <w:spacing w:line="460" w:lineRule="exact"/>
        <w:ind w:left="718" w:leftChars="342" w:firstLine="0" w:firstLineChars="0"/>
        <w:rPr>
          <w:rFonts w:ascii="Times New Roman" w:hAnsi="Times New Roman" w:eastAsia="仿宋_GB2312"/>
          <w:sz w:val="24"/>
          <w:szCs w:val="24"/>
        </w:rPr>
      </w:pPr>
      <w:r>
        <w:rPr>
          <w:rFonts w:ascii="Times New Roman" w:hAnsi="Times New Roman" w:eastAsia="仿宋_GB2312"/>
          <w:sz w:val="24"/>
          <w:szCs w:val="24"/>
        </w:rPr>
        <w:t>（3）单价金额小数点有明显错位的，应以总价为准，并修改单价；</w:t>
      </w:r>
    </w:p>
    <w:p w14:paraId="50BEEEA2">
      <w:pPr>
        <w:pStyle w:val="28"/>
        <w:keepNext w:val="0"/>
        <w:keepLines w:val="0"/>
        <w:pageBreakBefore w:val="0"/>
        <w:kinsoku/>
        <w:wordWrap/>
        <w:overflowPunct/>
        <w:topLinePunct w:val="0"/>
        <w:bidi w:val="0"/>
        <w:adjustRightInd w:val="0"/>
        <w:snapToGrid w:val="0"/>
        <w:spacing w:line="460" w:lineRule="exact"/>
        <w:ind w:left="718" w:leftChars="342" w:firstLine="0" w:firstLineChars="0"/>
        <w:rPr>
          <w:rFonts w:ascii="Times New Roman" w:hAnsi="Times New Roman" w:eastAsia="仿宋_GB2312"/>
          <w:sz w:val="24"/>
          <w:szCs w:val="24"/>
        </w:rPr>
      </w:pPr>
      <w:r>
        <w:rPr>
          <w:rFonts w:ascii="Times New Roman" w:hAnsi="Times New Roman" w:eastAsia="仿宋_GB2312"/>
          <w:sz w:val="24"/>
          <w:szCs w:val="24"/>
        </w:rPr>
        <w:t>（4）对不同文字文本响应文件的解释发生异议的，以中文文本为准；</w:t>
      </w:r>
    </w:p>
    <w:p w14:paraId="2BC9BC89">
      <w:pPr>
        <w:pStyle w:val="28"/>
        <w:keepNext w:val="0"/>
        <w:keepLines w:val="0"/>
        <w:pageBreakBefore w:val="0"/>
        <w:kinsoku/>
        <w:wordWrap/>
        <w:overflowPunct/>
        <w:topLinePunct w:val="0"/>
        <w:bidi w:val="0"/>
        <w:adjustRightInd w:val="0"/>
        <w:snapToGrid w:val="0"/>
        <w:spacing w:line="460" w:lineRule="exact"/>
        <w:ind w:left="718" w:leftChars="342" w:firstLine="0" w:firstLineChars="0"/>
        <w:rPr>
          <w:rFonts w:ascii="Times New Roman" w:hAnsi="Times New Roman" w:eastAsia="仿宋_GB2312"/>
          <w:sz w:val="24"/>
          <w:szCs w:val="24"/>
        </w:rPr>
      </w:pPr>
      <w:r>
        <w:rPr>
          <w:rFonts w:ascii="Times New Roman" w:hAnsi="Times New Roman" w:eastAsia="仿宋_GB2312"/>
          <w:sz w:val="24"/>
          <w:szCs w:val="24"/>
        </w:rPr>
        <w:t>（5）文字与图表不一致的，以文字为准；</w:t>
      </w:r>
    </w:p>
    <w:p w14:paraId="3E056F0E">
      <w:pPr>
        <w:pStyle w:val="28"/>
        <w:keepNext w:val="0"/>
        <w:keepLines w:val="0"/>
        <w:pageBreakBefore w:val="0"/>
        <w:kinsoku/>
        <w:wordWrap/>
        <w:overflowPunct/>
        <w:topLinePunct w:val="0"/>
        <w:bidi w:val="0"/>
        <w:adjustRightInd w:val="0"/>
        <w:snapToGrid w:val="0"/>
        <w:spacing w:line="460" w:lineRule="exact"/>
        <w:ind w:left="718" w:leftChars="342" w:firstLine="0" w:firstLineChars="0"/>
        <w:rPr>
          <w:rFonts w:ascii="Times New Roman" w:hAnsi="Times New Roman" w:eastAsia="仿宋_GB2312"/>
          <w:sz w:val="24"/>
          <w:szCs w:val="24"/>
        </w:rPr>
      </w:pPr>
      <w:r>
        <w:rPr>
          <w:rFonts w:ascii="Times New Roman" w:hAnsi="Times New Roman" w:eastAsia="仿宋_GB2312"/>
          <w:sz w:val="24"/>
          <w:szCs w:val="24"/>
        </w:rPr>
        <w:t>（6）正本与副本不一致的，以正本为准；</w:t>
      </w:r>
    </w:p>
    <w:p w14:paraId="23D5C533">
      <w:pPr>
        <w:pStyle w:val="28"/>
        <w:keepNext w:val="0"/>
        <w:keepLines w:val="0"/>
        <w:pageBreakBefore w:val="0"/>
        <w:kinsoku/>
        <w:wordWrap/>
        <w:overflowPunct/>
        <w:topLinePunct w:val="0"/>
        <w:bidi w:val="0"/>
        <w:adjustRightInd w:val="0"/>
        <w:snapToGrid w:val="0"/>
        <w:spacing w:line="460" w:lineRule="exact"/>
        <w:ind w:left="718" w:leftChars="342" w:firstLine="0" w:firstLineChars="0"/>
        <w:rPr>
          <w:rFonts w:ascii="Times New Roman" w:hAnsi="Times New Roman" w:eastAsia="仿宋_GB2312"/>
          <w:sz w:val="24"/>
          <w:szCs w:val="24"/>
        </w:rPr>
      </w:pPr>
      <w:r>
        <w:rPr>
          <w:rFonts w:ascii="Times New Roman" w:hAnsi="Times New Roman" w:eastAsia="仿宋_GB2312"/>
          <w:sz w:val="24"/>
          <w:szCs w:val="24"/>
        </w:rPr>
        <w:t>（7）响应文件的文字叙述与制造厂商的产品样本/检测报告不符时，以产品样本/检测报告为准。</w:t>
      </w:r>
    </w:p>
    <w:p w14:paraId="12BE57CB">
      <w:pPr>
        <w:pStyle w:val="28"/>
        <w:keepNext w:val="0"/>
        <w:keepLines w:val="0"/>
        <w:pageBreakBefore w:val="0"/>
        <w:kinsoku/>
        <w:wordWrap/>
        <w:overflowPunct/>
        <w:topLinePunct w:val="0"/>
        <w:bidi w:val="0"/>
        <w:adjustRightInd w:val="0"/>
        <w:snapToGrid w:val="0"/>
        <w:spacing w:line="460" w:lineRule="exact"/>
        <w:ind w:left="718" w:leftChars="342" w:firstLine="0" w:firstLineChars="0"/>
        <w:rPr>
          <w:rFonts w:ascii="Times New Roman" w:hAnsi="Times New Roman" w:eastAsia="仿宋_GB2312"/>
          <w:sz w:val="24"/>
          <w:szCs w:val="24"/>
        </w:rPr>
      </w:pPr>
    </w:p>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14:paraId="1719AD19">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jc w:val="center"/>
        <w:textAlignment w:val="baseline"/>
        <w:outlineLvl w:val="2"/>
        <w:rPr>
          <w:rFonts w:eastAsia="仿宋_GB2312"/>
          <w:b/>
          <w:kern w:val="0"/>
          <w:sz w:val="28"/>
          <w:szCs w:val="28"/>
        </w:rPr>
      </w:pPr>
      <w:bookmarkStart w:id="372" w:name="_Hlt491765714"/>
      <w:bookmarkEnd w:id="372"/>
      <w:bookmarkStart w:id="373" w:name="_Hlt497729446"/>
      <w:bookmarkEnd w:id="373"/>
      <w:bookmarkStart w:id="374" w:name="_Toc232395218"/>
      <w:bookmarkStart w:id="375" w:name="_Toc256342149"/>
      <w:bookmarkStart w:id="376" w:name="_Toc249525192"/>
      <w:bookmarkStart w:id="377" w:name="_Toc249515423"/>
      <w:bookmarkStart w:id="378" w:name="_Toc232176278"/>
      <w:bookmarkStart w:id="379" w:name="_Toc249515311"/>
      <w:bookmarkStart w:id="380" w:name="_Toc500746972"/>
      <w:bookmarkStart w:id="381" w:name="_Toc70687174"/>
      <w:bookmarkStart w:id="382" w:name="_Toc184043047"/>
      <w:bookmarkStart w:id="383" w:name="_Toc177189241"/>
      <w:bookmarkStart w:id="384" w:name="_Toc500747068"/>
      <w:bookmarkStart w:id="385" w:name="_Toc499711890"/>
      <w:bookmarkStart w:id="386" w:name="_Toc389620199"/>
      <w:bookmarkStart w:id="387" w:name="_Toc500747195"/>
      <w:bookmarkStart w:id="388" w:name="_Toc177995479"/>
      <w:bookmarkStart w:id="389" w:name="_Toc499711049"/>
      <w:bookmarkStart w:id="390" w:name="_Toc496324585"/>
      <w:bookmarkStart w:id="391" w:name="_Toc53722846"/>
      <w:bookmarkStart w:id="392" w:name="_Toc176882548"/>
      <w:bookmarkStart w:id="393" w:name="_Toc492955421"/>
      <w:bookmarkStart w:id="394" w:name="_Toc385992360"/>
      <w:bookmarkStart w:id="395" w:name="_Toc177817340"/>
      <w:bookmarkStart w:id="396" w:name="_Toc503063428"/>
      <w:r>
        <w:rPr>
          <w:rFonts w:eastAsia="仿宋_GB2312"/>
          <w:b/>
          <w:kern w:val="0"/>
          <w:sz w:val="28"/>
          <w:szCs w:val="28"/>
        </w:rPr>
        <w:t>六、确定成交单位、授予合同</w:t>
      </w:r>
      <w:bookmarkEnd w:id="374"/>
      <w:bookmarkEnd w:id="375"/>
      <w:bookmarkEnd w:id="376"/>
      <w:bookmarkEnd w:id="377"/>
      <w:bookmarkEnd w:id="378"/>
      <w:bookmarkEnd w:id="379"/>
    </w:p>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14:paraId="74B470C0">
      <w:pPr>
        <w:pStyle w:val="6"/>
        <w:keepNext w:val="0"/>
        <w:keepLines w:val="0"/>
        <w:pageBreakBefore w:val="0"/>
        <w:widowControl w:val="0"/>
        <w:tabs>
          <w:tab w:val="left" w:pos="588"/>
        </w:tabs>
        <w:kinsoku/>
        <w:wordWrap/>
        <w:overflowPunct/>
        <w:topLinePunct w:val="0"/>
        <w:autoSpaceDE/>
        <w:autoSpaceDN/>
        <w:bidi w:val="0"/>
        <w:adjustRightInd w:val="0"/>
        <w:snapToGrid w:val="0"/>
        <w:spacing w:beforeAutospacing="0" w:afterAutospacing="0" w:line="460" w:lineRule="exact"/>
        <w:ind w:left="0" w:leftChars="0"/>
        <w:textAlignment w:val="baseline"/>
        <w:outlineLvl w:val="3"/>
        <w:rPr>
          <w:rFonts w:ascii="Times New Roman" w:hAnsi="Times New Roman" w:eastAsia="仿宋_GB2312"/>
          <w:b/>
          <w:sz w:val="24"/>
          <w:szCs w:val="21"/>
        </w:rPr>
      </w:pPr>
      <w:bookmarkStart w:id="397" w:name="_Toc385992361"/>
      <w:bookmarkStart w:id="398" w:name="_Toc27151"/>
      <w:bookmarkStart w:id="399" w:name="_Toc249515424"/>
      <w:bookmarkStart w:id="400" w:name="_Toc184043048"/>
      <w:bookmarkStart w:id="401" w:name="_Toc70687175"/>
      <w:bookmarkStart w:id="402" w:name="_Toc249525193"/>
      <w:bookmarkStart w:id="403" w:name="_Toc249515312"/>
      <w:bookmarkStart w:id="404" w:name="_Toc389620200"/>
      <w:r>
        <w:rPr>
          <w:rFonts w:ascii="Times New Roman" w:hAnsi="Times New Roman" w:eastAsia="仿宋_GB2312"/>
          <w:b/>
          <w:sz w:val="24"/>
          <w:szCs w:val="21"/>
        </w:rPr>
        <w:t>25.    确定成交</w:t>
      </w:r>
      <w:bookmarkEnd w:id="397"/>
      <w:bookmarkEnd w:id="398"/>
      <w:bookmarkEnd w:id="399"/>
      <w:bookmarkEnd w:id="400"/>
      <w:bookmarkEnd w:id="401"/>
      <w:bookmarkEnd w:id="402"/>
      <w:bookmarkEnd w:id="403"/>
      <w:bookmarkEnd w:id="404"/>
      <w:r>
        <w:rPr>
          <w:rFonts w:ascii="Times New Roman" w:hAnsi="Times New Roman" w:eastAsia="仿宋_GB2312"/>
          <w:b/>
          <w:sz w:val="24"/>
          <w:szCs w:val="21"/>
        </w:rPr>
        <w:t>单位</w:t>
      </w:r>
    </w:p>
    <w:p w14:paraId="2C5714E8">
      <w:pPr>
        <w:keepNext w:val="0"/>
        <w:keepLines w:val="0"/>
        <w:pageBreakBefore w:val="0"/>
        <w:tabs>
          <w:tab w:val="left" w:pos="360"/>
          <w:tab w:val="left" w:pos="588"/>
        </w:tabs>
        <w:kinsoku/>
        <w:wordWrap/>
        <w:overflowPunct/>
        <w:topLinePunct w:val="0"/>
        <w:bidi w:val="0"/>
        <w:adjustRightInd w:val="0"/>
        <w:snapToGrid w:val="0"/>
        <w:spacing w:line="460" w:lineRule="exact"/>
        <w:ind w:left="0" w:leftChars="0"/>
        <w:rPr>
          <w:rFonts w:eastAsia="仿宋_GB2312"/>
          <w:sz w:val="24"/>
        </w:rPr>
      </w:pPr>
      <w:r>
        <w:rPr>
          <w:rFonts w:eastAsia="仿宋_GB2312"/>
          <w:sz w:val="24"/>
        </w:rPr>
        <w:t>25.1   采购代理机构应在评审结束后两个工作日内，将评审报告送采购人。</w:t>
      </w:r>
    </w:p>
    <w:p w14:paraId="6B31E84A">
      <w:pPr>
        <w:keepNext w:val="0"/>
        <w:keepLines w:val="0"/>
        <w:pageBreakBefore w:val="0"/>
        <w:tabs>
          <w:tab w:val="left" w:pos="360"/>
          <w:tab w:val="left" w:pos="588"/>
        </w:tabs>
        <w:kinsoku/>
        <w:wordWrap/>
        <w:overflowPunct/>
        <w:topLinePunct w:val="0"/>
        <w:bidi w:val="0"/>
        <w:adjustRightInd w:val="0"/>
        <w:snapToGrid w:val="0"/>
        <w:spacing w:line="460" w:lineRule="exact"/>
        <w:ind w:left="840" w:leftChars="0" w:hanging="840" w:hangingChars="350"/>
        <w:rPr>
          <w:rFonts w:eastAsia="仿宋_GB2312"/>
          <w:sz w:val="24"/>
        </w:rPr>
      </w:pPr>
      <w:r>
        <w:rPr>
          <w:rFonts w:eastAsia="仿宋_GB2312"/>
          <w:sz w:val="24"/>
        </w:rPr>
        <w:t>25.2   采购人在收到评审报告后五个工作日内，根据评审报告对评审过程及结果进行严格审核后确定成交供应商，复函采购代理机构。</w:t>
      </w:r>
    </w:p>
    <w:p w14:paraId="491EF53C">
      <w:pPr>
        <w:keepNext w:val="0"/>
        <w:keepLines w:val="0"/>
        <w:pageBreakBefore w:val="0"/>
        <w:tabs>
          <w:tab w:val="left" w:pos="360"/>
          <w:tab w:val="left" w:pos="588"/>
        </w:tabs>
        <w:kinsoku/>
        <w:wordWrap/>
        <w:overflowPunct/>
        <w:topLinePunct w:val="0"/>
        <w:bidi w:val="0"/>
        <w:adjustRightInd w:val="0"/>
        <w:snapToGrid w:val="0"/>
        <w:spacing w:line="460" w:lineRule="exact"/>
        <w:ind w:left="840" w:leftChars="0" w:hanging="840" w:hangingChars="350"/>
        <w:rPr>
          <w:rFonts w:eastAsia="仿宋_GB2312"/>
          <w:sz w:val="24"/>
        </w:rPr>
      </w:pPr>
      <w:r>
        <w:rPr>
          <w:rFonts w:eastAsia="仿宋_GB2312"/>
          <w:sz w:val="24"/>
        </w:rPr>
        <w:t>25.3   采购代理机构在接到采购人的成交复函后，</w:t>
      </w:r>
      <w:r>
        <w:rPr>
          <w:rFonts w:hint="eastAsia" w:eastAsia="仿宋_GB2312"/>
          <w:sz w:val="24"/>
        </w:rPr>
        <w:t>两个工作日内</w:t>
      </w:r>
      <w:r>
        <w:rPr>
          <w:rFonts w:eastAsia="仿宋_GB2312"/>
          <w:sz w:val="24"/>
        </w:rPr>
        <w:t>在财政部门指定的政府采购信息发布媒体上公告，公告期限为一个工作日，并向成交供应商发出“成交通知书”。《成交通知书》是合同文件的组成部分。</w:t>
      </w:r>
    </w:p>
    <w:p w14:paraId="57D6E6B8">
      <w:pPr>
        <w:keepNext w:val="0"/>
        <w:keepLines w:val="0"/>
        <w:pageBreakBefore w:val="0"/>
        <w:tabs>
          <w:tab w:val="left" w:pos="360"/>
          <w:tab w:val="left" w:pos="588"/>
        </w:tabs>
        <w:kinsoku/>
        <w:wordWrap/>
        <w:overflowPunct/>
        <w:topLinePunct w:val="0"/>
        <w:bidi w:val="0"/>
        <w:adjustRightInd w:val="0"/>
        <w:snapToGrid w:val="0"/>
        <w:spacing w:line="460" w:lineRule="exact"/>
        <w:ind w:left="0" w:leftChars="0"/>
        <w:rPr>
          <w:rFonts w:eastAsia="仿宋_GB2312"/>
          <w:sz w:val="24"/>
        </w:rPr>
      </w:pPr>
      <w:r>
        <w:rPr>
          <w:rFonts w:eastAsia="仿宋_GB2312"/>
          <w:sz w:val="24"/>
        </w:rPr>
        <w:t>25.4   采购代理机构将评审过程及成交供应商情况书面报监督机构备案。</w:t>
      </w:r>
      <w:bookmarkStart w:id="405" w:name="_Toc385992364"/>
      <w:bookmarkStart w:id="406" w:name="_Toc389620203"/>
    </w:p>
    <w:bookmarkEnd w:id="405"/>
    <w:bookmarkEnd w:id="406"/>
    <w:p w14:paraId="07DFEB98">
      <w:pPr>
        <w:pStyle w:val="6"/>
        <w:keepNext w:val="0"/>
        <w:keepLines w:val="0"/>
        <w:pageBreakBefore w:val="0"/>
        <w:widowControl w:val="0"/>
        <w:tabs>
          <w:tab w:val="left" w:pos="588"/>
        </w:tabs>
        <w:kinsoku/>
        <w:wordWrap/>
        <w:overflowPunct/>
        <w:topLinePunct w:val="0"/>
        <w:autoSpaceDE/>
        <w:autoSpaceDN/>
        <w:bidi w:val="0"/>
        <w:adjustRightInd w:val="0"/>
        <w:snapToGrid w:val="0"/>
        <w:spacing w:beforeAutospacing="0" w:afterAutospacing="0" w:line="460" w:lineRule="exact"/>
        <w:ind w:left="0" w:leftChars="0"/>
        <w:textAlignment w:val="baseline"/>
        <w:outlineLvl w:val="3"/>
        <w:rPr>
          <w:rFonts w:ascii="Times New Roman" w:hAnsi="Times New Roman" w:eastAsia="仿宋_GB2312"/>
          <w:b/>
          <w:sz w:val="24"/>
          <w:szCs w:val="21"/>
        </w:rPr>
      </w:pPr>
      <w:bookmarkStart w:id="407" w:name="_Toc385992365"/>
      <w:bookmarkStart w:id="408" w:name="_Toc389620204"/>
      <w:r>
        <w:rPr>
          <w:rFonts w:ascii="Times New Roman" w:hAnsi="Times New Roman" w:eastAsia="仿宋_GB2312"/>
          <w:b/>
          <w:sz w:val="24"/>
          <w:szCs w:val="21"/>
        </w:rPr>
        <w:t>26.    合同</w:t>
      </w:r>
    </w:p>
    <w:p w14:paraId="49C1070A">
      <w:pPr>
        <w:keepNext w:val="0"/>
        <w:keepLines w:val="0"/>
        <w:pageBreakBefore w:val="0"/>
        <w:tabs>
          <w:tab w:val="left" w:pos="360"/>
          <w:tab w:val="left" w:pos="588"/>
        </w:tabs>
        <w:kinsoku/>
        <w:wordWrap/>
        <w:overflowPunct/>
        <w:topLinePunct w:val="0"/>
        <w:bidi w:val="0"/>
        <w:adjustRightInd w:val="0"/>
        <w:snapToGrid w:val="0"/>
        <w:spacing w:line="460" w:lineRule="exact"/>
        <w:ind w:left="840" w:leftChars="0" w:hanging="840" w:hangingChars="350"/>
        <w:rPr>
          <w:rFonts w:eastAsia="仿宋_GB2312"/>
          <w:sz w:val="24"/>
        </w:rPr>
      </w:pPr>
      <w:r>
        <w:rPr>
          <w:rFonts w:eastAsia="仿宋_GB2312"/>
          <w:sz w:val="24"/>
        </w:rPr>
        <w:t>26.1   自成交通知书发出后</w:t>
      </w:r>
      <w:r>
        <w:rPr>
          <w:rFonts w:hint="eastAsia" w:eastAsia="仿宋_GB2312"/>
          <w:sz w:val="24"/>
          <w:lang w:val="en-US" w:eastAsia="zh-CN"/>
        </w:rPr>
        <w:t>25</w:t>
      </w:r>
      <w:r>
        <w:rPr>
          <w:rFonts w:eastAsia="仿宋_GB2312"/>
          <w:sz w:val="24"/>
        </w:rPr>
        <w:t>日内，按照谈判文件和成交供应商响应文件的约定，采购人与成交供应商洽谈合同条款，并签订合同。谈判文件及成交供应商的响应文件均作为合同的组成部分。</w:t>
      </w:r>
    </w:p>
    <w:p w14:paraId="516FAC7F">
      <w:pPr>
        <w:keepNext w:val="0"/>
        <w:keepLines w:val="0"/>
        <w:pageBreakBefore w:val="0"/>
        <w:tabs>
          <w:tab w:val="left" w:pos="360"/>
          <w:tab w:val="left" w:pos="588"/>
        </w:tabs>
        <w:kinsoku/>
        <w:wordWrap/>
        <w:overflowPunct/>
        <w:topLinePunct w:val="0"/>
        <w:bidi w:val="0"/>
        <w:adjustRightInd w:val="0"/>
        <w:snapToGrid w:val="0"/>
        <w:spacing w:line="460" w:lineRule="exact"/>
        <w:ind w:left="840" w:leftChars="0" w:hanging="840" w:hangingChars="350"/>
        <w:rPr>
          <w:rFonts w:eastAsia="仿宋_GB2312"/>
          <w:sz w:val="24"/>
        </w:rPr>
      </w:pPr>
      <w:r>
        <w:rPr>
          <w:rFonts w:eastAsia="仿宋_GB2312"/>
          <w:sz w:val="24"/>
        </w:rPr>
        <w:t>26.2   确定成交单位后，成交供应商因自身原因未按程序签订合同，采购人将取消其成交资格，同时报请监督机构备案，没收其保证金。在此情况下，采购人可按评审结果顺序将合同授予下一成交候选人或重新采购。</w:t>
      </w:r>
    </w:p>
    <w:p w14:paraId="7A5303BF">
      <w:pPr>
        <w:keepNext w:val="0"/>
        <w:keepLines w:val="0"/>
        <w:pageBreakBefore w:val="0"/>
        <w:tabs>
          <w:tab w:val="left" w:pos="360"/>
          <w:tab w:val="left" w:pos="588"/>
        </w:tabs>
        <w:kinsoku/>
        <w:wordWrap/>
        <w:overflowPunct/>
        <w:topLinePunct w:val="0"/>
        <w:bidi w:val="0"/>
        <w:adjustRightInd w:val="0"/>
        <w:snapToGrid w:val="0"/>
        <w:spacing w:line="460" w:lineRule="exact"/>
        <w:ind w:left="840" w:leftChars="0" w:hanging="840" w:hangingChars="350"/>
      </w:pPr>
      <w:r>
        <w:rPr>
          <w:rFonts w:eastAsia="仿宋_GB2312"/>
          <w:sz w:val="24"/>
        </w:rPr>
        <w:t>26.3   成交供应商签订合同后，持合同原件到采购代理机构，或采购代理机构根据陕西省政府采购网合同备案结果办理保证金退还手续。</w:t>
      </w:r>
    </w:p>
    <w:p w14:paraId="6F31256A">
      <w:pPr>
        <w:pStyle w:val="6"/>
        <w:keepNext w:val="0"/>
        <w:keepLines w:val="0"/>
        <w:pageBreakBefore w:val="0"/>
        <w:widowControl w:val="0"/>
        <w:tabs>
          <w:tab w:val="left" w:pos="588"/>
        </w:tabs>
        <w:kinsoku/>
        <w:wordWrap/>
        <w:overflowPunct/>
        <w:topLinePunct w:val="0"/>
        <w:autoSpaceDE/>
        <w:autoSpaceDN/>
        <w:bidi w:val="0"/>
        <w:adjustRightInd w:val="0"/>
        <w:snapToGrid w:val="0"/>
        <w:spacing w:beforeAutospacing="0" w:afterAutospacing="0" w:line="460" w:lineRule="exact"/>
        <w:ind w:left="0" w:leftChars="0"/>
        <w:textAlignment w:val="baseline"/>
        <w:outlineLvl w:val="3"/>
        <w:rPr>
          <w:rFonts w:ascii="Times New Roman" w:hAnsi="Times New Roman" w:eastAsia="仿宋_GB2312"/>
          <w:b/>
          <w:sz w:val="24"/>
          <w:szCs w:val="21"/>
        </w:rPr>
      </w:pPr>
      <w:r>
        <w:rPr>
          <w:rFonts w:ascii="Times New Roman" w:hAnsi="Times New Roman" w:eastAsia="仿宋_GB2312"/>
          <w:b/>
          <w:sz w:val="24"/>
          <w:szCs w:val="21"/>
        </w:rPr>
        <w:t>27.    询问与质疑</w:t>
      </w:r>
    </w:p>
    <w:p w14:paraId="04C3EF22">
      <w:pPr>
        <w:keepNext w:val="0"/>
        <w:keepLines w:val="0"/>
        <w:pageBreakBefore w:val="0"/>
        <w:tabs>
          <w:tab w:val="left" w:pos="360"/>
          <w:tab w:val="left" w:pos="588"/>
        </w:tabs>
        <w:kinsoku/>
        <w:wordWrap/>
        <w:overflowPunct/>
        <w:topLinePunct w:val="0"/>
        <w:bidi w:val="0"/>
        <w:adjustRightInd w:val="0"/>
        <w:snapToGrid w:val="0"/>
        <w:spacing w:line="460" w:lineRule="exact"/>
        <w:ind w:left="0" w:leftChars="0"/>
        <w:rPr>
          <w:rFonts w:eastAsia="仿宋_GB2312"/>
          <w:sz w:val="24"/>
        </w:rPr>
      </w:pPr>
      <w:r>
        <w:rPr>
          <w:rFonts w:eastAsia="仿宋_GB2312"/>
          <w:sz w:val="24"/>
        </w:rPr>
        <w:t>27.1   供应商对政府采购活动事项有疑问的，可以向采购人提出询问。</w:t>
      </w:r>
    </w:p>
    <w:p w14:paraId="039BC88E">
      <w:pPr>
        <w:keepNext w:val="0"/>
        <w:keepLines w:val="0"/>
        <w:pageBreakBefore w:val="0"/>
        <w:tabs>
          <w:tab w:val="left" w:pos="360"/>
          <w:tab w:val="left" w:pos="588"/>
        </w:tabs>
        <w:kinsoku/>
        <w:wordWrap/>
        <w:overflowPunct/>
        <w:topLinePunct w:val="0"/>
        <w:bidi w:val="0"/>
        <w:adjustRightInd w:val="0"/>
        <w:snapToGrid w:val="0"/>
        <w:spacing w:line="460" w:lineRule="exact"/>
        <w:ind w:left="840" w:leftChars="0" w:hanging="840" w:hangingChars="350"/>
        <w:rPr>
          <w:rFonts w:eastAsia="仿宋_GB2312"/>
          <w:sz w:val="24"/>
        </w:rPr>
      </w:pPr>
      <w:r>
        <w:rPr>
          <w:rFonts w:eastAsia="仿宋_GB2312"/>
          <w:sz w:val="24"/>
        </w:rPr>
        <w:t>27.2   供应商认为采购文件、采购过程和中标、成交结果使自己的权益受到损害的，可以在知道或者应知其权益受到损害之日起七个工作日内，以书面形式向采购人提出质疑。</w:t>
      </w:r>
    </w:p>
    <w:p w14:paraId="2FDC22A1">
      <w:pPr>
        <w:keepNext w:val="0"/>
        <w:keepLines w:val="0"/>
        <w:pageBreakBefore w:val="0"/>
        <w:tabs>
          <w:tab w:val="left" w:pos="360"/>
          <w:tab w:val="left" w:pos="588"/>
        </w:tabs>
        <w:kinsoku/>
        <w:wordWrap/>
        <w:overflowPunct/>
        <w:topLinePunct w:val="0"/>
        <w:bidi w:val="0"/>
        <w:adjustRightInd w:val="0"/>
        <w:snapToGrid w:val="0"/>
        <w:spacing w:line="460" w:lineRule="exact"/>
        <w:ind w:left="0" w:leftChars="0"/>
        <w:rPr>
          <w:rFonts w:eastAsia="仿宋_GB2312"/>
          <w:sz w:val="24"/>
        </w:rPr>
      </w:pPr>
      <w:r>
        <w:rPr>
          <w:rFonts w:eastAsia="仿宋_GB2312"/>
          <w:sz w:val="24"/>
        </w:rPr>
        <w:t>27.3   质疑供应商在法定质疑期内须一次性提出针对同一采购程序环节的质疑。</w:t>
      </w:r>
    </w:p>
    <w:p w14:paraId="629C6DD8">
      <w:pPr>
        <w:keepNext w:val="0"/>
        <w:keepLines w:val="0"/>
        <w:pageBreakBefore w:val="0"/>
        <w:tabs>
          <w:tab w:val="left" w:pos="360"/>
          <w:tab w:val="left" w:pos="588"/>
        </w:tabs>
        <w:kinsoku/>
        <w:wordWrap/>
        <w:overflowPunct/>
        <w:topLinePunct w:val="0"/>
        <w:bidi w:val="0"/>
        <w:adjustRightInd w:val="0"/>
        <w:snapToGrid w:val="0"/>
        <w:spacing w:line="460" w:lineRule="exact"/>
        <w:ind w:left="0" w:leftChars="0"/>
        <w:rPr>
          <w:rFonts w:eastAsia="仿宋_GB2312"/>
          <w:sz w:val="24"/>
        </w:rPr>
      </w:pPr>
      <w:r>
        <w:rPr>
          <w:rFonts w:eastAsia="仿宋_GB2312"/>
          <w:sz w:val="24"/>
        </w:rPr>
        <w:t>27.4   供应商提出质疑应当提交质疑函和必要的证明材料。质疑函应当包括下列内容：</w:t>
      </w:r>
    </w:p>
    <w:p w14:paraId="6AA5DF29">
      <w:pPr>
        <w:pStyle w:val="72"/>
        <w:keepNext w:val="0"/>
        <w:keepLines w:val="0"/>
        <w:pageBreakBefore w:val="0"/>
        <w:widowControl w:val="0"/>
        <w:numPr>
          <w:ilvl w:val="0"/>
          <w:numId w:val="6"/>
        </w:numPr>
        <w:tabs>
          <w:tab w:val="left" w:pos="588"/>
        </w:tabs>
        <w:kinsoku/>
        <w:wordWrap/>
        <w:overflowPunct/>
        <w:topLinePunct w:val="0"/>
        <w:autoSpaceDE/>
        <w:autoSpaceDN/>
        <w:bidi w:val="0"/>
        <w:adjustRightInd w:val="0"/>
        <w:snapToGrid w:val="0"/>
        <w:spacing w:line="460" w:lineRule="exact"/>
        <w:ind w:left="0" w:leftChars="0" w:firstLine="840" w:firstLineChars="350"/>
        <w:jc w:val="left"/>
        <w:textAlignment w:val="auto"/>
        <w:rPr>
          <w:rFonts w:ascii="Times New Roman" w:hAnsi="Times New Roman" w:eastAsia="仿宋_GB2312"/>
          <w:sz w:val="24"/>
        </w:rPr>
      </w:pPr>
      <w:r>
        <w:rPr>
          <w:rFonts w:ascii="Times New Roman" w:hAnsi="Times New Roman" w:eastAsia="仿宋_GB2312"/>
          <w:sz w:val="24"/>
        </w:rPr>
        <w:t>供应商的姓名或者名称、地址、邮编、联系人及联系电话；</w:t>
      </w:r>
    </w:p>
    <w:p w14:paraId="4E19ACAB">
      <w:pPr>
        <w:pStyle w:val="72"/>
        <w:keepNext w:val="0"/>
        <w:keepLines w:val="0"/>
        <w:pageBreakBefore w:val="0"/>
        <w:widowControl w:val="0"/>
        <w:numPr>
          <w:ilvl w:val="0"/>
          <w:numId w:val="6"/>
        </w:numPr>
        <w:tabs>
          <w:tab w:val="left" w:pos="588"/>
        </w:tabs>
        <w:kinsoku/>
        <w:wordWrap/>
        <w:overflowPunct/>
        <w:topLinePunct w:val="0"/>
        <w:autoSpaceDE/>
        <w:autoSpaceDN/>
        <w:bidi w:val="0"/>
        <w:adjustRightInd w:val="0"/>
        <w:snapToGrid w:val="0"/>
        <w:spacing w:line="460" w:lineRule="exact"/>
        <w:ind w:left="0" w:leftChars="0" w:firstLine="840" w:firstLineChars="350"/>
        <w:textAlignment w:val="auto"/>
        <w:rPr>
          <w:rFonts w:ascii="Times New Roman" w:hAnsi="Times New Roman" w:eastAsia="仿宋_GB2312"/>
          <w:sz w:val="24"/>
          <w:szCs w:val="24"/>
        </w:rPr>
      </w:pPr>
      <w:r>
        <w:rPr>
          <w:rFonts w:ascii="Times New Roman" w:hAnsi="Times New Roman" w:eastAsia="仿宋_GB2312"/>
          <w:sz w:val="24"/>
          <w:szCs w:val="24"/>
        </w:rPr>
        <w:t>质疑项目的名称、编号；</w:t>
      </w:r>
    </w:p>
    <w:p w14:paraId="07A07FB5">
      <w:pPr>
        <w:pStyle w:val="72"/>
        <w:keepNext w:val="0"/>
        <w:keepLines w:val="0"/>
        <w:pageBreakBefore w:val="0"/>
        <w:widowControl w:val="0"/>
        <w:numPr>
          <w:ilvl w:val="0"/>
          <w:numId w:val="6"/>
        </w:numPr>
        <w:tabs>
          <w:tab w:val="left" w:pos="588"/>
        </w:tabs>
        <w:kinsoku/>
        <w:wordWrap/>
        <w:overflowPunct/>
        <w:topLinePunct w:val="0"/>
        <w:autoSpaceDE/>
        <w:autoSpaceDN/>
        <w:bidi w:val="0"/>
        <w:adjustRightInd w:val="0"/>
        <w:snapToGrid w:val="0"/>
        <w:spacing w:line="460" w:lineRule="exact"/>
        <w:ind w:left="0" w:leftChars="0" w:firstLine="840" w:firstLineChars="350"/>
        <w:textAlignment w:val="auto"/>
        <w:rPr>
          <w:rFonts w:ascii="Times New Roman" w:hAnsi="Times New Roman" w:eastAsia="仿宋_GB2312"/>
          <w:sz w:val="24"/>
        </w:rPr>
      </w:pPr>
      <w:r>
        <w:rPr>
          <w:rFonts w:ascii="Times New Roman" w:hAnsi="Times New Roman" w:eastAsia="仿宋_GB2312"/>
          <w:sz w:val="24"/>
        </w:rPr>
        <w:t>具体、明确的质疑事项和与质疑事项相关的请求；</w:t>
      </w:r>
    </w:p>
    <w:p w14:paraId="3AF167A2">
      <w:pPr>
        <w:pStyle w:val="72"/>
        <w:keepNext w:val="0"/>
        <w:keepLines w:val="0"/>
        <w:pageBreakBefore w:val="0"/>
        <w:widowControl w:val="0"/>
        <w:numPr>
          <w:ilvl w:val="0"/>
          <w:numId w:val="6"/>
        </w:numPr>
        <w:tabs>
          <w:tab w:val="left" w:pos="588"/>
        </w:tabs>
        <w:kinsoku/>
        <w:wordWrap/>
        <w:overflowPunct/>
        <w:topLinePunct w:val="0"/>
        <w:autoSpaceDE/>
        <w:autoSpaceDN/>
        <w:bidi w:val="0"/>
        <w:adjustRightInd w:val="0"/>
        <w:snapToGrid w:val="0"/>
        <w:spacing w:line="460" w:lineRule="exact"/>
        <w:ind w:left="0" w:leftChars="0" w:firstLine="840" w:firstLineChars="350"/>
        <w:textAlignment w:val="auto"/>
        <w:rPr>
          <w:rFonts w:ascii="Times New Roman" w:hAnsi="Times New Roman" w:eastAsia="仿宋_GB2312"/>
          <w:sz w:val="24"/>
        </w:rPr>
      </w:pPr>
      <w:r>
        <w:rPr>
          <w:rFonts w:ascii="Times New Roman" w:hAnsi="Times New Roman" w:eastAsia="仿宋_GB2312"/>
          <w:sz w:val="24"/>
        </w:rPr>
        <w:t>事实依据；</w:t>
      </w:r>
    </w:p>
    <w:p w14:paraId="461C2C01">
      <w:pPr>
        <w:pStyle w:val="72"/>
        <w:keepNext w:val="0"/>
        <w:keepLines w:val="0"/>
        <w:pageBreakBefore w:val="0"/>
        <w:widowControl w:val="0"/>
        <w:numPr>
          <w:ilvl w:val="0"/>
          <w:numId w:val="6"/>
        </w:numPr>
        <w:tabs>
          <w:tab w:val="left" w:pos="588"/>
        </w:tabs>
        <w:kinsoku/>
        <w:wordWrap/>
        <w:overflowPunct/>
        <w:topLinePunct w:val="0"/>
        <w:autoSpaceDE/>
        <w:autoSpaceDN/>
        <w:bidi w:val="0"/>
        <w:adjustRightInd w:val="0"/>
        <w:snapToGrid w:val="0"/>
        <w:spacing w:line="460" w:lineRule="exact"/>
        <w:ind w:left="0" w:leftChars="0" w:firstLine="840" w:firstLineChars="350"/>
        <w:textAlignment w:val="auto"/>
        <w:rPr>
          <w:rFonts w:ascii="Times New Roman" w:hAnsi="Times New Roman" w:eastAsia="仿宋_GB2312"/>
          <w:sz w:val="24"/>
        </w:rPr>
      </w:pPr>
      <w:r>
        <w:rPr>
          <w:rFonts w:ascii="Times New Roman" w:hAnsi="Times New Roman" w:eastAsia="仿宋_GB2312"/>
          <w:sz w:val="24"/>
        </w:rPr>
        <w:t>必要的法律依据；</w:t>
      </w:r>
    </w:p>
    <w:p w14:paraId="1ABCCF34">
      <w:pPr>
        <w:pStyle w:val="72"/>
        <w:keepNext w:val="0"/>
        <w:keepLines w:val="0"/>
        <w:pageBreakBefore w:val="0"/>
        <w:widowControl w:val="0"/>
        <w:numPr>
          <w:ilvl w:val="0"/>
          <w:numId w:val="6"/>
        </w:numPr>
        <w:tabs>
          <w:tab w:val="left" w:pos="588"/>
        </w:tabs>
        <w:kinsoku/>
        <w:wordWrap/>
        <w:overflowPunct/>
        <w:topLinePunct w:val="0"/>
        <w:autoSpaceDE/>
        <w:autoSpaceDN/>
        <w:bidi w:val="0"/>
        <w:adjustRightInd w:val="0"/>
        <w:snapToGrid w:val="0"/>
        <w:spacing w:line="460" w:lineRule="exact"/>
        <w:ind w:left="0" w:leftChars="0" w:firstLine="840" w:firstLineChars="350"/>
        <w:textAlignment w:val="auto"/>
        <w:rPr>
          <w:rFonts w:ascii="Times New Roman" w:hAnsi="Times New Roman" w:eastAsia="仿宋_GB2312"/>
          <w:sz w:val="24"/>
        </w:rPr>
      </w:pPr>
      <w:r>
        <w:rPr>
          <w:rFonts w:ascii="Times New Roman" w:hAnsi="Times New Roman" w:eastAsia="仿宋_GB2312"/>
          <w:sz w:val="24"/>
        </w:rPr>
        <w:t>提出质疑的日期。</w:t>
      </w:r>
    </w:p>
    <w:p w14:paraId="43DEE8DB">
      <w:pPr>
        <w:pStyle w:val="28"/>
        <w:keepNext w:val="0"/>
        <w:keepLines w:val="0"/>
        <w:pageBreakBefore w:val="0"/>
        <w:kinsoku/>
        <w:wordWrap/>
        <w:overflowPunct/>
        <w:topLinePunct w:val="0"/>
        <w:bidi w:val="0"/>
        <w:adjustRightInd w:val="0"/>
        <w:snapToGrid w:val="0"/>
        <w:spacing w:line="460" w:lineRule="exact"/>
        <w:ind w:left="718" w:leftChars="342" w:firstLine="0" w:firstLineChars="0"/>
        <w:rPr>
          <w:rFonts w:ascii="Times New Roman" w:hAnsi="Times New Roman" w:eastAsia="仿宋_GB2312"/>
          <w:sz w:val="24"/>
          <w:szCs w:val="24"/>
        </w:rPr>
      </w:pPr>
      <w:r>
        <w:rPr>
          <w:rFonts w:ascii="Times New Roman" w:hAnsi="Times New Roman" w:eastAsia="仿宋_GB2312"/>
          <w:sz w:val="24"/>
          <w:szCs w:val="24"/>
        </w:rPr>
        <w:t>供应商为自然人的，应当由本人签字；供应商为法人或者其他组织的，应当由法定代表人或负责人签字或盖章，同时其授权代表签字，并加盖公章。</w:t>
      </w:r>
    </w:p>
    <w:p w14:paraId="327FE816">
      <w:pPr>
        <w:keepNext w:val="0"/>
        <w:keepLines w:val="0"/>
        <w:pageBreakBefore w:val="0"/>
        <w:tabs>
          <w:tab w:val="left" w:pos="588"/>
        </w:tabs>
        <w:kinsoku/>
        <w:wordWrap/>
        <w:overflowPunct/>
        <w:topLinePunct w:val="0"/>
        <w:bidi w:val="0"/>
        <w:adjustRightInd w:val="0"/>
        <w:snapToGrid w:val="0"/>
        <w:spacing w:line="460" w:lineRule="exact"/>
        <w:ind w:left="840" w:leftChars="0" w:hanging="840" w:hangingChars="350"/>
        <w:rPr>
          <w:rFonts w:hint="eastAsia" w:eastAsia="仿宋_GB2312"/>
          <w:sz w:val="24"/>
          <w:lang w:eastAsia="zh-CN"/>
        </w:rPr>
      </w:pPr>
      <w:r>
        <w:rPr>
          <w:rFonts w:eastAsia="仿宋_GB2312"/>
          <w:sz w:val="24"/>
        </w:rPr>
        <w:t>27.5   符合要求的质疑，采购代理机构将予以受理并答复。联系人：</w:t>
      </w:r>
      <w:r>
        <w:rPr>
          <w:rFonts w:hint="eastAsia" w:eastAsia="仿宋_GB2312"/>
          <w:sz w:val="24"/>
          <w:lang w:val="en-US" w:eastAsia="zh-CN"/>
        </w:rPr>
        <w:t>王工，</w:t>
      </w:r>
      <w:r>
        <w:rPr>
          <w:rFonts w:eastAsia="仿宋_GB2312"/>
          <w:sz w:val="24"/>
        </w:rPr>
        <w:t>联系电话：</w:t>
      </w:r>
      <w:r>
        <w:rPr>
          <w:rFonts w:hint="eastAsia" w:eastAsia="仿宋_GB2312"/>
          <w:sz w:val="24"/>
          <w:lang w:val="en-US" w:eastAsia="zh-CN"/>
        </w:rPr>
        <w:t>19279181029</w:t>
      </w:r>
      <w:r>
        <w:rPr>
          <w:rFonts w:hint="eastAsia" w:eastAsia="仿宋_GB2312"/>
          <w:sz w:val="24"/>
          <w:lang w:eastAsia="zh-CN"/>
        </w:rPr>
        <w:t>。</w:t>
      </w:r>
    </w:p>
    <w:p w14:paraId="7D35FA27">
      <w:pPr>
        <w:keepNext w:val="0"/>
        <w:keepLines w:val="0"/>
        <w:pageBreakBefore w:val="0"/>
        <w:tabs>
          <w:tab w:val="left" w:pos="588"/>
        </w:tabs>
        <w:kinsoku/>
        <w:wordWrap/>
        <w:overflowPunct/>
        <w:topLinePunct w:val="0"/>
        <w:bidi w:val="0"/>
        <w:adjustRightInd w:val="0"/>
        <w:snapToGrid w:val="0"/>
        <w:spacing w:line="460" w:lineRule="exact"/>
        <w:ind w:left="840" w:leftChars="0" w:hanging="840" w:hangingChars="350"/>
        <w:rPr>
          <w:rFonts w:eastAsia="仿宋_GB2312"/>
          <w:sz w:val="24"/>
        </w:rPr>
      </w:pPr>
      <w:r>
        <w:rPr>
          <w:rFonts w:eastAsia="仿宋_GB2312"/>
          <w:sz w:val="24"/>
        </w:rPr>
        <w:t>27.6   供应商进行虚假和恶意质疑的，采购代理机构将提供相关资料报监督机构，按其情况进行相应处理。</w:t>
      </w:r>
    </w:p>
    <w:bookmarkEnd w:id="407"/>
    <w:bookmarkEnd w:id="408"/>
    <w:p w14:paraId="1B14247B">
      <w:pPr>
        <w:pStyle w:val="6"/>
        <w:keepNext w:val="0"/>
        <w:keepLines w:val="0"/>
        <w:pageBreakBefore w:val="0"/>
        <w:widowControl w:val="0"/>
        <w:tabs>
          <w:tab w:val="left" w:pos="588"/>
        </w:tabs>
        <w:kinsoku/>
        <w:wordWrap/>
        <w:overflowPunct/>
        <w:topLinePunct w:val="0"/>
        <w:autoSpaceDE/>
        <w:autoSpaceDN/>
        <w:bidi w:val="0"/>
        <w:adjustRightInd w:val="0"/>
        <w:snapToGrid w:val="0"/>
        <w:spacing w:beforeAutospacing="0" w:afterAutospacing="0" w:line="460" w:lineRule="exact"/>
        <w:ind w:left="0" w:leftChars="0"/>
        <w:textAlignment w:val="baseline"/>
        <w:outlineLvl w:val="3"/>
        <w:rPr>
          <w:rFonts w:ascii="Times New Roman" w:hAnsi="Times New Roman" w:eastAsia="仿宋_GB2312"/>
          <w:b/>
          <w:sz w:val="24"/>
          <w:szCs w:val="21"/>
        </w:rPr>
      </w:pPr>
      <w:bookmarkStart w:id="409" w:name="_Toc25547"/>
      <w:r>
        <w:rPr>
          <w:rFonts w:ascii="Times New Roman" w:hAnsi="Times New Roman" w:eastAsia="仿宋_GB2312"/>
          <w:b/>
          <w:sz w:val="24"/>
          <w:szCs w:val="21"/>
        </w:rPr>
        <w:t>28.    履约保证金</w:t>
      </w:r>
    </w:p>
    <w:p w14:paraId="1356115D">
      <w:pPr>
        <w:keepNext w:val="0"/>
        <w:keepLines w:val="0"/>
        <w:pageBreakBefore w:val="0"/>
        <w:tabs>
          <w:tab w:val="left" w:pos="360"/>
          <w:tab w:val="left" w:pos="588"/>
        </w:tabs>
        <w:kinsoku/>
        <w:wordWrap/>
        <w:overflowPunct/>
        <w:topLinePunct w:val="0"/>
        <w:bidi w:val="0"/>
        <w:adjustRightInd w:val="0"/>
        <w:snapToGrid w:val="0"/>
        <w:spacing w:line="460" w:lineRule="exact"/>
        <w:ind w:left="0" w:leftChars="0"/>
        <w:rPr>
          <w:rFonts w:eastAsia="仿宋_GB2312"/>
          <w:sz w:val="24"/>
        </w:rPr>
      </w:pPr>
      <w:r>
        <w:rPr>
          <w:rFonts w:eastAsia="仿宋_GB2312"/>
          <w:sz w:val="24"/>
        </w:rPr>
        <w:t>28.1   履约保证金金额见</w:t>
      </w:r>
      <w:r>
        <w:rPr>
          <w:rFonts w:eastAsia="仿宋_GB2312"/>
          <w:b/>
          <w:sz w:val="24"/>
        </w:rPr>
        <w:t>供应商须知前附表</w:t>
      </w:r>
      <w:r>
        <w:rPr>
          <w:rFonts w:eastAsia="仿宋_GB2312"/>
          <w:sz w:val="24"/>
        </w:rPr>
        <w:t>。</w:t>
      </w:r>
    </w:p>
    <w:p w14:paraId="36E28F07">
      <w:pPr>
        <w:keepNext w:val="0"/>
        <w:keepLines w:val="0"/>
        <w:pageBreakBefore w:val="0"/>
        <w:tabs>
          <w:tab w:val="left" w:pos="360"/>
          <w:tab w:val="left" w:pos="588"/>
        </w:tabs>
        <w:kinsoku/>
        <w:wordWrap/>
        <w:overflowPunct/>
        <w:topLinePunct w:val="0"/>
        <w:bidi w:val="0"/>
        <w:adjustRightInd w:val="0"/>
        <w:snapToGrid w:val="0"/>
        <w:spacing w:line="460" w:lineRule="exact"/>
        <w:ind w:left="0" w:leftChars="0"/>
        <w:rPr>
          <w:rFonts w:eastAsia="仿宋_GB2312"/>
          <w:sz w:val="24"/>
        </w:rPr>
      </w:pPr>
      <w:r>
        <w:rPr>
          <w:rFonts w:eastAsia="仿宋_GB2312"/>
          <w:sz w:val="24"/>
        </w:rPr>
        <w:t>28.2   履约保证金缴纳时间：合同签订前必须交纳至（采购人）。</w:t>
      </w:r>
    </w:p>
    <w:p w14:paraId="53E05320">
      <w:pPr>
        <w:keepNext w:val="0"/>
        <w:keepLines w:val="0"/>
        <w:pageBreakBefore w:val="0"/>
        <w:tabs>
          <w:tab w:val="left" w:pos="360"/>
          <w:tab w:val="left" w:pos="588"/>
        </w:tabs>
        <w:kinsoku/>
        <w:wordWrap/>
        <w:overflowPunct/>
        <w:topLinePunct w:val="0"/>
        <w:bidi w:val="0"/>
        <w:adjustRightInd w:val="0"/>
        <w:snapToGrid w:val="0"/>
        <w:spacing w:line="460" w:lineRule="exact"/>
        <w:ind w:left="840" w:leftChars="0" w:hanging="840" w:hangingChars="350"/>
        <w:rPr>
          <w:rFonts w:eastAsia="仿宋_GB2312"/>
          <w:sz w:val="24"/>
        </w:rPr>
      </w:pPr>
      <w:r>
        <w:rPr>
          <w:rFonts w:eastAsia="仿宋_GB2312"/>
          <w:sz w:val="24"/>
        </w:rPr>
        <w:t>28.3   履约保证金缴纳形式：成交供应商应当以支票、汇票、本票、保函（格式见附件2）等非现金形式缴纳。</w:t>
      </w:r>
    </w:p>
    <w:p w14:paraId="4E090198">
      <w:pPr>
        <w:keepNext w:val="0"/>
        <w:keepLines w:val="0"/>
        <w:pageBreakBefore w:val="0"/>
        <w:tabs>
          <w:tab w:val="left" w:pos="360"/>
          <w:tab w:val="left" w:pos="588"/>
        </w:tabs>
        <w:kinsoku/>
        <w:wordWrap/>
        <w:overflowPunct/>
        <w:topLinePunct w:val="0"/>
        <w:bidi w:val="0"/>
        <w:adjustRightInd w:val="0"/>
        <w:snapToGrid w:val="0"/>
        <w:spacing w:line="460" w:lineRule="exact"/>
        <w:ind w:left="0" w:leftChars="0"/>
        <w:rPr>
          <w:rFonts w:hint="default" w:eastAsia="仿宋_GB2312"/>
          <w:sz w:val="24"/>
          <w:lang w:val="en-US" w:eastAsia="zh-CN"/>
        </w:rPr>
      </w:pPr>
      <w:r>
        <w:rPr>
          <w:rFonts w:eastAsia="仿宋_GB2312"/>
          <w:sz w:val="24"/>
        </w:rPr>
        <w:t>28.4   履约保证金收取单位名称：</w:t>
      </w:r>
      <w:r>
        <w:rPr>
          <w:rFonts w:hint="eastAsia" w:eastAsia="仿宋_GB2312"/>
          <w:sz w:val="24"/>
          <w:lang w:val="en-US" w:eastAsia="zh-CN"/>
        </w:rPr>
        <w:t>/</w:t>
      </w:r>
    </w:p>
    <w:p w14:paraId="484E19C8">
      <w:pPr>
        <w:keepNext w:val="0"/>
        <w:keepLines w:val="0"/>
        <w:pageBreakBefore w:val="0"/>
        <w:tabs>
          <w:tab w:val="left" w:pos="360"/>
          <w:tab w:val="left" w:pos="588"/>
        </w:tabs>
        <w:kinsoku/>
        <w:wordWrap/>
        <w:overflowPunct/>
        <w:topLinePunct w:val="0"/>
        <w:bidi w:val="0"/>
        <w:adjustRightInd w:val="0"/>
        <w:snapToGrid w:val="0"/>
        <w:spacing w:line="460" w:lineRule="exact"/>
        <w:ind w:left="0" w:leftChars="0"/>
        <w:rPr>
          <w:rFonts w:hint="eastAsia" w:eastAsia="仿宋_GB2312"/>
          <w:sz w:val="24"/>
          <w:lang w:val="en-US" w:eastAsia="zh-CN"/>
        </w:rPr>
      </w:pPr>
      <w:r>
        <w:rPr>
          <w:rFonts w:eastAsia="仿宋_GB2312"/>
          <w:sz w:val="24"/>
        </w:rPr>
        <w:t>28.5   履约保证金退还的方式、时间、条件：</w:t>
      </w:r>
      <w:r>
        <w:rPr>
          <w:rFonts w:hint="eastAsia" w:eastAsia="仿宋_GB2312"/>
          <w:sz w:val="24"/>
          <w:lang w:val="en-US" w:eastAsia="zh-CN"/>
        </w:rPr>
        <w:t>/</w:t>
      </w:r>
    </w:p>
    <w:p w14:paraId="4FE6C46E">
      <w:pPr>
        <w:keepNext w:val="0"/>
        <w:keepLines w:val="0"/>
        <w:pageBreakBefore w:val="0"/>
        <w:tabs>
          <w:tab w:val="left" w:pos="360"/>
          <w:tab w:val="left" w:pos="588"/>
        </w:tabs>
        <w:kinsoku/>
        <w:wordWrap/>
        <w:overflowPunct/>
        <w:topLinePunct w:val="0"/>
        <w:bidi w:val="0"/>
        <w:adjustRightInd w:val="0"/>
        <w:snapToGrid w:val="0"/>
        <w:spacing w:line="460" w:lineRule="exact"/>
        <w:ind w:left="0" w:leftChars="0"/>
        <w:rPr>
          <w:rFonts w:hint="eastAsia" w:eastAsia="仿宋_GB2312"/>
          <w:sz w:val="24"/>
          <w:lang w:eastAsia="zh-CN"/>
        </w:rPr>
      </w:pPr>
      <w:r>
        <w:rPr>
          <w:rFonts w:eastAsia="仿宋_GB2312"/>
          <w:sz w:val="24"/>
        </w:rPr>
        <w:t>28.6   履约保证金不予退还的情况：</w:t>
      </w:r>
      <w:r>
        <w:rPr>
          <w:rFonts w:hint="eastAsia" w:eastAsia="仿宋_GB2312"/>
          <w:sz w:val="24"/>
          <w:lang w:val="en-US" w:eastAsia="zh-CN"/>
        </w:rPr>
        <w:t>/</w:t>
      </w:r>
    </w:p>
    <w:p w14:paraId="5A51ACF9">
      <w:pPr>
        <w:keepNext w:val="0"/>
        <w:keepLines w:val="0"/>
        <w:pageBreakBefore w:val="0"/>
        <w:tabs>
          <w:tab w:val="left" w:pos="360"/>
          <w:tab w:val="left" w:pos="588"/>
        </w:tabs>
        <w:kinsoku/>
        <w:wordWrap/>
        <w:overflowPunct/>
        <w:topLinePunct w:val="0"/>
        <w:bidi w:val="0"/>
        <w:adjustRightInd w:val="0"/>
        <w:snapToGrid w:val="0"/>
        <w:spacing w:line="460" w:lineRule="exact"/>
        <w:ind w:left="0" w:leftChars="0"/>
        <w:rPr>
          <w:rFonts w:hint="eastAsia" w:eastAsia="仿宋_GB2312"/>
          <w:sz w:val="24"/>
          <w:lang w:eastAsia="zh-CN"/>
        </w:rPr>
      </w:pPr>
      <w:r>
        <w:rPr>
          <w:rFonts w:eastAsia="仿宋_GB2312"/>
          <w:sz w:val="24"/>
        </w:rPr>
        <w:t>28.7   逾期退还履约保证金的违约责任：</w:t>
      </w:r>
      <w:r>
        <w:rPr>
          <w:rFonts w:hint="eastAsia" w:eastAsia="仿宋_GB2312"/>
          <w:sz w:val="24"/>
          <w:lang w:val="en-US" w:eastAsia="zh-CN"/>
        </w:rPr>
        <w:t>/</w:t>
      </w:r>
    </w:p>
    <w:p w14:paraId="3B713956">
      <w:pPr>
        <w:pStyle w:val="6"/>
        <w:keepNext w:val="0"/>
        <w:keepLines w:val="0"/>
        <w:pageBreakBefore w:val="0"/>
        <w:widowControl w:val="0"/>
        <w:tabs>
          <w:tab w:val="left" w:pos="588"/>
        </w:tabs>
        <w:kinsoku/>
        <w:wordWrap/>
        <w:overflowPunct/>
        <w:topLinePunct w:val="0"/>
        <w:autoSpaceDE/>
        <w:autoSpaceDN/>
        <w:bidi w:val="0"/>
        <w:adjustRightInd w:val="0"/>
        <w:snapToGrid w:val="0"/>
        <w:spacing w:beforeAutospacing="0" w:afterAutospacing="0" w:line="460" w:lineRule="exact"/>
        <w:ind w:left="0" w:leftChars="0"/>
        <w:textAlignment w:val="baseline"/>
        <w:outlineLvl w:val="3"/>
        <w:rPr>
          <w:rFonts w:ascii="Times New Roman" w:hAnsi="Times New Roman" w:eastAsia="仿宋_GB2312"/>
          <w:b/>
          <w:sz w:val="24"/>
          <w:szCs w:val="21"/>
        </w:rPr>
      </w:pPr>
      <w:r>
        <w:rPr>
          <w:rFonts w:ascii="Times New Roman" w:hAnsi="Times New Roman" w:eastAsia="仿宋_GB2312"/>
          <w:b/>
          <w:sz w:val="24"/>
          <w:szCs w:val="21"/>
        </w:rPr>
        <w:t>29.    成交服务费</w:t>
      </w:r>
      <w:bookmarkEnd w:id="409"/>
    </w:p>
    <w:p w14:paraId="1E51C8B0">
      <w:pPr>
        <w:pStyle w:val="28"/>
        <w:keepNext w:val="0"/>
        <w:keepLines w:val="0"/>
        <w:pageBreakBefore w:val="0"/>
        <w:kinsoku/>
        <w:wordWrap/>
        <w:overflowPunct/>
        <w:topLinePunct w:val="0"/>
        <w:bidi w:val="0"/>
        <w:adjustRightInd w:val="0"/>
        <w:snapToGrid w:val="0"/>
        <w:spacing w:line="460" w:lineRule="exact"/>
        <w:rPr>
          <w:rFonts w:ascii="Times New Roman" w:hAnsi="Times New Roman" w:eastAsia="仿宋_GB2312"/>
          <w:sz w:val="24"/>
          <w:szCs w:val="24"/>
        </w:rPr>
      </w:pPr>
      <w:r>
        <w:rPr>
          <w:rFonts w:ascii="Times New Roman" w:hAnsi="Times New Roman" w:eastAsia="仿宋_GB2312" w:cs="Times New Roman"/>
          <w:kern w:val="2"/>
          <w:sz w:val="24"/>
          <w:szCs w:val="24"/>
          <w:lang w:val="en-US" w:eastAsia="zh-CN" w:bidi="ar-SA"/>
        </w:rPr>
        <w:t>29.1</w:t>
      </w:r>
      <w:r>
        <w:rPr>
          <w:rFonts w:eastAsia="仿宋_GB2312"/>
          <w:sz w:val="24"/>
        </w:rPr>
        <w:t xml:space="preserve">   </w:t>
      </w:r>
      <w:r>
        <w:rPr>
          <w:rFonts w:hint="eastAsia" w:eastAsia="仿宋_GB2312"/>
          <w:sz w:val="24"/>
        </w:rPr>
        <w:t>招标代理</w:t>
      </w:r>
      <w:r>
        <w:rPr>
          <w:rFonts w:hint="eastAsia" w:ascii="Times New Roman" w:hAnsi="Times New Roman" w:eastAsia="仿宋_GB2312"/>
          <w:sz w:val="24"/>
          <w:szCs w:val="24"/>
          <w:lang w:val="en-US" w:eastAsia="zh-CN"/>
        </w:rPr>
        <w:t>服务</w:t>
      </w:r>
      <w:r>
        <w:rPr>
          <w:rFonts w:hint="eastAsia" w:eastAsia="仿宋_GB2312"/>
          <w:sz w:val="24"/>
        </w:rPr>
        <w:t>费:</w:t>
      </w:r>
      <w:r>
        <w:rPr>
          <w:rFonts w:hint="eastAsia" w:ascii="Times New Roman" w:hAnsi="Times New Roman" w:eastAsia="仿宋_GB2312"/>
          <w:sz w:val="24"/>
          <w:szCs w:val="24"/>
          <w:lang w:val="en-US" w:eastAsia="zh-CN"/>
        </w:rPr>
        <w:t>按照《汉阴县财政局关于印发&lt;汉阴县工程造价咨询等服务类收费项目评审最高限价及简化政府采购程序&gt;的通知》（汉财字〔2018〕99号）文件的计算方法（按标段）标准收取，</w:t>
      </w:r>
      <w:r>
        <w:rPr>
          <w:rFonts w:hint="eastAsia" w:eastAsia="仿宋_GB2312"/>
          <w:sz w:val="24"/>
        </w:rPr>
        <w:t>由成交单位支付</w:t>
      </w:r>
      <w:r>
        <w:rPr>
          <w:rFonts w:hint="eastAsia" w:ascii="Times New Roman" w:hAnsi="Times New Roman" w:eastAsia="仿宋_GB2312"/>
          <w:sz w:val="24"/>
          <w:szCs w:val="24"/>
          <w:lang w:val="en-US" w:eastAsia="zh-CN"/>
        </w:rPr>
        <w:t>。</w:t>
      </w:r>
    </w:p>
    <w:p w14:paraId="2B14032E">
      <w:pPr>
        <w:pStyle w:val="6"/>
        <w:keepNext w:val="0"/>
        <w:keepLines w:val="0"/>
        <w:pageBreakBefore w:val="0"/>
        <w:widowControl w:val="0"/>
        <w:tabs>
          <w:tab w:val="left" w:pos="588"/>
        </w:tabs>
        <w:kinsoku/>
        <w:wordWrap/>
        <w:overflowPunct/>
        <w:topLinePunct w:val="0"/>
        <w:autoSpaceDE/>
        <w:autoSpaceDN/>
        <w:bidi w:val="0"/>
        <w:adjustRightInd w:val="0"/>
        <w:snapToGrid w:val="0"/>
        <w:spacing w:beforeAutospacing="0" w:afterAutospacing="0" w:line="460" w:lineRule="exact"/>
        <w:ind w:left="0" w:leftChars="0"/>
        <w:textAlignment w:val="baseline"/>
        <w:outlineLvl w:val="3"/>
        <w:rPr>
          <w:rFonts w:ascii="Times New Roman" w:hAnsi="Times New Roman" w:eastAsia="仿宋_GB2312"/>
          <w:b/>
          <w:sz w:val="24"/>
          <w:szCs w:val="21"/>
        </w:rPr>
      </w:pPr>
      <w:bookmarkStart w:id="410" w:name="_Toc1585"/>
      <w:r>
        <w:rPr>
          <w:rFonts w:hint="eastAsia" w:eastAsia="仿宋_GB2312"/>
          <w:b/>
          <w:sz w:val="24"/>
          <w:szCs w:val="21"/>
          <w:lang w:val="en-US" w:eastAsia="zh-CN"/>
        </w:rPr>
        <w:t xml:space="preserve">30. </w:t>
      </w:r>
      <w:r>
        <w:rPr>
          <w:rFonts w:ascii="Times New Roman" w:hAnsi="Times New Roman" w:eastAsia="仿宋_GB2312"/>
          <w:b/>
          <w:sz w:val="24"/>
          <w:szCs w:val="21"/>
        </w:rPr>
        <w:t xml:space="preserve"> </w:t>
      </w:r>
      <w:r>
        <w:rPr>
          <w:rFonts w:hint="eastAsia" w:eastAsia="仿宋_GB2312"/>
          <w:b/>
          <w:sz w:val="24"/>
          <w:szCs w:val="21"/>
          <w:lang w:val="en-US" w:eastAsia="zh-CN"/>
        </w:rPr>
        <w:t xml:space="preserve"> </w:t>
      </w:r>
      <w:r>
        <w:rPr>
          <w:rFonts w:ascii="Times New Roman" w:hAnsi="Times New Roman" w:eastAsia="仿宋_GB2312"/>
          <w:b/>
          <w:sz w:val="24"/>
          <w:szCs w:val="21"/>
        </w:rPr>
        <w:t xml:space="preserve"> 采购人追加采购数量的权力</w:t>
      </w:r>
      <w:bookmarkEnd w:id="410"/>
    </w:p>
    <w:p w14:paraId="55718875">
      <w:pPr>
        <w:pStyle w:val="28"/>
        <w:keepNext w:val="0"/>
        <w:keepLines w:val="0"/>
        <w:pageBreakBefore w:val="0"/>
        <w:kinsoku/>
        <w:wordWrap/>
        <w:overflowPunct/>
        <w:topLinePunct w:val="0"/>
        <w:bidi w:val="0"/>
        <w:adjustRightInd w:val="0"/>
        <w:snapToGrid w:val="0"/>
        <w:spacing w:line="460" w:lineRule="exact"/>
        <w:ind w:left="718" w:leftChars="342" w:firstLine="0" w:firstLineChars="0"/>
        <w:rPr>
          <w:rFonts w:ascii="Times New Roman" w:hAnsi="Times New Roman" w:eastAsia="仿宋_GB2312"/>
          <w:sz w:val="24"/>
          <w:szCs w:val="24"/>
        </w:rPr>
      </w:pPr>
      <w:bookmarkStart w:id="411" w:name="_Toc389620205"/>
      <w:bookmarkStart w:id="412" w:name="_Toc385992366"/>
      <w:r>
        <w:rPr>
          <w:rFonts w:ascii="Times New Roman" w:hAnsi="Times New Roman" w:eastAsia="仿宋_GB2312"/>
          <w:sz w:val="24"/>
          <w:szCs w:val="24"/>
        </w:rPr>
        <w:t>在合同履行中，采购人需追加与合同标的相同服务的，在不改变合同其他条款的前提下，采购人有权与成交供应商协商签订补充合同，但所有补充合同的采购金额不得超过原合同采购金额的10%。</w:t>
      </w:r>
    </w:p>
    <w:p w14:paraId="4A2211A8">
      <w:pPr>
        <w:pStyle w:val="6"/>
        <w:keepNext w:val="0"/>
        <w:keepLines w:val="0"/>
        <w:pageBreakBefore w:val="0"/>
        <w:widowControl w:val="0"/>
        <w:tabs>
          <w:tab w:val="left" w:pos="588"/>
        </w:tabs>
        <w:kinsoku/>
        <w:wordWrap/>
        <w:overflowPunct/>
        <w:topLinePunct w:val="0"/>
        <w:autoSpaceDE/>
        <w:autoSpaceDN/>
        <w:bidi w:val="0"/>
        <w:adjustRightInd w:val="0"/>
        <w:snapToGrid w:val="0"/>
        <w:spacing w:beforeAutospacing="0" w:afterAutospacing="0" w:line="460" w:lineRule="exact"/>
        <w:ind w:left="0" w:leftChars="0"/>
        <w:textAlignment w:val="baseline"/>
        <w:outlineLvl w:val="3"/>
        <w:rPr>
          <w:rFonts w:ascii="Times New Roman" w:hAnsi="Times New Roman" w:eastAsia="仿宋_GB2312"/>
          <w:b/>
          <w:sz w:val="24"/>
          <w:szCs w:val="21"/>
        </w:rPr>
      </w:pPr>
      <w:r>
        <w:rPr>
          <w:rFonts w:hint="eastAsia" w:eastAsia="仿宋_GB2312"/>
          <w:b/>
          <w:sz w:val="24"/>
          <w:szCs w:val="21"/>
          <w:lang w:val="en-US" w:eastAsia="zh-CN"/>
        </w:rPr>
        <w:t xml:space="preserve">31. </w:t>
      </w:r>
      <w:r>
        <w:rPr>
          <w:rFonts w:ascii="Times New Roman" w:hAnsi="Times New Roman" w:eastAsia="仿宋_GB2312"/>
          <w:b/>
          <w:sz w:val="24"/>
          <w:szCs w:val="21"/>
        </w:rPr>
        <w:t xml:space="preserve">   其他情况</w:t>
      </w:r>
    </w:p>
    <w:p w14:paraId="797C2378">
      <w:pPr>
        <w:pStyle w:val="22"/>
        <w:keepNext w:val="0"/>
        <w:keepLines w:val="0"/>
        <w:pageBreakBefore w:val="0"/>
        <w:kinsoku/>
        <w:wordWrap/>
        <w:overflowPunct/>
        <w:topLinePunct w:val="0"/>
        <w:bidi w:val="0"/>
        <w:adjustRightInd w:val="0"/>
        <w:snapToGrid w:val="0"/>
        <w:spacing w:line="460" w:lineRule="exact"/>
        <w:ind w:left="840" w:leftChars="0" w:hanging="840" w:hangingChars="350"/>
        <w:rPr>
          <w:rFonts w:ascii="Times New Roman" w:hAnsi="Times New Roman" w:eastAsia="仿宋_GB2312"/>
          <w:sz w:val="24"/>
        </w:rPr>
      </w:pPr>
      <w:r>
        <w:rPr>
          <w:rFonts w:ascii="Times New Roman" w:hAnsi="Times New Roman" w:eastAsia="仿宋_GB2312"/>
          <w:sz w:val="24"/>
        </w:rPr>
        <w:t>31.1   谈判截止时间结束后，递交响应文件或者经评审的实质性响应谈判文件的供应商不足三家，采购代理机构应当终止竞争性谈判活动，发布项目终止公告并说明原因，重新开展采购活动。</w:t>
      </w:r>
    </w:p>
    <w:p w14:paraId="2EF9D250">
      <w:pPr>
        <w:pStyle w:val="22"/>
        <w:keepNext w:val="0"/>
        <w:keepLines w:val="0"/>
        <w:pageBreakBefore w:val="0"/>
        <w:kinsoku/>
        <w:wordWrap/>
        <w:overflowPunct/>
        <w:topLinePunct w:val="0"/>
        <w:bidi w:val="0"/>
        <w:adjustRightInd w:val="0"/>
        <w:snapToGrid w:val="0"/>
        <w:spacing w:line="460" w:lineRule="exact"/>
        <w:ind w:left="840" w:leftChars="0" w:hanging="840" w:hangingChars="350"/>
        <w:rPr>
          <w:rFonts w:ascii="Times New Roman" w:hAnsi="Times New Roman" w:eastAsia="仿宋_GB2312"/>
          <w:sz w:val="24"/>
        </w:rPr>
      </w:pPr>
      <w:r>
        <w:rPr>
          <w:rFonts w:ascii="Times New Roman" w:hAnsi="Times New Roman" w:eastAsia="仿宋_GB2312"/>
          <w:sz w:val="24"/>
        </w:rPr>
        <w:t xml:space="preserve">31.2   连续两次进行竞争性谈判活动，因符合谈判要求供应商不足3家，经请示政府采购管理部门同意后，可继续进行竞争性谈判活动。 </w:t>
      </w:r>
    </w:p>
    <w:p w14:paraId="0F695CBC">
      <w:pPr>
        <w:pStyle w:val="22"/>
        <w:keepNext w:val="0"/>
        <w:keepLines w:val="0"/>
        <w:pageBreakBefore w:val="0"/>
        <w:kinsoku/>
        <w:wordWrap/>
        <w:overflowPunct/>
        <w:topLinePunct w:val="0"/>
        <w:bidi w:val="0"/>
        <w:adjustRightInd w:val="0"/>
        <w:snapToGrid w:val="0"/>
        <w:spacing w:line="460" w:lineRule="exact"/>
        <w:ind w:left="840" w:leftChars="0" w:hanging="840" w:hangingChars="350"/>
        <w:rPr>
          <w:rFonts w:ascii="Times New Roman" w:hAnsi="Times New Roman" w:eastAsia="仿宋_GB2312"/>
          <w:sz w:val="24"/>
        </w:rPr>
      </w:pPr>
      <w:r>
        <w:rPr>
          <w:rFonts w:ascii="Times New Roman" w:hAnsi="Times New Roman" w:eastAsia="仿宋_GB2312"/>
          <w:sz w:val="24"/>
        </w:rPr>
        <w:t>31.3   政府采购信用担保</w:t>
      </w:r>
    </w:p>
    <w:p w14:paraId="6DAFC6E6">
      <w:pPr>
        <w:pStyle w:val="22"/>
        <w:keepNext w:val="0"/>
        <w:keepLines w:val="0"/>
        <w:pageBreakBefore w:val="0"/>
        <w:kinsoku/>
        <w:wordWrap/>
        <w:overflowPunct/>
        <w:topLinePunct w:val="0"/>
        <w:bidi w:val="0"/>
        <w:adjustRightInd w:val="0"/>
        <w:snapToGrid w:val="0"/>
        <w:spacing w:line="460" w:lineRule="exact"/>
        <w:ind w:left="0" w:leftChars="0"/>
        <w:rPr>
          <w:rFonts w:ascii="Times New Roman" w:hAnsi="Times New Roman" w:eastAsia="仿宋_GB2312"/>
          <w:sz w:val="24"/>
        </w:rPr>
      </w:pPr>
      <w:r>
        <w:rPr>
          <w:rFonts w:ascii="Times New Roman" w:hAnsi="Times New Roman" w:eastAsia="仿宋_GB2312"/>
          <w:sz w:val="24"/>
        </w:rPr>
        <w:t>31.3.1 供应商递交的履约担保函应符合本谈判文件的规定。</w:t>
      </w:r>
    </w:p>
    <w:p w14:paraId="0670292E">
      <w:pPr>
        <w:keepNext w:val="0"/>
        <w:keepLines w:val="0"/>
        <w:pageBreakBefore w:val="0"/>
        <w:kinsoku/>
        <w:wordWrap/>
        <w:overflowPunct/>
        <w:topLinePunct w:val="0"/>
        <w:bidi w:val="0"/>
        <w:adjustRightInd w:val="0"/>
        <w:snapToGrid w:val="0"/>
        <w:spacing w:line="460" w:lineRule="exact"/>
        <w:ind w:left="849" w:leftChars="0" w:hanging="849" w:hangingChars="354"/>
        <w:rPr>
          <w:rFonts w:eastAsia="仿宋_GB2312"/>
          <w:sz w:val="24"/>
        </w:rPr>
      </w:pPr>
      <w:r>
        <w:rPr>
          <w:rFonts w:eastAsia="仿宋_GB2312"/>
          <w:sz w:val="24"/>
        </w:rPr>
        <w:t>31.3.2 为缓解中小企业融资困难，陕西省财政厅出台了《陕西省中小企业政府采购信用融资办法》（陕财办采﹝2018﹞23号），中标供应商如有融资需求，可登录“陕西省政府采购网-陕西省政府采购信用融资平台</w:t>
      </w:r>
      <w:r>
        <w:rPr>
          <w:rFonts w:hint="eastAsia" w:eastAsia="仿宋_GB2312"/>
          <w:sz w:val="24"/>
        </w:rPr>
        <w:t>（http</w:t>
      </w:r>
      <w:r>
        <w:rPr>
          <w:rFonts w:hint="eastAsia" w:eastAsia="仿宋_GB2312"/>
          <w:sz w:val="24"/>
          <w:lang w:eastAsia="zh-CN"/>
        </w:rPr>
        <w:t>：</w:t>
      </w:r>
      <w:r>
        <w:rPr>
          <w:rFonts w:hint="eastAsia" w:eastAsia="仿宋_GB2312"/>
          <w:sz w:val="24"/>
        </w:rPr>
        <w:t>//www.ccgp-shaanxi.gov.cn/zcdservice/zcd/shanxi/）</w:t>
      </w:r>
      <w:r>
        <w:rPr>
          <w:rFonts w:eastAsia="仿宋_GB2312"/>
          <w:sz w:val="24"/>
        </w:rPr>
        <w:t>”了解详情。</w:t>
      </w:r>
    </w:p>
    <w:p w14:paraId="4E9F7510">
      <w:pPr>
        <w:pStyle w:val="28"/>
        <w:keepNext w:val="0"/>
        <w:keepLines w:val="0"/>
        <w:pageBreakBefore w:val="0"/>
        <w:kinsoku/>
        <w:wordWrap/>
        <w:overflowPunct/>
        <w:topLinePunct w:val="0"/>
        <w:bidi w:val="0"/>
        <w:adjustRightInd w:val="0"/>
        <w:snapToGrid w:val="0"/>
        <w:spacing w:line="460" w:lineRule="exact"/>
        <w:ind w:left="718" w:leftChars="342" w:firstLine="0" w:firstLineChars="0"/>
        <w:rPr>
          <w:rFonts w:ascii="Times New Roman" w:hAnsi="Times New Roman" w:eastAsia="仿宋_GB2312"/>
          <w:sz w:val="24"/>
          <w:szCs w:val="24"/>
        </w:rPr>
      </w:pPr>
      <w:r>
        <w:rPr>
          <w:rFonts w:hint="eastAsia" w:ascii="Times New Roman" w:hAnsi="Times New Roman" w:eastAsia="仿宋_GB2312"/>
          <w:sz w:val="24"/>
          <w:szCs w:val="24"/>
        </w:rPr>
        <w:t>政府采购信用融资，是指银行业金融机构（以下简称银行）以政府采购诚信考核和信用审查为基础，凭借政府采购合同，按优于一般中小企业的贷款利率直接向申请贷款的供应商发放贷款的一种融资方式。</w:t>
      </w:r>
    </w:p>
    <w:p w14:paraId="18FC6884">
      <w:pPr>
        <w:pStyle w:val="28"/>
        <w:keepNext w:val="0"/>
        <w:keepLines w:val="0"/>
        <w:pageBreakBefore w:val="0"/>
        <w:kinsoku/>
        <w:wordWrap/>
        <w:overflowPunct/>
        <w:topLinePunct w:val="0"/>
        <w:bidi w:val="0"/>
        <w:adjustRightInd w:val="0"/>
        <w:snapToGrid w:val="0"/>
        <w:spacing w:line="460" w:lineRule="exact"/>
        <w:ind w:left="718" w:leftChars="342" w:firstLine="0" w:firstLineChars="0"/>
        <w:rPr>
          <w:rFonts w:ascii="Times New Roman" w:hAnsi="Times New Roman" w:eastAsia="仿宋_GB2312"/>
          <w:sz w:val="24"/>
          <w:szCs w:val="24"/>
        </w:rPr>
      </w:pPr>
      <w:r>
        <w:rPr>
          <w:rFonts w:ascii="Times New Roman" w:hAnsi="Times New Roman" w:eastAsia="仿宋_GB2312"/>
          <w:sz w:val="24"/>
          <w:szCs w:val="24"/>
        </w:rP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14:paraId="513BBBEC">
      <w:pPr>
        <w:pStyle w:val="28"/>
        <w:keepNext w:val="0"/>
        <w:keepLines w:val="0"/>
        <w:pageBreakBefore w:val="0"/>
        <w:kinsoku/>
        <w:wordWrap/>
        <w:overflowPunct/>
        <w:topLinePunct w:val="0"/>
        <w:bidi w:val="0"/>
        <w:adjustRightInd w:val="0"/>
        <w:snapToGrid w:val="0"/>
        <w:spacing w:line="460" w:lineRule="exact"/>
        <w:ind w:left="718" w:leftChars="342" w:firstLine="0" w:firstLineChars="0"/>
        <w:rPr>
          <w:rFonts w:ascii="Times New Roman" w:hAnsi="Times New Roman" w:eastAsia="仿宋_GB2312"/>
          <w:sz w:val="24"/>
          <w:szCs w:val="24"/>
        </w:rPr>
      </w:pPr>
      <w:r>
        <w:rPr>
          <w:rFonts w:ascii="Times New Roman" w:hAnsi="Times New Roman" w:eastAsia="仿宋_GB2312"/>
          <w:sz w:val="24"/>
          <w:szCs w:val="24"/>
        </w:rPr>
        <w:t>银行为参与政府采购融资的中小企业提供的产品，应以信用贷款为主，贷款利率应当优于一般中小企业的贷款利率水平，并将产品信息（包括贷款发放条件、利率优惠、贷款金额）等在陕西政府采购网予以展示。</w:t>
      </w:r>
    </w:p>
    <w:p w14:paraId="1507DD64">
      <w:pPr>
        <w:pStyle w:val="28"/>
        <w:keepNext w:val="0"/>
        <w:keepLines w:val="0"/>
        <w:pageBreakBefore w:val="0"/>
        <w:kinsoku/>
        <w:wordWrap/>
        <w:overflowPunct/>
        <w:topLinePunct w:val="0"/>
        <w:bidi w:val="0"/>
        <w:adjustRightInd w:val="0"/>
        <w:snapToGrid w:val="0"/>
        <w:spacing w:line="460" w:lineRule="exact"/>
        <w:ind w:left="718" w:leftChars="342" w:firstLine="0" w:firstLineChars="0"/>
        <w:rPr>
          <w:rFonts w:ascii="Times New Roman" w:hAnsi="Times New Roman" w:eastAsia="仿宋_GB2312"/>
          <w:sz w:val="24"/>
          <w:szCs w:val="24"/>
        </w:rPr>
      </w:pPr>
      <w:r>
        <w:rPr>
          <w:rFonts w:ascii="Times New Roman" w:hAnsi="Times New Roman" w:eastAsia="仿宋_GB2312"/>
          <w:sz w:val="24"/>
          <w:szCs w:val="24"/>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14:paraId="59C9A9E9">
      <w:pPr>
        <w:pStyle w:val="28"/>
        <w:keepNext w:val="0"/>
        <w:keepLines w:val="0"/>
        <w:pageBreakBefore w:val="0"/>
        <w:kinsoku/>
        <w:wordWrap/>
        <w:overflowPunct/>
        <w:topLinePunct w:val="0"/>
        <w:bidi w:val="0"/>
        <w:adjustRightInd w:val="0"/>
        <w:snapToGrid w:val="0"/>
        <w:spacing w:line="460" w:lineRule="exact"/>
        <w:ind w:left="718" w:leftChars="342" w:firstLine="0" w:firstLineChars="0"/>
        <w:rPr>
          <w:rFonts w:ascii="Times New Roman" w:hAnsi="Times New Roman" w:eastAsia="仿宋_GB2312"/>
          <w:sz w:val="24"/>
          <w:szCs w:val="24"/>
        </w:rPr>
      </w:pPr>
      <w:r>
        <w:rPr>
          <w:rFonts w:ascii="Times New Roman" w:hAnsi="Times New Roman" w:eastAsia="仿宋_GB2312"/>
          <w:sz w:val="24"/>
          <w:szCs w:val="24"/>
        </w:rP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14:paraId="7383BF36">
      <w:pPr>
        <w:pStyle w:val="28"/>
        <w:keepNext w:val="0"/>
        <w:keepLines w:val="0"/>
        <w:pageBreakBefore w:val="0"/>
        <w:kinsoku/>
        <w:wordWrap/>
        <w:overflowPunct/>
        <w:topLinePunct w:val="0"/>
        <w:bidi w:val="0"/>
        <w:adjustRightInd w:val="0"/>
        <w:snapToGrid w:val="0"/>
        <w:spacing w:line="460" w:lineRule="exact"/>
        <w:ind w:left="718" w:leftChars="342" w:firstLine="0" w:firstLineChars="0"/>
        <w:rPr>
          <w:rFonts w:ascii="Times New Roman" w:hAnsi="Times New Roman" w:eastAsia="仿宋_GB2312"/>
          <w:sz w:val="24"/>
        </w:rPr>
      </w:pPr>
      <w:r>
        <w:rPr>
          <w:rFonts w:hint="eastAsia" w:ascii="Times New Roman" w:hAnsi="Times New Roman" w:eastAsia="仿宋_GB2312"/>
          <w:sz w:val="24"/>
          <w:szCs w:val="24"/>
        </w:rPr>
        <w:t>业务流程简图如下：</w:t>
      </w:r>
    </w:p>
    <w:p w14:paraId="418BD135">
      <w:pPr>
        <w:pStyle w:val="22"/>
        <w:keepNext w:val="0"/>
        <w:keepLines w:val="0"/>
        <w:pageBreakBefore w:val="0"/>
        <w:tabs>
          <w:tab w:val="left" w:pos="567"/>
        </w:tabs>
        <w:kinsoku/>
        <w:wordWrap/>
        <w:overflowPunct/>
        <w:topLinePunct w:val="0"/>
        <w:bidi w:val="0"/>
        <w:adjustRightInd w:val="0"/>
        <w:snapToGrid w:val="0"/>
        <w:spacing w:line="240" w:lineRule="auto"/>
        <w:ind w:left="0" w:leftChars="0"/>
        <w:jc w:val="center"/>
      </w:pPr>
      <w:r>
        <w:drawing>
          <wp:inline distT="0" distB="0" distL="114300" distR="114300">
            <wp:extent cx="5756275" cy="3310255"/>
            <wp:effectExtent l="0" t="0" r="15875" b="444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5756275" cy="3310255"/>
                    </a:xfrm>
                    <a:prstGeom prst="rect">
                      <a:avLst/>
                    </a:prstGeom>
                    <a:noFill/>
                    <a:ln>
                      <a:noFill/>
                    </a:ln>
                  </pic:spPr>
                </pic:pic>
              </a:graphicData>
            </a:graphic>
          </wp:inline>
        </w:drawing>
      </w:r>
    </w:p>
    <w:p w14:paraId="448CE339">
      <w:pPr>
        <w:pStyle w:val="22"/>
        <w:keepNext w:val="0"/>
        <w:keepLines w:val="0"/>
        <w:pageBreakBefore w:val="0"/>
        <w:kinsoku/>
        <w:wordWrap/>
        <w:overflowPunct/>
        <w:topLinePunct w:val="0"/>
        <w:bidi w:val="0"/>
        <w:adjustRightInd w:val="0"/>
        <w:snapToGrid w:val="0"/>
        <w:spacing w:line="240" w:lineRule="auto"/>
        <w:ind w:left="735" w:leftChars="0" w:hanging="735" w:hangingChars="350"/>
        <w:jc w:val="center"/>
        <w:rPr>
          <w:rFonts w:ascii="Times New Roman" w:hAnsi="Times New Roman" w:eastAsia="仿宋_GB2312"/>
          <w:sz w:val="24"/>
        </w:rPr>
      </w:pPr>
      <w:r>
        <w:drawing>
          <wp:inline distT="0" distB="0" distL="114300" distR="114300">
            <wp:extent cx="5758815" cy="3242310"/>
            <wp:effectExtent l="0" t="0" r="13335" b="1524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5758815" cy="3242310"/>
                    </a:xfrm>
                    <a:prstGeom prst="rect">
                      <a:avLst/>
                    </a:prstGeom>
                    <a:noFill/>
                    <a:ln>
                      <a:noFill/>
                    </a:ln>
                  </pic:spPr>
                </pic:pic>
              </a:graphicData>
            </a:graphic>
          </wp:inline>
        </w:drawing>
      </w:r>
    </w:p>
    <w:bookmarkEnd w:id="411"/>
    <w:bookmarkEnd w:id="412"/>
    <w:p w14:paraId="572F135C">
      <w:pPr>
        <w:pStyle w:val="72"/>
        <w:adjustRightInd w:val="0"/>
        <w:spacing w:before="240" w:beforeLines="100" w:line="360" w:lineRule="auto"/>
        <w:ind w:right="-22" w:firstLine="0" w:firstLineChars="0"/>
        <w:jc w:val="center"/>
        <w:textAlignment w:val="baseline"/>
        <w:outlineLvl w:val="0"/>
        <w:rPr>
          <w:rFonts w:ascii="Times New Roman" w:hAnsi="Times New Roman" w:eastAsia="仿宋_GB2312"/>
          <w:b/>
          <w:kern w:val="0"/>
          <w:sz w:val="32"/>
          <w:szCs w:val="32"/>
        </w:rPr>
        <w:sectPr>
          <w:headerReference r:id="rId3" w:type="default"/>
          <w:footerReference r:id="rId4" w:type="default"/>
          <w:pgSz w:w="11906" w:h="16838"/>
          <w:pgMar w:top="1440" w:right="1083" w:bottom="1440" w:left="1083" w:header="851" w:footer="992" w:gutter="0"/>
          <w:pgNumType w:fmt="decimal" w:start="1"/>
          <w:cols w:space="720" w:num="1"/>
          <w:docGrid w:type="lines" w:linePitch="312" w:charSpace="0"/>
        </w:sectPr>
      </w:pPr>
      <w:bookmarkStart w:id="413" w:name="_Toc58504447"/>
      <w:bookmarkStart w:id="414" w:name="_Toc17469"/>
      <w:bookmarkStart w:id="415" w:name="_Toc26291"/>
    </w:p>
    <w:p w14:paraId="179A7B22">
      <w:pPr>
        <w:pStyle w:val="72"/>
        <w:adjustRightInd w:val="0"/>
        <w:spacing w:before="240" w:beforeLines="100" w:line="360" w:lineRule="auto"/>
        <w:ind w:right="-22" w:firstLine="0" w:firstLineChars="0"/>
        <w:jc w:val="center"/>
        <w:textAlignment w:val="baseline"/>
        <w:outlineLvl w:val="0"/>
        <w:rPr>
          <w:rFonts w:ascii="Times New Roman" w:hAnsi="Times New Roman" w:eastAsia="仿宋_GB2312" w:cs="Times New Roman"/>
          <w:b/>
          <w:bCs/>
          <w:sz w:val="24"/>
          <w:lang w:val="zh-CN"/>
        </w:rPr>
      </w:pPr>
      <w:r>
        <w:rPr>
          <w:rFonts w:ascii="Times New Roman" w:hAnsi="Times New Roman" w:eastAsia="仿宋_GB2312"/>
          <w:b/>
          <w:kern w:val="0"/>
          <w:sz w:val="32"/>
          <w:szCs w:val="32"/>
        </w:rPr>
        <w:t xml:space="preserve">第三章  </w:t>
      </w:r>
      <w:bookmarkEnd w:id="19"/>
      <w:bookmarkEnd w:id="413"/>
      <w:bookmarkEnd w:id="414"/>
      <w:bookmarkStart w:id="416" w:name="_Toc53722865"/>
      <w:bookmarkStart w:id="417" w:name="_Toc232395222"/>
      <w:bookmarkStart w:id="418" w:name="_Toc503063458"/>
      <w:bookmarkStart w:id="419" w:name="_Toc496324623"/>
      <w:bookmarkStart w:id="420" w:name="_Toc499711087"/>
      <w:bookmarkStart w:id="421" w:name="_Toc415499897"/>
      <w:bookmarkStart w:id="422" w:name="_Toc176882552"/>
      <w:bookmarkStart w:id="423" w:name="_Toc177189245"/>
      <w:bookmarkStart w:id="424" w:name="_Toc230099803"/>
      <w:bookmarkStart w:id="425" w:name="_Toc230583552"/>
      <w:bookmarkStart w:id="426" w:name="_Toc249525250"/>
      <w:bookmarkStart w:id="427" w:name="_Toc232176282"/>
      <w:bookmarkStart w:id="428" w:name="_Toc500747106"/>
      <w:bookmarkStart w:id="429" w:name="_Toc256342152"/>
      <w:bookmarkStart w:id="430" w:name="_Toc249515482"/>
      <w:bookmarkStart w:id="431" w:name="_Toc177817344"/>
      <w:bookmarkStart w:id="432" w:name="_Toc70687202"/>
      <w:bookmarkStart w:id="433" w:name="_Toc184043058"/>
      <w:bookmarkStart w:id="434" w:name="_Toc177995483"/>
      <w:bookmarkStart w:id="435" w:name="_Toc492955459"/>
      <w:bookmarkStart w:id="436" w:name="_Toc230013638"/>
      <w:bookmarkStart w:id="437" w:name="_Toc499711928"/>
      <w:bookmarkStart w:id="438" w:name="_Toc500747233"/>
      <w:bookmarkStart w:id="439" w:name="_Toc249515369"/>
      <w:bookmarkStart w:id="440" w:name="_Toc28450"/>
      <w:bookmarkStart w:id="441" w:name="_Toc500747010"/>
      <w:r>
        <w:rPr>
          <w:rFonts w:ascii="Times New Roman" w:hAnsi="Times New Roman" w:eastAsia="仿宋_GB2312"/>
          <w:b/>
          <w:kern w:val="0"/>
          <w:sz w:val="32"/>
          <w:szCs w:val="32"/>
        </w:rPr>
        <w:t>拟签订的合同文本</w:t>
      </w:r>
      <w:bookmarkEnd w:id="415"/>
    </w:p>
    <w:p w14:paraId="4BDBAA0A">
      <w:pPr>
        <w:tabs>
          <w:tab w:val="left" w:pos="735"/>
        </w:tabs>
        <w:autoSpaceDE w:val="0"/>
        <w:autoSpaceDN w:val="0"/>
        <w:adjustRightInd w:val="0"/>
        <w:snapToGrid w:val="0"/>
        <w:spacing w:before="240" w:beforeLines="100" w:line="360" w:lineRule="auto"/>
        <w:rPr>
          <w:rFonts w:ascii="Times New Roman" w:hAnsi="Times New Roman" w:eastAsia="仿宋_GB2312" w:cs="Times New Roman"/>
          <w:b/>
          <w:bCs/>
          <w:sz w:val="24"/>
          <w:lang w:val="zh-CN"/>
        </w:rPr>
      </w:pPr>
      <w:r>
        <w:rPr>
          <w:rFonts w:ascii="Times New Roman" w:hAnsi="Times New Roman" w:eastAsia="仿宋_GB2312" w:cs="Times New Roman"/>
          <w:b/>
          <w:bCs/>
          <w:sz w:val="24"/>
          <w:lang w:val="zh-CN"/>
        </w:rPr>
        <w:t>甲方：</w:t>
      </w:r>
      <w:r>
        <w:rPr>
          <w:rFonts w:ascii="Times New Roman" w:hAnsi="Times New Roman" w:eastAsia="仿宋_GB2312" w:cs="Times New Roman"/>
          <w:bCs/>
          <w:sz w:val="24"/>
          <w:lang w:val="zh-CN"/>
        </w:rPr>
        <w:t xml:space="preserve">（前款所称采购人）     </w:t>
      </w:r>
      <w:r>
        <w:rPr>
          <w:rFonts w:hint="eastAsia" w:ascii="Times New Roman" w:hAnsi="Times New Roman" w:eastAsia="仿宋_GB2312" w:cs="Times New Roman"/>
          <w:bCs/>
          <w:sz w:val="24"/>
        </w:rPr>
        <w:t xml:space="preserve">    </w:t>
      </w:r>
      <w:r>
        <w:rPr>
          <w:rFonts w:ascii="Times New Roman" w:hAnsi="Times New Roman" w:eastAsia="仿宋_GB2312" w:cs="Times New Roman"/>
          <w:bCs/>
          <w:sz w:val="24"/>
          <w:lang w:val="zh-CN"/>
        </w:rPr>
        <w:t>住所：</w:t>
      </w:r>
    </w:p>
    <w:p w14:paraId="5AE9B5C0">
      <w:pPr>
        <w:tabs>
          <w:tab w:val="left" w:pos="735"/>
        </w:tabs>
        <w:autoSpaceDE w:val="0"/>
        <w:autoSpaceDN w:val="0"/>
        <w:adjustRightInd w:val="0"/>
        <w:snapToGrid w:val="0"/>
        <w:spacing w:line="360" w:lineRule="auto"/>
        <w:rPr>
          <w:rFonts w:ascii="Times New Roman" w:hAnsi="Times New Roman" w:eastAsia="仿宋_GB2312" w:cs="Times New Roman"/>
          <w:bCs/>
          <w:sz w:val="24"/>
          <w:lang w:val="zh-CN"/>
        </w:rPr>
      </w:pPr>
      <w:r>
        <w:rPr>
          <w:rFonts w:ascii="Times New Roman" w:hAnsi="Times New Roman" w:eastAsia="仿宋_GB2312" w:cs="Times New Roman"/>
          <w:b/>
          <w:bCs/>
          <w:sz w:val="24"/>
          <w:lang w:val="zh-CN"/>
        </w:rPr>
        <w:t>乙方：</w:t>
      </w:r>
      <w:r>
        <w:rPr>
          <w:rFonts w:ascii="Times New Roman" w:hAnsi="Times New Roman" w:eastAsia="仿宋_GB2312" w:cs="Times New Roman"/>
          <w:bCs/>
          <w:sz w:val="24"/>
          <w:lang w:val="zh-CN"/>
        </w:rPr>
        <w:t>（前款所称</w:t>
      </w:r>
      <w:r>
        <w:rPr>
          <w:rFonts w:hint="eastAsia" w:ascii="Times New Roman" w:hAnsi="Times New Roman" w:eastAsia="仿宋_GB2312" w:cs="Times New Roman"/>
          <w:bCs/>
          <w:sz w:val="24"/>
        </w:rPr>
        <w:t>成交</w:t>
      </w:r>
      <w:r>
        <w:rPr>
          <w:rFonts w:hint="eastAsia" w:ascii="Times New Roman" w:hAnsi="Times New Roman" w:eastAsia="仿宋_GB2312" w:cs="Times New Roman"/>
          <w:bCs/>
          <w:sz w:val="24"/>
          <w:highlight w:val="none"/>
        </w:rPr>
        <w:t>供应</w:t>
      </w:r>
      <w:r>
        <w:rPr>
          <w:rFonts w:hint="eastAsia" w:ascii="Times New Roman" w:hAnsi="Times New Roman" w:eastAsia="仿宋_GB2312" w:cs="Times New Roman"/>
          <w:bCs/>
          <w:sz w:val="24"/>
        </w:rPr>
        <w:t>商</w:t>
      </w:r>
      <w:r>
        <w:rPr>
          <w:rFonts w:ascii="Times New Roman" w:hAnsi="Times New Roman" w:eastAsia="仿宋_GB2312" w:cs="Times New Roman"/>
          <w:bCs/>
          <w:sz w:val="24"/>
          <w:lang w:val="zh-CN"/>
        </w:rPr>
        <w:t>）     住所：</w:t>
      </w:r>
    </w:p>
    <w:p w14:paraId="2CE308DD">
      <w:pPr>
        <w:adjustRightInd w:val="0"/>
        <w:snapToGrid w:val="0"/>
        <w:spacing w:line="360" w:lineRule="auto"/>
        <w:ind w:firstLine="480" w:firstLineChars="200"/>
        <w:rPr>
          <w:rFonts w:hint="eastAsia" w:ascii="Times New Roman" w:hAnsi="Times New Roman" w:eastAsia="仿宋_GB2312" w:cs="Times New Roman"/>
          <w:sz w:val="24"/>
          <w:lang w:eastAsia="zh-CN"/>
        </w:rPr>
      </w:pPr>
    </w:p>
    <w:p w14:paraId="2858644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根据《中华人民共和国民法典》及其他有关法律、法规的规定及</w:t>
      </w:r>
      <w:r>
        <w:rPr>
          <w:rFonts w:hint="eastAsia" w:ascii="仿宋" w:hAnsi="仿宋" w:eastAsia="仿宋" w:cs="仿宋"/>
          <w:sz w:val="24"/>
          <w:szCs w:val="24"/>
          <w:lang w:val="en-US" w:eastAsia="zh-CN"/>
        </w:rPr>
        <w:t>本项目</w:t>
      </w:r>
      <w:r>
        <w:rPr>
          <w:rFonts w:hint="eastAsia" w:ascii="仿宋" w:hAnsi="仿宋" w:eastAsia="仿宋" w:cs="仿宋"/>
          <w:sz w:val="24"/>
          <w:szCs w:val="24"/>
        </w:rPr>
        <w:t>的</w:t>
      </w:r>
      <w:r>
        <w:rPr>
          <w:rFonts w:hint="eastAsia" w:ascii="仿宋" w:hAnsi="仿宋" w:eastAsia="仿宋" w:cs="仿宋"/>
          <w:sz w:val="24"/>
          <w:szCs w:val="24"/>
          <w:lang w:val="en-US" w:eastAsia="zh-CN"/>
        </w:rPr>
        <w:t>谈判</w:t>
      </w:r>
      <w:r>
        <w:rPr>
          <w:rFonts w:hint="eastAsia" w:ascii="仿宋" w:hAnsi="仿宋" w:eastAsia="仿宋" w:cs="仿宋"/>
          <w:sz w:val="24"/>
          <w:szCs w:val="24"/>
        </w:rPr>
        <w:t>文件和</w:t>
      </w:r>
      <w:r>
        <w:rPr>
          <w:rFonts w:hint="eastAsia" w:ascii="仿宋" w:hAnsi="仿宋" w:eastAsia="仿宋" w:cs="仿宋"/>
          <w:sz w:val="24"/>
          <w:szCs w:val="24"/>
          <w:lang w:val="en-US" w:eastAsia="zh-CN"/>
        </w:rPr>
        <w:t>谈判</w:t>
      </w:r>
      <w:r>
        <w:rPr>
          <w:rFonts w:hint="eastAsia" w:ascii="仿宋" w:hAnsi="仿宋" w:eastAsia="仿宋" w:cs="仿宋"/>
          <w:sz w:val="24"/>
          <w:szCs w:val="24"/>
        </w:rPr>
        <w:t>结果（项目编号：</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），经甲、乙双方充分协商，特订立本合同。</w:t>
      </w:r>
    </w:p>
    <w:p w14:paraId="658682DE">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第一条 甲方采购的原辅材料内容</w:t>
      </w:r>
    </w:p>
    <w:p w14:paraId="1295AE6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乙方供应时商品品类、规格、商品质量、包装形式等按甲方需求提供，在保证商品质量的同时乙方应全力做好应急保障工作，避免出现供应不及时的情况。</w:t>
      </w:r>
    </w:p>
    <w:p w14:paraId="0F8E32B1">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第二条 履约保证</w:t>
      </w:r>
    </w:p>
    <w:p w14:paraId="509C1FB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在双方合作期间，发生质量问题，乙方应负责赔偿，并承担违约责任；甲方有权直接从食材结算款中扣除赔偿款，不足部分，乙方应予以补足。</w:t>
      </w:r>
    </w:p>
    <w:p w14:paraId="3900260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（一）乙方供应假冒伪劣、三无商品和应具备 SC 许可认证（食用农产品除外）而无认证、假认证、过期、变质、有毒有害商品的。</w:t>
      </w:r>
    </w:p>
    <w:p w14:paraId="112DE7B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1、按甲方自乙方购买货物的价格计算，按假一赔十处理；</w:t>
      </w:r>
    </w:p>
    <w:p w14:paraId="5AD58C2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2、造成人身、财产损害的，乙方应按照有关法律规定进行赔偿，自行承担全部责任并负责赔偿给甲方或其他第三人的全部损失。</w:t>
      </w:r>
    </w:p>
    <w:p w14:paraId="3C5CDFD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（二）乙方主动召回有问题商品的。</w:t>
      </w:r>
    </w:p>
    <w:p w14:paraId="0F3C637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1、甲方未使用并未对甲方正常工作秩序造成影响的，乙方可不进行赔偿，并不按违约论处；</w:t>
      </w:r>
    </w:p>
    <w:p w14:paraId="347A19D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2、甲方已使用未造成人身伤害的，乙方应按销售价格从甲方手中进行回购，无法回购的要对甲方进行原价赔偿，但不按违约论处；</w:t>
      </w:r>
    </w:p>
    <w:p w14:paraId="42B74FD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3、因召回问题商品对甲方正常工作秩序造成影响的，按情节严重程度扣除相应考核管理分数，并由乙方承担相应损失。</w:t>
      </w:r>
    </w:p>
    <w:p w14:paraId="3A450D6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4、造成人身伤害的，乙方应按照有关法律规定进行赔偿，自行承担全部责任并负责赔偿甲方的全部损失。</w:t>
      </w:r>
    </w:p>
    <w:p w14:paraId="5B2060C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（三）其他因乙方商品质量问题造成甲方损失的，由乙方按照甲方实际发生的损失进行赔偿。</w:t>
      </w:r>
    </w:p>
    <w:p w14:paraId="3B014A6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（四）乙方提供的商品有欺诈行为的，按《消费者权益保护法》的相关规定进行赔偿。</w:t>
      </w:r>
    </w:p>
    <w:p w14:paraId="3F890C1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四、甲方将对乙方的服务按统一标准进行考核管理，考核实行百分制计分管理，考核每三个月进行一次，如当期考核得分低于 80 分，每低 1 分扣除当月食材结算款的 2%</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作为惩罚，如出现得分低于 60 分的情况，给予警告和整改提醒，如后续服务期间再次出现得分低于 60 分的情况，甲方将有权终止服务合同，对于未能涵盖的损失部分，甲方有权按照《中华人民共和国民法典》的规定向乙方索赔。</w:t>
      </w:r>
    </w:p>
    <w:tbl>
      <w:tblPr>
        <w:tblStyle w:val="5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8473"/>
      </w:tblGrid>
      <w:tr w14:paraId="2CE55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Align w:val="center"/>
          </w:tcPr>
          <w:p w14:paraId="46DE5B75">
            <w:pPr>
              <w:spacing w:line="360" w:lineRule="auto"/>
              <w:jc w:val="center"/>
              <w:rPr>
                <w:rFonts w:hint="eastAsia" w:ascii="仿宋" w:hAnsi="仿宋" w:eastAsia="仿宋" w:cs="仿宋"/>
                <w:b/>
                <w:bCs/>
                <w:sz w:val="24"/>
                <w:szCs w:val="24"/>
                <w:vertAlign w:val="baseline"/>
              </w:rPr>
            </w:pPr>
            <w:r>
              <w:rPr>
                <w:rFonts w:hint="eastAsia" w:ascii="仿宋" w:hAnsi="仿宋" w:eastAsia="仿宋" w:cs="仿宋"/>
                <w:b/>
                <w:bCs/>
                <w:sz w:val="24"/>
                <w:szCs w:val="24"/>
                <w:vertAlign w:val="baseline"/>
              </w:rPr>
              <w:t>指标</w:t>
            </w:r>
          </w:p>
        </w:tc>
        <w:tc>
          <w:tcPr>
            <w:tcW w:w="4255" w:type="pct"/>
          </w:tcPr>
          <w:p w14:paraId="5B8B485E">
            <w:pPr>
              <w:spacing w:line="360" w:lineRule="auto"/>
              <w:jc w:val="center"/>
              <w:rPr>
                <w:rFonts w:hint="eastAsia" w:ascii="仿宋" w:hAnsi="仿宋" w:eastAsia="仿宋" w:cs="仿宋"/>
                <w:b/>
                <w:bCs/>
                <w:sz w:val="24"/>
                <w:szCs w:val="24"/>
                <w:vertAlign w:val="baseline"/>
              </w:rPr>
            </w:pPr>
            <w:r>
              <w:rPr>
                <w:rFonts w:hint="eastAsia" w:ascii="仿宋" w:hAnsi="仿宋" w:eastAsia="仿宋" w:cs="仿宋"/>
                <w:b/>
                <w:bCs/>
                <w:sz w:val="24"/>
                <w:szCs w:val="24"/>
                <w:vertAlign w:val="baseline"/>
              </w:rPr>
              <w:t>考核要素及标准</w:t>
            </w:r>
          </w:p>
        </w:tc>
      </w:tr>
      <w:tr w14:paraId="76AE4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restart"/>
            <w:vAlign w:val="center"/>
          </w:tcPr>
          <w:p w14:paraId="02112677">
            <w:pPr>
              <w:spacing w:line="360" w:lineRule="auto"/>
              <w:jc w:val="center"/>
              <w:rPr>
                <w:rFonts w:hint="eastAsia" w:ascii="仿宋" w:hAnsi="仿宋" w:eastAsia="仿宋" w:cs="仿宋"/>
                <w:sz w:val="24"/>
                <w:szCs w:val="24"/>
                <w:vertAlign w:val="baseline"/>
              </w:rPr>
            </w:pPr>
            <w:r>
              <w:rPr>
                <w:rFonts w:hint="eastAsia" w:ascii="仿宋" w:hAnsi="仿宋" w:eastAsia="仿宋" w:cs="仿宋"/>
                <w:sz w:val="24"/>
                <w:szCs w:val="24"/>
                <w:vertAlign w:val="baseline"/>
              </w:rPr>
              <w:t>配送</w:t>
            </w:r>
          </w:p>
          <w:p w14:paraId="4E2DDE02">
            <w:pPr>
              <w:spacing w:line="360" w:lineRule="auto"/>
              <w:jc w:val="center"/>
              <w:rPr>
                <w:rFonts w:hint="eastAsia" w:ascii="仿宋" w:hAnsi="仿宋" w:eastAsia="仿宋" w:cs="仿宋"/>
                <w:sz w:val="24"/>
                <w:szCs w:val="24"/>
                <w:vertAlign w:val="baseline"/>
              </w:rPr>
            </w:pPr>
            <w:r>
              <w:rPr>
                <w:rFonts w:hint="eastAsia" w:ascii="仿宋" w:hAnsi="仿宋" w:eastAsia="仿宋" w:cs="仿宋"/>
                <w:sz w:val="24"/>
                <w:szCs w:val="24"/>
                <w:vertAlign w:val="baseline"/>
              </w:rPr>
              <w:t>要求</w:t>
            </w:r>
          </w:p>
        </w:tc>
        <w:tc>
          <w:tcPr>
            <w:tcW w:w="4255" w:type="pct"/>
          </w:tcPr>
          <w:p w14:paraId="025BB6C4">
            <w:pPr>
              <w:spacing w:line="360" w:lineRule="auto"/>
              <w:rPr>
                <w:rFonts w:hint="eastAsia" w:ascii="仿宋" w:hAnsi="仿宋" w:eastAsia="仿宋" w:cs="仿宋"/>
                <w:sz w:val="24"/>
                <w:szCs w:val="24"/>
                <w:vertAlign w:val="baseline"/>
              </w:rPr>
            </w:pPr>
            <w:r>
              <w:rPr>
                <w:rFonts w:hint="eastAsia" w:ascii="仿宋" w:hAnsi="仿宋" w:eastAsia="仿宋" w:cs="仿宋"/>
                <w:sz w:val="24"/>
                <w:szCs w:val="24"/>
                <w:vertAlign w:val="baseline"/>
              </w:rPr>
              <w:t>保证商品齐全，不得缺货断货，出现一种商品缺货断货扣 2 分。</w:t>
            </w:r>
          </w:p>
        </w:tc>
      </w:tr>
      <w:tr w14:paraId="246C3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vAlign w:val="center"/>
          </w:tcPr>
          <w:p w14:paraId="1D0EFCA5">
            <w:pPr>
              <w:spacing w:line="360" w:lineRule="auto"/>
              <w:jc w:val="center"/>
              <w:rPr>
                <w:rFonts w:hint="eastAsia" w:ascii="仿宋" w:hAnsi="仿宋" w:eastAsia="仿宋" w:cs="仿宋"/>
                <w:sz w:val="24"/>
                <w:szCs w:val="24"/>
                <w:vertAlign w:val="baseline"/>
              </w:rPr>
            </w:pPr>
          </w:p>
        </w:tc>
        <w:tc>
          <w:tcPr>
            <w:tcW w:w="4255" w:type="pct"/>
          </w:tcPr>
          <w:p w14:paraId="60BE183A">
            <w:pPr>
              <w:spacing w:line="360" w:lineRule="auto"/>
              <w:rPr>
                <w:rFonts w:hint="eastAsia" w:ascii="仿宋" w:hAnsi="仿宋" w:eastAsia="仿宋" w:cs="仿宋"/>
                <w:sz w:val="24"/>
                <w:szCs w:val="24"/>
                <w:vertAlign w:val="baseline"/>
              </w:rPr>
            </w:pPr>
            <w:r>
              <w:rPr>
                <w:rFonts w:hint="eastAsia" w:ascii="仿宋" w:hAnsi="仿宋" w:eastAsia="仿宋" w:cs="仿宋"/>
                <w:sz w:val="24"/>
                <w:szCs w:val="24"/>
                <w:vertAlign w:val="baseline"/>
              </w:rPr>
              <w:t>送货准时，所需物资按照约定时间一并送达，每出现一次半小时以内延误扣3 分，延误一小时扣 6 分，若发现未使用报备人员送货的情形扣除 10 分。</w:t>
            </w:r>
          </w:p>
        </w:tc>
      </w:tr>
      <w:tr w14:paraId="015BA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vAlign w:val="center"/>
          </w:tcPr>
          <w:p w14:paraId="5AEDC044">
            <w:pPr>
              <w:spacing w:line="360" w:lineRule="auto"/>
              <w:jc w:val="center"/>
              <w:rPr>
                <w:rFonts w:hint="eastAsia" w:ascii="仿宋" w:hAnsi="仿宋" w:eastAsia="仿宋" w:cs="仿宋"/>
                <w:sz w:val="24"/>
                <w:szCs w:val="24"/>
                <w:vertAlign w:val="baseline"/>
              </w:rPr>
            </w:pPr>
          </w:p>
        </w:tc>
        <w:tc>
          <w:tcPr>
            <w:tcW w:w="4255" w:type="pct"/>
          </w:tcPr>
          <w:p w14:paraId="51F46363">
            <w:pPr>
              <w:spacing w:line="360" w:lineRule="auto"/>
              <w:rPr>
                <w:rFonts w:hint="eastAsia" w:ascii="仿宋" w:hAnsi="仿宋" w:eastAsia="仿宋" w:cs="仿宋"/>
                <w:sz w:val="24"/>
                <w:szCs w:val="24"/>
                <w:vertAlign w:val="baseline"/>
              </w:rPr>
            </w:pPr>
            <w:r>
              <w:rPr>
                <w:rFonts w:hint="eastAsia" w:ascii="仿宋" w:hAnsi="仿宋" w:eastAsia="仿宋" w:cs="仿宋"/>
                <w:sz w:val="24"/>
                <w:szCs w:val="24"/>
                <w:vertAlign w:val="baseline"/>
              </w:rPr>
              <w:t>要求送货人员工作认真，服务热情周到，运输搬运文明，运送人员野蛮搬装或与对接工作人员起争执，出现一次扣 4 分。</w:t>
            </w:r>
          </w:p>
        </w:tc>
      </w:tr>
      <w:tr w14:paraId="555E2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vAlign w:val="center"/>
          </w:tcPr>
          <w:p w14:paraId="3808B9E4">
            <w:pPr>
              <w:spacing w:line="360" w:lineRule="auto"/>
              <w:jc w:val="center"/>
              <w:rPr>
                <w:rFonts w:hint="eastAsia" w:ascii="仿宋" w:hAnsi="仿宋" w:eastAsia="仿宋" w:cs="仿宋"/>
                <w:sz w:val="24"/>
                <w:szCs w:val="24"/>
                <w:vertAlign w:val="baseline"/>
              </w:rPr>
            </w:pPr>
          </w:p>
        </w:tc>
        <w:tc>
          <w:tcPr>
            <w:tcW w:w="4255" w:type="pct"/>
          </w:tcPr>
          <w:p w14:paraId="40C2797E">
            <w:pPr>
              <w:spacing w:line="360" w:lineRule="auto"/>
              <w:rPr>
                <w:rFonts w:hint="eastAsia" w:ascii="仿宋" w:hAnsi="仿宋" w:eastAsia="仿宋" w:cs="仿宋"/>
                <w:sz w:val="24"/>
                <w:szCs w:val="24"/>
                <w:vertAlign w:val="baseline"/>
              </w:rPr>
            </w:pPr>
            <w:r>
              <w:rPr>
                <w:rFonts w:hint="eastAsia" w:ascii="仿宋" w:hAnsi="仿宋" w:eastAsia="仿宋" w:cs="仿宋"/>
                <w:sz w:val="24"/>
                <w:szCs w:val="24"/>
                <w:vertAlign w:val="baseline"/>
              </w:rPr>
              <w:t>商品不能按照订单配送时，提前与甲方联系，出现错送漏送，当天能补送的一次扣 2 分。当天不能补齐的一次扣 5 分。</w:t>
            </w:r>
          </w:p>
        </w:tc>
      </w:tr>
      <w:tr w14:paraId="6074B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vAlign w:val="center"/>
          </w:tcPr>
          <w:p w14:paraId="73D395D5">
            <w:pPr>
              <w:spacing w:line="360" w:lineRule="auto"/>
              <w:jc w:val="center"/>
              <w:rPr>
                <w:rFonts w:hint="eastAsia" w:ascii="仿宋" w:hAnsi="仿宋" w:eastAsia="仿宋" w:cs="仿宋"/>
                <w:sz w:val="24"/>
                <w:szCs w:val="24"/>
                <w:vertAlign w:val="baseline"/>
              </w:rPr>
            </w:pPr>
          </w:p>
        </w:tc>
        <w:tc>
          <w:tcPr>
            <w:tcW w:w="4255" w:type="pct"/>
          </w:tcPr>
          <w:p w14:paraId="28EFA6E8">
            <w:pPr>
              <w:spacing w:line="360" w:lineRule="auto"/>
              <w:rPr>
                <w:rFonts w:hint="eastAsia" w:ascii="仿宋" w:hAnsi="仿宋" w:eastAsia="仿宋" w:cs="仿宋"/>
                <w:sz w:val="24"/>
                <w:szCs w:val="24"/>
                <w:vertAlign w:val="baseline"/>
              </w:rPr>
            </w:pPr>
            <w:r>
              <w:rPr>
                <w:rFonts w:hint="eastAsia" w:ascii="仿宋" w:hAnsi="仿宋" w:eastAsia="仿宋" w:cs="仿宋"/>
                <w:sz w:val="24"/>
                <w:szCs w:val="24"/>
                <w:vertAlign w:val="baseline"/>
              </w:rPr>
              <w:t>配送物品与要求的采购清单无差错，出现一次错误扣 2 分。</w:t>
            </w:r>
          </w:p>
        </w:tc>
      </w:tr>
      <w:tr w14:paraId="3A636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vAlign w:val="center"/>
          </w:tcPr>
          <w:p w14:paraId="4703B2BE">
            <w:pPr>
              <w:spacing w:line="360" w:lineRule="auto"/>
              <w:jc w:val="center"/>
              <w:rPr>
                <w:rFonts w:hint="eastAsia" w:ascii="仿宋" w:hAnsi="仿宋" w:eastAsia="仿宋" w:cs="仿宋"/>
                <w:sz w:val="24"/>
                <w:szCs w:val="24"/>
                <w:vertAlign w:val="baseline"/>
              </w:rPr>
            </w:pPr>
          </w:p>
        </w:tc>
        <w:tc>
          <w:tcPr>
            <w:tcW w:w="4255" w:type="pct"/>
          </w:tcPr>
          <w:p w14:paraId="2E6825B5">
            <w:pPr>
              <w:spacing w:line="360" w:lineRule="auto"/>
              <w:rPr>
                <w:rFonts w:hint="eastAsia" w:ascii="仿宋" w:hAnsi="仿宋" w:eastAsia="仿宋" w:cs="仿宋"/>
                <w:sz w:val="24"/>
                <w:szCs w:val="24"/>
                <w:vertAlign w:val="baseline"/>
              </w:rPr>
            </w:pPr>
            <w:r>
              <w:rPr>
                <w:rFonts w:hint="eastAsia" w:ascii="仿宋" w:hAnsi="仿宋" w:eastAsia="仿宋" w:cs="仿宋"/>
                <w:sz w:val="24"/>
                <w:szCs w:val="24"/>
                <w:vertAlign w:val="baseline"/>
              </w:rPr>
              <w:t>送货单据、结算凭证打印清晰，品目齐全，出现一次问题扣 2 分。</w:t>
            </w:r>
          </w:p>
        </w:tc>
      </w:tr>
      <w:tr w14:paraId="365C9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restart"/>
            <w:vAlign w:val="center"/>
          </w:tcPr>
          <w:p w14:paraId="68C2B37D">
            <w:pPr>
              <w:spacing w:line="360" w:lineRule="auto"/>
              <w:jc w:val="center"/>
              <w:rPr>
                <w:rFonts w:hint="eastAsia" w:ascii="仿宋" w:hAnsi="仿宋" w:eastAsia="仿宋" w:cs="仿宋"/>
                <w:sz w:val="24"/>
                <w:szCs w:val="24"/>
                <w:vertAlign w:val="baseline"/>
              </w:rPr>
            </w:pPr>
            <w:r>
              <w:rPr>
                <w:rFonts w:hint="eastAsia" w:ascii="仿宋" w:hAnsi="仿宋" w:eastAsia="仿宋" w:cs="仿宋"/>
                <w:sz w:val="24"/>
                <w:szCs w:val="24"/>
                <w:vertAlign w:val="baseline"/>
              </w:rPr>
              <w:t>商品</w:t>
            </w:r>
          </w:p>
          <w:p w14:paraId="094F198E">
            <w:pPr>
              <w:spacing w:line="360" w:lineRule="auto"/>
              <w:jc w:val="center"/>
              <w:rPr>
                <w:rFonts w:hint="eastAsia" w:ascii="仿宋" w:hAnsi="仿宋" w:eastAsia="仿宋" w:cs="仿宋"/>
                <w:sz w:val="24"/>
                <w:szCs w:val="24"/>
                <w:vertAlign w:val="baseline"/>
              </w:rPr>
            </w:pPr>
            <w:r>
              <w:rPr>
                <w:rFonts w:hint="eastAsia" w:ascii="仿宋" w:hAnsi="仿宋" w:eastAsia="仿宋" w:cs="仿宋"/>
                <w:sz w:val="24"/>
                <w:szCs w:val="24"/>
                <w:vertAlign w:val="baseline"/>
              </w:rPr>
              <w:t>质量</w:t>
            </w:r>
          </w:p>
        </w:tc>
        <w:tc>
          <w:tcPr>
            <w:tcW w:w="4255" w:type="pct"/>
          </w:tcPr>
          <w:p w14:paraId="43415ADC">
            <w:pPr>
              <w:spacing w:line="360" w:lineRule="auto"/>
              <w:rPr>
                <w:rFonts w:hint="eastAsia" w:ascii="仿宋" w:hAnsi="仿宋" w:eastAsia="仿宋" w:cs="仿宋"/>
                <w:sz w:val="24"/>
                <w:szCs w:val="24"/>
                <w:vertAlign w:val="baseline"/>
              </w:rPr>
            </w:pPr>
            <w:r>
              <w:rPr>
                <w:rFonts w:hint="eastAsia" w:ascii="仿宋" w:hAnsi="仿宋" w:eastAsia="仿宋" w:cs="仿宋"/>
                <w:sz w:val="24"/>
                <w:szCs w:val="24"/>
                <w:vertAlign w:val="baseline"/>
              </w:rPr>
              <w:t>产品来源合规，可提供产品采购单或供货协议等产品来源证明，产品证件（如 SC 许可（食用农产品除外）、检验检疫合格证齐全），产品质量符合</w:t>
            </w:r>
            <w:r>
              <w:rPr>
                <w:rFonts w:hint="eastAsia" w:ascii="仿宋" w:hAnsi="仿宋" w:eastAsia="仿宋" w:cs="仿宋"/>
                <w:sz w:val="24"/>
                <w:szCs w:val="24"/>
                <w:vertAlign w:val="baseline"/>
                <w:lang w:eastAsia="zh-CN"/>
              </w:rPr>
              <w:t>谈判文件</w:t>
            </w:r>
            <w:r>
              <w:rPr>
                <w:rFonts w:hint="eastAsia" w:ascii="仿宋" w:hAnsi="仿宋" w:eastAsia="仿宋" w:cs="仿宋"/>
                <w:sz w:val="24"/>
                <w:szCs w:val="24"/>
                <w:vertAlign w:val="baseline"/>
              </w:rPr>
              <w:t>要求及其他验收标准，否则每发现一次质量问题扣 10 分，且乙方应及时更换问题产品，如未能及时更换直接扣除 20 分。</w:t>
            </w:r>
          </w:p>
        </w:tc>
      </w:tr>
      <w:tr w14:paraId="6DEF4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vAlign w:val="center"/>
          </w:tcPr>
          <w:p w14:paraId="4F634C84">
            <w:pPr>
              <w:spacing w:line="360" w:lineRule="auto"/>
              <w:jc w:val="center"/>
              <w:rPr>
                <w:rFonts w:hint="eastAsia" w:ascii="仿宋" w:hAnsi="仿宋" w:eastAsia="仿宋" w:cs="仿宋"/>
                <w:sz w:val="24"/>
                <w:szCs w:val="24"/>
                <w:vertAlign w:val="baseline"/>
              </w:rPr>
            </w:pPr>
          </w:p>
        </w:tc>
        <w:tc>
          <w:tcPr>
            <w:tcW w:w="4255" w:type="pct"/>
          </w:tcPr>
          <w:p w14:paraId="3EAD083B">
            <w:pPr>
              <w:spacing w:line="360" w:lineRule="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送货无缺斤短两情况，若短缺分量达到该类食堂食材单次配送数量 3%以上，出现一次扣 5 分</w:t>
            </w:r>
            <w:r>
              <w:rPr>
                <w:rFonts w:hint="eastAsia" w:ascii="仿宋" w:hAnsi="仿宋" w:eastAsia="仿宋" w:cs="仿宋"/>
                <w:sz w:val="24"/>
                <w:szCs w:val="24"/>
                <w:vertAlign w:val="baseline"/>
                <w:lang w:eastAsia="zh-CN"/>
              </w:rPr>
              <w:t>。</w:t>
            </w:r>
          </w:p>
        </w:tc>
      </w:tr>
      <w:tr w14:paraId="5E59C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vAlign w:val="center"/>
          </w:tcPr>
          <w:p w14:paraId="4B4EBDF4">
            <w:pPr>
              <w:spacing w:line="360" w:lineRule="auto"/>
              <w:jc w:val="center"/>
              <w:rPr>
                <w:rFonts w:hint="eastAsia" w:ascii="仿宋" w:hAnsi="仿宋" w:eastAsia="仿宋" w:cs="仿宋"/>
                <w:sz w:val="24"/>
                <w:szCs w:val="24"/>
                <w:vertAlign w:val="baseline"/>
              </w:rPr>
            </w:pPr>
          </w:p>
        </w:tc>
        <w:tc>
          <w:tcPr>
            <w:tcW w:w="4255" w:type="pct"/>
          </w:tcPr>
          <w:p w14:paraId="62DD60C2">
            <w:pPr>
              <w:spacing w:line="360" w:lineRule="auto"/>
              <w:rPr>
                <w:rFonts w:hint="eastAsia" w:ascii="仿宋" w:hAnsi="仿宋" w:eastAsia="仿宋" w:cs="仿宋"/>
                <w:sz w:val="24"/>
                <w:szCs w:val="24"/>
                <w:vertAlign w:val="baseline"/>
              </w:rPr>
            </w:pPr>
            <w:r>
              <w:rPr>
                <w:rFonts w:hint="eastAsia" w:ascii="仿宋" w:hAnsi="仿宋" w:eastAsia="仿宋" w:cs="仿宋"/>
                <w:sz w:val="24"/>
                <w:szCs w:val="24"/>
                <w:vertAlign w:val="baseline"/>
              </w:rPr>
              <w:t>产品包装完整，符合甲方指定要求，每出现一次问题扣 2 分。</w:t>
            </w:r>
          </w:p>
        </w:tc>
      </w:tr>
      <w:tr w14:paraId="014B0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restart"/>
            <w:vAlign w:val="center"/>
          </w:tcPr>
          <w:p w14:paraId="1CB874D2">
            <w:pPr>
              <w:spacing w:line="360" w:lineRule="auto"/>
              <w:jc w:val="center"/>
              <w:rPr>
                <w:rFonts w:hint="eastAsia" w:ascii="仿宋" w:hAnsi="仿宋" w:eastAsia="仿宋" w:cs="仿宋"/>
                <w:sz w:val="24"/>
                <w:szCs w:val="24"/>
                <w:vertAlign w:val="baseline"/>
              </w:rPr>
            </w:pPr>
            <w:r>
              <w:rPr>
                <w:rFonts w:hint="eastAsia" w:ascii="仿宋" w:hAnsi="仿宋" w:eastAsia="仿宋" w:cs="仿宋"/>
                <w:sz w:val="24"/>
                <w:szCs w:val="24"/>
                <w:vertAlign w:val="baseline"/>
              </w:rPr>
              <w:t>科学</w:t>
            </w:r>
          </w:p>
          <w:p w14:paraId="70FEC63A">
            <w:pPr>
              <w:spacing w:line="360" w:lineRule="auto"/>
              <w:jc w:val="center"/>
              <w:rPr>
                <w:rFonts w:hint="eastAsia" w:ascii="仿宋" w:hAnsi="仿宋" w:eastAsia="仿宋" w:cs="仿宋"/>
                <w:sz w:val="24"/>
                <w:szCs w:val="24"/>
                <w:vertAlign w:val="baseline"/>
              </w:rPr>
            </w:pPr>
            <w:r>
              <w:rPr>
                <w:rFonts w:hint="eastAsia" w:ascii="仿宋" w:hAnsi="仿宋" w:eastAsia="仿宋" w:cs="仿宋"/>
                <w:sz w:val="24"/>
                <w:szCs w:val="24"/>
                <w:vertAlign w:val="baseline"/>
              </w:rPr>
              <w:t>管理</w:t>
            </w:r>
          </w:p>
        </w:tc>
        <w:tc>
          <w:tcPr>
            <w:tcW w:w="4255" w:type="pct"/>
          </w:tcPr>
          <w:p w14:paraId="33917AF0">
            <w:pPr>
              <w:spacing w:line="360" w:lineRule="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运输车辆、仓库、周转箱保持清洁无异味，定期消毒，每发现一次问题扣 3分，扣完为止</w:t>
            </w:r>
            <w:r>
              <w:rPr>
                <w:rFonts w:hint="eastAsia" w:ascii="仿宋" w:hAnsi="仿宋" w:eastAsia="仿宋" w:cs="仿宋"/>
                <w:sz w:val="24"/>
                <w:szCs w:val="24"/>
                <w:vertAlign w:val="baseline"/>
                <w:lang w:eastAsia="zh-CN"/>
              </w:rPr>
              <w:t>。</w:t>
            </w:r>
          </w:p>
        </w:tc>
      </w:tr>
      <w:tr w14:paraId="2C261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14:paraId="3A25B9A8">
            <w:pPr>
              <w:spacing w:line="360" w:lineRule="auto"/>
              <w:rPr>
                <w:rFonts w:hint="eastAsia" w:ascii="仿宋" w:hAnsi="仿宋" w:eastAsia="仿宋" w:cs="仿宋"/>
                <w:sz w:val="24"/>
                <w:szCs w:val="24"/>
                <w:vertAlign w:val="baseline"/>
              </w:rPr>
            </w:pPr>
          </w:p>
        </w:tc>
        <w:tc>
          <w:tcPr>
            <w:tcW w:w="4255" w:type="pct"/>
          </w:tcPr>
          <w:p w14:paraId="1477F44F">
            <w:pPr>
              <w:spacing w:line="360" w:lineRule="auto"/>
              <w:rPr>
                <w:rFonts w:hint="eastAsia" w:ascii="仿宋" w:hAnsi="仿宋" w:eastAsia="仿宋" w:cs="仿宋"/>
                <w:sz w:val="24"/>
                <w:szCs w:val="24"/>
                <w:vertAlign w:val="baseline"/>
              </w:rPr>
            </w:pPr>
            <w:r>
              <w:rPr>
                <w:rFonts w:hint="eastAsia" w:ascii="仿宋" w:hAnsi="仿宋" w:eastAsia="仿宋" w:cs="仿宋"/>
                <w:sz w:val="24"/>
                <w:szCs w:val="24"/>
                <w:vertAlign w:val="baseline"/>
              </w:rPr>
              <w:t>针对配送服务中出现的问题及甲方提出的整改建议，虚心接受，及时补正，不及时整改者扣 4 分，及时整改但效果不明显扣 1 分。</w:t>
            </w:r>
          </w:p>
        </w:tc>
      </w:tr>
    </w:tbl>
    <w:p w14:paraId="26F6BE0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五、自本合同解除或终止之日起 60 天内，如乙方提供的产品存在质量问题，甲方有权要求乙方进行赔偿。</w:t>
      </w:r>
    </w:p>
    <w:p w14:paraId="49360C39">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第三条 合同标的</w:t>
      </w:r>
    </w:p>
    <w:p w14:paraId="16E8E42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一、投标人产品范围：乙方根据</w:t>
      </w:r>
      <w:r>
        <w:rPr>
          <w:rFonts w:hint="eastAsia" w:ascii="仿宋" w:hAnsi="仿宋" w:eastAsia="仿宋" w:cs="仿宋"/>
          <w:sz w:val="24"/>
          <w:szCs w:val="24"/>
          <w:lang w:eastAsia="zh-CN"/>
        </w:rPr>
        <w:t>谈判文件</w:t>
      </w:r>
      <w:r>
        <w:rPr>
          <w:rFonts w:hint="eastAsia" w:ascii="仿宋" w:hAnsi="仿宋" w:eastAsia="仿宋" w:cs="仿宋"/>
          <w:sz w:val="24"/>
          <w:szCs w:val="24"/>
        </w:rPr>
        <w:t>需要为甲方提供的本项目产品。包括名称、数量、型号、单位等并与</w:t>
      </w:r>
      <w:r>
        <w:rPr>
          <w:rFonts w:hint="eastAsia" w:ascii="仿宋" w:hAnsi="仿宋" w:eastAsia="仿宋" w:cs="仿宋"/>
          <w:sz w:val="24"/>
          <w:szCs w:val="24"/>
          <w:lang w:eastAsia="zh-CN"/>
        </w:rPr>
        <w:t>响应文件</w:t>
      </w:r>
      <w:r>
        <w:rPr>
          <w:rFonts w:hint="eastAsia" w:ascii="仿宋" w:hAnsi="仿宋" w:eastAsia="仿宋" w:cs="仿宋"/>
          <w:sz w:val="24"/>
          <w:szCs w:val="24"/>
        </w:rPr>
        <w:t>相关条款保持一致。</w:t>
      </w:r>
    </w:p>
    <w:p w14:paraId="2BE949F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乙方应当向甲方提交相关商品生产、代理、批发、专项经营等许可或证明文件以及相关质量检验（检疫）证明。有专利、注册商标标识的，还应提供国家颁发的有关证明。</w:t>
      </w:r>
    </w:p>
    <w:p w14:paraId="763B28D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二、商品数量</w:t>
      </w:r>
    </w:p>
    <w:p w14:paraId="126A4E2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交货品种、规格、数量以甲方发出的</w:t>
      </w:r>
      <w:r>
        <w:rPr>
          <w:rFonts w:hint="eastAsia" w:ascii="仿宋" w:hAnsi="仿宋" w:eastAsia="仿宋" w:cs="仿宋"/>
          <w:sz w:val="24"/>
          <w:szCs w:val="24"/>
          <w:lang w:val="en-US" w:eastAsia="zh-CN"/>
        </w:rPr>
        <w:t>供货通知单</w:t>
      </w:r>
      <w:r>
        <w:rPr>
          <w:rFonts w:hint="eastAsia" w:ascii="仿宋" w:hAnsi="仿宋" w:eastAsia="仿宋" w:cs="仿宋"/>
          <w:sz w:val="24"/>
          <w:szCs w:val="24"/>
        </w:rPr>
        <w:t>为准（特殊情况下可以先行电话通知后补订单）。</w:t>
      </w:r>
    </w:p>
    <w:p w14:paraId="10003B6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三、商品价格</w:t>
      </w:r>
    </w:p>
    <w:p w14:paraId="09CBC8C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（一）乙方提供给甲方的报价系税后价格，已包含：所有税额以及负责将商品送至甲方所指定地点的运费等一切费用。</w:t>
      </w:r>
    </w:p>
    <w:p w14:paraId="2EF42E3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（二）定价原则：</w:t>
      </w:r>
    </w:p>
    <w:p w14:paraId="70F0B700">
      <w:pPr>
        <w:spacing w:line="360" w:lineRule="auto"/>
        <w:ind w:firstLine="480" w:firstLineChars="200"/>
        <w:rPr>
          <w:rFonts w:hint="eastAsia" w:ascii="仿宋" w:hAnsi="仿宋" w:eastAsia="仿宋" w:cs="仿宋"/>
          <w:b/>
          <w:bCs/>
          <w:sz w:val="24"/>
          <w:szCs w:val="24"/>
          <w:highlight w:val="none"/>
        </w:rPr>
      </w:pPr>
      <w:r>
        <w:rPr>
          <w:rFonts w:hint="eastAsia" w:ascii="仿宋" w:hAnsi="仿宋" w:eastAsia="仿宋" w:cs="仿宋"/>
          <w:sz w:val="24"/>
          <w:szCs w:val="24"/>
          <w:highlight w:val="none"/>
        </w:rPr>
        <w:t>1、供应商所供应的食材结算单价以</w:t>
      </w:r>
      <w:r>
        <w:rPr>
          <w:rFonts w:hint="eastAsia" w:ascii="仿宋" w:hAnsi="仿宋" w:eastAsia="仿宋" w:cs="仿宋"/>
          <w:b/>
          <w:bCs/>
          <w:sz w:val="24"/>
          <w:szCs w:val="24"/>
          <w:highlight w:val="none"/>
        </w:rPr>
        <w:t>县教体局经每两周市场询价发布的《汉阴县“校园餐”原辅食材最高限价》作为结算基础价格，若乙方报价低于指导价则以乙方报价为结算基础价格。</w:t>
      </w:r>
    </w:p>
    <w:p w14:paraId="7A09E899">
      <w:pPr>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实际结算货款=实际供货数量×县教体局发布的原辅食材最高限价×中标折扣。</w:t>
      </w:r>
    </w:p>
    <w:p w14:paraId="39095005">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、在出现市场供需发生严重失衡、自然灾害、社会事件、重大安保等情形势，乙方应全力做好应急保障工作，避免出现供应不及时的情况。</w:t>
      </w:r>
    </w:p>
    <w:p w14:paraId="151C8BF2">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第四条 商品质量</w:t>
      </w:r>
    </w:p>
    <w:p w14:paraId="2F8C4C5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一、乙方所提供的商品应符合国家规定标准、法律、法规及</w:t>
      </w:r>
      <w:r>
        <w:rPr>
          <w:rFonts w:hint="eastAsia" w:ascii="仿宋" w:hAnsi="仿宋" w:eastAsia="仿宋" w:cs="仿宋"/>
          <w:sz w:val="24"/>
          <w:szCs w:val="24"/>
          <w:lang w:eastAsia="zh-CN"/>
        </w:rPr>
        <w:t>谈判文件</w:t>
      </w:r>
      <w:r>
        <w:rPr>
          <w:rFonts w:hint="eastAsia" w:ascii="仿宋" w:hAnsi="仿宋" w:eastAsia="仿宋" w:cs="仿宋"/>
          <w:sz w:val="24"/>
          <w:szCs w:val="24"/>
        </w:rPr>
        <w:t>规定的标准；没有国家标准的，可以执行行业标准；没有行业标准的，可以执行地方标准；没有国家标准、行业或者地方标准的，可以执行乙方企业标准（企业标准应当是在省级卫生行政部门备案的）；没有国家、地方、企业标准的，应执行甲方制定的质量标准。</w:t>
      </w:r>
    </w:p>
    <w:p w14:paraId="0C8787B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二、乙方应提供政府有关职能部门核准的检验报告和一些商品应具备的生产合格证明。</w:t>
      </w:r>
    </w:p>
    <w:p w14:paraId="747684D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三、国家或地方有卫生检疫规定的，乙方应按规定进行检疫；并向甲方提供政府有关职能部门核准的检疫报告。</w:t>
      </w:r>
    </w:p>
    <w:p w14:paraId="326F5C7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四、若甲方在订货前要求乙方事先提供商品样品的或双方在订货前约定品种及规格的，乙方所供商品必须与样品或约定的相符。</w:t>
      </w:r>
    </w:p>
    <w:p w14:paraId="1A8E998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五、乙方对所提供商品的安全质量负责，并承担因质量问题引起的一切法律责任，以及赔偿甲方所有损失。</w:t>
      </w:r>
    </w:p>
    <w:p w14:paraId="18D97C8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六、乙方应保证所供商品在保质期内 100％合格率。</w:t>
      </w:r>
    </w:p>
    <w:p w14:paraId="75F25A2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（一）如甲方在实际使用和未使用的商品中发现该批次商品部分质量不合格， 甲方负责对未使用的该批次商品进行封存，并通知乙方，乙方在接到通知后，应及时对该批次商品实行 100%</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退换货，同时乙方应对此负全部责任。</w:t>
      </w:r>
    </w:p>
    <w:p w14:paraId="3F33A02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（二）乙方如发现提供给甲方的商品存在质量问题，应立即通知甲方，并及时主动召回。</w:t>
      </w:r>
    </w:p>
    <w:p w14:paraId="061C7DC9">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第五条 包装、条码</w:t>
      </w:r>
    </w:p>
    <w:p w14:paraId="45ECC03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一、乙方所供商品的内外包装，应当符合中华人民共和国相关法律法规的规定和甲方的要求。内外包装上应使用中文标明产品名称、商标、生产厂厂名与厂址、规格、等级、采用的产品标准、SC 认证标识（食用农产品除外）、生产日期和保质期等。</w:t>
      </w:r>
    </w:p>
    <w:p w14:paraId="045584F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二、内外包装上标明的生产日期和保质期应一致，并不得使用手写的方式。</w:t>
      </w:r>
    </w:p>
    <w:p w14:paraId="1B643C5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三、乙方所提供商品的包装应使用无毒、清洁的材料。</w:t>
      </w:r>
    </w:p>
    <w:p w14:paraId="6100396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四、乙方的包装不符合规定，需返修或重新包装的，应负责返修或重新包装，并承担因此而支付的费用，造成货物损坏或损失的，乙方应当负责赔偿。</w:t>
      </w:r>
    </w:p>
    <w:p w14:paraId="545E4E67">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第六条 交货、运输及验收</w:t>
      </w:r>
    </w:p>
    <w:p w14:paraId="1E07F00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一、交货</w:t>
      </w:r>
    </w:p>
    <w:p w14:paraId="1DF7CB5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（一）交货地点：</w:t>
      </w:r>
      <w:r>
        <w:rPr>
          <w:rFonts w:hint="eastAsia" w:ascii="仿宋" w:hAnsi="仿宋" w:eastAsia="仿宋" w:cs="仿宋"/>
          <w:sz w:val="24"/>
          <w:szCs w:val="24"/>
          <w:lang w:val="en-US" w:eastAsia="zh-CN"/>
        </w:rPr>
        <w:t>汉阴县第二幼儿园</w:t>
      </w:r>
      <w:r>
        <w:rPr>
          <w:rFonts w:hint="eastAsia" w:ascii="仿宋" w:hAnsi="仿宋" w:eastAsia="仿宋" w:cs="仿宋"/>
          <w:sz w:val="24"/>
          <w:szCs w:val="24"/>
          <w:lang w:eastAsia="zh-CN"/>
        </w:rPr>
        <w:t>，</w:t>
      </w:r>
      <w:r>
        <w:rPr>
          <w:rFonts w:hint="eastAsia" w:ascii="仿宋" w:hAnsi="仿宋" w:eastAsia="仿宋" w:cs="仿宋"/>
          <w:sz w:val="24"/>
          <w:szCs w:val="24"/>
        </w:rPr>
        <w:t>卸货到甲方指定位置。配送前采购人提供收货地址、联系人、电话等信息列表。</w:t>
      </w:r>
    </w:p>
    <w:p w14:paraId="1E65BF1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（二）交货时间：按照甲方、乙方约定的时间交付到交货地点。</w:t>
      </w:r>
    </w:p>
    <w:p w14:paraId="513537A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（三）乙方收到甲方订单不可超量或少量交货、更不可发错货，乙方发货过程出现错误所造成的损失由乙方全部负责。</w:t>
      </w:r>
    </w:p>
    <w:p w14:paraId="6C17E3E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（四）属于多发、错发商品，甲方应做好详细记录，妥为保管，收货后 3 日内通知乙方，甲方不能自行动用，因此而发生的一切费用由乙方负担。</w:t>
      </w:r>
    </w:p>
    <w:p w14:paraId="6A32B6B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（五）乙方逾期交货的，应在发货前通知甲方，并进行协商，甲方仍需要的，乙方应照数补交，并负逾期交货责任；甲方不再需要的，应当在 3 天内答复乙方，甲方逾期不答复的，视为同意发货。</w:t>
      </w:r>
    </w:p>
    <w:p w14:paraId="2EF29F2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（六）乙方提供的商品须依以下允许收货的保质期限发货：</w:t>
      </w:r>
    </w:p>
    <w:p w14:paraId="1552363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1、规定保质期的商品：货物到达甲方所在地时，乙方须保证其保质期限未过 1/3。</w:t>
      </w:r>
    </w:p>
    <w:p w14:paraId="402CA64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2、规定无保质期的商品：</w:t>
      </w:r>
    </w:p>
    <w:p w14:paraId="75E72A4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a 蔬菜、水果、禽蛋、肉类商品到达甲方所在地时，应保持其新鲜度，抽检不合格的产品应退换货。</w:t>
      </w:r>
    </w:p>
    <w:p w14:paraId="68EEF67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b 水产类商品到达甲方所在地时，应保持其鲜活，抽检不合格的产品应退换货。</w:t>
      </w:r>
    </w:p>
    <w:p w14:paraId="122CB3C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c 需要提供商品采购时间信息和建议的保鲜使用时限。</w:t>
      </w:r>
    </w:p>
    <w:p w14:paraId="0FE30C9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（七）疫情防控或安保期间，乙方配送人员需按照甲方规定要求提供相应检测报告或材料。</w:t>
      </w:r>
    </w:p>
    <w:p w14:paraId="4B3F7B2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二、运输</w:t>
      </w:r>
    </w:p>
    <w:p w14:paraId="150AD87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（一）交货、退换货期间，由乙方负责运输、装卸。所发生的运输、装卸费用由乙方承担。</w:t>
      </w:r>
    </w:p>
    <w:p w14:paraId="30FD9CC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（二）运输工具应当安全、无害，保持清洁，防止食品污染，不得将食品与有毒、有害物品一同运输。</w:t>
      </w:r>
    </w:p>
    <w:p w14:paraId="0BC13FE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（三）所有保鲜食品均需采用冷链运输。</w:t>
      </w:r>
    </w:p>
    <w:p w14:paraId="4940DEB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三、验收、检验</w:t>
      </w:r>
    </w:p>
    <w:p w14:paraId="0FB13FB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（一）验收</w:t>
      </w:r>
    </w:p>
    <w:p w14:paraId="62B09BF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1、验收地点：甲方指定地点</w:t>
      </w:r>
    </w:p>
    <w:p w14:paraId="0BA4F60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到货后，甲方应当及时安排质检、保管人员持单位采购人员打印签字的采购订单逐一对照商品的品名、规格、产地、数量、包装、生产日期、保质期、检验（检疫）报告和第六条第一款第六项之规定进行初步验收，并出具收货凭证；如商品不符合本合同及订单要求的，甲方可以拒绝接收。对于特殊情况下甲方无法验收完毕的，应当在出具的收货凭证上注明待验收，同时告知验收完毕的具体时间。</w:t>
      </w:r>
    </w:p>
    <w:p w14:paraId="2406A29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3、所有权及风险转移时点：甲方对乙方提供商品完成验收且验收合格,乙方将商品交付甲方,甲方出具收货凭证时转移。</w:t>
      </w:r>
    </w:p>
    <w:p w14:paraId="670C94A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（二）检验</w:t>
      </w:r>
    </w:p>
    <w:p w14:paraId="35EA3F4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1、商品内在质量由乙方负责，但甲方对商品内在质量存在质疑时，乙方同意甲方将该商品交质量监督检验机构检验，检验费由乙方承担。</w:t>
      </w:r>
    </w:p>
    <w:p w14:paraId="00819D4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2、甲方可对乙方提供的商品进行多次的定期或不定期抽样送检，送检商品质量合格的，检验费由甲方承担，不合格的则由乙方承担。</w:t>
      </w:r>
    </w:p>
    <w:p w14:paraId="12378B6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3、甲方在使用过程中由政府专门机构依有关规定进行的质量跟踪检验，如检验部门收取费用的，检验费由乙方承担。</w:t>
      </w:r>
    </w:p>
    <w:p w14:paraId="5F19838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4、由消费者投诉而送检的商品，检验后合格的，检验费由乙方承担。</w:t>
      </w:r>
    </w:p>
    <w:p w14:paraId="14FEE97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上述检验应由乙方承担的费用，甲方需提供政府专门检验机构合法收费凭证和检验报告单，并以凭证金额向乙方结算。</w:t>
      </w:r>
    </w:p>
    <w:p w14:paraId="107ADACC">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第七条 退、换货</w:t>
      </w:r>
    </w:p>
    <w:p w14:paraId="0D7E844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一、乙方提供的商品出现质量问题的，甲方可以随时提出 100%退货，乙方应无条件的接受退货，因此而产生的损失由乙方全部承担，同时乙方应对此负全部责任。</w:t>
      </w:r>
    </w:p>
    <w:p w14:paraId="4DACABB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二、乙方提供的商品在甲方验收期间出现包装不整、残缺和经检验为不合格商品，乙方无条件接受退货或换货。</w:t>
      </w:r>
    </w:p>
    <w:p w14:paraId="26544A8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三、甲方应当在发现乙方提供的产品不满足本合同“第六条 交货、运输及验收（六）乙方提供的商品须依以下允许收货的保质期限发货”时提出退换货。</w:t>
      </w:r>
    </w:p>
    <w:p w14:paraId="7723298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四、甲方退、换货应当向乙方发出退换货书面或电话通知，乙方应当于收到通知后</w:t>
      </w:r>
      <w:r>
        <w:rPr>
          <w:rFonts w:hint="eastAsia" w:ascii="仿宋" w:hAnsi="仿宋" w:eastAsia="仿宋" w:cs="仿宋"/>
          <w:sz w:val="24"/>
          <w:szCs w:val="24"/>
          <w:highlight w:val="none"/>
          <w:lang w:val="en-US" w:eastAsia="zh-CN"/>
        </w:rPr>
        <w:t>即刻</w:t>
      </w:r>
      <w:r>
        <w:rPr>
          <w:rFonts w:hint="eastAsia" w:ascii="仿宋" w:hAnsi="仿宋" w:eastAsia="仿宋" w:cs="仿宋"/>
          <w:sz w:val="24"/>
          <w:szCs w:val="24"/>
          <w:highlight w:val="none"/>
        </w:rPr>
        <w:t>对所退换商品进行核实，负责更换或者收回所清退商品。如乙方逾期不答复或未在规定的期限内更换或者收回所清退商品的，甲方有权自行处置该商品，并在对账结算时予以扣除。</w:t>
      </w:r>
    </w:p>
    <w:p w14:paraId="5405C95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下列情形下，乙方有权拒绝退货：</w:t>
      </w:r>
    </w:p>
    <w:p w14:paraId="7076BA2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（1）甲方因自身原因造成商品污染、毁损、变质或过期的；</w:t>
      </w:r>
    </w:p>
    <w:p w14:paraId="67B0F87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（2）甲方以调整库存、经营场所改造等事由的。</w:t>
      </w:r>
    </w:p>
    <w:p w14:paraId="40E1BFFB">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第八条 商品损耗</w:t>
      </w:r>
    </w:p>
    <w:p w14:paraId="4129F79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商品在到达甲方后，验收过程中存在着一定比例质量抽检的样品损失，乙方愿意承担损耗,并补足损耗部分。</w:t>
      </w:r>
    </w:p>
    <w:p w14:paraId="409E3AA7">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第九条 对帐</w:t>
      </w:r>
    </w:p>
    <w:p w14:paraId="5F19FCC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一、甲乙双方确认的食堂食材对帐周期为：每月 1 次。</w:t>
      </w:r>
    </w:p>
    <w:p w14:paraId="12C327D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二、对帐日期为：每月月末，如遇节假日可提前或延后。</w:t>
      </w:r>
    </w:p>
    <w:p w14:paraId="18C1BBB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对帐日期间，双方以乙方出具的有效采购订单、送货单、退货单等为依据，按时进行对帐，核对无误后签字确认；如因乙方原因在规定的日期不能提供以上有效票据支持的对账单的，甲方有权拒付缺失对帐单部分的货款。</w:t>
      </w:r>
    </w:p>
    <w:p w14:paraId="5C5E2A2A">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第十条 结算</w:t>
      </w:r>
    </w:p>
    <w:p w14:paraId="112A1D1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一、乙方在结算时，应在对账且经双方确认后三个工作日内向甲方提供开具等额法定税务发票。</w:t>
      </w:r>
    </w:p>
    <w:p w14:paraId="66E46B0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二、甲方以下列方式结算货款：网上银行支付或转账支票</w:t>
      </w:r>
    </w:p>
    <w:p w14:paraId="25DF91F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三、双方确认的结算周期为：食堂食材采购按月结算，合同期最后一个月延迟至月底结算。最终年度累计结算金额不得超过本次项目预算金额。</w:t>
      </w:r>
    </w:p>
    <w:p w14:paraId="5FAB030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四、付款日期：收到发票后一个月内。</w:t>
      </w:r>
    </w:p>
    <w:p w14:paraId="597C461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五、合同解除或终止后，对未付货款双方仍应按照本合同约定的方式进行对账与结算。</w:t>
      </w:r>
    </w:p>
    <w:p w14:paraId="7C92638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七、乙方指定收款账户信息为：</w:t>
      </w:r>
    </w:p>
    <w:p w14:paraId="42F9A2E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开户行：</w:t>
      </w:r>
    </w:p>
    <w:p w14:paraId="04416CE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银行账号：</w:t>
      </w:r>
    </w:p>
    <w:p w14:paraId="73441FB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开户行行号：</w:t>
      </w:r>
    </w:p>
    <w:p w14:paraId="2B5F007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八、甲方付款如遇到国库财政预算支付的限制，可以顺延付款期限，甲方不承担违约责任，但甲方应当将延迟付款理由通知到乙方，且在支付限制解除后立即完成对乙方的付款。乙方不得因此暂停、终止、拒绝、延迟义务的履行。</w:t>
      </w:r>
    </w:p>
    <w:p w14:paraId="24EA1CAC">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第十一条 权益保护</w:t>
      </w:r>
    </w:p>
    <w:p w14:paraId="49C196E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乙方保证所提供之商品具有合法的生产、销售或授权生产、销售。如乙方提供的商品因为侵犯第三方的专利权、商标专用权等知识产权或属于假冒伪劣商品，而引起的一切法律责任以及全部经济损失，完全由乙方全部承担。</w:t>
      </w:r>
    </w:p>
    <w:p w14:paraId="63215E2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二、乙方销售的所有商品必须按照国家“三包”之规定提供退、换货、赔偿等服务。</w:t>
      </w:r>
    </w:p>
    <w:p w14:paraId="62253E0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三、因乙方提供给甲方的商品，造成侵害甲方或第三者的人身、财产权益的，乙方应承担违约责任和一切法律责任并负责赔偿因此给甲方造成的全部损失。</w:t>
      </w:r>
    </w:p>
    <w:p w14:paraId="63E01C30">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第十二条 反商业贿赂约定</w:t>
      </w:r>
    </w:p>
    <w:p w14:paraId="35022C4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一、甲、乙双方均反对索贿、行贿及其它不正当交易行为。乙方承诺，不向甲方人员提供赠送礼品、现金、餐饮等任何形式的利益。</w:t>
      </w:r>
    </w:p>
    <w:p w14:paraId="3209D0A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若甲方发现乙方以任何形式的商业贿赂及其他不正当方式取悦甲方工作人员，以获取订单、更有利的价格或虚报送货量，或降低商品质量，或缩短付款期限时，甲方将有权立即终止和直接解除合同，并向有关执法部门举报。</w:t>
      </w:r>
    </w:p>
    <w:p w14:paraId="30318A9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三、如有甲方工作人员要求乙方给付任何形式的商业贿赂，乙方有义务向甲方书面检举，并提供相关证据。对乙方的检举，甲方应给予保密。</w:t>
      </w:r>
    </w:p>
    <w:p w14:paraId="38278401">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第十三条 甲方权利、义务</w:t>
      </w:r>
    </w:p>
    <w:p w14:paraId="1E91EF6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一、甲方作为招标的发包人，出现争议时，甲方与乙方根据《</w:t>
      </w:r>
      <w:r>
        <w:rPr>
          <w:rFonts w:hint="eastAsia" w:ascii="仿宋" w:hAnsi="仿宋" w:eastAsia="仿宋" w:cs="仿宋"/>
          <w:sz w:val="24"/>
          <w:szCs w:val="24"/>
          <w:lang w:eastAsia="zh-CN"/>
        </w:rPr>
        <w:t>谈判文件</w:t>
      </w:r>
      <w:r>
        <w:rPr>
          <w:rFonts w:hint="eastAsia" w:ascii="仿宋" w:hAnsi="仿宋" w:eastAsia="仿宋" w:cs="仿宋"/>
          <w:sz w:val="24"/>
          <w:szCs w:val="24"/>
        </w:rPr>
        <w:t>》、《</w:t>
      </w:r>
      <w:r>
        <w:rPr>
          <w:rFonts w:hint="eastAsia" w:ascii="仿宋" w:hAnsi="仿宋" w:eastAsia="仿宋" w:cs="仿宋"/>
          <w:sz w:val="24"/>
          <w:szCs w:val="24"/>
          <w:lang w:eastAsia="zh-CN"/>
        </w:rPr>
        <w:t>成交人响应文件</w:t>
      </w:r>
      <w:r>
        <w:rPr>
          <w:rFonts w:hint="eastAsia" w:ascii="仿宋" w:hAnsi="仿宋" w:eastAsia="仿宋" w:cs="仿宋"/>
          <w:sz w:val="24"/>
          <w:szCs w:val="24"/>
        </w:rPr>
        <w:t>》、《</w:t>
      </w:r>
      <w:r>
        <w:rPr>
          <w:rFonts w:hint="eastAsia" w:ascii="仿宋" w:hAnsi="仿宋" w:eastAsia="仿宋" w:cs="仿宋"/>
          <w:sz w:val="24"/>
          <w:szCs w:val="24"/>
          <w:lang w:eastAsia="zh-CN"/>
        </w:rPr>
        <w:t>成交通知书</w:t>
      </w:r>
      <w:r>
        <w:rPr>
          <w:rFonts w:hint="eastAsia" w:ascii="仿宋" w:hAnsi="仿宋" w:eastAsia="仿宋" w:cs="仿宋"/>
          <w:sz w:val="24"/>
          <w:szCs w:val="24"/>
        </w:rPr>
        <w:t>》和《采购合同》进行解决。</w:t>
      </w:r>
    </w:p>
    <w:p w14:paraId="2E8620E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二、甲方负责建立工作协调机制，定期考核供应商工作，及时反馈购销双方的合法诉求。</w:t>
      </w:r>
    </w:p>
    <w:p w14:paraId="0892692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三、甲方应按合同规定向乙方支付货款。</w:t>
      </w:r>
    </w:p>
    <w:p w14:paraId="20296B5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四、如遇特殊情况甲方临时急需部分物品而乙方又不能及时供货的，甲方有权到其他供应商处购买。如遇不可抗力因素，乙方应全力优先保证甲方供应，如乙方确实无法按时供应，甲方有权选择其他供应商供货。</w:t>
      </w:r>
    </w:p>
    <w:p w14:paraId="375DB52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五、甲方有权对乙方生产和营业场所及其产品的销售方式提出改进建议。</w:t>
      </w:r>
    </w:p>
    <w:p w14:paraId="01E6088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六、甲方有权对乙方的服务提出改进建议和意见。</w:t>
      </w:r>
    </w:p>
    <w:p w14:paraId="052456D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七、甲方的单位名称、地址、业务电话等如有更改，应立即书面通知乙方，否则甲方承担损失责任。</w:t>
      </w:r>
    </w:p>
    <w:p w14:paraId="11CE692D">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第十四条 乙方权利、义务</w:t>
      </w:r>
    </w:p>
    <w:p w14:paraId="02CBF96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一、乙方有权要求甲方按照合同约定支付货款。</w:t>
      </w:r>
    </w:p>
    <w:p w14:paraId="18AB4B8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二、乙方有义务采取有效措施，杜绝其工作人员以公司或私人名义向甲方行贿。</w:t>
      </w:r>
    </w:p>
    <w:p w14:paraId="74789EC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三、乙方在合同有效期内应全力配合甲方完成采购供应任务。</w:t>
      </w:r>
    </w:p>
    <w:p w14:paraId="5674A4C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四、乙方应遵守甲方的各项管理规定。</w:t>
      </w:r>
    </w:p>
    <w:p w14:paraId="6BAD930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五、乙方给甲方的供应价格应与</w:t>
      </w:r>
      <w:r>
        <w:rPr>
          <w:rFonts w:hint="eastAsia" w:ascii="仿宋" w:hAnsi="仿宋" w:eastAsia="仿宋" w:cs="仿宋"/>
          <w:sz w:val="24"/>
          <w:szCs w:val="24"/>
          <w:lang w:eastAsia="zh-CN"/>
        </w:rPr>
        <w:t>谈判文件</w:t>
      </w:r>
      <w:r>
        <w:rPr>
          <w:rFonts w:hint="eastAsia" w:ascii="仿宋" w:hAnsi="仿宋" w:eastAsia="仿宋" w:cs="仿宋"/>
          <w:sz w:val="24"/>
          <w:szCs w:val="24"/>
        </w:rPr>
        <w:t>中关于价格的约定一致。</w:t>
      </w:r>
    </w:p>
    <w:p w14:paraId="1A4A085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六、乙方应相对固定服务甲方的管理员、业务员、驾驶员、财务人员等。如乙方更换法定代表人、业务主管、业务员，应立即书面通知甲方，如未立即告知造成损失、费用由乙方承担。</w:t>
      </w:r>
    </w:p>
    <w:p w14:paraId="4E3004D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七、乙方的公司名称、地址、电话、收款账户等如有更改，应在变更前 10 天以书面通知甲方。否则甲方有权解除合同，不构成违约，产生的一切损失由乙方承担。</w:t>
      </w:r>
    </w:p>
    <w:p w14:paraId="78DBC68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八、乙方无权将本合同项下权利、义务全部或者部分转让。</w:t>
      </w:r>
    </w:p>
    <w:p w14:paraId="6BA9A9F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九、若未事先取得甲方书面同意，无权将本合同相关义务进行分包、转包第三人。</w:t>
      </w:r>
    </w:p>
    <w:p w14:paraId="299DE24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十、疫情防控管理：乙方须制定疫情防控工作方案，遵守</w:t>
      </w:r>
      <w:r>
        <w:rPr>
          <w:rFonts w:hint="eastAsia" w:ascii="仿宋" w:hAnsi="仿宋" w:eastAsia="仿宋" w:cs="仿宋"/>
          <w:sz w:val="24"/>
          <w:szCs w:val="24"/>
          <w:lang w:val="en-US" w:eastAsia="zh-CN"/>
        </w:rPr>
        <w:t>安康市</w:t>
      </w:r>
      <w:r>
        <w:rPr>
          <w:rFonts w:hint="eastAsia" w:ascii="仿宋" w:hAnsi="仿宋" w:eastAsia="仿宋" w:cs="仿宋"/>
          <w:sz w:val="24"/>
          <w:szCs w:val="24"/>
        </w:rPr>
        <w:t>和甲方的相关防疫要求，并确保在疫情防控情况下货源充足，仍能保质保量、按时供货和配送。</w:t>
      </w:r>
    </w:p>
    <w:p w14:paraId="654F6983">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第十五条 违约责任</w:t>
      </w:r>
    </w:p>
    <w:p w14:paraId="4ACFFE0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一、甲乙双方均应当全面履行本合同的约定，一方违约的，除本合同另有约定外，应当向另一方支付实际损失 30%的违约金，造成对方经济损失的，应当承担赔偿责任。</w:t>
      </w:r>
    </w:p>
    <w:p w14:paraId="1B7B4C2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二、如乙方商品出现质量问题，乙方除负责赔偿由此而引起的一切损失外，还应向甲方支付该问题商品该次销售总额的 10 %的违约金。</w:t>
      </w:r>
    </w:p>
    <w:p w14:paraId="3D18E1F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三、乙方拒不送货、中途断货或不能按时供货的，按本次订单商品总额的 10％支付违约金。</w:t>
      </w:r>
    </w:p>
    <w:p w14:paraId="3A2C23C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四、乙方将货物错发到货地点或接货人的，乙方除应负责运交合同规定的到货地点或接货人外，按逾期交货处理。</w:t>
      </w:r>
    </w:p>
    <w:p w14:paraId="7D4A715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五、乙方应当确保提供的各种证件和发票符合本合同约定。如因乙方提供假证件、假发票等，使甲方受到牵连，被执法部门处罚或给第三人造成损害，乙方应当承担由此造成的一切损失，甲方有权直接解除合同。</w:t>
      </w:r>
    </w:p>
    <w:p w14:paraId="0F2DE76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六、乙方在接到甲方提出的书面和口头异议后，应在 3 天内做出处理，如乙方未按时处理，可视为默认甲方意见，甲方有权采取追究违约责任等相关措施处理。</w:t>
      </w:r>
    </w:p>
    <w:p w14:paraId="1C197ED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七、如因乙方原因造成甲方不能按本合同规定对帐、结算并向乙方支付货款的，甲方不构成违约。</w:t>
      </w:r>
    </w:p>
    <w:p w14:paraId="3DE379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sz w:val="24"/>
          <w:szCs w:val="24"/>
        </w:rPr>
        <w:t>八、对应偿付的违约金，赔偿金，保管费用和各种经济损失，应在明确责任后，10天内</w:t>
      </w:r>
      <w:r>
        <w:rPr>
          <w:rFonts w:hint="eastAsia" w:ascii="仿宋" w:hAnsi="仿宋" w:eastAsia="仿宋" w:cs="仿宋"/>
          <w:color w:val="auto"/>
          <w:sz w:val="24"/>
          <w:szCs w:val="24"/>
        </w:rPr>
        <w:t>主动汇给对方，否则，按逾期付款处理。</w:t>
      </w:r>
    </w:p>
    <w:p w14:paraId="506AAF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sz w:val="24"/>
          <w:szCs w:val="24"/>
          <w:highlight w:val="none"/>
          <w:lang w:val="en-US" w:eastAsia="zh-CN"/>
        </w:rPr>
        <w:t>九、</w:t>
      </w:r>
      <w:r>
        <w:rPr>
          <w:rFonts w:hint="eastAsia" w:ascii="仿宋" w:hAnsi="仿宋" w:eastAsia="仿宋" w:cs="仿宋"/>
          <w:sz w:val="24"/>
          <w:szCs w:val="24"/>
          <w:highlight w:val="none"/>
          <w:lang w:eastAsia="zh-CN"/>
        </w:rPr>
        <w:t>乙方因自身原因（包括不限于以中标价格低为由）拒绝签订合同或不按甲方和</w:t>
      </w:r>
      <w:r>
        <w:rPr>
          <w:rFonts w:hint="eastAsia" w:ascii="仿宋" w:hAnsi="仿宋" w:eastAsia="仿宋" w:cs="仿宋"/>
          <w:sz w:val="24"/>
          <w:szCs w:val="24"/>
          <w:highlight w:val="none"/>
          <w:lang w:val="en-US" w:eastAsia="zh-CN"/>
        </w:rPr>
        <w:t>谈判</w:t>
      </w:r>
      <w:r>
        <w:rPr>
          <w:rFonts w:hint="eastAsia" w:ascii="仿宋" w:hAnsi="仿宋" w:eastAsia="仿宋" w:cs="仿宋"/>
          <w:sz w:val="24"/>
          <w:szCs w:val="24"/>
          <w:highlight w:val="none"/>
          <w:lang w:eastAsia="zh-CN"/>
        </w:rPr>
        <w:t>文件相关要求履行项目的，</w:t>
      </w:r>
      <w:r>
        <w:rPr>
          <w:rFonts w:hint="eastAsia" w:ascii="仿宋" w:hAnsi="仿宋" w:eastAsia="仿宋" w:cs="仿宋"/>
          <w:sz w:val="24"/>
          <w:szCs w:val="24"/>
          <w:highlight w:val="none"/>
        </w:rPr>
        <w:t>甲方有权依法向乙方进行经济索赔</w:t>
      </w:r>
      <w:r>
        <w:rPr>
          <w:rFonts w:hint="eastAsia" w:ascii="仿宋" w:hAnsi="仿宋" w:eastAsia="仿宋" w:cs="仿宋"/>
          <w:sz w:val="24"/>
          <w:szCs w:val="24"/>
          <w:highlight w:val="none"/>
          <w:lang w:eastAsia="zh-CN"/>
        </w:rPr>
        <w:t>（包括不限于给甲方造成的食材供应空缺期的经济损失、由此引发的甲方处理此事额外发生的一系列费用）</w:t>
      </w:r>
      <w:r>
        <w:rPr>
          <w:rFonts w:hint="eastAsia" w:ascii="仿宋" w:hAnsi="仿宋" w:eastAsia="仿宋" w:cs="仿宋"/>
          <w:sz w:val="24"/>
          <w:szCs w:val="24"/>
          <w:highlight w:val="none"/>
        </w:rPr>
        <w:t>，并报请政府采购监督管理机关进行相应的行政处罚</w:t>
      </w:r>
      <w:r>
        <w:rPr>
          <w:rFonts w:hint="eastAsia" w:ascii="仿宋" w:hAnsi="仿宋" w:eastAsia="仿宋" w:cs="仿宋"/>
          <w:sz w:val="24"/>
          <w:szCs w:val="24"/>
          <w:highlight w:val="none"/>
          <w:lang w:eastAsia="zh-CN"/>
        </w:rPr>
        <w:t>。</w:t>
      </w:r>
    </w:p>
    <w:p w14:paraId="6D4F2929">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十</w:t>
      </w:r>
      <w:r>
        <w:rPr>
          <w:rFonts w:hint="eastAsia" w:ascii="仿宋" w:hAnsi="仿宋" w:eastAsia="仿宋" w:cs="仿宋"/>
          <w:color w:val="auto"/>
          <w:sz w:val="24"/>
          <w:szCs w:val="24"/>
        </w:rPr>
        <w:t>、出现如下任一情形，一经查实，甲方将有权终止服务合同，并扣除乙方的全部履约保证金作为赔偿，对于未能涵盖的损失部分，甲方有权按照《中华人民共和国民法典》的规定向乙方继续索赔：</w:t>
      </w:r>
    </w:p>
    <w:p w14:paraId="52DE4D4D">
      <w:pPr>
        <w:spacing w:line="360" w:lineRule="auto"/>
        <w:ind w:firstLine="480" w:firstLineChars="200"/>
        <w:rPr>
          <w:rFonts w:hint="eastAsia" w:ascii="仿宋" w:hAnsi="仿宋" w:eastAsia="仿宋" w:cs="仿宋"/>
          <w:sz w:val="24"/>
          <w:szCs w:val="24"/>
        </w:rPr>
      </w:pPr>
      <w:r>
        <w:rPr>
          <w:rFonts w:hint="eastAsia" w:ascii="仿宋" w:hAnsi="仿宋" w:eastAsia="仿宋" w:cs="仿宋"/>
          <w:color w:val="auto"/>
          <w:sz w:val="24"/>
          <w:szCs w:val="24"/>
        </w:rPr>
        <w:t>（1）乙方挂靠其他公司，</w:t>
      </w:r>
      <w:r>
        <w:rPr>
          <w:rFonts w:hint="eastAsia" w:ascii="仿宋" w:hAnsi="仿宋" w:eastAsia="仿宋" w:cs="仿宋"/>
          <w:sz w:val="24"/>
          <w:szCs w:val="24"/>
        </w:rPr>
        <w:t>转包配送份额，借用其他公司开票走账。</w:t>
      </w:r>
    </w:p>
    <w:p w14:paraId="5BCE9F9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（2）乙方违反甲方有关安全的规定。</w:t>
      </w:r>
    </w:p>
    <w:p w14:paraId="74477F6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（3）乙方在配送过程中出现发票造假、恶意抬价、刁难蛮横、以次充好、假冒伪劣等不法违规行为。</w:t>
      </w:r>
    </w:p>
    <w:p w14:paraId="4C8F31C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（4）因乙方提供的食品造成严重食品安全事故的。</w:t>
      </w:r>
    </w:p>
    <w:p w14:paraId="43F64FE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（5）乙方工作人员与甲方业务人员、工作人员乱拉关系，有不法利益往来的。</w:t>
      </w:r>
    </w:p>
    <w:p w14:paraId="4EBB7B2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十</w:t>
      </w:r>
      <w:r>
        <w:rPr>
          <w:rFonts w:hint="eastAsia" w:ascii="仿宋" w:hAnsi="仿宋" w:eastAsia="仿宋" w:cs="仿宋"/>
          <w:sz w:val="24"/>
          <w:szCs w:val="24"/>
          <w:lang w:val="en-US" w:eastAsia="zh-CN"/>
        </w:rPr>
        <w:t>一</w:t>
      </w:r>
      <w:r>
        <w:rPr>
          <w:rFonts w:hint="eastAsia" w:ascii="仿宋" w:hAnsi="仿宋" w:eastAsia="仿宋" w:cs="仿宋"/>
          <w:sz w:val="24"/>
          <w:szCs w:val="24"/>
        </w:rPr>
        <w:t>、本合同生效后乙方不得将本合同项下权利义务转让，不得用于担保、融资等非双方约定事项，否则，甲方有权终止合同，一切后果由乙方承担。</w:t>
      </w:r>
    </w:p>
    <w:p w14:paraId="5C0670F2">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第十六条 不可抗力</w:t>
      </w:r>
    </w:p>
    <w:p w14:paraId="03E6A40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甲乙双方的任何一方由于不可抗力的原因不能履行或不能完全履行合同时， 应尽快向对方通报理由，经有关主管机关证明后，可允许延期履行、部分履行或不履行，并可根据情况部分或全部免予承担违约责任。</w:t>
      </w:r>
    </w:p>
    <w:p w14:paraId="3172627B">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第十七条 合同的变更与解除</w:t>
      </w:r>
    </w:p>
    <w:p w14:paraId="1722735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一、乙方不得出现拒不送货、中途断货或不能按时供货等行为，如因乙方出现上述行为造成甲方正常工作秩序受到影响的，甲方除扣除乙方全部履约保证金外，有权终止合同，重新选择新的供应商。</w:t>
      </w:r>
    </w:p>
    <w:p w14:paraId="145045A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二、甲、乙双方的任何一方要求变更或解除合同时，应采用书面形式及时通知对方，未达成协议以前，原合同仍然有效。</w:t>
      </w:r>
    </w:p>
    <w:p w14:paraId="4A4C0A6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三、遇有国家政策调整或甲方上级机关规范政府采购行为等因素，甲方有权变更或解除合同，不负违约责任，但甲方应及时通知乙方。</w:t>
      </w:r>
    </w:p>
    <w:p w14:paraId="239DA6DA">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第十八条 争议解决</w:t>
      </w:r>
    </w:p>
    <w:p w14:paraId="735DD58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因履行本合同发生的任何争议，双方应协商解决。协商不成时，双方同意由甲方所在地人民法院诉讼解决。</w:t>
      </w:r>
    </w:p>
    <w:p w14:paraId="47F38BCF">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第十九条 合同期限</w:t>
      </w:r>
    </w:p>
    <w:p w14:paraId="540729F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一、本合同期自 20 年 月 日起至 20 年 月 日止，为期 个月。</w:t>
      </w:r>
    </w:p>
    <w:p w14:paraId="09185C9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二、如本合同已到期，但甲方因为未完成新一年度的招标工作和合同签订工作仍然下达订单且乙方接受的，为确保双方合作的延续性，视为原合同继续履行，本合同有效期自然顺延，但最长不得超过三个月。</w:t>
      </w:r>
    </w:p>
    <w:p w14:paraId="4A4E244B">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第二十条 其他</w:t>
      </w:r>
    </w:p>
    <w:p w14:paraId="0409D3B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一、双方确认，在签署本合同前已仔细审阅过合同的内容，并完全了解合同各条款的法律含义。</w:t>
      </w:r>
    </w:p>
    <w:p w14:paraId="0DE2227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二、本合同自双方法定代表人或委托代理人签字并加盖公章之日起生效。</w:t>
      </w:r>
    </w:p>
    <w:p w14:paraId="33D15D4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三、本合同未尽事宜，甲乙双方另行签订补充协议。补充协议是本合同不可分割的一部分，与本合同具有同等法律效力。</w:t>
      </w:r>
    </w:p>
    <w:p w14:paraId="64794D7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四、本合同所述“损失”/“经济损失”/“全部损失”/“实际损失”/“赔偿责任”，除另有具体约定外，均包括但不限于直接损失、赔偿金、商业信誉、产品声誉损失、行政罚款、诉讼费、律师费、差旅费、公证费、保全费、评估费、拍卖费、执行费、调查取证等合理、必要的支出。</w:t>
      </w:r>
    </w:p>
    <w:p w14:paraId="4B48B2E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五、</w:t>
      </w:r>
      <w:r>
        <w:rPr>
          <w:rFonts w:hint="eastAsia" w:ascii="仿宋" w:hAnsi="仿宋" w:eastAsia="仿宋" w:cs="仿宋"/>
          <w:sz w:val="24"/>
          <w:szCs w:val="24"/>
          <w:lang w:eastAsia="zh-CN"/>
        </w:rPr>
        <w:t>谈判文件</w:t>
      </w:r>
      <w:r>
        <w:rPr>
          <w:rFonts w:hint="eastAsia" w:ascii="仿宋" w:hAnsi="仿宋" w:eastAsia="仿宋" w:cs="仿宋"/>
          <w:sz w:val="24"/>
          <w:szCs w:val="24"/>
        </w:rPr>
        <w:t>、</w:t>
      </w:r>
      <w:r>
        <w:rPr>
          <w:rFonts w:hint="eastAsia" w:ascii="仿宋" w:hAnsi="仿宋" w:eastAsia="仿宋" w:cs="仿宋"/>
          <w:sz w:val="24"/>
          <w:szCs w:val="24"/>
          <w:lang w:eastAsia="zh-CN"/>
        </w:rPr>
        <w:t>成交人响应文件</w:t>
      </w:r>
      <w:r>
        <w:rPr>
          <w:rFonts w:hint="eastAsia" w:ascii="仿宋" w:hAnsi="仿宋" w:eastAsia="仿宋" w:cs="仿宋"/>
          <w:sz w:val="24"/>
          <w:szCs w:val="24"/>
        </w:rPr>
        <w:t>、</w:t>
      </w:r>
      <w:r>
        <w:rPr>
          <w:rFonts w:hint="eastAsia" w:ascii="仿宋" w:hAnsi="仿宋" w:eastAsia="仿宋" w:cs="仿宋"/>
          <w:sz w:val="24"/>
          <w:szCs w:val="24"/>
          <w:lang w:eastAsia="zh-CN"/>
        </w:rPr>
        <w:t>成交通知书</w:t>
      </w:r>
      <w:r>
        <w:rPr>
          <w:rFonts w:hint="eastAsia" w:ascii="仿宋" w:hAnsi="仿宋" w:eastAsia="仿宋" w:cs="仿宋"/>
          <w:sz w:val="24"/>
          <w:szCs w:val="24"/>
        </w:rPr>
        <w:t>为本合同的组成部分。若本合同与上述文件表述不一致的，以本合同为准。</w:t>
      </w:r>
    </w:p>
    <w:p w14:paraId="44B32B0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六、除本合同另有约定外，因履行本合同所产生的税、费由乙方承担。</w:t>
      </w:r>
    </w:p>
    <w:p w14:paraId="49B5B94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七、本合同一式陆份，甲方叁份，乙方贰份，采购代理机构壹份，均具有同等法律效力。</w:t>
      </w:r>
    </w:p>
    <w:p w14:paraId="715CD171">
      <w:pPr>
        <w:widowControl/>
        <w:tabs>
          <w:tab w:val="left" w:pos="8391"/>
        </w:tabs>
        <w:autoSpaceDE w:val="0"/>
        <w:autoSpaceDN w:val="0"/>
        <w:snapToGrid w:val="0"/>
        <w:spacing w:line="360" w:lineRule="auto"/>
        <w:ind w:right="-69"/>
        <w:textAlignment w:val="bottom"/>
        <w:rPr>
          <w:rFonts w:eastAsia="仿宋_GB2312"/>
          <w:kern w:val="0"/>
          <w:sz w:val="24"/>
        </w:rPr>
      </w:pPr>
    </w:p>
    <w:p w14:paraId="2BA0D583">
      <w:pPr>
        <w:widowControl/>
        <w:tabs>
          <w:tab w:val="left" w:pos="8391"/>
        </w:tabs>
        <w:autoSpaceDE w:val="0"/>
        <w:autoSpaceDN w:val="0"/>
        <w:snapToGrid w:val="0"/>
        <w:spacing w:line="360" w:lineRule="auto"/>
        <w:ind w:right="-69" w:firstLine="840" w:firstLineChars="350"/>
        <w:textAlignment w:val="bottom"/>
        <w:rPr>
          <w:rFonts w:eastAsia="仿宋_GB2312"/>
          <w:kern w:val="0"/>
          <w:sz w:val="24"/>
        </w:rPr>
      </w:pPr>
    </w:p>
    <w:tbl>
      <w:tblPr>
        <w:tblStyle w:val="50"/>
        <w:tblW w:w="0" w:type="auto"/>
        <w:jc w:val="center"/>
        <w:tblLayout w:type="fixed"/>
        <w:tblCellMar>
          <w:top w:w="0" w:type="dxa"/>
          <w:left w:w="108" w:type="dxa"/>
          <w:bottom w:w="0" w:type="dxa"/>
          <w:right w:w="108" w:type="dxa"/>
        </w:tblCellMar>
      </w:tblPr>
      <w:tblGrid>
        <w:gridCol w:w="4643"/>
        <w:gridCol w:w="4643"/>
      </w:tblGrid>
      <w:tr w14:paraId="26B8682D">
        <w:tblPrEx>
          <w:tblCellMar>
            <w:top w:w="0" w:type="dxa"/>
            <w:left w:w="108" w:type="dxa"/>
            <w:bottom w:w="0" w:type="dxa"/>
            <w:right w:w="108" w:type="dxa"/>
          </w:tblCellMar>
        </w:tblPrEx>
        <w:trPr>
          <w:jc w:val="center"/>
        </w:trPr>
        <w:tc>
          <w:tcPr>
            <w:tcW w:w="4643" w:type="dxa"/>
          </w:tcPr>
          <w:p w14:paraId="1AC554B1">
            <w:pPr>
              <w:widowControl/>
              <w:autoSpaceDE w:val="0"/>
              <w:autoSpaceDN w:val="0"/>
              <w:snapToGrid w:val="0"/>
              <w:spacing w:line="360" w:lineRule="auto"/>
              <w:ind w:right="-154"/>
              <w:textAlignment w:val="bottom"/>
              <w:rPr>
                <w:rFonts w:hint="eastAsia" w:eastAsia="仿宋_GB2312"/>
                <w:kern w:val="0"/>
                <w:sz w:val="24"/>
                <w:lang w:eastAsia="zh-CN"/>
              </w:rPr>
            </w:pPr>
            <w:r>
              <w:rPr>
                <w:rFonts w:eastAsia="仿宋_GB2312"/>
                <w:kern w:val="0"/>
                <w:sz w:val="24"/>
              </w:rPr>
              <w:t>甲方名称</w:t>
            </w:r>
            <w:r>
              <w:rPr>
                <w:rFonts w:eastAsia="仿宋_GB2312"/>
                <w:spacing w:val="-20"/>
                <w:kern w:val="0"/>
                <w:sz w:val="24"/>
              </w:rPr>
              <w:t>（盖章）</w:t>
            </w:r>
            <w:r>
              <w:rPr>
                <w:rFonts w:hint="eastAsia" w:eastAsia="仿宋_GB2312"/>
                <w:kern w:val="0"/>
                <w:sz w:val="24"/>
                <w:lang w:eastAsia="zh-CN"/>
              </w:rPr>
              <w:t>：</w:t>
            </w:r>
          </w:p>
          <w:p w14:paraId="183425B2">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地址：</w:t>
            </w:r>
          </w:p>
          <w:p w14:paraId="6F33E670">
            <w:pPr>
              <w:widowControl/>
              <w:autoSpaceDE w:val="0"/>
              <w:autoSpaceDN w:val="0"/>
              <w:snapToGrid w:val="0"/>
              <w:spacing w:line="360" w:lineRule="auto"/>
              <w:ind w:right="-154"/>
              <w:textAlignment w:val="bottom"/>
              <w:rPr>
                <w:rFonts w:eastAsia="仿宋_GB2312"/>
                <w:kern w:val="0"/>
                <w:sz w:val="24"/>
              </w:rPr>
            </w:pPr>
            <w:r>
              <w:rPr>
                <w:rFonts w:hint="eastAsia" w:eastAsia="仿宋_GB2312"/>
                <w:kern w:val="0"/>
                <w:sz w:val="24"/>
                <w:lang w:val="en-US" w:eastAsia="zh-CN"/>
              </w:rPr>
              <w:t>法定</w:t>
            </w:r>
            <w:r>
              <w:rPr>
                <w:rFonts w:eastAsia="仿宋_GB2312"/>
                <w:kern w:val="0"/>
                <w:sz w:val="24"/>
              </w:rPr>
              <w:t>代表人（签字）：</w:t>
            </w:r>
          </w:p>
          <w:p w14:paraId="5C424769">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电话：</w:t>
            </w:r>
          </w:p>
          <w:p w14:paraId="4A23A0E8">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开户银行：</w:t>
            </w:r>
          </w:p>
          <w:p w14:paraId="04DDB58B">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账号：</w:t>
            </w:r>
          </w:p>
        </w:tc>
        <w:tc>
          <w:tcPr>
            <w:tcW w:w="4643" w:type="dxa"/>
          </w:tcPr>
          <w:p w14:paraId="0FA35A6C">
            <w:pPr>
              <w:widowControl/>
              <w:autoSpaceDE w:val="0"/>
              <w:autoSpaceDN w:val="0"/>
              <w:snapToGrid w:val="0"/>
              <w:spacing w:line="360" w:lineRule="auto"/>
              <w:ind w:right="-154"/>
              <w:textAlignment w:val="bottom"/>
              <w:rPr>
                <w:rFonts w:hint="eastAsia" w:eastAsia="仿宋_GB2312"/>
                <w:kern w:val="0"/>
                <w:sz w:val="24"/>
                <w:lang w:eastAsia="zh-CN"/>
              </w:rPr>
            </w:pPr>
            <w:r>
              <w:rPr>
                <w:rFonts w:eastAsia="仿宋_GB2312"/>
                <w:kern w:val="0"/>
                <w:sz w:val="24"/>
              </w:rPr>
              <w:t>乙方名称</w:t>
            </w:r>
            <w:r>
              <w:rPr>
                <w:rFonts w:eastAsia="仿宋_GB2312"/>
                <w:spacing w:val="-20"/>
                <w:kern w:val="0"/>
                <w:sz w:val="24"/>
              </w:rPr>
              <w:t>（盖章）</w:t>
            </w:r>
            <w:r>
              <w:rPr>
                <w:rFonts w:hint="eastAsia" w:eastAsia="仿宋_GB2312"/>
                <w:kern w:val="0"/>
                <w:sz w:val="24"/>
                <w:lang w:eastAsia="zh-CN"/>
              </w:rPr>
              <w:t>：</w:t>
            </w:r>
          </w:p>
          <w:p w14:paraId="3D27B57B">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地址：</w:t>
            </w:r>
          </w:p>
          <w:p w14:paraId="356A092A">
            <w:pPr>
              <w:widowControl/>
              <w:autoSpaceDE w:val="0"/>
              <w:autoSpaceDN w:val="0"/>
              <w:snapToGrid w:val="0"/>
              <w:spacing w:line="360" w:lineRule="auto"/>
              <w:ind w:right="-154"/>
              <w:textAlignment w:val="bottom"/>
              <w:rPr>
                <w:rFonts w:eastAsia="仿宋_GB2312"/>
                <w:kern w:val="0"/>
                <w:sz w:val="24"/>
              </w:rPr>
            </w:pPr>
            <w:r>
              <w:rPr>
                <w:rFonts w:hint="eastAsia" w:eastAsia="仿宋_GB2312"/>
                <w:kern w:val="0"/>
                <w:sz w:val="24"/>
                <w:lang w:val="en-US" w:eastAsia="zh-CN"/>
              </w:rPr>
              <w:t>法定</w:t>
            </w:r>
            <w:r>
              <w:rPr>
                <w:rFonts w:eastAsia="仿宋_GB2312"/>
                <w:kern w:val="0"/>
                <w:sz w:val="24"/>
              </w:rPr>
              <w:t>代表人（签字）：</w:t>
            </w:r>
          </w:p>
          <w:p w14:paraId="171B368B">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电话：</w:t>
            </w:r>
          </w:p>
          <w:p w14:paraId="4546B6BF">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开户银行：</w:t>
            </w:r>
          </w:p>
          <w:p w14:paraId="19107F24">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账号：</w:t>
            </w:r>
          </w:p>
        </w:tc>
      </w:tr>
    </w:tbl>
    <w:p w14:paraId="515B76C0">
      <w:pPr>
        <w:autoSpaceDE w:val="0"/>
        <w:autoSpaceDN w:val="0"/>
        <w:adjustRightInd w:val="0"/>
        <w:spacing w:line="360" w:lineRule="auto"/>
        <w:jc w:val="left"/>
        <w:rPr>
          <w:rFonts w:ascii="仿宋_GB2312" w:hAnsi="仿宋_GB2312" w:eastAsia="仿宋_GB2312" w:cs="仿宋_GB2312"/>
          <w:b/>
          <w:bCs/>
          <w:sz w:val="32"/>
          <w:szCs w:val="32"/>
        </w:rPr>
      </w:pPr>
    </w:p>
    <w:p w14:paraId="2E4B1C4E">
      <w:pPr>
        <w:autoSpaceDE w:val="0"/>
        <w:autoSpaceDN w:val="0"/>
        <w:adjustRightInd w:val="0"/>
        <w:jc w:val="left"/>
        <w:rPr>
          <w:rFonts w:ascii="仿宋_GB2312" w:hAnsi="仿宋_GB2312" w:eastAsia="仿宋_GB2312" w:cs="仿宋_GB2312"/>
          <w:b/>
          <w:bCs/>
          <w:sz w:val="32"/>
          <w:szCs w:val="32"/>
        </w:rPr>
      </w:pPr>
    </w:p>
    <w:p w14:paraId="3B8CEF6E">
      <w:pPr>
        <w:rPr>
          <w:rFonts w:eastAsia="仿宋_GB2312"/>
          <w:sz w:val="24"/>
        </w:rPr>
      </w:pPr>
      <w:r>
        <w:rPr>
          <w:rFonts w:eastAsia="仿宋_GB2312"/>
          <w:sz w:val="24"/>
        </w:rPr>
        <w:br w:type="page"/>
      </w:r>
    </w:p>
    <w:p w14:paraId="64C473B8">
      <w:pPr>
        <w:spacing w:line="360" w:lineRule="auto"/>
        <w:rPr>
          <w:rFonts w:eastAsia="仿宋_GB2312"/>
          <w:sz w:val="24"/>
        </w:rPr>
      </w:pPr>
      <w:r>
        <w:rPr>
          <w:rFonts w:eastAsia="仿宋_GB2312"/>
          <w:sz w:val="24"/>
        </w:rPr>
        <w:t>合同附件</w:t>
      </w:r>
    </w:p>
    <w:tbl>
      <w:tblPr>
        <w:tblStyle w:val="50"/>
        <w:tblW w:w="5000" w:type="pct"/>
        <w:tblInd w:w="0" w:type="dxa"/>
        <w:tblLayout w:type="autofit"/>
        <w:tblCellMar>
          <w:top w:w="0" w:type="dxa"/>
          <w:left w:w="108" w:type="dxa"/>
          <w:bottom w:w="0" w:type="dxa"/>
          <w:right w:w="108" w:type="dxa"/>
        </w:tblCellMar>
      </w:tblPr>
      <w:tblGrid>
        <w:gridCol w:w="1836"/>
        <w:gridCol w:w="2686"/>
        <w:gridCol w:w="2949"/>
        <w:gridCol w:w="2485"/>
      </w:tblGrid>
      <w:tr w14:paraId="2D9C7370">
        <w:tblPrEx>
          <w:tblCellMar>
            <w:top w:w="0" w:type="dxa"/>
            <w:left w:w="108" w:type="dxa"/>
            <w:bottom w:w="0" w:type="dxa"/>
            <w:right w:w="108" w:type="dxa"/>
          </w:tblCellMar>
        </w:tblPrEx>
        <w:trPr>
          <w:trHeight w:val="900" w:hRule="atLeast"/>
        </w:trPr>
        <w:tc>
          <w:tcPr>
            <w:tcW w:w="5000" w:type="pct"/>
            <w:gridSpan w:val="4"/>
            <w:tcBorders>
              <w:top w:val="nil"/>
              <w:left w:val="nil"/>
              <w:bottom w:val="nil"/>
              <w:right w:val="nil"/>
            </w:tcBorders>
            <w:noWrap/>
            <w:vAlign w:val="center"/>
          </w:tcPr>
          <w:p w14:paraId="011AFC4D">
            <w:pPr>
              <w:widowControl/>
              <w:jc w:val="center"/>
              <w:rPr>
                <w:rFonts w:eastAsia="仿宋_GB2312"/>
                <w:b/>
                <w:bCs/>
                <w:kern w:val="0"/>
                <w:sz w:val="32"/>
                <w:szCs w:val="32"/>
              </w:rPr>
            </w:pPr>
            <w:r>
              <w:rPr>
                <w:rFonts w:eastAsia="仿宋_GB2312"/>
                <w:b/>
                <w:bCs/>
                <w:kern w:val="0"/>
                <w:sz w:val="32"/>
                <w:szCs w:val="32"/>
              </w:rPr>
              <w:t>政府采购项目货物（服务）验收入库报告单</w:t>
            </w:r>
          </w:p>
        </w:tc>
      </w:tr>
      <w:tr w14:paraId="40B996DC">
        <w:tblPrEx>
          <w:tblCellMar>
            <w:top w:w="0" w:type="dxa"/>
            <w:left w:w="108" w:type="dxa"/>
            <w:bottom w:w="0" w:type="dxa"/>
            <w:right w:w="108" w:type="dxa"/>
          </w:tblCellMar>
        </w:tblPrEx>
        <w:trPr>
          <w:trHeight w:val="540" w:hRule="atLeast"/>
        </w:trPr>
        <w:tc>
          <w:tcPr>
            <w:tcW w:w="922" w:type="pct"/>
            <w:tcBorders>
              <w:top w:val="single" w:color="auto" w:sz="8" w:space="0"/>
              <w:left w:val="single" w:color="auto" w:sz="8" w:space="0"/>
              <w:bottom w:val="single" w:color="auto" w:sz="4" w:space="0"/>
              <w:right w:val="single" w:color="auto" w:sz="4" w:space="0"/>
            </w:tcBorders>
            <w:noWrap/>
            <w:vAlign w:val="center"/>
          </w:tcPr>
          <w:p w14:paraId="7F7375F9">
            <w:pPr>
              <w:widowControl/>
              <w:jc w:val="center"/>
              <w:rPr>
                <w:rFonts w:eastAsia="仿宋_GB2312"/>
                <w:b/>
                <w:bCs/>
                <w:kern w:val="0"/>
                <w:sz w:val="24"/>
              </w:rPr>
            </w:pPr>
            <w:r>
              <w:rPr>
                <w:rFonts w:eastAsia="仿宋_GB2312"/>
                <w:b/>
                <w:bCs/>
                <w:kern w:val="0"/>
                <w:sz w:val="24"/>
              </w:rPr>
              <w:t>采购单位</w:t>
            </w:r>
          </w:p>
        </w:tc>
        <w:tc>
          <w:tcPr>
            <w:tcW w:w="4078" w:type="pct"/>
            <w:gridSpan w:val="3"/>
            <w:tcBorders>
              <w:top w:val="single" w:color="auto" w:sz="8" w:space="0"/>
              <w:left w:val="nil"/>
              <w:bottom w:val="single" w:color="auto" w:sz="4" w:space="0"/>
              <w:right w:val="single" w:color="000000" w:sz="8" w:space="0"/>
            </w:tcBorders>
            <w:noWrap/>
            <w:vAlign w:val="center"/>
          </w:tcPr>
          <w:p w14:paraId="66863B21">
            <w:pPr>
              <w:widowControl/>
              <w:jc w:val="center"/>
              <w:rPr>
                <w:rFonts w:eastAsia="仿宋_GB2312"/>
                <w:kern w:val="0"/>
                <w:sz w:val="24"/>
              </w:rPr>
            </w:pPr>
            <w:r>
              <w:rPr>
                <w:rFonts w:eastAsia="仿宋_GB2312"/>
                <w:kern w:val="0"/>
                <w:sz w:val="24"/>
              </w:rPr>
              <w:t>　</w:t>
            </w:r>
          </w:p>
        </w:tc>
      </w:tr>
      <w:tr w14:paraId="12B37786">
        <w:tblPrEx>
          <w:tblCellMar>
            <w:top w:w="0" w:type="dxa"/>
            <w:left w:w="108" w:type="dxa"/>
            <w:bottom w:w="0" w:type="dxa"/>
            <w:right w:w="108" w:type="dxa"/>
          </w:tblCellMar>
        </w:tblPrEx>
        <w:trPr>
          <w:trHeight w:val="540" w:hRule="atLeast"/>
        </w:trPr>
        <w:tc>
          <w:tcPr>
            <w:tcW w:w="922" w:type="pct"/>
            <w:tcBorders>
              <w:top w:val="nil"/>
              <w:left w:val="single" w:color="auto" w:sz="8" w:space="0"/>
              <w:bottom w:val="single" w:color="auto" w:sz="4" w:space="0"/>
              <w:right w:val="single" w:color="auto" w:sz="4" w:space="0"/>
            </w:tcBorders>
            <w:noWrap/>
            <w:vAlign w:val="center"/>
          </w:tcPr>
          <w:p w14:paraId="7B599035">
            <w:pPr>
              <w:widowControl/>
              <w:jc w:val="center"/>
              <w:rPr>
                <w:rFonts w:eastAsia="仿宋_GB2312"/>
                <w:b/>
                <w:bCs/>
                <w:kern w:val="0"/>
                <w:sz w:val="24"/>
              </w:rPr>
            </w:pPr>
            <w:r>
              <w:rPr>
                <w:rFonts w:eastAsia="仿宋_GB2312"/>
                <w:b/>
                <w:bCs/>
                <w:kern w:val="0"/>
                <w:sz w:val="24"/>
              </w:rPr>
              <w:t>采购项目</w:t>
            </w:r>
          </w:p>
        </w:tc>
        <w:tc>
          <w:tcPr>
            <w:tcW w:w="4078" w:type="pct"/>
            <w:gridSpan w:val="3"/>
            <w:tcBorders>
              <w:top w:val="single" w:color="auto" w:sz="4" w:space="0"/>
              <w:left w:val="nil"/>
              <w:bottom w:val="single" w:color="auto" w:sz="4" w:space="0"/>
              <w:right w:val="single" w:color="000000" w:sz="8" w:space="0"/>
            </w:tcBorders>
            <w:noWrap/>
            <w:vAlign w:val="center"/>
          </w:tcPr>
          <w:p w14:paraId="19E70C7B">
            <w:pPr>
              <w:widowControl/>
              <w:jc w:val="center"/>
              <w:rPr>
                <w:rFonts w:eastAsia="仿宋_GB2312"/>
                <w:kern w:val="0"/>
                <w:sz w:val="24"/>
              </w:rPr>
            </w:pPr>
            <w:r>
              <w:rPr>
                <w:rFonts w:eastAsia="仿宋_GB2312"/>
                <w:kern w:val="0"/>
                <w:sz w:val="24"/>
              </w:rPr>
              <w:t>　</w:t>
            </w:r>
          </w:p>
        </w:tc>
      </w:tr>
      <w:tr w14:paraId="24F862C4">
        <w:tblPrEx>
          <w:tblCellMar>
            <w:top w:w="0" w:type="dxa"/>
            <w:left w:w="108" w:type="dxa"/>
            <w:bottom w:w="0" w:type="dxa"/>
            <w:right w:w="108" w:type="dxa"/>
          </w:tblCellMar>
        </w:tblPrEx>
        <w:trPr>
          <w:trHeight w:val="540" w:hRule="atLeast"/>
        </w:trPr>
        <w:tc>
          <w:tcPr>
            <w:tcW w:w="922" w:type="pct"/>
            <w:vMerge w:val="restart"/>
            <w:tcBorders>
              <w:top w:val="nil"/>
              <w:left w:val="single" w:color="auto" w:sz="8" w:space="0"/>
              <w:bottom w:val="single" w:color="auto" w:sz="4" w:space="0"/>
              <w:right w:val="single" w:color="auto" w:sz="4" w:space="0"/>
            </w:tcBorders>
            <w:noWrap/>
            <w:vAlign w:val="center"/>
          </w:tcPr>
          <w:p w14:paraId="1FBD9B68">
            <w:pPr>
              <w:widowControl/>
              <w:jc w:val="center"/>
              <w:rPr>
                <w:rFonts w:eastAsia="仿宋_GB2312"/>
                <w:b/>
                <w:bCs/>
                <w:kern w:val="0"/>
                <w:sz w:val="24"/>
              </w:rPr>
            </w:pPr>
            <w:r>
              <w:rPr>
                <w:rFonts w:eastAsia="仿宋_GB2312"/>
                <w:b/>
                <w:bCs/>
                <w:kern w:val="0"/>
                <w:sz w:val="24"/>
              </w:rPr>
              <w:t>项目编号</w:t>
            </w:r>
          </w:p>
        </w:tc>
        <w:tc>
          <w:tcPr>
            <w:tcW w:w="1349" w:type="pct"/>
            <w:vMerge w:val="restart"/>
            <w:tcBorders>
              <w:top w:val="nil"/>
              <w:left w:val="single" w:color="auto" w:sz="4" w:space="0"/>
              <w:bottom w:val="single" w:color="auto" w:sz="4" w:space="0"/>
              <w:right w:val="single" w:color="auto" w:sz="4" w:space="0"/>
            </w:tcBorders>
            <w:noWrap/>
            <w:vAlign w:val="center"/>
          </w:tcPr>
          <w:p w14:paraId="11657F55">
            <w:pPr>
              <w:widowControl/>
              <w:jc w:val="center"/>
              <w:rPr>
                <w:rFonts w:eastAsia="仿宋_GB2312"/>
                <w:kern w:val="0"/>
                <w:sz w:val="24"/>
              </w:rPr>
            </w:pPr>
            <w:r>
              <w:rPr>
                <w:rFonts w:eastAsia="仿宋_GB2312"/>
                <w:kern w:val="0"/>
                <w:sz w:val="24"/>
              </w:rPr>
              <w:t>　</w:t>
            </w:r>
          </w:p>
        </w:tc>
        <w:tc>
          <w:tcPr>
            <w:tcW w:w="1481" w:type="pct"/>
            <w:tcBorders>
              <w:top w:val="nil"/>
              <w:left w:val="nil"/>
              <w:bottom w:val="single" w:color="auto" w:sz="4" w:space="0"/>
              <w:right w:val="single" w:color="auto" w:sz="4" w:space="0"/>
            </w:tcBorders>
            <w:noWrap/>
            <w:vAlign w:val="center"/>
          </w:tcPr>
          <w:p w14:paraId="71BF460C">
            <w:pPr>
              <w:widowControl/>
              <w:jc w:val="center"/>
              <w:rPr>
                <w:rFonts w:eastAsia="仿宋_GB2312"/>
                <w:b/>
                <w:bCs/>
                <w:kern w:val="0"/>
                <w:sz w:val="24"/>
              </w:rPr>
            </w:pPr>
            <w:r>
              <w:rPr>
                <w:rFonts w:eastAsia="仿宋_GB2312"/>
                <w:b/>
                <w:bCs/>
                <w:kern w:val="0"/>
                <w:sz w:val="24"/>
              </w:rPr>
              <w:t>合同金额</w:t>
            </w:r>
          </w:p>
        </w:tc>
        <w:tc>
          <w:tcPr>
            <w:tcW w:w="1248" w:type="pct"/>
            <w:tcBorders>
              <w:top w:val="nil"/>
              <w:left w:val="nil"/>
              <w:bottom w:val="single" w:color="auto" w:sz="4" w:space="0"/>
              <w:right w:val="single" w:color="auto" w:sz="8" w:space="0"/>
            </w:tcBorders>
            <w:noWrap/>
            <w:vAlign w:val="center"/>
          </w:tcPr>
          <w:p w14:paraId="5F6280F5">
            <w:pPr>
              <w:widowControl/>
              <w:jc w:val="left"/>
              <w:rPr>
                <w:rFonts w:hint="eastAsia" w:eastAsia="仿宋_GB2312"/>
                <w:b/>
                <w:bCs/>
                <w:kern w:val="0"/>
                <w:sz w:val="24"/>
                <w:lang w:eastAsia="zh-CN"/>
              </w:rPr>
            </w:pPr>
            <w:r>
              <w:rPr>
                <w:rFonts w:eastAsia="仿宋_GB2312"/>
                <w:b/>
                <w:bCs/>
                <w:kern w:val="0"/>
                <w:sz w:val="24"/>
              </w:rPr>
              <w:t>¥</w:t>
            </w:r>
            <w:r>
              <w:rPr>
                <w:rFonts w:hint="eastAsia" w:eastAsia="仿宋_GB2312"/>
                <w:b/>
                <w:bCs/>
                <w:kern w:val="0"/>
                <w:sz w:val="24"/>
                <w:lang w:eastAsia="zh-CN"/>
              </w:rPr>
              <w:t>：</w:t>
            </w:r>
          </w:p>
        </w:tc>
      </w:tr>
      <w:tr w14:paraId="0C83ED84">
        <w:tblPrEx>
          <w:tblCellMar>
            <w:top w:w="0" w:type="dxa"/>
            <w:left w:w="108" w:type="dxa"/>
            <w:bottom w:w="0" w:type="dxa"/>
            <w:right w:w="108" w:type="dxa"/>
          </w:tblCellMar>
        </w:tblPrEx>
        <w:trPr>
          <w:trHeight w:val="540" w:hRule="atLeast"/>
        </w:trPr>
        <w:tc>
          <w:tcPr>
            <w:tcW w:w="922" w:type="pct"/>
            <w:vMerge w:val="continue"/>
            <w:tcBorders>
              <w:top w:val="nil"/>
              <w:left w:val="single" w:color="auto" w:sz="8" w:space="0"/>
              <w:bottom w:val="single" w:color="auto" w:sz="4" w:space="0"/>
              <w:right w:val="single" w:color="auto" w:sz="4" w:space="0"/>
            </w:tcBorders>
            <w:vAlign w:val="center"/>
          </w:tcPr>
          <w:p w14:paraId="5BCA90E1">
            <w:pPr>
              <w:widowControl/>
              <w:jc w:val="left"/>
              <w:rPr>
                <w:rFonts w:eastAsia="仿宋_GB2312"/>
                <w:b/>
                <w:bCs/>
                <w:kern w:val="0"/>
                <w:sz w:val="24"/>
              </w:rPr>
            </w:pPr>
          </w:p>
        </w:tc>
        <w:tc>
          <w:tcPr>
            <w:tcW w:w="1349" w:type="pct"/>
            <w:vMerge w:val="continue"/>
            <w:tcBorders>
              <w:top w:val="nil"/>
              <w:left w:val="single" w:color="auto" w:sz="4" w:space="0"/>
              <w:bottom w:val="single" w:color="auto" w:sz="4" w:space="0"/>
              <w:right w:val="single" w:color="auto" w:sz="4" w:space="0"/>
            </w:tcBorders>
            <w:vAlign w:val="center"/>
          </w:tcPr>
          <w:p w14:paraId="3951F88B">
            <w:pPr>
              <w:widowControl/>
              <w:jc w:val="left"/>
              <w:rPr>
                <w:rFonts w:eastAsia="仿宋_GB2312"/>
                <w:kern w:val="0"/>
                <w:sz w:val="24"/>
              </w:rPr>
            </w:pPr>
          </w:p>
        </w:tc>
        <w:tc>
          <w:tcPr>
            <w:tcW w:w="1481" w:type="pct"/>
            <w:tcBorders>
              <w:top w:val="nil"/>
              <w:left w:val="nil"/>
              <w:bottom w:val="single" w:color="auto" w:sz="4" w:space="0"/>
              <w:right w:val="single" w:color="auto" w:sz="4" w:space="0"/>
            </w:tcBorders>
            <w:noWrap/>
            <w:vAlign w:val="center"/>
          </w:tcPr>
          <w:p w14:paraId="33C463D3">
            <w:pPr>
              <w:widowControl/>
              <w:jc w:val="center"/>
              <w:rPr>
                <w:rFonts w:eastAsia="仿宋_GB2312"/>
                <w:b/>
                <w:bCs/>
                <w:kern w:val="0"/>
                <w:sz w:val="24"/>
              </w:rPr>
            </w:pPr>
            <w:r>
              <w:rPr>
                <w:rFonts w:eastAsia="仿宋_GB2312"/>
                <w:b/>
                <w:bCs/>
                <w:kern w:val="0"/>
                <w:sz w:val="24"/>
              </w:rPr>
              <w:t>验收时间/地点</w:t>
            </w:r>
          </w:p>
        </w:tc>
        <w:tc>
          <w:tcPr>
            <w:tcW w:w="1248" w:type="pct"/>
            <w:tcBorders>
              <w:top w:val="nil"/>
              <w:left w:val="nil"/>
              <w:bottom w:val="single" w:color="auto" w:sz="4" w:space="0"/>
              <w:right w:val="single" w:color="auto" w:sz="8" w:space="0"/>
            </w:tcBorders>
            <w:noWrap/>
            <w:vAlign w:val="center"/>
          </w:tcPr>
          <w:p w14:paraId="3C46D283">
            <w:pPr>
              <w:widowControl/>
              <w:jc w:val="center"/>
              <w:rPr>
                <w:rFonts w:eastAsia="仿宋_GB2312"/>
                <w:kern w:val="0"/>
                <w:sz w:val="24"/>
              </w:rPr>
            </w:pPr>
            <w:r>
              <w:rPr>
                <w:rFonts w:eastAsia="仿宋_GB2312"/>
                <w:kern w:val="0"/>
                <w:sz w:val="24"/>
              </w:rPr>
              <w:t>　</w:t>
            </w:r>
          </w:p>
        </w:tc>
      </w:tr>
      <w:tr w14:paraId="4F0545B6">
        <w:tblPrEx>
          <w:tblCellMar>
            <w:top w:w="0" w:type="dxa"/>
            <w:left w:w="108" w:type="dxa"/>
            <w:bottom w:w="0" w:type="dxa"/>
            <w:right w:w="108" w:type="dxa"/>
          </w:tblCellMar>
        </w:tblPrEx>
        <w:trPr>
          <w:trHeight w:val="471" w:hRule="atLeast"/>
        </w:trPr>
        <w:tc>
          <w:tcPr>
            <w:tcW w:w="922" w:type="pct"/>
            <w:tcBorders>
              <w:top w:val="nil"/>
              <w:left w:val="single" w:color="auto" w:sz="8" w:space="0"/>
              <w:bottom w:val="single" w:color="auto" w:sz="4" w:space="0"/>
              <w:right w:val="single" w:color="auto" w:sz="4" w:space="0"/>
            </w:tcBorders>
            <w:noWrap/>
            <w:vAlign w:val="center"/>
          </w:tcPr>
          <w:p w14:paraId="229FE0A3">
            <w:pPr>
              <w:widowControl/>
              <w:jc w:val="center"/>
              <w:rPr>
                <w:rFonts w:eastAsia="仿宋_GB2312"/>
                <w:b/>
                <w:bCs/>
                <w:kern w:val="0"/>
                <w:sz w:val="24"/>
              </w:rPr>
            </w:pPr>
            <w:r>
              <w:rPr>
                <w:rFonts w:eastAsia="仿宋_GB2312"/>
                <w:b/>
                <w:bCs/>
                <w:kern w:val="0"/>
                <w:sz w:val="24"/>
              </w:rPr>
              <w:t>供货单位</w:t>
            </w:r>
          </w:p>
        </w:tc>
        <w:tc>
          <w:tcPr>
            <w:tcW w:w="4078" w:type="pct"/>
            <w:gridSpan w:val="3"/>
            <w:tcBorders>
              <w:top w:val="single" w:color="auto" w:sz="4" w:space="0"/>
              <w:left w:val="nil"/>
              <w:bottom w:val="single" w:color="auto" w:sz="4" w:space="0"/>
              <w:right w:val="single" w:color="000000" w:sz="8" w:space="0"/>
            </w:tcBorders>
            <w:noWrap/>
            <w:vAlign w:val="center"/>
          </w:tcPr>
          <w:p w14:paraId="4E10DC41">
            <w:pPr>
              <w:widowControl/>
              <w:jc w:val="center"/>
              <w:rPr>
                <w:rFonts w:eastAsia="仿宋_GB2312"/>
                <w:kern w:val="0"/>
                <w:sz w:val="24"/>
              </w:rPr>
            </w:pPr>
            <w:r>
              <w:rPr>
                <w:rFonts w:eastAsia="仿宋_GB2312"/>
                <w:kern w:val="0"/>
                <w:sz w:val="24"/>
              </w:rPr>
              <w:t>　</w:t>
            </w:r>
          </w:p>
        </w:tc>
      </w:tr>
      <w:tr w14:paraId="3063EB9F">
        <w:tblPrEx>
          <w:tblCellMar>
            <w:top w:w="0" w:type="dxa"/>
            <w:left w:w="108" w:type="dxa"/>
            <w:bottom w:w="0" w:type="dxa"/>
            <w:right w:w="108" w:type="dxa"/>
          </w:tblCellMar>
        </w:tblPrEx>
        <w:trPr>
          <w:trHeight w:val="540" w:hRule="atLeast"/>
        </w:trPr>
        <w:tc>
          <w:tcPr>
            <w:tcW w:w="922" w:type="pct"/>
            <w:tcBorders>
              <w:top w:val="nil"/>
              <w:left w:val="single" w:color="auto" w:sz="8" w:space="0"/>
              <w:bottom w:val="single" w:color="auto" w:sz="4" w:space="0"/>
              <w:right w:val="single" w:color="auto" w:sz="4" w:space="0"/>
            </w:tcBorders>
            <w:noWrap/>
            <w:vAlign w:val="center"/>
          </w:tcPr>
          <w:p w14:paraId="4B69837E">
            <w:pPr>
              <w:widowControl/>
              <w:jc w:val="center"/>
              <w:rPr>
                <w:rFonts w:eastAsia="仿宋_GB2312"/>
                <w:b/>
                <w:bCs/>
                <w:kern w:val="0"/>
                <w:sz w:val="24"/>
              </w:rPr>
            </w:pPr>
            <w:r>
              <w:rPr>
                <w:rFonts w:eastAsia="仿宋_GB2312"/>
                <w:b/>
                <w:bCs/>
                <w:kern w:val="0"/>
                <w:sz w:val="24"/>
              </w:rPr>
              <w:t>开户行</w:t>
            </w:r>
          </w:p>
        </w:tc>
        <w:tc>
          <w:tcPr>
            <w:tcW w:w="1349" w:type="pct"/>
            <w:tcBorders>
              <w:top w:val="nil"/>
              <w:left w:val="nil"/>
              <w:bottom w:val="single" w:color="auto" w:sz="4" w:space="0"/>
              <w:right w:val="single" w:color="auto" w:sz="4" w:space="0"/>
            </w:tcBorders>
            <w:noWrap/>
            <w:vAlign w:val="center"/>
          </w:tcPr>
          <w:p w14:paraId="1A2BAFEA">
            <w:pPr>
              <w:widowControl/>
              <w:jc w:val="center"/>
              <w:rPr>
                <w:rFonts w:eastAsia="仿宋_GB2312"/>
                <w:kern w:val="0"/>
                <w:sz w:val="24"/>
              </w:rPr>
            </w:pPr>
            <w:r>
              <w:rPr>
                <w:rFonts w:eastAsia="仿宋_GB2312"/>
                <w:kern w:val="0"/>
                <w:sz w:val="24"/>
              </w:rPr>
              <w:t>　</w:t>
            </w:r>
          </w:p>
        </w:tc>
        <w:tc>
          <w:tcPr>
            <w:tcW w:w="1481" w:type="pct"/>
            <w:tcBorders>
              <w:top w:val="nil"/>
              <w:left w:val="nil"/>
              <w:bottom w:val="single" w:color="auto" w:sz="4" w:space="0"/>
              <w:right w:val="single" w:color="auto" w:sz="4" w:space="0"/>
            </w:tcBorders>
            <w:noWrap/>
            <w:vAlign w:val="center"/>
          </w:tcPr>
          <w:p w14:paraId="34DE201E">
            <w:pPr>
              <w:widowControl/>
              <w:jc w:val="center"/>
              <w:rPr>
                <w:rFonts w:eastAsia="仿宋_GB2312"/>
                <w:b/>
                <w:bCs/>
                <w:kern w:val="0"/>
                <w:sz w:val="24"/>
              </w:rPr>
            </w:pPr>
            <w:r>
              <w:rPr>
                <w:rFonts w:eastAsia="仿宋_GB2312"/>
                <w:b/>
                <w:bCs/>
                <w:kern w:val="0"/>
                <w:sz w:val="24"/>
              </w:rPr>
              <w:t>账号</w:t>
            </w:r>
          </w:p>
        </w:tc>
        <w:tc>
          <w:tcPr>
            <w:tcW w:w="1248" w:type="pct"/>
            <w:tcBorders>
              <w:top w:val="nil"/>
              <w:left w:val="nil"/>
              <w:bottom w:val="single" w:color="auto" w:sz="4" w:space="0"/>
              <w:right w:val="single" w:color="auto" w:sz="8" w:space="0"/>
            </w:tcBorders>
            <w:noWrap/>
            <w:vAlign w:val="center"/>
          </w:tcPr>
          <w:p w14:paraId="19AC0C1F">
            <w:pPr>
              <w:widowControl/>
              <w:jc w:val="center"/>
              <w:rPr>
                <w:rFonts w:eastAsia="仿宋_GB2312"/>
                <w:kern w:val="0"/>
                <w:sz w:val="24"/>
              </w:rPr>
            </w:pPr>
            <w:r>
              <w:rPr>
                <w:rFonts w:eastAsia="仿宋_GB2312"/>
                <w:kern w:val="0"/>
                <w:sz w:val="24"/>
              </w:rPr>
              <w:t>　</w:t>
            </w:r>
          </w:p>
        </w:tc>
      </w:tr>
      <w:tr w14:paraId="691C8051">
        <w:tblPrEx>
          <w:tblCellMar>
            <w:top w:w="0" w:type="dxa"/>
            <w:left w:w="108" w:type="dxa"/>
            <w:bottom w:w="0" w:type="dxa"/>
            <w:right w:w="108" w:type="dxa"/>
          </w:tblCellMar>
        </w:tblPrEx>
        <w:trPr>
          <w:trHeight w:val="540" w:hRule="atLeast"/>
        </w:trPr>
        <w:tc>
          <w:tcPr>
            <w:tcW w:w="922" w:type="pct"/>
            <w:tcBorders>
              <w:top w:val="nil"/>
              <w:left w:val="single" w:color="auto" w:sz="8" w:space="0"/>
              <w:bottom w:val="nil"/>
              <w:right w:val="single" w:color="auto" w:sz="4" w:space="0"/>
            </w:tcBorders>
            <w:noWrap/>
            <w:vAlign w:val="center"/>
          </w:tcPr>
          <w:p w14:paraId="644B3139">
            <w:pPr>
              <w:widowControl/>
              <w:jc w:val="center"/>
              <w:rPr>
                <w:rFonts w:eastAsia="仿宋_GB2312"/>
                <w:b/>
                <w:bCs/>
                <w:kern w:val="0"/>
                <w:sz w:val="24"/>
              </w:rPr>
            </w:pPr>
            <w:r>
              <w:rPr>
                <w:rFonts w:eastAsia="仿宋_GB2312"/>
                <w:b/>
                <w:bCs/>
                <w:kern w:val="0"/>
                <w:sz w:val="24"/>
              </w:rPr>
              <w:t>联系人</w:t>
            </w:r>
          </w:p>
        </w:tc>
        <w:tc>
          <w:tcPr>
            <w:tcW w:w="1349" w:type="pct"/>
            <w:tcBorders>
              <w:top w:val="nil"/>
              <w:left w:val="nil"/>
              <w:bottom w:val="nil"/>
              <w:right w:val="single" w:color="auto" w:sz="4" w:space="0"/>
            </w:tcBorders>
            <w:noWrap/>
            <w:vAlign w:val="center"/>
          </w:tcPr>
          <w:p w14:paraId="14B10C20">
            <w:pPr>
              <w:widowControl/>
              <w:jc w:val="center"/>
              <w:rPr>
                <w:rFonts w:eastAsia="仿宋_GB2312"/>
                <w:kern w:val="0"/>
                <w:sz w:val="24"/>
              </w:rPr>
            </w:pPr>
            <w:r>
              <w:rPr>
                <w:rFonts w:eastAsia="仿宋_GB2312"/>
                <w:kern w:val="0"/>
                <w:sz w:val="24"/>
              </w:rPr>
              <w:t>　</w:t>
            </w:r>
          </w:p>
        </w:tc>
        <w:tc>
          <w:tcPr>
            <w:tcW w:w="1481" w:type="pct"/>
            <w:tcBorders>
              <w:top w:val="nil"/>
              <w:left w:val="nil"/>
              <w:bottom w:val="nil"/>
              <w:right w:val="single" w:color="auto" w:sz="4" w:space="0"/>
            </w:tcBorders>
            <w:noWrap/>
            <w:vAlign w:val="center"/>
          </w:tcPr>
          <w:p w14:paraId="4B9CAF92">
            <w:pPr>
              <w:widowControl/>
              <w:jc w:val="center"/>
              <w:rPr>
                <w:rFonts w:eastAsia="仿宋_GB2312"/>
                <w:b/>
                <w:bCs/>
                <w:kern w:val="0"/>
                <w:sz w:val="24"/>
              </w:rPr>
            </w:pPr>
            <w:r>
              <w:rPr>
                <w:rFonts w:eastAsia="仿宋_GB2312"/>
                <w:b/>
                <w:bCs/>
                <w:kern w:val="0"/>
                <w:sz w:val="24"/>
              </w:rPr>
              <w:t>电话</w:t>
            </w:r>
          </w:p>
        </w:tc>
        <w:tc>
          <w:tcPr>
            <w:tcW w:w="1248" w:type="pct"/>
            <w:tcBorders>
              <w:top w:val="nil"/>
              <w:left w:val="nil"/>
              <w:bottom w:val="nil"/>
              <w:right w:val="single" w:color="auto" w:sz="8" w:space="0"/>
            </w:tcBorders>
            <w:noWrap/>
            <w:vAlign w:val="center"/>
          </w:tcPr>
          <w:p w14:paraId="0C3120CE">
            <w:pPr>
              <w:widowControl/>
              <w:jc w:val="center"/>
              <w:rPr>
                <w:rFonts w:eastAsia="仿宋_GB2312"/>
                <w:kern w:val="0"/>
                <w:sz w:val="24"/>
              </w:rPr>
            </w:pPr>
            <w:r>
              <w:rPr>
                <w:rFonts w:eastAsia="仿宋_GB2312"/>
                <w:kern w:val="0"/>
                <w:sz w:val="24"/>
              </w:rPr>
              <w:t>　</w:t>
            </w:r>
          </w:p>
        </w:tc>
      </w:tr>
      <w:tr w14:paraId="339BCFA9">
        <w:tblPrEx>
          <w:tblCellMar>
            <w:top w:w="0" w:type="dxa"/>
            <w:left w:w="108" w:type="dxa"/>
            <w:bottom w:w="0" w:type="dxa"/>
            <w:right w:w="108" w:type="dxa"/>
          </w:tblCellMar>
        </w:tblPrEx>
        <w:trPr>
          <w:trHeight w:val="880" w:hRule="atLeast"/>
        </w:trPr>
        <w:tc>
          <w:tcPr>
            <w:tcW w:w="2271" w:type="pct"/>
            <w:gridSpan w:val="2"/>
            <w:tcBorders>
              <w:top w:val="single" w:color="auto" w:sz="4" w:space="0"/>
              <w:left w:val="single" w:color="auto" w:sz="8" w:space="0"/>
              <w:bottom w:val="nil"/>
              <w:right w:val="nil"/>
            </w:tcBorders>
          </w:tcPr>
          <w:p w14:paraId="0E45E0B3">
            <w:pPr>
              <w:widowControl/>
              <w:jc w:val="left"/>
              <w:rPr>
                <w:rFonts w:eastAsia="仿宋_GB2312"/>
                <w:b/>
                <w:bCs/>
                <w:kern w:val="0"/>
                <w:sz w:val="24"/>
              </w:rPr>
            </w:pPr>
            <w:r>
              <w:rPr>
                <w:rFonts w:eastAsia="仿宋_GB2312"/>
                <w:b/>
                <w:bCs/>
                <w:kern w:val="0"/>
                <w:sz w:val="24"/>
              </w:rPr>
              <w:t xml:space="preserve">  供货单位：（盖章）</w:t>
            </w:r>
          </w:p>
        </w:tc>
        <w:tc>
          <w:tcPr>
            <w:tcW w:w="2729" w:type="pct"/>
            <w:gridSpan w:val="2"/>
            <w:tcBorders>
              <w:top w:val="single" w:color="auto" w:sz="4" w:space="0"/>
              <w:left w:val="single" w:color="auto" w:sz="4" w:space="0"/>
              <w:bottom w:val="nil"/>
              <w:right w:val="single" w:color="000000" w:sz="8" w:space="0"/>
            </w:tcBorders>
          </w:tcPr>
          <w:p w14:paraId="3E4EC5E6">
            <w:pPr>
              <w:widowControl/>
              <w:jc w:val="left"/>
              <w:rPr>
                <w:rFonts w:eastAsia="仿宋_GB2312"/>
                <w:b/>
                <w:bCs/>
                <w:kern w:val="0"/>
                <w:sz w:val="24"/>
              </w:rPr>
            </w:pPr>
            <w:r>
              <w:rPr>
                <w:rFonts w:eastAsia="仿宋_GB2312"/>
                <w:b/>
                <w:bCs/>
                <w:kern w:val="0"/>
                <w:sz w:val="24"/>
              </w:rPr>
              <w:t xml:space="preserve">   使用单位验收意见：（盖章）</w:t>
            </w:r>
          </w:p>
          <w:p w14:paraId="1D7A37C8">
            <w:pPr>
              <w:rPr>
                <w:rFonts w:eastAsia="仿宋_GB2312"/>
                <w:sz w:val="24"/>
              </w:rPr>
            </w:pPr>
          </w:p>
        </w:tc>
      </w:tr>
      <w:tr w14:paraId="5D61F304">
        <w:tblPrEx>
          <w:tblCellMar>
            <w:top w:w="0" w:type="dxa"/>
            <w:left w:w="108" w:type="dxa"/>
            <w:bottom w:w="0" w:type="dxa"/>
            <w:right w:w="108" w:type="dxa"/>
          </w:tblCellMar>
        </w:tblPrEx>
        <w:trPr>
          <w:trHeight w:val="480" w:hRule="atLeast"/>
        </w:trPr>
        <w:tc>
          <w:tcPr>
            <w:tcW w:w="922" w:type="pct"/>
            <w:tcBorders>
              <w:top w:val="nil"/>
              <w:left w:val="single" w:color="auto" w:sz="8" w:space="0"/>
              <w:bottom w:val="nil"/>
              <w:right w:val="nil"/>
            </w:tcBorders>
            <w:noWrap/>
            <w:vAlign w:val="center"/>
          </w:tcPr>
          <w:p w14:paraId="6D6917A1">
            <w:pPr>
              <w:widowControl/>
              <w:jc w:val="center"/>
              <w:rPr>
                <w:rFonts w:eastAsia="仿宋_GB2312"/>
                <w:b/>
                <w:bCs/>
                <w:kern w:val="0"/>
                <w:sz w:val="24"/>
              </w:rPr>
            </w:pPr>
            <w:r>
              <w:rPr>
                <w:rFonts w:eastAsia="仿宋_GB2312"/>
                <w:b/>
                <w:bCs/>
                <w:kern w:val="0"/>
                <w:sz w:val="24"/>
              </w:rPr>
              <w:t xml:space="preserve"> 签字：</w:t>
            </w:r>
          </w:p>
        </w:tc>
        <w:tc>
          <w:tcPr>
            <w:tcW w:w="1349" w:type="pct"/>
            <w:tcBorders>
              <w:top w:val="nil"/>
              <w:left w:val="nil"/>
              <w:bottom w:val="nil"/>
              <w:right w:val="nil"/>
            </w:tcBorders>
            <w:noWrap/>
            <w:vAlign w:val="center"/>
          </w:tcPr>
          <w:p w14:paraId="062B041E">
            <w:pPr>
              <w:widowControl/>
              <w:jc w:val="center"/>
              <w:rPr>
                <w:rFonts w:eastAsia="仿宋_GB2312"/>
                <w:b/>
                <w:bCs/>
                <w:kern w:val="0"/>
                <w:sz w:val="24"/>
              </w:rPr>
            </w:pPr>
          </w:p>
        </w:tc>
        <w:tc>
          <w:tcPr>
            <w:tcW w:w="1481" w:type="pct"/>
            <w:tcBorders>
              <w:top w:val="nil"/>
              <w:left w:val="single" w:color="auto" w:sz="4" w:space="0"/>
              <w:bottom w:val="nil"/>
              <w:right w:val="nil"/>
            </w:tcBorders>
            <w:noWrap/>
            <w:vAlign w:val="center"/>
          </w:tcPr>
          <w:p w14:paraId="3B79B40B">
            <w:pPr>
              <w:widowControl/>
              <w:jc w:val="center"/>
              <w:rPr>
                <w:rFonts w:eastAsia="仿宋_GB2312"/>
                <w:b/>
                <w:bCs/>
                <w:kern w:val="0"/>
                <w:sz w:val="24"/>
              </w:rPr>
            </w:pPr>
            <w:r>
              <w:rPr>
                <w:rFonts w:eastAsia="仿宋_GB2312"/>
                <w:b/>
                <w:bCs/>
                <w:kern w:val="0"/>
                <w:sz w:val="24"/>
              </w:rPr>
              <w:t>签字：</w:t>
            </w:r>
          </w:p>
        </w:tc>
        <w:tc>
          <w:tcPr>
            <w:tcW w:w="1248" w:type="pct"/>
            <w:tcBorders>
              <w:top w:val="nil"/>
              <w:left w:val="nil"/>
              <w:bottom w:val="nil"/>
              <w:right w:val="single" w:color="auto" w:sz="8" w:space="0"/>
            </w:tcBorders>
          </w:tcPr>
          <w:p w14:paraId="76AB7B85">
            <w:pPr>
              <w:widowControl/>
              <w:jc w:val="left"/>
              <w:rPr>
                <w:rFonts w:eastAsia="仿宋_GB2312"/>
                <w:b/>
                <w:bCs/>
                <w:kern w:val="0"/>
                <w:sz w:val="24"/>
              </w:rPr>
            </w:pPr>
            <w:r>
              <w:rPr>
                <w:rFonts w:eastAsia="仿宋_GB2312"/>
                <w:b/>
                <w:bCs/>
                <w:kern w:val="0"/>
                <w:sz w:val="24"/>
              </w:rPr>
              <w:t>　</w:t>
            </w:r>
          </w:p>
        </w:tc>
      </w:tr>
      <w:tr w14:paraId="12802A14">
        <w:tblPrEx>
          <w:tblCellMar>
            <w:top w:w="0" w:type="dxa"/>
            <w:left w:w="108" w:type="dxa"/>
            <w:bottom w:w="0" w:type="dxa"/>
            <w:right w:w="108" w:type="dxa"/>
          </w:tblCellMar>
        </w:tblPrEx>
        <w:trPr>
          <w:trHeight w:val="78" w:hRule="atLeast"/>
        </w:trPr>
        <w:tc>
          <w:tcPr>
            <w:tcW w:w="922" w:type="pct"/>
            <w:tcBorders>
              <w:top w:val="nil"/>
              <w:left w:val="single" w:color="auto" w:sz="8" w:space="0"/>
              <w:bottom w:val="single" w:color="auto" w:sz="4" w:space="0"/>
              <w:right w:val="nil"/>
            </w:tcBorders>
            <w:noWrap/>
            <w:vAlign w:val="center"/>
          </w:tcPr>
          <w:p w14:paraId="64826466">
            <w:pPr>
              <w:widowControl/>
              <w:jc w:val="left"/>
              <w:rPr>
                <w:rFonts w:eastAsia="仿宋_GB2312"/>
                <w:kern w:val="0"/>
                <w:sz w:val="22"/>
                <w:szCs w:val="22"/>
              </w:rPr>
            </w:pPr>
            <w:r>
              <w:rPr>
                <w:rFonts w:eastAsia="仿宋_GB2312"/>
                <w:kern w:val="0"/>
                <w:sz w:val="22"/>
                <w:szCs w:val="22"/>
              </w:rPr>
              <w:t>　</w:t>
            </w:r>
          </w:p>
        </w:tc>
        <w:tc>
          <w:tcPr>
            <w:tcW w:w="1349" w:type="pct"/>
            <w:tcBorders>
              <w:top w:val="nil"/>
              <w:left w:val="nil"/>
              <w:bottom w:val="single" w:color="auto" w:sz="4" w:space="0"/>
              <w:right w:val="nil"/>
            </w:tcBorders>
            <w:vAlign w:val="bottom"/>
          </w:tcPr>
          <w:p w14:paraId="68B23FD7">
            <w:pPr>
              <w:widowControl/>
              <w:jc w:val="right"/>
              <w:rPr>
                <w:rFonts w:eastAsia="仿宋_GB2312"/>
                <w:kern w:val="0"/>
                <w:sz w:val="22"/>
                <w:szCs w:val="22"/>
              </w:rPr>
            </w:pPr>
            <w:r>
              <w:rPr>
                <w:rFonts w:eastAsia="仿宋_GB2312"/>
                <w:kern w:val="0"/>
                <w:sz w:val="22"/>
                <w:szCs w:val="22"/>
              </w:rPr>
              <w:t>年     月   日</w:t>
            </w:r>
          </w:p>
        </w:tc>
        <w:tc>
          <w:tcPr>
            <w:tcW w:w="1481" w:type="pct"/>
            <w:tcBorders>
              <w:top w:val="nil"/>
              <w:left w:val="single" w:color="auto" w:sz="4" w:space="0"/>
              <w:bottom w:val="single" w:color="auto" w:sz="4" w:space="0"/>
              <w:right w:val="nil"/>
            </w:tcBorders>
            <w:noWrap/>
            <w:vAlign w:val="center"/>
          </w:tcPr>
          <w:p w14:paraId="0D5DC8CD">
            <w:pPr>
              <w:widowControl/>
              <w:jc w:val="left"/>
              <w:rPr>
                <w:rFonts w:eastAsia="仿宋_GB2312"/>
                <w:kern w:val="0"/>
                <w:sz w:val="22"/>
                <w:szCs w:val="22"/>
              </w:rPr>
            </w:pPr>
            <w:r>
              <w:rPr>
                <w:rFonts w:eastAsia="仿宋_GB2312"/>
                <w:kern w:val="0"/>
                <w:sz w:val="22"/>
                <w:szCs w:val="22"/>
              </w:rPr>
              <w:t>　</w:t>
            </w:r>
          </w:p>
        </w:tc>
        <w:tc>
          <w:tcPr>
            <w:tcW w:w="1248" w:type="pct"/>
            <w:tcBorders>
              <w:top w:val="nil"/>
              <w:left w:val="nil"/>
              <w:bottom w:val="single" w:color="auto" w:sz="4" w:space="0"/>
              <w:right w:val="single" w:color="auto" w:sz="8" w:space="0"/>
            </w:tcBorders>
            <w:vAlign w:val="bottom"/>
          </w:tcPr>
          <w:p w14:paraId="30346F18">
            <w:pPr>
              <w:widowControl/>
              <w:jc w:val="right"/>
              <w:rPr>
                <w:rFonts w:eastAsia="仿宋_GB2312"/>
                <w:kern w:val="0"/>
                <w:sz w:val="22"/>
                <w:szCs w:val="22"/>
              </w:rPr>
            </w:pPr>
            <w:r>
              <w:rPr>
                <w:rFonts w:eastAsia="仿宋_GB2312"/>
                <w:kern w:val="0"/>
                <w:sz w:val="22"/>
                <w:szCs w:val="22"/>
              </w:rPr>
              <w:t>年   月   日</w:t>
            </w:r>
          </w:p>
        </w:tc>
      </w:tr>
      <w:tr w14:paraId="30ED81EB">
        <w:tblPrEx>
          <w:tblCellMar>
            <w:top w:w="0" w:type="dxa"/>
            <w:left w:w="108" w:type="dxa"/>
            <w:bottom w:w="0" w:type="dxa"/>
            <w:right w:w="108" w:type="dxa"/>
          </w:tblCellMar>
        </w:tblPrEx>
        <w:trPr>
          <w:trHeight w:val="603" w:hRule="atLeast"/>
        </w:trPr>
        <w:tc>
          <w:tcPr>
            <w:tcW w:w="5000" w:type="pct"/>
            <w:gridSpan w:val="4"/>
            <w:tcBorders>
              <w:top w:val="single" w:color="auto" w:sz="4" w:space="0"/>
              <w:left w:val="single" w:color="auto" w:sz="8" w:space="0"/>
              <w:bottom w:val="single" w:color="auto" w:sz="4" w:space="0"/>
              <w:right w:val="single" w:color="000000" w:sz="8" w:space="0"/>
            </w:tcBorders>
            <w:noWrap/>
            <w:vAlign w:val="center"/>
          </w:tcPr>
          <w:p w14:paraId="5F9757F1">
            <w:pPr>
              <w:widowControl/>
              <w:jc w:val="center"/>
              <w:rPr>
                <w:rFonts w:eastAsia="仿宋_GB2312"/>
                <w:b/>
                <w:bCs/>
                <w:kern w:val="0"/>
                <w:sz w:val="22"/>
                <w:szCs w:val="22"/>
              </w:rPr>
            </w:pPr>
            <w:r>
              <w:rPr>
                <w:rFonts w:eastAsia="仿宋_GB2312"/>
                <w:b/>
                <w:bCs/>
                <w:kern w:val="0"/>
                <w:sz w:val="22"/>
                <w:szCs w:val="22"/>
              </w:rPr>
              <w:t>采购内容</w:t>
            </w:r>
          </w:p>
        </w:tc>
      </w:tr>
      <w:tr w14:paraId="516D1247">
        <w:tblPrEx>
          <w:tblCellMar>
            <w:top w:w="0" w:type="dxa"/>
            <w:left w:w="108" w:type="dxa"/>
            <w:bottom w:w="0" w:type="dxa"/>
            <w:right w:w="108" w:type="dxa"/>
          </w:tblCellMar>
        </w:tblPrEx>
        <w:trPr>
          <w:trHeight w:val="1975" w:hRule="atLeast"/>
        </w:trPr>
        <w:tc>
          <w:tcPr>
            <w:tcW w:w="5000" w:type="pct"/>
            <w:gridSpan w:val="4"/>
            <w:tcBorders>
              <w:top w:val="single" w:color="auto" w:sz="4" w:space="0"/>
              <w:left w:val="single" w:color="auto" w:sz="8" w:space="0"/>
              <w:bottom w:val="single" w:color="auto" w:sz="8" w:space="0"/>
              <w:right w:val="single" w:color="000000" w:sz="8" w:space="0"/>
            </w:tcBorders>
          </w:tcPr>
          <w:p w14:paraId="204013BB">
            <w:pPr>
              <w:widowControl/>
              <w:jc w:val="center"/>
              <w:rPr>
                <w:rFonts w:eastAsia="仿宋_GB2312"/>
                <w:b/>
                <w:bCs/>
                <w:kern w:val="0"/>
                <w:sz w:val="28"/>
                <w:szCs w:val="28"/>
              </w:rPr>
            </w:pPr>
            <w:r>
              <w:rPr>
                <w:rFonts w:eastAsia="仿宋_GB2312"/>
                <w:b/>
                <w:bCs/>
                <w:kern w:val="0"/>
                <w:sz w:val="28"/>
                <w:szCs w:val="28"/>
              </w:rPr>
              <w:t>采购内容请列明品目、规格、型号、数量、单价、总价</w:t>
            </w:r>
          </w:p>
        </w:tc>
      </w:tr>
    </w:tbl>
    <w:p w14:paraId="76E2858F">
      <w:pPr>
        <w:pStyle w:val="22"/>
        <w:rPr>
          <w:rFonts w:ascii="Times New Roman" w:hAnsi="Times New Roman" w:eastAsia="仿宋_GB2312"/>
        </w:rPr>
      </w:pPr>
      <w:r>
        <w:rPr>
          <w:rFonts w:ascii="Times New Roman" w:hAnsi="Times New Roman" w:eastAsia="仿宋_GB2312"/>
        </w:rPr>
        <w:br w:type="page"/>
      </w:r>
    </w:p>
    <w:p w14:paraId="067087A4">
      <w:pPr>
        <w:pStyle w:val="72"/>
        <w:adjustRightInd w:val="0"/>
        <w:spacing w:before="240" w:beforeLines="100" w:line="360" w:lineRule="auto"/>
        <w:ind w:right="-22" w:firstLine="0" w:firstLineChars="0"/>
        <w:jc w:val="center"/>
        <w:textAlignment w:val="baseline"/>
        <w:outlineLvl w:val="0"/>
        <w:rPr>
          <w:rFonts w:eastAsia="仿宋_GB2312"/>
          <w:bCs/>
        </w:rPr>
      </w:pPr>
      <w:bookmarkStart w:id="442" w:name="_Toc58504448"/>
      <w:bookmarkStart w:id="443" w:name="_Toc16724"/>
      <w:r>
        <w:rPr>
          <w:rFonts w:ascii="Times New Roman" w:hAnsi="Times New Roman" w:eastAsia="仿宋_GB2312"/>
          <w:b/>
          <w:kern w:val="0"/>
          <w:sz w:val="32"/>
          <w:szCs w:val="32"/>
        </w:rPr>
        <w:t>第四章  采购内容及要求</w:t>
      </w:r>
      <w:bookmarkEnd w:id="442"/>
      <w:bookmarkEnd w:id="443"/>
    </w:p>
    <w:p w14:paraId="56585C23">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textAlignment w:val="auto"/>
        <w:rPr>
          <w:rFonts w:hint="eastAsia" w:ascii="仿宋" w:hAnsi="仿宋" w:eastAsia="仿宋" w:cs="仿宋"/>
          <w:b/>
          <w:sz w:val="24"/>
          <w:szCs w:val="24"/>
          <w:lang w:val="en-US" w:eastAsia="zh-CN"/>
        </w:rPr>
      </w:pPr>
      <w:r>
        <w:rPr>
          <w:rFonts w:hint="eastAsia" w:ascii="仿宋" w:hAnsi="仿宋" w:eastAsia="仿宋" w:cs="仿宋"/>
          <w:b/>
          <w:kern w:val="2"/>
          <w:sz w:val="24"/>
          <w:szCs w:val="24"/>
          <w:lang w:val="en-US" w:eastAsia="zh-CN" w:bidi="ar-SA"/>
        </w:rPr>
        <w:t>一、</w:t>
      </w:r>
      <w:r>
        <w:rPr>
          <w:rFonts w:hint="eastAsia" w:ascii="仿宋" w:hAnsi="仿宋" w:eastAsia="仿宋" w:cs="仿宋"/>
          <w:b/>
          <w:sz w:val="24"/>
          <w:szCs w:val="24"/>
          <w:lang w:val="en-US" w:eastAsia="zh-CN"/>
        </w:rPr>
        <w:t>基本情况</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1515"/>
        <w:gridCol w:w="1935"/>
        <w:gridCol w:w="1035"/>
        <w:gridCol w:w="3965"/>
      </w:tblGrid>
      <w:tr w14:paraId="1EC67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vAlign w:val="center"/>
          </w:tcPr>
          <w:p w14:paraId="34228299">
            <w:pPr>
              <w:numPr>
                <w:ilvl w:val="0"/>
                <w:numId w:val="0"/>
              </w:numPr>
              <w:spacing w:line="360" w:lineRule="auto"/>
              <w:jc w:val="center"/>
              <w:rPr>
                <w:rFonts w:hint="eastAsia" w:ascii="仿宋" w:hAnsi="仿宋" w:eastAsia="仿宋" w:cs="仿宋"/>
                <w:bCs/>
                <w:sz w:val="24"/>
                <w:szCs w:val="24"/>
                <w:vertAlign w:val="baseline"/>
              </w:rPr>
            </w:pPr>
            <w:r>
              <w:rPr>
                <w:rFonts w:hint="eastAsia" w:ascii="仿宋" w:hAnsi="仿宋" w:eastAsia="仿宋" w:cs="仿宋"/>
                <w:bCs/>
                <w:sz w:val="24"/>
                <w:szCs w:val="24"/>
                <w:vertAlign w:val="baseline"/>
              </w:rPr>
              <w:t>包号</w:t>
            </w:r>
          </w:p>
        </w:tc>
        <w:tc>
          <w:tcPr>
            <w:tcW w:w="1515" w:type="dxa"/>
            <w:vAlign w:val="center"/>
          </w:tcPr>
          <w:p w14:paraId="416B3241">
            <w:pPr>
              <w:numPr>
                <w:ilvl w:val="0"/>
                <w:numId w:val="0"/>
              </w:numPr>
              <w:spacing w:line="360" w:lineRule="auto"/>
              <w:jc w:val="center"/>
              <w:rPr>
                <w:rFonts w:hint="eastAsia" w:ascii="仿宋" w:hAnsi="仿宋" w:eastAsia="仿宋" w:cs="仿宋"/>
                <w:bCs/>
                <w:sz w:val="24"/>
                <w:szCs w:val="24"/>
                <w:vertAlign w:val="baseline"/>
              </w:rPr>
            </w:pPr>
            <w:r>
              <w:rPr>
                <w:rFonts w:hint="eastAsia" w:ascii="仿宋" w:hAnsi="仿宋" w:eastAsia="仿宋" w:cs="仿宋"/>
                <w:bCs/>
                <w:sz w:val="24"/>
                <w:szCs w:val="24"/>
                <w:vertAlign w:val="baseline"/>
              </w:rPr>
              <w:t>标的名称</w:t>
            </w:r>
          </w:p>
        </w:tc>
        <w:tc>
          <w:tcPr>
            <w:tcW w:w="1935" w:type="dxa"/>
            <w:vAlign w:val="center"/>
          </w:tcPr>
          <w:p w14:paraId="67108E51">
            <w:pPr>
              <w:numPr>
                <w:ilvl w:val="0"/>
                <w:numId w:val="0"/>
              </w:numPr>
              <w:spacing w:line="360" w:lineRule="auto"/>
              <w:jc w:val="center"/>
              <w:rPr>
                <w:rFonts w:hint="eastAsia" w:ascii="仿宋" w:hAnsi="仿宋" w:eastAsia="仿宋" w:cs="仿宋"/>
                <w:bCs/>
                <w:sz w:val="24"/>
                <w:szCs w:val="24"/>
                <w:vertAlign w:val="baseline"/>
              </w:rPr>
            </w:pPr>
            <w:r>
              <w:rPr>
                <w:rFonts w:hint="eastAsia" w:ascii="仿宋" w:hAnsi="仿宋" w:eastAsia="仿宋" w:cs="仿宋"/>
                <w:bCs/>
                <w:sz w:val="24"/>
                <w:szCs w:val="24"/>
                <w:vertAlign w:val="baseline"/>
              </w:rPr>
              <w:t>采购包预算金额</w:t>
            </w:r>
          </w:p>
          <w:p w14:paraId="0B54FEAC">
            <w:pPr>
              <w:numPr>
                <w:ilvl w:val="0"/>
                <w:numId w:val="0"/>
              </w:numPr>
              <w:spacing w:line="360" w:lineRule="auto"/>
              <w:jc w:val="center"/>
              <w:rPr>
                <w:rFonts w:hint="eastAsia" w:ascii="仿宋" w:hAnsi="仿宋" w:eastAsia="仿宋" w:cs="仿宋"/>
                <w:bCs/>
                <w:sz w:val="24"/>
                <w:szCs w:val="24"/>
                <w:vertAlign w:val="baseline"/>
              </w:rPr>
            </w:pPr>
            <w:r>
              <w:rPr>
                <w:rFonts w:hint="eastAsia" w:ascii="仿宋" w:hAnsi="仿宋" w:eastAsia="仿宋" w:cs="仿宋"/>
                <w:bCs/>
                <w:sz w:val="24"/>
                <w:szCs w:val="24"/>
                <w:vertAlign w:val="baseline"/>
              </w:rPr>
              <w:t>（元）</w:t>
            </w:r>
          </w:p>
        </w:tc>
        <w:tc>
          <w:tcPr>
            <w:tcW w:w="1035" w:type="dxa"/>
            <w:vAlign w:val="center"/>
          </w:tcPr>
          <w:p w14:paraId="44A86FCD">
            <w:pPr>
              <w:numPr>
                <w:ilvl w:val="0"/>
                <w:numId w:val="0"/>
              </w:numPr>
              <w:spacing w:line="360" w:lineRule="auto"/>
              <w:jc w:val="center"/>
              <w:rPr>
                <w:rFonts w:hint="eastAsia" w:ascii="仿宋" w:hAnsi="仿宋" w:eastAsia="仿宋" w:cs="仿宋"/>
                <w:bCs/>
                <w:sz w:val="24"/>
                <w:szCs w:val="24"/>
                <w:vertAlign w:val="baseline"/>
              </w:rPr>
            </w:pPr>
            <w:r>
              <w:rPr>
                <w:rFonts w:hint="eastAsia" w:ascii="仿宋" w:hAnsi="仿宋" w:eastAsia="仿宋" w:cs="仿宋"/>
                <w:bCs/>
                <w:sz w:val="24"/>
                <w:szCs w:val="24"/>
                <w:vertAlign w:val="baseline"/>
              </w:rPr>
              <w:t>数量</w:t>
            </w:r>
          </w:p>
        </w:tc>
        <w:tc>
          <w:tcPr>
            <w:tcW w:w="3965" w:type="dxa"/>
            <w:vAlign w:val="center"/>
          </w:tcPr>
          <w:p w14:paraId="54C311D3">
            <w:pPr>
              <w:numPr>
                <w:ilvl w:val="0"/>
                <w:numId w:val="0"/>
              </w:numPr>
              <w:spacing w:line="360" w:lineRule="auto"/>
              <w:jc w:val="center"/>
              <w:rPr>
                <w:rFonts w:hint="default" w:ascii="仿宋" w:hAnsi="仿宋" w:eastAsia="仿宋" w:cs="仿宋"/>
                <w:bCs/>
                <w:sz w:val="24"/>
                <w:szCs w:val="24"/>
                <w:vertAlign w:val="baseline"/>
                <w:lang w:val="en-US" w:eastAsia="zh-CN"/>
              </w:rPr>
            </w:pPr>
            <w:r>
              <w:rPr>
                <w:rFonts w:hint="eastAsia" w:ascii="仿宋" w:hAnsi="仿宋" w:eastAsia="仿宋" w:cs="仿宋"/>
                <w:bCs/>
                <w:sz w:val="24"/>
                <w:szCs w:val="24"/>
                <w:vertAlign w:val="baseline"/>
              </w:rPr>
              <w:t>采购内容</w:t>
            </w:r>
            <w:r>
              <w:rPr>
                <w:rFonts w:hint="eastAsia" w:ascii="仿宋" w:hAnsi="仿宋" w:eastAsia="仿宋" w:cs="仿宋"/>
                <w:bCs/>
                <w:sz w:val="24"/>
                <w:szCs w:val="24"/>
                <w:vertAlign w:val="baseline"/>
                <w:lang w:val="en-US" w:eastAsia="zh-CN"/>
              </w:rPr>
              <w:t>及要求</w:t>
            </w:r>
          </w:p>
        </w:tc>
      </w:tr>
      <w:tr w14:paraId="185B5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trPr>
        <w:tc>
          <w:tcPr>
            <w:tcW w:w="1506" w:type="dxa"/>
            <w:vAlign w:val="center"/>
          </w:tcPr>
          <w:p w14:paraId="753B13A6">
            <w:pPr>
              <w:numPr>
                <w:ilvl w:val="0"/>
                <w:numId w:val="0"/>
              </w:numPr>
              <w:spacing w:line="360" w:lineRule="auto"/>
              <w:jc w:val="center"/>
              <w:rPr>
                <w:rFonts w:hint="eastAsia" w:ascii="仿宋" w:hAnsi="仿宋" w:eastAsia="仿宋" w:cs="仿宋"/>
                <w:bCs/>
                <w:sz w:val="24"/>
                <w:szCs w:val="24"/>
                <w:vertAlign w:val="baseline"/>
              </w:rPr>
            </w:pPr>
            <w:r>
              <w:rPr>
                <w:rFonts w:hint="eastAsia" w:ascii="仿宋" w:hAnsi="仿宋" w:eastAsia="仿宋" w:cs="仿宋"/>
                <w:bCs/>
                <w:sz w:val="24"/>
                <w:szCs w:val="24"/>
                <w:vertAlign w:val="baseline"/>
              </w:rPr>
              <w:t>合同包1</w:t>
            </w:r>
          </w:p>
        </w:tc>
        <w:tc>
          <w:tcPr>
            <w:tcW w:w="1515" w:type="dxa"/>
            <w:vAlign w:val="center"/>
          </w:tcPr>
          <w:p w14:paraId="3932B6AA">
            <w:pPr>
              <w:numPr>
                <w:ilvl w:val="0"/>
                <w:numId w:val="0"/>
              </w:numPr>
              <w:spacing w:line="360" w:lineRule="auto"/>
              <w:jc w:val="center"/>
              <w:rPr>
                <w:rFonts w:hint="eastAsia" w:ascii="仿宋" w:hAnsi="仿宋" w:eastAsia="仿宋" w:cs="仿宋"/>
                <w:bCs/>
                <w:sz w:val="24"/>
                <w:szCs w:val="24"/>
                <w:vertAlign w:val="baseline"/>
              </w:rPr>
            </w:pPr>
            <w:r>
              <w:rPr>
                <w:rFonts w:hint="eastAsia" w:ascii="仿宋" w:hAnsi="仿宋" w:eastAsia="仿宋" w:cs="仿宋"/>
                <w:bCs/>
                <w:sz w:val="24"/>
                <w:szCs w:val="24"/>
                <w:vertAlign w:val="baseline"/>
                <w:lang w:eastAsia="zh-CN"/>
              </w:rPr>
              <w:t>汉阴县第二幼儿园2025-2027学年食堂原辅食材采购项目</w:t>
            </w:r>
            <w:r>
              <w:rPr>
                <w:rFonts w:hint="eastAsia" w:ascii="仿宋" w:hAnsi="仿宋" w:eastAsia="仿宋" w:cs="仿宋"/>
                <w:bCs/>
                <w:sz w:val="24"/>
                <w:szCs w:val="24"/>
                <w:vertAlign w:val="baseline"/>
                <w:lang w:val="en-US" w:eastAsia="zh-CN"/>
              </w:rPr>
              <w:t xml:space="preserve"> </w:t>
            </w:r>
          </w:p>
        </w:tc>
        <w:tc>
          <w:tcPr>
            <w:tcW w:w="1935" w:type="dxa"/>
            <w:vAlign w:val="center"/>
          </w:tcPr>
          <w:p w14:paraId="65CA232A">
            <w:pPr>
              <w:numPr>
                <w:ilvl w:val="0"/>
                <w:numId w:val="0"/>
              </w:numPr>
              <w:spacing w:line="360" w:lineRule="auto"/>
              <w:jc w:val="center"/>
              <w:rPr>
                <w:rFonts w:hint="default" w:ascii="仿宋" w:hAnsi="仿宋" w:eastAsia="仿宋" w:cs="仿宋"/>
                <w:bCs/>
                <w:sz w:val="24"/>
                <w:szCs w:val="24"/>
                <w:vertAlign w:val="baseline"/>
                <w:lang w:val="en-US" w:eastAsia="zh-CN"/>
              </w:rPr>
            </w:pPr>
            <w:r>
              <w:rPr>
                <w:rFonts w:hint="eastAsia" w:ascii="仿宋" w:hAnsi="仿宋" w:eastAsia="仿宋" w:cs="仿宋"/>
                <w:bCs/>
                <w:sz w:val="24"/>
                <w:szCs w:val="24"/>
                <w:vertAlign w:val="baseline"/>
                <w:lang w:val="en-US" w:eastAsia="zh-CN"/>
              </w:rPr>
              <w:t>900000.00</w:t>
            </w:r>
          </w:p>
        </w:tc>
        <w:tc>
          <w:tcPr>
            <w:tcW w:w="1035" w:type="dxa"/>
            <w:vAlign w:val="center"/>
          </w:tcPr>
          <w:p w14:paraId="75CE96C9">
            <w:pPr>
              <w:numPr>
                <w:ilvl w:val="0"/>
                <w:numId w:val="0"/>
              </w:numPr>
              <w:spacing w:line="360" w:lineRule="auto"/>
              <w:jc w:val="center"/>
              <w:rPr>
                <w:rFonts w:hint="eastAsia" w:ascii="仿宋" w:hAnsi="仿宋" w:eastAsia="仿宋" w:cs="仿宋"/>
                <w:bCs/>
                <w:sz w:val="24"/>
                <w:szCs w:val="24"/>
                <w:vertAlign w:val="baseline"/>
                <w:lang w:val="en-US" w:eastAsia="zh-CN"/>
              </w:rPr>
            </w:pPr>
            <w:r>
              <w:rPr>
                <w:rFonts w:hint="eastAsia" w:ascii="仿宋" w:hAnsi="仿宋" w:eastAsia="仿宋" w:cs="仿宋"/>
                <w:bCs/>
                <w:sz w:val="24"/>
                <w:szCs w:val="24"/>
                <w:vertAlign w:val="baseline"/>
                <w:lang w:val="en-US" w:eastAsia="zh-CN"/>
              </w:rPr>
              <w:t>1批</w:t>
            </w:r>
          </w:p>
        </w:tc>
        <w:tc>
          <w:tcPr>
            <w:tcW w:w="3965" w:type="dxa"/>
            <w:vAlign w:val="center"/>
          </w:tcPr>
          <w:p w14:paraId="309BF484">
            <w:pPr>
              <w:numPr>
                <w:ilvl w:val="0"/>
                <w:numId w:val="0"/>
              </w:numPr>
              <w:spacing w:line="360" w:lineRule="auto"/>
              <w:jc w:val="center"/>
              <w:rPr>
                <w:rFonts w:hint="eastAsia" w:ascii="仿宋" w:hAnsi="仿宋" w:eastAsia="仿宋" w:cs="仿宋"/>
                <w:bCs/>
                <w:sz w:val="24"/>
                <w:szCs w:val="24"/>
                <w:vertAlign w:val="baseline"/>
                <w:lang w:eastAsia="zh-CN"/>
              </w:rPr>
            </w:pPr>
            <w:r>
              <w:rPr>
                <w:rFonts w:hint="eastAsia" w:ascii="仿宋" w:hAnsi="仿宋" w:eastAsia="仿宋" w:cs="仿宋"/>
                <w:bCs/>
                <w:sz w:val="24"/>
                <w:szCs w:val="24"/>
                <w:vertAlign w:val="baseline"/>
              </w:rPr>
              <w:t>成交供应商供应</w:t>
            </w:r>
            <w:r>
              <w:rPr>
                <w:rFonts w:hint="eastAsia" w:ascii="仿宋" w:hAnsi="仿宋" w:eastAsia="仿宋" w:cs="仿宋"/>
                <w:bCs/>
                <w:sz w:val="24"/>
                <w:szCs w:val="24"/>
                <w:vertAlign w:val="baseline"/>
                <w:lang w:val="en-US" w:eastAsia="zh-CN"/>
              </w:rPr>
              <w:t>的</w:t>
            </w:r>
            <w:r>
              <w:rPr>
                <w:rFonts w:hint="eastAsia" w:ascii="仿宋" w:hAnsi="仿宋" w:eastAsia="仿宋" w:cs="仿宋"/>
                <w:bCs/>
                <w:sz w:val="24"/>
                <w:szCs w:val="24"/>
                <w:vertAlign w:val="baseline"/>
              </w:rPr>
              <w:t>商品品类、规格、商品质量、包装形式等按采购人需求提供，在保证商品质量的同时成交供应商应全力做好应急保障工作，避免出现供应不及时的情况。</w:t>
            </w:r>
          </w:p>
        </w:tc>
      </w:tr>
    </w:tbl>
    <w:p w14:paraId="08814DDA">
      <w:pPr>
        <w:keepNext w:val="0"/>
        <w:keepLines w:val="0"/>
        <w:pageBreakBefore w:val="0"/>
        <w:widowControl w:val="0"/>
        <w:numPr>
          <w:ilvl w:val="0"/>
          <w:numId w:val="7"/>
        </w:numPr>
        <w:kinsoku/>
        <w:wordWrap/>
        <w:overflowPunct/>
        <w:topLinePunct w:val="0"/>
        <w:autoSpaceDE/>
        <w:autoSpaceDN/>
        <w:bidi w:val="0"/>
        <w:adjustRightInd/>
        <w:snapToGrid/>
        <w:spacing w:before="313" w:beforeLines="100" w:after="313" w:afterLines="100"/>
        <w:jc w:val="both"/>
        <w:textAlignment w:val="auto"/>
        <w:rPr>
          <w:rFonts w:hint="eastAsia" w:ascii="仿宋" w:hAnsi="仿宋" w:eastAsia="仿宋" w:cs="仿宋"/>
          <w:b/>
          <w:bCs/>
          <w:sz w:val="24"/>
          <w:szCs w:val="32"/>
          <w:lang w:val="en-US" w:eastAsia="zh-CN"/>
        </w:rPr>
      </w:pPr>
      <w:r>
        <w:rPr>
          <w:rFonts w:hint="eastAsia" w:ascii="仿宋" w:hAnsi="仿宋" w:eastAsia="仿宋" w:cs="仿宋"/>
          <w:b/>
          <w:bCs/>
          <w:sz w:val="24"/>
          <w:szCs w:val="32"/>
          <w:lang w:val="en-US" w:eastAsia="zh-CN"/>
        </w:rPr>
        <w:t>清单（供参考）</w:t>
      </w:r>
    </w:p>
    <w:p w14:paraId="55333DBF">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jc w:val="center"/>
        <w:textAlignment w:val="auto"/>
      </w:pPr>
      <w:r>
        <w:drawing>
          <wp:inline distT="0" distB="0" distL="114300" distR="114300">
            <wp:extent cx="5210175" cy="6572250"/>
            <wp:effectExtent l="0" t="0" r="9525" b="0"/>
            <wp:docPr id="2" name="图片 2" descr="a22c8c4641fc1f1a5609cfe93bd99c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22c8c4641fc1f1a5609cfe93bd99c70"/>
                    <pic:cNvPicPr>
                      <a:picLocks noChangeAspect="1"/>
                    </pic:cNvPicPr>
                  </pic:nvPicPr>
                  <pic:blipFill>
                    <a:blip r:embed="rId9"/>
                    <a:stretch>
                      <a:fillRect/>
                    </a:stretch>
                  </pic:blipFill>
                  <pic:spPr>
                    <a:xfrm>
                      <a:off x="0" y="0"/>
                      <a:ext cx="5210175" cy="6572250"/>
                    </a:xfrm>
                    <a:prstGeom prst="rect">
                      <a:avLst/>
                    </a:prstGeom>
                  </pic:spPr>
                </pic:pic>
              </a:graphicData>
            </a:graphic>
          </wp:inline>
        </w:drawing>
      </w:r>
      <w:r>
        <w:drawing>
          <wp:inline distT="0" distB="0" distL="114300" distR="114300">
            <wp:extent cx="5514340" cy="6991350"/>
            <wp:effectExtent l="0" t="0" r="10160" b="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0"/>
                    <a:stretch>
                      <a:fillRect/>
                    </a:stretch>
                  </pic:blipFill>
                  <pic:spPr>
                    <a:xfrm>
                      <a:off x="0" y="0"/>
                      <a:ext cx="5514340" cy="6991350"/>
                    </a:xfrm>
                    <a:prstGeom prst="rect">
                      <a:avLst/>
                    </a:prstGeom>
                    <a:noFill/>
                    <a:ln>
                      <a:noFill/>
                    </a:ln>
                  </pic:spPr>
                </pic:pic>
              </a:graphicData>
            </a:graphic>
          </wp:inline>
        </w:drawing>
      </w:r>
    </w:p>
    <w:p w14:paraId="384B0432">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jc w:val="both"/>
        <w:textAlignment w:val="auto"/>
      </w:pPr>
      <w:r>
        <w:br w:type="page"/>
      </w:r>
      <w:r>
        <w:drawing>
          <wp:inline distT="0" distB="0" distL="114300" distR="114300">
            <wp:extent cx="5867400" cy="5819775"/>
            <wp:effectExtent l="0" t="0" r="0" b="9525"/>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1"/>
                    <a:stretch>
                      <a:fillRect/>
                    </a:stretch>
                  </pic:blipFill>
                  <pic:spPr>
                    <a:xfrm>
                      <a:off x="0" y="0"/>
                      <a:ext cx="5867400" cy="5819775"/>
                    </a:xfrm>
                    <a:prstGeom prst="rect">
                      <a:avLst/>
                    </a:prstGeom>
                    <a:noFill/>
                    <a:ln>
                      <a:noFill/>
                    </a:ln>
                  </pic:spPr>
                </pic:pic>
              </a:graphicData>
            </a:graphic>
          </wp:inline>
        </w:drawing>
      </w:r>
      <w:r>
        <w:drawing>
          <wp:inline distT="0" distB="0" distL="114300" distR="114300">
            <wp:extent cx="6067425" cy="7267575"/>
            <wp:effectExtent l="0" t="0" r="9525" b="9525"/>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12"/>
                    <a:stretch>
                      <a:fillRect/>
                    </a:stretch>
                  </pic:blipFill>
                  <pic:spPr>
                    <a:xfrm>
                      <a:off x="0" y="0"/>
                      <a:ext cx="6067425" cy="7267575"/>
                    </a:xfrm>
                    <a:prstGeom prst="rect">
                      <a:avLst/>
                    </a:prstGeom>
                    <a:noFill/>
                    <a:ln>
                      <a:noFill/>
                    </a:ln>
                  </pic:spPr>
                </pic:pic>
              </a:graphicData>
            </a:graphic>
          </wp:inline>
        </w:drawing>
      </w:r>
      <w:r>
        <w:drawing>
          <wp:inline distT="0" distB="0" distL="114300" distR="114300">
            <wp:extent cx="5924550" cy="4219575"/>
            <wp:effectExtent l="0" t="0" r="0" b="9525"/>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13"/>
                    <a:stretch>
                      <a:fillRect/>
                    </a:stretch>
                  </pic:blipFill>
                  <pic:spPr>
                    <a:xfrm>
                      <a:off x="0" y="0"/>
                      <a:ext cx="5924550" cy="4219575"/>
                    </a:xfrm>
                    <a:prstGeom prst="rect">
                      <a:avLst/>
                    </a:prstGeom>
                    <a:noFill/>
                    <a:ln>
                      <a:noFill/>
                    </a:ln>
                  </pic:spPr>
                </pic:pic>
              </a:graphicData>
            </a:graphic>
          </wp:inline>
        </w:drawing>
      </w:r>
      <w:r>
        <w:br w:type="page"/>
      </w:r>
    </w:p>
    <w:p w14:paraId="67E69CCB">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360" w:lineRule="auto"/>
        <w:ind w:firstLine="482" w:firstLineChars="200"/>
        <w:jc w:val="both"/>
        <w:textAlignment w:val="auto"/>
        <w:rPr>
          <w:rFonts w:hint="eastAsia" w:ascii="仿宋" w:hAnsi="仿宋" w:eastAsia="仿宋" w:cs="仿宋"/>
          <w:b/>
          <w:kern w:val="2"/>
          <w:sz w:val="24"/>
          <w:szCs w:val="24"/>
          <w:highlight w:val="none"/>
          <w:lang w:val="en-US" w:eastAsia="zh-CN" w:bidi="ar-SA"/>
        </w:rPr>
      </w:pPr>
      <w:r>
        <w:rPr>
          <w:rFonts w:hint="eastAsia" w:ascii="仿宋" w:hAnsi="仿宋" w:eastAsia="仿宋" w:cs="仿宋"/>
          <w:b/>
          <w:kern w:val="2"/>
          <w:sz w:val="24"/>
          <w:szCs w:val="24"/>
          <w:highlight w:val="none"/>
          <w:lang w:val="en-US" w:eastAsia="zh-CN" w:bidi="ar-SA"/>
        </w:rPr>
        <w:t>补充名录：奶粉、牛奶、糕点材料（包括但不限于：奶油奶酪、黄油、泡打粉、苏打粉等等）。</w:t>
      </w:r>
    </w:p>
    <w:p w14:paraId="737D09F8">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ind w:firstLine="482" w:firstLineChars="200"/>
        <w:jc w:val="both"/>
        <w:textAlignment w:val="auto"/>
        <w:rPr>
          <w:rFonts w:hint="default" w:ascii="仿宋" w:hAnsi="仿宋" w:eastAsia="仿宋" w:cs="仿宋"/>
          <w:b/>
          <w:kern w:val="2"/>
          <w:sz w:val="24"/>
          <w:szCs w:val="24"/>
          <w:highlight w:val="none"/>
          <w:lang w:val="en-US" w:eastAsia="zh-CN" w:bidi="ar-SA"/>
        </w:rPr>
      </w:pPr>
      <w:r>
        <w:rPr>
          <w:rFonts w:hint="eastAsia" w:ascii="仿宋" w:hAnsi="仿宋" w:eastAsia="仿宋" w:cs="仿宋"/>
          <w:b/>
          <w:kern w:val="2"/>
          <w:sz w:val="24"/>
          <w:szCs w:val="24"/>
          <w:highlight w:val="none"/>
          <w:lang w:val="en-US" w:eastAsia="zh-CN" w:bidi="ar-SA"/>
        </w:rPr>
        <w:t>说明：上述名录规格中如涉及到冷藏产品则须替换成新鲜产品。</w:t>
      </w:r>
    </w:p>
    <w:p w14:paraId="24564DFC">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jc w:val="both"/>
        <w:textAlignment w:val="auto"/>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三、商务要求</w:t>
      </w:r>
    </w:p>
    <w:p w14:paraId="3BCFC1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sz w:val="24"/>
          <w:szCs w:val="24"/>
          <w:highlight w:val="none"/>
          <w:lang w:val="en-US" w:eastAsia="zh-CN"/>
        </w:rPr>
      </w:pPr>
      <w:r>
        <w:rPr>
          <w:rFonts w:hint="default" w:ascii="仿宋" w:hAnsi="仿宋" w:eastAsia="仿宋" w:cs="仿宋"/>
          <w:b w:val="0"/>
          <w:bCs/>
          <w:kern w:val="2"/>
          <w:sz w:val="24"/>
          <w:szCs w:val="24"/>
          <w:highlight w:val="none"/>
          <w:lang w:val="en-US" w:eastAsia="zh-CN" w:bidi="ar-SA"/>
        </w:rPr>
        <w:t>1、</w:t>
      </w:r>
      <w:r>
        <w:rPr>
          <w:rFonts w:hint="default" w:ascii="仿宋" w:hAnsi="仿宋" w:eastAsia="仿宋" w:cs="仿宋"/>
          <w:b w:val="0"/>
          <w:bCs/>
          <w:sz w:val="24"/>
          <w:szCs w:val="24"/>
          <w:highlight w:val="none"/>
          <w:lang w:val="en-US" w:eastAsia="zh-CN"/>
        </w:rPr>
        <w:t>服务期限：</w:t>
      </w:r>
      <w:r>
        <w:rPr>
          <w:rFonts w:hint="eastAsia" w:ascii="仿宋" w:hAnsi="仿宋" w:eastAsia="仿宋" w:cs="仿宋"/>
          <w:b w:val="0"/>
          <w:bCs/>
          <w:sz w:val="24"/>
          <w:szCs w:val="24"/>
          <w:highlight w:val="none"/>
          <w:lang w:val="en-US" w:eastAsia="zh-CN"/>
        </w:rPr>
        <w:t>两学年</w:t>
      </w:r>
    </w:p>
    <w:p w14:paraId="450651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highlight w:val="none"/>
          <w:lang w:val="en-US" w:eastAsia="zh-CN"/>
        </w:rPr>
      </w:pPr>
      <w:r>
        <w:rPr>
          <w:rFonts w:hint="default" w:ascii="仿宋" w:hAnsi="仿宋" w:eastAsia="仿宋" w:cs="仿宋"/>
          <w:b w:val="0"/>
          <w:bCs/>
          <w:kern w:val="2"/>
          <w:sz w:val="24"/>
          <w:szCs w:val="24"/>
          <w:highlight w:val="none"/>
          <w:lang w:val="en-US" w:eastAsia="zh-CN" w:bidi="ar-SA"/>
        </w:rPr>
        <w:t>2、</w:t>
      </w:r>
      <w:r>
        <w:rPr>
          <w:rFonts w:hint="eastAsia" w:ascii="仿宋" w:hAnsi="仿宋" w:eastAsia="仿宋" w:cs="仿宋"/>
          <w:b w:val="0"/>
          <w:bCs/>
          <w:sz w:val="24"/>
          <w:szCs w:val="24"/>
          <w:highlight w:val="none"/>
          <w:lang w:val="en-US" w:eastAsia="zh-CN"/>
        </w:rPr>
        <w:t>交货</w:t>
      </w:r>
      <w:r>
        <w:rPr>
          <w:rFonts w:hint="default" w:ascii="仿宋" w:hAnsi="仿宋" w:eastAsia="仿宋" w:cs="仿宋"/>
          <w:b w:val="0"/>
          <w:bCs/>
          <w:sz w:val="24"/>
          <w:szCs w:val="24"/>
          <w:highlight w:val="none"/>
          <w:lang w:val="en-US" w:eastAsia="zh-CN"/>
        </w:rPr>
        <w:t>地点</w:t>
      </w:r>
      <w:r>
        <w:rPr>
          <w:rFonts w:hint="eastAsia" w:ascii="仿宋" w:hAnsi="仿宋" w:eastAsia="仿宋" w:cs="仿宋"/>
          <w:b w:val="0"/>
          <w:bCs/>
          <w:sz w:val="24"/>
          <w:szCs w:val="24"/>
          <w:highlight w:val="none"/>
          <w:lang w:val="en-US" w:eastAsia="zh-CN"/>
        </w:rPr>
        <w:t>：汉阴县第二幼儿园 ，卸货到甲方指定位置。配送前采购人提供收货地址、联系人、电话等信息列表。</w:t>
      </w:r>
    </w:p>
    <w:p w14:paraId="37974F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3、交货时间：按照甲方、乙方约定的时间交付到交货地点。</w:t>
      </w:r>
    </w:p>
    <w:p w14:paraId="0BEC1F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kern w:val="2"/>
          <w:sz w:val="24"/>
          <w:szCs w:val="24"/>
          <w:highlight w:val="none"/>
          <w:lang w:val="en-US" w:eastAsia="zh-CN" w:bidi="ar-SA"/>
        </w:rPr>
        <w:t>4、</w:t>
      </w:r>
      <w:r>
        <w:rPr>
          <w:rFonts w:hint="eastAsia" w:ascii="仿宋" w:hAnsi="仿宋" w:eastAsia="仿宋" w:cs="仿宋"/>
          <w:b w:val="0"/>
          <w:bCs/>
          <w:color w:val="auto"/>
          <w:sz w:val="24"/>
          <w:szCs w:val="24"/>
          <w:highlight w:val="none"/>
          <w:lang w:val="en-US" w:eastAsia="zh-CN"/>
        </w:rPr>
        <w:t>付款方式：（1）</w:t>
      </w:r>
      <w:r>
        <w:rPr>
          <w:rFonts w:hint="eastAsia" w:ascii="仿宋" w:hAnsi="仿宋" w:eastAsia="仿宋" w:cs="仿宋"/>
          <w:b/>
          <w:bCs w:val="0"/>
          <w:color w:val="auto"/>
          <w:sz w:val="24"/>
          <w:szCs w:val="24"/>
          <w:highlight w:val="none"/>
          <w:lang w:val="en-US" w:eastAsia="zh-CN"/>
        </w:rPr>
        <w:t>本项目费用按月据实结算</w:t>
      </w:r>
      <w:r>
        <w:rPr>
          <w:rFonts w:hint="eastAsia" w:ascii="仿宋" w:hAnsi="仿宋" w:eastAsia="仿宋" w:cs="仿宋"/>
          <w:b w:val="0"/>
          <w:bCs/>
          <w:color w:val="auto"/>
          <w:sz w:val="24"/>
          <w:szCs w:val="24"/>
          <w:highlight w:val="none"/>
          <w:lang w:val="en-US" w:eastAsia="zh-CN"/>
        </w:rPr>
        <w:t>。成交供应商根据采购市场行情价格，为甲方供应食材耗材。全2年食材耗材采购及配送费不得高于本次项目预算金额。费用总价包括食材价格、食材耗损、运输、仓储、装卸费、二次搬运、售后服务、各项税费、初加工服务费、检测费、人员费用、不可预见的费用及其他完成本次项目的一切所需费用，本次价格为含税价。</w:t>
      </w:r>
    </w:p>
    <w:p w14:paraId="4DF365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（2）费用的支付需以相应财政资金实际拨付至甲方账户为前提，若因相应财政资金未能审批通过或及时到账导致的延期支付，不属于违约行为，甲方不承担违约责任。</w:t>
      </w:r>
    </w:p>
    <w:p w14:paraId="69A32A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w:t>
      </w:r>
      <w:r>
        <w:rPr>
          <w:rFonts w:hint="eastAsia" w:ascii="仿宋" w:hAnsi="仿宋" w:eastAsia="仿宋" w:cs="仿宋"/>
          <w:b/>
          <w:bCs w:val="0"/>
          <w:color w:val="auto"/>
          <w:sz w:val="24"/>
          <w:szCs w:val="24"/>
          <w:highlight w:val="none"/>
          <w:lang w:val="en-US" w:eastAsia="zh-CN"/>
        </w:rPr>
        <w:t>供应商所供应的食材结算单价以县教体局经每两周市场询价发布的《汉阴县“校园餐”原辅食材最高限价》作为结算基础价格，若乙方报价低于指导价则以乙方报价为结算基础价格。</w:t>
      </w:r>
    </w:p>
    <w:p w14:paraId="11D461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实际结算货款=实际供货数量×县教体局发布的原辅食材最高限价×中标折扣。</w:t>
      </w:r>
    </w:p>
    <w:p w14:paraId="27E2F2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5、其它商务要求：</w:t>
      </w:r>
    </w:p>
    <w:p w14:paraId="5AD3B1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（1）成交企业要在签订合同前办理校园师生食品安全责任保险。</w:t>
      </w:r>
    </w:p>
    <w:p w14:paraId="4E25E6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（2）成交企业在投标前务必认真阅读各项管理制度及合同条款，合同签订后必须按管理制度及合同条款严格执行。</w:t>
      </w:r>
    </w:p>
    <w:p w14:paraId="1350BF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（3）成交企业负责食品的运送，负责提供食品的使用说明等相关资料，并承担由此产生的全部费用。</w:t>
      </w:r>
    </w:p>
    <w:p w14:paraId="796EC6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注：付款方式具体详见本谈判文件《第三章 合同文本》关于合同金额支付的要求。</w:t>
      </w:r>
    </w:p>
    <w:p w14:paraId="68938353">
      <w:pPr>
        <w:keepNext w:val="0"/>
        <w:keepLines w:val="0"/>
        <w:pageBreakBefore w:val="0"/>
        <w:widowControl w:val="0"/>
        <w:numPr>
          <w:ilvl w:val="0"/>
          <w:numId w:val="8"/>
        </w:numPr>
        <w:kinsoku/>
        <w:wordWrap/>
        <w:overflowPunct/>
        <w:topLinePunct w:val="0"/>
        <w:autoSpaceDE/>
        <w:autoSpaceDN/>
        <w:bidi w:val="0"/>
        <w:adjustRightInd/>
        <w:snapToGrid/>
        <w:spacing w:before="313" w:beforeLines="100" w:after="313" w:afterLines="100"/>
        <w:textAlignment w:val="auto"/>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服务需求</w:t>
      </w:r>
    </w:p>
    <w:p w14:paraId="782A0834">
      <w:pPr>
        <w:keepNext w:val="0"/>
        <w:keepLines w:val="0"/>
        <w:pageBreakBefore w:val="0"/>
        <w:widowControl w:val="0"/>
        <w:numPr>
          <w:ilvl w:val="0"/>
          <w:numId w:val="9"/>
        </w:numPr>
        <w:kinsoku/>
        <w:wordWrap/>
        <w:overflowPunct/>
        <w:topLinePunct w:val="0"/>
        <w:autoSpaceDE/>
        <w:autoSpaceDN/>
        <w:bidi w:val="0"/>
        <w:adjustRightInd/>
        <w:snapToGrid/>
        <w:spacing w:before="313" w:beforeLines="100" w:after="313" w:afterLines="100"/>
        <w:textAlignment w:val="auto"/>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项目背景</w:t>
      </w:r>
    </w:p>
    <w:p w14:paraId="2C4E25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在当今社会，随着人们生活水平的提高和健康意识的增强，食品安全和营养健康成为了公众普遍关注的焦点。特别是在教育领域，学龄前儿童的饮食健康问题更是备受社会各界关注。家长们希望孩子在学校能够得到健康、营养的饮食保障，这对学龄前儿童食堂的食材品质提出了更高的要求。</w:t>
      </w:r>
    </w:p>
    <w:p w14:paraId="5A9174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学龄前儿童正处于生长发育的关键时期，身体各器官系统尚未发育成熟，对营养的需求尤为旺盛且敏感。优质的食材能够为学龄前儿童提供全面、均衡的营养，促进身体的正常发育和免疫力的提升。因此，食堂食材品质的好坏直接关系到学生的健康成长，是保障学龄前儿童身体健康的重要基石。</w:t>
      </w:r>
    </w:p>
    <w:p w14:paraId="375368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食材品质是食品安全的第一道防线。选择新鲜、无污染、符合食品安全标准的食材，可以大大降低食物中毒和其他食品安全事件的风险。食堂作为大量学生集中用餐的场所，其食材品质直接关系到学生的饮食安全。因此，加强食材品质管理是学校食品安全管理的重要环节，也是保障学生健康的重要措施。</w:t>
      </w:r>
    </w:p>
    <w:p w14:paraId="606565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综上所述，学龄前儿童食堂食材品质的重要性不容忽视。各供应商要有社会责任感，应该高度重视食材的选择和管理，确保为学生提供健康、安全、美味的饮食环境，为学生的健康成长保驾护航。</w:t>
      </w:r>
    </w:p>
    <w:p w14:paraId="54612FB1">
      <w:pPr>
        <w:keepNext w:val="0"/>
        <w:keepLines w:val="0"/>
        <w:pageBreakBefore w:val="0"/>
        <w:widowControl w:val="0"/>
        <w:numPr>
          <w:ilvl w:val="0"/>
          <w:numId w:val="9"/>
        </w:numPr>
        <w:kinsoku/>
        <w:wordWrap/>
        <w:overflowPunct/>
        <w:topLinePunct w:val="0"/>
        <w:autoSpaceDE/>
        <w:autoSpaceDN/>
        <w:bidi w:val="0"/>
        <w:adjustRightInd/>
        <w:snapToGrid/>
        <w:spacing w:before="313" w:beforeLines="100" w:after="313" w:afterLines="100"/>
        <w:textAlignment w:val="auto"/>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安全卫生总要求</w:t>
      </w:r>
    </w:p>
    <w:p w14:paraId="22AF6A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1、所供的食材必须符合《中华人民共和国食品安全法》要求，必须符合国家行业生产及经营标准，货真价实，均能提供相应批次的合格检验证明。</w:t>
      </w:r>
    </w:p>
    <w:p w14:paraId="09DE3AD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2、成交供应商应充分理解并严格遵循谈判文件要求，所提供货物须是满足或优于本项目谈判文件要求，且满足或优于国家卫生、质量、包装和保质标准。确保所供物品无异味、无霉烂变质，如不符合响应文件所描述的质量标准，须退货并承担全部责任。确保货品均为正规生产的新鲜（冰鲜除外）、检验合格、无毒、无辐射、诚实、无侵权货品。使用有效期的货品，其剩余有效期不得少于标</w:t>
      </w:r>
      <w:r>
        <w:rPr>
          <w:rFonts w:hint="eastAsia" w:ascii="仿宋" w:hAnsi="仿宋" w:eastAsia="仿宋" w:cs="仿宋"/>
          <w:b w:val="0"/>
          <w:bCs/>
          <w:color w:val="auto"/>
          <w:sz w:val="24"/>
          <w:szCs w:val="24"/>
          <w:highlight w:val="none"/>
          <w:lang w:val="en-US" w:eastAsia="zh-CN"/>
        </w:rPr>
        <w:t>注有效期的三分之二。</w:t>
      </w:r>
    </w:p>
    <w:p w14:paraId="74EB97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3、所供货品必须符合国家行业生产及经营标准，货真价实，均能提供相应批次的合格检验证明（如动物检疫证、分割肉销售凭据等）。</w:t>
      </w:r>
    </w:p>
    <w:p w14:paraId="60FAFB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4、食品应清洁，并符合甲方验收标准；食品应无损伤、腐烂现象，无寄生虫或已受虫害现象；对温度有要求的食品应确定食品的温度与包装上指示温度一致。</w:t>
      </w:r>
    </w:p>
    <w:p w14:paraId="7817ED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5、提供的食品符合甲方验收要求，有完善的问题食品召回制度。非采购人的人为原因而出现产品质量，由成交人负责包换或包退，并承担因此而产生的一切费用。</w:t>
      </w:r>
    </w:p>
    <w:p w14:paraId="51FF1C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6、所有食材必须符合国家《无公害食品质量标准》。</w:t>
      </w:r>
    </w:p>
    <w:p w14:paraId="44229B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7、</w:t>
      </w:r>
      <w:r>
        <w:rPr>
          <w:rFonts w:hint="default" w:ascii="仿宋" w:hAnsi="仿宋" w:eastAsia="仿宋" w:cs="仿宋"/>
          <w:b w:val="0"/>
          <w:bCs/>
          <w:sz w:val="24"/>
          <w:szCs w:val="24"/>
          <w:highlight w:val="none"/>
          <w:lang w:val="en-US" w:eastAsia="zh-CN"/>
        </w:rPr>
        <w:t>供应商</w:t>
      </w:r>
      <w:r>
        <w:rPr>
          <w:rFonts w:hint="eastAsia" w:ascii="仿宋" w:hAnsi="仿宋" w:eastAsia="仿宋" w:cs="仿宋"/>
          <w:b w:val="0"/>
          <w:bCs/>
          <w:sz w:val="24"/>
          <w:szCs w:val="24"/>
          <w:highlight w:val="none"/>
          <w:lang w:val="en-US" w:eastAsia="zh-CN"/>
        </w:rPr>
        <w:t>在供应过程中，如果发生出现质量问题或造成食物中毒，如变质等情况，经查实后确属</w:t>
      </w:r>
      <w:r>
        <w:rPr>
          <w:rFonts w:hint="default" w:ascii="仿宋" w:hAnsi="仿宋" w:eastAsia="仿宋" w:cs="仿宋"/>
          <w:b w:val="0"/>
          <w:bCs/>
          <w:sz w:val="24"/>
          <w:szCs w:val="24"/>
          <w:highlight w:val="none"/>
          <w:lang w:val="en-US" w:eastAsia="zh-CN"/>
        </w:rPr>
        <w:t>供应商</w:t>
      </w:r>
      <w:r>
        <w:rPr>
          <w:rFonts w:hint="eastAsia" w:ascii="仿宋" w:hAnsi="仿宋" w:eastAsia="仿宋" w:cs="仿宋"/>
          <w:b w:val="0"/>
          <w:bCs/>
          <w:sz w:val="24"/>
          <w:szCs w:val="24"/>
          <w:highlight w:val="none"/>
          <w:lang w:val="en-US" w:eastAsia="zh-CN"/>
        </w:rPr>
        <w:t>责任，</w:t>
      </w:r>
      <w:r>
        <w:rPr>
          <w:rFonts w:hint="default" w:ascii="仿宋" w:hAnsi="仿宋" w:eastAsia="仿宋" w:cs="仿宋"/>
          <w:b w:val="0"/>
          <w:bCs/>
          <w:sz w:val="24"/>
          <w:szCs w:val="24"/>
          <w:highlight w:val="none"/>
          <w:lang w:val="en-US" w:eastAsia="zh-CN"/>
        </w:rPr>
        <w:t>供应商</w:t>
      </w:r>
      <w:r>
        <w:rPr>
          <w:rFonts w:hint="eastAsia" w:ascii="仿宋" w:hAnsi="仿宋" w:eastAsia="仿宋" w:cs="仿宋"/>
          <w:b w:val="0"/>
          <w:bCs/>
          <w:sz w:val="24"/>
          <w:szCs w:val="24"/>
          <w:highlight w:val="none"/>
          <w:lang w:val="en-US" w:eastAsia="zh-CN"/>
        </w:rPr>
        <w:t>应承担全部责任，包括但不限于：食物中毒人员医疗费、误工费、事故处理费等，触犯刑法的应当追究刑事责任。</w:t>
      </w:r>
    </w:p>
    <w:p w14:paraId="73CDC7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8、新鲜度要求</w:t>
      </w:r>
    </w:p>
    <w:p w14:paraId="413959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使用无有效期的货品，如：蔬菜、鲜果、禽蛋、畜禽肉类商品到达采购人所在地时，应保持其新鲜度，抽检不合格的产品须为采购人退换货；水产类（新鲜的）商品到达采购人所在地时，应保持其鲜活，抽检不合格的产品须为采购人退换货。</w:t>
      </w:r>
    </w:p>
    <w:p w14:paraId="0946FA5E">
      <w:pPr>
        <w:keepNext w:val="0"/>
        <w:keepLines w:val="0"/>
        <w:pageBreakBefore w:val="0"/>
        <w:widowControl w:val="0"/>
        <w:numPr>
          <w:ilvl w:val="0"/>
          <w:numId w:val="9"/>
        </w:numPr>
        <w:kinsoku/>
        <w:wordWrap/>
        <w:overflowPunct/>
        <w:topLinePunct w:val="0"/>
        <w:autoSpaceDE/>
        <w:autoSpaceDN/>
        <w:bidi w:val="0"/>
        <w:adjustRightInd/>
        <w:snapToGrid/>
        <w:spacing w:before="313" w:beforeLines="100" w:after="313" w:afterLines="100"/>
        <w:textAlignment w:val="auto"/>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货品质量要求及标准</w:t>
      </w:r>
    </w:p>
    <w:p w14:paraId="0801015E">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ind w:firstLine="482" w:firstLineChars="200"/>
        <w:textAlignment w:val="auto"/>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羊肉类食材</w:t>
      </w:r>
    </w:p>
    <w:p w14:paraId="21A63B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sz w:val="24"/>
          <w:szCs w:val="24"/>
          <w:highlight w:val="none"/>
          <w:lang w:val="en-US" w:eastAsia="zh-CN"/>
        </w:rPr>
        <w:t>羊肉：必须具有动物检验检疫合格证明，鲜肉，符合卫生标准和无公害质量标准。羊肉去头,去蹄,去内脏。肌肉呈均匀的红色，有光泽，脂肪呈白色或微黄色。肌肉外表微干或风干膜，或外表湿润，但都不粘手。肌肉结构紧密，有坚实感，肌纤维韧性强。</w:t>
      </w:r>
    </w:p>
    <w:p w14:paraId="2C2E07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（2）禽肉：家禽类产品按照国家标准采购，所供货物保证新鲜、无异味、无霉烂变质；表皮和肌肉切面有光泽，具有禽类品种应有的色泽。</w:t>
      </w:r>
    </w:p>
    <w:p w14:paraId="55F534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供应商所提供食材必须价格合理，应按照响应报价供给，不得擅自降低品质，否则采购方有权不用。</w:t>
      </w:r>
    </w:p>
    <w:p w14:paraId="6A602C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所供产品不得使用非食用物质和塑化剂，所使用的食品添加剂不得超过国家相关卫生标准，保证所提供的食品必须是当天当批次加工制作而成，不能出现有过期、变质等情况。</w:t>
      </w:r>
    </w:p>
    <w:p w14:paraId="7B0DDA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所有食品的来源必须清晰，包装食品要有 QS 标志，严禁使用无品牌非正规产品。</w:t>
      </w:r>
    </w:p>
    <w:p w14:paraId="0BF9EA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（4）产品供货时，须提供肉联厂检疫合格证明文件及品质合格证。</w:t>
      </w:r>
    </w:p>
    <w:p w14:paraId="1A0DEC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（5）产品供货时，须提供当批次动物检疫合格证明文件</w:t>
      </w:r>
    </w:p>
    <w:p w14:paraId="4B2750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（6）所有货物必须各项质量技术指标完全符合国家有关质量检测、环保标准及产品出厂标准。</w:t>
      </w:r>
    </w:p>
    <w:p w14:paraId="0EDF41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（7）所有货物规格符合经办人提交的日采购计划中明确的具体需求。</w:t>
      </w:r>
    </w:p>
    <w:p w14:paraId="1A74B8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（8）所有货物指标要符合国家强制性标准要求。</w:t>
      </w:r>
    </w:p>
    <w:p w14:paraId="4DA8C2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（9）对货物的品质要求，必须符合国家，食品部门的有关标准。</w:t>
      </w:r>
    </w:p>
    <w:p w14:paraId="3F220A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水产、禽蛋、蔬菜</w:t>
      </w:r>
      <w:r>
        <w:rPr>
          <w:rFonts w:hint="eastAsia" w:ascii="仿宋" w:hAnsi="仿宋" w:eastAsia="仿宋" w:cs="仿宋"/>
          <w:b/>
          <w:kern w:val="2"/>
          <w:sz w:val="24"/>
          <w:szCs w:val="24"/>
          <w:highlight w:val="none"/>
          <w:lang w:val="en-US" w:eastAsia="zh-CN" w:bidi="ar-SA"/>
        </w:rPr>
        <w:t>、水果、</w:t>
      </w:r>
      <w:r>
        <w:rPr>
          <w:rFonts w:hint="eastAsia" w:ascii="仿宋" w:hAnsi="仿宋" w:eastAsia="仿宋" w:cs="仿宋"/>
          <w:b/>
          <w:kern w:val="2"/>
          <w:sz w:val="24"/>
          <w:szCs w:val="24"/>
          <w:lang w:val="en-US" w:eastAsia="zh-CN" w:bidi="ar-SA"/>
        </w:rPr>
        <w:t>调味品、干货等</w:t>
      </w:r>
    </w:p>
    <w:p w14:paraId="2A5A10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bCs w:val="0"/>
          <w:sz w:val="24"/>
          <w:szCs w:val="24"/>
          <w:highlight w:val="none"/>
          <w:lang w:val="en-US" w:eastAsia="zh-CN"/>
        </w:rPr>
        <w:t>1、蔬菜、水果、禽蛋（无公害及以上标准）</w:t>
      </w:r>
      <w:r>
        <w:rPr>
          <w:rFonts w:hint="eastAsia" w:ascii="仿宋" w:hAnsi="仿宋" w:eastAsia="仿宋" w:cs="仿宋"/>
          <w:b w:val="0"/>
          <w:bCs/>
          <w:sz w:val="24"/>
          <w:szCs w:val="24"/>
          <w:highlight w:val="none"/>
          <w:lang w:val="en-US" w:eastAsia="zh-CN"/>
        </w:rPr>
        <w:t>：</w:t>
      </w:r>
    </w:p>
    <w:p w14:paraId="532DAB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（1）蔬菜</w:t>
      </w:r>
    </w:p>
    <w:p w14:paraId="0AFA01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1）新鲜度：</w:t>
      </w:r>
    </w:p>
    <w:p w14:paraId="563987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水量：充足、但无过份萎蔫、皱皮。</w:t>
      </w:r>
    </w:p>
    <w:p w14:paraId="6976C4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色泽：正常、无变色、光泽、明亮鲜艳。</w:t>
      </w:r>
    </w:p>
    <w:p w14:paraId="1587F4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硬度：叶菜挺立、爪菜饱满、结实、无空心、根菜略硬。</w:t>
      </w:r>
    </w:p>
    <w:p w14:paraId="62ADFD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2）械伤：相同新鲜条件下无外力造成伤害，如挤伤、压伤、碰伤切口、裂伤等。</w:t>
      </w:r>
    </w:p>
    <w:p w14:paraId="783C95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3）病虫害：无虫害、虫嗑、无残虫卵。</w:t>
      </w:r>
    </w:p>
    <w:p w14:paraId="080909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4）形状：枝叶丰满、大小适中、曲线谐调。</w:t>
      </w:r>
    </w:p>
    <w:p w14:paraId="33C312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5）成熟度：适中、无未熟过识、腐烂。</w:t>
      </w:r>
    </w:p>
    <w:p w14:paraId="08FDCF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6）污染：无污染、残留农药、运输造成的污染。</w:t>
      </w:r>
    </w:p>
    <w:p w14:paraId="18435E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7）有包装蔬菜：应完整、干净。</w:t>
      </w:r>
    </w:p>
    <w:p w14:paraId="76EF6D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8）叶菜类：挺实、全味正、颜色好、无过多黄叶、腐烂叶与多泥根，水分充足、无萎蔫、不成熟现象。</w:t>
      </w:r>
    </w:p>
    <w:p w14:paraId="3CE768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9）瓜菜类：个头大、成熟、新鲜、外皮无斑点、有新鲜绿秧、无软化、变质现象。</w:t>
      </w:r>
    </w:p>
    <w:p w14:paraId="0677B1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10）根菜类：挺实、无软化、腐烂、带泥过多、色泽正常、形状正常、无生芽现象。</w:t>
      </w:r>
    </w:p>
    <w:p w14:paraId="27166F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11）果菜类：无腐烂、色泽鲜艳光亮、成熟度正常、个头大。</w:t>
      </w:r>
    </w:p>
    <w:p w14:paraId="035F51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（2）水果</w:t>
      </w:r>
    </w:p>
    <w:p w14:paraId="7D4BDA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1）新鲜度：</w:t>
      </w:r>
    </w:p>
    <w:p w14:paraId="587CF4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水量：充足、无空壳、皱皮、干涩现象。</w:t>
      </w:r>
    </w:p>
    <w:p w14:paraId="2B686A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色泽：新艳、光亮无变色。</w:t>
      </w:r>
    </w:p>
    <w:p w14:paraId="4E0262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硬度：饱满、充实、软硬适中。</w:t>
      </w:r>
    </w:p>
    <w:p w14:paraId="3B427D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2）机械伤：相同条件下无外力造成的伤害。如挤伤、压伤、碰伤、切口、裂伤。</w:t>
      </w:r>
    </w:p>
    <w:p w14:paraId="498FAB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3）病虫害：无不良病虫害。表面、中间无虫卵遗留，无虫眼。</w:t>
      </w:r>
    </w:p>
    <w:p w14:paraId="54BE2D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4）形状：曲线谐调、外形优美、果实硕大、无不良图案及异状。</w:t>
      </w:r>
    </w:p>
    <w:p w14:paraId="23C84F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5）成熟度：适中、无过熟、未熟现象。</w:t>
      </w:r>
    </w:p>
    <w:p w14:paraId="6A4AA7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6）污染：无污染残留农药。</w:t>
      </w:r>
    </w:p>
    <w:p w14:paraId="43A1DE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7）包装：如有包装应完整干净。</w:t>
      </w:r>
    </w:p>
    <w:p w14:paraId="0905C0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8）瓜果类：外表光亮无斑点，有新鲜连接的秧，形状正常、无软塌处、并成熟。</w:t>
      </w:r>
    </w:p>
    <w:p w14:paraId="1C9A2A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9）柑桔类：不空壳、水分充足，外表完美。</w:t>
      </w:r>
    </w:p>
    <w:p w14:paraId="3C56B2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10）浆果类：无腐烂、变色、外形不完整、不成熟。</w:t>
      </w:r>
    </w:p>
    <w:p w14:paraId="509DDD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11）梨果类：色泽、大小适中、无硬节、有果把儿。</w:t>
      </w:r>
    </w:p>
    <w:p w14:paraId="2ECA47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（3）禽蛋</w:t>
      </w:r>
    </w:p>
    <w:p w14:paraId="7088E4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禽蛋应符合《鲜蛋卫生标准》，具有禽蛋固有的色泽，蛋壳清洁、无破裂、打开后蛋壳凸起、完整、有韧性，蛋白澄清透明，稀稠分明。</w:t>
      </w:r>
    </w:p>
    <w:p w14:paraId="14F2C5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（4）中标人每天的供应按采购人提出的品种要求和计划数量进行供应。属季节问题，若出现品种不能满足采购人需求的情况，可向采购人申请调换同类别品种。</w:t>
      </w:r>
    </w:p>
    <w:p w14:paraId="1C06A6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2、海鲜水产</w:t>
      </w:r>
    </w:p>
    <w:p w14:paraId="650557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highlight w:val="green"/>
          <w:lang w:val="en-US" w:eastAsia="zh-CN"/>
        </w:rPr>
      </w:pPr>
      <w:r>
        <w:rPr>
          <w:rFonts w:hint="eastAsia" w:ascii="仿宋" w:hAnsi="仿宋" w:eastAsia="仿宋" w:cs="仿宋"/>
          <w:b w:val="0"/>
          <w:bCs/>
          <w:sz w:val="24"/>
          <w:szCs w:val="24"/>
          <w:highlight w:val="none"/>
          <w:lang w:val="en-US" w:eastAsia="zh-CN"/>
        </w:rPr>
        <w:t>（1）活鲜：鱼、虾类</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8"/>
        <w:gridCol w:w="8038"/>
      </w:tblGrid>
      <w:tr w14:paraId="7F63E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918" w:type="dxa"/>
            <w:vAlign w:val="center"/>
          </w:tcPr>
          <w:p w14:paraId="081A215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品名</w:t>
            </w:r>
          </w:p>
        </w:tc>
        <w:tc>
          <w:tcPr>
            <w:tcW w:w="8038" w:type="dxa"/>
            <w:vAlign w:val="center"/>
          </w:tcPr>
          <w:p w14:paraId="592F17F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质量标准</w:t>
            </w:r>
          </w:p>
        </w:tc>
      </w:tr>
      <w:tr w14:paraId="065E0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8" w:type="dxa"/>
            <w:vAlign w:val="center"/>
          </w:tcPr>
          <w:p w14:paraId="623BB77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鱼类</w:t>
            </w:r>
          </w:p>
        </w:tc>
        <w:tc>
          <w:tcPr>
            <w:tcW w:w="8038" w:type="dxa"/>
            <w:vAlign w:val="center"/>
          </w:tcPr>
          <w:p w14:paraId="585B511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无翻肚、无嘴烂及其它外表损伤。鱼鳞完整有光泽，不易脱落，眼隔膜有光泽、透明，眼球突出；腹部坚实不膨胀，肛门内部洁净无异常红尾。大小均匀。</w:t>
            </w:r>
          </w:p>
        </w:tc>
      </w:tr>
      <w:tr w14:paraId="485A6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8" w:type="dxa"/>
            <w:vAlign w:val="center"/>
          </w:tcPr>
          <w:p w14:paraId="61F9234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虾类</w:t>
            </w:r>
          </w:p>
        </w:tc>
        <w:tc>
          <w:tcPr>
            <w:tcW w:w="8038" w:type="dxa"/>
            <w:vAlign w:val="center"/>
          </w:tcPr>
          <w:p w14:paraId="468A3FD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头尾完整，有一定弯曲度；虾眼突起，虾身较挺，肉质坚实；虾壳发亮、发硬，呈青绿色或青白色。</w:t>
            </w:r>
          </w:p>
        </w:tc>
      </w:tr>
    </w:tbl>
    <w:p w14:paraId="13C41EE8">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val="0"/>
          <w:sz w:val="24"/>
          <w:szCs w:val="24"/>
          <w:highlight w:val="none"/>
          <w:lang w:val="en-US" w:eastAsia="zh-CN"/>
        </w:rPr>
      </w:pPr>
      <w:bookmarkStart w:id="444" w:name="_Toc26630"/>
      <w:bookmarkStart w:id="445" w:name="_Toc31008"/>
      <w:bookmarkStart w:id="446" w:name="_Toc415499899"/>
      <w:bookmarkStart w:id="447" w:name="_Toc389620241"/>
      <w:bookmarkStart w:id="448" w:name="_Toc385992401"/>
      <w:r>
        <w:rPr>
          <w:rFonts w:hint="eastAsia" w:ascii="仿宋" w:hAnsi="仿宋" w:eastAsia="仿宋" w:cs="仿宋"/>
          <w:b/>
          <w:bCs w:val="0"/>
          <w:sz w:val="24"/>
          <w:szCs w:val="24"/>
          <w:highlight w:val="none"/>
          <w:lang w:val="en-US" w:eastAsia="zh-CN"/>
        </w:rPr>
        <w:t>调味品</w:t>
      </w:r>
    </w:p>
    <w:p w14:paraId="2ADAA7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调料类包含但不限于糖、味精、酱油、醋、生粉等。</w:t>
      </w:r>
    </w:p>
    <w:p w14:paraId="23FD97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质量要求：</w:t>
      </w:r>
    </w:p>
    <w:p w14:paraId="318DC5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（1）食盐：味咸、呈白色细晶体，无可见杂质，无苦味，涩味及其他异味，外包装无漏无污，印刷清晰，有防标。</w:t>
      </w:r>
    </w:p>
    <w:p w14:paraId="546FDE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（2）酱油：有正常的色泽红褐色气味和滋味，无不良气味，不得有酸苦，涩等异味和霉味，不混浊，不沉淀无霉花浮膜外包装无漏无污，印刷清晰，无胀袋现象。</w:t>
      </w:r>
    </w:p>
    <w:p w14:paraId="2A3931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（3）冰糖：晶面干燥基本光滑，晶体大小基本均匀，呈单斜晶体，异形晶，并晶，聚晶及碎晶不超 15% 色白，有汹涌呈半透明或半透明体，味短，无异味，无明显黑点及其它杂质。</w:t>
      </w:r>
    </w:p>
    <w:p w14:paraId="777708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（4）食醋：有正常色泽，琥珀色气味和滋味，不涩，无其他不良气味和异味，不浑浊，无悬浮物及沉淀物，透明澄清无霉花浮膜，无“醋馒”“醋虱”外包装无漏，无污，印刷清晰，无胀袋现象。</w:t>
      </w:r>
    </w:p>
    <w:p w14:paraId="622409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（5）复合酱料：外包装无污物，无汇漏，无帐袋或胖听或鼓盖现象，无变质发霉现象。</w:t>
      </w:r>
    </w:p>
    <w:p w14:paraId="69FE9E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4、干货</w:t>
      </w:r>
    </w:p>
    <w:p w14:paraId="19E06D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干货制品的质量基本标准要求符合国家相关行业标准，干爽、整齐、均匀、完整、不霉烂、无虫蛀、无杂质，保持应有的色泽。确保产品质量稳定，保证营养丰富、绿色安全、海味浓郁、易存放、食用方便，保质期长。从加工、包装、运输、贮存到销售全部符合国家规定标准。尤其是二氧化硫残留量、总砷含量不超过国家卫生标准；木耳类的水分含量不能超过国家标准要求。</w:t>
      </w:r>
    </w:p>
    <w:p w14:paraId="0E9839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default"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所列</w:t>
      </w:r>
      <w:r>
        <w:rPr>
          <w:rFonts w:hint="default" w:ascii="仿宋" w:hAnsi="仿宋" w:eastAsia="仿宋" w:cs="仿宋"/>
          <w:b/>
          <w:bCs w:val="0"/>
          <w:sz w:val="24"/>
          <w:szCs w:val="24"/>
          <w:highlight w:val="none"/>
          <w:lang w:val="en-US" w:eastAsia="zh-CN"/>
        </w:rPr>
        <w:t>执行标准</w:t>
      </w:r>
      <w:r>
        <w:rPr>
          <w:rFonts w:hint="eastAsia" w:ascii="仿宋" w:hAnsi="仿宋" w:eastAsia="仿宋" w:cs="仿宋"/>
          <w:b/>
          <w:bCs w:val="0"/>
          <w:sz w:val="24"/>
          <w:szCs w:val="24"/>
          <w:highlight w:val="none"/>
          <w:lang w:val="en-US" w:eastAsia="zh-CN"/>
        </w:rPr>
        <w:t>，若</w:t>
      </w:r>
      <w:r>
        <w:rPr>
          <w:rFonts w:hint="default" w:ascii="仿宋" w:hAnsi="仿宋" w:eastAsia="仿宋" w:cs="仿宋"/>
          <w:b/>
          <w:bCs w:val="0"/>
          <w:sz w:val="24"/>
          <w:szCs w:val="24"/>
          <w:highlight w:val="none"/>
          <w:lang w:val="en-US" w:eastAsia="zh-CN"/>
        </w:rPr>
        <w:t>新标准实施后</w:t>
      </w:r>
      <w:r>
        <w:rPr>
          <w:rFonts w:hint="eastAsia" w:ascii="仿宋" w:hAnsi="仿宋" w:eastAsia="仿宋" w:cs="仿宋"/>
          <w:b/>
          <w:bCs w:val="0"/>
          <w:sz w:val="24"/>
          <w:szCs w:val="24"/>
          <w:highlight w:val="none"/>
          <w:lang w:val="en-US" w:eastAsia="zh-CN"/>
        </w:rPr>
        <w:t>一律</w:t>
      </w:r>
      <w:r>
        <w:rPr>
          <w:rFonts w:hint="default" w:ascii="仿宋" w:hAnsi="仿宋" w:eastAsia="仿宋" w:cs="仿宋"/>
          <w:b/>
          <w:bCs w:val="0"/>
          <w:sz w:val="24"/>
          <w:szCs w:val="24"/>
          <w:highlight w:val="none"/>
          <w:lang w:val="en-US" w:eastAsia="zh-CN"/>
        </w:rPr>
        <w:t>按照新标准执行。</w:t>
      </w:r>
    </w:p>
    <w:p w14:paraId="61145C4D">
      <w:pPr>
        <w:keepNext w:val="0"/>
        <w:keepLines w:val="0"/>
        <w:pageBreakBefore w:val="0"/>
        <w:widowControl w:val="0"/>
        <w:numPr>
          <w:ilvl w:val="0"/>
          <w:numId w:val="9"/>
        </w:numPr>
        <w:kinsoku/>
        <w:wordWrap/>
        <w:overflowPunct/>
        <w:topLinePunct w:val="0"/>
        <w:autoSpaceDE/>
        <w:autoSpaceDN/>
        <w:bidi w:val="0"/>
        <w:adjustRightInd/>
        <w:snapToGrid/>
        <w:spacing w:before="313" w:beforeLines="100" w:after="313" w:afterLines="100"/>
        <w:textAlignment w:val="auto"/>
        <w:rPr>
          <w:rFonts w:hint="default" w:ascii="仿宋" w:hAnsi="仿宋" w:eastAsia="仿宋" w:cs="仿宋"/>
          <w:b/>
          <w:kern w:val="2"/>
          <w:sz w:val="24"/>
          <w:szCs w:val="24"/>
          <w:lang w:val="en-US" w:eastAsia="zh-CN" w:bidi="ar-SA"/>
        </w:rPr>
      </w:pPr>
      <w:r>
        <w:rPr>
          <w:rFonts w:hint="default" w:ascii="仿宋" w:hAnsi="仿宋" w:eastAsia="仿宋" w:cs="仿宋"/>
          <w:b/>
          <w:kern w:val="2"/>
          <w:sz w:val="24"/>
          <w:szCs w:val="24"/>
          <w:lang w:val="en-US" w:eastAsia="zh-CN" w:bidi="ar-SA"/>
        </w:rPr>
        <w:t>人员及配送要求</w:t>
      </w:r>
    </w:p>
    <w:p w14:paraId="172399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仿宋" w:hAnsi="仿宋" w:eastAsia="仿宋" w:cs="仿宋"/>
          <w:b w:val="0"/>
          <w:bCs/>
          <w:sz w:val="24"/>
          <w:szCs w:val="24"/>
          <w:highlight w:val="none"/>
          <w:lang w:val="en-US" w:eastAsia="zh-CN"/>
        </w:rPr>
      </w:pPr>
      <w:r>
        <w:rPr>
          <w:rFonts w:hint="default" w:ascii="仿宋" w:hAnsi="仿宋" w:eastAsia="仿宋" w:cs="仿宋"/>
          <w:b w:val="0"/>
          <w:bCs/>
          <w:sz w:val="24"/>
          <w:szCs w:val="24"/>
          <w:highlight w:val="none"/>
          <w:lang w:val="en-US" w:eastAsia="zh-CN"/>
        </w:rPr>
        <w:t>1、人员要求</w:t>
      </w:r>
    </w:p>
    <w:p w14:paraId="21CA2E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仿宋" w:hAnsi="仿宋" w:eastAsia="仿宋" w:cs="仿宋"/>
          <w:b w:val="0"/>
          <w:bCs/>
          <w:sz w:val="24"/>
          <w:szCs w:val="24"/>
          <w:highlight w:val="none"/>
          <w:lang w:val="en-US" w:eastAsia="zh-CN"/>
        </w:rPr>
      </w:pPr>
      <w:r>
        <w:rPr>
          <w:rFonts w:hint="default" w:ascii="仿宋" w:hAnsi="仿宋" w:eastAsia="仿宋" w:cs="仿宋"/>
          <w:b w:val="0"/>
          <w:bCs/>
          <w:sz w:val="24"/>
          <w:szCs w:val="24"/>
          <w:highlight w:val="none"/>
          <w:lang w:val="en-US" w:eastAsia="zh-CN"/>
        </w:rPr>
        <w:t>（1）提供专业的管理和采购团队，从业人员身体状况必须符合卫生部门规定的食品行业健康标准，并定期进行体检，办理健康证，建立健康档案。</w:t>
      </w:r>
    </w:p>
    <w:p w14:paraId="3EBF67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仿宋" w:hAnsi="仿宋" w:eastAsia="仿宋" w:cs="仿宋"/>
          <w:b w:val="0"/>
          <w:bCs/>
          <w:sz w:val="24"/>
          <w:szCs w:val="24"/>
          <w:highlight w:val="none"/>
          <w:lang w:val="en-US" w:eastAsia="zh-CN"/>
        </w:rPr>
      </w:pPr>
      <w:r>
        <w:rPr>
          <w:rFonts w:hint="default" w:ascii="仿宋" w:hAnsi="仿宋" w:eastAsia="仿宋" w:cs="仿宋"/>
          <w:b w:val="0"/>
          <w:bCs/>
          <w:sz w:val="24"/>
          <w:szCs w:val="24"/>
          <w:highlight w:val="none"/>
          <w:lang w:val="en-US" w:eastAsia="zh-CN"/>
        </w:rPr>
        <w:t>（2）从业人员应经过专业培训，熟悉卫生安全制度，掌握行业操作规程。</w:t>
      </w:r>
    </w:p>
    <w:p w14:paraId="1A7CF8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仿宋" w:hAnsi="仿宋" w:eastAsia="仿宋" w:cs="仿宋"/>
          <w:b w:val="0"/>
          <w:bCs/>
          <w:sz w:val="24"/>
          <w:szCs w:val="24"/>
          <w:highlight w:val="none"/>
          <w:lang w:val="en-US" w:eastAsia="zh-CN"/>
        </w:rPr>
      </w:pPr>
      <w:r>
        <w:rPr>
          <w:rFonts w:hint="default" w:ascii="仿宋" w:hAnsi="仿宋" w:eastAsia="仿宋" w:cs="仿宋"/>
          <w:b w:val="0"/>
          <w:bCs/>
          <w:sz w:val="24"/>
          <w:szCs w:val="24"/>
          <w:highlight w:val="none"/>
          <w:lang w:val="en-US" w:eastAsia="zh-CN"/>
        </w:rPr>
        <w:t>（3）在服务期间内遵守采购人单位各项相关规章制度，听从采购人相关管理人员的指挥。</w:t>
      </w:r>
    </w:p>
    <w:p w14:paraId="2EAD00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仿宋" w:hAnsi="仿宋" w:eastAsia="仿宋" w:cs="仿宋"/>
          <w:b w:val="0"/>
          <w:bCs/>
          <w:sz w:val="24"/>
          <w:szCs w:val="24"/>
          <w:highlight w:val="none"/>
          <w:lang w:val="en-US" w:eastAsia="zh-CN"/>
        </w:rPr>
      </w:pPr>
      <w:r>
        <w:rPr>
          <w:rFonts w:hint="default" w:ascii="仿宋" w:hAnsi="仿宋" w:eastAsia="仿宋" w:cs="仿宋"/>
          <w:b w:val="0"/>
          <w:bCs/>
          <w:sz w:val="24"/>
          <w:szCs w:val="24"/>
          <w:highlight w:val="none"/>
          <w:lang w:val="en-US" w:eastAsia="zh-CN"/>
        </w:rPr>
        <w:t>（4）从业人员应保持良好的个人卫生，操作前进行卫生消毒，并按规定穿戴卫生、整洁的工作服、工作帽和口罩。</w:t>
      </w:r>
    </w:p>
    <w:p w14:paraId="38E260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仿宋" w:hAnsi="仿宋" w:eastAsia="仿宋" w:cs="仿宋"/>
          <w:b w:val="0"/>
          <w:bCs/>
          <w:sz w:val="24"/>
          <w:szCs w:val="24"/>
          <w:highlight w:val="none"/>
          <w:lang w:val="en-US" w:eastAsia="zh-CN"/>
        </w:rPr>
      </w:pPr>
      <w:r>
        <w:rPr>
          <w:rFonts w:hint="default" w:ascii="仿宋" w:hAnsi="仿宋" w:eastAsia="仿宋" w:cs="仿宋"/>
          <w:b w:val="0"/>
          <w:bCs/>
          <w:sz w:val="24"/>
          <w:szCs w:val="24"/>
          <w:highlight w:val="none"/>
          <w:lang w:val="en-US" w:eastAsia="zh-CN"/>
        </w:rPr>
        <w:t>（5）遇有从业人员发热腹泻，皮肤伤口感染，咽部炎症等有碍食品卫生的病症，应立即脱离工作岗位，待查明原因，排除病症后，方可重新上岗。</w:t>
      </w:r>
    </w:p>
    <w:p w14:paraId="756C3E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仿宋" w:hAnsi="仿宋" w:eastAsia="仿宋" w:cs="仿宋"/>
          <w:b w:val="0"/>
          <w:bCs/>
          <w:sz w:val="24"/>
          <w:szCs w:val="24"/>
          <w:highlight w:val="none"/>
          <w:lang w:val="en-US" w:eastAsia="zh-CN"/>
        </w:rPr>
      </w:pPr>
      <w:r>
        <w:rPr>
          <w:rFonts w:hint="default" w:ascii="仿宋" w:hAnsi="仿宋" w:eastAsia="仿宋" w:cs="仿宋"/>
          <w:b w:val="0"/>
          <w:bCs/>
          <w:sz w:val="24"/>
          <w:szCs w:val="24"/>
          <w:highlight w:val="none"/>
          <w:lang w:val="en-US" w:eastAsia="zh-CN"/>
        </w:rPr>
        <w:t>（6）投标人需配备一名专职联络人员与采购人进行事务联系。投标人应提供有效的服务联系人和服务联系电话，如有变更，投标人应及时、主动通知采购人。</w:t>
      </w:r>
    </w:p>
    <w:p w14:paraId="005F68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仿宋" w:hAnsi="仿宋" w:eastAsia="仿宋" w:cs="仿宋"/>
          <w:b w:val="0"/>
          <w:bCs/>
          <w:sz w:val="24"/>
          <w:szCs w:val="24"/>
          <w:highlight w:val="none"/>
          <w:lang w:val="en-US" w:eastAsia="zh-CN"/>
        </w:rPr>
      </w:pPr>
      <w:r>
        <w:rPr>
          <w:rFonts w:hint="default" w:ascii="仿宋" w:hAnsi="仿宋" w:eastAsia="仿宋" w:cs="仿宋"/>
          <w:b w:val="0"/>
          <w:bCs/>
          <w:sz w:val="24"/>
          <w:szCs w:val="24"/>
          <w:highlight w:val="none"/>
          <w:lang w:val="en-US" w:eastAsia="zh-CN"/>
        </w:rPr>
        <w:t>如果产品质量与本项目规定的标准不符，投标人应负责更换，如更换后仍不能达到相应规定标准，采购人有权退货。</w:t>
      </w:r>
    </w:p>
    <w:p w14:paraId="7362D0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仿宋" w:hAnsi="仿宋" w:eastAsia="仿宋" w:cs="仿宋"/>
          <w:b w:val="0"/>
          <w:bCs/>
          <w:sz w:val="24"/>
          <w:szCs w:val="24"/>
          <w:highlight w:val="none"/>
          <w:lang w:val="en-US" w:eastAsia="zh-CN"/>
        </w:rPr>
      </w:pPr>
      <w:r>
        <w:rPr>
          <w:rFonts w:hint="default" w:ascii="仿宋" w:hAnsi="仿宋" w:eastAsia="仿宋" w:cs="仿宋"/>
          <w:b w:val="0"/>
          <w:bCs/>
          <w:sz w:val="24"/>
          <w:szCs w:val="24"/>
          <w:highlight w:val="none"/>
          <w:lang w:val="en-US" w:eastAsia="zh-CN"/>
        </w:rPr>
        <w:t>2、配送要求</w:t>
      </w:r>
    </w:p>
    <w:p w14:paraId="3485D9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仿宋" w:hAnsi="仿宋" w:eastAsia="仿宋" w:cs="仿宋"/>
          <w:b w:val="0"/>
          <w:bCs/>
          <w:sz w:val="24"/>
          <w:szCs w:val="24"/>
          <w:highlight w:val="none"/>
          <w:lang w:val="en-US" w:eastAsia="zh-CN"/>
        </w:rPr>
      </w:pPr>
      <w:r>
        <w:rPr>
          <w:rFonts w:hint="default" w:ascii="仿宋" w:hAnsi="仿宋" w:eastAsia="仿宋" w:cs="仿宋"/>
          <w:b w:val="0"/>
          <w:bCs/>
          <w:sz w:val="24"/>
          <w:szCs w:val="24"/>
          <w:highlight w:val="none"/>
          <w:lang w:val="en-US" w:eastAsia="zh-CN"/>
        </w:rPr>
        <w:t>（1）对采购人需求的食材原则上能做到每日配送，如不需要每天配送，视具体情况，以采购人要求为准。配送时间为：按照采购人需求时间送货,采购人的采购订单原则上将提前一到两天（工作时间内）通过传真或电话或电子邮箱发给</w:t>
      </w:r>
      <w:r>
        <w:rPr>
          <w:rFonts w:hint="eastAsia" w:ascii="仿宋" w:hAnsi="仿宋" w:eastAsia="仿宋" w:cs="仿宋"/>
          <w:b w:val="0"/>
          <w:bCs/>
          <w:sz w:val="24"/>
          <w:szCs w:val="24"/>
          <w:highlight w:val="none"/>
          <w:lang w:val="en-US" w:eastAsia="zh-CN"/>
        </w:rPr>
        <w:t>成交</w:t>
      </w:r>
      <w:r>
        <w:rPr>
          <w:rFonts w:hint="default" w:ascii="仿宋" w:hAnsi="仿宋" w:eastAsia="仿宋" w:cs="仿宋"/>
          <w:b w:val="0"/>
          <w:bCs/>
          <w:sz w:val="24"/>
          <w:szCs w:val="24"/>
          <w:highlight w:val="none"/>
          <w:lang w:val="en-US" w:eastAsia="zh-CN"/>
        </w:rPr>
        <w:t>供应商，如遇特殊情况需临时订货又无法及时发送传真时，以电话、短信或微信等方式通知供应商，</w:t>
      </w:r>
      <w:r>
        <w:rPr>
          <w:rFonts w:hint="eastAsia" w:ascii="仿宋" w:hAnsi="仿宋" w:eastAsia="仿宋" w:cs="仿宋"/>
          <w:b w:val="0"/>
          <w:bCs/>
          <w:sz w:val="24"/>
          <w:szCs w:val="24"/>
          <w:highlight w:val="none"/>
          <w:lang w:val="en-US" w:eastAsia="zh-CN"/>
        </w:rPr>
        <w:t>成交</w:t>
      </w:r>
      <w:r>
        <w:rPr>
          <w:rFonts w:hint="default" w:ascii="仿宋" w:hAnsi="仿宋" w:eastAsia="仿宋" w:cs="仿宋"/>
          <w:b w:val="0"/>
          <w:bCs/>
          <w:sz w:val="24"/>
          <w:szCs w:val="24"/>
          <w:highlight w:val="none"/>
          <w:lang w:val="en-US" w:eastAsia="zh-CN"/>
        </w:rPr>
        <w:t>供应商确认后回复，并按采购人要求将货物及时送达，采购人后补《采购通知单》。供应商所提供的食品或调味品，各项指标必须符合国家、行业有关标准，为国内正规厂家所生产的合格产品，包装不易破损、易于保存。</w:t>
      </w:r>
    </w:p>
    <w:p w14:paraId="7026C7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仿宋" w:hAnsi="仿宋" w:eastAsia="仿宋" w:cs="仿宋"/>
          <w:b w:val="0"/>
          <w:bCs/>
          <w:sz w:val="24"/>
          <w:szCs w:val="24"/>
          <w:highlight w:val="none"/>
          <w:lang w:val="en-US" w:eastAsia="zh-CN"/>
        </w:rPr>
      </w:pPr>
      <w:r>
        <w:rPr>
          <w:rFonts w:hint="default" w:ascii="仿宋" w:hAnsi="仿宋" w:eastAsia="仿宋" w:cs="仿宋"/>
          <w:b w:val="0"/>
          <w:bCs/>
          <w:sz w:val="24"/>
          <w:szCs w:val="24"/>
          <w:highlight w:val="none"/>
          <w:lang w:val="en-US" w:eastAsia="zh-CN"/>
        </w:rPr>
        <w:t>（2）固定配送人员，且有健康证明，无犯罪记录证明。配送员需有单位雇佣关系及身份证明，交采购人存档，如更换配送人员需提前通知采购人。</w:t>
      </w:r>
    </w:p>
    <w:p w14:paraId="05AC90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仿宋" w:hAnsi="仿宋" w:eastAsia="仿宋" w:cs="仿宋"/>
          <w:b w:val="0"/>
          <w:bCs/>
          <w:sz w:val="24"/>
          <w:szCs w:val="24"/>
          <w:highlight w:val="none"/>
          <w:lang w:val="en-US" w:eastAsia="zh-CN"/>
        </w:rPr>
      </w:pPr>
      <w:r>
        <w:rPr>
          <w:rFonts w:hint="default" w:ascii="仿宋" w:hAnsi="仿宋" w:eastAsia="仿宋" w:cs="仿宋"/>
          <w:b w:val="0"/>
          <w:bCs/>
          <w:sz w:val="24"/>
          <w:szCs w:val="24"/>
          <w:highlight w:val="none"/>
          <w:lang w:val="en-US" w:eastAsia="zh-CN"/>
        </w:rPr>
        <w:t>（3）运送食材的车辆拉车等必须干净卫生。整个运输过程应科学合理，运输必须采用符合卫生要求的外包装和运载工具，并且要保持清洁和定期消毒，车厢内无不良气味、异味。</w:t>
      </w:r>
    </w:p>
    <w:p w14:paraId="5EFD61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仿宋" w:hAnsi="仿宋" w:eastAsia="仿宋" w:cs="仿宋"/>
          <w:b w:val="0"/>
          <w:bCs/>
          <w:sz w:val="24"/>
          <w:szCs w:val="24"/>
          <w:highlight w:val="none"/>
          <w:lang w:val="en-US" w:eastAsia="zh-CN"/>
        </w:rPr>
      </w:pPr>
      <w:r>
        <w:rPr>
          <w:rFonts w:hint="default" w:ascii="仿宋" w:hAnsi="仿宋" w:eastAsia="仿宋" w:cs="仿宋"/>
          <w:b w:val="0"/>
          <w:bCs/>
          <w:sz w:val="24"/>
          <w:szCs w:val="24"/>
          <w:highlight w:val="none"/>
          <w:lang w:val="en-US" w:eastAsia="zh-CN"/>
        </w:rPr>
        <w:t>（4）必须用专用载具运输（</w:t>
      </w:r>
      <w:r>
        <w:rPr>
          <w:rFonts w:hint="eastAsia" w:ascii="仿宋" w:hAnsi="仿宋" w:eastAsia="仿宋" w:cs="仿宋"/>
          <w:b w:val="0"/>
          <w:bCs/>
          <w:sz w:val="24"/>
          <w:szCs w:val="24"/>
          <w:highlight w:val="none"/>
          <w:lang w:val="en-US" w:eastAsia="zh-CN"/>
        </w:rPr>
        <w:t>冷链</w:t>
      </w:r>
      <w:r>
        <w:rPr>
          <w:rFonts w:hint="default" w:ascii="仿宋" w:hAnsi="仿宋" w:eastAsia="仿宋" w:cs="仿宋"/>
          <w:b w:val="0"/>
          <w:bCs/>
          <w:sz w:val="24"/>
          <w:szCs w:val="24"/>
          <w:highlight w:val="none"/>
          <w:lang w:val="en-US" w:eastAsia="zh-CN"/>
        </w:rPr>
        <w:t>车至少 1 辆），应当有必要的保温设备并在整个运输过程中保持安全的温度。特别是对于长途运输的食品，保证食品在运输全过程处于合适的温度范围。整个运输过程应科学合理，运输车辆应定期清洁，保持性能稳定，符合规定温度要求，使运输食品处于恒温环境中。到达目的地时外包装箱干爽，无软化现象。</w:t>
      </w:r>
    </w:p>
    <w:p w14:paraId="4FEF7F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仿宋" w:hAnsi="仿宋" w:eastAsia="仿宋" w:cs="仿宋"/>
          <w:b w:val="0"/>
          <w:bCs/>
          <w:sz w:val="24"/>
          <w:szCs w:val="24"/>
          <w:highlight w:val="none"/>
          <w:lang w:val="en-US" w:eastAsia="zh-CN"/>
        </w:rPr>
      </w:pPr>
      <w:r>
        <w:rPr>
          <w:rFonts w:hint="default" w:ascii="仿宋" w:hAnsi="仿宋" w:eastAsia="仿宋" w:cs="仿宋"/>
          <w:b w:val="0"/>
          <w:bCs/>
          <w:sz w:val="24"/>
          <w:szCs w:val="24"/>
          <w:highlight w:val="none"/>
          <w:lang w:val="en-US" w:eastAsia="zh-CN"/>
        </w:rPr>
        <w:t>（5）食品堆放科学合理，避免造成食品的交叉污染；如对温度有要求的食品应确定食品的温度，记录送货车辆温度，并记录存档。</w:t>
      </w:r>
    </w:p>
    <w:p w14:paraId="44E12D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仿宋" w:hAnsi="仿宋" w:eastAsia="仿宋" w:cs="仿宋"/>
          <w:b w:val="0"/>
          <w:bCs/>
          <w:sz w:val="24"/>
          <w:szCs w:val="24"/>
          <w:highlight w:val="none"/>
          <w:lang w:val="en-US" w:eastAsia="zh-CN"/>
        </w:rPr>
      </w:pPr>
      <w:r>
        <w:rPr>
          <w:rFonts w:hint="default" w:ascii="仿宋" w:hAnsi="仿宋" w:eastAsia="仿宋" w:cs="仿宋"/>
          <w:b w:val="0"/>
          <w:bCs/>
          <w:sz w:val="24"/>
          <w:szCs w:val="24"/>
          <w:highlight w:val="none"/>
          <w:lang w:val="en-US" w:eastAsia="zh-CN"/>
        </w:rPr>
        <w:t>（6）数量方面要求：保证配送品种斤两的准确性，以采购人的验货数量为准，中标人每次随货送上一式两份的固定格式内容规范的送货清单，供双方验货后签字确认，双方各持一份，作为送、收货的凭证。</w:t>
      </w:r>
    </w:p>
    <w:p w14:paraId="1E94CE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仿宋" w:hAnsi="仿宋" w:eastAsia="仿宋" w:cs="仿宋"/>
          <w:b w:val="0"/>
          <w:bCs/>
          <w:sz w:val="24"/>
          <w:szCs w:val="24"/>
          <w:highlight w:val="none"/>
          <w:lang w:val="en-US" w:eastAsia="zh-CN"/>
        </w:rPr>
      </w:pPr>
      <w:r>
        <w:rPr>
          <w:rFonts w:hint="default" w:ascii="仿宋" w:hAnsi="仿宋" w:eastAsia="仿宋" w:cs="仿宋"/>
          <w:b w:val="0"/>
          <w:bCs/>
          <w:sz w:val="24"/>
          <w:szCs w:val="24"/>
          <w:highlight w:val="none"/>
          <w:lang w:val="en-US" w:eastAsia="zh-CN"/>
        </w:rPr>
        <w:t>（7）中标人在接到通知后备齐货物，按时送抵交货地点。中标人要免费提供运送及卸货服务。中标人除不可抗力，不得因其他任何理由延迟送货。采购人如遇特殊情况需推迟送货，应提前通知中标人。中标人不能按时、按质、按量供货，导致采购人无法正常供应厨房食品的，采购人有权自行采购同等质量的货物，由此造成的经济损失和责任均由中标人承担，并承担违约责任。</w:t>
      </w:r>
    </w:p>
    <w:p w14:paraId="1A870A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仿宋" w:hAnsi="仿宋" w:eastAsia="仿宋" w:cs="仿宋"/>
          <w:b w:val="0"/>
          <w:bCs/>
          <w:sz w:val="24"/>
          <w:szCs w:val="24"/>
          <w:highlight w:val="none"/>
          <w:lang w:val="en-US" w:eastAsia="zh-CN"/>
        </w:rPr>
      </w:pPr>
      <w:r>
        <w:rPr>
          <w:rFonts w:hint="default" w:ascii="仿宋" w:hAnsi="仿宋" w:eastAsia="仿宋" w:cs="仿宋"/>
          <w:b w:val="0"/>
          <w:bCs/>
          <w:sz w:val="24"/>
          <w:szCs w:val="24"/>
          <w:highlight w:val="none"/>
          <w:lang w:val="en-US" w:eastAsia="zh-CN"/>
        </w:rPr>
        <w:t>（8）采购人因特殊情况需加送食材时，投标人务必按需准时送达（接到通知后 2小时内），不得推诿延误。</w:t>
      </w:r>
    </w:p>
    <w:p w14:paraId="66CA98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仿宋" w:hAnsi="仿宋" w:eastAsia="仿宋" w:cs="仿宋"/>
          <w:b w:val="0"/>
          <w:bCs/>
          <w:sz w:val="24"/>
          <w:szCs w:val="24"/>
          <w:highlight w:val="none"/>
          <w:lang w:val="en-US" w:eastAsia="zh-CN"/>
        </w:rPr>
      </w:pPr>
      <w:r>
        <w:rPr>
          <w:rFonts w:hint="default" w:ascii="仿宋" w:hAnsi="仿宋" w:eastAsia="仿宋" w:cs="仿宋"/>
          <w:b w:val="0"/>
          <w:bCs/>
          <w:sz w:val="24"/>
          <w:szCs w:val="24"/>
          <w:highlight w:val="none"/>
          <w:lang w:val="en-US" w:eastAsia="zh-CN"/>
        </w:rPr>
        <w:t>(9) 遇到突发情况，及时响应，并第一时间备货(接到备货通知 2 小时内送达），保证送货时效性。</w:t>
      </w:r>
    </w:p>
    <w:p w14:paraId="06BEE373">
      <w:pPr>
        <w:keepNext w:val="0"/>
        <w:keepLines w:val="0"/>
        <w:pageBreakBefore w:val="0"/>
        <w:widowControl w:val="0"/>
        <w:numPr>
          <w:ilvl w:val="0"/>
          <w:numId w:val="9"/>
        </w:numPr>
        <w:kinsoku/>
        <w:wordWrap/>
        <w:overflowPunct/>
        <w:topLinePunct w:val="0"/>
        <w:autoSpaceDE/>
        <w:autoSpaceDN/>
        <w:bidi w:val="0"/>
        <w:adjustRightInd/>
        <w:snapToGrid/>
        <w:spacing w:before="313" w:beforeLines="100" w:after="313" w:afterLines="100" w:line="240" w:lineRule="auto"/>
        <w:ind w:firstLine="482" w:firstLineChars="200"/>
        <w:textAlignment w:val="auto"/>
        <w:rPr>
          <w:rFonts w:hint="default" w:ascii="仿宋" w:hAnsi="仿宋" w:eastAsia="仿宋" w:cs="仿宋"/>
          <w:b/>
          <w:kern w:val="2"/>
          <w:sz w:val="24"/>
          <w:szCs w:val="24"/>
          <w:lang w:val="en-US" w:eastAsia="zh-CN" w:bidi="ar-SA"/>
        </w:rPr>
      </w:pPr>
      <w:r>
        <w:rPr>
          <w:rFonts w:hint="default" w:ascii="仿宋" w:hAnsi="仿宋" w:eastAsia="仿宋" w:cs="仿宋"/>
          <w:b/>
          <w:kern w:val="2"/>
          <w:sz w:val="24"/>
          <w:szCs w:val="24"/>
          <w:lang w:val="en-US" w:eastAsia="zh-CN" w:bidi="ar-SA"/>
        </w:rPr>
        <w:t>运输及包装方式的要求</w:t>
      </w:r>
    </w:p>
    <w:p w14:paraId="2CBCE2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仿宋" w:hAnsi="仿宋" w:eastAsia="仿宋" w:cs="仿宋"/>
          <w:b w:val="0"/>
          <w:bCs/>
          <w:sz w:val="24"/>
          <w:szCs w:val="24"/>
          <w:highlight w:val="none"/>
          <w:lang w:val="en-US" w:eastAsia="zh-CN"/>
        </w:rPr>
      </w:pPr>
      <w:r>
        <w:rPr>
          <w:rFonts w:hint="default" w:ascii="仿宋" w:hAnsi="仿宋" w:eastAsia="仿宋" w:cs="仿宋"/>
          <w:b w:val="0"/>
          <w:bCs/>
          <w:sz w:val="24"/>
          <w:szCs w:val="24"/>
          <w:highlight w:val="none"/>
          <w:lang w:val="en-US" w:eastAsia="zh-CN"/>
        </w:rPr>
        <w:t>1、供应商应提供有利于食品原料运输和储存的有效包装，且在包装上注明保质期及存储方式。对于有特别储存、保鲜要求的，应充分告知采购人。运输车辆和装卸食品的容器、工具和设备应当安全、无害，保持内外清洁，防止食品污染，并符合保证食品安全所需的温度等特殊要求。</w:t>
      </w:r>
      <w:r>
        <w:rPr>
          <w:rFonts w:hint="eastAsia" w:ascii="仿宋" w:hAnsi="仿宋" w:eastAsia="仿宋" w:cs="仿宋"/>
          <w:b w:val="0"/>
          <w:bCs/>
          <w:sz w:val="24"/>
          <w:szCs w:val="24"/>
          <w:highlight w:val="none"/>
          <w:lang w:val="en-US" w:eastAsia="zh-CN"/>
        </w:rPr>
        <w:t xml:space="preserve"> </w:t>
      </w:r>
    </w:p>
    <w:p w14:paraId="509127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仿宋" w:hAnsi="仿宋" w:eastAsia="仿宋" w:cs="仿宋"/>
          <w:b w:val="0"/>
          <w:bCs/>
          <w:sz w:val="24"/>
          <w:szCs w:val="24"/>
          <w:highlight w:val="none"/>
          <w:lang w:val="en-US" w:eastAsia="zh-CN"/>
        </w:rPr>
      </w:pPr>
      <w:r>
        <w:rPr>
          <w:rFonts w:hint="default" w:ascii="仿宋" w:hAnsi="仿宋" w:eastAsia="仿宋" w:cs="仿宋"/>
          <w:b w:val="0"/>
          <w:bCs/>
          <w:sz w:val="24"/>
          <w:szCs w:val="24"/>
          <w:highlight w:val="none"/>
          <w:lang w:val="en-US" w:eastAsia="zh-CN"/>
        </w:rPr>
        <w:t>2、整个运输过程应科学合理，运输必须采用符合卫生要求的外包装和运载工具，并且要保持清洁和定期消毒，车厢内无不良气味、异味。</w:t>
      </w:r>
    </w:p>
    <w:p w14:paraId="51B3F15B">
      <w:pPr>
        <w:keepNext w:val="0"/>
        <w:keepLines w:val="0"/>
        <w:pageBreakBefore w:val="0"/>
        <w:widowControl w:val="0"/>
        <w:numPr>
          <w:ilvl w:val="0"/>
          <w:numId w:val="9"/>
        </w:numPr>
        <w:kinsoku/>
        <w:wordWrap/>
        <w:overflowPunct/>
        <w:topLinePunct w:val="0"/>
        <w:autoSpaceDE/>
        <w:autoSpaceDN/>
        <w:bidi w:val="0"/>
        <w:adjustRightInd/>
        <w:snapToGrid/>
        <w:spacing w:before="313" w:beforeLines="100" w:after="313" w:afterLines="100"/>
        <w:ind w:firstLine="482" w:firstLineChars="200"/>
        <w:textAlignment w:val="auto"/>
        <w:rPr>
          <w:rFonts w:hint="default" w:ascii="仿宋" w:hAnsi="仿宋" w:eastAsia="仿宋" w:cs="仿宋"/>
          <w:b/>
          <w:kern w:val="2"/>
          <w:sz w:val="24"/>
          <w:szCs w:val="24"/>
          <w:highlight w:val="none"/>
          <w:lang w:val="en-US" w:eastAsia="zh-CN" w:bidi="ar-SA"/>
        </w:rPr>
      </w:pPr>
      <w:r>
        <w:rPr>
          <w:rFonts w:hint="default" w:ascii="仿宋" w:hAnsi="仿宋" w:eastAsia="仿宋" w:cs="仿宋"/>
          <w:b/>
          <w:kern w:val="2"/>
          <w:sz w:val="24"/>
          <w:szCs w:val="24"/>
          <w:highlight w:val="none"/>
          <w:lang w:val="en-US" w:eastAsia="zh-CN" w:bidi="ar-SA"/>
        </w:rPr>
        <w:t>留样及验收要求</w:t>
      </w:r>
    </w:p>
    <w:p w14:paraId="2CC016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仿宋" w:hAnsi="仿宋" w:eastAsia="仿宋" w:cs="仿宋"/>
          <w:b w:val="0"/>
          <w:bCs/>
          <w:sz w:val="24"/>
          <w:szCs w:val="24"/>
          <w:highlight w:val="none"/>
          <w:lang w:val="en-US" w:eastAsia="zh-CN"/>
        </w:rPr>
      </w:pPr>
      <w:r>
        <w:rPr>
          <w:rFonts w:hint="default" w:ascii="仿宋" w:hAnsi="仿宋" w:eastAsia="仿宋" w:cs="仿宋"/>
          <w:b w:val="0"/>
          <w:bCs/>
          <w:sz w:val="24"/>
          <w:szCs w:val="24"/>
          <w:highlight w:val="none"/>
          <w:lang w:val="en-US" w:eastAsia="zh-CN"/>
        </w:rPr>
        <w:t>1、留样要求</w:t>
      </w:r>
    </w:p>
    <w:p w14:paraId="75BA31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仿宋" w:hAnsi="仿宋" w:eastAsia="仿宋" w:cs="仿宋"/>
          <w:b w:val="0"/>
          <w:bCs/>
          <w:sz w:val="24"/>
          <w:szCs w:val="24"/>
          <w:highlight w:val="none"/>
          <w:lang w:val="en-US" w:eastAsia="zh-CN"/>
        </w:rPr>
      </w:pPr>
      <w:r>
        <w:rPr>
          <w:rFonts w:hint="default" w:ascii="仿宋" w:hAnsi="仿宋" w:eastAsia="仿宋" w:cs="仿宋"/>
          <w:b w:val="0"/>
          <w:bCs/>
          <w:sz w:val="24"/>
          <w:szCs w:val="24"/>
          <w:highlight w:val="none"/>
          <w:lang w:val="en-US" w:eastAsia="zh-CN"/>
        </w:rPr>
        <w:t>（1）供应商必须对所供货物保留样品不少于 48 小时。如发生质量问题，以卫生防疫部门检验为准。</w:t>
      </w:r>
    </w:p>
    <w:p w14:paraId="558F68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仿宋" w:hAnsi="仿宋" w:eastAsia="仿宋" w:cs="仿宋"/>
          <w:b w:val="0"/>
          <w:bCs/>
          <w:sz w:val="24"/>
          <w:szCs w:val="24"/>
          <w:highlight w:val="none"/>
          <w:lang w:val="en-US" w:eastAsia="zh-CN"/>
        </w:rPr>
      </w:pPr>
      <w:r>
        <w:rPr>
          <w:rFonts w:hint="default" w:ascii="仿宋" w:hAnsi="仿宋" w:eastAsia="仿宋" w:cs="仿宋"/>
          <w:b w:val="0"/>
          <w:bCs/>
          <w:sz w:val="24"/>
          <w:szCs w:val="24"/>
          <w:highlight w:val="none"/>
          <w:lang w:val="en-US" w:eastAsia="zh-CN"/>
        </w:rPr>
        <w:t>（2）采购人根据自身实际需要，要求中标人提供拟供货样品，留样备查。采购人对样品检视同意后，后续所供货品必须与样品一致。未经采购人批准，不得擅自调换。</w:t>
      </w:r>
    </w:p>
    <w:p w14:paraId="467CEE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仿宋" w:hAnsi="仿宋" w:eastAsia="仿宋" w:cs="仿宋"/>
          <w:b w:val="0"/>
          <w:bCs/>
          <w:sz w:val="24"/>
          <w:szCs w:val="24"/>
          <w:highlight w:val="none"/>
          <w:lang w:val="en-US" w:eastAsia="zh-CN"/>
        </w:rPr>
      </w:pPr>
      <w:r>
        <w:rPr>
          <w:rFonts w:hint="default" w:ascii="仿宋" w:hAnsi="仿宋" w:eastAsia="仿宋" w:cs="仿宋"/>
          <w:b w:val="0"/>
          <w:bCs/>
          <w:sz w:val="24"/>
          <w:szCs w:val="24"/>
          <w:highlight w:val="none"/>
          <w:lang w:val="en-US" w:eastAsia="zh-CN"/>
        </w:rPr>
        <w:t>2、验收要求</w:t>
      </w:r>
    </w:p>
    <w:p w14:paraId="049296D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仿宋" w:hAnsi="仿宋" w:eastAsia="仿宋" w:cs="仿宋"/>
          <w:b w:val="0"/>
          <w:bCs/>
          <w:sz w:val="24"/>
          <w:szCs w:val="24"/>
          <w:highlight w:val="none"/>
          <w:lang w:val="en-US" w:eastAsia="zh-CN"/>
        </w:rPr>
      </w:pPr>
      <w:r>
        <w:rPr>
          <w:rFonts w:hint="default" w:ascii="仿宋" w:hAnsi="仿宋" w:eastAsia="仿宋" w:cs="仿宋"/>
          <w:b w:val="0"/>
          <w:bCs/>
          <w:sz w:val="24"/>
          <w:szCs w:val="24"/>
          <w:highlight w:val="none"/>
          <w:lang w:val="en-US" w:eastAsia="zh-CN"/>
        </w:rPr>
        <w:t>（1）索证验收：采购人收货员第一步查验货物各种凭证，如不合格，直接拒收。</w:t>
      </w:r>
    </w:p>
    <w:p w14:paraId="1BA73E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仿宋" w:hAnsi="仿宋" w:eastAsia="仿宋" w:cs="仿宋"/>
          <w:b w:val="0"/>
          <w:bCs/>
          <w:sz w:val="24"/>
          <w:szCs w:val="24"/>
          <w:highlight w:val="none"/>
          <w:lang w:val="en-US" w:eastAsia="zh-CN"/>
        </w:rPr>
      </w:pPr>
      <w:r>
        <w:rPr>
          <w:rFonts w:hint="default" w:ascii="仿宋" w:hAnsi="仿宋" w:eastAsia="仿宋" w:cs="仿宋"/>
          <w:b w:val="0"/>
          <w:bCs/>
          <w:sz w:val="24"/>
          <w:szCs w:val="24"/>
          <w:highlight w:val="none"/>
          <w:lang w:val="en-US" w:eastAsia="zh-CN"/>
        </w:rPr>
        <w:t>（2）质量验收：采购人收货员看、摸、闻（必要时可以分割查验）验查配送货物，对疑似质量有问题的货物一律拒收。如因质量问题拒收导致无法正常供餐的，供应商必须 1 小时内补送合格货物。</w:t>
      </w:r>
    </w:p>
    <w:p w14:paraId="6313E1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仿宋" w:hAnsi="仿宋" w:eastAsia="仿宋" w:cs="仿宋"/>
          <w:b w:val="0"/>
          <w:bCs/>
          <w:sz w:val="24"/>
          <w:szCs w:val="24"/>
          <w:highlight w:val="none"/>
          <w:lang w:val="en-US" w:eastAsia="zh-CN"/>
        </w:rPr>
      </w:pPr>
      <w:r>
        <w:rPr>
          <w:rFonts w:hint="default" w:ascii="仿宋" w:hAnsi="仿宋" w:eastAsia="仿宋" w:cs="仿宋"/>
          <w:b w:val="0"/>
          <w:bCs/>
          <w:sz w:val="24"/>
          <w:szCs w:val="24"/>
          <w:highlight w:val="none"/>
          <w:lang w:val="en-US" w:eastAsia="zh-CN"/>
        </w:rPr>
        <w:t>（3）品种验收：采购人收货员按先天发出的订单品种逐步查验配送货物品种是否一致，对货不对板货物采购人有权拒收。如因货不对板或漏送导致无法正常供餐时，供应商必须 1-2 小时内补送订单品种。</w:t>
      </w:r>
    </w:p>
    <w:p w14:paraId="5351F8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仿宋" w:hAnsi="仿宋" w:eastAsia="仿宋" w:cs="仿宋"/>
          <w:b w:val="0"/>
          <w:bCs/>
          <w:sz w:val="24"/>
          <w:szCs w:val="24"/>
          <w:highlight w:val="none"/>
          <w:lang w:val="en-US" w:eastAsia="zh-CN"/>
        </w:rPr>
      </w:pPr>
      <w:r>
        <w:rPr>
          <w:rFonts w:hint="default" w:ascii="仿宋" w:hAnsi="仿宋" w:eastAsia="仿宋" w:cs="仿宋"/>
          <w:b w:val="0"/>
          <w:bCs/>
          <w:sz w:val="24"/>
          <w:szCs w:val="24"/>
          <w:highlight w:val="none"/>
          <w:lang w:val="en-US" w:eastAsia="zh-CN"/>
        </w:rPr>
        <w:t>（4）货物内在质量由投标人负责，但采购人对货物内在质量存在质疑时，投标人须同意采购人将该商品交质量监督检验机构检验，送检商品质量合格的，检验费由采购人承担，不合格的则由投标人承担。采购人可对投标人提供的货物进行多次的定期或不定期抽样送检，送检商品质量合格的，检验费由采购人承担，不合格的则由投标人承担。</w:t>
      </w:r>
    </w:p>
    <w:p w14:paraId="72E85C6B">
      <w:pPr>
        <w:keepNext w:val="0"/>
        <w:keepLines w:val="0"/>
        <w:pageBreakBefore w:val="0"/>
        <w:widowControl w:val="0"/>
        <w:numPr>
          <w:ilvl w:val="0"/>
          <w:numId w:val="9"/>
        </w:numPr>
        <w:kinsoku/>
        <w:wordWrap/>
        <w:overflowPunct/>
        <w:topLinePunct w:val="0"/>
        <w:autoSpaceDE/>
        <w:autoSpaceDN/>
        <w:bidi w:val="0"/>
        <w:adjustRightInd/>
        <w:snapToGrid/>
        <w:spacing w:before="313" w:beforeLines="100" w:after="313" w:afterLines="100"/>
        <w:ind w:firstLine="482" w:firstLineChars="200"/>
        <w:textAlignment w:val="auto"/>
        <w:rPr>
          <w:rFonts w:hint="default" w:ascii="仿宋" w:hAnsi="仿宋" w:eastAsia="仿宋" w:cs="仿宋"/>
          <w:b/>
          <w:kern w:val="2"/>
          <w:sz w:val="24"/>
          <w:szCs w:val="24"/>
          <w:lang w:val="en-US" w:eastAsia="zh-CN" w:bidi="ar-SA"/>
        </w:rPr>
      </w:pPr>
      <w:r>
        <w:rPr>
          <w:rFonts w:hint="default" w:ascii="仿宋" w:hAnsi="仿宋" w:eastAsia="仿宋" w:cs="仿宋"/>
          <w:b/>
          <w:kern w:val="2"/>
          <w:sz w:val="24"/>
          <w:szCs w:val="24"/>
          <w:lang w:val="en-US" w:eastAsia="zh-CN" w:bidi="ar-SA"/>
        </w:rPr>
        <w:t>报价要求</w:t>
      </w:r>
    </w:p>
    <w:p w14:paraId="6671C8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仿宋" w:hAnsi="仿宋" w:eastAsia="仿宋" w:cs="仿宋"/>
          <w:b w:val="0"/>
          <w:bCs/>
          <w:sz w:val="24"/>
          <w:szCs w:val="24"/>
          <w:highlight w:val="none"/>
          <w:lang w:val="en-US" w:eastAsia="zh-CN"/>
        </w:rPr>
      </w:pPr>
      <w:r>
        <w:rPr>
          <w:rFonts w:hint="default" w:ascii="仿宋" w:hAnsi="仿宋" w:eastAsia="仿宋" w:cs="仿宋"/>
          <w:b w:val="0"/>
          <w:bCs/>
          <w:sz w:val="24"/>
          <w:szCs w:val="24"/>
          <w:highlight w:val="none"/>
          <w:lang w:val="en-US" w:eastAsia="zh-CN"/>
        </w:rPr>
        <w:t>1、以</w:t>
      </w:r>
      <w:r>
        <w:rPr>
          <w:rFonts w:hint="eastAsia" w:ascii="仿宋" w:hAnsi="仿宋" w:eastAsia="仿宋" w:cs="仿宋"/>
          <w:b w:val="0"/>
          <w:bCs/>
          <w:sz w:val="24"/>
          <w:szCs w:val="24"/>
          <w:highlight w:val="none"/>
          <w:lang w:val="en-US" w:eastAsia="zh-CN"/>
        </w:rPr>
        <w:t>费率</w:t>
      </w:r>
      <w:r>
        <w:rPr>
          <w:rFonts w:hint="default" w:ascii="仿宋" w:hAnsi="仿宋" w:eastAsia="仿宋" w:cs="仿宋"/>
          <w:b w:val="0"/>
          <w:bCs/>
          <w:sz w:val="24"/>
          <w:szCs w:val="24"/>
          <w:highlight w:val="none"/>
          <w:lang w:val="en-US" w:eastAsia="zh-CN"/>
        </w:rPr>
        <w:t>的方式报价，投标人的报价应遵守“中华人民共和国价格法”。</w:t>
      </w:r>
    </w:p>
    <w:p w14:paraId="60C202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仿宋_GB2312"/>
          <w:sz w:val="24"/>
          <w:highlight w:val="none"/>
        </w:rPr>
      </w:pPr>
      <w:r>
        <w:rPr>
          <w:rFonts w:hint="default" w:ascii="仿宋" w:hAnsi="仿宋" w:eastAsia="仿宋" w:cs="仿宋"/>
          <w:b w:val="0"/>
          <w:bCs/>
          <w:sz w:val="24"/>
          <w:szCs w:val="24"/>
          <w:highlight w:val="none"/>
          <w:lang w:val="en-US" w:eastAsia="zh-CN"/>
        </w:rPr>
        <w:t>2、投标人按</w:t>
      </w:r>
      <w:r>
        <w:rPr>
          <w:rFonts w:hint="eastAsia" w:ascii="仿宋" w:hAnsi="仿宋" w:eastAsia="仿宋" w:cs="仿宋"/>
          <w:b w:val="0"/>
          <w:bCs/>
          <w:sz w:val="24"/>
          <w:szCs w:val="24"/>
          <w:highlight w:val="none"/>
          <w:lang w:val="en-US" w:eastAsia="zh-CN"/>
        </w:rPr>
        <w:t>费率</w:t>
      </w:r>
      <w:r>
        <w:rPr>
          <w:rFonts w:hint="default" w:ascii="仿宋" w:hAnsi="仿宋" w:eastAsia="仿宋" w:cs="仿宋"/>
          <w:b w:val="0"/>
          <w:bCs/>
          <w:sz w:val="24"/>
          <w:szCs w:val="24"/>
          <w:highlight w:val="none"/>
          <w:lang w:val="en-US" w:eastAsia="zh-CN"/>
        </w:rPr>
        <w:t>报价，</w:t>
      </w:r>
      <w:r>
        <w:rPr>
          <w:rFonts w:hint="eastAsia" w:ascii="Times New Roman" w:hAnsi="Times New Roman" w:eastAsia="仿宋_GB2312"/>
          <w:sz w:val="24"/>
          <w:highlight w:val="none"/>
        </w:rPr>
        <w:t>原辅食材以县教体局经每两周市场询价发布的《汉阴县“校园餐”原辅食材最高限价》作为结算基础价格，若乙方报价低于指导价则以乙方报价为结算基础价格。</w:t>
      </w:r>
    </w:p>
    <w:p w14:paraId="179A8D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仿宋" w:hAnsi="仿宋" w:eastAsia="仿宋" w:cs="仿宋"/>
          <w:b w:val="0"/>
          <w:bCs/>
          <w:sz w:val="24"/>
          <w:szCs w:val="24"/>
          <w:highlight w:val="none"/>
          <w:lang w:val="en-US" w:eastAsia="zh-CN"/>
        </w:rPr>
      </w:pPr>
      <w:r>
        <w:rPr>
          <w:rFonts w:hint="eastAsia" w:ascii="Times New Roman" w:hAnsi="Times New Roman" w:eastAsia="仿宋_GB2312"/>
          <w:sz w:val="24"/>
          <w:highlight w:val="none"/>
        </w:rPr>
        <w:t>实际结算货款=实际供货数量×县教体局发布的原辅食材最高限价×中标折扣</w:t>
      </w:r>
      <w:r>
        <w:rPr>
          <w:rFonts w:hint="default" w:ascii="仿宋" w:hAnsi="仿宋" w:eastAsia="仿宋" w:cs="仿宋"/>
          <w:b w:val="0"/>
          <w:bCs/>
          <w:sz w:val="24"/>
          <w:szCs w:val="24"/>
          <w:highlight w:val="none"/>
          <w:lang w:val="en-US" w:eastAsia="zh-CN"/>
        </w:rPr>
        <w:t>。</w:t>
      </w:r>
    </w:p>
    <w:p w14:paraId="221F74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仿宋" w:hAnsi="仿宋" w:eastAsia="仿宋" w:cs="仿宋"/>
          <w:b w:val="0"/>
          <w:bCs/>
          <w:sz w:val="24"/>
          <w:szCs w:val="24"/>
          <w:highlight w:val="none"/>
          <w:lang w:val="en-US" w:eastAsia="zh-CN"/>
        </w:rPr>
      </w:pPr>
      <w:r>
        <w:rPr>
          <w:rFonts w:hint="default" w:ascii="仿宋" w:hAnsi="仿宋" w:eastAsia="仿宋" w:cs="仿宋"/>
          <w:b w:val="0"/>
          <w:bCs/>
          <w:sz w:val="24"/>
          <w:szCs w:val="24"/>
          <w:highlight w:val="none"/>
          <w:lang w:val="en-US" w:eastAsia="zh-CN"/>
        </w:rPr>
        <w:t>3、最高限价：</w:t>
      </w:r>
    </w:p>
    <w:p w14:paraId="4585EE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仿宋" w:hAnsi="仿宋" w:eastAsia="仿宋" w:cs="仿宋"/>
          <w:b w:val="0"/>
          <w:bCs/>
          <w:sz w:val="24"/>
          <w:szCs w:val="24"/>
          <w:highlight w:val="none"/>
          <w:lang w:val="en-US" w:eastAsia="zh-CN"/>
        </w:rPr>
      </w:pPr>
      <w:r>
        <w:rPr>
          <w:rFonts w:hint="default" w:ascii="仿宋" w:hAnsi="仿宋" w:eastAsia="仿宋" w:cs="仿宋"/>
          <w:b w:val="0"/>
          <w:bCs/>
          <w:sz w:val="24"/>
          <w:szCs w:val="24"/>
          <w:highlight w:val="none"/>
          <w:lang w:val="en-US" w:eastAsia="zh-CN"/>
        </w:rPr>
        <w:t>所有品类商品</w:t>
      </w:r>
      <w:r>
        <w:rPr>
          <w:rFonts w:hint="eastAsia" w:ascii="仿宋" w:hAnsi="仿宋" w:eastAsia="仿宋" w:cs="仿宋"/>
          <w:b w:val="0"/>
          <w:bCs/>
          <w:sz w:val="24"/>
          <w:szCs w:val="24"/>
          <w:highlight w:val="none"/>
          <w:lang w:val="en-US" w:eastAsia="zh-CN"/>
        </w:rPr>
        <w:t>报价费率</w:t>
      </w:r>
      <w:r>
        <w:rPr>
          <w:rFonts w:hint="default" w:ascii="仿宋" w:hAnsi="仿宋" w:eastAsia="仿宋" w:cs="仿宋"/>
          <w:b w:val="0"/>
          <w:bCs/>
          <w:sz w:val="24"/>
          <w:szCs w:val="24"/>
          <w:highlight w:val="none"/>
          <w:lang w:val="en-US" w:eastAsia="zh-CN"/>
        </w:rPr>
        <w:t xml:space="preserve">不超过 </w:t>
      </w:r>
      <w:r>
        <w:rPr>
          <w:rFonts w:hint="eastAsia" w:ascii="仿宋" w:hAnsi="仿宋" w:eastAsia="仿宋" w:cs="仿宋"/>
          <w:b w:val="0"/>
          <w:bCs/>
          <w:sz w:val="24"/>
          <w:szCs w:val="24"/>
          <w:highlight w:val="none"/>
          <w:lang w:val="en-US" w:eastAsia="zh-CN"/>
        </w:rPr>
        <w:t>100</w:t>
      </w:r>
      <w:r>
        <w:rPr>
          <w:rFonts w:hint="default" w:ascii="仿宋" w:hAnsi="仿宋" w:eastAsia="仿宋" w:cs="仿宋"/>
          <w:b w:val="0"/>
          <w:bCs/>
          <w:sz w:val="24"/>
          <w:szCs w:val="24"/>
          <w:highlight w:val="none"/>
          <w:lang w:val="en-US" w:eastAsia="zh-CN"/>
        </w:rPr>
        <w:t>%</w:t>
      </w:r>
      <w:r>
        <w:rPr>
          <w:rFonts w:hint="eastAsia" w:ascii="仿宋" w:hAnsi="仿宋" w:eastAsia="仿宋" w:cs="仿宋"/>
          <w:b w:val="0"/>
          <w:bCs/>
          <w:sz w:val="24"/>
          <w:szCs w:val="24"/>
          <w:highlight w:val="none"/>
          <w:lang w:val="en-US" w:eastAsia="zh-CN"/>
        </w:rPr>
        <w:t>。</w:t>
      </w:r>
    </w:p>
    <w:p w14:paraId="35C4FD38">
      <w:pPr>
        <w:keepNext w:val="0"/>
        <w:keepLines w:val="0"/>
        <w:pageBreakBefore w:val="0"/>
        <w:widowControl w:val="0"/>
        <w:numPr>
          <w:ilvl w:val="0"/>
          <w:numId w:val="9"/>
        </w:numPr>
        <w:kinsoku/>
        <w:wordWrap/>
        <w:overflowPunct/>
        <w:topLinePunct w:val="0"/>
        <w:autoSpaceDE/>
        <w:autoSpaceDN/>
        <w:bidi w:val="0"/>
        <w:adjustRightInd/>
        <w:snapToGrid/>
        <w:spacing w:before="313" w:beforeLines="100" w:after="313" w:afterLines="100"/>
        <w:ind w:firstLine="482" w:firstLineChars="200"/>
        <w:textAlignment w:val="auto"/>
        <w:rPr>
          <w:rFonts w:hint="default" w:ascii="仿宋" w:hAnsi="仿宋" w:eastAsia="仿宋" w:cs="仿宋"/>
          <w:b/>
          <w:kern w:val="2"/>
          <w:sz w:val="24"/>
          <w:szCs w:val="24"/>
          <w:lang w:val="en-US" w:eastAsia="zh-CN" w:bidi="ar-SA"/>
        </w:rPr>
      </w:pPr>
      <w:r>
        <w:rPr>
          <w:rFonts w:hint="default" w:ascii="仿宋" w:hAnsi="仿宋" w:eastAsia="仿宋" w:cs="仿宋"/>
          <w:b/>
          <w:kern w:val="2"/>
          <w:sz w:val="24"/>
          <w:szCs w:val="24"/>
          <w:lang w:val="en-US" w:eastAsia="zh-CN" w:bidi="ar-SA"/>
        </w:rPr>
        <w:t>其他要求</w:t>
      </w:r>
    </w:p>
    <w:p w14:paraId="22FBF0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仿宋" w:hAnsi="仿宋" w:eastAsia="仿宋" w:cs="仿宋"/>
          <w:b w:val="0"/>
          <w:bCs/>
          <w:sz w:val="24"/>
          <w:szCs w:val="24"/>
          <w:highlight w:val="none"/>
          <w:lang w:val="en-US" w:eastAsia="zh-CN"/>
        </w:rPr>
      </w:pPr>
      <w:r>
        <w:rPr>
          <w:rFonts w:hint="default" w:ascii="仿宋" w:hAnsi="仿宋" w:eastAsia="仿宋" w:cs="仿宋"/>
          <w:b w:val="0"/>
          <w:bCs/>
          <w:sz w:val="24"/>
          <w:szCs w:val="24"/>
          <w:highlight w:val="none"/>
          <w:lang w:val="en-US" w:eastAsia="zh-CN"/>
        </w:rPr>
        <w:t>1、要求供应商所配送的货物符合国家食品安全标准，对于没有国家标准的应符合行业标准或企业标准，其中国家有强制性技术标准要求的产品，还应符合国家强制性技术标准，确保配送的货物安全、卫生。供应商所供货物应具有出厂检验合格证，检测报告，并符合国家食品卫生安全管理相关条例规定。配送时提供配送物品的检测报告或产品合格证。对实行食品质量（QS）安全市场准入制的食品，须提供 QS 认证的相关证明资料。</w:t>
      </w:r>
    </w:p>
    <w:p w14:paraId="4F0AED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仿宋" w:hAnsi="仿宋" w:eastAsia="仿宋" w:cs="仿宋"/>
          <w:b w:val="0"/>
          <w:bCs/>
          <w:sz w:val="24"/>
          <w:szCs w:val="24"/>
          <w:highlight w:val="none"/>
          <w:lang w:val="en-US" w:eastAsia="zh-CN"/>
        </w:rPr>
      </w:pPr>
      <w:r>
        <w:rPr>
          <w:rFonts w:hint="default" w:ascii="仿宋" w:hAnsi="仿宋" w:eastAsia="仿宋" w:cs="仿宋"/>
          <w:b w:val="0"/>
          <w:bCs/>
          <w:sz w:val="24"/>
          <w:szCs w:val="24"/>
          <w:highlight w:val="none"/>
          <w:lang w:val="en-US" w:eastAsia="zh-CN"/>
        </w:rPr>
        <w:t>2、食材溯源要求：所有食品的来源必须清晰。</w:t>
      </w:r>
    </w:p>
    <w:p w14:paraId="710E3E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仿宋" w:hAnsi="仿宋" w:eastAsia="仿宋" w:cs="仿宋"/>
          <w:b w:val="0"/>
          <w:bCs/>
          <w:sz w:val="24"/>
          <w:szCs w:val="24"/>
          <w:highlight w:val="none"/>
          <w:lang w:val="en-US" w:eastAsia="zh-CN"/>
        </w:rPr>
      </w:pPr>
      <w:r>
        <w:rPr>
          <w:rFonts w:hint="default" w:ascii="仿宋" w:hAnsi="仿宋" w:eastAsia="仿宋" w:cs="仿宋"/>
          <w:b w:val="0"/>
          <w:bCs/>
          <w:sz w:val="24"/>
          <w:szCs w:val="24"/>
          <w:highlight w:val="none"/>
          <w:lang w:val="en-US" w:eastAsia="zh-CN"/>
        </w:rPr>
        <w:t>3、在服务期内，采购人将每日通知供应商次日所需的食材种类、数量、送达时间及地点，经称重，供应商与采购人指定人员现场双方签字验收,如受疫情影响,无法现场双方签字,以收货人实际称重为准,双方确认后补签。供应商应按采购人要求每日保质保量按时提供所需食材，采购人将对供应商所提供的商品进行抽查、检验。</w:t>
      </w:r>
    </w:p>
    <w:p w14:paraId="14ADD1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仿宋" w:hAnsi="仿宋" w:eastAsia="仿宋" w:cs="仿宋"/>
          <w:b w:val="0"/>
          <w:bCs/>
          <w:sz w:val="24"/>
          <w:szCs w:val="24"/>
          <w:highlight w:val="none"/>
          <w:lang w:val="en-US" w:eastAsia="zh-CN"/>
        </w:rPr>
      </w:pPr>
      <w:r>
        <w:rPr>
          <w:rFonts w:hint="default" w:ascii="仿宋" w:hAnsi="仿宋" w:eastAsia="仿宋" w:cs="仿宋"/>
          <w:b w:val="0"/>
          <w:bCs/>
          <w:sz w:val="24"/>
          <w:szCs w:val="24"/>
          <w:highlight w:val="none"/>
          <w:lang w:val="en-US" w:eastAsia="zh-CN"/>
        </w:rPr>
        <w:t>4、供应商应提供 7×24 小时服务，供应商按采购人要求在紧急任务时无条件随时送货，做好相应的食材伴随保障工作。</w:t>
      </w:r>
    </w:p>
    <w:p w14:paraId="2F3F7F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仿宋" w:hAnsi="仿宋" w:eastAsia="仿宋" w:cs="仿宋"/>
          <w:b w:val="0"/>
          <w:bCs/>
          <w:sz w:val="24"/>
          <w:szCs w:val="24"/>
          <w:highlight w:val="none"/>
          <w:lang w:val="en-US" w:eastAsia="zh-CN"/>
        </w:rPr>
      </w:pPr>
      <w:r>
        <w:rPr>
          <w:rFonts w:hint="default" w:ascii="仿宋" w:hAnsi="仿宋" w:eastAsia="仿宋" w:cs="仿宋"/>
          <w:b w:val="0"/>
          <w:bCs/>
          <w:sz w:val="24"/>
          <w:szCs w:val="24"/>
          <w:highlight w:val="none"/>
          <w:lang w:val="en-US" w:eastAsia="zh-CN"/>
        </w:rPr>
        <w:t>5、供应商应具备食材封闭保鲜配送的专用车辆及设备，在车辆</w:t>
      </w:r>
      <w:r>
        <w:rPr>
          <w:rFonts w:hint="eastAsia" w:ascii="仿宋" w:hAnsi="仿宋" w:eastAsia="仿宋" w:cs="仿宋"/>
          <w:b w:val="0"/>
          <w:bCs/>
          <w:sz w:val="24"/>
          <w:szCs w:val="24"/>
          <w:highlight w:val="none"/>
          <w:lang w:val="en-US" w:eastAsia="zh-CN"/>
        </w:rPr>
        <w:t>故障</w:t>
      </w:r>
      <w:r>
        <w:rPr>
          <w:rFonts w:hint="default" w:ascii="仿宋" w:hAnsi="仿宋" w:eastAsia="仿宋" w:cs="仿宋"/>
          <w:b w:val="0"/>
          <w:bCs/>
          <w:sz w:val="24"/>
          <w:szCs w:val="24"/>
          <w:highlight w:val="none"/>
          <w:lang w:val="en-US" w:eastAsia="zh-CN"/>
        </w:rPr>
        <w:t>时能够安排符合要求的其它车辆替换。</w:t>
      </w:r>
    </w:p>
    <w:p w14:paraId="55DD87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仿宋" w:hAnsi="仿宋" w:eastAsia="仿宋" w:cs="仿宋"/>
          <w:b w:val="0"/>
          <w:bCs/>
          <w:color w:val="auto"/>
          <w:sz w:val="24"/>
          <w:szCs w:val="24"/>
          <w:highlight w:val="none"/>
          <w:lang w:val="en-US" w:eastAsia="zh-CN"/>
        </w:rPr>
      </w:pPr>
      <w:r>
        <w:rPr>
          <w:rFonts w:hint="default" w:ascii="仿宋" w:hAnsi="仿宋" w:eastAsia="仿宋" w:cs="仿宋"/>
          <w:b w:val="0"/>
          <w:bCs/>
          <w:sz w:val="24"/>
          <w:szCs w:val="24"/>
          <w:highlight w:val="none"/>
          <w:lang w:val="en-US" w:eastAsia="zh-CN"/>
        </w:rPr>
        <w:t>6、供应商必须依据国家有关法律法规要求建立健全各项管理制度，保证食品安全；有明确</w:t>
      </w:r>
      <w:r>
        <w:rPr>
          <w:rFonts w:hint="default" w:ascii="仿宋" w:hAnsi="仿宋" w:eastAsia="仿宋" w:cs="仿宋"/>
          <w:b w:val="0"/>
          <w:bCs/>
          <w:color w:val="auto"/>
          <w:sz w:val="24"/>
          <w:szCs w:val="24"/>
          <w:highlight w:val="none"/>
          <w:lang w:val="en-US" w:eastAsia="zh-CN"/>
        </w:rPr>
        <w:t>的食品安全责任人。</w:t>
      </w:r>
    </w:p>
    <w:p w14:paraId="139633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仿宋" w:hAnsi="仿宋" w:eastAsia="仿宋" w:cs="仿宋"/>
          <w:b w:val="0"/>
          <w:bCs/>
          <w:color w:val="auto"/>
          <w:sz w:val="24"/>
          <w:szCs w:val="24"/>
          <w:highlight w:val="none"/>
          <w:lang w:val="en-US" w:eastAsia="zh-CN"/>
        </w:rPr>
      </w:pPr>
      <w:r>
        <w:rPr>
          <w:rFonts w:hint="default" w:ascii="仿宋" w:hAnsi="仿宋" w:eastAsia="仿宋" w:cs="仿宋"/>
          <w:b w:val="0"/>
          <w:bCs/>
          <w:color w:val="auto"/>
          <w:sz w:val="24"/>
          <w:szCs w:val="24"/>
          <w:highlight w:val="none"/>
          <w:lang w:val="en-US" w:eastAsia="zh-CN"/>
        </w:rPr>
        <w:t>7、供应商</w:t>
      </w:r>
      <w:r>
        <w:rPr>
          <w:rFonts w:hint="eastAsia" w:ascii="仿宋" w:hAnsi="仿宋" w:eastAsia="仿宋" w:cs="仿宋"/>
          <w:b w:val="0"/>
          <w:bCs/>
          <w:color w:val="auto"/>
          <w:sz w:val="24"/>
          <w:szCs w:val="24"/>
          <w:highlight w:val="none"/>
          <w:lang w:val="en-US" w:eastAsia="zh-CN"/>
        </w:rPr>
        <w:t>根据采购内容及要求，</w:t>
      </w:r>
      <w:r>
        <w:rPr>
          <w:rFonts w:hint="default" w:ascii="仿宋" w:hAnsi="仿宋" w:eastAsia="仿宋" w:cs="仿宋"/>
          <w:b w:val="0"/>
          <w:bCs/>
          <w:color w:val="auto"/>
          <w:sz w:val="24"/>
          <w:szCs w:val="24"/>
          <w:highlight w:val="none"/>
          <w:lang w:val="en-US" w:eastAsia="zh-CN"/>
        </w:rPr>
        <w:t>需提供详细的</w:t>
      </w:r>
      <w:r>
        <w:rPr>
          <w:rFonts w:hint="eastAsia" w:ascii="仿宋" w:hAnsi="仿宋" w:eastAsia="仿宋" w:cs="仿宋"/>
          <w:b w:val="0"/>
          <w:bCs/>
          <w:color w:val="auto"/>
          <w:sz w:val="24"/>
          <w:szCs w:val="24"/>
          <w:highlight w:val="none"/>
          <w:lang w:val="en-US" w:eastAsia="zh-CN"/>
        </w:rPr>
        <w:t>质量保障方案、</w:t>
      </w:r>
      <w:r>
        <w:rPr>
          <w:rFonts w:hint="default" w:ascii="仿宋" w:hAnsi="仿宋" w:eastAsia="仿宋" w:cs="仿宋"/>
          <w:b w:val="0"/>
          <w:bCs/>
          <w:color w:val="auto"/>
          <w:sz w:val="24"/>
          <w:szCs w:val="24"/>
          <w:highlight w:val="none"/>
          <w:lang w:val="en-US" w:eastAsia="zh-CN"/>
        </w:rPr>
        <w:t>产品配送方案、售后服务方案、应急方案等。</w:t>
      </w:r>
    </w:p>
    <w:p w14:paraId="2AEEC3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仿宋" w:hAnsi="仿宋" w:eastAsia="仿宋" w:cs="仿宋"/>
          <w:b w:val="0"/>
          <w:bCs/>
          <w:sz w:val="24"/>
          <w:szCs w:val="24"/>
          <w:highlight w:val="none"/>
          <w:lang w:val="en-US" w:eastAsia="zh-CN"/>
        </w:rPr>
      </w:pPr>
      <w:r>
        <w:rPr>
          <w:rFonts w:hint="default" w:ascii="仿宋" w:hAnsi="仿宋" w:eastAsia="仿宋" w:cs="仿宋"/>
          <w:b w:val="0"/>
          <w:bCs/>
          <w:color w:val="auto"/>
          <w:sz w:val="24"/>
          <w:szCs w:val="24"/>
          <w:highlight w:val="none"/>
          <w:lang w:val="en-US" w:eastAsia="zh-CN"/>
        </w:rPr>
        <w:t>8、供应商不得将配</w:t>
      </w:r>
      <w:r>
        <w:rPr>
          <w:rFonts w:hint="default" w:ascii="仿宋" w:hAnsi="仿宋" w:eastAsia="仿宋" w:cs="仿宋"/>
          <w:b w:val="0"/>
          <w:bCs/>
          <w:sz w:val="24"/>
          <w:szCs w:val="24"/>
          <w:highlight w:val="none"/>
          <w:lang w:val="en-US" w:eastAsia="zh-CN"/>
        </w:rPr>
        <w:t>送任务全部或部分转让给第三方（人），不得泄露任何采购人事项，包括采购人人员数量、职务名称、行动任务、装备等事项。若发生泄密情况，将追究相关法律责任。</w:t>
      </w:r>
    </w:p>
    <w:p w14:paraId="1ABDC0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default" w:ascii="仿宋" w:hAnsi="仿宋" w:eastAsia="仿宋" w:cs="仿宋"/>
          <w:b/>
          <w:bCs w:val="0"/>
          <w:w w:val="90"/>
          <w:sz w:val="24"/>
          <w:szCs w:val="24"/>
          <w:highlight w:val="none"/>
          <w:lang w:val="en-US" w:eastAsia="zh-CN"/>
        </w:rPr>
      </w:pPr>
      <w:r>
        <w:rPr>
          <w:rFonts w:hint="default" w:ascii="仿宋" w:hAnsi="仿宋" w:eastAsia="仿宋" w:cs="仿宋"/>
          <w:b/>
          <w:bCs w:val="0"/>
          <w:sz w:val="24"/>
          <w:szCs w:val="24"/>
          <w:highlight w:val="none"/>
          <w:lang w:val="en-US" w:eastAsia="zh-CN"/>
        </w:rPr>
        <w:t>注：采购标准中参数描述如涉及品牌、型号、专用技术等，均为指标描述所需，是最低配置水平参考，</w:t>
      </w:r>
      <w:r>
        <w:rPr>
          <w:rFonts w:hint="default" w:ascii="仿宋" w:hAnsi="仿宋" w:eastAsia="仿宋" w:cs="仿宋"/>
          <w:b/>
          <w:bCs w:val="0"/>
          <w:w w:val="90"/>
          <w:sz w:val="24"/>
          <w:szCs w:val="24"/>
          <w:highlight w:val="none"/>
          <w:lang w:val="en-US" w:eastAsia="zh-CN"/>
        </w:rPr>
        <w:t>不具备限定性，要求投标人所投产品品牌、档次、配置不得低于以</w:t>
      </w:r>
      <w:r>
        <w:rPr>
          <w:rFonts w:hint="eastAsia" w:ascii="仿宋" w:hAnsi="仿宋" w:eastAsia="仿宋" w:cs="仿宋"/>
          <w:b/>
          <w:bCs w:val="0"/>
          <w:w w:val="90"/>
          <w:sz w:val="24"/>
          <w:szCs w:val="24"/>
          <w:highlight w:val="none"/>
          <w:lang w:val="en-US" w:eastAsia="zh-CN"/>
        </w:rPr>
        <w:t>上</w:t>
      </w:r>
      <w:r>
        <w:rPr>
          <w:rFonts w:hint="default" w:ascii="仿宋" w:hAnsi="仿宋" w:eastAsia="仿宋" w:cs="仿宋"/>
          <w:b/>
          <w:bCs w:val="0"/>
          <w:w w:val="90"/>
          <w:sz w:val="24"/>
          <w:szCs w:val="24"/>
          <w:highlight w:val="none"/>
          <w:lang w:val="en-US" w:eastAsia="zh-CN"/>
        </w:rPr>
        <w:t>参数要求。</w:t>
      </w:r>
    </w:p>
    <w:p w14:paraId="1C1FFF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default" w:ascii="仿宋" w:hAnsi="仿宋" w:eastAsia="仿宋" w:cs="仿宋"/>
          <w:b/>
          <w:bCs w:val="0"/>
          <w:sz w:val="24"/>
          <w:szCs w:val="24"/>
          <w:highlight w:val="none"/>
          <w:lang w:val="en-US" w:eastAsia="zh-CN"/>
        </w:rPr>
        <w:sectPr>
          <w:pgSz w:w="11906" w:h="16838"/>
          <w:pgMar w:top="1440" w:right="1083" w:bottom="1440" w:left="1083" w:header="851" w:footer="992" w:gutter="0"/>
          <w:pgNumType w:fmt="decimal"/>
          <w:cols w:space="720" w:num="1"/>
          <w:docGrid w:type="lines" w:linePitch="312" w:charSpace="0"/>
        </w:sectPr>
      </w:pPr>
      <w:r>
        <w:rPr>
          <w:rFonts w:hint="default" w:ascii="仿宋" w:hAnsi="仿宋" w:eastAsia="仿宋" w:cs="仿宋"/>
          <w:b/>
          <w:bCs w:val="0"/>
          <w:sz w:val="24"/>
          <w:szCs w:val="24"/>
          <w:highlight w:val="none"/>
          <w:lang w:val="en-US" w:eastAsia="zh-CN"/>
        </w:rPr>
        <w:t>除采购标准中要求提供的许可、证明外，中标人还应按照供货时的政府疫情防控要求，提供相关检测证明。</w:t>
      </w:r>
    </w:p>
    <w:p w14:paraId="710FD9B8">
      <w:pPr>
        <w:pStyle w:val="72"/>
        <w:adjustRightInd w:val="0"/>
        <w:spacing w:before="240" w:beforeLines="100" w:line="360" w:lineRule="auto"/>
        <w:ind w:right="-22" w:firstLine="0" w:firstLineChars="0"/>
        <w:jc w:val="center"/>
        <w:textAlignment w:val="baseline"/>
        <w:outlineLvl w:val="0"/>
        <w:rPr>
          <w:rFonts w:ascii="Times New Roman" w:hAnsi="Times New Roman" w:eastAsia="仿宋_GB2312"/>
          <w:b/>
          <w:kern w:val="0"/>
          <w:sz w:val="32"/>
          <w:szCs w:val="32"/>
        </w:rPr>
      </w:pPr>
      <w:r>
        <w:rPr>
          <w:rFonts w:ascii="Times New Roman" w:hAnsi="Times New Roman" w:eastAsia="仿宋_GB2312"/>
          <w:b/>
          <w:kern w:val="0"/>
          <w:sz w:val="32"/>
          <w:szCs w:val="32"/>
        </w:rPr>
        <w:t xml:space="preserve">第五章  </w:t>
      </w:r>
      <w:bookmarkStart w:id="449" w:name="_Toc58504449"/>
      <w:r>
        <w:rPr>
          <w:rFonts w:ascii="Times New Roman" w:hAnsi="Times New Roman" w:eastAsia="仿宋_GB2312"/>
          <w:b/>
          <w:kern w:val="0"/>
          <w:sz w:val="32"/>
          <w:szCs w:val="32"/>
        </w:rPr>
        <w:t>谈判响应文件格式</w:t>
      </w:r>
      <w:bookmarkEnd w:id="444"/>
      <w:bookmarkEnd w:id="445"/>
      <w:bookmarkEnd w:id="446"/>
      <w:bookmarkEnd w:id="447"/>
      <w:bookmarkEnd w:id="448"/>
      <w:bookmarkEnd w:id="449"/>
    </w:p>
    <w:p w14:paraId="3B5D34A9">
      <w:pPr>
        <w:pStyle w:val="22"/>
        <w:rPr>
          <w:rFonts w:ascii="Times New Roman" w:hAnsi="Times New Roman" w:eastAsia="仿宋_GB2312"/>
          <w:b/>
          <w:kern w:val="0"/>
          <w:sz w:val="30"/>
          <w:szCs w:val="30"/>
        </w:rPr>
      </w:pPr>
      <w:r>
        <w:rPr>
          <w:rFonts w:ascii="Times New Roman" w:hAnsi="Times New Roman" w:eastAsia="仿宋_GB2312"/>
        </w:rPr>
        <w:br w:type="page"/>
      </w:r>
    </w:p>
    <w:p w14:paraId="473AE59E">
      <w:pPr>
        <w:autoSpaceDE w:val="0"/>
        <w:autoSpaceDN w:val="0"/>
        <w:adjustRightInd w:val="0"/>
        <w:snapToGrid w:val="0"/>
        <w:spacing w:line="360" w:lineRule="auto"/>
        <w:jc w:val="left"/>
        <w:outlineLvl w:val="9"/>
        <w:rPr>
          <w:rFonts w:eastAsia="仿宋_GB2312"/>
          <w:b/>
          <w:bCs/>
          <w:sz w:val="32"/>
          <w:szCs w:val="32"/>
          <w:lang w:val="zh-CN"/>
        </w:rPr>
      </w:pPr>
    </w:p>
    <w:p w14:paraId="5F45E3D1">
      <w:pPr>
        <w:autoSpaceDE w:val="0"/>
        <w:autoSpaceDN w:val="0"/>
        <w:adjustRightInd w:val="0"/>
        <w:snapToGrid w:val="0"/>
        <w:spacing w:line="360" w:lineRule="auto"/>
        <w:jc w:val="left"/>
        <w:outlineLvl w:val="9"/>
        <w:rPr>
          <w:rFonts w:eastAsia="仿宋_GB2312"/>
          <w:b/>
          <w:bCs/>
          <w:sz w:val="32"/>
          <w:szCs w:val="32"/>
          <w:lang w:val="zh-CN"/>
        </w:rPr>
      </w:pPr>
      <w:r>
        <w:rPr>
          <w:rFonts w:eastAsia="仿宋_GB2312"/>
          <w:b/>
          <w:bCs/>
          <w:sz w:val="32"/>
          <w:szCs w:val="32"/>
          <w:lang w:val="zh-CN"/>
        </w:rPr>
        <w:t>项目编号：</w:t>
      </w:r>
    </w:p>
    <w:p w14:paraId="0AC7C61B">
      <w:pPr>
        <w:tabs>
          <w:tab w:val="left" w:pos="5670"/>
        </w:tabs>
        <w:autoSpaceDE w:val="0"/>
        <w:autoSpaceDN w:val="0"/>
        <w:adjustRightInd w:val="0"/>
        <w:snapToGrid w:val="0"/>
        <w:spacing w:line="360" w:lineRule="auto"/>
        <w:jc w:val="center"/>
        <w:outlineLvl w:val="9"/>
        <w:rPr>
          <w:rFonts w:eastAsia="仿宋_GB2312"/>
          <w:sz w:val="19"/>
          <w:szCs w:val="19"/>
        </w:rPr>
      </w:pPr>
    </w:p>
    <w:p w14:paraId="750BEE54">
      <w:pPr>
        <w:pStyle w:val="22"/>
        <w:rPr>
          <w:rFonts w:eastAsia="仿宋_GB2312"/>
          <w:sz w:val="19"/>
          <w:szCs w:val="19"/>
        </w:rPr>
      </w:pPr>
    </w:p>
    <w:p w14:paraId="6A6321B1">
      <w:pPr>
        <w:outlineLvl w:val="9"/>
        <w:rPr>
          <w:rFonts w:eastAsia="仿宋_GB2312"/>
          <w:sz w:val="19"/>
          <w:szCs w:val="19"/>
        </w:rPr>
      </w:pPr>
    </w:p>
    <w:p w14:paraId="468C7DEF"/>
    <w:p w14:paraId="23B9B91C">
      <w:pPr>
        <w:tabs>
          <w:tab w:val="left" w:pos="5670"/>
        </w:tabs>
        <w:autoSpaceDE w:val="0"/>
        <w:autoSpaceDN w:val="0"/>
        <w:adjustRightInd w:val="0"/>
        <w:snapToGrid w:val="0"/>
        <w:spacing w:line="360" w:lineRule="auto"/>
        <w:jc w:val="center"/>
        <w:outlineLvl w:val="9"/>
        <w:rPr>
          <w:rFonts w:eastAsia="仿宋_GB2312"/>
          <w:sz w:val="19"/>
          <w:szCs w:val="19"/>
        </w:rPr>
      </w:pPr>
    </w:p>
    <w:p w14:paraId="203FBD63">
      <w:pPr>
        <w:tabs>
          <w:tab w:val="left" w:pos="5670"/>
        </w:tabs>
        <w:autoSpaceDE w:val="0"/>
        <w:autoSpaceDN w:val="0"/>
        <w:adjustRightInd w:val="0"/>
        <w:snapToGrid w:val="0"/>
        <w:spacing w:line="360" w:lineRule="auto"/>
        <w:jc w:val="center"/>
        <w:outlineLvl w:val="9"/>
        <w:rPr>
          <w:rFonts w:eastAsia="仿宋_GB2312"/>
          <w:sz w:val="19"/>
          <w:szCs w:val="19"/>
        </w:rPr>
      </w:pPr>
    </w:p>
    <w:p w14:paraId="24BE81F6">
      <w:pPr>
        <w:pStyle w:val="22"/>
        <w:outlineLvl w:val="9"/>
        <w:rPr>
          <w:rFonts w:eastAsia="仿宋_GB2312"/>
          <w:sz w:val="19"/>
          <w:szCs w:val="19"/>
        </w:rPr>
      </w:pPr>
    </w:p>
    <w:p w14:paraId="7BDDBDC3">
      <w:pPr>
        <w:outlineLvl w:val="9"/>
        <w:rPr>
          <w:rFonts w:eastAsia="仿宋_GB2312"/>
          <w:sz w:val="19"/>
          <w:szCs w:val="19"/>
        </w:rPr>
      </w:pPr>
    </w:p>
    <w:p w14:paraId="7FA2FB77"/>
    <w:p w14:paraId="02477ACE">
      <w:pPr>
        <w:autoSpaceDE w:val="0"/>
        <w:autoSpaceDN w:val="0"/>
        <w:adjustRightInd w:val="0"/>
        <w:snapToGrid w:val="0"/>
        <w:spacing w:line="360" w:lineRule="auto"/>
        <w:jc w:val="center"/>
        <w:outlineLvl w:val="9"/>
        <w:rPr>
          <w:rFonts w:eastAsia="仿宋_GB2312"/>
          <w:b/>
          <w:bCs/>
          <w:sz w:val="44"/>
          <w:szCs w:val="44"/>
        </w:rPr>
      </w:pPr>
      <w:r>
        <w:rPr>
          <w:rFonts w:hint="eastAsia" w:eastAsia="仿宋_GB2312"/>
          <w:b/>
          <w:bCs/>
          <w:sz w:val="44"/>
          <w:szCs w:val="44"/>
          <w:u w:val="single"/>
          <w:lang w:val="en-US" w:eastAsia="zh-CN"/>
        </w:rPr>
        <w:t xml:space="preserve">              </w:t>
      </w:r>
      <w:r>
        <w:rPr>
          <w:rFonts w:eastAsia="仿宋_GB2312"/>
          <w:b/>
          <w:bCs/>
          <w:sz w:val="44"/>
          <w:szCs w:val="44"/>
        </w:rPr>
        <w:t>项目</w:t>
      </w:r>
    </w:p>
    <w:p w14:paraId="5243B8A8">
      <w:pPr>
        <w:tabs>
          <w:tab w:val="left" w:pos="5670"/>
        </w:tabs>
        <w:autoSpaceDE w:val="0"/>
        <w:autoSpaceDN w:val="0"/>
        <w:adjustRightInd w:val="0"/>
        <w:snapToGrid w:val="0"/>
        <w:spacing w:line="360" w:lineRule="auto"/>
        <w:jc w:val="center"/>
        <w:outlineLvl w:val="9"/>
        <w:rPr>
          <w:rFonts w:eastAsia="仿宋_GB2312"/>
          <w:b/>
          <w:bCs/>
          <w:sz w:val="36"/>
          <w:szCs w:val="36"/>
          <w:lang w:val="zh-CN"/>
        </w:rPr>
      </w:pPr>
    </w:p>
    <w:p w14:paraId="0415AC58">
      <w:pPr>
        <w:tabs>
          <w:tab w:val="left" w:pos="5670"/>
        </w:tabs>
        <w:autoSpaceDE w:val="0"/>
        <w:autoSpaceDN w:val="0"/>
        <w:adjustRightInd w:val="0"/>
        <w:snapToGrid w:val="0"/>
        <w:spacing w:line="360" w:lineRule="auto"/>
        <w:jc w:val="center"/>
        <w:outlineLvl w:val="9"/>
        <w:rPr>
          <w:rFonts w:eastAsia="仿宋_GB2312"/>
          <w:b/>
          <w:bCs/>
          <w:sz w:val="52"/>
          <w:szCs w:val="52"/>
          <w:lang w:val="zh-CN"/>
        </w:rPr>
      </w:pPr>
      <w:r>
        <w:rPr>
          <w:rFonts w:eastAsia="仿宋_GB2312"/>
          <w:b/>
          <w:bCs/>
          <w:sz w:val="52"/>
          <w:szCs w:val="52"/>
          <w:lang w:val="zh-CN"/>
        </w:rPr>
        <w:t>谈判响应文件</w:t>
      </w:r>
    </w:p>
    <w:p w14:paraId="66A102FD">
      <w:pPr>
        <w:autoSpaceDE w:val="0"/>
        <w:autoSpaceDN w:val="0"/>
        <w:adjustRightInd w:val="0"/>
        <w:snapToGrid w:val="0"/>
        <w:spacing w:line="360" w:lineRule="auto"/>
        <w:jc w:val="center"/>
        <w:outlineLvl w:val="9"/>
        <w:rPr>
          <w:rFonts w:eastAsia="仿宋_GB2312"/>
          <w:b/>
          <w:bCs/>
          <w:sz w:val="32"/>
          <w:szCs w:val="32"/>
          <w:lang w:val="zh-CN"/>
        </w:rPr>
      </w:pPr>
    </w:p>
    <w:p w14:paraId="2A5422D1">
      <w:pPr>
        <w:autoSpaceDE w:val="0"/>
        <w:autoSpaceDN w:val="0"/>
        <w:adjustRightInd w:val="0"/>
        <w:snapToGrid w:val="0"/>
        <w:spacing w:line="360" w:lineRule="auto"/>
        <w:outlineLvl w:val="9"/>
        <w:rPr>
          <w:rFonts w:eastAsia="仿宋_GB2312"/>
          <w:b/>
          <w:bCs/>
          <w:sz w:val="32"/>
          <w:szCs w:val="32"/>
          <w:lang w:val="zh-CN"/>
        </w:rPr>
      </w:pPr>
    </w:p>
    <w:p w14:paraId="51F6D69A">
      <w:pPr>
        <w:autoSpaceDE w:val="0"/>
        <w:autoSpaceDN w:val="0"/>
        <w:adjustRightInd w:val="0"/>
        <w:snapToGrid w:val="0"/>
        <w:spacing w:line="360" w:lineRule="auto"/>
        <w:outlineLvl w:val="9"/>
        <w:rPr>
          <w:rFonts w:eastAsia="仿宋_GB2312"/>
          <w:b/>
          <w:bCs/>
          <w:sz w:val="32"/>
          <w:szCs w:val="32"/>
          <w:lang w:val="zh-CN"/>
        </w:rPr>
      </w:pPr>
    </w:p>
    <w:p w14:paraId="57A3AC80">
      <w:pPr>
        <w:autoSpaceDE w:val="0"/>
        <w:autoSpaceDN w:val="0"/>
        <w:adjustRightInd w:val="0"/>
        <w:snapToGrid w:val="0"/>
        <w:spacing w:line="360" w:lineRule="auto"/>
        <w:outlineLvl w:val="9"/>
        <w:rPr>
          <w:rFonts w:eastAsia="仿宋_GB2312"/>
          <w:b/>
          <w:bCs/>
          <w:sz w:val="32"/>
          <w:szCs w:val="32"/>
          <w:lang w:val="zh-CN"/>
        </w:rPr>
      </w:pPr>
    </w:p>
    <w:p w14:paraId="17879670">
      <w:pPr>
        <w:autoSpaceDE w:val="0"/>
        <w:autoSpaceDN w:val="0"/>
        <w:adjustRightInd w:val="0"/>
        <w:snapToGrid w:val="0"/>
        <w:spacing w:line="360" w:lineRule="auto"/>
        <w:outlineLvl w:val="9"/>
        <w:rPr>
          <w:rFonts w:eastAsia="仿宋_GB2312"/>
          <w:b/>
          <w:bCs/>
          <w:sz w:val="32"/>
          <w:szCs w:val="32"/>
          <w:lang w:val="zh-CN"/>
        </w:rPr>
      </w:pPr>
    </w:p>
    <w:p w14:paraId="6D7A9E3C">
      <w:pPr>
        <w:autoSpaceDE w:val="0"/>
        <w:autoSpaceDN w:val="0"/>
        <w:adjustRightInd w:val="0"/>
        <w:snapToGrid w:val="0"/>
        <w:spacing w:line="360" w:lineRule="auto"/>
        <w:outlineLvl w:val="9"/>
        <w:rPr>
          <w:rFonts w:eastAsia="仿宋_GB2312"/>
          <w:sz w:val="30"/>
          <w:szCs w:val="30"/>
        </w:rPr>
      </w:pPr>
    </w:p>
    <w:p w14:paraId="2F1C9962">
      <w:pPr>
        <w:autoSpaceDE w:val="0"/>
        <w:autoSpaceDN w:val="0"/>
        <w:adjustRightInd w:val="0"/>
        <w:snapToGrid w:val="0"/>
        <w:spacing w:line="360" w:lineRule="auto"/>
        <w:ind w:firstLine="2570" w:firstLineChars="800"/>
        <w:outlineLvl w:val="9"/>
        <w:rPr>
          <w:rFonts w:eastAsia="仿宋_GB2312"/>
          <w:b/>
          <w:bCs/>
          <w:sz w:val="32"/>
          <w:szCs w:val="32"/>
          <w:u w:val="single"/>
        </w:rPr>
      </w:pPr>
      <w:r>
        <w:rPr>
          <w:rFonts w:eastAsia="仿宋_GB2312"/>
          <w:b/>
          <w:bCs/>
          <w:sz w:val="32"/>
          <w:szCs w:val="32"/>
          <w:lang w:val="zh-CN"/>
        </w:rPr>
        <w:t>供应商：</w:t>
      </w:r>
      <w:r>
        <w:rPr>
          <w:rFonts w:eastAsia="仿宋_GB2312"/>
          <w:b/>
          <w:bCs/>
          <w:sz w:val="32"/>
          <w:szCs w:val="32"/>
          <w:u w:val="single"/>
        </w:rPr>
        <w:t xml:space="preserve">                   </w:t>
      </w:r>
    </w:p>
    <w:p w14:paraId="2B61DEF9">
      <w:pPr>
        <w:autoSpaceDE w:val="0"/>
        <w:autoSpaceDN w:val="0"/>
        <w:adjustRightInd w:val="0"/>
        <w:snapToGrid w:val="0"/>
        <w:spacing w:line="360" w:lineRule="auto"/>
        <w:outlineLvl w:val="9"/>
        <w:rPr>
          <w:rFonts w:eastAsia="仿宋_GB2312"/>
          <w:b/>
          <w:bCs/>
          <w:sz w:val="32"/>
          <w:szCs w:val="32"/>
        </w:rPr>
      </w:pPr>
    </w:p>
    <w:p w14:paraId="32FEFDC4">
      <w:pPr>
        <w:autoSpaceDE w:val="0"/>
        <w:autoSpaceDN w:val="0"/>
        <w:adjustRightInd w:val="0"/>
        <w:snapToGrid w:val="0"/>
        <w:spacing w:line="360" w:lineRule="auto"/>
        <w:ind w:firstLine="2570" w:firstLineChars="800"/>
        <w:outlineLvl w:val="9"/>
        <w:rPr>
          <w:rFonts w:eastAsia="仿宋_GB2312"/>
          <w:b/>
          <w:bCs/>
          <w:sz w:val="32"/>
          <w:szCs w:val="32"/>
          <w:u w:val="single"/>
        </w:rPr>
      </w:pPr>
      <w:r>
        <w:rPr>
          <w:rFonts w:eastAsia="仿宋_GB2312"/>
          <w:b/>
          <w:bCs/>
          <w:sz w:val="32"/>
          <w:szCs w:val="32"/>
          <w:lang w:val="zh-CN"/>
        </w:rPr>
        <w:t>时</w:t>
      </w:r>
      <w:r>
        <w:rPr>
          <w:rFonts w:eastAsia="仿宋_GB2312"/>
          <w:b/>
          <w:bCs/>
          <w:sz w:val="32"/>
          <w:szCs w:val="32"/>
        </w:rPr>
        <w:t xml:space="preserve">  </w:t>
      </w:r>
      <w:r>
        <w:rPr>
          <w:rFonts w:eastAsia="仿宋_GB2312"/>
          <w:b/>
          <w:bCs/>
          <w:sz w:val="32"/>
          <w:szCs w:val="32"/>
          <w:lang w:val="zh-CN"/>
        </w:rPr>
        <w:t>间：</w:t>
      </w:r>
      <w:r>
        <w:rPr>
          <w:rFonts w:eastAsia="仿宋_GB2312"/>
          <w:b/>
          <w:bCs/>
          <w:sz w:val="32"/>
          <w:szCs w:val="32"/>
          <w:u w:val="single"/>
        </w:rPr>
        <w:t xml:space="preserve">                   </w:t>
      </w:r>
    </w:p>
    <w:p w14:paraId="443E2E2B">
      <w:pPr>
        <w:rPr>
          <w:rFonts w:ascii="Times New Roman" w:hAnsi="Times New Roman" w:eastAsia="仿宋_GB2312"/>
        </w:rPr>
      </w:pPr>
      <w:r>
        <w:rPr>
          <w:rFonts w:ascii="Times New Roman" w:hAnsi="Times New Roman" w:eastAsia="仿宋_GB2312"/>
        </w:rPr>
        <w:br w:type="page"/>
      </w:r>
    </w:p>
    <w:p w14:paraId="25B534E7">
      <w:pPr>
        <w:pStyle w:val="22"/>
        <w:spacing w:line="480" w:lineRule="auto"/>
        <w:ind w:firstLine="883" w:firstLineChars="200"/>
        <w:jc w:val="center"/>
        <w:rPr>
          <w:rFonts w:hint="eastAsia" w:ascii="Times New Roman" w:hAnsi="Times New Roman" w:eastAsia="仿宋_GB2312"/>
          <w:b/>
          <w:bCs/>
          <w:sz w:val="44"/>
          <w:szCs w:val="44"/>
          <w:lang w:val="en-US" w:eastAsia="zh-CN"/>
        </w:rPr>
      </w:pPr>
      <w:r>
        <w:rPr>
          <w:rFonts w:hint="eastAsia" w:ascii="Times New Roman" w:hAnsi="Times New Roman" w:eastAsia="仿宋_GB2312"/>
          <w:b/>
          <w:bCs/>
          <w:sz w:val="44"/>
          <w:szCs w:val="44"/>
          <w:lang w:val="en-US" w:eastAsia="zh-CN"/>
        </w:rPr>
        <w:t>目  录</w:t>
      </w:r>
    </w:p>
    <w:p w14:paraId="43137CE3">
      <w:pPr>
        <w:pStyle w:val="22"/>
        <w:spacing w:line="480" w:lineRule="auto"/>
        <w:ind w:firstLine="480" w:firstLineChars="200"/>
        <w:rPr>
          <w:rFonts w:ascii="Times New Roman" w:hAnsi="Times New Roman" w:eastAsia="仿宋_GB2312"/>
          <w:sz w:val="24"/>
        </w:rPr>
      </w:pPr>
    </w:p>
    <w:p w14:paraId="0CD5B7D3">
      <w:pPr>
        <w:pStyle w:val="22"/>
        <w:spacing w:line="480" w:lineRule="auto"/>
        <w:ind w:firstLine="562" w:firstLineChars="200"/>
        <w:rPr>
          <w:rFonts w:hint="eastAsia" w:ascii="Times New Roman" w:hAnsi="Times New Roman" w:eastAsia="仿宋_GB2312"/>
          <w:b/>
          <w:bCs/>
          <w:sz w:val="28"/>
          <w:szCs w:val="28"/>
          <w:lang w:eastAsia="zh-CN"/>
        </w:rPr>
      </w:pPr>
      <w:r>
        <w:rPr>
          <w:rFonts w:ascii="Times New Roman" w:hAnsi="Times New Roman" w:eastAsia="仿宋_GB2312"/>
          <w:b/>
          <w:bCs/>
          <w:sz w:val="28"/>
          <w:szCs w:val="28"/>
        </w:rPr>
        <w:t>资格</w:t>
      </w:r>
      <w:r>
        <w:rPr>
          <w:rFonts w:hint="eastAsia" w:ascii="Times New Roman" w:hAnsi="Times New Roman" w:eastAsia="仿宋_GB2312"/>
          <w:b/>
          <w:bCs/>
          <w:sz w:val="28"/>
          <w:szCs w:val="28"/>
          <w:lang w:val="en-US" w:eastAsia="zh-CN"/>
        </w:rPr>
        <w:t>部分</w:t>
      </w:r>
      <w:r>
        <w:rPr>
          <w:rFonts w:hint="eastAsia" w:ascii="Times New Roman" w:hAnsi="Times New Roman" w:eastAsia="仿宋_GB2312"/>
          <w:b/>
          <w:bCs/>
          <w:sz w:val="28"/>
          <w:szCs w:val="28"/>
          <w:lang w:eastAsia="zh-CN"/>
        </w:rPr>
        <w:t>：</w:t>
      </w:r>
    </w:p>
    <w:p w14:paraId="38B0A294">
      <w:pPr>
        <w:pStyle w:val="22"/>
        <w:spacing w:line="480" w:lineRule="auto"/>
        <w:ind w:firstLine="480" w:firstLineChars="200"/>
        <w:rPr>
          <w:rFonts w:ascii="Times New Roman" w:hAnsi="Times New Roman" w:eastAsia="仿宋_GB2312"/>
          <w:sz w:val="24"/>
        </w:rPr>
      </w:pPr>
      <w:r>
        <w:rPr>
          <w:rFonts w:ascii="Times New Roman" w:hAnsi="Times New Roman" w:eastAsia="仿宋_GB2312"/>
          <w:sz w:val="24"/>
          <w:lang w:val="zh-CN"/>
        </w:rPr>
        <w:t>一、</w:t>
      </w:r>
      <w:r>
        <w:rPr>
          <w:rFonts w:ascii="Times New Roman" w:hAnsi="Times New Roman" w:eastAsia="仿宋_GB2312"/>
          <w:sz w:val="24"/>
        </w:rPr>
        <w:t>资格证明文件</w:t>
      </w:r>
    </w:p>
    <w:p w14:paraId="27F44297">
      <w:pPr>
        <w:pStyle w:val="22"/>
        <w:spacing w:line="480" w:lineRule="auto"/>
        <w:ind w:firstLine="562" w:firstLineChars="200"/>
        <w:rPr>
          <w:rFonts w:ascii="Times New Roman" w:hAnsi="Times New Roman" w:eastAsia="仿宋_GB2312"/>
          <w:b/>
          <w:bCs/>
          <w:sz w:val="28"/>
          <w:szCs w:val="28"/>
        </w:rPr>
      </w:pPr>
      <w:r>
        <w:rPr>
          <w:rFonts w:hint="eastAsia" w:ascii="Times New Roman" w:hAnsi="Times New Roman" w:eastAsia="仿宋_GB2312"/>
          <w:b/>
          <w:bCs/>
          <w:sz w:val="28"/>
          <w:szCs w:val="28"/>
        </w:rPr>
        <w:t>商务及技术部分：</w:t>
      </w:r>
    </w:p>
    <w:p w14:paraId="6066A56E">
      <w:pPr>
        <w:pStyle w:val="22"/>
        <w:spacing w:line="480" w:lineRule="auto"/>
        <w:ind w:firstLine="480" w:firstLineChars="200"/>
        <w:rPr>
          <w:rFonts w:ascii="Times New Roman" w:hAnsi="Times New Roman" w:eastAsia="仿宋_GB2312"/>
          <w:sz w:val="24"/>
        </w:rPr>
      </w:pPr>
      <w:r>
        <w:rPr>
          <w:rFonts w:ascii="Times New Roman" w:hAnsi="Times New Roman" w:eastAsia="仿宋_GB2312"/>
          <w:sz w:val="24"/>
        </w:rPr>
        <w:t>第一部分  谈判响应函</w:t>
      </w:r>
    </w:p>
    <w:p w14:paraId="7196680E">
      <w:pPr>
        <w:pStyle w:val="22"/>
        <w:spacing w:line="480" w:lineRule="auto"/>
        <w:ind w:firstLine="480" w:firstLineChars="200"/>
        <w:rPr>
          <w:rFonts w:hint="default" w:ascii="Times New Roman" w:hAnsi="Times New Roman" w:eastAsia="仿宋_GB2312"/>
          <w:sz w:val="24"/>
          <w:lang w:val="en-US" w:eastAsia="zh-CN"/>
        </w:rPr>
      </w:pPr>
      <w:r>
        <w:rPr>
          <w:rFonts w:hint="eastAsia" w:ascii="Times New Roman" w:hAnsi="Times New Roman" w:eastAsia="仿宋_GB2312"/>
          <w:sz w:val="24"/>
          <w:lang w:val="en-US" w:eastAsia="zh-CN"/>
        </w:rPr>
        <w:t>第二部分  身份证明文件</w:t>
      </w:r>
    </w:p>
    <w:p w14:paraId="4E4D80B7">
      <w:pPr>
        <w:pStyle w:val="22"/>
        <w:spacing w:line="480" w:lineRule="auto"/>
        <w:ind w:firstLine="480" w:firstLineChars="200"/>
        <w:rPr>
          <w:rFonts w:ascii="Times New Roman" w:hAnsi="Times New Roman" w:eastAsia="仿宋_GB2312"/>
          <w:sz w:val="24"/>
        </w:rPr>
      </w:pPr>
      <w:r>
        <w:rPr>
          <w:rFonts w:ascii="Times New Roman" w:hAnsi="Times New Roman" w:eastAsia="仿宋_GB2312"/>
          <w:sz w:val="24"/>
        </w:rPr>
        <w:t>第</w:t>
      </w:r>
      <w:r>
        <w:rPr>
          <w:rFonts w:hint="eastAsia" w:ascii="Times New Roman" w:hAnsi="Times New Roman" w:eastAsia="仿宋_GB2312"/>
          <w:sz w:val="24"/>
          <w:lang w:val="en-US" w:eastAsia="zh-CN"/>
        </w:rPr>
        <w:t>三</w:t>
      </w:r>
      <w:r>
        <w:rPr>
          <w:rFonts w:ascii="Times New Roman" w:hAnsi="Times New Roman" w:eastAsia="仿宋_GB2312"/>
          <w:sz w:val="24"/>
        </w:rPr>
        <w:t xml:space="preserve">部分  谈判响应报价表 </w:t>
      </w:r>
    </w:p>
    <w:p w14:paraId="51959EAF">
      <w:pPr>
        <w:pStyle w:val="22"/>
        <w:spacing w:line="480" w:lineRule="auto"/>
        <w:ind w:firstLine="480" w:firstLineChars="200"/>
        <w:rPr>
          <w:rFonts w:ascii="Times New Roman" w:hAnsi="Times New Roman" w:eastAsia="仿宋_GB2312"/>
          <w:sz w:val="24"/>
        </w:rPr>
      </w:pPr>
      <w:r>
        <w:rPr>
          <w:rFonts w:ascii="Times New Roman" w:hAnsi="Times New Roman" w:eastAsia="仿宋_GB2312"/>
          <w:sz w:val="24"/>
        </w:rPr>
        <w:t>第</w:t>
      </w:r>
      <w:r>
        <w:rPr>
          <w:rFonts w:hint="eastAsia" w:ascii="Times New Roman" w:hAnsi="Times New Roman" w:eastAsia="仿宋_GB2312"/>
          <w:sz w:val="24"/>
          <w:lang w:val="en-US" w:eastAsia="zh-CN"/>
        </w:rPr>
        <w:t>四</w:t>
      </w:r>
      <w:r>
        <w:rPr>
          <w:rFonts w:ascii="Times New Roman" w:hAnsi="Times New Roman" w:eastAsia="仿宋_GB2312"/>
          <w:sz w:val="24"/>
        </w:rPr>
        <w:t>部分  偏离表</w:t>
      </w:r>
    </w:p>
    <w:p w14:paraId="07BBDAC1">
      <w:pPr>
        <w:pStyle w:val="22"/>
        <w:spacing w:line="480" w:lineRule="auto"/>
        <w:ind w:firstLine="480" w:firstLineChars="200"/>
        <w:rPr>
          <w:rFonts w:ascii="Times New Roman" w:hAnsi="Times New Roman" w:eastAsia="仿宋_GB2312"/>
          <w:sz w:val="24"/>
        </w:rPr>
      </w:pPr>
      <w:r>
        <w:rPr>
          <w:rFonts w:ascii="Times New Roman" w:hAnsi="Times New Roman" w:eastAsia="仿宋_GB2312"/>
          <w:sz w:val="24"/>
        </w:rPr>
        <w:t>第</w:t>
      </w:r>
      <w:r>
        <w:rPr>
          <w:rFonts w:hint="eastAsia" w:ascii="Times New Roman" w:hAnsi="Times New Roman" w:eastAsia="仿宋_GB2312"/>
          <w:sz w:val="24"/>
          <w:lang w:val="en-US" w:eastAsia="zh-CN"/>
        </w:rPr>
        <w:t>五</w:t>
      </w:r>
      <w:r>
        <w:rPr>
          <w:rFonts w:ascii="Times New Roman" w:hAnsi="Times New Roman" w:eastAsia="仿宋_GB2312"/>
          <w:sz w:val="24"/>
        </w:rPr>
        <w:t>部分  响应方案说明</w:t>
      </w:r>
    </w:p>
    <w:p w14:paraId="30224006">
      <w:pPr>
        <w:pStyle w:val="22"/>
        <w:spacing w:line="480" w:lineRule="auto"/>
        <w:ind w:firstLine="480" w:firstLineChars="200"/>
        <w:rPr>
          <w:rFonts w:ascii="Times New Roman" w:hAnsi="Times New Roman" w:eastAsia="仿宋_GB2312"/>
          <w:sz w:val="24"/>
        </w:rPr>
      </w:pPr>
      <w:r>
        <w:rPr>
          <w:rFonts w:ascii="Times New Roman" w:hAnsi="Times New Roman" w:eastAsia="仿宋_GB2312"/>
          <w:sz w:val="24"/>
        </w:rPr>
        <w:t>第</w:t>
      </w:r>
      <w:r>
        <w:rPr>
          <w:rFonts w:hint="eastAsia" w:ascii="Times New Roman" w:hAnsi="Times New Roman" w:eastAsia="仿宋_GB2312"/>
          <w:sz w:val="24"/>
          <w:lang w:val="en-US" w:eastAsia="zh-CN"/>
        </w:rPr>
        <w:t>六</w:t>
      </w:r>
      <w:r>
        <w:rPr>
          <w:rFonts w:ascii="Times New Roman" w:hAnsi="Times New Roman" w:eastAsia="仿宋_GB2312"/>
          <w:sz w:val="24"/>
        </w:rPr>
        <w:t xml:space="preserve">部分  </w:t>
      </w:r>
      <w:r>
        <w:rPr>
          <w:rFonts w:hint="eastAsia" w:ascii="Times New Roman" w:hAnsi="Times New Roman" w:eastAsia="仿宋_GB2312"/>
          <w:sz w:val="24"/>
          <w:lang w:val="en-US" w:eastAsia="zh-CN"/>
        </w:rPr>
        <w:t>中小</w:t>
      </w:r>
      <w:r>
        <w:rPr>
          <w:rFonts w:ascii="Times New Roman" w:hAnsi="Times New Roman" w:eastAsia="仿宋_GB2312"/>
          <w:sz w:val="24"/>
        </w:rPr>
        <w:t>企业、监狱企业、残疾人福利单位声明函或证明</w:t>
      </w:r>
    </w:p>
    <w:p w14:paraId="776F971F">
      <w:pPr>
        <w:pStyle w:val="22"/>
        <w:outlineLvl w:val="9"/>
        <w:rPr>
          <w:rFonts w:ascii="Times New Roman" w:hAnsi="Times New Roman" w:eastAsia="仿宋_GB2312"/>
        </w:rPr>
      </w:pPr>
    </w:p>
    <w:p w14:paraId="5B80825F">
      <w:pPr>
        <w:pStyle w:val="22"/>
        <w:outlineLvl w:val="9"/>
        <w:rPr>
          <w:rFonts w:ascii="Times New Roman" w:hAnsi="Times New Roman" w:eastAsia="仿宋_GB2312"/>
        </w:rPr>
      </w:pPr>
    </w:p>
    <w:p w14:paraId="28773CE9">
      <w:pPr>
        <w:pStyle w:val="22"/>
        <w:outlineLvl w:val="9"/>
        <w:rPr>
          <w:rFonts w:ascii="Times New Roman" w:hAnsi="Times New Roman" w:eastAsia="仿宋_GB2312"/>
        </w:rPr>
      </w:pPr>
      <w:r>
        <w:rPr>
          <w:rFonts w:ascii="Times New Roman" w:hAnsi="Times New Roman" w:eastAsia="仿宋_GB2312"/>
        </w:rPr>
        <w:br w:type="page"/>
      </w:r>
    </w:p>
    <w:p w14:paraId="0D928F19">
      <w:pPr>
        <w:spacing w:before="260" w:after="260" w:line="416" w:lineRule="atLeast"/>
        <w:jc w:val="both"/>
        <w:outlineLvl w:val="0"/>
        <w:rPr>
          <w:rFonts w:eastAsia="仿宋_GB2312"/>
          <w:b/>
          <w:bCs/>
          <w:sz w:val="32"/>
          <w:szCs w:val="32"/>
        </w:rPr>
      </w:pPr>
      <w:bookmarkStart w:id="450" w:name="_Toc30819"/>
      <w:r>
        <w:rPr>
          <w:rFonts w:eastAsia="仿宋_GB2312"/>
          <w:b/>
          <w:bCs/>
          <w:sz w:val="32"/>
          <w:szCs w:val="32"/>
          <w:lang w:val="zh-CN"/>
        </w:rPr>
        <w:t>资格部分</w:t>
      </w:r>
      <w:r>
        <w:rPr>
          <w:rFonts w:hint="eastAsia" w:eastAsia="仿宋_GB2312"/>
          <w:b/>
          <w:bCs/>
          <w:sz w:val="32"/>
          <w:szCs w:val="32"/>
          <w:lang w:val="zh-CN"/>
        </w:rPr>
        <w:t>：</w:t>
      </w:r>
      <w:bookmarkEnd w:id="450"/>
    </w:p>
    <w:p w14:paraId="25A507DF">
      <w:pPr>
        <w:pStyle w:val="3"/>
        <w:jc w:val="center"/>
        <w:rPr>
          <w:rFonts w:ascii="Times New Roman" w:hAnsi="Times New Roman" w:eastAsia="仿宋_GB2312"/>
          <w:b/>
          <w:bCs/>
        </w:rPr>
      </w:pPr>
      <w:bookmarkStart w:id="451" w:name="_Toc13205"/>
      <w:r>
        <w:rPr>
          <w:rFonts w:hint="eastAsia" w:ascii="Times New Roman" w:hAnsi="Times New Roman" w:eastAsia="仿宋_GB2312"/>
          <w:b/>
          <w:bCs/>
          <w:lang w:val="en-US" w:eastAsia="zh-CN"/>
        </w:rPr>
        <w:t>一</w:t>
      </w:r>
      <w:r>
        <w:rPr>
          <w:rFonts w:ascii="Times New Roman" w:hAnsi="Times New Roman" w:eastAsia="仿宋_GB2312"/>
          <w:b/>
          <w:bCs/>
        </w:rPr>
        <w:t>、资格证明文件</w:t>
      </w:r>
      <w:bookmarkEnd w:id="451"/>
    </w:p>
    <w:p w14:paraId="23E7A8F7">
      <w:pPr>
        <w:pStyle w:val="22"/>
        <w:rPr>
          <w:rFonts w:ascii="Times New Roman" w:hAnsi="Times New Roman" w:eastAsia="仿宋_GB2312"/>
        </w:rPr>
      </w:pPr>
    </w:p>
    <w:p w14:paraId="31937E3C">
      <w:pPr>
        <w:keepNext w:val="0"/>
        <w:keepLines w:val="0"/>
        <w:pageBreakBefore w:val="0"/>
        <w:widowControl w:val="0"/>
        <w:numPr>
          <w:ilvl w:val="0"/>
          <w:numId w:val="0"/>
        </w:numPr>
        <w:tabs>
          <w:tab w:val="left" w:pos="993"/>
          <w:tab w:val="left" w:pos="1030"/>
          <w:tab w:val="left" w:pos="8364"/>
        </w:tabs>
        <w:kinsoku/>
        <w:wordWrap/>
        <w:overflowPunct/>
        <w:topLinePunct w:val="0"/>
        <w:autoSpaceDE/>
        <w:autoSpaceDN/>
        <w:bidi w:val="0"/>
        <w:snapToGrid w:val="0"/>
        <w:spacing w:line="360" w:lineRule="auto"/>
        <w:ind w:left="0" w:leftChars="0" w:right="0" w:rightChars="0" w:firstLine="480" w:firstLineChars="200"/>
        <w:jc w:val="left"/>
        <w:rPr>
          <w:rFonts w:eastAsia="仿宋_GB2312"/>
          <w:sz w:val="24"/>
        </w:rPr>
      </w:pPr>
      <w:r>
        <w:rPr>
          <w:rFonts w:hint="eastAsia" w:eastAsia="仿宋_GB2312"/>
          <w:sz w:val="24"/>
          <w:lang w:val="en-US" w:eastAsia="zh-CN"/>
        </w:rPr>
        <w:t xml:space="preserve">1. </w:t>
      </w:r>
      <w:r>
        <w:rPr>
          <w:rFonts w:eastAsia="仿宋_GB2312"/>
          <w:sz w:val="24"/>
        </w:rPr>
        <w:t>供应商的企业法人营业执照副本复印件（格式要求见附件6-1）；</w:t>
      </w:r>
    </w:p>
    <w:p w14:paraId="01E6CB24">
      <w:pPr>
        <w:keepNext w:val="0"/>
        <w:keepLines w:val="0"/>
        <w:pageBreakBefore w:val="0"/>
        <w:widowControl w:val="0"/>
        <w:numPr>
          <w:ilvl w:val="0"/>
          <w:numId w:val="0"/>
        </w:numPr>
        <w:tabs>
          <w:tab w:val="left" w:pos="993"/>
          <w:tab w:val="left" w:pos="1030"/>
          <w:tab w:val="left" w:pos="8364"/>
        </w:tabs>
        <w:kinsoku/>
        <w:wordWrap/>
        <w:overflowPunct/>
        <w:topLinePunct w:val="0"/>
        <w:autoSpaceDE/>
        <w:autoSpaceDN/>
        <w:bidi w:val="0"/>
        <w:snapToGrid w:val="0"/>
        <w:spacing w:line="360" w:lineRule="auto"/>
        <w:ind w:left="0" w:leftChars="0" w:right="0" w:rightChars="0" w:firstLine="480" w:firstLineChars="200"/>
        <w:jc w:val="left"/>
        <w:rPr>
          <w:rFonts w:eastAsia="仿宋_GB2312"/>
          <w:sz w:val="24"/>
        </w:rPr>
      </w:pPr>
      <w:r>
        <w:rPr>
          <w:rFonts w:hint="eastAsia" w:eastAsia="仿宋_GB2312"/>
          <w:sz w:val="24"/>
          <w:lang w:val="en-US" w:eastAsia="zh-CN"/>
        </w:rPr>
        <w:t xml:space="preserve">2. </w:t>
      </w:r>
      <w:r>
        <w:rPr>
          <w:rFonts w:eastAsia="仿宋_GB2312"/>
          <w:sz w:val="24"/>
        </w:rPr>
        <w:t>供应商上一年度</w:t>
      </w:r>
      <w:r>
        <w:rPr>
          <w:rFonts w:hint="eastAsia" w:eastAsia="仿宋_GB2312"/>
          <w:sz w:val="24"/>
          <w:lang w:eastAsia="zh-CN"/>
        </w:rPr>
        <w:t>（</w:t>
      </w:r>
      <w:r>
        <w:rPr>
          <w:rFonts w:hint="eastAsia" w:eastAsia="仿宋_GB2312"/>
          <w:sz w:val="24"/>
          <w:lang w:val="en-US" w:eastAsia="zh-CN"/>
        </w:rPr>
        <w:t>2023年度或2024年度</w:t>
      </w:r>
      <w:r>
        <w:rPr>
          <w:rFonts w:hint="eastAsia" w:eastAsia="仿宋_GB2312"/>
          <w:sz w:val="24"/>
          <w:lang w:eastAsia="zh-CN"/>
        </w:rPr>
        <w:t>）</w:t>
      </w:r>
      <w:r>
        <w:rPr>
          <w:rFonts w:eastAsia="仿宋_GB2312"/>
          <w:sz w:val="24"/>
        </w:rPr>
        <w:t>经审计的</w:t>
      </w:r>
      <w:r>
        <w:rPr>
          <w:rFonts w:hint="eastAsia" w:eastAsia="仿宋_GB2312"/>
          <w:sz w:val="24"/>
          <w:lang w:eastAsia="zh-CN"/>
        </w:rPr>
        <w:t>财务审计报告</w:t>
      </w:r>
      <w:r>
        <w:rPr>
          <w:rFonts w:eastAsia="仿宋_GB2312"/>
          <w:sz w:val="24"/>
        </w:rPr>
        <w:t>复印件（包括资产负债表、现金流量表、利润表），或</w:t>
      </w:r>
      <w:r>
        <w:rPr>
          <w:rFonts w:hint="eastAsia" w:eastAsia="仿宋_GB2312"/>
          <w:sz w:val="24"/>
        </w:rPr>
        <w:t>提供谈判响应文件递交截止时间前六个月内其基本户开户银行出具的资信证明</w:t>
      </w:r>
      <w:r>
        <w:rPr>
          <w:rFonts w:eastAsia="仿宋_GB2312"/>
          <w:sz w:val="24"/>
        </w:rPr>
        <w:t>（格式要求见附件6-2）；</w:t>
      </w:r>
    </w:p>
    <w:p w14:paraId="5057D07C">
      <w:pPr>
        <w:keepNext w:val="0"/>
        <w:keepLines w:val="0"/>
        <w:pageBreakBefore w:val="0"/>
        <w:widowControl w:val="0"/>
        <w:numPr>
          <w:ilvl w:val="0"/>
          <w:numId w:val="0"/>
        </w:numPr>
        <w:tabs>
          <w:tab w:val="left" w:pos="993"/>
          <w:tab w:val="left" w:pos="1030"/>
          <w:tab w:val="left" w:pos="8364"/>
        </w:tabs>
        <w:kinsoku/>
        <w:wordWrap/>
        <w:overflowPunct/>
        <w:topLinePunct w:val="0"/>
        <w:autoSpaceDE/>
        <w:autoSpaceDN/>
        <w:bidi w:val="0"/>
        <w:snapToGrid w:val="0"/>
        <w:spacing w:line="360" w:lineRule="auto"/>
        <w:ind w:left="0" w:leftChars="0" w:right="0" w:rightChars="0" w:firstLine="480" w:firstLineChars="200"/>
        <w:jc w:val="left"/>
        <w:rPr>
          <w:rFonts w:hint="eastAsia" w:ascii="Times New Roman" w:hAnsi="Times New Roman" w:eastAsia="仿宋_GB2312"/>
          <w:sz w:val="24"/>
          <w:lang w:eastAsia="zh-CN"/>
        </w:rPr>
      </w:pPr>
      <w:r>
        <w:rPr>
          <w:rFonts w:hint="eastAsia" w:eastAsia="仿宋_GB2312"/>
          <w:sz w:val="24"/>
          <w:lang w:val="en-US" w:eastAsia="zh-CN"/>
        </w:rPr>
        <w:t xml:space="preserve">3. </w:t>
      </w:r>
      <w:r>
        <w:rPr>
          <w:rFonts w:ascii="Times New Roman" w:hAnsi="Times New Roman" w:eastAsia="仿宋_GB2312"/>
          <w:sz w:val="24"/>
        </w:rPr>
        <w:t>依法缴纳税收和社会保障资金的证明材料复印件（格式见附件6-3、6-4）</w:t>
      </w:r>
      <w:r>
        <w:rPr>
          <w:rFonts w:hint="eastAsia" w:eastAsia="仿宋_GB2312"/>
          <w:sz w:val="24"/>
          <w:lang w:eastAsia="zh-CN"/>
        </w:rPr>
        <w:t>；</w:t>
      </w:r>
    </w:p>
    <w:p w14:paraId="19EA5E97">
      <w:pPr>
        <w:keepNext w:val="0"/>
        <w:keepLines w:val="0"/>
        <w:pageBreakBefore w:val="0"/>
        <w:widowControl w:val="0"/>
        <w:numPr>
          <w:ilvl w:val="0"/>
          <w:numId w:val="0"/>
        </w:numPr>
        <w:tabs>
          <w:tab w:val="left" w:pos="993"/>
          <w:tab w:val="left" w:pos="1030"/>
          <w:tab w:val="left" w:pos="8364"/>
        </w:tabs>
        <w:kinsoku/>
        <w:wordWrap/>
        <w:overflowPunct/>
        <w:topLinePunct w:val="0"/>
        <w:autoSpaceDE/>
        <w:autoSpaceDN/>
        <w:bidi w:val="0"/>
        <w:snapToGrid w:val="0"/>
        <w:spacing w:line="360" w:lineRule="auto"/>
        <w:ind w:left="0" w:leftChars="0" w:right="0" w:rightChars="0" w:firstLine="480" w:firstLineChars="200"/>
        <w:jc w:val="left"/>
        <w:rPr>
          <w:rFonts w:eastAsia="仿宋_GB2312"/>
          <w:sz w:val="24"/>
        </w:rPr>
      </w:pPr>
      <w:r>
        <w:rPr>
          <w:rFonts w:hint="eastAsia" w:eastAsia="仿宋_GB2312"/>
          <w:sz w:val="24"/>
          <w:lang w:val="en-US" w:eastAsia="zh-CN"/>
        </w:rPr>
        <w:t xml:space="preserve">4. </w:t>
      </w:r>
      <w:r>
        <w:rPr>
          <w:rFonts w:eastAsia="仿宋_GB2312"/>
          <w:sz w:val="24"/>
        </w:rPr>
        <w:t>具备履行合同所必需的设备和专业技术能力的承诺（格式见附件6-5）；</w:t>
      </w:r>
    </w:p>
    <w:p w14:paraId="388821CF">
      <w:pPr>
        <w:keepNext w:val="0"/>
        <w:keepLines w:val="0"/>
        <w:pageBreakBefore w:val="0"/>
        <w:widowControl w:val="0"/>
        <w:numPr>
          <w:ilvl w:val="0"/>
          <w:numId w:val="0"/>
        </w:numPr>
        <w:tabs>
          <w:tab w:val="left" w:pos="993"/>
          <w:tab w:val="left" w:pos="1030"/>
          <w:tab w:val="left" w:pos="8364"/>
        </w:tabs>
        <w:kinsoku/>
        <w:wordWrap/>
        <w:overflowPunct/>
        <w:topLinePunct w:val="0"/>
        <w:autoSpaceDE/>
        <w:autoSpaceDN/>
        <w:bidi w:val="0"/>
        <w:snapToGrid w:val="0"/>
        <w:spacing w:line="360" w:lineRule="auto"/>
        <w:ind w:left="0" w:leftChars="0" w:right="0" w:rightChars="0" w:firstLine="480" w:firstLineChars="200"/>
        <w:jc w:val="left"/>
        <w:rPr>
          <w:rFonts w:hint="eastAsia" w:eastAsia="仿宋_GB2312"/>
          <w:sz w:val="24"/>
          <w:lang w:eastAsia="zh-CN"/>
        </w:rPr>
      </w:pPr>
      <w:r>
        <w:rPr>
          <w:rFonts w:hint="eastAsia" w:eastAsia="仿宋_GB2312"/>
          <w:sz w:val="24"/>
          <w:lang w:val="en-US" w:eastAsia="zh-CN"/>
        </w:rPr>
        <w:t xml:space="preserve">5. </w:t>
      </w:r>
      <w:r>
        <w:rPr>
          <w:rFonts w:eastAsia="仿宋_GB2312"/>
          <w:sz w:val="24"/>
        </w:rPr>
        <w:t>供应商参加政府采购活动前3年内在经营活动中没有重大违法记录的书面声明（格式见附件6-6）</w:t>
      </w:r>
      <w:r>
        <w:rPr>
          <w:rFonts w:hint="eastAsia" w:eastAsia="仿宋_GB2312"/>
          <w:sz w:val="24"/>
          <w:lang w:eastAsia="zh-CN"/>
        </w:rPr>
        <w:t>；</w:t>
      </w:r>
    </w:p>
    <w:p w14:paraId="46E5C4EA">
      <w:pPr>
        <w:keepNext w:val="0"/>
        <w:keepLines w:val="0"/>
        <w:pageBreakBefore w:val="0"/>
        <w:widowControl w:val="0"/>
        <w:numPr>
          <w:ilvl w:val="0"/>
          <w:numId w:val="0"/>
        </w:numPr>
        <w:tabs>
          <w:tab w:val="left" w:pos="993"/>
          <w:tab w:val="left" w:pos="1030"/>
          <w:tab w:val="left" w:pos="8364"/>
        </w:tabs>
        <w:kinsoku/>
        <w:wordWrap/>
        <w:overflowPunct/>
        <w:topLinePunct w:val="0"/>
        <w:autoSpaceDE/>
        <w:autoSpaceDN/>
        <w:bidi w:val="0"/>
        <w:snapToGrid w:val="0"/>
        <w:spacing w:line="360" w:lineRule="auto"/>
        <w:ind w:left="0" w:leftChars="0" w:right="0" w:rightChars="0" w:firstLine="480" w:firstLineChars="200"/>
        <w:jc w:val="left"/>
        <w:rPr>
          <w:rFonts w:hint="eastAsia" w:eastAsia="仿宋_GB2312"/>
          <w:sz w:val="24"/>
          <w:lang w:eastAsia="zh-CN"/>
        </w:rPr>
      </w:pPr>
      <w:r>
        <w:rPr>
          <w:rFonts w:hint="eastAsia" w:eastAsia="仿宋_GB2312"/>
          <w:sz w:val="24"/>
          <w:lang w:val="en-US" w:eastAsia="zh-CN"/>
        </w:rPr>
        <w:t xml:space="preserve">6. </w:t>
      </w:r>
      <w:r>
        <w:rPr>
          <w:rFonts w:eastAsia="仿宋_GB2312"/>
          <w:sz w:val="24"/>
        </w:rPr>
        <w:t>供应商控股股东名称、控股公司的名称和存在管理、被管理关系的单位名称说明（格式见附件6-7</w:t>
      </w:r>
      <w:r>
        <w:rPr>
          <w:rFonts w:hint="eastAsia" w:eastAsia="仿宋_GB2312"/>
          <w:sz w:val="24"/>
          <w:lang w:eastAsia="zh-CN"/>
        </w:rPr>
        <w:t>）；</w:t>
      </w:r>
    </w:p>
    <w:p w14:paraId="20CB87A2">
      <w:pPr>
        <w:keepNext w:val="0"/>
        <w:keepLines w:val="0"/>
        <w:pageBreakBefore w:val="0"/>
        <w:widowControl w:val="0"/>
        <w:numPr>
          <w:ilvl w:val="0"/>
          <w:numId w:val="0"/>
        </w:numPr>
        <w:tabs>
          <w:tab w:val="left" w:pos="993"/>
          <w:tab w:val="left" w:pos="1030"/>
          <w:tab w:val="left" w:pos="8364"/>
        </w:tabs>
        <w:kinsoku/>
        <w:wordWrap/>
        <w:overflowPunct/>
        <w:topLinePunct w:val="0"/>
        <w:autoSpaceDE/>
        <w:autoSpaceDN/>
        <w:bidi w:val="0"/>
        <w:snapToGrid w:val="0"/>
        <w:spacing w:line="360" w:lineRule="auto"/>
        <w:ind w:left="0" w:leftChars="0" w:right="0" w:rightChars="0" w:firstLine="480" w:firstLineChars="200"/>
        <w:jc w:val="left"/>
        <w:rPr>
          <w:rFonts w:hint="eastAsia" w:eastAsia="仿宋_GB2312"/>
          <w:sz w:val="24"/>
          <w:lang w:eastAsia="zh-CN"/>
        </w:rPr>
      </w:pPr>
      <w:r>
        <w:rPr>
          <w:rFonts w:hint="eastAsia" w:eastAsia="仿宋_GB2312"/>
          <w:sz w:val="24"/>
          <w:lang w:val="en-US" w:eastAsia="zh-CN"/>
        </w:rPr>
        <w:t xml:space="preserve">7. </w:t>
      </w:r>
      <w:r>
        <w:rPr>
          <w:rFonts w:eastAsia="仿宋_GB2312"/>
          <w:sz w:val="24"/>
        </w:rPr>
        <w:t>供应商是否属于为本项目提供整体设计、规范编制或者项目管理、监理、检测等服务的供应商声明（格式见附件6-8</w:t>
      </w:r>
      <w:r>
        <w:rPr>
          <w:rFonts w:hint="eastAsia" w:eastAsia="仿宋_GB2312"/>
          <w:sz w:val="24"/>
          <w:lang w:eastAsia="zh-CN"/>
        </w:rPr>
        <w:t>）；</w:t>
      </w:r>
    </w:p>
    <w:p w14:paraId="16798517">
      <w:pPr>
        <w:keepNext w:val="0"/>
        <w:keepLines w:val="0"/>
        <w:pageBreakBefore w:val="0"/>
        <w:widowControl w:val="0"/>
        <w:numPr>
          <w:ilvl w:val="0"/>
          <w:numId w:val="0"/>
        </w:numPr>
        <w:tabs>
          <w:tab w:val="left" w:pos="993"/>
          <w:tab w:val="left" w:pos="1030"/>
          <w:tab w:val="left" w:pos="8364"/>
        </w:tabs>
        <w:kinsoku/>
        <w:wordWrap/>
        <w:overflowPunct/>
        <w:topLinePunct w:val="0"/>
        <w:autoSpaceDE/>
        <w:autoSpaceDN/>
        <w:bidi w:val="0"/>
        <w:snapToGrid w:val="0"/>
        <w:spacing w:line="360" w:lineRule="auto"/>
        <w:ind w:left="0" w:leftChars="0" w:right="0" w:rightChars="0" w:firstLine="480" w:firstLineChars="200"/>
        <w:jc w:val="left"/>
        <w:rPr>
          <w:rFonts w:hint="eastAsia" w:eastAsia="仿宋_GB2312"/>
          <w:sz w:val="24"/>
          <w:lang w:eastAsia="zh-CN"/>
        </w:rPr>
      </w:pPr>
      <w:r>
        <w:rPr>
          <w:rFonts w:hint="eastAsia" w:eastAsia="仿宋_GB2312"/>
          <w:sz w:val="24"/>
          <w:lang w:val="en-US" w:eastAsia="zh-CN"/>
        </w:rPr>
        <w:t xml:space="preserve">8. </w:t>
      </w:r>
      <w:r>
        <w:rPr>
          <w:rFonts w:eastAsia="仿宋_GB2312"/>
          <w:sz w:val="24"/>
        </w:rPr>
        <w:t>证明供应商符合特定资格条件的证明材料（格式见附件6-9</w:t>
      </w:r>
      <w:r>
        <w:rPr>
          <w:rFonts w:hint="eastAsia" w:eastAsia="仿宋_GB2312"/>
          <w:sz w:val="24"/>
          <w:lang w:eastAsia="zh-CN"/>
        </w:rPr>
        <w:t>）。</w:t>
      </w:r>
    </w:p>
    <w:p w14:paraId="1A1F715B">
      <w:pPr>
        <w:keepNext w:val="0"/>
        <w:keepLines w:val="0"/>
        <w:pageBreakBefore w:val="0"/>
        <w:widowControl w:val="0"/>
        <w:numPr>
          <w:ilvl w:val="0"/>
          <w:numId w:val="0"/>
        </w:numPr>
        <w:tabs>
          <w:tab w:val="left" w:pos="993"/>
          <w:tab w:val="left" w:pos="1030"/>
          <w:tab w:val="left" w:pos="8364"/>
        </w:tabs>
        <w:kinsoku/>
        <w:wordWrap/>
        <w:overflowPunct/>
        <w:topLinePunct w:val="0"/>
        <w:autoSpaceDE/>
        <w:autoSpaceDN/>
        <w:bidi w:val="0"/>
        <w:snapToGrid w:val="0"/>
        <w:spacing w:line="360" w:lineRule="auto"/>
        <w:ind w:left="0" w:leftChars="0" w:right="0" w:rightChars="0" w:firstLine="480" w:firstLineChars="200"/>
        <w:jc w:val="left"/>
        <w:rPr>
          <w:rFonts w:hint="default" w:eastAsia="仿宋_GB2312"/>
          <w:sz w:val="24"/>
          <w:lang w:val="en-US" w:eastAsia="zh-CN"/>
        </w:rPr>
      </w:pPr>
      <w:r>
        <w:rPr>
          <w:rFonts w:hint="eastAsia" w:eastAsia="仿宋_GB2312"/>
          <w:sz w:val="24"/>
          <w:lang w:val="en-US" w:eastAsia="zh-CN"/>
        </w:rPr>
        <w:t>9.供应商在递交响应文件截止时间前被“信用中国”网站（www.creditchina.gov.cn）和中国政府采购网（www.ccgp.gov.cn）上被列入失信被执行人、重大税收违法失信主体、政府采购严重违法失信行为记录名单的，不得参加投标（6-10）</w:t>
      </w:r>
    </w:p>
    <w:p w14:paraId="0E9DC7FC">
      <w:pPr>
        <w:pStyle w:val="22"/>
        <w:rPr>
          <w:rFonts w:ascii="Times New Roman" w:hAnsi="Times New Roman" w:eastAsia="仿宋_GB2312"/>
          <w:sz w:val="24"/>
        </w:rPr>
      </w:pPr>
      <w:r>
        <w:rPr>
          <w:rFonts w:ascii="Times New Roman" w:hAnsi="Times New Roman" w:eastAsia="仿宋_GB2312"/>
        </w:rPr>
        <w:br w:type="page"/>
      </w:r>
    </w:p>
    <w:p w14:paraId="53184C02">
      <w:pPr>
        <w:jc w:val="left"/>
        <w:outlineLvl w:val="2"/>
        <w:rPr>
          <w:rFonts w:eastAsia="仿宋_GB2312"/>
          <w:b/>
          <w:sz w:val="24"/>
        </w:rPr>
      </w:pPr>
      <w:bookmarkStart w:id="452" w:name="_Toc7005120"/>
      <w:r>
        <w:rPr>
          <w:rFonts w:eastAsia="仿宋_GB2312"/>
          <w:b/>
          <w:sz w:val="24"/>
        </w:rPr>
        <w:t>6-1</w:t>
      </w:r>
      <w:r>
        <w:rPr>
          <w:rFonts w:hint="eastAsia" w:eastAsia="仿宋_GB2312"/>
          <w:b/>
          <w:sz w:val="24"/>
          <w:lang w:val="en-US" w:eastAsia="zh-CN"/>
        </w:rPr>
        <w:t xml:space="preserve">  </w:t>
      </w:r>
      <w:r>
        <w:rPr>
          <w:rFonts w:eastAsia="仿宋_GB2312"/>
          <w:b/>
          <w:sz w:val="24"/>
        </w:rPr>
        <w:t>供应商的企业法人营业执照副本复印件（加盖公章）</w:t>
      </w:r>
      <w:bookmarkEnd w:id="452"/>
    </w:p>
    <w:p w14:paraId="35CD28D1">
      <w:pPr>
        <w:jc w:val="left"/>
        <w:rPr>
          <w:rFonts w:eastAsia="仿宋_GB2312"/>
          <w:sz w:val="24"/>
        </w:rPr>
      </w:pPr>
    </w:p>
    <w:p w14:paraId="4BD0BAB7">
      <w:pPr>
        <w:tabs>
          <w:tab w:val="left" w:pos="993"/>
          <w:tab w:val="left" w:pos="1030"/>
          <w:tab w:val="left" w:pos="8364"/>
        </w:tabs>
        <w:snapToGrid w:val="0"/>
        <w:spacing w:after="120" w:afterLines="50"/>
        <w:ind w:right="-57" w:rightChars="-27"/>
        <w:rPr>
          <w:rFonts w:eastAsia="仿宋_GB2312"/>
          <w:sz w:val="24"/>
        </w:rPr>
      </w:pPr>
      <w:r>
        <w:rPr>
          <w:rFonts w:eastAsia="仿宋_GB2312"/>
          <w:sz w:val="24"/>
        </w:rPr>
        <w:t>（注：根据项目实际情况，本项内容可能要求提供“事业单位法人证书”、执业许可证、自然人身份证明等证明材料）</w:t>
      </w:r>
    </w:p>
    <w:p w14:paraId="745260F4">
      <w:pPr>
        <w:adjustRightInd w:val="0"/>
        <w:spacing w:line="360" w:lineRule="atLeast"/>
        <w:jc w:val="left"/>
        <w:textAlignment w:val="baseline"/>
        <w:rPr>
          <w:rFonts w:eastAsia="仿宋_GB2312"/>
          <w:b/>
          <w:sz w:val="28"/>
        </w:rPr>
      </w:pPr>
    </w:p>
    <w:p w14:paraId="7B1D97B4">
      <w:pPr>
        <w:jc w:val="left"/>
        <w:outlineLvl w:val="2"/>
        <w:rPr>
          <w:rFonts w:hint="eastAsia" w:eastAsia="仿宋_GB2312"/>
          <w:b/>
          <w:sz w:val="24"/>
          <w:lang w:eastAsia="zh-CN"/>
        </w:rPr>
      </w:pPr>
      <w:bookmarkStart w:id="453" w:name="_Ref527015333"/>
      <w:bookmarkStart w:id="454" w:name="_Toc7005121"/>
      <w:r>
        <w:rPr>
          <w:rFonts w:eastAsia="仿宋_GB2312"/>
          <w:b/>
          <w:sz w:val="24"/>
        </w:rPr>
        <w:t>6-2</w:t>
      </w:r>
      <w:r>
        <w:rPr>
          <w:rFonts w:hint="eastAsia" w:eastAsia="仿宋_GB2312"/>
          <w:b/>
          <w:sz w:val="24"/>
          <w:lang w:val="en-US" w:eastAsia="zh-CN"/>
        </w:rPr>
        <w:t xml:space="preserve">  </w:t>
      </w:r>
      <w:r>
        <w:rPr>
          <w:rFonts w:eastAsia="仿宋_GB2312"/>
          <w:b/>
          <w:sz w:val="24"/>
        </w:rPr>
        <w:t>上一年度经审计的</w:t>
      </w:r>
      <w:bookmarkEnd w:id="453"/>
      <w:bookmarkEnd w:id="454"/>
      <w:r>
        <w:rPr>
          <w:rFonts w:hint="eastAsia" w:eastAsia="仿宋_GB2312"/>
          <w:b/>
          <w:sz w:val="24"/>
          <w:lang w:eastAsia="zh-CN"/>
        </w:rPr>
        <w:t>财务审计报告</w:t>
      </w:r>
    </w:p>
    <w:p w14:paraId="3F28DD34">
      <w:pPr>
        <w:spacing w:line="360" w:lineRule="auto"/>
        <w:rPr>
          <w:rFonts w:eastAsia="仿宋_GB2312"/>
          <w:szCs w:val="21"/>
        </w:rPr>
      </w:pPr>
    </w:p>
    <w:p w14:paraId="50BB0EAC">
      <w:pPr>
        <w:tabs>
          <w:tab w:val="left" w:pos="993"/>
          <w:tab w:val="left" w:pos="1030"/>
          <w:tab w:val="left" w:pos="8364"/>
        </w:tabs>
        <w:snapToGrid w:val="0"/>
        <w:spacing w:after="120" w:afterLines="50"/>
        <w:ind w:right="-57" w:rightChars="-27"/>
        <w:rPr>
          <w:rFonts w:eastAsia="仿宋_GB2312"/>
          <w:sz w:val="24"/>
        </w:rPr>
      </w:pPr>
      <w:r>
        <w:rPr>
          <w:rFonts w:eastAsia="仿宋_GB2312"/>
          <w:sz w:val="24"/>
        </w:rPr>
        <w:t>提供供应商</w:t>
      </w:r>
      <w:r>
        <w:rPr>
          <w:rFonts w:hint="eastAsia" w:eastAsia="仿宋"/>
          <w:sz w:val="24"/>
          <w:szCs w:val="24"/>
        </w:rPr>
        <w:t>具有财务审计资质单位出具的</w:t>
      </w:r>
      <w:r>
        <w:rPr>
          <w:rFonts w:hint="eastAsia" w:eastAsia="仿宋_GB2312"/>
          <w:sz w:val="24"/>
          <w:lang w:val="en-US" w:eastAsia="zh-CN"/>
        </w:rPr>
        <w:t>2023</w:t>
      </w:r>
      <w:r>
        <w:rPr>
          <w:rFonts w:eastAsia="仿宋_GB2312"/>
          <w:sz w:val="24"/>
        </w:rPr>
        <w:t>年度</w:t>
      </w:r>
      <w:r>
        <w:rPr>
          <w:rFonts w:hint="eastAsia" w:eastAsia="仿宋_GB2312"/>
          <w:sz w:val="24"/>
          <w:lang w:val="en-US" w:eastAsia="zh-CN"/>
        </w:rPr>
        <w:t>或2024年度</w:t>
      </w:r>
      <w:r>
        <w:rPr>
          <w:rFonts w:eastAsia="仿宋_GB2312"/>
          <w:sz w:val="24"/>
        </w:rPr>
        <w:t>经审计的</w:t>
      </w:r>
      <w:r>
        <w:rPr>
          <w:rFonts w:hint="eastAsia" w:eastAsia="仿宋_GB2312"/>
          <w:sz w:val="24"/>
          <w:lang w:eastAsia="zh-CN"/>
        </w:rPr>
        <w:t>财务审计报告</w:t>
      </w:r>
      <w:r>
        <w:rPr>
          <w:rFonts w:eastAsia="仿宋_GB2312"/>
          <w:sz w:val="24"/>
        </w:rPr>
        <w:t>（包括资产负债表、现金流量表、利润表）复印件或扫描件需加盖单位公章。</w:t>
      </w:r>
    </w:p>
    <w:p w14:paraId="04832146">
      <w:pPr>
        <w:jc w:val="left"/>
        <w:outlineLvl w:val="2"/>
        <w:rPr>
          <w:rFonts w:eastAsia="仿宋_GB2312"/>
          <w:b/>
          <w:sz w:val="24"/>
        </w:rPr>
      </w:pPr>
      <w:bookmarkStart w:id="455" w:name="_Toc7005122"/>
      <w:r>
        <w:rPr>
          <w:rFonts w:eastAsia="仿宋_GB2312"/>
          <w:b/>
          <w:sz w:val="24"/>
        </w:rPr>
        <w:t xml:space="preserve">或  6-2  </w:t>
      </w:r>
      <w:bookmarkEnd w:id="455"/>
      <w:r>
        <w:rPr>
          <w:rFonts w:hint="eastAsia" w:eastAsia="仿宋_GB2312"/>
          <w:b/>
          <w:sz w:val="24"/>
        </w:rPr>
        <w:t>提供谈判响应文件递交截止时间前六个月内其基本户开户银行出具的资信证明</w:t>
      </w:r>
    </w:p>
    <w:p w14:paraId="2D00AF37">
      <w:pPr>
        <w:spacing w:line="360" w:lineRule="auto"/>
        <w:rPr>
          <w:rFonts w:eastAsia="仿宋_GB2312"/>
          <w:szCs w:val="21"/>
        </w:rPr>
      </w:pPr>
    </w:p>
    <w:p w14:paraId="4C30CE5B">
      <w:pPr>
        <w:tabs>
          <w:tab w:val="left" w:pos="993"/>
          <w:tab w:val="left" w:pos="1030"/>
          <w:tab w:val="left" w:pos="8364"/>
        </w:tabs>
        <w:snapToGrid w:val="0"/>
        <w:spacing w:after="120" w:afterLines="50"/>
        <w:ind w:right="-57" w:rightChars="-27"/>
        <w:rPr>
          <w:rFonts w:eastAsia="仿宋_GB2312"/>
          <w:sz w:val="24"/>
        </w:rPr>
      </w:pPr>
      <w:r>
        <w:rPr>
          <w:rFonts w:eastAsia="仿宋_GB2312"/>
          <w:sz w:val="24"/>
        </w:rPr>
        <w:t>注：附基本帐户的“银行开户许可证”的复印件。</w:t>
      </w:r>
    </w:p>
    <w:p w14:paraId="5E0E38FE">
      <w:pPr>
        <w:tabs>
          <w:tab w:val="left" w:pos="5580"/>
        </w:tabs>
        <w:spacing w:before="120" w:line="360" w:lineRule="auto"/>
        <w:ind w:firstLine="480" w:firstLineChars="200"/>
        <w:rPr>
          <w:rFonts w:eastAsia="仿宋_GB2312"/>
          <w:sz w:val="24"/>
        </w:rPr>
      </w:pPr>
    </w:p>
    <w:p w14:paraId="116621FC">
      <w:pPr>
        <w:jc w:val="left"/>
        <w:outlineLvl w:val="2"/>
        <w:rPr>
          <w:rFonts w:eastAsia="仿宋_GB2312"/>
          <w:b/>
          <w:sz w:val="24"/>
        </w:rPr>
      </w:pPr>
      <w:bookmarkStart w:id="456" w:name="_Toc7005123"/>
      <w:r>
        <w:rPr>
          <w:rFonts w:eastAsia="仿宋_GB2312"/>
          <w:b/>
          <w:sz w:val="24"/>
        </w:rPr>
        <w:t>6-3</w:t>
      </w:r>
      <w:r>
        <w:rPr>
          <w:rFonts w:hint="eastAsia" w:eastAsia="仿宋_GB2312"/>
          <w:b/>
          <w:sz w:val="24"/>
          <w:lang w:val="en-US" w:eastAsia="zh-CN"/>
        </w:rPr>
        <w:t xml:space="preserve">  </w:t>
      </w:r>
      <w:r>
        <w:rPr>
          <w:rFonts w:eastAsia="仿宋_GB2312"/>
          <w:b/>
          <w:sz w:val="24"/>
        </w:rPr>
        <w:t>依法缴纳税收的证明</w:t>
      </w:r>
      <w:bookmarkEnd w:id="456"/>
    </w:p>
    <w:p w14:paraId="77EC5F0B">
      <w:pPr>
        <w:tabs>
          <w:tab w:val="left" w:pos="993"/>
          <w:tab w:val="left" w:pos="1030"/>
          <w:tab w:val="left" w:pos="8364"/>
        </w:tabs>
        <w:snapToGrid w:val="0"/>
        <w:spacing w:after="120" w:afterLines="50"/>
        <w:ind w:left="420" w:right="-57" w:rightChars="-27" w:firstLine="480" w:firstLineChars="200"/>
        <w:jc w:val="left"/>
        <w:rPr>
          <w:rFonts w:eastAsia="仿宋_GB2312"/>
          <w:sz w:val="24"/>
        </w:rPr>
      </w:pPr>
    </w:p>
    <w:p w14:paraId="36B2A643">
      <w:pPr>
        <w:tabs>
          <w:tab w:val="left" w:pos="993"/>
          <w:tab w:val="left" w:pos="1030"/>
          <w:tab w:val="left" w:pos="8364"/>
        </w:tabs>
        <w:snapToGrid w:val="0"/>
        <w:spacing w:after="120" w:afterLines="50"/>
        <w:ind w:right="-57" w:rightChars="-27" w:firstLine="480" w:firstLineChars="200"/>
        <w:jc w:val="left"/>
        <w:rPr>
          <w:rFonts w:eastAsia="仿宋_GB2312"/>
          <w:sz w:val="24"/>
        </w:rPr>
      </w:pPr>
      <w:r>
        <w:rPr>
          <w:rFonts w:eastAsia="仿宋_GB2312"/>
          <w:sz w:val="24"/>
        </w:rPr>
        <w:t>说明：</w:t>
      </w:r>
    </w:p>
    <w:p w14:paraId="58BA66F6">
      <w:pPr>
        <w:tabs>
          <w:tab w:val="left" w:pos="993"/>
          <w:tab w:val="left" w:pos="1030"/>
          <w:tab w:val="left" w:pos="8364"/>
        </w:tabs>
        <w:snapToGrid w:val="0"/>
        <w:spacing w:after="120" w:afterLines="50"/>
        <w:ind w:left="479" w:leftChars="228" w:right="-57" w:rightChars="-27"/>
        <w:jc w:val="left"/>
        <w:rPr>
          <w:rFonts w:eastAsia="仿宋_GB2312"/>
          <w:sz w:val="24"/>
        </w:rPr>
      </w:pPr>
      <w:r>
        <w:rPr>
          <w:rFonts w:eastAsia="仿宋_GB2312"/>
          <w:sz w:val="24"/>
        </w:rPr>
        <w:t>1、供应商应</w:t>
      </w:r>
      <w:r>
        <w:rPr>
          <w:rFonts w:hint="eastAsia" w:eastAsia="仿宋"/>
          <w:sz w:val="24"/>
          <w:szCs w:val="24"/>
        </w:rPr>
        <w:t>提供自</w:t>
      </w:r>
      <w:r>
        <w:rPr>
          <w:rFonts w:hint="eastAsia" w:eastAsia="仿宋"/>
          <w:sz w:val="24"/>
          <w:szCs w:val="24"/>
          <w:lang w:eastAsia="zh-CN"/>
        </w:rPr>
        <w:t>谈判</w:t>
      </w:r>
      <w:r>
        <w:rPr>
          <w:rFonts w:hint="eastAsia" w:eastAsia="仿宋"/>
          <w:sz w:val="24"/>
          <w:szCs w:val="24"/>
        </w:rPr>
        <w:t>响应文件递交截止时间前近六个月中任何一个月缴纳税收的凭证，时间以税款所属时期为准（银行出具的缴税凭证或税务机关出具的证明</w:t>
      </w:r>
      <w:r>
        <w:rPr>
          <w:rFonts w:hint="eastAsia" w:eastAsia="仿宋_GB2312"/>
          <w:sz w:val="24"/>
        </w:rPr>
        <w:t>的复印件，并加盖本单位公章</w:t>
      </w:r>
      <w:r>
        <w:rPr>
          <w:rFonts w:hint="eastAsia" w:eastAsia="仿宋"/>
          <w:sz w:val="24"/>
          <w:szCs w:val="24"/>
        </w:rPr>
        <w:t>）；</w:t>
      </w:r>
    </w:p>
    <w:p w14:paraId="0E645E29">
      <w:pPr>
        <w:tabs>
          <w:tab w:val="left" w:pos="993"/>
          <w:tab w:val="left" w:pos="1030"/>
          <w:tab w:val="left" w:pos="8364"/>
        </w:tabs>
        <w:snapToGrid w:val="0"/>
        <w:spacing w:after="120" w:afterLines="50"/>
        <w:ind w:right="-57" w:rightChars="-27" w:firstLine="480" w:firstLineChars="200"/>
        <w:jc w:val="left"/>
        <w:rPr>
          <w:rFonts w:eastAsia="仿宋_GB2312"/>
          <w:sz w:val="24"/>
        </w:rPr>
      </w:pPr>
      <w:r>
        <w:rPr>
          <w:rFonts w:eastAsia="仿宋_GB2312"/>
          <w:sz w:val="24"/>
        </w:rPr>
        <w:t>2、依法免税的供应商，应提供相应文件证明其依法免税。</w:t>
      </w:r>
    </w:p>
    <w:p w14:paraId="5110191C">
      <w:pPr>
        <w:tabs>
          <w:tab w:val="left" w:pos="993"/>
          <w:tab w:val="left" w:pos="1030"/>
          <w:tab w:val="left" w:pos="8364"/>
        </w:tabs>
        <w:snapToGrid w:val="0"/>
        <w:spacing w:after="120" w:afterLines="50"/>
        <w:ind w:right="-57" w:rightChars="-27"/>
        <w:jc w:val="left"/>
        <w:rPr>
          <w:rFonts w:eastAsia="仿宋_GB2312"/>
          <w:sz w:val="24"/>
        </w:rPr>
      </w:pPr>
    </w:p>
    <w:p w14:paraId="70B7C0E0">
      <w:pPr>
        <w:jc w:val="left"/>
        <w:outlineLvl w:val="2"/>
        <w:rPr>
          <w:rFonts w:eastAsia="仿宋_GB2312"/>
          <w:b/>
          <w:sz w:val="24"/>
        </w:rPr>
      </w:pPr>
      <w:bookmarkStart w:id="457" w:name="_Toc7005124"/>
      <w:r>
        <w:rPr>
          <w:rFonts w:eastAsia="仿宋_GB2312"/>
          <w:b/>
          <w:sz w:val="24"/>
        </w:rPr>
        <w:t>6-4</w:t>
      </w:r>
      <w:r>
        <w:rPr>
          <w:rFonts w:hint="eastAsia" w:eastAsia="仿宋_GB2312"/>
          <w:b/>
          <w:sz w:val="24"/>
          <w:lang w:val="en-US" w:eastAsia="zh-CN"/>
        </w:rPr>
        <w:t xml:space="preserve">  </w:t>
      </w:r>
      <w:r>
        <w:rPr>
          <w:rFonts w:eastAsia="仿宋_GB2312"/>
          <w:b/>
          <w:sz w:val="24"/>
        </w:rPr>
        <w:t>社会保障资金缴纳记录</w:t>
      </w:r>
      <w:bookmarkEnd w:id="457"/>
    </w:p>
    <w:p w14:paraId="321D6DA8">
      <w:pPr>
        <w:tabs>
          <w:tab w:val="left" w:pos="993"/>
          <w:tab w:val="left" w:pos="1030"/>
          <w:tab w:val="left" w:pos="8364"/>
        </w:tabs>
        <w:snapToGrid w:val="0"/>
        <w:spacing w:after="120" w:afterLines="50"/>
        <w:ind w:left="420" w:leftChars="200" w:right="-57" w:rightChars="-27"/>
        <w:jc w:val="left"/>
        <w:rPr>
          <w:rFonts w:eastAsia="仿宋_GB2312"/>
          <w:sz w:val="24"/>
        </w:rPr>
      </w:pPr>
    </w:p>
    <w:p w14:paraId="3CCB4278">
      <w:pPr>
        <w:tabs>
          <w:tab w:val="left" w:pos="993"/>
          <w:tab w:val="left" w:pos="1030"/>
          <w:tab w:val="left" w:pos="8364"/>
        </w:tabs>
        <w:snapToGrid w:val="0"/>
        <w:spacing w:after="120" w:afterLines="50"/>
        <w:ind w:left="420" w:leftChars="200" w:right="-57" w:rightChars="-27"/>
        <w:jc w:val="left"/>
        <w:rPr>
          <w:rFonts w:eastAsia="仿宋_GB2312"/>
          <w:sz w:val="24"/>
        </w:rPr>
      </w:pPr>
      <w:r>
        <w:rPr>
          <w:rFonts w:eastAsia="仿宋_GB2312"/>
          <w:sz w:val="24"/>
        </w:rPr>
        <w:t>说明：</w:t>
      </w:r>
    </w:p>
    <w:p w14:paraId="24DC0EB2">
      <w:pPr>
        <w:numPr>
          <w:ilvl w:val="0"/>
          <w:numId w:val="11"/>
        </w:numPr>
        <w:tabs>
          <w:tab w:val="left" w:pos="993"/>
          <w:tab w:val="left" w:pos="1030"/>
          <w:tab w:val="left" w:pos="8364"/>
        </w:tabs>
        <w:snapToGrid w:val="0"/>
        <w:spacing w:after="120" w:afterLines="50"/>
        <w:ind w:left="420" w:leftChars="200" w:right="-57" w:rightChars="-27"/>
        <w:jc w:val="left"/>
        <w:rPr>
          <w:rFonts w:eastAsia="仿宋_GB2312"/>
          <w:sz w:val="24"/>
        </w:rPr>
      </w:pPr>
      <w:r>
        <w:rPr>
          <w:rFonts w:eastAsia="仿宋_GB2312"/>
          <w:sz w:val="24"/>
        </w:rPr>
        <w:t>供应商应提供</w:t>
      </w:r>
      <w:r>
        <w:rPr>
          <w:rFonts w:hint="eastAsia" w:eastAsia="仿宋_GB2312"/>
          <w:sz w:val="24"/>
          <w:lang w:val="en-US" w:eastAsia="zh-CN"/>
        </w:rPr>
        <w:t>自谈判响应文件递交截止时间前</w:t>
      </w:r>
      <w:r>
        <w:rPr>
          <w:rFonts w:eastAsia="仿宋_GB2312"/>
          <w:sz w:val="24"/>
        </w:rPr>
        <w:t>近六个月中至少一个月的社会缴纳社会保险的凭据</w:t>
      </w:r>
      <w:r>
        <w:rPr>
          <w:rFonts w:hint="eastAsia" w:eastAsia="仿宋"/>
          <w:sz w:val="24"/>
          <w:szCs w:val="24"/>
        </w:rPr>
        <w:t>（社保机构开具的社会保险参保缴费凭据或社会保险缴存凭据）</w:t>
      </w:r>
      <w:r>
        <w:rPr>
          <w:rFonts w:eastAsia="仿宋_GB2312"/>
          <w:sz w:val="24"/>
        </w:rPr>
        <w:t>。</w:t>
      </w:r>
    </w:p>
    <w:p w14:paraId="3FFD51BA">
      <w:pPr>
        <w:numPr>
          <w:ilvl w:val="0"/>
          <w:numId w:val="11"/>
        </w:numPr>
        <w:tabs>
          <w:tab w:val="left" w:pos="993"/>
          <w:tab w:val="left" w:pos="1030"/>
          <w:tab w:val="left" w:pos="8364"/>
        </w:tabs>
        <w:snapToGrid w:val="0"/>
        <w:spacing w:after="120" w:afterLines="50"/>
        <w:ind w:left="420" w:leftChars="200" w:right="-57" w:rightChars="-27"/>
        <w:jc w:val="left"/>
        <w:rPr>
          <w:rFonts w:eastAsia="仿宋_GB2312"/>
          <w:sz w:val="24"/>
        </w:rPr>
      </w:pPr>
      <w:r>
        <w:rPr>
          <w:rFonts w:eastAsia="仿宋_GB2312"/>
          <w:sz w:val="24"/>
        </w:rPr>
        <w:t>不需要缴纳社会保障资金的供应商，应提供相应文件证明其不需要缴纳社会保障资金。</w:t>
      </w:r>
    </w:p>
    <w:p w14:paraId="1941B0B2">
      <w:pPr>
        <w:rPr>
          <w:rFonts w:eastAsia="仿宋_GB2312"/>
          <w:sz w:val="24"/>
        </w:rPr>
      </w:pPr>
      <w:bookmarkStart w:id="458" w:name="_Toc7005125"/>
      <w:r>
        <w:rPr>
          <w:rFonts w:eastAsia="仿宋_GB2312"/>
          <w:sz w:val="24"/>
        </w:rPr>
        <w:br w:type="page"/>
      </w:r>
    </w:p>
    <w:p w14:paraId="17B04802">
      <w:pPr>
        <w:jc w:val="left"/>
        <w:outlineLvl w:val="2"/>
        <w:rPr>
          <w:rFonts w:eastAsia="仿宋_GB2312"/>
          <w:b/>
          <w:sz w:val="24"/>
        </w:rPr>
      </w:pPr>
      <w:r>
        <w:rPr>
          <w:rFonts w:eastAsia="仿宋_GB2312"/>
          <w:b/>
          <w:sz w:val="24"/>
        </w:rPr>
        <w:t>6-5</w:t>
      </w:r>
      <w:r>
        <w:rPr>
          <w:rFonts w:hint="eastAsia" w:eastAsia="仿宋_GB2312"/>
          <w:b/>
          <w:sz w:val="24"/>
          <w:lang w:val="en-US" w:eastAsia="zh-CN"/>
        </w:rPr>
        <w:t xml:space="preserve">  </w:t>
      </w:r>
      <w:r>
        <w:rPr>
          <w:rFonts w:eastAsia="仿宋_GB2312"/>
          <w:b/>
          <w:sz w:val="24"/>
        </w:rPr>
        <w:t>具备履行合同所必需的设备和专业技术能力承诺书</w:t>
      </w:r>
      <w:bookmarkEnd w:id="458"/>
      <w:r>
        <w:rPr>
          <w:rFonts w:eastAsia="仿宋_GB2312"/>
          <w:b/>
          <w:sz w:val="24"/>
        </w:rPr>
        <w:t xml:space="preserve"> </w:t>
      </w:r>
    </w:p>
    <w:p w14:paraId="371A8B36">
      <w:pPr>
        <w:rPr>
          <w:rFonts w:eastAsia="仿宋_GB2312"/>
          <w:kern w:val="0"/>
          <w:sz w:val="24"/>
        </w:rPr>
      </w:pPr>
    </w:p>
    <w:p w14:paraId="085D1533">
      <w:pPr>
        <w:rPr>
          <w:rFonts w:eastAsia="仿宋_GB2312"/>
          <w:kern w:val="0"/>
          <w:sz w:val="24"/>
        </w:rPr>
      </w:pPr>
      <w:r>
        <w:rPr>
          <w:rFonts w:hint="eastAsia" w:eastAsia="仿宋_GB2312"/>
          <w:kern w:val="0"/>
          <w:sz w:val="24"/>
          <w:lang w:eastAsia="zh-CN"/>
        </w:rPr>
        <w:t>（</w:t>
      </w:r>
      <w:r>
        <w:rPr>
          <w:rFonts w:hint="eastAsia" w:eastAsia="仿宋_GB2312"/>
          <w:kern w:val="0"/>
          <w:sz w:val="24"/>
          <w:lang w:val="en-US" w:eastAsia="zh-CN"/>
        </w:rPr>
        <w:t>采购人名称</w:t>
      </w:r>
      <w:r>
        <w:rPr>
          <w:rFonts w:hint="eastAsia" w:eastAsia="仿宋_GB2312"/>
          <w:kern w:val="0"/>
          <w:sz w:val="24"/>
          <w:lang w:eastAsia="zh-CN"/>
        </w:rPr>
        <w:t>）</w:t>
      </w:r>
      <w:r>
        <w:rPr>
          <w:rFonts w:eastAsia="仿宋_GB2312"/>
          <w:kern w:val="0"/>
          <w:sz w:val="24"/>
        </w:rPr>
        <w:t>：</w:t>
      </w:r>
    </w:p>
    <w:p w14:paraId="4FFBDD3D">
      <w:pPr>
        <w:ind w:firstLine="480"/>
        <w:rPr>
          <w:rFonts w:eastAsia="仿宋_GB2312"/>
          <w:kern w:val="0"/>
          <w:sz w:val="24"/>
        </w:rPr>
      </w:pPr>
    </w:p>
    <w:p w14:paraId="2273AB71">
      <w:pPr>
        <w:ind w:firstLine="480"/>
        <w:rPr>
          <w:rFonts w:eastAsia="仿宋_GB2312"/>
          <w:kern w:val="0"/>
          <w:sz w:val="24"/>
        </w:rPr>
      </w:pPr>
      <w:r>
        <w:rPr>
          <w:rFonts w:eastAsia="仿宋_GB2312"/>
          <w:kern w:val="0"/>
          <w:sz w:val="24"/>
        </w:rPr>
        <w:t>我公司承诺</w:t>
      </w:r>
      <w:r>
        <w:rPr>
          <w:rFonts w:eastAsia="仿宋_GB2312"/>
          <w:sz w:val="24"/>
        </w:rPr>
        <w:t>具备履行合同所必需的设备和专业技术能力</w:t>
      </w:r>
      <w:r>
        <w:rPr>
          <w:rFonts w:eastAsia="仿宋_GB2312"/>
          <w:kern w:val="0"/>
          <w:sz w:val="24"/>
        </w:rPr>
        <w:t>。</w:t>
      </w:r>
    </w:p>
    <w:p w14:paraId="148BFE45">
      <w:pPr>
        <w:ind w:firstLine="480"/>
        <w:rPr>
          <w:rFonts w:eastAsia="仿宋_GB2312"/>
          <w:b/>
          <w:sz w:val="24"/>
        </w:rPr>
      </w:pPr>
    </w:p>
    <w:p w14:paraId="574389B9">
      <w:pPr>
        <w:ind w:firstLine="480"/>
        <w:rPr>
          <w:rFonts w:eastAsia="仿宋_GB2312"/>
          <w:b/>
          <w:sz w:val="24"/>
        </w:rPr>
      </w:pPr>
    </w:p>
    <w:p w14:paraId="7A03ABF5">
      <w:pPr>
        <w:ind w:firstLine="480"/>
        <w:rPr>
          <w:rFonts w:eastAsia="仿宋_GB2312"/>
          <w:b/>
          <w:sz w:val="24"/>
        </w:rPr>
      </w:pPr>
    </w:p>
    <w:p w14:paraId="4C73723A">
      <w:pPr>
        <w:spacing w:before="120" w:after="120" w:line="360" w:lineRule="auto"/>
        <w:ind w:firstLine="480" w:firstLineChars="200"/>
        <w:rPr>
          <w:rFonts w:eastAsia="仿宋_GB2312"/>
          <w:sz w:val="24"/>
          <w:u w:val="single"/>
        </w:rPr>
      </w:pPr>
      <w:r>
        <w:rPr>
          <w:rFonts w:eastAsia="仿宋_GB2312"/>
          <w:sz w:val="24"/>
        </w:rPr>
        <w:t>供应商（</w:t>
      </w:r>
      <w:r>
        <w:rPr>
          <w:rFonts w:hint="eastAsia" w:eastAsia="仿宋_GB2312"/>
          <w:sz w:val="24"/>
          <w:lang w:val="en-US" w:eastAsia="zh-CN"/>
        </w:rPr>
        <w:t>盖</w:t>
      </w:r>
      <w:r>
        <w:rPr>
          <w:rFonts w:eastAsia="仿宋_GB2312"/>
          <w:sz w:val="24"/>
        </w:rPr>
        <w:t xml:space="preserve">公章）： </w:t>
      </w:r>
      <w:r>
        <w:rPr>
          <w:rFonts w:eastAsia="仿宋_GB2312"/>
          <w:sz w:val="24"/>
          <w:u w:val="single"/>
        </w:rPr>
        <w:t xml:space="preserve">              </w:t>
      </w:r>
    </w:p>
    <w:p w14:paraId="2A5691FE">
      <w:pPr>
        <w:spacing w:before="120" w:after="120" w:line="360" w:lineRule="auto"/>
        <w:ind w:firstLine="480" w:firstLineChars="200"/>
        <w:rPr>
          <w:rFonts w:eastAsia="仿宋_GB2312"/>
          <w:sz w:val="24"/>
          <w:u w:val="single"/>
        </w:rPr>
      </w:pPr>
      <w:r>
        <w:rPr>
          <w:rFonts w:eastAsia="仿宋_GB2312"/>
          <w:sz w:val="24"/>
        </w:rPr>
        <w:t>法定代表人或其授权代表（签字</w:t>
      </w:r>
      <w:r>
        <w:rPr>
          <w:rFonts w:hint="eastAsia" w:eastAsia="仿宋_GB2312"/>
          <w:sz w:val="24"/>
          <w:lang w:val="en-US" w:eastAsia="zh-CN"/>
        </w:rPr>
        <w:t>或盖章</w:t>
      </w:r>
      <w:r>
        <w:rPr>
          <w:rFonts w:eastAsia="仿宋_GB2312"/>
          <w:sz w:val="24"/>
        </w:rPr>
        <w:t>）：</w:t>
      </w:r>
      <w:r>
        <w:rPr>
          <w:rFonts w:eastAsia="仿宋_GB2312"/>
          <w:sz w:val="24"/>
          <w:u w:val="single"/>
        </w:rPr>
        <w:t xml:space="preserve">                  </w:t>
      </w:r>
    </w:p>
    <w:p w14:paraId="0838C8B0">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14:paraId="3EF88F0E">
      <w:pPr>
        <w:ind w:right="280"/>
        <w:rPr>
          <w:rFonts w:eastAsia="仿宋_GB2312"/>
          <w:sz w:val="24"/>
        </w:rPr>
      </w:pPr>
    </w:p>
    <w:p w14:paraId="48A904A0">
      <w:pPr>
        <w:widowControl/>
        <w:jc w:val="left"/>
        <w:rPr>
          <w:rFonts w:eastAsia="仿宋_GB2312"/>
          <w:b/>
          <w:sz w:val="24"/>
        </w:rPr>
      </w:pPr>
    </w:p>
    <w:p w14:paraId="59584664">
      <w:pPr>
        <w:pStyle w:val="72"/>
        <w:numPr>
          <w:ilvl w:val="1"/>
          <w:numId w:val="12"/>
        </w:numPr>
        <w:ind w:firstLineChars="0"/>
        <w:jc w:val="left"/>
        <w:outlineLvl w:val="2"/>
        <w:rPr>
          <w:rFonts w:ascii="Times New Roman" w:hAnsi="Times New Roman" w:eastAsia="仿宋_GB2312"/>
          <w:b/>
          <w:sz w:val="24"/>
        </w:rPr>
      </w:pPr>
      <w:bookmarkStart w:id="459" w:name="_Toc7005126"/>
      <w:r>
        <w:rPr>
          <w:rFonts w:hint="eastAsia" w:ascii="Times New Roman" w:hAnsi="Times New Roman" w:eastAsia="仿宋_GB2312"/>
          <w:b/>
          <w:sz w:val="24"/>
          <w:lang w:val="en-US" w:eastAsia="zh-CN"/>
        </w:rPr>
        <w:t xml:space="preserve">  </w:t>
      </w:r>
      <w:r>
        <w:rPr>
          <w:rFonts w:ascii="Times New Roman" w:hAnsi="Times New Roman" w:eastAsia="仿宋_GB2312"/>
          <w:b/>
          <w:sz w:val="24"/>
        </w:rPr>
        <w:t>供应商参加政府采购活动前3年内在经营活动中没有重大违法记录的书面声明（格式）</w:t>
      </w:r>
      <w:bookmarkEnd w:id="459"/>
    </w:p>
    <w:p w14:paraId="40B4A4E7">
      <w:pPr>
        <w:jc w:val="center"/>
        <w:rPr>
          <w:rFonts w:eastAsia="仿宋_GB2312"/>
          <w:sz w:val="24"/>
        </w:rPr>
      </w:pPr>
    </w:p>
    <w:p w14:paraId="09C25AC7">
      <w:pPr>
        <w:jc w:val="center"/>
        <w:rPr>
          <w:rFonts w:eastAsia="仿宋_GB2312"/>
          <w:b/>
          <w:sz w:val="24"/>
        </w:rPr>
      </w:pPr>
      <w:r>
        <w:rPr>
          <w:rFonts w:eastAsia="仿宋_GB2312"/>
          <w:b/>
          <w:sz w:val="24"/>
        </w:rPr>
        <w:t>声明函</w:t>
      </w:r>
    </w:p>
    <w:p w14:paraId="330D59C3">
      <w:pPr>
        <w:jc w:val="center"/>
        <w:rPr>
          <w:rFonts w:eastAsia="仿宋_GB2312"/>
          <w:sz w:val="24"/>
        </w:rPr>
      </w:pPr>
    </w:p>
    <w:p w14:paraId="7BBDCA81">
      <w:pPr>
        <w:tabs>
          <w:tab w:val="left" w:pos="5580"/>
        </w:tabs>
        <w:spacing w:before="120" w:line="360" w:lineRule="auto"/>
        <w:rPr>
          <w:rFonts w:eastAsia="仿宋_GB2312"/>
          <w:sz w:val="24"/>
        </w:rPr>
      </w:pPr>
      <w:r>
        <w:rPr>
          <w:rFonts w:hint="eastAsia" w:eastAsia="仿宋_GB2312"/>
          <w:kern w:val="0"/>
          <w:sz w:val="24"/>
          <w:lang w:eastAsia="zh-CN"/>
        </w:rPr>
        <w:t>（</w:t>
      </w:r>
      <w:r>
        <w:rPr>
          <w:rFonts w:hint="eastAsia" w:eastAsia="仿宋_GB2312"/>
          <w:kern w:val="0"/>
          <w:sz w:val="24"/>
          <w:lang w:val="en-US" w:eastAsia="zh-CN"/>
        </w:rPr>
        <w:t>采购人名称</w:t>
      </w:r>
      <w:r>
        <w:rPr>
          <w:rFonts w:hint="eastAsia" w:eastAsia="仿宋_GB2312"/>
          <w:kern w:val="0"/>
          <w:sz w:val="24"/>
          <w:lang w:eastAsia="zh-CN"/>
        </w:rPr>
        <w:t>）</w:t>
      </w:r>
      <w:r>
        <w:rPr>
          <w:rFonts w:eastAsia="仿宋_GB2312"/>
          <w:sz w:val="24"/>
        </w:rPr>
        <w:t>：</w:t>
      </w:r>
    </w:p>
    <w:p w14:paraId="3022CFD4">
      <w:pPr>
        <w:tabs>
          <w:tab w:val="left" w:pos="5580"/>
        </w:tabs>
        <w:spacing w:before="120" w:line="360" w:lineRule="auto"/>
        <w:ind w:firstLine="480" w:firstLineChars="200"/>
        <w:rPr>
          <w:rFonts w:eastAsia="仿宋_GB2312"/>
          <w:sz w:val="24"/>
        </w:rPr>
      </w:pPr>
      <w:r>
        <w:rPr>
          <w:rFonts w:eastAsia="仿宋_GB2312"/>
          <w:sz w:val="24"/>
        </w:rPr>
        <w:t>我公司郑重承诺在参加本项目政府采购活动前三年内，在经营活动中无重大违法记录。公司</w:t>
      </w:r>
      <w:r>
        <w:rPr>
          <w:rFonts w:hint="eastAsia" w:eastAsia="仿宋_GB2312"/>
          <w:sz w:val="24"/>
          <w:lang w:val="en-US" w:eastAsia="zh-CN"/>
        </w:rPr>
        <w:t>未</w:t>
      </w:r>
      <w:r>
        <w:rPr>
          <w:rFonts w:hint="eastAsia" w:eastAsia="仿宋_GB2312"/>
          <w:sz w:val="24"/>
        </w:rPr>
        <w:t>因违法经营受到刑事处罚或者责令停产停业、吊销许可证或者执照、较大数额罚款等行政处罚</w:t>
      </w:r>
      <w:r>
        <w:rPr>
          <w:rFonts w:eastAsia="仿宋_GB2312"/>
          <w:sz w:val="24"/>
        </w:rPr>
        <w:t>；未处于财产被接管、冻结、破产状况。</w:t>
      </w:r>
    </w:p>
    <w:p w14:paraId="68AB0301">
      <w:pPr>
        <w:tabs>
          <w:tab w:val="left" w:pos="5580"/>
        </w:tabs>
        <w:spacing w:before="120" w:line="360" w:lineRule="auto"/>
        <w:ind w:firstLine="480" w:firstLineChars="200"/>
        <w:rPr>
          <w:rFonts w:eastAsia="仿宋_GB2312"/>
          <w:sz w:val="24"/>
        </w:rPr>
      </w:pPr>
      <w:r>
        <w:rPr>
          <w:rFonts w:eastAsia="仿宋_GB2312"/>
          <w:sz w:val="24"/>
        </w:rPr>
        <w:t>特此声明。</w:t>
      </w:r>
    </w:p>
    <w:p w14:paraId="0C65A6DF">
      <w:pPr>
        <w:tabs>
          <w:tab w:val="left" w:pos="5580"/>
        </w:tabs>
        <w:spacing w:before="120" w:line="360" w:lineRule="auto"/>
        <w:ind w:firstLine="480" w:firstLineChars="200"/>
        <w:rPr>
          <w:rFonts w:eastAsia="仿宋_GB2312"/>
          <w:sz w:val="24"/>
        </w:rPr>
      </w:pPr>
    </w:p>
    <w:p w14:paraId="13B44709">
      <w:pPr>
        <w:spacing w:before="120" w:after="120" w:line="360" w:lineRule="auto"/>
        <w:ind w:firstLine="480" w:firstLineChars="200"/>
        <w:rPr>
          <w:rFonts w:eastAsia="仿宋_GB2312"/>
          <w:sz w:val="24"/>
          <w:u w:val="single"/>
        </w:rPr>
      </w:pPr>
      <w:r>
        <w:rPr>
          <w:rFonts w:eastAsia="仿宋_GB2312"/>
          <w:sz w:val="24"/>
        </w:rPr>
        <w:t>供应商（</w:t>
      </w:r>
      <w:r>
        <w:rPr>
          <w:rFonts w:hint="eastAsia" w:eastAsia="仿宋_GB2312"/>
          <w:sz w:val="24"/>
          <w:lang w:val="en-US" w:eastAsia="zh-CN"/>
        </w:rPr>
        <w:t>盖</w:t>
      </w:r>
      <w:r>
        <w:rPr>
          <w:rFonts w:eastAsia="仿宋_GB2312"/>
          <w:sz w:val="24"/>
        </w:rPr>
        <w:t xml:space="preserve">公章）： </w:t>
      </w:r>
      <w:r>
        <w:rPr>
          <w:rFonts w:eastAsia="仿宋_GB2312"/>
          <w:sz w:val="24"/>
          <w:u w:val="single"/>
        </w:rPr>
        <w:t xml:space="preserve">              </w:t>
      </w:r>
    </w:p>
    <w:p w14:paraId="66C141A4">
      <w:pPr>
        <w:spacing w:before="120" w:after="120" w:line="360" w:lineRule="auto"/>
        <w:ind w:firstLine="480" w:firstLineChars="200"/>
        <w:rPr>
          <w:rFonts w:eastAsia="仿宋_GB2312"/>
          <w:sz w:val="24"/>
          <w:u w:val="single"/>
        </w:rPr>
      </w:pPr>
      <w:r>
        <w:rPr>
          <w:rFonts w:eastAsia="仿宋_GB2312"/>
          <w:sz w:val="24"/>
        </w:rPr>
        <w:t>法定代表人或其授权代表（签字</w:t>
      </w:r>
      <w:r>
        <w:rPr>
          <w:rFonts w:hint="eastAsia" w:eastAsia="仿宋_GB2312"/>
          <w:sz w:val="24"/>
          <w:lang w:val="en-US" w:eastAsia="zh-CN"/>
        </w:rPr>
        <w:t>或盖章</w:t>
      </w:r>
      <w:r>
        <w:rPr>
          <w:rFonts w:eastAsia="仿宋_GB2312"/>
          <w:sz w:val="24"/>
        </w:rPr>
        <w:t>）：</w:t>
      </w:r>
      <w:r>
        <w:rPr>
          <w:rFonts w:eastAsia="仿宋_GB2312"/>
          <w:sz w:val="24"/>
          <w:u w:val="single"/>
        </w:rPr>
        <w:t xml:space="preserve">                  </w:t>
      </w:r>
    </w:p>
    <w:p w14:paraId="62C9679E">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14:paraId="2BCDA295">
      <w:pPr>
        <w:pStyle w:val="22"/>
        <w:rPr>
          <w:rFonts w:ascii="Times New Roman" w:hAnsi="Times New Roman" w:eastAsia="仿宋_GB2312"/>
        </w:rPr>
      </w:pPr>
    </w:p>
    <w:p w14:paraId="1AEDD41D">
      <w:pPr>
        <w:rPr>
          <w:rFonts w:eastAsia="仿宋_GB2312"/>
          <w:sz w:val="24"/>
          <w:szCs w:val="21"/>
          <w:u w:val="single"/>
        </w:rPr>
      </w:pPr>
      <w:r>
        <w:rPr>
          <w:rFonts w:eastAsia="仿宋_GB2312"/>
          <w:sz w:val="24"/>
          <w:szCs w:val="21"/>
          <w:u w:val="single"/>
        </w:rPr>
        <w:br w:type="page"/>
      </w:r>
    </w:p>
    <w:p w14:paraId="389E5F6A">
      <w:pPr>
        <w:pStyle w:val="72"/>
        <w:numPr>
          <w:ilvl w:val="0"/>
          <w:numId w:val="0"/>
        </w:numPr>
        <w:ind w:leftChars="0"/>
        <w:jc w:val="left"/>
        <w:outlineLvl w:val="2"/>
        <w:rPr>
          <w:rFonts w:ascii="Times New Roman" w:hAnsi="Times New Roman" w:eastAsia="仿宋_GB2312"/>
          <w:b/>
          <w:sz w:val="24"/>
        </w:rPr>
      </w:pPr>
      <w:bookmarkStart w:id="460" w:name="_Toc7005127"/>
      <w:r>
        <w:rPr>
          <w:rFonts w:hint="eastAsia" w:ascii="Times New Roman" w:hAnsi="Times New Roman" w:eastAsia="仿宋_GB2312"/>
          <w:b/>
          <w:sz w:val="24"/>
          <w:lang w:val="en-US" w:eastAsia="zh-CN"/>
        </w:rPr>
        <w:t xml:space="preserve">6-7 </w:t>
      </w:r>
      <w:r>
        <w:rPr>
          <w:rFonts w:ascii="Times New Roman" w:hAnsi="Times New Roman" w:eastAsia="仿宋_GB2312"/>
          <w:b/>
          <w:sz w:val="24"/>
        </w:rPr>
        <w:t xml:space="preserve"> 供应商控股股东名称、控股公司的名称和存在管理、被管理关系的单位名称说明</w:t>
      </w:r>
      <w:bookmarkEnd w:id="460"/>
    </w:p>
    <w:p w14:paraId="78266BEF">
      <w:pPr>
        <w:ind w:firstLine="420"/>
        <w:rPr>
          <w:rFonts w:eastAsia="仿宋_GB2312"/>
          <w:szCs w:val="21"/>
        </w:rPr>
      </w:pPr>
    </w:p>
    <w:p w14:paraId="70F9F8B7">
      <w:pPr>
        <w:rPr>
          <w:rFonts w:eastAsia="仿宋_GB2312"/>
          <w:sz w:val="24"/>
        </w:rPr>
      </w:pPr>
    </w:p>
    <w:p w14:paraId="60B1B1FF">
      <w:pPr>
        <w:rPr>
          <w:rFonts w:eastAsia="仿宋_GB2312"/>
          <w:sz w:val="24"/>
        </w:rPr>
      </w:pPr>
      <w:r>
        <w:rPr>
          <w:rFonts w:hint="eastAsia" w:eastAsia="仿宋_GB2312"/>
          <w:kern w:val="0"/>
          <w:sz w:val="24"/>
          <w:lang w:eastAsia="zh-CN"/>
        </w:rPr>
        <w:t>（</w:t>
      </w:r>
      <w:r>
        <w:rPr>
          <w:rFonts w:hint="eastAsia" w:eastAsia="仿宋_GB2312"/>
          <w:kern w:val="0"/>
          <w:sz w:val="24"/>
          <w:lang w:val="en-US" w:eastAsia="zh-CN"/>
        </w:rPr>
        <w:t>采购人名称</w:t>
      </w:r>
      <w:r>
        <w:rPr>
          <w:rFonts w:hint="eastAsia" w:eastAsia="仿宋_GB2312"/>
          <w:kern w:val="0"/>
          <w:sz w:val="24"/>
          <w:lang w:eastAsia="zh-CN"/>
        </w:rPr>
        <w:t>）</w:t>
      </w:r>
      <w:r>
        <w:rPr>
          <w:rFonts w:eastAsia="仿宋_GB2312"/>
          <w:sz w:val="24"/>
        </w:rPr>
        <w:t>：</w:t>
      </w:r>
    </w:p>
    <w:p w14:paraId="59282ACC">
      <w:pPr>
        <w:pStyle w:val="22"/>
        <w:rPr>
          <w:rFonts w:ascii="Times New Roman" w:hAnsi="Times New Roman" w:eastAsia="仿宋_GB2312"/>
        </w:rPr>
      </w:pPr>
    </w:p>
    <w:p w14:paraId="0135BD05">
      <w:pPr>
        <w:ind w:firstLine="426"/>
        <w:rPr>
          <w:rFonts w:eastAsia="仿宋_GB2312"/>
          <w:sz w:val="24"/>
        </w:rPr>
      </w:pPr>
      <w:r>
        <w:rPr>
          <w:rFonts w:eastAsia="仿宋_GB2312"/>
          <w:sz w:val="24"/>
        </w:rPr>
        <w:t>与我方的法定代表人（单位负责人）为同一人的企业如下：</w:t>
      </w:r>
    </w:p>
    <w:p w14:paraId="779D3841">
      <w:pPr>
        <w:ind w:firstLine="426"/>
        <w:rPr>
          <w:rFonts w:eastAsia="仿宋_GB2312"/>
          <w:sz w:val="24"/>
        </w:rPr>
      </w:pPr>
    </w:p>
    <w:p w14:paraId="6026C810">
      <w:pPr>
        <w:ind w:firstLine="426"/>
        <w:rPr>
          <w:rFonts w:eastAsia="仿宋_GB2312"/>
          <w:sz w:val="24"/>
        </w:rPr>
      </w:pPr>
      <w:r>
        <w:rPr>
          <w:rFonts w:eastAsia="仿宋_GB2312"/>
          <w:sz w:val="24"/>
        </w:rPr>
        <w:t>我方的控股股东如下：</w:t>
      </w:r>
    </w:p>
    <w:p w14:paraId="56E4DA09">
      <w:pPr>
        <w:ind w:firstLine="426"/>
        <w:rPr>
          <w:rFonts w:eastAsia="仿宋_GB2312"/>
          <w:sz w:val="24"/>
        </w:rPr>
      </w:pPr>
    </w:p>
    <w:p w14:paraId="65588238">
      <w:pPr>
        <w:ind w:firstLine="426"/>
        <w:rPr>
          <w:rFonts w:eastAsia="仿宋_GB2312"/>
          <w:sz w:val="24"/>
        </w:rPr>
      </w:pPr>
      <w:r>
        <w:rPr>
          <w:rFonts w:eastAsia="仿宋_GB2312"/>
          <w:sz w:val="24"/>
        </w:rPr>
        <w:t>我方直接控股的企业如下：</w:t>
      </w:r>
    </w:p>
    <w:p w14:paraId="301E97B1">
      <w:pPr>
        <w:ind w:firstLine="426"/>
        <w:rPr>
          <w:rFonts w:eastAsia="仿宋_GB2312"/>
          <w:sz w:val="24"/>
        </w:rPr>
      </w:pPr>
    </w:p>
    <w:p w14:paraId="25766002">
      <w:pPr>
        <w:ind w:firstLine="426"/>
        <w:rPr>
          <w:rFonts w:eastAsia="仿宋_GB2312"/>
          <w:sz w:val="24"/>
        </w:rPr>
      </w:pPr>
      <w:r>
        <w:rPr>
          <w:rFonts w:eastAsia="仿宋_GB2312"/>
          <w:sz w:val="24"/>
        </w:rPr>
        <w:t>与我方存在管理、被管理关系的单位名称如下：</w:t>
      </w:r>
    </w:p>
    <w:p w14:paraId="7BAB6727">
      <w:pPr>
        <w:ind w:firstLine="426"/>
        <w:rPr>
          <w:rFonts w:eastAsia="仿宋_GB2312"/>
          <w:sz w:val="24"/>
        </w:rPr>
      </w:pPr>
    </w:p>
    <w:p w14:paraId="705617C9">
      <w:pPr>
        <w:ind w:firstLine="426"/>
        <w:rPr>
          <w:rFonts w:eastAsia="仿宋_GB2312"/>
          <w:szCs w:val="21"/>
        </w:rPr>
      </w:pPr>
    </w:p>
    <w:p w14:paraId="57869706">
      <w:pPr>
        <w:spacing w:before="120" w:after="120" w:line="360" w:lineRule="auto"/>
        <w:ind w:firstLine="480" w:firstLineChars="200"/>
        <w:rPr>
          <w:rFonts w:eastAsia="仿宋_GB2312"/>
          <w:sz w:val="24"/>
          <w:u w:val="single"/>
        </w:rPr>
      </w:pPr>
      <w:r>
        <w:rPr>
          <w:rFonts w:eastAsia="仿宋_GB2312"/>
          <w:sz w:val="24"/>
        </w:rPr>
        <w:t>供应商（</w:t>
      </w:r>
      <w:r>
        <w:rPr>
          <w:rFonts w:hint="eastAsia" w:eastAsia="仿宋_GB2312"/>
          <w:sz w:val="24"/>
          <w:lang w:val="en-US" w:eastAsia="zh-CN"/>
        </w:rPr>
        <w:t>盖</w:t>
      </w:r>
      <w:r>
        <w:rPr>
          <w:rFonts w:eastAsia="仿宋_GB2312"/>
          <w:sz w:val="24"/>
        </w:rPr>
        <w:t xml:space="preserve">公章）： </w:t>
      </w:r>
      <w:r>
        <w:rPr>
          <w:rFonts w:eastAsia="仿宋_GB2312"/>
          <w:sz w:val="24"/>
          <w:u w:val="single"/>
        </w:rPr>
        <w:t xml:space="preserve">              </w:t>
      </w:r>
    </w:p>
    <w:p w14:paraId="2662984A">
      <w:pPr>
        <w:spacing w:before="120" w:after="120" w:line="360" w:lineRule="auto"/>
        <w:ind w:firstLine="480" w:firstLineChars="200"/>
        <w:rPr>
          <w:rFonts w:eastAsia="仿宋_GB2312"/>
          <w:sz w:val="24"/>
          <w:u w:val="single"/>
        </w:rPr>
      </w:pPr>
      <w:r>
        <w:rPr>
          <w:rFonts w:eastAsia="仿宋_GB2312"/>
          <w:sz w:val="24"/>
        </w:rPr>
        <w:t>法定代表人或其授权代表（签字</w:t>
      </w:r>
      <w:r>
        <w:rPr>
          <w:rFonts w:hint="eastAsia" w:eastAsia="仿宋_GB2312"/>
          <w:sz w:val="24"/>
          <w:lang w:val="en-US" w:eastAsia="zh-CN"/>
        </w:rPr>
        <w:t>或盖章</w:t>
      </w:r>
      <w:r>
        <w:rPr>
          <w:rFonts w:eastAsia="仿宋_GB2312"/>
          <w:sz w:val="24"/>
        </w:rPr>
        <w:t>）：</w:t>
      </w:r>
      <w:r>
        <w:rPr>
          <w:rFonts w:eastAsia="仿宋_GB2312"/>
          <w:sz w:val="24"/>
          <w:u w:val="single"/>
        </w:rPr>
        <w:t xml:space="preserve">                  </w:t>
      </w:r>
    </w:p>
    <w:p w14:paraId="53B2C30D">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14:paraId="61160F46">
      <w:pPr>
        <w:ind w:firstLine="420" w:firstLineChars="200"/>
        <w:rPr>
          <w:rFonts w:eastAsia="仿宋_GB2312"/>
          <w:szCs w:val="21"/>
        </w:rPr>
      </w:pPr>
    </w:p>
    <w:p w14:paraId="77D69E29">
      <w:pPr>
        <w:ind w:firstLine="420" w:firstLineChars="200"/>
        <w:rPr>
          <w:rFonts w:eastAsia="仿宋_GB2312"/>
          <w:szCs w:val="21"/>
        </w:rPr>
      </w:pPr>
    </w:p>
    <w:p w14:paraId="54E264F7">
      <w:pPr>
        <w:pStyle w:val="72"/>
        <w:numPr>
          <w:ilvl w:val="0"/>
          <w:numId w:val="0"/>
        </w:numPr>
        <w:ind w:leftChars="0"/>
        <w:jc w:val="left"/>
        <w:outlineLvl w:val="2"/>
        <w:rPr>
          <w:rFonts w:ascii="Times New Roman" w:hAnsi="Times New Roman" w:eastAsia="仿宋_GB2312"/>
          <w:b/>
          <w:sz w:val="24"/>
        </w:rPr>
      </w:pPr>
      <w:bookmarkStart w:id="461" w:name="_Toc7005128"/>
      <w:r>
        <w:rPr>
          <w:rFonts w:hint="eastAsia" w:ascii="Times New Roman" w:hAnsi="Times New Roman" w:eastAsia="仿宋_GB2312"/>
          <w:b/>
          <w:sz w:val="24"/>
          <w:lang w:val="en-US" w:eastAsia="zh-CN"/>
        </w:rPr>
        <w:t xml:space="preserve">6-8 </w:t>
      </w:r>
      <w:r>
        <w:rPr>
          <w:rFonts w:ascii="Times New Roman" w:hAnsi="Times New Roman" w:eastAsia="仿宋_GB2312"/>
          <w:b/>
          <w:sz w:val="24"/>
        </w:rPr>
        <w:t xml:space="preserve"> 供应商是否属于为本项目提供整体设计、规范编制或者项目管理、监理、检测等服务的供应商声明</w:t>
      </w:r>
      <w:bookmarkEnd w:id="461"/>
    </w:p>
    <w:p w14:paraId="1D416BA7">
      <w:pPr>
        <w:spacing w:line="360" w:lineRule="auto"/>
        <w:rPr>
          <w:rFonts w:eastAsia="仿宋_GB2312"/>
          <w:szCs w:val="21"/>
        </w:rPr>
      </w:pPr>
    </w:p>
    <w:p w14:paraId="4286D739">
      <w:pPr>
        <w:spacing w:line="360" w:lineRule="auto"/>
        <w:rPr>
          <w:rFonts w:eastAsia="仿宋_GB2312"/>
          <w:sz w:val="24"/>
        </w:rPr>
      </w:pPr>
      <w:r>
        <w:rPr>
          <w:rFonts w:hint="eastAsia" w:eastAsia="仿宋_GB2312"/>
          <w:kern w:val="0"/>
          <w:sz w:val="24"/>
          <w:lang w:eastAsia="zh-CN"/>
        </w:rPr>
        <w:t>（</w:t>
      </w:r>
      <w:r>
        <w:rPr>
          <w:rFonts w:hint="eastAsia" w:eastAsia="仿宋_GB2312"/>
          <w:kern w:val="0"/>
          <w:sz w:val="24"/>
          <w:lang w:val="en-US" w:eastAsia="zh-CN"/>
        </w:rPr>
        <w:t>采购人名称</w:t>
      </w:r>
      <w:r>
        <w:rPr>
          <w:rFonts w:hint="eastAsia" w:eastAsia="仿宋_GB2312"/>
          <w:kern w:val="0"/>
          <w:sz w:val="24"/>
          <w:lang w:eastAsia="zh-CN"/>
        </w:rPr>
        <w:t>）</w:t>
      </w:r>
      <w:r>
        <w:rPr>
          <w:rFonts w:eastAsia="仿宋_GB2312"/>
          <w:sz w:val="24"/>
        </w:rPr>
        <w:t>：</w:t>
      </w:r>
    </w:p>
    <w:p w14:paraId="064AE3EA">
      <w:pPr>
        <w:tabs>
          <w:tab w:val="left" w:pos="5580"/>
        </w:tabs>
        <w:spacing w:before="120" w:line="360" w:lineRule="auto"/>
        <w:ind w:firstLine="480" w:firstLineChars="200"/>
        <w:rPr>
          <w:rFonts w:eastAsia="仿宋_GB2312"/>
          <w:sz w:val="24"/>
        </w:rPr>
      </w:pPr>
      <w:r>
        <w:rPr>
          <w:rFonts w:eastAsia="仿宋_GB2312"/>
          <w:sz w:val="24"/>
        </w:rPr>
        <w:t>我方</w:t>
      </w:r>
      <w:r>
        <w:rPr>
          <w:rFonts w:eastAsia="仿宋_GB2312"/>
          <w:sz w:val="24"/>
          <w:u w:val="single"/>
        </w:rPr>
        <w:t xml:space="preserve"> 不属于 </w:t>
      </w:r>
      <w:r>
        <w:rPr>
          <w:rFonts w:eastAsia="仿宋_GB2312"/>
          <w:sz w:val="24"/>
        </w:rPr>
        <w:t>为本项目提供整体设计、规范编制或者项目管理、监理、检测等服务的供应商。</w:t>
      </w:r>
    </w:p>
    <w:p w14:paraId="1EFB2E92">
      <w:pPr>
        <w:ind w:firstLine="426"/>
        <w:rPr>
          <w:rFonts w:eastAsia="仿宋_GB2312"/>
          <w:szCs w:val="21"/>
        </w:rPr>
      </w:pPr>
    </w:p>
    <w:p w14:paraId="66B3088C">
      <w:pPr>
        <w:spacing w:before="120" w:after="120" w:line="360" w:lineRule="auto"/>
        <w:ind w:firstLine="480" w:firstLineChars="200"/>
        <w:rPr>
          <w:rFonts w:eastAsia="仿宋_GB2312"/>
          <w:sz w:val="24"/>
          <w:u w:val="single"/>
        </w:rPr>
      </w:pPr>
      <w:r>
        <w:rPr>
          <w:rFonts w:eastAsia="仿宋_GB2312"/>
          <w:sz w:val="24"/>
        </w:rPr>
        <w:t>供应商（</w:t>
      </w:r>
      <w:r>
        <w:rPr>
          <w:rFonts w:hint="eastAsia" w:eastAsia="仿宋_GB2312"/>
          <w:sz w:val="24"/>
          <w:lang w:val="en-US" w:eastAsia="zh-CN"/>
        </w:rPr>
        <w:t>盖</w:t>
      </w:r>
      <w:r>
        <w:rPr>
          <w:rFonts w:eastAsia="仿宋_GB2312"/>
          <w:sz w:val="24"/>
        </w:rPr>
        <w:t xml:space="preserve">公章）： </w:t>
      </w:r>
      <w:r>
        <w:rPr>
          <w:rFonts w:eastAsia="仿宋_GB2312"/>
          <w:sz w:val="24"/>
          <w:u w:val="single"/>
        </w:rPr>
        <w:t xml:space="preserve">              </w:t>
      </w:r>
    </w:p>
    <w:p w14:paraId="40D693F2">
      <w:pPr>
        <w:spacing w:before="120" w:after="120" w:line="360" w:lineRule="auto"/>
        <w:ind w:firstLine="480" w:firstLineChars="200"/>
        <w:rPr>
          <w:rFonts w:eastAsia="仿宋_GB2312"/>
          <w:sz w:val="24"/>
          <w:u w:val="single"/>
        </w:rPr>
      </w:pPr>
      <w:r>
        <w:rPr>
          <w:rFonts w:eastAsia="仿宋_GB2312"/>
          <w:sz w:val="24"/>
        </w:rPr>
        <w:t>法定代表人或其授权代表（签字</w:t>
      </w:r>
      <w:r>
        <w:rPr>
          <w:rFonts w:hint="eastAsia" w:eastAsia="仿宋_GB2312"/>
          <w:sz w:val="24"/>
          <w:lang w:val="en-US" w:eastAsia="zh-CN"/>
        </w:rPr>
        <w:t>或盖章</w:t>
      </w:r>
      <w:r>
        <w:rPr>
          <w:rFonts w:eastAsia="仿宋_GB2312"/>
          <w:sz w:val="24"/>
        </w:rPr>
        <w:t>）：</w:t>
      </w:r>
      <w:r>
        <w:rPr>
          <w:rFonts w:eastAsia="仿宋_GB2312"/>
          <w:sz w:val="24"/>
          <w:u w:val="single"/>
        </w:rPr>
        <w:t xml:space="preserve">                  </w:t>
      </w:r>
    </w:p>
    <w:p w14:paraId="1B26601E">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14:paraId="49E66B3D">
      <w:pPr>
        <w:pStyle w:val="22"/>
        <w:rPr>
          <w:highlight w:val="green"/>
        </w:rPr>
      </w:pPr>
    </w:p>
    <w:p w14:paraId="49256732">
      <w:pPr>
        <w:pStyle w:val="22"/>
        <w:outlineLvl w:val="2"/>
        <w:rPr>
          <w:rFonts w:hint="eastAsia" w:ascii="Times New Roman" w:hAnsi="Times New Roman" w:eastAsia="仿宋_GB2312"/>
          <w:b/>
          <w:sz w:val="24"/>
          <w:highlight w:val="none"/>
          <w:lang w:eastAsia="zh-CN"/>
        </w:rPr>
      </w:pPr>
      <w:bookmarkStart w:id="462" w:name="_Toc7005129"/>
      <w:r>
        <w:rPr>
          <w:rFonts w:ascii="Times New Roman" w:hAnsi="Times New Roman" w:eastAsia="仿宋_GB2312"/>
          <w:b/>
          <w:sz w:val="24"/>
          <w:highlight w:val="none"/>
        </w:rPr>
        <w:t>6-9</w:t>
      </w:r>
      <w:bookmarkEnd w:id="462"/>
      <w:r>
        <w:rPr>
          <w:rFonts w:hint="eastAsia" w:ascii="Times New Roman" w:hAnsi="Times New Roman" w:eastAsia="仿宋_GB2312"/>
          <w:b/>
          <w:sz w:val="24"/>
          <w:highlight w:val="none"/>
          <w:lang w:val="en-US" w:eastAsia="zh-CN"/>
        </w:rPr>
        <w:t xml:space="preserve">  </w:t>
      </w:r>
      <w:r>
        <w:rPr>
          <w:rFonts w:hint="eastAsia" w:ascii="Times New Roman" w:hAnsi="Times New Roman" w:eastAsia="仿宋_GB2312"/>
          <w:b/>
          <w:sz w:val="24"/>
          <w:highlight w:val="none"/>
          <w:lang w:eastAsia="zh-CN"/>
        </w:rPr>
        <w:t>供应商</w:t>
      </w:r>
      <w:r>
        <w:rPr>
          <w:rFonts w:hint="eastAsia" w:ascii="Times New Roman" w:hAnsi="Times New Roman" w:eastAsia="仿宋_GB2312"/>
          <w:b/>
          <w:sz w:val="24"/>
          <w:highlight w:val="none"/>
          <w:lang w:val="en-US" w:eastAsia="zh-CN"/>
        </w:rPr>
        <w:t>须提供《食品经营许可证》</w:t>
      </w:r>
      <w:r>
        <w:rPr>
          <w:rFonts w:hint="eastAsia" w:ascii="Times New Roman" w:hAnsi="Times New Roman" w:eastAsia="仿宋_GB2312"/>
          <w:b/>
          <w:sz w:val="24"/>
          <w:highlight w:val="none"/>
          <w:lang w:eastAsia="zh-CN"/>
        </w:rPr>
        <w:t>。</w:t>
      </w:r>
    </w:p>
    <w:p w14:paraId="72ADB6E9">
      <w:pPr>
        <w:pStyle w:val="22"/>
        <w:outlineLvl w:val="2"/>
        <w:rPr>
          <w:rFonts w:hint="eastAsia" w:ascii="Times New Roman" w:hAnsi="Times New Roman" w:eastAsia="仿宋_GB2312"/>
          <w:b/>
          <w:sz w:val="24"/>
          <w:highlight w:val="none"/>
          <w:lang w:val="en-US" w:eastAsia="zh-CN"/>
        </w:rPr>
      </w:pPr>
    </w:p>
    <w:p w14:paraId="42018B5F">
      <w:pPr>
        <w:pStyle w:val="22"/>
        <w:outlineLvl w:val="2"/>
        <w:rPr>
          <w:rFonts w:hint="eastAsia" w:ascii="Times New Roman" w:hAnsi="Times New Roman" w:eastAsia="仿宋_GB2312"/>
          <w:b/>
          <w:sz w:val="24"/>
          <w:highlight w:val="none"/>
          <w:lang w:val="en-US" w:eastAsia="zh-CN"/>
        </w:rPr>
      </w:pPr>
    </w:p>
    <w:p w14:paraId="5644612C">
      <w:pPr>
        <w:pStyle w:val="22"/>
        <w:outlineLvl w:val="2"/>
        <w:rPr>
          <w:rFonts w:hint="default" w:ascii="Times New Roman" w:hAnsi="Times New Roman" w:eastAsia="仿宋_GB2312"/>
          <w:b w:val="0"/>
          <w:bCs/>
          <w:sz w:val="24"/>
          <w:highlight w:val="none"/>
          <w:lang w:val="en-US" w:eastAsia="zh-CN"/>
        </w:rPr>
      </w:pPr>
      <w:r>
        <w:rPr>
          <w:rFonts w:hint="eastAsia" w:ascii="Times New Roman" w:hAnsi="Times New Roman" w:eastAsia="仿宋_GB2312"/>
          <w:b/>
          <w:sz w:val="24"/>
          <w:highlight w:val="none"/>
          <w:lang w:val="en-US" w:eastAsia="zh-CN"/>
        </w:rPr>
        <w:t xml:space="preserve">6-10 </w:t>
      </w:r>
      <w:r>
        <w:rPr>
          <w:rFonts w:hint="eastAsia" w:ascii="Times New Roman" w:hAnsi="Times New Roman" w:eastAsia="仿宋_GB2312"/>
          <w:b w:val="0"/>
          <w:bCs/>
          <w:sz w:val="24"/>
          <w:highlight w:val="none"/>
          <w:lang w:val="en-US" w:eastAsia="zh-CN"/>
        </w:rPr>
        <w:t>供应商在递交响应文件截止时间前被“信用中国”网站（www.creditchina.gov.cn）和中国政府采购网（www.ccgp.gov.cn）上被列入失信被执行人、重大税收违法失信主体、政府采购严重违法失信行为记录名单的，不得参加投标；</w:t>
      </w:r>
    </w:p>
    <w:p w14:paraId="6C75A64A">
      <w:pPr>
        <w:spacing w:after="120"/>
        <w:rPr>
          <w:rFonts w:eastAsia="仿宋_GB2312"/>
        </w:rPr>
      </w:pPr>
      <w:r>
        <w:rPr>
          <w:rFonts w:eastAsia="仿宋_GB2312"/>
          <w:b/>
          <w:bCs/>
        </w:rPr>
        <w:br w:type="page"/>
      </w:r>
    </w:p>
    <w:p w14:paraId="475735FA">
      <w:pPr>
        <w:spacing w:before="260" w:after="260" w:line="416" w:lineRule="atLeast"/>
        <w:jc w:val="both"/>
        <w:outlineLvl w:val="0"/>
        <w:rPr>
          <w:rFonts w:eastAsia="仿宋_GB2312"/>
          <w:b/>
          <w:bCs/>
          <w:sz w:val="32"/>
          <w:szCs w:val="32"/>
          <w:lang w:val="zh-CN"/>
        </w:rPr>
      </w:pPr>
      <w:bookmarkStart w:id="463" w:name="_Toc3254"/>
      <w:r>
        <w:rPr>
          <w:rFonts w:eastAsia="仿宋_GB2312"/>
          <w:b/>
          <w:bCs/>
          <w:sz w:val="32"/>
          <w:szCs w:val="32"/>
          <w:lang w:val="zh-CN"/>
        </w:rPr>
        <w:t>商务及技术部分</w:t>
      </w:r>
      <w:r>
        <w:rPr>
          <w:rFonts w:hint="eastAsia" w:eastAsia="仿宋_GB2312"/>
          <w:b/>
          <w:bCs/>
          <w:sz w:val="32"/>
          <w:szCs w:val="32"/>
          <w:lang w:val="zh-CN"/>
        </w:rPr>
        <w:t>：</w:t>
      </w:r>
    </w:p>
    <w:p w14:paraId="3ABBD308">
      <w:pPr>
        <w:pStyle w:val="3"/>
        <w:jc w:val="center"/>
        <w:rPr>
          <w:rFonts w:ascii="Times New Roman" w:hAnsi="Times New Roman" w:eastAsia="仿宋_GB2312"/>
          <w:b/>
          <w:bCs/>
        </w:rPr>
      </w:pPr>
      <w:r>
        <w:rPr>
          <w:rFonts w:ascii="Times New Roman" w:hAnsi="Times New Roman" w:eastAsia="仿宋_GB2312"/>
          <w:b/>
          <w:bCs/>
          <w:lang w:val="zh-CN"/>
        </w:rPr>
        <w:t>第一部分</w:t>
      </w:r>
      <w:r>
        <w:rPr>
          <w:rFonts w:ascii="Times New Roman" w:hAnsi="Times New Roman" w:eastAsia="仿宋_GB2312"/>
          <w:b/>
          <w:bCs/>
        </w:rPr>
        <w:t xml:space="preserve">  </w:t>
      </w:r>
      <w:r>
        <w:rPr>
          <w:rFonts w:ascii="Times New Roman" w:hAnsi="Times New Roman" w:eastAsia="仿宋_GB2312"/>
          <w:b/>
          <w:bCs/>
          <w:lang w:val="zh-CN"/>
        </w:rPr>
        <w:t>谈判响应函</w:t>
      </w:r>
      <w:bookmarkEnd w:id="463"/>
    </w:p>
    <w:p w14:paraId="5850AB8F">
      <w:pPr>
        <w:autoSpaceDE w:val="0"/>
        <w:autoSpaceDN w:val="0"/>
        <w:adjustRightInd w:val="0"/>
        <w:snapToGrid w:val="0"/>
        <w:spacing w:line="312" w:lineRule="auto"/>
        <w:rPr>
          <w:rFonts w:eastAsia="仿宋_GB2312"/>
          <w:b/>
          <w:bCs/>
          <w:sz w:val="24"/>
        </w:rPr>
      </w:pPr>
      <w:r>
        <w:rPr>
          <w:rFonts w:hint="eastAsia" w:eastAsia="仿宋_GB2312"/>
          <w:kern w:val="0"/>
          <w:sz w:val="24"/>
          <w:lang w:eastAsia="zh-CN"/>
        </w:rPr>
        <w:t>（</w:t>
      </w:r>
      <w:r>
        <w:rPr>
          <w:rFonts w:hint="eastAsia" w:eastAsia="仿宋_GB2312"/>
          <w:kern w:val="0"/>
          <w:sz w:val="24"/>
          <w:lang w:val="en-US" w:eastAsia="zh-CN"/>
        </w:rPr>
        <w:t>采购人名称</w:t>
      </w:r>
      <w:r>
        <w:rPr>
          <w:rFonts w:hint="eastAsia" w:eastAsia="仿宋_GB2312"/>
          <w:kern w:val="0"/>
          <w:sz w:val="24"/>
          <w:lang w:eastAsia="zh-CN"/>
        </w:rPr>
        <w:t>）</w:t>
      </w:r>
      <w:r>
        <w:rPr>
          <w:rFonts w:eastAsia="仿宋_GB2312"/>
          <w:b/>
          <w:bCs/>
          <w:sz w:val="24"/>
          <w:lang w:val="zh-CN"/>
        </w:rPr>
        <w:t>：</w:t>
      </w:r>
    </w:p>
    <w:p w14:paraId="7363DE3A">
      <w:pPr>
        <w:keepNext w:val="0"/>
        <w:keepLines w:val="0"/>
        <w:pageBreakBefore w:val="0"/>
        <w:widowControl w:val="0"/>
        <w:kinsoku/>
        <w:wordWrap w:val="0"/>
        <w:overflowPunct/>
        <w:topLinePunct w:val="0"/>
        <w:autoSpaceDE w:val="0"/>
        <w:autoSpaceDN w:val="0"/>
        <w:bidi w:val="0"/>
        <w:adjustRightInd w:val="0"/>
        <w:snapToGrid w:val="0"/>
        <w:spacing w:line="312" w:lineRule="auto"/>
        <w:ind w:firstLine="480" w:firstLineChars="200"/>
        <w:textAlignment w:val="auto"/>
        <w:rPr>
          <w:rFonts w:eastAsia="仿宋_GB2312"/>
          <w:sz w:val="24"/>
        </w:rPr>
      </w:pPr>
      <w:r>
        <w:rPr>
          <w:rFonts w:eastAsia="仿宋_GB2312"/>
          <w:sz w:val="24"/>
          <w:lang w:val="zh-CN"/>
        </w:rPr>
        <w:t>我单位收到贵公司</w:t>
      </w:r>
      <w:r>
        <w:rPr>
          <w:rFonts w:eastAsia="仿宋_GB2312"/>
          <w:sz w:val="24"/>
          <w:u w:val="single"/>
          <w:lang w:val="zh-CN"/>
        </w:rPr>
        <w:t xml:space="preserve"> （项目名称）</w:t>
      </w:r>
      <w:r>
        <w:rPr>
          <w:rFonts w:hint="eastAsia" w:eastAsia="仿宋_GB2312"/>
          <w:sz w:val="24"/>
          <w:u w:val="single"/>
          <w:lang w:val="en-US" w:eastAsia="zh-CN"/>
        </w:rPr>
        <w:t xml:space="preserve"> </w:t>
      </w:r>
      <w:r>
        <w:rPr>
          <w:rFonts w:eastAsia="仿宋_GB2312"/>
          <w:sz w:val="24"/>
          <w:lang w:val="zh-CN"/>
        </w:rPr>
        <w:t>竞争性谈判文件，经详细研究，我们决定参加本次谈判活动。为此，我方郑重声明以下诸点，并负法律责任：</w:t>
      </w:r>
    </w:p>
    <w:p w14:paraId="41D4E811">
      <w:pPr>
        <w:keepNext w:val="0"/>
        <w:keepLines w:val="0"/>
        <w:pageBreakBefore w:val="0"/>
        <w:widowControl w:val="0"/>
        <w:kinsoku/>
        <w:wordWrap w:val="0"/>
        <w:overflowPunct/>
        <w:topLinePunct w:val="0"/>
        <w:autoSpaceDE w:val="0"/>
        <w:autoSpaceDN w:val="0"/>
        <w:bidi w:val="0"/>
        <w:adjustRightInd w:val="0"/>
        <w:snapToGrid w:val="0"/>
        <w:spacing w:line="312" w:lineRule="auto"/>
        <w:ind w:left="0" w:leftChars="0" w:firstLine="480" w:firstLineChars="200"/>
        <w:textAlignment w:val="auto"/>
        <w:rPr>
          <w:rFonts w:eastAsia="仿宋_GB2312"/>
          <w:sz w:val="24"/>
        </w:rPr>
      </w:pPr>
      <w:r>
        <w:rPr>
          <w:rFonts w:eastAsia="仿宋_GB2312"/>
          <w:sz w:val="24"/>
        </w:rPr>
        <w:t>一</w:t>
      </w:r>
      <w:r>
        <w:rPr>
          <w:rFonts w:eastAsia="仿宋_GB2312"/>
          <w:sz w:val="24"/>
          <w:lang w:val="zh-CN"/>
        </w:rPr>
        <w:t>、愿意按照竞争性谈判文件中的要求，提供谈判产品及技术服务，完成合同的责任和义务。</w:t>
      </w:r>
    </w:p>
    <w:p w14:paraId="69F11E6F">
      <w:pPr>
        <w:keepNext w:val="0"/>
        <w:keepLines w:val="0"/>
        <w:pageBreakBefore w:val="0"/>
        <w:widowControl w:val="0"/>
        <w:kinsoku/>
        <w:wordWrap w:val="0"/>
        <w:overflowPunct/>
        <w:topLinePunct w:val="0"/>
        <w:autoSpaceDE w:val="0"/>
        <w:autoSpaceDN w:val="0"/>
        <w:bidi w:val="0"/>
        <w:adjustRightInd w:val="0"/>
        <w:snapToGrid w:val="0"/>
        <w:spacing w:line="312" w:lineRule="auto"/>
        <w:ind w:left="0" w:leftChars="0" w:firstLine="480" w:firstLineChars="200"/>
        <w:textAlignment w:val="auto"/>
        <w:rPr>
          <w:rFonts w:eastAsia="仿宋_GB2312"/>
          <w:sz w:val="24"/>
        </w:rPr>
      </w:pPr>
      <w:r>
        <w:rPr>
          <w:rFonts w:eastAsia="仿宋_GB2312"/>
          <w:sz w:val="24"/>
        </w:rPr>
        <w:t>二</w:t>
      </w:r>
      <w:r>
        <w:rPr>
          <w:rFonts w:eastAsia="仿宋_GB2312"/>
          <w:sz w:val="24"/>
          <w:lang w:val="zh-CN"/>
        </w:rPr>
        <w:t>、按竞争性谈判文件的规定，我公司的首次谈判响应报价为</w:t>
      </w:r>
      <w:r>
        <w:rPr>
          <w:rFonts w:hint="eastAsia" w:eastAsia="仿宋_GB2312"/>
          <w:sz w:val="24"/>
          <w:u w:val="single"/>
          <w:lang w:val="en-US" w:eastAsia="zh-CN"/>
        </w:rPr>
        <w:t xml:space="preserve">      </w:t>
      </w:r>
      <w:r>
        <w:rPr>
          <w:rFonts w:hint="eastAsia" w:eastAsia="仿宋_GB2312"/>
          <w:sz w:val="24"/>
          <w:u w:val="none"/>
          <w:lang w:val="en-US" w:eastAsia="zh-CN"/>
        </w:rPr>
        <w:t>%</w:t>
      </w:r>
      <w:r>
        <w:rPr>
          <w:rFonts w:eastAsia="仿宋_GB2312"/>
          <w:sz w:val="24"/>
          <w:lang w:val="zh-CN"/>
        </w:rPr>
        <w:t>，并对其后的谈判报价负法律责任。</w:t>
      </w:r>
    </w:p>
    <w:p w14:paraId="7481FFCB">
      <w:pPr>
        <w:keepNext w:val="0"/>
        <w:keepLines w:val="0"/>
        <w:pageBreakBefore w:val="0"/>
        <w:widowControl w:val="0"/>
        <w:kinsoku/>
        <w:wordWrap w:val="0"/>
        <w:overflowPunct/>
        <w:topLinePunct w:val="0"/>
        <w:autoSpaceDE w:val="0"/>
        <w:autoSpaceDN w:val="0"/>
        <w:bidi w:val="0"/>
        <w:adjustRightInd w:val="0"/>
        <w:snapToGrid w:val="0"/>
        <w:spacing w:line="312" w:lineRule="auto"/>
        <w:ind w:left="0" w:leftChars="0" w:firstLine="480" w:firstLineChars="200"/>
        <w:textAlignment w:val="auto"/>
        <w:rPr>
          <w:rFonts w:eastAsia="仿宋_GB2312"/>
          <w:sz w:val="24"/>
        </w:rPr>
      </w:pPr>
      <w:r>
        <w:rPr>
          <w:rFonts w:eastAsia="仿宋_GB2312"/>
          <w:sz w:val="24"/>
        </w:rPr>
        <w:t>三</w:t>
      </w:r>
      <w:r>
        <w:rPr>
          <w:rFonts w:eastAsia="仿宋_GB2312"/>
          <w:sz w:val="24"/>
          <w:lang w:val="zh-CN"/>
        </w:rPr>
        <w:t>、</w:t>
      </w:r>
      <w:r>
        <w:rPr>
          <w:rFonts w:hint="eastAsia" w:eastAsia="仿宋_GB2312"/>
          <w:sz w:val="24"/>
          <w:lang w:val="en-US" w:eastAsia="zh-CN"/>
        </w:rPr>
        <w:t>若</w:t>
      </w:r>
      <w:r>
        <w:rPr>
          <w:rFonts w:eastAsia="仿宋_GB2312"/>
          <w:sz w:val="24"/>
          <w:lang w:val="zh-CN"/>
        </w:rPr>
        <w:t>我方</w:t>
      </w:r>
      <w:r>
        <w:rPr>
          <w:rFonts w:hint="eastAsia" w:eastAsia="仿宋_GB2312"/>
          <w:sz w:val="24"/>
          <w:lang w:val="en-US" w:eastAsia="zh-CN"/>
        </w:rPr>
        <w:t>成交，我方自愿按照谈判文件规定的份数提交纸质谈判响应文件</w:t>
      </w:r>
      <w:r>
        <w:rPr>
          <w:rFonts w:eastAsia="仿宋_GB2312"/>
          <w:sz w:val="24"/>
          <w:lang w:val="zh-CN"/>
        </w:rPr>
        <w:t>。</w:t>
      </w:r>
    </w:p>
    <w:p w14:paraId="7E1B54D3">
      <w:pPr>
        <w:keepNext w:val="0"/>
        <w:keepLines w:val="0"/>
        <w:pageBreakBefore w:val="0"/>
        <w:widowControl w:val="0"/>
        <w:kinsoku/>
        <w:wordWrap w:val="0"/>
        <w:overflowPunct/>
        <w:topLinePunct w:val="0"/>
        <w:autoSpaceDE w:val="0"/>
        <w:autoSpaceDN w:val="0"/>
        <w:bidi w:val="0"/>
        <w:adjustRightInd w:val="0"/>
        <w:snapToGrid w:val="0"/>
        <w:spacing w:line="312" w:lineRule="auto"/>
        <w:ind w:left="0" w:leftChars="0" w:firstLine="480" w:firstLineChars="200"/>
        <w:textAlignment w:val="auto"/>
        <w:rPr>
          <w:rFonts w:eastAsia="仿宋_GB2312"/>
          <w:sz w:val="24"/>
          <w:lang w:val="zh-CN"/>
        </w:rPr>
      </w:pPr>
      <w:r>
        <w:rPr>
          <w:rFonts w:eastAsia="仿宋_GB2312"/>
          <w:sz w:val="24"/>
        </w:rPr>
        <w:t>四</w:t>
      </w:r>
      <w:r>
        <w:rPr>
          <w:rFonts w:eastAsia="仿宋_GB2312"/>
          <w:sz w:val="24"/>
          <w:lang w:val="zh-CN"/>
        </w:rPr>
        <w:t>、我方已详细阅读了竞争性谈判文件，完全理解并放弃提出含糊不清或易形成歧义的表述和资料。</w:t>
      </w:r>
    </w:p>
    <w:p w14:paraId="6F463906">
      <w:pPr>
        <w:keepNext w:val="0"/>
        <w:keepLines w:val="0"/>
        <w:pageBreakBefore w:val="0"/>
        <w:widowControl w:val="0"/>
        <w:kinsoku/>
        <w:wordWrap w:val="0"/>
        <w:overflowPunct/>
        <w:topLinePunct w:val="0"/>
        <w:autoSpaceDE w:val="0"/>
        <w:autoSpaceDN w:val="0"/>
        <w:bidi w:val="0"/>
        <w:adjustRightInd w:val="0"/>
        <w:snapToGrid w:val="0"/>
        <w:spacing w:line="312" w:lineRule="auto"/>
        <w:ind w:left="0" w:leftChars="0" w:firstLine="480" w:firstLineChars="200"/>
        <w:textAlignment w:val="auto"/>
        <w:rPr>
          <w:rFonts w:eastAsia="仿宋_GB2312"/>
          <w:sz w:val="24"/>
        </w:rPr>
      </w:pPr>
      <w:r>
        <w:rPr>
          <w:rFonts w:eastAsia="仿宋_GB2312"/>
          <w:sz w:val="24"/>
          <w:lang w:val="zh-CN"/>
        </w:rPr>
        <w:t>五、如果我方在谈判有效期内撤回响应文件，则</w:t>
      </w:r>
      <w:r>
        <w:rPr>
          <w:rFonts w:hint="eastAsia" w:eastAsia="仿宋_GB2312"/>
          <w:sz w:val="24"/>
          <w:lang w:val="en-US" w:eastAsia="zh-CN"/>
        </w:rPr>
        <w:t>承担相应责任</w:t>
      </w:r>
      <w:r>
        <w:rPr>
          <w:rFonts w:eastAsia="仿宋_GB2312"/>
          <w:sz w:val="24"/>
          <w:lang w:val="zh-CN"/>
        </w:rPr>
        <w:t>。</w:t>
      </w:r>
    </w:p>
    <w:p w14:paraId="32563C59">
      <w:pPr>
        <w:keepNext w:val="0"/>
        <w:keepLines w:val="0"/>
        <w:pageBreakBefore w:val="0"/>
        <w:widowControl w:val="0"/>
        <w:kinsoku/>
        <w:wordWrap w:val="0"/>
        <w:overflowPunct/>
        <w:topLinePunct w:val="0"/>
        <w:autoSpaceDE w:val="0"/>
        <w:autoSpaceDN w:val="0"/>
        <w:bidi w:val="0"/>
        <w:adjustRightInd w:val="0"/>
        <w:snapToGrid w:val="0"/>
        <w:spacing w:line="312" w:lineRule="auto"/>
        <w:ind w:left="0" w:leftChars="0" w:firstLine="480" w:firstLineChars="200"/>
        <w:textAlignment w:val="auto"/>
        <w:rPr>
          <w:rFonts w:eastAsia="仿宋_GB2312"/>
          <w:sz w:val="24"/>
          <w:lang w:val="zh-CN"/>
        </w:rPr>
      </w:pPr>
      <w:r>
        <w:rPr>
          <w:rFonts w:eastAsia="仿宋_GB2312"/>
          <w:sz w:val="24"/>
        </w:rPr>
        <w:t>六</w:t>
      </w:r>
      <w:r>
        <w:rPr>
          <w:rFonts w:eastAsia="仿宋_GB2312"/>
          <w:sz w:val="24"/>
          <w:lang w:val="zh-CN"/>
        </w:rPr>
        <w:t>、同意向贵方提供可能要求的与本次谈判有关的任何证据或资料，且尊重谈判小组的评审结论和结果。</w:t>
      </w:r>
    </w:p>
    <w:p w14:paraId="5DF9734B">
      <w:pPr>
        <w:keepNext w:val="0"/>
        <w:keepLines w:val="0"/>
        <w:pageBreakBefore w:val="0"/>
        <w:widowControl w:val="0"/>
        <w:kinsoku/>
        <w:wordWrap w:val="0"/>
        <w:overflowPunct/>
        <w:topLinePunct w:val="0"/>
        <w:autoSpaceDE w:val="0"/>
        <w:autoSpaceDN w:val="0"/>
        <w:bidi w:val="0"/>
        <w:adjustRightInd w:val="0"/>
        <w:snapToGrid w:val="0"/>
        <w:spacing w:line="312" w:lineRule="auto"/>
        <w:ind w:left="0" w:leftChars="0" w:firstLine="480" w:firstLineChars="200"/>
        <w:textAlignment w:val="auto"/>
        <w:rPr>
          <w:rFonts w:eastAsia="仿宋_GB2312"/>
          <w:sz w:val="24"/>
        </w:rPr>
      </w:pPr>
      <w:r>
        <w:rPr>
          <w:rFonts w:eastAsia="仿宋_GB2312"/>
          <w:sz w:val="24"/>
          <w:lang w:val="zh-CN"/>
        </w:rPr>
        <w:t>七、我方的响应文件有效期为自谈判之日起</w:t>
      </w:r>
      <w:r>
        <w:rPr>
          <w:rFonts w:eastAsia="仿宋_GB2312"/>
          <w:sz w:val="24"/>
          <w:u w:val="single"/>
          <w:lang w:val="zh-CN"/>
        </w:rPr>
        <w:t xml:space="preserve"> </w:t>
      </w:r>
      <w:r>
        <w:rPr>
          <w:rFonts w:hint="eastAsia" w:eastAsia="仿宋_GB2312"/>
          <w:sz w:val="24"/>
          <w:u w:val="single"/>
          <w:lang w:val="en-US" w:eastAsia="zh-CN"/>
        </w:rPr>
        <w:t>9</w:t>
      </w:r>
      <w:r>
        <w:rPr>
          <w:rFonts w:eastAsia="仿宋_GB2312"/>
          <w:sz w:val="24"/>
          <w:u w:val="single"/>
        </w:rPr>
        <w:t xml:space="preserve">0 </w:t>
      </w:r>
      <w:r>
        <w:rPr>
          <w:rFonts w:eastAsia="仿宋_GB2312"/>
          <w:sz w:val="24"/>
          <w:lang w:val="zh-CN"/>
        </w:rPr>
        <w:t>个日历天。若我方成交，响应文件有效期延长至合同执行完毕。</w:t>
      </w:r>
    </w:p>
    <w:p w14:paraId="03587E11">
      <w:pPr>
        <w:keepNext w:val="0"/>
        <w:keepLines w:val="0"/>
        <w:pageBreakBefore w:val="0"/>
        <w:widowControl w:val="0"/>
        <w:kinsoku/>
        <w:wordWrap w:val="0"/>
        <w:overflowPunct/>
        <w:topLinePunct w:val="0"/>
        <w:autoSpaceDE w:val="0"/>
        <w:autoSpaceDN w:val="0"/>
        <w:bidi w:val="0"/>
        <w:adjustRightInd w:val="0"/>
        <w:snapToGrid w:val="0"/>
        <w:spacing w:line="312" w:lineRule="auto"/>
        <w:ind w:left="0" w:leftChars="0" w:firstLine="480" w:firstLineChars="200"/>
        <w:textAlignment w:val="auto"/>
        <w:rPr>
          <w:rFonts w:eastAsia="仿宋_GB2312"/>
          <w:sz w:val="24"/>
          <w:lang w:val="zh-CN"/>
        </w:rPr>
      </w:pPr>
      <w:r>
        <w:rPr>
          <w:rFonts w:eastAsia="仿宋_GB2312"/>
          <w:sz w:val="24"/>
        </w:rPr>
        <w:t>八</w:t>
      </w:r>
      <w:r>
        <w:rPr>
          <w:rFonts w:eastAsia="仿宋_GB2312"/>
          <w:sz w:val="24"/>
          <w:lang w:val="zh-CN"/>
        </w:rPr>
        <w:t>、如我方成交：</w:t>
      </w:r>
    </w:p>
    <w:p w14:paraId="26F095B9">
      <w:pPr>
        <w:keepNext w:val="0"/>
        <w:keepLines w:val="0"/>
        <w:pageBreakBefore w:val="0"/>
        <w:widowControl w:val="0"/>
        <w:kinsoku/>
        <w:wordWrap w:val="0"/>
        <w:overflowPunct/>
        <w:topLinePunct w:val="0"/>
        <w:autoSpaceDE w:val="0"/>
        <w:autoSpaceDN w:val="0"/>
        <w:bidi w:val="0"/>
        <w:adjustRightInd w:val="0"/>
        <w:snapToGrid w:val="0"/>
        <w:spacing w:line="312" w:lineRule="auto"/>
        <w:ind w:left="0" w:leftChars="0" w:firstLine="480" w:firstLineChars="200"/>
        <w:textAlignment w:val="auto"/>
        <w:rPr>
          <w:rFonts w:eastAsia="仿宋_GB2312"/>
          <w:sz w:val="24"/>
          <w:lang w:val="zh-CN"/>
        </w:rPr>
      </w:pPr>
      <w:r>
        <w:rPr>
          <w:rFonts w:eastAsia="仿宋_GB2312"/>
          <w:sz w:val="24"/>
          <w:lang w:val="zh-CN"/>
        </w:rPr>
        <w:t>（1）我方承诺在收到成交通知书后，在谈判文件规定的期限内与采购人签订合同。</w:t>
      </w:r>
    </w:p>
    <w:p w14:paraId="7D128423">
      <w:pPr>
        <w:keepNext w:val="0"/>
        <w:keepLines w:val="0"/>
        <w:pageBreakBefore w:val="0"/>
        <w:widowControl w:val="0"/>
        <w:kinsoku/>
        <w:wordWrap w:val="0"/>
        <w:overflowPunct/>
        <w:topLinePunct w:val="0"/>
        <w:autoSpaceDE w:val="0"/>
        <w:autoSpaceDN w:val="0"/>
        <w:bidi w:val="0"/>
        <w:adjustRightInd w:val="0"/>
        <w:snapToGrid w:val="0"/>
        <w:spacing w:line="312" w:lineRule="auto"/>
        <w:ind w:left="0" w:leftChars="0" w:firstLine="480" w:firstLineChars="200"/>
        <w:textAlignment w:val="auto"/>
        <w:rPr>
          <w:rFonts w:eastAsia="仿宋_GB2312"/>
          <w:sz w:val="24"/>
          <w:lang w:val="zh-CN"/>
        </w:rPr>
      </w:pPr>
      <w:r>
        <w:rPr>
          <w:rFonts w:eastAsia="仿宋_GB2312"/>
          <w:sz w:val="24"/>
          <w:lang w:val="zh-CN"/>
        </w:rPr>
        <w:t>（</w:t>
      </w:r>
      <w:r>
        <w:rPr>
          <w:rFonts w:hint="eastAsia" w:eastAsia="仿宋_GB2312"/>
          <w:sz w:val="24"/>
          <w:lang w:val="en-US" w:eastAsia="zh-CN"/>
        </w:rPr>
        <w:t>2</w:t>
      </w:r>
      <w:r>
        <w:rPr>
          <w:rFonts w:eastAsia="仿宋_GB2312"/>
          <w:sz w:val="24"/>
          <w:lang w:val="zh-CN"/>
        </w:rPr>
        <w:t>）我方承诺按合同约定的期限和地点，提供符合谈判文件要求的全部的货物和服务。</w:t>
      </w:r>
    </w:p>
    <w:p w14:paraId="514EA2ED">
      <w:pPr>
        <w:keepNext w:val="0"/>
        <w:keepLines w:val="0"/>
        <w:pageBreakBefore w:val="0"/>
        <w:widowControl w:val="0"/>
        <w:kinsoku/>
        <w:wordWrap w:val="0"/>
        <w:overflowPunct/>
        <w:topLinePunct w:val="0"/>
        <w:autoSpaceDE w:val="0"/>
        <w:autoSpaceDN w:val="0"/>
        <w:bidi w:val="0"/>
        <w:adjustRightInd w:val="0"/>
        <w:snapToGrid w:val="0"/>
        <w:spacing w:line="312" w:lineRule="auto"/>
        <w:ind w:left="0" w:leftChars="0" w:firstLine="480" w:firstLineChars="200"/>
        <w:textAlignment w:val="auto"/>
        <w:rPr>
          <w:rFonts w:eastAsia="仿宋_GB2312"/>
          <w:sz w:val="24"/>
          <w:lang w:val="zh-CN"/>
        </w:rPr>
      </w:pPr>
      <w:r>
        <w:rPr>
          <w:rFonts w:eastAsia="仿宋_GB2312"/>
          <w:sz w:val="24"/>
          <w:lang w:val="zh-CN"/>
        </w:rPr>
        <w:t>（</w:t>
      </w:r>
      <w:r>
        <w:rPr>
          <w:rFonts w:hint="eastAsia" w:eastAsia="仿宋_GB2312"/>
          <w:sz w:val="24"/>
          <w:lang w:val="en-US" w:eastAsia="zh-CN"/>
        </w:rPr>
        <w:t>3</w:t>
      </w:r>
      <w:r>
        <w:rPr>
          <w:rFonts w:eastAsia="仿宋_GB2312"/>
          <w:sz w:val="24"/>
          <w:lang w:val="zh-CN"/>
        </w:rPr>
        <w:t>）我方保证在领取成交通知书前按要求支付成交服务费。</w:t>
      </w:r>
    </w:p>
    <w:p w14:paraId="4820D139">
      <w:pPr>
        <w:keepNext w:val="0"/>
        <w:keepLines w:val="0"/>
        <w:pageBreakBefore w:val="0"/>
        <w:widowControl w:val="0"/>
        <w:kinsoku/>
        <w:wordWrap w:val="0"/>
        <w:overflowPunct/>
        <w:topLinePunct w:val="0"/>
        <w:autoSpaceDE w:val="0"/>
        <w:autoSpaceDN w:val="0"/>
        <w:bidi w:val="0"/>
        <w:adjustRightInd w:val="0"/>
        <w:snapToGrid w:val="0"/>
        <w:spacing w:line="312" w:lineRule="auto"/>
        <w:ind w:left="0" w:leftChars="0" w:firstLine="480" w:firstLineChars="200"/>
        <w:textAlignment w:val="auto"/>
        <w:rPr>
          <w:rFonts w:eastAsia="仿宋_GB2312"/>
          <w:sz w:val="24"/>
          <w:lang w:val="zh-CN"/>
        </w:rPr>
      </w:pPr>
      <w:r>
        <w:rPr>
          <w:rFonts w:eastAsia="仿宋_GB2312"/>
          <w:sz w:val="24"/>
          <w:lang w:val="zh-CN"/>
        </w:rPr>
        <w:t>九、有关于本响应文件的函电，请按下列地址联系。</w:t>
      </w:r>
    </w:p>
    <w:p w14:paraId="3A92497E">
      <w:pPr>
        <w:autoSpaceDE w:val="0"/>
        <w:autoSpaceDN w:val="0"/>
        <w:adjustRightInd w:val="0"/>
        <w:snapToGrid w:val="0"/>
        <w:spacing w:line="312" w:lineRule="auto"/>
        <w:ind w:firstLine="480" w:firstLineChars="200"/>
        <w:rPr>
          <w:rFonts w:eastAsia="仿宋_GB2312"/>
          <w:sz w:val="24"/>
        </w:rPr>
      </w:pPr>
      <w:r>
        <w:rPr>
          <w:rFonts w:eastAsia="仿宋_GB2312"/>
          <w:sz w:val="24"/>
          <w:lang w:val="zh-CN"/>
        </w:rPr>
        <w:t>地</w:t>
      </w:r>
      <w:r>
        <w:rPr>
          <w:rFonts w:eastAsia="仿宋_GB2312"/>
          <w:sz w:val="24"/>
        </w:rPr>
        <w:t xml:space="preserve">    </w:t>
      </w:r>
      <w:r>
        <w:rPr>
          <w:rFonts w:eastAsia="仿宋_GB2312"/>
          <w:sz w:val="24"/>
          <w:lang w:val="zh-CN"/>
        </w:rPr>
        <w:t>址：</w:t>
      </w:r>
      <w:r>
        <w:rPr>
          <w:rFonts w:eastAsia="仿宋_GB2312"/>
          <w:sz w:val="24"/>
        </w:rPr>
        <w:t>__________________________________________</w:t>
      </w:r>
    </w:p>
    <w:p w14:paraId="037B5964">
      <w:pPr>
        <w:autoSpaceDE w:val="0"/>
        <w:autoSpaceDN w:val="0"/>
        <w:adjustRightInd w:val="0"/>
        <w:snapToGrid w:val="0"/>
        <w:spacing w:line="312" w:lineRule="auto"/>
        <w:ind w:firstLine="480" w:firstLineChars="200"/>
        <w:rPr>
          <w:rFonts w:eastAsia="仿宋_GB2312"/>
          <w:sz w:val="24"/>
        </w:rPr>
      </w:pPr>
      <w:r>
        <w:rPr>
          <w:rFonts w:eastAsia="仿宋_GB2312"/>
          <w:sz w:val="24"/>
          <w:lang w:val="zh-CN"/>
        </w:rPr>
        <w:t>开户银行：</w:t>
      </w:r>
      <w:r>
        <w:rPr>
          <w:rFonts w:eastAsia="仿宋_GB2312"/>
          <w:sz w:val="24"/>
        </w:rPr>
        <w:t>__________________________________________</w:t>
      </w:r>
    </w:p>
    <w:p w14:paraId="52423C49">
      <w:pPr>
        <w:autoSpaceDE w:val="0"/>
        <w:autoSpaceDN w:val="0"/>
        <w:adjustRightInd w:val="0"/>
        <w:snapToGrid w:val="0"/>
        <w:spacing w:line="312" w:lineRule="auto"/>
        <w:ind w:firstLine="480" w:firstLineChars="200"/>
        <w:rPr>
          <w:rFonts w:eastAsia="仿宋_GB2312"/>
          <w:sz w:val="24"/>
        </w:rPr>
      </w:pPr>
      <w:r>
        <w:rPr>
          <w:rFonts w:eastAsia="仿宋_GB2312"/>
          <w:sz w:val="24"/>
          <w:lang w:val="zh-CN"/>
        </w:rPr>
        <w:t>帐</w:t>
      </w:r>
      <w:r>
        <w:rPr>
          <w:rFonts w:eastAsia="仿宋_GB2312"/>
          <w:sz w:val="24"/>
        </w:rPr>
        <w:t xml:space="preserve">    </w:t>
      </w:r>
      <w:r>
        <w:rPr>
          <w:rFonts w:eastAsia="仿宋_GB2312"/>
          <w:sz w:val="24"/>
          <w:lang w:val="zh-CN"/>
        </w:rPr>
        <w:t>号：</w:t>
      </w:r>
      <w:r>
        <w:rPr>
          <w:rFonts w:eastAsia="仿宋_GB2312"/>
          <w:sz w:val="24"/>
        </w:rPr>
        <w:t>__________________________________________</w:t>
      </w:r>
    </w:p>
    <w:p w14:paraId="38B3BEA4">
      <w:pPr>
        <w:autoSpaceDE w:val="0"/>
        <w:autoSpaceDN w:val="0"/>
        <w:adjustRightInd w:val="0"/>
        <w:snapToGrid w:val="0"/>
        <w:spacing w:line="312" w:lineRule="auto"/>
        <w:ind w:firstLine="480" w:firstLineChars="200"/>
        <w:rPr>
          <w:rFonts w:eastAsia="仿宋_GB2312"/>
          <w:sz w:val="24"/>
        </w:rPr>
      </w:pPr>
      <w:r>
        <w:rPr>
          <w:rFonts w:eastAsia="仿宋_GB2312"/>
          <w:sz w:val="24"/>
          <w:lang w:val="zh-CN"/>
        </w:rPr>
        <w:t>电</w:t>
      </w:r>
      <w:r>
        <w:rPr>
          <w:rFonts w:eastAsia="仿宋_GB2312"/>
          <w:sz w:val="24"/>
        </w:rPr>
        <w:t xml:space="preserve">    </w:t>
      </w:r>
      <w:r>
        <w:rPr>
          <w:rFonts w:eastAsia="仿宋_GB2312"/>
          <w:sz w:val="24"/>
          <w:lang w:val="zh-CN"/>
        </w:rPr>
        <w:t>话：</w:t>
      </w:r>
      <w:r>
        <w:rPr>
          <w:rFonts w:eastAsia="仿宋_GB2312"/>
          <w:sz w:val="24"/>
        </w:rPr>
        <w:t>_____________________</w:t>
      </w:r>
      <w:r>
        <w:rPr>
          <w:rFonts w:eastAsia="仿宋_GB2312"/>
          <w:sz w:val="24"/>
          <w:lang w:val="zh-CN"/>
        </w:rPr>
        <w:t>传</w:t>
      </w:r>
      <w:r>
        <w:rPr>
          <w:rFonts w:eastAsia="仿宋_GB2312"/>
          <w:sz w:val="24"/>
        </w:rPr>
        <w:t xml:space="preserve">    </w:t>
      </w:r>
      <w:r>
        <w:rPr>
          <w:rFonts w:eastAsia="仿宋_GB2312"/>
          <w:sz w:val="24"/>
          <w:lang w:val="zh-CN"/>
        </w:rPr>
        <w:t>真：</w:t>
      </w:r>
      <w:r>
        <w:rPr>
          <w:rFonts w:eastAsia="仿宋_GB2312"/>
          <w:sz w:val="24"/>
        </w:rPr>
        <w:t>___________</w:t>
      </w:r>
    </w:p>
    <w:p w14:paraId="1195F87E">
      <w:pPr>
        <w:spacing w:before="120" w:after="120" w:line="360" w:lineRule="auto"/>
        <w:ind w:firstLine="480" w:firstLineChars="200"/>
        <w:rPr>
          <w:rFonts w:eastAsia="仿宋_GB2312"/>
          <w:sz w:val="24"/>
          <w:u w:val="single"/>
        </w:rPr>
      </w:pPr>
      <w:bookmarkStart w:id="464" w:name="_Hlt520356241"/>
      <w:bookmarkEnd w:id="464"/>
      <w:r>
        <w:rPr>
          <w:rFonts w:eastAsia="仿宋_GB2312"/>
          <w:sz w:val="24"/>
        </w:rPr>
        <w:t>供应商（</w:t>
      </w:r>
      <w:r>
        <w:rPr>
          <w:rFonts w:hint="eastAsia" w:eastAsia="仿宋_GB2312"/>
          <w:sz w:val="24"/>
          <w:lang w:val="en-US" w:eastAsia="zh-CN"/>
        </w:rPr>
        <w:t>盖</w:t>
      </w:r>
      <w:r>
        <w:rPr>
          <w:rFonts w:eastAsia="仿宋_GB2312"/>
          <w:sz w:val="24"/>
        </w:rPr>
        <w:t>公章）：</w:t>
      </w:r>
      <w:r>
        <w:rPr>
          <w:rFonts w:eastAsia="仿宋_GB2312"/>
          <w:sz w:val="24"/>
          <w:u w:val="single"/>
        </w:rPr>
        <w:t xml:space="preserve">            </w:t>
      </w:r>
      <w:r>
        <w:rPr>
          <w:rFonts w:hint="eastAsia" w:eastAsia="仿宋_GB2312"/>
          <w:sz w:val="24"/>
          <w:u w:val="single"/>
          <w:lang w:val="en-US" w:eastAsia="zh-CN"/>
        </w:rPr>
        <w:t xml:space="preserve">   </w:t>
      </w:r>
      <w:r>
        <w:rPr>
          <w:rFonts w:eastAsia="仿宋_GB2312"/>
          <w:sz w:val="24"/>
          <w:u w:val="single"/>
        </w:rPr>
        <w:t xml:space="preserve">  </w:t>
      </w:r>
    </w:p>
    <w:p w14:paraId="713993D1">
      <w:pPr>
        <w:spacing w:before="120" w:after="120" w:line="360" w:lineRule="auto"/>
        <w:ind w:firstLine="480" w:firstLineChars="200"/>
        <w:rPr>
          <w:rFonts w:eastAsia="仿宋_GB2312"/>
          <w:sz w:val="24"/>
          <w:u w:val="single"/>
        </w:rPr>
      </w:pPr>
      <w:r>
        <w:rPr>
          <w:rFonts w:eastAsia="仿宋_GB2312"/>
          <w:sz w:val="24"/>
        </w:rPr>
        <w:t>法定代表人或其授权代表（签字</w:t>
      </w:r>
      <w:r>
        <w:rPr>
          <w:rFonts w:hint="eastAsia" w:eastAsia="仿宋_GB2312"/>
          <w:sz w:val="24"/>
          <w:lang w:val="en-US" w:eastAsia="zh-CN"/>
        </w:rPr>
        <w:t>或盖章</w:t>
      </w:r>
      <w:r>
        <w:rPr>
          <w:rFonts w:eastAsia="仿宋_GB2312"/>
          <w:sz w:val="24"/>
        </w:rPr>
        <w:t>）：</w:t>
      </w:r>
      <w:r>
        <w:rPr>
          <w:rFonts w:eastAsia="仿宋_GB2312"/>
          <w:sz w:val="24"/>
          <w:u w:val="single"/>
        </w:rPr>
        <w:t xml:space="preserve">                  </w:t>
      </w:r>
    </w:p>
    <w:p w14:paraId="0448087E">
      <w:pPr>
        <w:spacing w:before="120" w:after="120" w:line="360" w:lineRule="auto"/>
        <w:ind w:firstLine="480" w:firstLineChars="200"/>
        <w:rPr>
          <w:rFonts w:ascii="Times New Roman" w:hAnsi="Times New Roman"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hint="eastAsia" w:eastAsia="仿宋_GB2312"/>
          <w:sz w:val="24"/>
          <w:u w:val="single"/>
          <w:lang w:val="en-US" w:eastAsia="zh-CN"/>
        </w:rPr>
        <w:t xml:space="preserve"> </w:t>
      </w:r>
      <w:r>
        <w:rPr>
          <w:rFonts w:eastAsia="仿宋_GB2312"/>
          <w:sz w:val="24"/>
        </w:rPr>
        <w:t>月</w:t>
      </w:r>
      <w:r>
        <w:rPr>
          <w:rFonts w:eastAsia="仿宋_GB2312"/>
          <w:sz w:val="24"/>
          <w:u w:val="single"/>
        </w:rPr>
        <w:t xml:space="preserve"> </w:t>
      </w:r>
      <w:r>
        <w:rPr>
          <w:rFonts w:hint="eastAsia" w:eastAsia="仿宋_GB2312"/>
          <w:sz w:val="24"/>
          <w:u w:val="single"/>
          <w:lang w:val="en-US" w:eastAsia="zh-CN"/>
        </w:rPr>
        <w:t xml:space="preserve"> </w:t>
      </w:r>
      <w:r>
        <w:rPr>
          <w:rFonts w:eastAsia="仿宋_GB2312"/>
          <w:sz w:val="24"/>
          <w:u w:val="single"/>
        </w:rPr>
        <w:t xml:space="preserve"> </w:t>
      </w:r>
      <w:r>
        <w:rPr>
          <w:rFonts w:eastAsia="仿宋_GB2312"/>
          <w:sz w:val="24"/>
        </w:rPr>
        <w:t>日</w:t>
      </w:r>
    </w:p>
    <w:p w14:paraId="19C13165">
      <w:pPr>
        <w:spacing w:before="260" w:after="260" w:line="416" w:lineRule="atLeast"/>
        <w:jc w:val="center"/>
        <w:outlineLvl w:val="1"/>
        <w:rPr>
          <w:rFonts w:eastAsia="仿宋_GB2312"/>
          <w:b/>
          <w:bCs/>
          <w:sz w:val="32"/>
          <w:szCs w:val="32"/>
        </w:rPr>
      </w:pPr>
      <w:r>
        <w:rPr>
          <w:rFonts w:ascii="Times New Roman" w:hAnsi="Times New Roman" w:eastAsia="仿宋_GB2312"/>
          <w:sz w:val="24"/>
        </w:rPr>
        <w:br w:type="page"/>
      </w:r>
      <w:bookmarkStart w:id="465" w:name="_Toc5679"/>
      <w:bookmarkStart w:id="466" w:name="_Toc27721"/>
      <w:bookmarkStart w:id="467" w:name="_Toc230583554"/>
      <w:bookmarkStart w:id="468" w:name="_Toc230013640"/>
      <w:bookmarkStart w:id="469" w:name="_Toc232395224"/>
      <w:bookmarkStart w:id="470" w:name="_Toc249525252"/>
      <w:bookmarkStart w:id="471" w:name="_Toc415499901"/>
      <w:bookmarkStart w:id="472" w:name="_Toc232176284"/>
      <w:bookmarkStart w:id="473" w:name="_Toc256342154"/>
      <w:bookmarkStart w:id="474" w:name="_Toc8496"/>
      <w:bookmarkStart w:id="475" w:name="_Toc249515371"/>
      <w:bookmarkStart w:id="476" w:name="_Toc230099805"/>
      <w:r>
        <w:rPr>
          <w:rFonts w:hint="eastAsia" w:eastAsia="仿宋_GB2312"/>
          <w:b/>
          <w:bCs/>
          <w:sz w:val="32"/>
          <w:szCs w:val="32"/>
          <w:lang w:val="en-US" w:eastAsia="zh-CN"/>
        </w:rPr>
        <w:t>第二部分</w:t>
      </w:r>
      <w:r>
        <w:rPr>
          <w:rFonts w:eastAsia="仿宋_GB2312"/>
          <w:b/>
          <w:bCs/>
          <w:sz w:val="32"/>
          <w:szCs w:val="32"/>
        </w:rPr>
        <w:t>、身份证明文件</w:t>
      </w:r>
      <w:bookmarkEnd w:id="465"/>
    </w:p>
    <w:p w14:paraId="7F2189AD">
      <w:pPr>
        <w:spacing w:after="120"/>
        <w:rPr>
          <w:rFonts w:eastAsia="仿宋_GB2312"/>
        </w:rPr>
      </w:pPr>
    </w:p>
    <w:p w14:paraId="2889850B">
      <w:pPr>
        <w:tabs>
          <w:tab w:val="left" w:pos="588"/>
        </w:tabs>
        <w:spacing w:line="360" w:lineRule="auto"/>
        <w:jc w:val="center"/>
        <w:outlineLvl w:val="2"/>
        <w:rPr>
          <w:rFonts w:eastAsia="仿宋_GB2312"/>
          <w:b/>
          <w:bCs/>
          <w:sz w:val="28"/>
          <w:szCs w:val="36"/>
        </w:rPr>
      </w:pPr>
      <w:r>
        <w:rPr>
          <w:rFonts w:eastAsia="仿宋_GB2312"/>
          <w:b/>
          <w:bCs/>
          <w:sz w:val="28"/>
          <w:szCs w:val="36"/>
          <w:lang w:val="zh-CN"/>
        </w:rPr>
        <w:t>1、法定代表人（或单位负责人）授权书</w:t>
      </w:r>
    </w:p>
    <w:p w14:paraId="15903CC3">
      <w:pPr>
        <w:autoSpaceDE w:val="0"/>
        <w:autoSpaceDN w:val="0"/>
        <w:adjustRightInd w:val="0"/>
        <w:spacing w:line="348" w:lineRule="auto"/>
        <w:ind w:firstLine="400"/>
        <w:rPr>
          <w:rFonts w:eastAsia="仿宋_GB2312"/>
          <w:b/>
          <w:bCs/>
          <w:sz w:val="20"/>
        </w:rPr>
      </w:pPr>
    </w:p>
    <w:p w14:paraId="3E6BB275">
      <w:pPr>
        <w:autoSpaceDE w:val="0"/>
        <w:autoSpaceDN w:val="0"/>
        <w:adjustRightInd w:val="0"/>
        <w:spacing w:line="348" w:lineRule="auto"/>
        <w:ind w:firstLine="640"/>
        <w:rPr>
          <w:rFonts w:eastAsia="仿宋_GB2312"/>
          <w:sz w:val="24"/>
        </w:rPr>
      </w:pPr>
      <w:r>
        <w:rPr>
          <w:rFonts w:eastAsia="仿宋_GB2312"/>
          <w:sz w:val="24"/>
          <w:lang w:val="zh-CN"/>
        </w:rPr>
        <w:t>注册于</w:t>
      </w:r>
      <w:r>
        <w:rPr>
          <w:rFonts w:eastAsia="仿宋_GB2312"/>
          <w:sz w:val="24"/>
          <w:u w:val="single"/>
          <w:lang w:val="zh-CN"/>
        </w:rPr>
        <w:t>（工商行政管理局名称）</w:t>
      </w:r>
      <w:r>
        <w:rPr>
          <w:rFonts w:eastAsia="仿宋_GB2312"/>
          <w:sz w:val="24"/>
          <w:lang w:val="zh-CN"/>
        </w:rPr>
        <w:t>之</w:t>
      </w:r>
      <w:r>
        <w:rPr>
          <w:rFonts w:eastAsia="仿宋_GB2312"/>
          <w:sz w:val="24"/>
          <w:u w:val="single"/>
          <w:lang w:val="zh-CN"/>
        </w:rPr>
        <w:t>（供应商全称）</w:t>
      </w:r>
      <w:r>
        <w:rPr>
          <w:rFonts w:eastAsia="仿宋_GB2312"/>
          <w:sz w:val="24"/>
          <w:lang w:val="zh-CN"/>
        </w:rPr>
        <w:t>法人代表</w:t>
      </w:r>
      <w:r>
        <w:rPr>
          <w:rFonts w:eastAsia="仿宋_GB2312"/>
          <w:sz w:val="24"/>
          <w:u w:val="single"/>
          <w:lang w:val="zh-CN"/>
        </w:rPr>
        <w:t>（姓名、职务）</w:t>
      </w:r>
      <w:r>
        <w:rPr>
          <w:rFonts w:eastAsia="仿宋_GB2312"/>
          <w:sz w:val="24"/>
          <w:lang w:val="zh-CN"/>
        </w:rPr>
        <w:t>授权</w:t>
      </w:r>
      <w:r>
        <w:rPr>
          <w:rFonts w:eastAsia="仿宋_GB2312"/>
          <w:sz w:val="24"/>
          <w:u w:val="single"/>
          <w:lang w:val="zh-CN"/>
        </w:rPr>
        <w:t>（被授权人姓名、职务）</w:t>
      </w:r>
      <w:r>
        <w:rPr>
          <w:rFonts w:eastAsia="仿宋_GB2312"/>
          <w:sz w:val="24"/>
          <w:lang w:val="zh-CN"/>
        </w:rPr>
        <w:t>为本公司的合法代理人，就</w:t>
      </w:r>
      <w:r>
        <w:rPr>
          <w:rFonts w:eastAsia="仿宋_GB2312"/>
          <w:sz w:val="24"/>
          <w:u w:val="single"/>
          <w:lang w:val="zh-CN"/>
        </w:rPr>
        <w:t>（项目名称）</w:t>
      </w:r>
      <w:r>
        <w:rPr>
          <w:rFonts w:eastAsia="仿宋_GB2312"/>
          <w:sz w:val="24"/>
          <w:lang w:val="zh-CN"/>
        </w:rPr>
        <w:t>的谈判及合同的执行和完成，以本公司的名义处理一切与之有关的事宜。</w:t>
      </w:r>
    </w:p>
    <w:p w14:paraId="3C8DCA61">
      <w:pPr>
        <w:snapToGrid w:val="0"/>
        <w:spacing w:line="360" w:lineRule="auto"/>
        <w:ind w:firstLine="480" w:firstLineChars="200"/>
        <w:rPr>
          <w:rFonts w:eastAsia="仿宋_GB2312"/>
          <w:b/>
          <w:bCs/>
          <w:sz w:val="24"/>
          <w:lang w:val="zh-CN"/>
        </w:rPr>
      </w:pPr>
      <w:r>
        <w:rPr>
          <w:rFonts w:eastAsia="仿宋_GB2312"/>
          <w:sz w:val="24"/>
          <w:lang w:val="zh-CN"/>
        </w:rPr>
        <w:t>本授权自</w:t>
      </w:r>
      <w:r>
        <w:rPr>
          <w:rFonts w:eastAsia="仿宋_GB2312"/>
          <w:sz w:val="24"/>
          <w:u w:val="single"/>
          <w:lang w:val="zh-CN"/>
        </w:rPr>
        <w:t xml:space="preserve">    </w:t>
      </w:r>
      <w:r>
        <w:rPr>
          <w:rFonts w:eastAsia="仿宋_GB2312"/>
          <w:sz w:val="24"/>
          <w:lang w:val="zh-CN"/>
        </w:rPr>
        <w:t>年</w:t>
      </w:r>
      <w:r>
        <w:rPr>
          <w:rFonts w:eastAsia="仿宋_GB2312"/>
          <w:sz w:val="24"/>
          <w:u w:val="single"/>
          <w:lang w:val="zh-CN"/>
        </w:rPr>
        <w:t xml:space="preserve">   </w:t>
      </w:r>
      <w:r>
        <w:rPr>
          <w:rFonts w:eastAsia="仿宋_GB2312"/>
          <w:sz w:val="24"/>
          <w:lang w:val="zh-CN"/>
        </w:rPr>
        <w:t>月</w:t>
      </w:r>
      <w:r>
        <w:rPr>
          <w:rFonts w:eastAsia="仿宋_GB2312"/>
          <w:sz w:val="24"/>
          <w:u w:val="single"/>
          <w:lang w:val="zh-CN"/>
        </w:rPr>
        <w:t xml:space="preserve"> </w:t>
      </w:r>
      <w:r>
        <w:rPr>
          <w:rFonts w:eastAsia="仿宋_GB2312"/>
          <w:sz w:val="24"/>
          <w:u w:val="single"/>
        </w:rPr>
        <w:t xml:space="preserve"> </w:t>
      </w:r>
      <w:r>
        <w:rPr>
          <w:rFonts w:eastAsia="仿宋_GB2312"/>
          <w:sz w:val="24"/>
          <w:u w:val="single"/>
          <w:lang w:val="zh-CN"/>
        </w:rPr>
        <w:t xml:space="preserve"> </w:t>
      </w:r>
      <w:r>
        <w:rPr>
          <w:rFonts w:eastAsia="仿宋_GB2312"/>
          <w:sz w:val="24"/>
          <w:lang w:val="zh-CN"/>
        </w:rPr>
        <w:t>日起生效。（</w:t>
      </w:r>
      <w:r>
        <w:rPr>
          <w:rFonts w:eastAsia="仿宋_GB2312"/>
          <w:b/>
          <w:sz w:val="24"/>
          <w:lang w:val="zh-CN"/>
        </w:rPr>
        <w:t>提示：此日期不应晚于谈判响应函签署日期</w:t>
      </w:r>
      <w:r>
        <w:rPr>
          <w:rFonts w:eastAsia="仿宋_GB2312"/>
          <w:sz w:val="24"/>
          <w:lang w:val="zh-CN"/>
        </w:rPr>
        <w:t>）</w:t>
      </w:r>
    </w:p>
    <w:p w14:paraId="3BEB893C">
      <w:pPr>
        <w:autoSpaceDE w:val="0"/>
        <w:autoSpaceDN w:val="0"/>
        <w:adjustRightInd w:val="0"/>
        <w:spacing w:line="348" w:lineRule="auto"/>
        <w:rPr>
          <w:rFonts w:eastAsia="仿宋_GB2312"/>
          <w:sz w:val="24"/>
        </w:rPr>
      </w:pPr>
    </w:p>
    <w:p w14:paraId="6CF818B0">
      <w:pPr>
        <w:autoSpaceDE w:val="0"/>
        <w:autoSpaceDN w:val="0"/>
        <w:adjustRightInd w:val="0"/>
        <w:spacing w:line="348" w:lineRule="auto"/>
        <w:rPr>
          <w:rFonts w:eastAsia="仿宋_GB2312"/>
          <w:sz w:val="24"/>
          <w:u w:val="single"/>
        </w:rPr>
      </w:pPr>
      <w:r>
        <w:rPr>
          <w:rFonts w:eastAsia="仿宋_GB2312"/>
          <w:sz w:val="24"/>
          <w:lang w:val="zh-CN"/>
        </w:rPr>
        <w:t>附：</w:t>
      </w:r>
      <w:r>
        <w:rPr>
          <w:rFonts w:eastAsia="仿宋_GB2312"/>
          <w:sz w:val="24"/>
        </w:rPr>
        <w:t xml:space="preserve"> </w:t>
      </w:r>
      <w:r>
        <w:rPr>
          <w:rFonts w:eastAsia="仿宋_GB2312"/>
          <w:sz w:val="24"/>
          <w:lang w:val="zh-CN"/>
        </w:rPr>
        <w:t>被授权人姓名：</w:t>
      </w:r>
      <w:r>
        <w:rPr>
          <w:rFonts w:eastAsia="仿宋_GB2312"/>
          <w:sz w:val="24"/>
          <w:u w:val="single"/>
        </w:rPr>
        <w:t xml:space="preserve">          </w:t>
      </w:r>
      <w:r>
        <w:rPr>
          <w:rFonts w:eastAsia="仿宋_GB2312"/>
          <w:sz w:val="24"/>
          <w:lang w:val="zh-CN"/>
        </w:rPr>
        <w:t>性别：</w:t>
      </w:r>
      <w:r>
        <w:rPr>
          <w:rFonts w:eastAsia="仿宋_GB2312"/>
          <w:sz w:val="24"/>
          <w:u w:val="single"/>
        </w:rPr>
        <w:t xml:space="preserve">    </w:t>
      </w:r>
      <w:r>
        <w:rPr>
          <w:rFonts w:eastAsia="仿宋_GB2312"/>
          <w:sz w:val="24"/>
          <w:lang w:val="zh-CN"/>
        </w:rPr>
        <w:t>年龄：</w:t>
      </w:r>
      <w:r>
        <w:rPr>
          <w:rFonts w:eastAsia="仿宋_GB2312"/>
          <w:sz w:val="24"/>
          <w:u w:val="single"/>
        </w:rPr>
        <w:t xml:space="preserve">        </w:t>
      </w:r>
    </w:p>
    <w:p w14:paraId="51DFCA2A">
      <w:pPr>
        <w:autoSpaceDE w:val="0"/>
        <w:autoSpaceDN w:val="0"/>
        <w:adjustRightInd w:val="0"/>
        <w:spacing w:line="348" w:lineRule="auto"/>
        <w:ind w:firstLine="630"/>
        <w:rPr>
          <w:rFonts w:eastAsia="仿宋_GB2312"/>
          <w:sz w:val="24"/>
        </w:rPr>
      </w:pPr>
      <w:r>
        <w:rPr>
          <w:rFonts w:eastAsia="仿宋_GB2312"/>
          <w:sz w:val="24"/>
          <w:lang w:val="zh-CN"/>
        </w:rPr>
        <w:t>职</w:t>
      </w:r>
      <w:r>
        <w:rPr>
          <w:rFonts w:eastAsia="仿宋_GB2312"/>
          <w:sz w:val="24"/>
        </w:rPr>
        <w:t xml:space="preserve">    </w:t>
      </w:r>
      <w:r>
        <w:rPr>
          <w:rFonts w:eastAsia="仿宋_GB2312"/>
          <w:sz w:val="24"/>
          <w:lang w:val="zh-CN"/>
        </w:rPr>
        <w:t>务：</w:t>
      </w:r>
      <w:r>
        <w:rPr>
          <w:rFonts w:eastAsia="仿宋_GB2312"/>
          <w:sz w:val="24"/>
          <w:u w:val="single"/>
        </w:rPr>
        <w:t xml:space="preserve">             </w:t>
      </w:r>
      <w:r>
        <w:rPr>
          <w:rFonts w:eastAsia="仿宋_GB2312"/>
          <w:sz w:val="24"/>
          <w:lang w:val="zh-CN"/>
        </w:rPr>
        <w:t>身份证号码：</w:t>
      </w:r>
      <w:r>
        <w:rPr>
          <w:rFonts w:eastAsia="仿宋_GB2312"/>
          <w:sz w:val="24"/>
          <w:u w:val="single"/>
        </w:rPr>
        <w:t xml:space="preserve">             </w:t>
      </w:r>
    </w:p>
    <w:p w14:paraId="34E6B90E">
      <w:pPr>
        <w:autoSpaceDE w:val="0"/>
        <w:autoSpaceDN w:val="0"/>
        <w:adjustRightInd w:val="0"/>
        <w:spacing w:line="348" w:lineRule="auto"/>
        <w:ind w:firstLine="630"/>
        <w:rPr>
          <w:rFonts w:eastAsia="仿宋_GB2312"/>
          <w:sz w:val="24"/>
          <w:u w:val="single"/>
        </w:rPr>
      </w:pPr>
      <w:r>
        <w:rPr>
          <w:rFonts w:eastAsia="仿宋_GB2312"/>
          <w:sz w:val="24"/>
          <w:lang w:val="zh-CN"/>
        </w:rPr>
        <w:t>通讯地址：</w:t>
      </w:r>
      <w:r>
        <w:rPr>
          <w:rFonts w:eastAsia="仿宋_GB2312"/>
          <w:sz w:val="24"/>
          <w:u w:val="single"/>
        </w:rPr>
        <w:t xml:space="preserve">                                      </w:t>
      </w:r>
    </w:p>
    <w:p w14:paraId="78EF93E5">
      <w:pPr>
        <w:autoSpaceDE w:val="0"/>
        <w:autoSpaceDN w:val="0"/>
        <w:adjustRightInd w:val="0"/>
        <w:spacing w:line="348" w:lineRule="auto"/>
        <w:ind w:firstLine="630"/>
        <w:rPr>
          <w:rFonts w:eastAsia="仿宋_GB2312"/>
          <w:sz w:val="24"/>
          <w:u w:val="single"/>
        </w:rPr>
      </w:pPr>
      <w:r>
        <w:rPr>
          <w:rFonts w:eastAsia="仿宋_GB2312"/>
          <w:sz w:val="24"/>
          <w:lang w:val="zh-CN"/>
        </w:rPr>
        <w:t>邮政编码：</w:t>
      </w:r>
      <w:r>
        <w:rPr>
          <w:rFonts w:eastAsia="仿宋_GB2312"/>
          <w:sz w:val="24"/>
          <w:u w:val="single"/>
        </w:rPr>
        <w:t xml:space="preserve">                                      </w:t>
      </w:r>
    </w:p>
    <w:p w14:paraId="3AC5960D">
      <w:pPr>
        <w:autoSpaceDE w:val="0"/>
        <w:autoSpaceDN w:val="0"/>
        <w:adjustRightInd w:val="0"/>
        <w:spacing w:line="348" w:lineRule="auto"/>
        <w:ind w:firstLine="630"/>
        <w:rPr>
          <w:rFonts w:eastAsia="仿宋_GB2312"/>
          <w:sz w:val="24"/>
          <w:u w:val="single"/>
        </w:rPr>
      </w:pPr>
      <w:r>
        <w:rPr>
          <w:rFonts w:eastAsia="仿宋_GB2312"/>
          <w:sz w:val="24"/>
          <w:lang w:val="zh-CN"/>
        </w:rPr>
        <w:t>电</w:t>
      </w:r>
      <w:r>
        <w:rPr>
          <w:rFonts w:eastAsia="仿宋_GB2312"/>
          <w:sz w:val="24"/>
        </w:rPr>
        <w:t xml:space="preserve">    </w:t>
      </w:r>
      <w:r>
        <w:rPr>
          <w:rFonts w:eastAsia="仿宋_GB2312"/>
          <w:sz w:val="24"/>
          <w:lang w:val="zh-CN"/>
        </w:rPr>
        <w:t>话：</w:t>
      </w:r>
      <w:r>
        <w:rPr>
          <w:rFonts w:eastAsia="仿宋_GB2312"/>
          <w:sz w:val="24"/>
          <w:u w:val="single"/>
        </w:rPr>
        <w:t xml:space="preserve">                     </w:t>
      </w:r>
      <w:r>
        <w:rPr>
          <w:rFonts w:eastAsia="仿宋_GB2312"/>
          <w:sz w:val="24"/>
          <w:lang w:val="zh-CN"/>
        </w:rPr>
        <w:t>传真：</w:t>
      </w:r>
      <w:r>
        <w:rPr>
          <w:rFonts w:eastAsia="仿宋_GB2312"/>
          <w:sz w:val="24"/>
          <w:u w:val="single"/>
        </w:rPr>
        <w:t xml:space="preserve">           </w:t>
      </w:r>
    </w:p>
    <w:p w14:paraId="6B086717">
      <w:pPr>
        <w:autoSpaceDE w:val="0"/>
        <w:autoSpaceDN w:val="0"/>
        <w:adjustRightInd w:val="0"/>
        <w:spacing w:line="348" w:lineRule="auto"/>
        <w:rPr>
          <w:rFonts w:eastAsia="仿宋_GB2312"/>
          <w:sz w:val="24"/>
        </w:rPr>
      </w:pPr>
    </w:p>
    <w:p w14:paraId="27407005">
      <w:pPr>
        <w:autoSpaceDE w:val="0"/>
        <w:autoSpaceDN w:val="0"/>
        <w:adjustRightInd w:val="0"/>
        <w:spacing w:line="348" w:lineRule="auto"/>
        <w:ind w:firstLine="480" w:firstLineChars="200"/>
        <w:rPr>
          <w:rFonts w:eastAsia="仿宋_GB2312"/>
          <w:sz w:val="24"/>
        </w:rPr>
      </w:pPr>
      <w:r>
        <w:rPr>
          <w:rFonts w:eastAsia="仿宋_GB2312"/>
          <w:sz w:val="24"/>
          <w:lang w:val="zh-CN"/>
        </w:rPr>
        <w:t>法定代表人</w:t>
      </w:r>
      <w:r>
        <w:rPr>
          <w:rFonts w:eastAsia="仿宋_GB2312"/>
          <w:sz w:val="24"/>
        </w:rPr>
        <w:t>及</w:t>
      </w:r>
      <w:r>
        <w:rPr>
          <w:rFonts w:eastAsia="仿宋_GB2312"/>
          <w:sz w:val="24"/>
          <w:lang w:val="zh-CN"/>
        </w:rPr>
        <w:t>授权代表身份证复印件</w:t>
      </w:r>
    </w:p>
    <w:tbl>
      <w:tblPr>
        <w:tblStyle w:val="50"/>
        <w:tblW w:w="0" w:type="auto"/>
        <w:tblInd w:w="679" w:type="dxa"/>
        <w:tblLayout w:type="fixed"/>
        <w:tblCellMar>
          <w:top w:w="0" w:type="dxa"/>
          <w:left w:w="108" w:type="dxa"/>
          <w:bottom w:w="0" w:type="dxa"/>
          <w:right w:w="108" w:type="dxa"/>
        </w:tblCellMar>
      </w:tblPr>
      <w:tblGrid>
        <w:gridCol w:w="4049"/>
        <w:gridCol w:w="3885"/>
      </w:tblGrid>
      <w:tr w14:paraId="61CC5C99">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14:paraId="38A50D16">
            <w:pPr>
              <w:autoSpaceDE w:val="0"/>
              <w:autoSpaceDN w:val="0"/>
              <w:adjustRightInd w:val="0"/>
              <w:spacing w:line="348" w:lineRule="auto"/>
              <w:jc w:val="center"/>
              <w:rPr>
                <w:rFonts w:eastAsia="仿宋_GB2312"/>
                <w:sz w:val="24"/>
                <w:lang w:val="zh-CN"/>
              </w:rPr>
            </w:pPr>
            <w:r>
              <w:rPr>
                <w:rFonts w:eastAsia="仿宋_GB2312"/>
                <w:sz w:val="24"/>
                <w:lang w:val="zh-CN"/>
              </w:rPr>
              <w:t>法定代表人身份证复印件</w:t>
            </w:r>
          </w:p>
          <w:p w14:paraId="3F18167A">
            <w:pPr>
              <w:autoSpaceDE w:val="0"/>
              <w:autoSpaceDN w:val="0"/>
              <w:adjustRightInd w:val="0"/>
              <w:spacing w:line="348" w:lineRule="auto"/>
              <w:jc w:val="center"/>
              <w:rPr>
                <w:rFonts w:eastAsia="仿宋_GB2312"/>
                <w:sz w:val="24"/>
                <w:u w:val="single"/>
              </w:rPr>
            </w:pPr>
            <w:r>
              <w:rPr>
                <w:rFonts w:eastAsia="仿宋_GB2312"/>
                <w:sz w:val="24"/>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14:paraId="227D874C">
            <w:pPr>
              <w:autoSpaceDE w:val="0"/>
              <w:autoSpaceDN w:val="0"/>
              <w:adjustRightInd w:val="0"/>
              <w:spacing w:line="348" w:lineRule="auto"/>
              <w:jc w:val="center"/>
              <w:rPr>
                <w:rFonts w:eastAsia="仿宋_GB2312"/>
                <w:sz w:val="24"/>
                <w:lang w:val="zh-CN"/>
              </w:rPr>
            </w:pPr>
            <w:r>
              <w:rPr>
                <w:rFonts w:eastAsia="仿宋_GB2312"/>
                <w:sz w:val="24"/>
                <w:lang w:val="zh-CN"/>
              </w:rPr>
              <w:t>授权代表身份证复印件</w:t>
            </w:r>
          </w:p>
          <w:p w14:paraId="5183B864">
            <w:pPr>
              <w:autoSpaceDE w:val="0"/>
              <w:autoSpaceDN w:val="0"/>
              <w:adjustRightInd w:val="0"/>
              <w:spacing w:line="348" w:lineRule="auto"/>
              <w:jc w:val="center"/>
              <w:rPr>
                <w:rFonts w:eastAsia="仿宋_GB2312"/>
                <w:sz w:val="24"/>
                <w:u w:val="single"/>
              </w:rPr>
            </w:pPr>
            <w:r>
              <w:rPr>
                <w:rFonts w:eastAsia="仿宋_GB2312"/>
                <w:sz w:val="24"/>
                <w:lang w:val="zh-CN"/>
              </w:rPr>
              <w:t>（正反面）</w:t>
            </w:r>
          </w:p>
        </w:tc>
      </w:tr>
    </w:tbl>
    <w:p w14:paraId="7B32383A">
      <w:pPr>
        <w:adjustRightInd w:val="0"/>
        <w:snapToGrid w:val="0"/>
        <w:spacing w:line="360" w:lineRule="auto"/>
        <w:rPr>
          <w:rFonts w:eastAsia="仿宋_GB2312"/>
          <w:sz w:val="24"/>
        </w:rPr>
      </w:pPr>
      <w:r>
        <w:rPr>
          <w:rFonts w:eastAsia="仿宋_GB2312"/>
          <w:sz w:val="24"/>
        </w:rPr>
        <w:t xml:space="preserve">    </w:t>
      </w:r>
    </w:p>
    <w:p w14:paraId="59618773">
      <w:pPr>
        <w:adjustRightInd w:val="0"/>
        <w:snapToGrid w:val="0"/>
        <w:spacing w:line="360" w:lineRule="auto"/>
        <w:ind w:firstLine="480" w:firstLineChars="200"/>
        <w:rPr>
          <w:rFonts w:eastAsia="仿宋_GB2312"/>
          <w:sz w:val="24"/>
        </w:rPr>
      </w:pPr>
    </w:p>
    <w:p w14:paraId="14B1A3B7">
      <w:pPr>
        <w:adjustRightInd w:val="0"/>
        <w:snapToGrid w:val="0"/>
        <w:spacing w:line="360" w:lineRule="auto"/>
        <w:ind w:firstLine="480" w:firstLineChars="200"/>
        <w:rPr>
          <w:rFonts w:eastAsia="仿宋_GB2312"/>
          <w:sz w:val="24"/>
        </w:rPr>
      </w:pPr>
      <w:r>
        <w:rPr>
          <w:rFonts w:eastAsia="仿宋_GB2312"/>
          <w:sz w:val="24"/>
        </w:rPr>
        <w:t>供应商 （</w:t>
      </w:r>
      <w:r>
        <w:rPr>
          <w:rFonts w:hint="eastAsia" w:eastAsia="仿宋_GB2312"/>
          <w:sz w:val="24"/>
          <w:lang w:val="en-US" w:eastAsia="zh-CN"/>
        </w:rPr>
        <w:t>盖</w:t>
      </w:r>
      <w:r>
        <w:rPr>
          <w:rFonts w:eastAsia="仿宋_GB2312"/>
          <w:sz w:val="24"/>
        </w:rPr>
        <w:t>公章）：</w:t>
      </w:r>
      <w:r>
        <w:rPr>
          <w:rFonts w:eastAsia="仿宋_GB2312"/>
          <w:sz w:val="24"/>
          <w:u w:val="single"/>
        </w:rPr>
        <w:t xml:space="preserve">               </w:t>
      </w:r>
    </w:p>
    <w:p w14:paraId="44C8549D">
      <w:pPr>
        <w:adjustRightInd w:val="0"/>
        <w:snapToGrid w:val="0"/>
        <w:spacing w:line="360" w:lineRule="auto"/>
        <w:ind w:firstLine="480" w:firstLineChars="200"/>
        <w:rPr>
          <w:rFonts w:hint="default" w:eastAsia="仿宋_GB2312"/>
          <w:sz w:val="24"/>
          <w:lang w:val="en-US" w:eastAsia="zh-CN"/>
        </w:rPr>
      </w:pPr>
      <w:r>
        <w:rPr>
          <w:rFonts w:eastAsia="仿宋_GB2312"/>
          <w:sz w:val="24"/>
        </w:rPr>
        <w:t>法定代表人</w:t>
      </w:r>
      <w:r>
        <w:rPr>
          <w:rFonts w:hint="eastAsia" w:eastAsia="仿宋_GB2312"/>
          <w:sz w:val="24"/>
        </w:rPr>
        <w:t>（或单位负责人）</w:t>
      </w:r>
      <w:r>
        <w:rPr>
          <w:rFonts w:eastAsia="仿宋_GB2312"/>
          <w:sz w:val="24"/>
        </w:rPr>
        <w:t>（签字</w:t>
      </w:r>
      <w:r>
        <w:rPr>
          <w:rFonts w:hint="eastAsia" w:eastAsia="仿宋_GB2312"/>
          <w:sz w:val="24"/>
          <w:lang w:val="en-US" w:eastAsia="zh-CN"/>
        </w:rPr>
        <w:t>或盖章</w:t>
      </w:r>
      <w:r>
        <w:rPr>
          <w:rFonts w:eastAsia="仿宋_GB2312"/>
          <w:sz w:val="24"/>
        </w:rPr>
        <w:t>）：</w:t>
      </w:r>
      <w:r>
        <w:rPr>
          <w:rFonts w:hint="eastAsia" w:eastAsia="仿宋_GB2312"/>
          <w:sz w:val="24"/>
          <w:u w:val="single"/>
          <w:lang w:val="en-US" w:eastAsia="zh-CN"/>
        </w:rPr>
        <w:t xml:space="preserve">                 </w:t>
      </w:r>
    </w:p>
    <w:p w14:paraId="45EA9D84">
      <w:pPr>
        <w:adjustRightInd w:val="0"/>
        <w:snapToGrid w:val="0"/>
        <w:spacing w:line="360" w:lineRule="auto"/>
        <w:rPr>
          <w:rFonts w:eastAsia="仿宋_GB2312"/>
          <w:sz w:val="24"/>
        </w:rPr>
      </w:pPr>
      <w:r>
        <w:rPr>
          <w:rFonts w:eastAsia="仿宋_GB2312"/>
          <w:sz w:val="24"/>
        </w:rPr>
        <w:t xml:space="preserve">                          </w:t>
      </w:r>
    </w:p>
    <w:p w14:paraId="33443DE0">
      <w:pPr>
        <w:spacing w:line="360" w:lineRule="auto"/>
        <w:ind w:firstLine="480" w:firstLineChars="200"/>
        <w:rPr>
          <w:rFonts w:eastAsia="仿宋_GB2312"/>
          <w:sz w:val="24"/>
        </w:rPr>
      </w:pPr>
      <w:r>
        <w:rPr>
          <w:rFonts w:eastAsia="仿宋_GB2312"/>
          <w:sz w:val="24"/>
        </w:rPr>
        <w:t>注：自然人投标的或法定代表人投标的无需提供</w:t>
      </w:r>
    </w:p>
    <w:p w14:paraId="32C814C0">
      <w:pPr>
        <w:spacing w:after="120"/>
        <w:rPr>
          <w:rFonts w:eastAsia="仿宋_GB2312"/>
        </w:rPr>
      </w:pPr>
      <w:r>
        <w:rPr>
          <w:rFonts w:eastAsia="仿宋_GB2312"/>
        </w:rPr>
        <w:br w:type="page"/>
      </w:r>
    </w:p>
    <w:p w14:paraId="001E10AA">
      <w:pPr>
        <w:tabs>
          <w:tab w:val="left" w:pos="588"/>
        </w:tabs>
        <w:spacing w:line="360" w:lineRule="auto"/>
        <w:jc w:val="center"/>
        <w:outlineLvl w:val="2"/>
        <w:rPr>
          <w:rFonts w:eastAsia="仿宋_GB2312"/>
          <w:b/>
          <w:bCs/>
          <w:sz w:val="28"/>
          <w:szCs w:val="36"/>
          <w:lang w:val="zh-CN"/>
        </w:rPr>
      </w:pPr>
      <w:r>
        <w:rPr>
          <w:rFonts w:eastAsia="仿宋_GB2312"/>
          <w:b/>
          <w:bCs/>
          <w:sz w:val="28"/>
          <w:szCs w:val="36"/>
          <w:lang w:val="zh-CN"/>
        </w:rPr>
        <w:t>2、法定代表人（或单位负责人）身份证明</w:t>
      </w:r>
    </w:p>
    <w:p w14:paraId="65906415">
      <w:pPr>
        <w:autoSpaceDE w:val="0"/>
        <w:autoSpaceDN w:val="0"/>
        <w:adjustRightInd w:val="0"/>
        <w:spacing w:line="360" w:lineRule="auto"/>
        <w:jc w:val="left"/>
        <w:rPr>
          <w:rFonts w:eastAsia="仿宋_GB2312"/>
          <w:kern w:val="0"/>
          <w:sz w:val="24"/>
        </w:rPr>
      </w:pPr>
    </w:p>
    <w:p w14:paraId="3F24A569">
      <w:pPr>
        <w:autoSpaceDE w:val="0"/>
        <w:autoSpaceDN w:val="0"/>
        <w:adjustRightInd w:val="0"/>
        <w:spacing w:line="360" w:lineRule="auto"/>
        <w:jc w:val="left"/>
        <w:rPr>
          <w:rFonts w:eastAsia="仿宋_GB2312"/>
          <w:kern w:val="0"/>
          <w:sz w:val="24"/>
        </w:rPr>
      </w:pPr>
    </w:p>
    <w:p w14:paraId="1CE32038">
      <w:pPr>
        <w:autoSpaceDE w:val="0"/>
        <w:autoSpaceDN w:val="0"/>
        <w:adjustRightInd w:val="0"/>
        <w:spacing w:line="360" w:lineRule="auto"/>
        <w:jc w:val="left"/>
        <w:rPr>
          <w:rFonts w:eastAsia="仿宋_GB2312"/>
          <w:kern w:val="0"/>
          <w:sz w:val="24"/>
        </w:rPr>
      </w:pPr>
      <w:r>
        <w:rPr>
          <w:rFonts w:eastAsia="仿宋_GB2312"/>
          <w:kern w:val="0"/>
          <w:sz w:val="24"/>
        </w:rPr>
        <w:t>供应商名称：</w:t>
      </w:r>
      <w:r>
        <w:rPr>
          <w:rFonts w:eastAsia="仿宋_GB2312"/>
          <w:kern w:val="0"/>
          <w:sz w:val="24"/>
          <w:u w:val="single"/>
        </w:rPr>
        <w:t xml:space="preserve">                     </w:t>
      </w:r>
    </w:p>
    <w:p w14:paraId="08247738">
      <w:pPr>
        <w:autoSpaceDE w:val="0"/>
        <w:autoSpaceDN w:val="0"/>
        <w:adjustRightInd w:val="0"/>
        <w:spacing w:line="360" w:lineRule="auto"/>
        <w:jc w:val="left"/>
        <w:rPr>
          <w:rFonts w:eastAsia="仿宋_GB2312"/>
          <w:kern w:val="0"/>
          <w:sz w:val="24"/>
        </w:rPr>
      </w:pPr>
      <w:r>
        <w:rPr>
          <w:rFonts w:eastAsia="仿宋_GB2312"/>
          <w:kern w:val="0"/>
          <w:sz w:val="24"/>
        </w:rPr>
        <w:t xml:space="preserve">单位性质： </w:t>
      </w:r>
      <w:r>
        <w:rPr>
          <w:rFonts w:eastAsia="仿宋_GB2312"/>
          <w:kern w:val="0"/>
          <w:sz w:val="24"/>
          <w:u w:val="single"/>
        </w:rPr>
        <w:t xml:space="preserve">                      </w:t>
      </w:r>
    </w:p>
    <w:p w14:paraId="269EABBB">
      <w:pPr>
        <w:autoSpaceDE w:val="0"/>
        <w:autoSpaceDN w:val="0"/>
        <w:adjustRightInd w:val="0"/>
        <w:spacing w:line="360" w:lineRule="auto"/>
        <w:jc w:val="left"/>
        <w:rPr>
          <w:rFonts w:eastAsia="仿宋_GB2312"/>
          <w:kern w:val="0"/>
          <w:sz w:val="24"/>
        </w:rPr>
      </w:pPr>
      <w:r>
        <w:rPr>
          <w:rFonts w:eastAsia="仿宋_GB2312"/>
          <w:kern w:val="0"/>
          <w:sz w:val="24"/>
        </w:rPr>
        <w:t xml:space="preserve">地    址： </w:t>
      </w:r>
      <w:r>
        <w:rPr>
          <w:rFonts w:eastAsia="仿宋_GB2312"/>
          <w:kern w:val="0"/>
          <w:sz w:val="24"/>
          <w:u w:val="single"/>
        </w:rPr>
        <w:t xml:space="preserve">                      </w:t>
      </w:r>
    </w:p>
    <w:p w14:paraId="7BA10E02">
      <w:pPr>
        <w:autoSpaceDE w:val="0"/>
        <w:autoSpaceDN w:val="0"/>
        <w:adjustRightInd w:val="0"/>
        <w:spacing w:line="360" w:lineRule="auto"/>
        <w:jc w:val="left"/>
        <w:rPr>
          <w:rFonts w:eastAsia="仿宋_GB2312"/>
          <w:kern w:val="0"/>
          <w:sz w:val="24"/>
        </w:rPr>
      </w:pPr>
      <w:r>
        <w:rPr>
          <w:rFonts w:eastAsia="仿宋_GB2312"/>
          <w:kern w:val="0"/>
          <w:sz w:val="24"/>
        </w:rPr>
        <w:t>成立时间：</w:t>
      </w:r>
      <w:r>
        <w:rPr>
          <w:rFonts w:eastAsia="仿宋_GB2312"/>
          <w:kern w:val="0"/>
          <w:sz w:val="24"/>
          <w:u w:val="single"/>
        </w:rPr>
        <w:t xml:space="preserve">     </w:t>
      </w:r>
      <w:r>
        <w:rPr>
          <w:rFonts w:eastAsia="仿宋_GB2312"/>
          <w:kern w:val="0"/>
          <w:sz w:val="24"/>
        </w:rPr>
        <w:t xml:space="preserve"> 年</w:t>
      </w:r>
      <w:r>
        <w:rPr>
          <w:rFonts w:eastAsia="仿宋_GB2312"/>
          <w:kern w:val="0"/>
          <w:sz w:val="24"/>
          <w:u w:val="single"/>
        </w:rPr>
        <w:t xml:space="preserve"> </w:t>
      </w:r>
      <w:r>
        <w:rPr>
          <w:rFonts w:hint="eastAsia" w:eastAsia="仿宋_GB2312"/>
          <w:kern w:val="0"/>
          <w:sz w:val="24"/>
          <w:u w:val="single"/>
          <w:lang w:val="en-US" w:eastAsia="zh-CN"/>
        </w:rPr>
        <w:t xml:space="preserve">  </w:t>
      </w:r>
      <w:r>
        <w:rPr>
          <w:rFonts w:eastAsia="仿宋_GB2312"/>
          <w:kern w:val="0"/>
          <w:sz w:val="24"/>
          <w:u w:val="single"/>
        </w:rPr>
        <w:t xml:space="preserve"> </w:t>
      </w:r>
      <w:r>
        <w:rPr>
          <w:rFonts w:eastAsia="仿宋_GB2312"/>
          <w:kern w:val="0"/>
          <w:sz w:val="24"/>
        </w:rPr>
        <w:t>月</w:t>
      </w:r>
      <w:r>
        <w:rPr>
          <w:rFonts w:eastAsia="仿宋_GB2312"/>
          <w:kern w:val="0"/>
          <w:sz w:val="24"/>
          <w:u w:val="single"/>
        </w:rPr>
        <w:t xml:space="preserve"> </w:t>
      </w:r>
      <w:r>
        <w:rPr>
          <w:rFonts w:hint="eastAsia" w:eastAsia="仿宋_GB2312"/>
          <w:kern w:val="0"/>
          <w:sz w:val="24"/>
          <w:u w:val="single"/>
          <w:lang w:val="en-US" w:eastAsia="zh-CN"/>
        </w:rPr>
        <w:t xml:space="preserve"> </w:t>
      </w:r>
      <w:r>
        <w:rPr>
          <w:rFonts w:eastAsia="仿宋_GB2312"/>
          <w:kern w:val="0"/>
          <w:sz w:val="24"/>
          <w:u w:val="single"/>
        </w:rPr>
        <w:t xml:space="preserve">  </w:t>
      </w:r>
      <w:r>
        <w:rPr>
          <w:rFonts w:eastAsia="仿宋_GB2312"/>
          <w:kern w:val="0"/>
          <w:sz w:val="24"/>
        </w:rPr>
        <w:t>日</w:t>
      </w:r>
    </w:p>
    <w:p w14:paraId="095E891B">
      <w:pPr>
        <w:autoSpaceDE w:val="0"/>
        <w:autoSpaceDN w:val="0"/>
        <w:adjustRightInd w:val="0"/>
        <w:spacing w:line="360" w:lineRule="auto"/>
        <w:jc w:val="left"/>
        <w:rPr>
          <w:rFonts w:hint="default" w:eastAsia="仿宋_GB2312"/>
          <w:kern w:val="0"/>
          <w:sz w:val="24"/>
          <w:lang w:val="en-US" w:eastAsia="zh-CN"/>
        </w:rPr>
      </w:pPr>
      <w:r>
        <w:rPr>
          <w:rFonts w:eastAsia="仿宋_GB2312"/>
          <w:kern w:val="0"/>
          <w:sz w:val="24"/>
        </w:rPr>
        <w:t>经营期限：</w:t>
      </w:r>
      <w:r>
        <w:rPr>
          <w:rFonts w:hint="eastAsia" w:eastAsia="仿宋_GB2312"/>
          <w:kern w:val="0"/>
          <w:sz w:val="24"/>
          <w:u w:val="single"/>
          <w:lang w:val="en-US" w:eastAsia="zh-CN"/>
        </w:rPr>
        <w:t xml:space="preserve">                    </w:t>
      </w:r>
    </w:p>
    <w:p w14:paraId="1D8E13F9">
      <w:pPr>
        <w:autoSpaceDE w:val="0"/>
        <w:autoSpaceDN w:val="0"/>
        <w:adjustRightInd w:val="0"/>
        <w:spacing w:line="360" w:lineRule="auto"/>
        <w:jc w:val="left"/>
        <w:rPr>
          <w:rFonts w:eastAsia="仿宋_GB2312"/>
          <w:kern w:val="0"/>
          <w:sz w:val="24"/>
        </w:rPr>
      </w:pPr>
    </w:p>
    <w:p w14:paraId="0F25A931">
      <w:pPr>
        <w:autoSpaceDE w:val="0"/>
        <w:autoSpaceDN w:val="0"/>
        <w:adjustRightInd w:val="0"/>
        <w:spacing w:line="360" w:lineRule="auto"/>
        <w:jc w:val="left"/>
        <w:rPr>
          <w:rFonts w:eastAsia="仿宋_GB2312"/>
          <w:kern w:val="0"/>
          <w:sz w:val="24"/>
        </w:rPr>
      </w:pPr>
    </w:p>
    <w:p w14:paraId="75383433">
      <w:pPr>
        <w:autoSpaceDE w:val="0"/>
        <w:autoSpaceDN w:val="0"/>
        <w:adjustRightInd w:val="0"/>
        <w:spacing w:line="360" w:lineRule="auto"/>
        <w:jc w:val="left"/>
        <w:rPr>
          <w:rFonts w:eastAsia="仿宋_GB2312"/>
          <w:kern w:val="0"/>
          <w:sz w:val="24"/>
        </w:rPr>
      </w:pPr>
      <w:r>
        <w:rPr>
          <w:rFonts w:eastAsia="仿宋_GB2312"/>
          <w:kern w:val="0"/>
          <w:sz w:val="24"/>
        </w:rPr>
        <w:t>姓名：</w:t>
      </w:r>
      <w:r>
        <w:rPr>
          <w:rFonts w:eastAsia="仿宋_GB2312"/>
          <w:kern w:val="0"/>
          <w:sz w:val="24"/>
          <w:u w:val="single"/>
        </w:rPr>
        <w:t xml:space="preserve">    </w:t>
      </w:r>
      <w:r>
        <w:rPr>
          <w:rFonts w:eastAsia="仿宋_GB2312"/>
          <w:kern w:val="0"/>
          <w:sz w:val="24"/>
        </w:rPr>
        <w:t>性别：</w:t>
      </w:r>
      <w:r>
        <w:rPr>
          <w:rFonts w:eastAsia="仿宋_GB2312"/>
          <w:kern w:val="0"/>
          <w:sz w:val="24"/>
          <w:u w:val="single"/>
        </w:rPr>
        <w:t xml:space="preserve">    </w:t>
      </w:r>
      <w:r>
        <w:rPr>
          <w:rFonts w:eastAsia="仿宋_GB2312"/>
          <w:kern w:val="0"/>
          <w:sz w:val="24"/>
        </w:rPr>
        <w:t>年龄：</w:t>
      </w:r>
      <w:r>
        <w:rPr>
          <w:rFonts w:eastAsia="仿宋_GB2312"/>
          <w:kern w:val="0"/>
          <w:sz w:val="24"/>
          <w:u w:val="single"/>
        </w:rPr>
        <w:t xml:space="preserve">   </w:t>
      </w:r>
      <w:r>
        <w:rPr>
          <w:rFonts w:eastAsia="仿宋_GB2312"/>
          <w:kern w:val="0"/>
          <w:sz w:val="24"/>
        </w:rPr>
        <w:t xml:space="preserve"> 职务：</w:t>
      </w:r>
      <w:r>
        <w:rPr>
          <w:rFonts w:eastAsia="仿宋_GB2312"/>
          <w:kern w:val="0"/>
          <w:sz w:val="24"/>
          <w:u w:val="single"/>
        </w:rPr>
        <w:t xml:space="preserve">     </w:t>
      </w:r>
      <w:r>
        <w:rPr>
          <w:rFonts w:eastAsia="仿宋_GB2312"/>
          <w:kern w:val="0"/>
          <w:sz w:val="24"/>
        </w:rPr>
        <w:t>系</w:t>
      </w:r>
      <w:r>
        <w:rPr>
          <w:rFonts w:eastAsia="仿宋_GB2312"/>
          <w:kern w:val="0"/>
          <w:sz w:val="24"/>
          <w:u w:val="single"/>
        </w:rPr>
        <w:t xml:space="preserve">             </w:t>
      </w:r>
      <w:r>
        <w:rPr>
          <w:rFonts w:eastAsia="仿宋_GB2312"/>
          <w:kern w:val="0"/>
          <w:sz w:val="24"/>
        </w:rPr>
        <w:t>（</w:t>
      </w:r>
      <w:r>
        <w:rPr>
          <w:rFonts w:hint="eastAsia" w:eastAsia="仿宋_GB2312"/>
          <w:kern w:val="0"/>
          <w:sz w:val="24"/>
          <w:lang w:val="en-US" w:eastAsia="zh-CN"/>
        </w:rPr>
        <w:t>供应商</w:t>
      </w:r>
      <w:r>
        <w:rPr>
          <w:rFonts w:eastAsia="仿宋_GB2312"/>
          <w:kern w:val="0"/>
          <w:sz w:val="24"/>
        </w:rPr>
        <w:t>名称）的法定代表人。</w:t>
      </w:r>
    </w:p>
    <w:p w14:paraId="7EA8CCD6">
      <w:pPr>
        <w:autoSpaceDE w:val="0"/>
        <w:autoSpaceDN w:val="0"/>
        <w:adjustRightInd w:val="0"/>
        <w:spacing w:line="360" w:lineRule="auto"/>
        <w:jc w:val="left"/>
        <w:rPr>
          <w:rFonts w:eastAsia="仿宋_GB2312"/>
          <w:kern w:val="0"/>
          <w:sz w:val="24"/>
        </w:rPr>
      </w:pPr>
      <w:r>
        <w:rPr>
          <w:rFonts w:eastAsia="仿宋_GB2312"/>
          <w:kern w:val="0"/>
          <w:sz w:val="24"/>
        </w:rPr>
        <w:t>特此证明。</w:t>
      </w:r>
    </w:p>
    <w:p w14:paraId="502C458B">
      <w:pPr>
        <w:autoSpaceDE w:val="0"/>
        <w:autoSpaceDN w:val="0"/>
        <w:adjustRightInd w:val="0"/>
        <w:spacing w:line="360" w:lineRule="auto"/>
        <w:jc w:val="left"/>
        <w:rPr>
          <w:rFonts w:eastAsia="仿宋_GB2312"/>
          <w:kern w:val="0"/>
          <w:sz w:val="24"/>
        </w:rPr>
      </w:pPr>
    </w:p>
    <w:p w14:paraId="6F24C065">
      <w:pPr>
        <w:autoSpaceDE w:val="0"/>
        <w:autoSpaceDN w:val="0"/>
        <w:adjustRightInd w:val="0"/>
        <w:spacing w:line="360" w:lineRule="auto"/>
        <w:jc w:val="left"/>
        <w:rPr>
          <w:rFonts w:eastAsia="仿宋_GB2312"/>
          <w:kern w:val="0"/>
          <w:sz w:val="24"/>
        </w:rPr>
      </w:pPr>
    </w:p>
    <w:p w14:paraId="0A3D07EE">
      <w:pPr>
        <w:autoSpaceDE w:val="0"/>
        <w:autoSpaceDN w:val="0"/>
        <w:adjustRightInd w:val="0"/>
        <w:spacing w:line="360" w:lineRule="auto"/>
        <w:jc w:val="left"/>
        <w:rPr>
          <w:rFonts w:eastAsia="仿宋_GB2312"/>
          <w:kern w:val="0"/>
          <w:sz w:val="24"/>
        </w:rPr>
      </w:pPr>
    </w:p>
    <w:p w14:paraId="0AD622A0">
      <w:pPr>
        <w:autoSpaceDE w:val="0"/>
        <w:autoSpaceDN w:val="0"/>
        <w:adjustRightInd w:val="0"/>
        <w:spacing w:line="360" w:lineRule="auto"/>
        <w:jc w:val="left"/>
        <w:rPr>
          <w:rFonts w:eastAsia="仿宋_GB2312"/>
          <w:kern w:val="0"/>
          <w:sz w:val="24"/>
        </w:rPr>
      </w:pPr>
    </w:p>
    <w:p w14:paraId="08BED613">
      <w:pPr>
        <w:autoSpaceDE w:val="0"/>
        <w:autoSpaceDN w:val="0"/>
        <w:adjustRightInd w:val="0"/>
        <w:spacing w:line="360" w:lineRule="auto"/>
        <w:ind w:firstLine="4320" w:firstLineChars="1800"/>
        <w:jc w:val="left"/>
        <w:rPr>
          <w:rFonts w:eastAsia="仿宋_GB2312"/>
          <w:kern w:val="0"/>
          <w:sz w:val="24"/>
        </w:rPr>
      </w:pPr>
      <w:r>
        <w:rPr>
          <w:rFonts w:hint="eastAsia" w:eastAsia="仿宋_GB2312"/>
          <w:kern w:val="0"/>
          <w:sz w:val="24"/>
          <w:lang w:eastAsia="zh-CN"/>
        </w:rPr>
        <w:t>供应商</w:t>
      </w:r>
      <w:r>
        <w:rPr>
          <w:rFonts w:eastAsia="仿宋_GB2312"/>
          <w:kern w:val="0"/>
          <w:sz w:val="24"/>
        </w:rPr>
        <w:t>（</w:t>
      </w:r>
      <w:r>
        <w:rPr>
          <w:rFonts w:hint="eastAsia" w:eastAsia="仿宋_GB2312"/>
          <w:kern w:val="0"/>
          <w:sz w:val="24"/>
          <w:lang w:val="en-US" w:eastAsia="zh-CN"/>
        </w:rPr>
        <w:t>盖</w:t>
      </w:r>
      <w:r>
        <w:rPr>
          <w:rFonts w:eastAsia="仿宋_GB2312"/>
          <w:kern w:val="0"/>
          <w:sz w:val="24"/>
        </w:rPr>
        <w:t>公章）：</w:t>
      </w:r>
      <w:r>
        <w:rPr>
          <w:rFonts w:eastAsia="仿宋_GB2312"/>
          <w:kern w:val="0"/>
          <w:sz w:val="24"/>
          <w:u w:val="single"/>
        </w:rPr>
        <w:t xml:space="preserve">    </w:t>
      </w:r>
      <w:r>
        <w:rPr>
          <w:rFonts w:hint="eastAsia" w:eastAsia="仿宋_GB2312"/>
          <w:kern w:val="0"/>
          <w:sz w:val="24"/>
          <w:u w:val="single"/>
          <w:lang w:val="en-US" w:eastAsia="zh-CN"/>
        </w:rPr>
        <w:t xml:space="preserve">          </w:t>
      </w:r>
      <w:r>
        <w:rPr>
          <w:rFonts w:eastAsia="仿宋_GB2312"/>
          <w:kern w:val="0"/>
          <w:sz w:val="24"/>
          <w:u w:val="single"/>
        </w:rPr>
        <w:t xml:space="preserve">       </w:t>
      </w:r>
    </w:p>
    <w:p w14:paraId="17057731">
      <w:pPr>
        <w:autoSpaceDE w:val="0"/>
        <w:autoSpaceDN w:val="0"/>
        <w:adjustRightInd w:val="0"/>
        <w:spacing w:line="360" w:lineRule="auto"/>
        <w:ind w:left="5399" w:leftChars="2571"/>
        <w:jc w:val="left"/>
        <w:rPr>
          <w:rFonts w:eastAsia="仿宋_GB2312"/>
          <w:kern w:val="0"/>
          <w:sz w:val="24"/>
        </w:rPr>
      </w:pPr>
    </w:p>
    <w:p w14:paraId="374C7780">
      <w:pPr>
        <w:autoSpaceDE w:val="0"/>
        <w:autoSpaceDN w:val="0"/>
        <w:adjustRightInd w:val="0"/>
        <w:spacing w:line="360" w:lineRule="auto"/>
        <w:ind w:left="6659" w:leftChars="3171"/>
        <w:jc w:val="left"/>
        <w:rPr>
          <w:rFonts w:eastAsia="仿宋_GB2312"/>
          <w:kern w:val="0"/>
          <w:sz w:val="24"/>
        </w:rPr>
      </w:pPr>
      <w:r>
        <w:rPr>
          <w:rFonts w:eastAsia="仿宋_GB2312"/>
          <w:kern w:val="0"/>
          <w:sz w:val="24"/>
        </w:rPr>
        <w:t xml:space="preserve">年 </w:t>
      </w:r>
      <w:r>
        <w:rPr>
          <w:rFonts w:hint="eastAsia" w:eastAsia="仿宋_GB2312"/>
          <w:kern w:val="0"/>
          <w:sz w:val="24"/>
          <w:lang w:val="en-US" w:eastAsia="zh-CN"/>
        </w:rPr>
        <w:t xml:space="preserve"> </w:t>
      </w:r>
      <w:r>
        <w:rPr>
          <w:rFonts w:eastAsia="仿宋_GB2312"/>
          <w:kern w:val="0"/>
          <w:sz w:val="24"/>
        </w:rPr>
        <w:t xml:space="preserve"> 月</w:t>
      </w:r>
      <w:r>
        <w:rPr>
          <w:rFonts w:hint="eastAsia" w:eastAsia="仿宋_GB2312"/>
          <w:kern w:val="0"/>
          <w:sz w:val="24"/>
          <w:lang w:val="en-US" w:eastAsia="zh-CN"/>
        </w:rPr>
        <w:t xml:space="preserve"> </w:t>
      </w:r>
      <w:r>
        <w:rPr>
          <w:rFonts w:eastAsia="仿宋_GB2312"/>
          <w:kern w:val="0"/>
          <w:sz w:val="24"/>
        </w:rPr>
        <w:t xml:space="preserve">  日</w:t>
      </w:r>
    </w:p>
    <w:p w14:paraId="29598497">
      <w:pPr>
        <w:rPr>
          <w:rFonts w:eastAsia="仿宋_GB2312"/>
        </w:rPr>
      </w:pPr>
      <w:r>
        <w:rPr>
          <w:rFonts w:eastAsia="仿宋_GB2312"/>
        </w:rPr>
        <w:br w:type="page"/>
      </w:r>
    </w:p>
    <w:p w14:paraId="623F594B">
      <w:pPr>
        <w:jc w:val="center"/>
        <w:rPr>
          <w:rFonts w:ascii="仿宋_GB2312" w:hAnsi="仿宋_GB2312" w:eastAsia="仿宋_GB2312" w:cs="仿宋_GB2312"/>
          <w:b/>
          <w:sz w:val="28"/>
          <w:szCs w:val="28"/>
        </w:rPr>
      </w:pPr>
      <w:bookmarkStart w:id="477" w:name="_Toc60929129"/>
      <w:r>
        <w:rPr>
          <w:rFonts w:hint="eastAsia" w:ascii="仿宋_GB2312" w:hAnsi="仿宋_GB2312" w:eastAsia="仿宋_GB2312" w:cs="仿宋_GB2312"/>
          <w:b/>
          <w:sz w:val="28"/>
          <w:szCs w:val="28"/>
        </w:rPr>
        <w:t>3、授权代表本单位证明</w:t>
      </w:r>
      <w:bookmarkEnd w:id="477"/>
    </w:p>
    <w:p w14:paraId="66611F5B">
      <w:pPr>
        <w:spacing w:after="120"/>
      </w:pPr>
    </w:p>
    <w:p w14:paraId="2675FC41">
      <w:pPr>
        <w:autoSpaceDE w:val="0"/>
        <w:autoSpaceDN w:val="0"/>
        <w:adjustRightInd w:val="0"/>
        <w:spacing w:line="348" w:lineRule="auto"/>
        <w:jc w:val="center"/>
        <w:rPr>
          <w:rFonts w:ascii="仿宋" w:hAnsi="仿宋" w:eastAsia="仿宋"/>
          <w:sz w:val="28"/>
          <w:szCs w:val="28"/>
          <w:lang w:val="zh-CN"/>
        </w:rPr>
      </w:pPr>
      <w:r>
        <w:rPr>
          <w:rFonts w:hint="eastAsia" w:ascii="仿宋" w:hAnsi="仿宋" w:eastAsia="仿宋"/>
          <w:sz w:val="28"/>
          <w:szCs w:val="28"/>
          <w:lang w:val="zh-CN"/>
        </w:rPr>
        <w:t>（</w:t>
      </w:r>
      <w:r>
        <w:rPr>
          <w:rFonts w:hint="eastAsia" w:ascii="仿宋" w:hAnsi="仿宋" w:eastAsia="仿宋"/>
          <w:sz w:val="28"/>
          <w:szCs w:val="28"/>
        </w:rPr>
        <w:t>养老保险缴纳证明或劳动合同复印件</w:t>
      </w:r>
      <w:r>
        <w:rPr>
          <w:rFonts w:hint="eastAsia" w:ascii="仿宋" w:hAnsi="仿宋" w:eastAsia="仿宋"/>
          <w:sz w:val="28"/>
          <w:szCs w:val="28"/>
          <w:lang w:val="zh-CN"/>
        </w:rPr>
        <w:t>）</w:t>
      </w:r>
    </w:p>
    <w:p w14:paraId="4EF8D58A">
      <w:pPr>
        <w:rPr>
          <w:rFonts w:ascii="Times New Roman" w:hAnsi="Times New Roman" w:eastAsia="仿宋_GB2312"/>
          <w:sz w:val="24"/>
        </w:rPr>
      </w:pPr>
    </w:p>
    <w:p w14:paraId="0C28C178">
      <w:pPr>
        <w:rPr>
          <w:rFonts w:ascii="Times New Roman" w:hAnsi="Times New Roman" w:eastAsia="仿宋_GB2312"/>
          <w:b/>
          <w:bCs/>
          <w:lang w:val="zh-CN"/>
        </w:rPr>
      </w:pPr>
      <w:r>
        <w:rPr>
          <w:rFonts w:ascii="Times New Roman" w:hAnsi="Times New Roman" w:eastAsia="仿宋_GB2312"/>
          <w:b/>
          <w:bCs/>
          <w:lang w:val="zh-CN"/>
        </w:rPr>
        <w:br w:type="page"/>
      </w:r>
    </w:p>
    <w:p w14:paraId="1A71AD5B">
      <w:pPr>
        <w:pStyle w:val="3"/>
        <w:jc w:val="center"/>
        <w:rPr>
          <w:rFonts w:ascii="Times New Roman" w:hAnsi="Times New Roman" w:eastAsia="仿宋_GB2312"/>
        </w:rPr>
      </w:pPr>
      <w:r>
        <w:rPr>
          <w:rFonts w:ascii="Times New Roman" w:hAnsi="Times New Roman" w:eastAsia="仿宋_GB2312"/>
          <w:b/>
          <w:bCs/>
          <w:lang w:val="zh-CN"/>
        </w:rPr>
        <w:t>第</w:t>
      </w:r>
      <w:r>
        <w:rPr>
          <w:rFonts w:hint="eastAsia" w:ascii="Times New Roman" w:hAnsi="Times New Roman" w:eastAsia="仿宋_GB2312"/>
          <w:b/>
          <w:bCs/>
          <w:lang w:val="en-US" w:eastAsia="zh-CN"/>
        </w:rPr>
        <w:t>三</w:t>
      </w:r>
      <w:r>
        <w:rPr>
          <w:rFonts w:ascii="Times New Roman" w:hAnsi="Times New Roman" w:eastAsia="仿宋_GB2312"/>
          <w:b/>
          <w:bCs/>
          <w:lang w:val="zh-CN"/>
        </w:rPr>
        <w:t>部分</w:t>
      </w:r>
      <w:r>
        <w:rPr>
          <w:rFonts w:ascii="Times New Roman" w:hAnsi="Times New Roman" w:eastAsia="仿宋_GB2312"/>
          <w:b/>
          <w:bCs/>
        </w:rPr>
        <w:t xml:space="preserve">  谈判响应报价表</w:t>
      </w:r>
      <w:bookmarkEnd w:id="466"/>
      <w:r>
        <w:rPr>
          <w:rFonts w:ascii="Times New Roman" w:hAnsi="Times New Roman" w:eastAsia="仿宋_GB2312"/>
          <w:b/>
          <w:bCs/>
        </w:rPr>
        <w:t xml:space="preserve"> </w:t>
      </w:r>
    </w:p>
    <w:p w14:paraId="13B83022">
      <w:pPr>
        <w:autoSpaceDE w:val="0"/>
        <w:autoSpaceDN w:val="0"/>
        <w:adjustRightInd w:val="0"/>
        <w:snapToGrid w:val="0"/>
        <w:spacing w:line="360" w:lineRule="auto"/>
        <w:jc w:val="center"/>
        <w:outlineLvl w:val="2"/>
        <w:rPr>
          <w:rFonts w:eastAsia="仿宋_GB2312"/>
          <w:b/>
          <w:bCs/>
          <w:sz w:val="30"/>
          <w:szCs w:val="30"/>
        </w:rPr>
      </w:pPr>
      <w:bookmarkStart w:id="478" w:name="_Toc20443"/>
      <w:r>
        <w:rPr>
          <w:rFonts w:eastAsia="仿宋_GB2312"/>
          <w:b/>
          <w:bCs/>
          <w:sz w:val="30"/>
          <w:szCs w:val="30"/>
        </w:rPr>
        <w:t>（首次）谈判响应报价</w:t>
      </w:r>
      <w:r>
        <w:rPr>
          <w:rFonts w:hint="eastAsia" w:eastAsia="仿宋_GB2312"/>
          <w:b/>
          <w:bCs/>
          <w:sz w:val="30"/>
          <w:szCs w:val="30"/>
          <w:lang w:val="en-US" w:eastAsia="zh-CN"/>
        </w:rPr>
        <w:t>一览</w:t>
      </w:r>
      <w:r>
        <w:rPr>
          <w:rFonts w:eastAsia="仿宋_GB2312"/>
          <w:b/>
          <w:bCs/>
          <w:sz w:val="30"/>
          <w:szCs w:val="30"/>
        </w:rPr>
        <w:t>表</w:t>
      </w:r>
      <w:bookmarkEnd w:id="478"/>
    </w:p>
    <w:tbl>
      <w:tblPr>
        <w:tblStyle w:val="50"/>
        <w:tblW w:w="9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8"/>
        <w:gridCol w:w="7538"/>
      </w:tblGrid>
      <w:tr w14:paraId="2DD8E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3" w:hRule="atLeast"/>
          <w:jc w:val="center"/>
        </w:trPr>
        <w:tc>
          <w:tcPr>
            <w:tcW w:w="1598" w:type="dxa"/>
            <w:vAlign w:val="center"/>
          </w:tcPr>
          <w:p w14:paraId="7B7BA0A0">
            <w:pPr>
              <w:keepNext w:val="0"/>
              <w:keepLines w:val="0"/>
              <w:pageBreakBefore w:val="0"/>
              <w:widowControl w:val="0"/>
              <w:kinsoku/>
              <w:wordWrap/>
              <w:overflowPunct/>
              <w:topLinePunct w:val="0"/>
              <w:autoSpaceDE/>
              <w:autoSpaceDN/>
              <w:bidi w:val="0"/>
              <w:adjustRightInd/>
              <w:snapToGrid/>
              <w:spacing w:line="480" w:lineRule="auto"/>
              <w:ind w:left="141" w:leftChars="67" w:right="103" w:rightChars="49"/>
              <w:jc w:val="center"/>
              <w:textAlignment w:val="auto"/>
              <w:rPr>
                <w:rFonts w:eastAsia="仿宋_GB2312"/>
                <w:b/>
                <w:sz w:val="24"/>
              </w:rPr>
            </w:pPr>
            <w:r>
              <w:rPr>
                <w:rFonts w:eastAsia="仿宋_GB2312"/>
                <w:b/>
                <w:sz w:val="24"/>
              </w:rPr>
              <w:t>项目编号及项目名称</w:t>
            </w:r>
          </w:p>
        </w:tc>
        <w:tc>
          <w:tcPr>
            <w:tcW w:w="7538" w:type="dxa"/>
            <w:vAlign w:val="center"/>
          </w:tcPr>
          <w:p w14:paraId="0E78E105">
            <w:pPr>
              <w:keepNext w:val="0"/>
              <w:keepLines w:val="0"/>
              <w:pageBreakBefore w:val="0"/>
              <w:widowControl w:val="0"/>
              <w:kinsoku/>
              <w:wordWrap/>
              <w:overflowPunct/>
              <w:topLinePunct w:val="0"/>
              <w:autoSpaceDE/>
              <w:autoSpaceDN/>
              <w:bidi w:val="0"/>
              <w:adjustRightInd/>
              <w:snapToGrid/>
              <w:spacing w:line="480" w:lineRule="auto"/>
              <w:ind w:left="189" w:leftChars="90" w:firstLine="1"/>
              <w:textAlignment w:val="auto"/>
              <w:rPr>
                <w:rFonts w:eastAsia="仿宋_GB2312"/>
                <w:sz w:val="24"/>
                <w:u w:val="single"/>
              </w:rPr>
            </w:pPr>
            <w:r>
              <w:rPr>
                <w:rFonts w:eastAsia="仿宋_GB2312"/>
                <w:sz w:val="24"/>
              </w:rPr>
              <w:t>项目编号：</w:t>
            </w:r>
            <w:r>
              <w:rPr>
                <w:rFonts w:eastAsia="仿宋_GB2312"/>
                <w:sz w:val="24"/>
                <w:u w:val="single"/>
              </w:rPr>
              <w:t xml:space="preserve">       </w:t>
            </w:r>
            <w:r>
              <w:rPr>
                <w:rFonts w:hint="eastAsia" w:eastAsia="仿宋_GB2312"/>
                <w:sz w:val="24"/>
                <w:u w:val="single"/>
                <w:lang w:val="en-US" w:eastAsia="zh-CN"/>
              </w:rPr>
              <w:t xml:space="preserve"> </w:t>
            </w:r>
            <w:r>
              <w:rPr>
                <w:rFonts w:eastAsia="仿宋_GB2312"/>
                <w:sz w:val="24"/>
                <w:u w:val="single"/>
              </w:rPr>
              <w:t xml:space="preserve">       </w:t>
            </w:r>
          </w:p>
          <w:p w14:paraId="240BF7E8">
            <w:pPr>
              <w:keepNext w:val="0"/>
              <w:keepLines w:val="0"/>
              <w:pageBreakBefore w:val="0"/>
              <w:widowControl w:val="0"/>
              <w:kinsoku/>
              <w:wordWrap/>
              <w:overflowPunct/>
              <w:topLinePunct w:val="0"/>
              <w:autoSpaceDE/>
              <w:autoSpaceDN/>
              <w:bidi w:val="0"/>
              <w:adjustRightInd/>
              <w:snapToGrid/>
              <w:spacing w:line="480" w:lineRule="auto"/>
              <w:ind w:left="189" w:leftChars="90" w:firstLine="1"/>
              <w:textAlignment w:val="auto"/>
              <w:rPr>
                <w:rFonts w:eastAsia="仿宋_GB2312"/>
                <w:sz w:val="24"/>
              </w:rPr>
            </w:pPr>
            <w:r>
              <w:rPr>
                <w:rFonts w:eastAsia="仿宋_GB2312"/>
                <w:sz w:val="24"/>
              </w:rPr>
              <w:t>项目名称：</w:t>
            </w:r>
            <w:r>
              <w:rPr>
                <w:rFonts w:eastAsia="仿宋_GB2312"/>
                <w:sz w:val="24"/>
                <w:u w:val="single"/>
              </w:rPr>
              <w:t xml:space="preserve">     </w:t>
            </w:r>
            <w:r>
              <w:rPr>
                <w:rFonts w:hint="eastAsia" w:eastAsia="仿宋_GB2312"/>
                <w:sz w:val="24"/>
                <w:u w:val="single"/>
                <w:lang w:val="en-US" w:eastAsia="zh-CN"/>
              </w:rPr>
              <w:t xml:space="preserve">  </w:t>
            </w:r>
            <w:r>
              <w:rPr>
                <w:rFonts w:eastAsia="仿宋_GB2312"/>
                <w:sz w:val="24"/>
                <w:u w:val="single"/>
              </w:rPr>
              <w:t xml:space="preserve">        </w:t>
            </w:r>
          </w:p>
        </w:tc>
      </w:tr>
      <w:tr w14:paraId="3BB93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3" w:hRule="atLeast"/>
          <w:jc w:val="center"/>
        </w:trPr>
        <w:tc>
          <w:tcPr>
            <w:tcW w:w="1598" w:type="dxa"/>
            <w:vAlign w:val="center"/>
          </w:tcPr>
          <w:p w14:paraId="4B144E58">
            <w:pPr>
              <w:keepNext w:val="0"/>
              <w:keepLines w:val="0"/>
              <w:pageBreakBefore w:val="0"/>
              <w:widowControl w:val="0"/>
              <w:kinsoku/>
              <w:wordWrap/>
              <w:overflowPunct/>
              <w:topLinePunct w:val="0"/>
              <w:autoSpaceDE/>
              <w:autoSpaceDN/>
              <w:bidi w:val="0"/>
              <w:adjustRightInd/>
              <w:snapToGrid/>
              <w:spacing w:line="480" w:lineRule="auto"/>
              <w:ind w:left="-13" w:leftChars="-6"/>
              <w:jc w:val="center"/>
              <w:textAlignment w:val="auto"/>
              <w:rPr>
                <w:rFonts w:hint="default" w:eastAsia="仿宋_GB2312"/>
                <w:b/>
                <w:sz w:val="24"/>
                <w:lang w:val="en-US" w:eastAsia="zh-CN"/>
              </w:rPr>
            </w:pPr>
            <w:r>
              <w:rPr>
                <w:rFonts w:hint="eastAsia" w:eastAsia="仿宋_GB2312"/>
                <w:b/>
                <w:sz w:val="24"/>
                <w:lang w:val="en-US" w:eastAsia="zh-CN"/>
              </w:rPr>
              <w:t>报价费率</w:t>
            </w:r>
          </w:p>
        </w:tc>
        <w:tc>
          <w:tcPr>
            <w:tcW w:w="7538" w:type="dxa"/>
            <w:vAlign w:val="center"/>
          </w:tcPr>
          <w:p w14:paraId="058E7310">
            <w:pPr>
              <w:keepNext w:val="0"/>
              <w:keepLines w:val="0"/>
              <w:pageBreakBefore w:val="0"/>
              <w:widowControl w:val="0"/>
              <w:kinsoku/>
              <w:wordWrap/>
              <w:overflowPunct/>
              <w:topLinePunct w:val="0"/>
              <w:autoSpaceDE/>
              <w:autoSpaceDN/>
              <w:bidi w:val="0"/>
              <w:adjustRightInd/>
              <w:snapToGrid/>
              <w:spacing w:line="480" w:lineRule="auto"/>
              <w:ind w:left="189" w:leftChars="90" w:firstLine="1"/>
              <w:textAlignment w:val="auto"/>
              <w:rPr>
                <w:rFonts w:hint="default" w:eastAsia="仿宋_GB2312"/>
                <w:sz w:val="24"/>
                <w:u w:val="single"/>
                <w:lang w:val="en-US" w:eastAsia="zh-CN"/>
              </w:rPr>
            </w:pPr>
            <w:r>
              <w:rPr>
                <w:rFonts w:hint="eastAsia" w:eastAsia="仿宋_GB2312"/>
                <w:sz w:val="24"/>
                <w:u w:val="single"/>
                <w:lang w:val="en-US" w:eastAsia="zh-CN"/>
              </w:rPr>
              <w:t xml:space="preserve">              </w:t>
            </w:r>
            <w:r>
              <w:rPr>
                <w:rFonts w:hint="eastAsia" w:eastAsia="仿宋_GB2312"/>
                <w:sz w:val="24"/>
                <w:u w:val="none"/>
                <w:lang w:val="en-US" w:eastAsia="zh-CN"/>
              </w:rPr>
              <w:t>%</w:t>
            </w:r>
          </w:p>
        </w:tc>
      </w:tr>
      <w:tr w14:paraId="35E53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jc w:val="center"/>
        </w:trPr>
        <w:tc>
          <w:tcPr>
            <w:tcW w:w="1598" w:type="dxa"/>
            <w:vAlign w:val="center"/>
          </w:tcPr>
          <w:p w14:paraId="4DE9D064">
            <w:pPr>
              <w:keepNext w:val="0"/>
              <w:keepLines w:val="0"/>
              <w:pageBreakBefore w:val="0"/>
              <w:widowControl w:val="0"/>
              <w:kinsoku/>
              <w:wordWrap/>
              <w:overflowPunct/>
              <w:topLinePunct w:val="0"/>
              <w:autoSpaceDE/>
              <w:autoSpaceDN/>
              <w:bidi w:val="0"/>
              <w:adjustRightInd/>
              <w:snapToGrid/>
              <w:spacing w:line="480" w:lineRule="auto"/>
              <w:ind w:left="-13" w:leftChars="-6"/>
              <w:jc w:val="center"/>
              <w:textAlignment w:val="auto"/>
              <w:rPr>
                <w:rFonts w:hint="default" w:eastAsia="仿宋_GB2312"/>
                <w:b/>
                <w:sz w:val="24"/>
                <w:highlight w:val="none"/>
                <w:lang w:val="en-US" w:eastAsia="zh-CN"/>
              </w:rPr>
            </w:pPr>
            <w:r>
              <w:rPr>
                <w:rFonts w:hint="eastAsia" w:eastAsia="仿宋_GB2312"/>
                <w:b/>
                <w:sz w:val="24"/>
                <w:highlight w:val="none"/>
                <w:lang w:val="en-US" w:eastAsia="zh-CN"/>
              </w:rPr>
              <w:t>服务期限</w:t>
            </w:r>
          </w:p>
        </w:tc>
        <w:tc>
          <w:tcPr>
            <w:tcW w:w="7538" w:type="dxa"/>
            <w:vAlign w:val="center"/>
          </w:tcPr>
          <w:p w14:paraId="5262E42D">
            <w:pPr>
              <w:keepNext w:val="0"/>
              <w:keepLines w:val="0"/>
              <w:pageBreakBefore w:val="0"/>
              <w:widowControl w:val="0"/>
              <w:kinsoku/>
              <w:wordWrap/>
              <w:overflowPunct/>
              <w:topLinePunct w:val="0"/>
              <w:autoSpaceDE/>
              <w:autoSpaceDN/>
              <w:bidi w:val="0"/>
              <w:adjustRightInd/>
              <w:snapToGrid/>
              <w:spacing w:line="480" w:lineRule="auto"/>
              <w:textAlignment w:val="auto"/>
              <w:rPr>
                <w:rFonts w:eastAsia="仿宋_GB2312"/>
                <w:sz w:val="24"/>
              </w:rPr>
            </w:pPr>
          </w:p>
        </w:tc>
      </w:tr>
      <w:tr w14:paraId="38DE0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3" w:hRule="atLeast"/>
          <w:jc w:val="center"/>
        </w:trPr>
        <w:tc>
          <w:tcPr>
            <w:tcW w:w="1598" w:type="dxa"/>
            <w:vAlign w:val="center"/>
          </w:tcPr>
          <w:p w14:paraId="2B0B6362">
            <w:pPr>
              <w:keepNext w:val="0"/>
              <w:keepLines w:val="0"/>
              <w:pageBreakBefore w:val="0"/>
              <w:widowControl w:val="0"/>
              <w:kinsoku/>
              <w:wordWrap/>
              <w:overflowPunct/>
              <w:topLinePunct w:val="0"/>
              <w:autoSpaceDE/>
              <w:autoSpaceDN/>
              <w:bidi w:val="0"/>
              <w:adjustRightInd/>
              <w:snapToGrid/>
              <w:spacing w:line="480" w:lineRule="auto"/>
              <w:ind w:left="-13" w:leftChars="-6"/>
              <w:jc w:val="center"/>
              <w:textAlignment w:val="auto"/>
              <w:rPr>
                <w:rFonts w:eastAsia="仿宋_GB2312"/>
                <w:b/>
                <w:sz w:val="24"/>
                <w:highlight w:val="none"/>
              </w:rPr>
            </w:pPr>
            <w:r>
              <w:rPr>
                <w:rFonts w:eastAsia="仿宋_GB2312"/>
                <w:b/>
                <w:sz w:val="24"/>
                <w:highlight w:val="none"/>
              </w:rPr>
              <w:t>交货地点</w:t>
            </w:r>
          </w:p>
        </w:tc>
        <w:tc>
          <w:tcPr>
            <w:tcW w:w="7538" w:type="dxa"/>
            <w:vAlign w:val="center"/>
          </w:tcPr>
          <w:p w14:paraId="3A9A9451">
            <w:pPr>
              <w:keepNext w:val="0"/>
              <w:keepLines w:val="0"/>
              <w:pageBreakBefore w:val="0"/>
              <w:widowControl w:val="0"/>
              <w:kinsoku/>
              <w:wordWrap/>
              <w:overflowPunct/>
              <w:topLinePunct w:val="0"/>
              <w:autoSpaceDE/>
              <w:autoSpaceDN/>
              <w:bidi w:val="0"/>
              <w:adjustRightInd/>
              <w:snapToGrid/>
              <w:spacing w:line="480" w:lineRule="auto"/>
              <w:textAlignment w:val="auto"/>
              <w:rPr>
                <w:rFonts w:eastAsia="仿宋_GB2312"/>
                <w:sz w:val="24"/>
              </w:rPr>
            </w:pPr>
          </w:p>
        </w:tc>
      </w:tr>
      <w:tr w14:paraId="08B69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3" w:hRule="atLeast"/>
          <w:jc w:val="center"/>
        </w:trPr>
        <w:tc>
          <w:tcPr>
            <w:tcW w:w="1598" w:type="dxa"/>
            <w:vAlign w:val="center"/>
          </w:tcPr>
          <w:p w14:paraId="1F99069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eastAsia="仿宋_GB2312"/>
                <w:b/>
                <w:sz w:val="24"/>
                <w:highlight w:val="none"/>
              </w:rPr>
            </w:pPr>
            <w:r>
              <w:rPr>
                <w:rFonts w:eastAsia="仿宋_GB2312"/>
                <w:b/>
                <w:sz w:val="24"/>
                <w:highlight w:val="none"/>
              </w:rPr>
              <w:t>备注</w:t>
            </w:r>
          </w:p>
        </w:tc>
        <w:tc>
          <w:tcPr>
            <w:tcW w:w="7538" w:type="dxa"/>
            <w:vAlign w:val="center"/>
          </w:tcPr>
          <w:p w14:paraId="08F3A8DC">
            <w:pPr>
              <w:autoSpaceDE w:val="0"/>
              <w:autoSpaceDN w:val="0"/>
              <w:adjustRightInd w:val="0"/>
              <w:snapToGrid w:val="0"/>
              <w:spacing w:line="360" w:lineRule="auto"/>
              <w:rPr>
                <w:rFonts w:hint="eastAsia" w:ascii="Times New Roman" w:hAnsi="Times New Roman" w:eastAsia="仿宋_GB2312"/>
                <w:sz w:val="24"/>
                <w:highlight w:val="none"/>
              </w:rPr>
            </w:pPr>
            <w:r>
              <w:rPr>
                <w:rFonts w:hint="eastAsia" w:eastAsia="仿宋_GB2312"/>
                <w:b/>
                <w:bCs/>
                <w:sz w:val="24"/>
                <w:highlight w:val="none"/>
                <w:lang w:val="en-US" w:eastAsia="zh-CN"/>
              </w:rPr>
              <w:t>1、供应商按费率的方式报价，</w:t>
            </w:r>
            <w:r>
              <w:rPr>
                <w:rFonts w:hint="eastAsia" w:ascii="Times New Roman" w:hAnsi="Times New Roman" w:eastAsia="仿宋_GB2312"/>
                <w:sz w:val="24"/>
                <w:highlight w:val="none"/>
              </w:rPr>
              <w:t>原辅食材以县教体局经每两周市场询价发布的《汉阴县“校园餐”原辅食材最高限价》作为结算基础价格，若乙方报价低于指导价则以乙方报价为结算基础价格。</w:t>
            </w:r>
          </w:p>
          <w:p w14:paraId="1AAE282B">
            <w:pPr>
              <w:autoSpaceDE w:val="0"/>
              <w:autoSpaceDN w:val="0"/>
              <w:adjustRightInd w:val="0"/>
              <w:snapToGrid w:val="0"/>
              <w:spacing w:line="360" w:lineRule="auto"/>
              <w:rPr>
                <w:rFonts w:hint="eastAsia" w:eastAsia="仿宋_GB2312"/>
                <w:b/>
                <w:bCs/>
                <w:sz w:val="24"/>
                <w:highlight w:val="none"/>
                <w:lang w:val="en-US" w:eastAsia="zh-CN"/>
              </w:rPr>
            </w:pPr>
            <w:r>
              <w:rPr>
                <w:rFonts w:hint="eastAsia" w:ascii="Times New Roman" w:hAnsi="Times New Roman" w:eastAsia="仿宋_GB2312"/>
                <w:sz w:val="24"/>
                <w:highlight w:val="none"/>
              </w:rPr>
              <w:t>实际结算货款=实际供货数量×县教体局发布的原辅食材最高限价×中标折扣。</w:t>
            </w:r>
          </w:p>
          <w:p w14:paraId="4ACCC422">
            <w:pPr>
              <w:autoSpaceDE w:val="0"/>
              <w:autoSpaceDN w:val="0"/>
              <w:adjustRightInd w:val="0"/>
              <w:snapToGrid w:val="0"/>
              <w:spacing w:line="360" w:lineRule="auto"/>
              <w:rPr>
                <w:rFonts w:hint="eastAsia" w:eastAsia="仿宋_GB2312"/>
                <w:b/>
                <w:bCs/>
                <w:sz w:val="24"/>
                <w:highlight w:val="none"/>
                <w:lang w:val="en-US" w:eastAsia="zh-CN"/>
              </w:rPr>
            </w:pPr>
            <w:r>
              <w:rPr>
                <w:rFonts w:hint="eastAsia" w:eastAsia="仿宋_GB2312"/>
                <w:b/>
                <w:bCs/>
                <w:sz w:val="24"/>
                <w:highlight w:val="none"/>
                <w:lang w:val="en-US" w:eastAsia="zh-CN"/>
              </w:rPr>
              <w:t>3、最高限价：</w:t>
            </w:r>
          </w:p>
          <w:p w14:paraId="4A8F6C1F">
            <w:pPr>
              <w:autoSpaceDE w:val="0"/>
              <w:autoSpaceDN w:val="0"/>
              <w:adjustRightInd w:val="0"/>
              <w:snapToGrid w:val="0"/>
              <w:spacing w:line="360" w:lineRule="auto"/>
              <w:rPr>
                <w:rFonts w:eastAsia="仿宋_GB2312"/>
                <w:sz w:val="24"/>
                <w:highlight w:val="none"/>
              </w:rPr>
            </w:pPr>
            <w:r>
              <w:rPr>
                <w:rFonts w:hint="eastAsia" w:eastAsia="仿宋_GB2312"/>
                <w:b/>
                <w:bCs/>
                <w:sz w:val="24"/>
                <w:highlight w:val="none"/>
                <w:lang w:val="en-US" w:eastAsia="zh-CN"/>
              </w:rPr>
              <w:t>所有品类商品报价费率不超过 100%。</w:t>
            </w:r>
          </w:p>
        </w:tc>
      </w:tr>
    </w:tbl>
    <w:p w14:paraId="27645BDC">
      <w:pPr>
        <w:autoSpaceDE w:val="0"/>
        <w:autoSpaceDN w:val="0"/>
        <w:adjustRightInd w:val="0"/>
        <w:snapToGrid w:val="0"/>
        <w:spacing w:line="360" w:lineRule="auto"/>
        <w:jc w:val="both"/>
        <w:rPr>
          <w:rFonts w:eastAsia="仿宋_GB2312"/>
          <w:sz w:val="24"/>
        </w:rPr>
      </w:pPr>
    </w:p>
    <w:p w14:paraId="0A10AFB5">
      <w:pPr>
        <w:keepNext w:val="0"/>
        <w:keepLines w:val="0"/>
        <w:pageBreakBefore w:val="0"/>
        <w:widowControl/>
        <w:kinsoku w:val="0"/>
        <w:wordWrap/>
        <w:overflowPunct/>
        <w:topLinePunct w:val="0"/>
        <w:autoSpaceDE w:val="0"/>
        <w:autoSpaceDN w:val="0"/>
        <w:bidi w:val="0"/>
        <w:adjustRightInd w:val="0"/>
        <w:snapToGrid w:val="0"/>
        <w:spacing w:before="68" w:line="360" w:lineRule="auto"/>
        <w:ind w:left="11" w:firstLine="358" w:firstLineChars="200"/>
        <w:textAlignment w:val="baseline"/>
        <w:rPr>
          <w:rFonts w:hint="eastAsia" w:ascii="仿宋" w:hAnsi="仿宋" w:eastAsia="仿宋" w:cs="仿宋"/>
          <w:sz w:val="21"/>
          <w:szCs w:val="21"/>
          <w:highlight w:val="none"/>
        </w:rPr>
      </w:pPr>
      <w:r>
        <w:rPr>
          <w:rFonts w:hint="eastAsia" w:ascii="仿宋" w:hAnsi="仿宋" w:eastAsia="仿宋" w:cs="仿宋"/>
          <w:b/>
          <w:bCs/>
          <w:spacing w:val="-16"/>
          <w:sz w:val="21"/>
          <w:szCs w:val="21"/>
          <w:highlight w:val="none"/>
        </w:rPr>
        <w:t>说</w:t>
      </w:r>
      <w:r>
        <w:rPr>
          <w:rFonts w:hint="eastAsia" w:ascii="仿宋" w:hAnsi="仿宋" w:eastAsia="仿宋" w:cs="仿宋"/>
          <w:b/>
          <w:bCs/>
          <w:spacing w:val="-16"/>
          <w:sz w:val="21"/>
          <w:szCs w:val="21"/>
          <w:highlight w:val="none"/>
          <w:lang w:val="en-US" w:eastAsia="zh-CN"/>
        </w:rPr>
        <w:t xml:space="preserve"> </w:t>
      </w:r>
      <w:r>
        <w:rPr>
          <w:rFonts w:hint="eastAsia" w:ascii="仿宋" w:hAnsi="仿宋" w:eastAsia="仿宋" w:cs="仿宋"/>
          <w:b/>
          <w:bCs/>
          <w:spacing w:val="-16"/>
          <w:sz w:val="21"/>
          <w:szCs w:val="21"/>
          <w:highlight w:val="none"/>
        </w:rPr>
        <w:t>明：</w:t>
      </w:r>
    </w:p>
    <w:p w14:paraId="22A74E56">
      <w:pPr>
        <w:keepNext w:val="0"/>
        <w:keepLines w:val="0"/>
        <w:pageBreakBefore w:val="0"/>
        <w:widowControl/>
        <w:kinsoku w:val="0"/>
        <w:wordWrap/>
        <w:overflowPunct/>
        <w:topLinePunct w:val="0"/>
        <w:autoSpaceDE w:val="0"/>
        <w:autoSpaceDN w:val="0"/>
        <w:bidi w:val="0"/>
        <w:adjustRightInd w:val="0"/>
        <w:snapToGrid w:val="0"/>
        <w:spacing w:before="198" w:line="360" w:lineRule="auto"/>
        <w:ind w:left="8" w:firstLine="524" w:firstLineChars="200"/>
        <w:textAlignment w:val="baseline"/>
        <w:rPr>
          <w:rFonts w:hint="eastAsia" w:ascii="仿宋" w:hAnsi="仿宋" w:eastAsia="仿宋" w:cs="仿宋"/>
          <w:spacing w:val="11"/>
          <w:sz w:val="24"/>
          <w:szCs w:val="24"/>
          <w:highlight w:val="none"/>
        </w:rPr>
      </w:pPr>
      <w:r>
        <w:rPr>
          <w:rFonts w:hint="eastAsia" w:ascii="仿宋" w:hAnsi="仿宋" w:eastAsia="仿宋" w:cs="仿宋"/>
          <w:spacing w:val="11"/>
          <w:sz w:val="24"/>
          <w:szCs w:val="24"/>
          <w:highlight w:val="none"/>
        </w:rPr>
        <w:t>1.报价内容以(%)为单位，保留小数点后两位。</w:t>
      </w:r>
      <w:r>
        <w:rPr>
          <w:rFonts w:hint="eastAsia" w:ascii="仿宋" w:hAnsi="仿宋" w:eastAsia="仿宋" w:cs="仿宋"/>
          <w:spacing w:val="11"/>
          <w:sz w:val="24"/>
          <w:szCs w:val="24"/>
          <w:highlight w:val="none"/>
          <w:lang w:val="en-US" w:eastAsia="zh-CN"/>
        </w:rPr>
        <w:t>陕西省公共资源</w:t>
      </w:r>
      <w:r>
        <w:rPr>
          <w:rFonts w:hint="eastAsia" w:ascii="仿宋" w:hAnsi="仿宋" w:eastAsia="仿宋" w:cs="仿宋"/>
          <w:spacing w:val="11"/>
          <w:sz w:val="24"/>
          <w:szCs w:val="24"/>
          <w:highlight w:val="none"/>
        </w:rPr>
        <w:t>电子交易平台上投标报价单位为“元”不能修改，不做参考。</w:t>
      </w:r>
    </w:p>
    <w:p w14:paraId="3E52FE60">
      <w:pPr>
        <w:keepNext w:val="0"/>
        <w:keepLines w:val="0"/>
        <w:pageBreakBefore w:val="0"/>
        <w:widowControl/>
        <w:kinsoku w:val="0"/>
        <w:wordWrap/>
        <w:overflowPunct/>
        <w:topLinePunct w:val="0"/>
        <w:autoSpaceDE w:val="0"/>
        <w:autoSpaceDN w:val="0"/>
        <w:bidi w:val="0"/>
        <w:adjustRightInd w:val="0"/>
        <w:snapToGrid w:val="0"/>
        <w:spacing w:before="198" w:line="360" w:lineRule="auto"/>
        <w:ind w:left="8" w:firstLine="524" w:firstLineChars="200"/>
        <w:textAlignment w:val="baseline"/>
        <w:rPr>
          <w:rFonts w:eastAsia="仿宋_GB2312"/>
          <w:b/>
          <w:bCs/>
          <w:sz w:val="24"/>
        </w:rPr>
      </w:pPr>
      <w:r>
        <w:rPr>
          <w:rFonts w:hint="eastAsia" w:ascii="仿宋" w:hAnsi="仿宋" w:eastAsia="仿宋" w:cs="仿宋"/>
          <w:spacing w:val="11"/>
          <w:sz w:val="24"/>
          <w:szCs w:val="24"/>
          <w:highlight w:val="none"/>
        </w:rPr>
        <w:t>2.投标报价中填写换算后的折扣：如原价100元，优惠5%,折扣报价</w:t>
      </w:r>
      <w:r>
        <w:rPr>
          <w:rFonts w:hint="eastAsia" w:ascii="仿宋" w:hAnsi="仿宋" w:eastAsia="仿宋" w:cs="仿宋"/>
          <w:spacing w:val="10"/>
          <w:sz w:val="24"/>
          <w:szCs w:val="24"/>
          <w:highlight w:val="none"/>
        </w:rPr>
        <w:t>为(1-5%)=95%,则投标报价</w:t>
      </w:r>
      <w:r>
        <w:rPr>
          <w:rFonts w:hint="eastAsia" w:ascii="仿宋" w:hAnsi="仿宋" w:eastAsia="仿宋" w:cs="仿宋"/>
          <w:spacing w:val="4"/>
          <w:sz w:val="24"/>
          <w:szCs w:val="24"/>
          <w:highlight w:val="none"/>
        </w:rPr>
        <w:t>中填写95。</w:t>
      </w:r>
    </w:p>
    <w:p w14:paraId="459C54EB">
      <w:pPr>
        <w:spacing w:before="120" w:after="120" w:line="360" w:lineRule="auto"/>
        <w:ind w:firstLine="1440" w:firstLineChars="600"/>
        <w:rPr>
          <w:rFonts w:eastAsia="仿宋_GB2312"/>
          <w:sz w:val="24"/>
          <w:u w:val="single"/>
        </w:rPr>
      </w:pPr>
      <w:r>
        <w:rPr>
          <w:rFonts w:eastAsia="仿宋_GB2312"/>
          <w:sz w:val="24"/>
        </w:rPr>
        <w:t>供应商（</w:t>
      </w:r>
      <w:r>
        <w:rPr>
          <w:rFonts w:hint="eastAsia" w:eastAsia="仿宋_GB2312"/>
          <w:sz w:val="24"/>
          <w:lang w:val="en-US" w:eastAsia="zh-CN"/>
        </w:rPr>
        <w:t>盖</w:t>
      </w:r>
      <w:r>
        <w:rPr>
          <w:rFonts w:eastAsia="仿宋_GB2312"/>
          <w:sz w:val="24"/>
        </w:rPr>
        <w:t>公章）：</w:t>
      </w:r>
      <w:r>
        <w:rPr>
          <w:rFonts w:eastAsia="仿宋_GB2312"/>
          <w:sz w:val="24"/>
          <w:u w:val="single"/>
        </w:rPr>
        <w:t xml:space="preserve">     </w:t>
      </w:r>
      <w:r>
        <w:rPr>
          <w:rFonts w:hint="eastAsia" w:eastAsia="仿宋_GB2312"/>
          <w:sz w:val="24"/>
          <w:u w:val="single"/>
          <w:lang w:val="en-US" w:eastAsia="zh-CN"/>
        </w:rPr>
        <w:t xml:space="preserve">            </w:t>
      </w:r>
      <w:r>
        <w:rPr>
          <w:rFonts w:eastAsia="仿宋_GB2312"/>
          <w:sz w:val="24"/>
          <w:u w:val="single"/>
        </w:rPr>
        <w:t xml:space="preserve">         </w:t>
      </w:r>
    </w:p>
    <w:p w14:paraId="28DB4971">
      <w:pPr>
        <w:spacing w:before="120" w:after="120" w:line="360" w:lineRule="auto"/>
        <w:ind w:firstLine="1440" w:firstLineChars="600"/>
        <w:rPr>
          <w:rFonts w:eastAsia="仿宋_GB2312"/>
          <w:sz w:val="24"/>
          <w:u w:val="single"/>
        </w:rPr>
      </w:pPr>
      <w:r>
        <w:rPr>
          <w:rFonts w:eastAsia="仿宋_GB2312"/>
          <w:sz w:val="24"/>
        </w:rPr>
        <w:t>法定代表人或其授权代表（签字</w:t>
      </w:r>
      <w:r>
        <w:rPr>
          <w:rFonts w:hint="eastAsia" w:eastAsia="仿宋_GB2312"/>
          <w:sz w:val="24"/>
          <w:lang w:val="en-US" w:eastAsia="zh-CN"/>
        </w:rPr>
        <w:t>或盖章</w:t>
      </w:r>
      <w:r>
        <w:rPr>
          <w:rFonts w:eastAsia="仿宋_GB2312"/>
          <w:sz w:val="24"/>
        </w:rPr>
        <w:t>）：</w:t>
      </w:r>
      <w:r>
        <w:rPr>
          <w:rFonts w:eastAsia="仿宋_GB2312"/>
          <w:sz w:val="24"/>
          <w:u w:val="single"/>
        </w:rPr>
        <w:t xml:space="preserve">                  </w:t>
      </w:r>
    </w:p>
    <w:p w14:paraId="15626ABA">
      <w:pPr>
        <w:spacing w:before="120" w:after="120" w:line="360" w:lineRule="auto"/>
        <w:ind w:firstLine="1440" w:firstLineChars="6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67"/>
    <w:bookmarkEnd w:id="468"/>
    <w:bookmarkEnd w:id="469"/>
    <w:bookmarkEnd w:id="470"/>
    <w:bookmarkEnd w:id="471"/>
    <w:bookmarkEnd w:id="472"/>
    <w:bookmarkEnd w:id="473"/>
    <w:bookmarkEnd w:id="474"/>
    <w:bookmarkEnd w:id="475"/>
    <w:bookmarkEnd w:id="476"/>
    <w:p w14:paraId="6FEF6CCE">
      <w:pPr>
        <w:pStyle w:val="3"/>
        <w:jc w:val="center"/>
        <w:rPr>
          <w:rFonts w:ascii="Times New Roman" w:hAnsi="Times New Roman" w:eastAsia="仿宋_GB2312"/>
        </w:rPr>
      </w:pPr>
      <w:bookmarkStart w:id="479" w:name="_Toc21545"/>
      <w:bookmarkStart w:id="480" w:name="_Toc230013641"/>
      <w:bookmarkStart w:id="481" w:name="_Toc177995484"/>
      <w:bookmarkStart w:id="482" w:name="_Toc225933091"/>
      <w:bookmarkStart w:id="483" w:name="_Toc230583555"/>
      <w:bookmarkStart w:id="484" w:name="_Toc232395225"/>
      <w:bookmarkStart w:id="485" w:name="_Toc389620242"/>
      <w:bookmarkStart w:id="486" w:name="_Toc53722866"/>
      <w:bookmarkStart w:id="487" w:name="_Toc499711088"/>
      <w:bookmarkStart w:id="488" w:name="_Toc249525253"/>
      <w:bookmarkStart w:id="489" w:name="_Toc70687203"/>
      <w:bookmarkStart w:id="490" w:name="_Toc503063459"/>
      <w:bookmarkStart w:id="491" w:name="_Toc415499902"/>
      <w:bookmarkStart w:id="492" w:name="_Toc500747011"/>
      <w:bookmarkStart w:id="493" w:name="_Toc496324624"/>
      <w:bookmarkStart w:id="494" w:name="_Toc249515372"/>
      <w:bookmarkStart w:id="495" w:name="_Toc184043059"/>
      <w:bookmarkStart w:id="496" w:name="_Toc83547687"/>
      <w:bookmarkStart w:id="497" w:name="_Toc492955460"/>
      <w:bookmarkStart w:id="498" w:name="_Toc230099806"/>
      <w:bookmarkStart w:id="499" w:name="_Toc256342155"/>
      <w:bookmarkStart w:id="500" w:name="_Toc385992402"/>
      <w:bookmarkStart w:id="501" w:name="_Toc232176285"/>
      <w:bookmarkStart w:id="502" w:name="_Toc499711929"/>
      <w:bookmarkStart w:id="503" w:name="_Toc500747234"/>
      <w:bookmarkStart w:id="504" w:name="_Toc177189246"/>
      <w:bookmarkStart w:id="505" w:name="_Toc500747107"/>
      <w:bookmarkStart w:id="506" w:name="_Toc176882553"/>
      <w:bookmarkStart w:id="507" w:name="_Toc177817345"/>
      <w:r>
        <w:rPr>
          <w:rFonts w:ascii="Times New Roman" w:hAnsi="Times New Roman" w:eastAsia="仿宋_GB2312"/>
          <w:b/>
          <w:bCs/>
        </w:rPr>
        <w:t>第</w:t>
      </w:r>
      <w:r>
        <w:rPr>
          <w:rFonts w:hint="eastAsia" w:ascii="Times New Roman" w:hAnsi="Times New Roman" w:eastAsia="仿宋_GB2312"/>
          <w:b/>
          <w:bCs/>
          <w:lang w:val="en-US" w:eastAsia="zh-CN"/>
        </w:rPr>
        <w:t>四</w:t>
      </w:r>
      <w:r>
        <w:rPr>
          <w:rFonts w:ascii="Times New Roman" w:hAnsi="Times New Roman" w:eastAsia="仿宋_GB2312"/>
          <w:b/>
          <w:bCs/>
        </w:rPr>
        <w:t>部分  偏离表</w:t>
      </w:r>
      <w:bookmarkEnd w:id="479"/>
    </w:p>
    <w:p w14:paraId="38DFDB96">
      <w:pPr>
        <w:pStyle w:val="4"/>
        <w:jc w:val="center"/>
        <w:rPr>
          <w:rFonts w:ascii="Times New Roman" w:hAnsi="Times New Roman" w:eastAsia="仿宋_GB2312"/>
          <w:b/>
          <w:bCs/>
          <w:sz w:val="28"/>
          <w:szCs w:val="28"/>
        </w:rPr>
      </w:pPr>
      <w:r>
        <w:rPr>
          <w:rFonts w:ascii="Times New Roman" w:hAnsi="Times New Roman" w:eastAsia="仿宋_GB2312"/>
          <w:b/>
          <w:bCs/>
          <w:sz w:val="28"/>
          <w:szCs w:val="28"/>
        </w:rPr>
        <w:t>一、商务、合同条款偏离表</w:t>
      </w:r>
    </w:p>
    <w:p w14:paraId="5DB25455">
      <w:pPr>
        <w:pStyle w:val="22"/>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14:paraId="1E757AEA">
      <w:pPr>
        <w:pStyle w:val="28"/>
        <w:ind w:right="560"/>
        <w:rPr>
          <w:rFonts w:hint="default" w:ascii="Times New Roman" w:hAnsi="Times New Roman" w:eastAsia="仿宋_GB2312"/>
          <w:sz w:val="24"/>
          <w:szCs w:val="24"/>
          <w:lang w:val="en-US" w:eastAsia="zh-CN"/>
        </w:rPr>
      </w:pPr>
      <w:r>
        <w:rPr>
          <w:rFonts w:ascii="Times New Roman" w:hAnsi="Times New Roman" w:eastAsia="仿宋_GB2312"/>
          <w:sz w:val="24"/>
        </w:rPr>
        <w:t>项目名称：</w:t>
      </w:r>
      <w:r>
        <w:rPr>
          <w:rFonts w:ascii="Times New Roman" w:hAnsi="Times New Roman" w:eastAsia="仿宋_GB2312"/>
          <w:sz w:val="24"/>
          <w:u w:val="single"/>
        </w:rPr>
        <w:t xml:space="preserve">              </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835"/>
        <w:gridCol w:w="1701"/>
        <w:gridCol w:w="1417"/>
        <w:gridCol w:w="2195"/>
      </w:tblGrid>
      <w:tr w14:paraId="12BC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80" w:type="dxa"/>
            <w:vAlign w:val="center"/>
          </w:tcPr>
          <w:p w14:paraId="32713F23">
            <w:pPr>
              <w:pStyle w:val="28"/>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eastAsia="仿宋_GB2312"/>
                <w:b/>
                <w:bCs/>
                <w:sz w:val="24"/>
                <w:szCs w:val="24"/>
              </w:rPr>
            </w:pPr>
            <w:r>
              <w:rPr>
                <w:rFonts w:ascii="Times New Roman" w:hAnsi="Times New Roman" w:eastAsia="仿宋_GB2312"/>
                <w:b/>
                <w:bCs/>
                <w:sz w:val="24"/>
                <w:szCs w:val="24"/>
              </w:rPr>
              <w:t>序号</w:t>
            </w:r>
          </w:p>
        </w:tc>
        <w:tc>
          <w:tcPr>
            <w:tcW w:w="2835" w:type="dxa"/>
            <w:vAlign w:val="center"/>
          </w:tcPr>
          <w:p w14:paraId="3202D262">
            <w:pPr>
              <w:pStyle w:val="28"/>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eastAsia="仿宋_GB2312"/>
                <w:b/>
                <w:bCs/>
                <w:sz w:val="24"/>
                <w:szCs w:val="24"/>
              </w:rPr>
            </w:pPr>
            <w:r>
              <w:rPr>
                <w:rFonts w:ascii="Times New Roman" w:hAnsi="Times New Roman" w:eastAsia="仿宋_GB2312"/>
                <w:b/>
                <w:bCs/>
                <w:sz w:val="24"/>
                <w:szCs w:val="24"/>
              </w:rPr>
              <w:t>谈判文件商务、合同条款</w:t>
            </w:r>
          </w:p>
        </w:tc>
        <w:tc>
          <w:tcPr>
            <w:tcW w:w="1701" w:type="dxa"/>
            <w:vAlign w:val="center"/>
          </w:tcPr>
          <w:p w14:paraId="2914E9CD">
            <w:pPr>
              <w:pStyle w:val="28"/>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eastAsia="仿宋_GB2312"/>
                <w:b/>
                <w:bCs/>
                <w:sz w:val="24"/>
                <w:szCs w:val="24"/>
              </w:rPr>
            </w:pPr>
            <w:r>
              <w:rPr>
                <w:rFonts w:ascii="Times New Roman" w:hAnsi="Times New Roman" w:eastAsia="仿宋_GB2312"/>
                <w:b/>
                <w:bCs/>
                <w:sz w:val="24"/>
                <w:szCs w:val="24"/>
              </w:rPr>
              <w:t>完全响应</w:t>
            </w:r>
          </w:p>
        </w:tc>
        <w:tc>
          <w:tcPr>
            <w:tcW w:w="1417" w:type="dxa"/>
            <w:vAlign w:val="center"/>
          </w:tcPr>
          <w:p w14:paraId="7D5075F4">
            <w:pPr>
              <w:pStyle w:val="28"/>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eastAsia="仿宋_GB2312"/>
                <w:b/>
                <w:bCs/>
                <w:sz w:val="24"/>
                <w:szCs w:val="24"/>
              </w:rPr>
            </w:pPr>
            <w:r>
              <w:rPr>
                <w:rFonts w:ascii="Times New Roman" w:hAnsi="Times New Roman" w:eastAsia="仿宋_GB2312"/>
                <w:b/>
                <w:bCs/>
                <w:sz w:val="24"/>
                <w:szCs w:val="24"/>
              </w:rPr>
              <w:t>有偏离</w:t>
            </w:r>
          </w:p>
        </w:tc>
        <w:tc>
          <w:tcPr>
            <w:tcW w:w="2195" w:type="dxa"/>
            <w:vAlign w:val="center"/>
          </w:tcPr>
          <w:p w14:paraId="2D3A89A0">
            <w:pPr>
              <w:pStyle w:val="28"/>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eastAsia="仿宋_GB2312"/>
                <w:b/>
                <w:bCs/>
                <w:sz w:val="24"/>
                <w:szCs w:val="24"/>
              </w:rPr>
            </w:pPr>
            <w:r>
              <w:rPr>
                <w:rFonts w:ascii="Times New Roman" w:hAnsi="Times New Roman" w:eastAsia="仿宋_GB2312"/>
                <w:b/>
                <w:bCs/>
                <w:sz w:val="24"/>
                <w:szCs w:val="24"/>
              </w:rPr>
              <w:t>偏离简述</w:t>
            </w:r>
          </w:p>
        </w:tc>
      </w:tr>
      <w:tr w14:paraId="35996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vAlign w:val="center"/>
          </w:tcPr>
          <w:p w14:paraId="33707719">
            <w:pPr>
              <w:pStyle w:val="28"/>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eastAsia="仿宋_GB2312"/>
                <w:sz w:val="24"/>
                <w:szCs w:val="24"/>
              </w:rPr>
            </w:pPr>
          </w:p>
        </w:tc>
        <w:tc>
          <w:tcPr>
            <w:tcW w:w="2835" w:type="dxa"/>
            <w:vAlign w:val="center"/>
          </w:tcPr>
          <w:p w14:paraId="1B557225">
            <w:pPr>
              <w:pStyle w:val="28"/>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仿宋_GB2312"/>
                <w:color w:val="auto"/>
                <w:sz w:val="24"/>
                <w:szCs w:val="24"/>
                <w:lang w:eastAsia="zh-CN"/>
              </w:rPr>
            </w:pPr>
            <w:r>
              <w:rPr>
                <w:rFonts w:ascii="Times New Roman" w:hAnsi="Times New Roman" w:eastAsia="仿宋_GB2312"/>
                <w:color w:val="auto"/>
                <w:sz w:val="24"/>
                <w:szCs w:val="24"/>
              </w:rPr>
              <w:t>交货地点</w:t>
            </w:r>
          </w:p>
        </w:tc>
        <w:tc>
          <w:tcPr>
            <w:tcW w:w="1701" w:type="dxa"/>
            <w:vAlign w:val="center"/>
          </w:tcPr>
          <w:p w14:paraId="74E716F6">
            <w:pPr>
              <w:pStyle w:val="28"/>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eastAsia="仿宋_GB2312"/>
                <w:sz w:val="24"/>
                <w:szCs w:val="24"/>
              </w:rPr>
            </w:pPr>
          </w:p>
        </w:tc>
        <w:tc>
          <w:tcPr>
            <w:tcW w:w="1417" w:type="dxa"/>
            <w:vAlign w:val="center"/>
          </w:tcPr>
          <w:p w14:paraId="31E75CF6">
            <w:pPr>
              <w:pStyle w:val="28"/>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eastAsia="仿宋_GB2312"/>
                <w:sz w:val="24"/>
                <w:szCs w:val="24"/>
              </w:rPr>
            </w:pPr>
          </w:p>
        </w:tc>
        <w:tc>
          <w:tcPr>
            <w:tcW w:w="2195" w:type="dxa"/>
            <w:vAlign w:val="center"/>
          </w:tcPr>
          <w:p w14:paraId="7A1D7825">
            <w:pPr>
              <w:pStyle w:val="28"/>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eastAsia="仿宋_GB2312"/>
                <w:sz w:val="24"/>
                <w:szCs w:val="24"/>
              </w:rPr>
            </w:pPr>
          </w:p>
        </w:tc>
      </w:tr>
      <w:tr w14:paraId="60AA9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vAlign w:val="center"/>
          </w:tcPr>
          <w:p w14:paraId="183E4757">
            <w:pPr>
              <w:pStyle w:val="28"/>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eastAsia="仿宋_GB2312"/>
                <w:sz w:val="24"/>
                <w:szCs w:val="24"/>
              </w:rPr>
            </w:pPr>
          </w:p>
        </w:tc>
        <w:tc>
          <w:tcPr>
            <w:tcW w:w="2835" w:type="dxa"/>
            <w:vAlign w:val="center"/>
          </w:tcPr>
          <w:p w14:paraId="74D9A1D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eastAsia="仿宋_GB2312"/>
                <w:bCs/>
                <w:color w:val="auto"/>
                <w:sz w:val="24"/>
                <w:lang w:eastAsia="zh-CN"/>
              </w:rPr>
            </w:pPr>
            <w:r>
              <w:rPr>
                <w:rFonts w:hint="eastAsia" w:eastAsia="仿宋_GB2312"/>
                <w:bCs/>
                <w:color w:val="auto"/>
                <w:sz w:val="24"/>
                <w:lang w:eastAsia="zh-CN"/>
              </w:rPr>
              <w:t>交货</w:t>
            </w:r>
            <w:r>
              <w:rPr>
                <w:rFonts w:hint="eastAsia" w:eastAsia="仿宋_GB2312"/>
                <w:bCs/>
                <w:color w:val="auto"/>
                <w:sz w:val="24"/>
                <w:lang w:val="en-US" w:eastAsia="zh-CN"/>
              </w:rPr>
              <w:t>时间</w:t>
            </w:r>
          </w:p>
        </w:tc>
        <w:tc>
          <w:tcPr>
            <w:tcW w:w="1701" w:type="dxa"/>
            <w:vAlign w:val="center"/>
          </w:tcPr>
          <w:p w14:paraId="795E43DD">
            <w:pPr>
              <w:pStyle w:val="28"/>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eastAsia="仿宋_GB2312"/>
                <w:sz w:val="24"/>
                <w:szCs w:val="24"/>
              </w:rPr>
            </w:pPr>
          </w:p>
        </w:tc>
        <w:tc>
          <w:tcPr>
            <w:tcW w:w="1417" w:type="dxa"/>
            <w:vAlign w:val="center"/>
          </w:tcPr>
          <w:p w14:paraId="3DA584CC">
            <w:pPr>
              <w:pStyle w:val="28"/>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eastAsia="仿宋_GB2312"/>
                <w:sz w:val="24"/>
                <w:szCs w:val="24"/>
              </w:rPr>
            </w:pPr>
          </w:p>
        </w:tc>
        <w:tc>
          <w:tcPr>
            <w:tcW w:w="2195" w:type="dxa"/>
            <w:vAlign w:val="center"/>
          </w:tcPr>
          <w:p w14:paraId="3E680AE2">
            <w:pPr>
              <w:pStyle w:val="28"/>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eastAsia="仿宋_GB2312"/>
                <w:sz w:val="24"/>
                <w:szCs w:val="24"/>
              </w:rPr>
            </w:pPr>
          </w:p>
        </w:tc>
      </w:tr>
      <w:tr w14:paraId="3B0E3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vAlign w:val="center"/>
          </w:tcPr>
          <w:p w14:paraId="6A02EC4C">
            <w:pPr>
              <w:pStyle w:val="28"/>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eastAsia="仿宋_GB2312"/>
                <w:sz w:val="24"/>
                <w:szCs w:val="24"/>
              </w:rPr>
            </w:pPr>
          </w:p>
        </w:tc>
        <w:tc>
          <w:tcPr>
            <w:tcW w:w="2835" w:type="dxa"/>
            <w:vAlign w:val="center"/>
          </w:tcPr>
          <w:p w14:paraId="2D3EAE0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eastAsia="仿宋_GB2312"/>
                <w:bCs/>
                <w:color w:val="auto"/>
                <w:sz w:val="24"/>
                <w:lang w:eastAsia="zh-CN"/>
              </w:rPr>
            </w:pPr>
            <w:r>
              <w:rPr>
                <w:rFonts w:hint="eastAsia" w:eastAsia="仿宋_GB2312"/>
                <w:bCs/>
                <w:color w:val="auto"/>
                <w:sz w:val="24"/>
                <w:lang w:val="en-US" w:eastAsia="zh-CN"/>
              </w:rPr>
              <w:t>服务期限</w:t>
            </w:r>
          </w:p>
        </w:tc>
        <w:tc>
          <w:tcPr>
            <w:tcW w:w="1701" w:type="dxa"/>
            <w:vAlign w:val="center"/>
          </w:tcPr>
          <w:p w14:paraId="37D12DD5">
            <w:pPr>
              <w:pStyle w:val="28"/>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eastAsia="仿宋_GB2312"/>
                <w:sz w:val="24"/>
                <w:szCs w:val="24"/>
              </w:rPr>
            </w:pPr>
          </w:p>
        </w:tc>
        <w:tc>
          <w:tcPr>
            <w:tcW w:w="1417" w:type="dxa"/>
            <w:vAlign w:val="center"/>
          </w:tcPr>
          <w:p w14:paraId="7002BF14">
            <w:pPr>
              <w:pStyle w:val="28"/>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eastAsia="仿宋_GB2312"/>
                <w:sz w:val="24"/>
                <w:szCs w:val="24"/>
              </w:rPr>
            </w:pPr>
          </w:p>
        </w:tc>
        <w:tc>
          <w:tcPr>
            <w:tcW w:w="2195" w:type="dxa"/>
            <w:vAlign w:val="center"/>
          </w:tcPr>
          <w:p w14:paraId="6106FFEB">
            <w:pPr>
              <w:pStyle w:val="28"/>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eastAsia="仿宋_GB2312"/>
                <w:sz w:val="24"/>
                <w:szCs w:val="24"/>
              </w:rPr>
            </w:pPr>
          </w:p>
        </w:tc>
      </w:tr>
      <w:tr w14:paraId="6957A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vAlign w:val="center"/>
          </w:tcPr>
          <w:p w14:paraId="65BF7F57">
            <w:pPr>
              <w:pStyle w:val="28"/>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eastAsia="仿宋_GB2312"/>
                <w:sz w:val="24"/>
                <w:szCs w:val="24"/>
              </w:rPr>
            </w:pPr>
          </w:p>
        </w:tc>
        <w:tc>
          <w:tcPr>
            <w:tcW w:w="2835" w:type="dxa"/>
            <w:vAlign w:val="center"/>
          </w:tcPr>
          <w:p w14:paraId="2412F83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eastAsia="仿宋_GB2312"/>
                <w:bCs/>
                <w:color w:val="auto"/>
                <w:sz w:val="24"/>
                <w:lang w:eastAsia="zh-CN"/>
              </w:rPr>
            </w:pPr>
            <w:r>
              <w:rPr>
                <w:rFonts w:eastAsia="仿宋_GB2312"/>
                <w:bCs/>
                <w:color w:val="auto"/>
                <w:sz w:val="24"/>
              </w:rPr>
              <w:t>付款方式</w:t>
            </w:r>
          </w:p>
        </w:tc>
        <w:tc>
          <w:tcPr>
            <w:tcW w:w="1701" w:type="dxa"/>
            <w:vAlign w:val="center"/>
          </w:tcPr>
          <w:p w14:paraId="32CFC715">
            <w:pPr>
              <w:pStyle w:val="28"/>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eastAsia="仿宋_GB2312"/>
                <w:sz w:val="24"/>
                <w:szCs w:val="24"/>
              </w:rPr>
            </w:pPr>
          </w:p>
        </w:tc>
        <w:tc>
          <w:tcPr>
            <w:tcW w:w="1417" w:type="dxa"/>
            <w:vAlign w:val="center"/>
          </w:tcPr>
          <w:p w14:paraId="0088BDAE">
            <w:pPr>
              <w:pStyle w:val="28"/>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eastAsia="仿宋_GB2312"/>
                <w:sz w:val="24"/>
                <w:szCs w:val="24"/>
              </w:rPr>
            </w:pPr>
          </w:p>
        </w:tc>
        <w:tc>
          <w:tcPr>
            <w:tcW w:w="2195" w:type="dxa"/>
            <w:vAlign w:val="center"/>
          </w:tcPr>
          <w:p w14:paraId="3FA57CC1">
            <w:pPr>
              <w:pStyle w:val="28"/>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eastAsia="仿宋_GB2312"/>
                <w:sz w:val="24"/>
                <w:szCs w:val="24"/>
              </w:rPr>
            </w:pPr>
          </w:p>
        </w:tc>
      </w:tr>
      <w:tr w14:paraId="4E61F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vAlign w:val="center"/>
          </w:tcPr>
          <w:p w14:paraId="21F24696">
            <w:pPr>
              <w:pStyle w:val="28"/>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eastAsia="仿宋_GB2312"/>
                <w:sz w:val="24"/>
                <w:szCs w:val="24"/>
              </w:rPr>
            </w:pPr>
          </w:p>
        </w:tc>
        <w:tc>
          <w:tcPr>
            <w:tcW w:w="2835" w:type="dxa"/>
            <w:vAlign w:val="center"/>
          </w:tcPr>
          <w:p w14:paraId="6F9DDF5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eastAsia="仿宋_GB2312"/>
                <w:bCs/>
                <w:sz w:val="24"/>
              </w:rPr>
            </w:pPr>
            <w:r>
              <w:rPr>
                <w:rFonts w:hint="eastAsia" w:eastAsia="仿宋_GB2312"/>
                <w:bCs/>
                <w:sz w:val="24"/>
              </w:rPr>
              <w:t>履约保证</w:t>
            </w:r>
          </w:p>
        </w:tc>
        <w:tc>
          <w:tcPr>
            <w:tcW w:w="1701" w:type="dxa"/>
            <w:vAlign w:val="center"/>
          </w:tcPr>
          <w:p w14:paraId="132EF802">
            <w:pPr>
              <w:pStyle w:val="28"/>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eastAsia="仿宋_GB2312"/>
                <w:sz w:val="24"/>
                <w:szCs w:val="24"/>
              </w:rPr>
            </w:pPr>
          </w:p>
        </w:tc>
        <w:tc>
          <w:tcPr>
            <w:tcW w:w="1417" w:type="dxa"/>
            <w:vAlign w:val="center"/>
          </w:tcPr>
          <w:p w14:paraId="595AB407">
            <w:pPr>
              <w:pStyle w:val="28"/>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eastAsia="仿宋_GB2312"/>
                <w:sz w:val="24"/>
                <w:szCs w:val="24"/>
              </w:rPr>
            </w:pPr>
          </w:p>
        </w:tc>
        <w:tc>
          <w:tcPr>
            <w:tcW w:w="2195" w:type="dxa"/>
            <w:vAlign w:val="center"/>
          </w:tcPr>
          <w:p w14:paraId="6D71EB7C">
            <w:pPr>
              <w:pStyle w:val="28"/>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eastAsia="仿宋_GB2312"/>
                <w:sz w:val="24"/>
                <w:szCs w:val="24"/>
              </w:rPr>
            </w:pPr>
          </w:p>
        </w:tc>
      </w:tr>
      <w:tr w14:paraId="5F34C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vAlign w:val="center"/>
          </w:tcPr>
          <w:p w14:paraId="2E6A5DFC">
            <w:pPr>
              <w:pStyle w:val="28"/>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eastAsia="仿宋_GB2312"/>
                <w:sz w:val="24"/>
                <w:szCs w:val="24"/>
              </w:rPr>
            </w:pPr>
          </w:p>
        </w:tc>
        <w:tc>
          <w:tcPr>
            <w:tcW w:w="2835" w:type="dxa"/>
            <w:vAlign w:val="center"/>
          </w:tcPr>
          <w:p w14:paraId="39CDE98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eastAsia="仿宋_GB2312"/>
                <w:bCs/>
                <w:sz w:val="24"/>
                <w:lang w:eastAsia="zh-CN"/>
              </w:rPr>
            </w:pPr>
            <w:r>
              <w:rPr>
                <w:rFonts w:hint="eastAsia" w:eastAsia="仿宋_GB2312"/>
                <w:bCs/>
                <w:sz w:val="24"/>
                <w:lang w:eastAsia="zh-CN"/>
              </w:rPr>
              <w:t>商品质量</w:t>
            </w:r>
          </w:p>
        </w:tc>
        <w:tc>
          <w:tcPr>
            <w:tcW w:w="1701" w:type="dxa"/>
            <w:vAlign w:val="center"/>
          </w:tcPr>
          <w:p w14:paraId="01E84532">
            <w:pPr>
              <w:pStyle w:val="28"/>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eastAsia="仿宋_GB2312"/>
                <w:sz w:val="24"/>
                <w:szCs w:val="24"/>
              </w:rPr>
            </w:pPr>
          </w:p>
        </w:tc>
        <w:tc>
          <w:tcPr>
            <w:tcW w:w="1417" w:type="dxa"/>
            <w:vAlign w:val="center"/>
          </w:tcPr>
          <w:p w14:paraId="2AC9390E">
            <w:pPr>
              <w:pStyle w:val="28"/>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eastAsia="仿宋_GB2312"/>
                <w:sz w:val="24"/>
                <w:szCs w:val="24"/>
              </w:rPr>
            </w:pPr>
          </w:p>
        </w:tc>
        <w:tc>
          <w:tcPr>
            <w:tcW w:w="2195" w:type="dxa"/>
            <w:vAlign w:val="center"/>
          </w:tcPr>
          <w:p w14:paraId="63A48238">
            <w:pPr>
              <w:pStyle w:val="28"/>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eastAsia="仿宋_GB2312"/>
                <w:sz w:val="24"/>
                <w:szCs w:val="24"/>
              </w:rPr>
            </w:pPr>
          </w:p>
        </w:tc>
      </w:tr>
      <w:tr w14:paraId="00F4C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vAlign w:val="center"/>
          </w:tcPr>
          <w:p w14:paraId="25C5488D">
            <w:pPr>
              <w:pStyle w:val="28"/>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eastAsia="仿宋_GB2312"/>
                <w:sz w:val="24"/>
                <w:szCs w:val="24"/>
              </w:rPr>
            </w:pPr>
          </w:p>
        </w:tc>
        <w:tc>
          <w:tcPr>
            <w:tcW w:w="2835" w:type="dxa"/>
            <w:vAlign w:val="center"/>
          </w:tcPr>
          <w:p w14:paraId="2C8230F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eastAsia="仿宋_GB2312"/>
                <w:bCs/>
                <w:sz w:val="24"/>
              </w:rPr>
            </w:pPr>
            <w:r>
              <w:rPr>
                <w:rFonts w:hint="eastAsia" w:eastAsia="仿宋_GB2312"/>
                <w:bCs/>
                <w:sz w:val="24"/>
              </w:rPr>
              <w:t>交货、运输及验收</w:t>
            </w:r>
          </w:p>
        </w:tc>
        <w:tc>
          <w:tcPr>
            <w:tcW w:w="1701" w:type="dxa"/>
            <w:vAlign w:val="center"/>
          </w:tcPr>
          <w:p w14:paraId="5794943B">
            <w:pPr>
              <w:pStyle w:val="28"/>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eastAsia="仿宋_GB2312"/>
                <w:sz w:val="24"/>
                <w:szCs w:val="24"/>
              </w:rPr>
            </w:pPr>
          </w:p>
        </w:tc>
        <w:tc>
          <w:tcPr>
            <w:tcW w:w="1417" w:type="dxa"/>
            <w:vAlign w:val="center"/>
          </w:tcPr>
          <w:p w14:paraId="54873CD2">
            <w:pPr>
              <w:pStyle w:val="28"/>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eastAsia="仿宋_GB2312"/>
                <w:sz w:val="24"/>
                <w:szCs w:val="24"/>
              </w:rPr>
            </w:pPr>
          </w:p>
        </w:tc>
        <w:tc>
          <w:tcPr>
            <w:tcW w:w="2195" w:type="dxa"/>
            <w:vAlign w:val="center"/>
          </w:tcPr>
          <w:p w14:paraId="3D32BEF7">
            <w:pPr>
              <w:pStyle w:val="28"/>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eastAsia="仿宋_GB2312"/>
                <w:sz w:val="24"/>
                <w:szCs w:val="24"/>
              </w:rPr>
            </w:pPr>
          </w:p>
        </w:tc>
      </w:tr>
      <w:tr w14:paraId="71E8B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vAlign w:val="center"/>
          </w:tcPr>
          <w:p w14:paraId="550B7E3D">
            <w:pPr>
              <w:pStyle w:val="28"/>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eastAsia="仿宋_GB2312"/>
                <w:sz w:val="24"/>
                <w:szCs w:val="24"/>
              </w:rPr>
            </w:pPr>
          </w:p>
        </w:tc>
        <w:tc>
          <w:tcPr>
            <w:tcW w:w="2835" w:type="dxa"/>
            <w:vAlign w:val="center"/>
          </w:tcPr>
          <w:p w14:paraId="2E33675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eastAsia="仿宋_GB2312"/>
                <w:bCs/>
                <w:sz w:val="24"/>
              </w:rPr>
            </w:pPr>
            <w:r>
              <w:rPr>
                <w:rFonts w:hint="eastAsia" w:eastAsia="仿宋_GB2312"/>
                <w:bCs/>
                <w:sz w:val="24"/>
              </w:rPr>
              <w:t>退、换货</w:t>
            </w:r>
          </w:p>
        </w:tc>
        <w:tc>
          <w:tcPr>
            <w:tcW w:w="1701" w:type="dxa"/>
            <w:vAlign w:val="center"/>
          </w:tcPr>
          <w:p w14:paraId="4AB53CF3">
            <w:pPr>
              <w:pStyle w:val="28"/>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eastAsia="仿宋_GB2312"/>
                <w:sz w:val="24"/>
                <w:szCs w:val="24"/>
              </w:rPr>
            </w:pPr>
          </w:p>
        </w:tc>
        <w:tc>
          <w:tcPr>
            <w:tcW w:w="1417" w:type="dxa"/>
            <w:vAlign w:val="center"/>
          </w:tcPr>
          <w:p w14:paraId="3E57C86F">
            <w:pPr>
              <w:pStyle w:val="28"/>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eastAsia="仿宋_GB2312"/>
                <w:sz w:val="24"/>
                <w:szCs w:val="24"/>
              </w:rPr>
            </w:pPr>
          </w:p>
        </w:tc>
        <w:tc>
          <w:tcPr>
            <w:tcW w:w="2195" w:type="dxa"/>
            <w:vAlign w:val="center"/>
          </w:tcPr>
          <w:p w14:paraId="3CC9EEE0">
            <w:pPr>
              <w:pStyle w:val="28"/>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eastAsia="仿宋_GB2312"/>
                <w:sz w:val="24"/>
                <w:szCs w:val="24"/>
              </w:rPr>
            </w:pPr>
          </w:p>
        </w:tc>
      </w:tr>
    </w:tbl>
    <w:p w14:paraId="6B37D388">
      <w:pPr>
        <w:pStyle w:val="28"/>
        <w:ind w:left="1080" w:leftChars="257" w:hanging="540"/>
        <w:rPr>
          <w:rFonts w:ascii="Times New Roman" w:hAnsi="Times New Roman" w:eastAsia="仿宋_GB2312"/>
          <w:sz w:val="24"/>
          <w:szCs w:val="24"/>
        </w:rPr>
      </w:pPr>
    </w:p>
    <w:p w14:paraId="4F2BB263">
      <w:pPr>
        <w:spacing w:before="120" w:after="120" w:line="360" w:lineRule="auto"/>
        <w:ind w:firstLine="1440" w:firstLineChars="600"/>
        <w:rPr>
          <w:rFonts w:eastAsia="仿宋_GB2312"/>
          <w:sz w:val="24"/>
          <w:u w:val="single"/>
        </w:rPr>
      </w:pPr>
      <w:r>
        <w:rPr>
          <w:rFonts w:eastAsia="仿宋_GB2312"/>
          <w:sz w:val="24"/>
        </w:rPr>
        <w:t>供应商（</w:t>
      </w:r>
      <w:r>
        <w:rPr>
          <w:rFonts w:hint="eastAsia" w:eastAsia="仿宋_GB2312"/>
          <w:sz w:val="24"/>
          <w:lang w:val="en-US" w:eastAsia="zh-CN"/>
        </w:rPr>
        <w:t>盖</w:t>
      </w:r>
      <w:r>
        <w:rPr>
          <w:rFonts w:eastAsia="仿宋_GB2312"/>
          <w:sz w:val="24"/>
        </w:rPr>
        <w:t xml:space="preserve">公章）： </w:t>
      </w:r>
      <w:r>
        <w:rPr>
          <w:rFonts w:eastAsia="仿宋_GB2312"/>
          <w:sz w:val="24"/>
          <w:u w:val="single"/>
        </w:rPr>
        <w:t xml:space="preserve">              </w:t>
      </w:r>
    </w:p>
    <w:p w14:paraId="798DDB4F">
      <w:pPr>
        <w:spacing w:before="120" w:after="120" w:line="360" w:lineRule="auto"/>
        <w:ind w:firstLine="1440" w:firstLineChars="600"/>
        <w:rPr>
          <w:rFonts w:eastAsia="仿宋_GB2312"/>
          <w:sz w:val="24"/>
          <w:u w:val="single"/>
        </w:rPr>
      </w:pPr>
      <w:r>
        <w:rPr>
          <w:rFonts w:eastAsia="仿宋_GB2312"/>
          <w:sz w:val="24"/>
        </w:rPr>
        <w:t>法定代表人或其授权代表（签字</w:t>
      </w:r>
      <w:r>
        <w:rPr>
          <w:rFonts w:hint="eastAsia" w:eastAsia="仿宋_GB2312"/>
          <w:sz w:val="24"/>
          <w:lang w:val="en-US" w:eastAsia="zh-CN"/>
        </w:rPr>
        <w:t>或盖章</w:t>
      </w:r>
      <w:r>
        <w:rPr>
          <w:rFonts w:eastAsia="仿宋_GB2312"/>
          <w:sz w:val="24"/>
        </w:rPr>
        <w:t>）：</w:t>
      </w:r>
      <w:r>
        <w:rPr>
          <w:rFonts w:eastAsia="仿宋_GB2312"/>
          <w:sz w:val="24"/>
          <w:u w:val="single"/>
        </w:rPr>
        <w:t xml:space="preserve">                  </w:t>
      </w:r>
    </w:p>
    <w:p w14:paraId="37825B96">
      <w:pPr>
        <w:spacing w:before="120" w:after="120" w:line="360" w:lineRule="auto"/>
        <w:ind w:firstLine="1440" w:firstLineChars="600"/>
        <w:rPr>
          <w:rFonts w:eastAsia="仿宋_GB2312"/>
          <w:sz w:val="32"/>
          <w:u w:val="single"/>
        </w:rPr>
      </w:pPr>
      <w:r>
        <w:rPr>
          <w:rFonts w:eastAsia="仿宋_GB2312"/>
          <w:sz w:val="24"/>
        </w:rPr>
        <w:t>日    期：</w:t>
      </w:r>
      <w:r>
        <w:rPr>
          <w:rFonts w:eastAsia="仿宋_GB2312"/>
          <w:sz w:val="24"/>
          <w:u w:val="single"/>
        </w:rPr>
        <w:t xml:space="preserve">    </w:t>
      </w:r>
      <w:r>
        <w:rPr>
          <w:rFonts w:hint="eastAsia" w:eastAsia="仿宋_GB2312"/>
          <w:sz w:val="24"/>
          <w:u w:val="single"/>
          <w:lang w:val="en-US" w:eastAsia="zh-CN"/>
        </w:rPr>
        <w:t xml:space="preserve">  </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14:paraId="4646AC0E">
      <w:pPr>
        <w:spacing w:before="120" w:after="120" w:line="360" w:lineRule="auto"/>
        <w:rPr>
          <w:rFonts w:ascii="Times New Roman" w:hAnsi="Times New Roman" w:eastAsia="仿宋_GB2312"/>
          <w:sz w:val="24"/>
        </w:rPr>
      </w:pPr>
    </w:p>
    <w:p w14:paraId="6B660223">
      <w:pPr>
        <w:snapToGrid w:val="0"/>
        <w:spacing w:after="120" w:afterLines="50"/>
        <w:ind w:left="844" w:leftChars="201" w:hanging="422" w:hangingChars="201"/>
        <w:rPr>
          <w:rFonts w:eastAsia="仿宋_GB2312"/>
        </w:rPr>
      </w:pPr>
      <w:r>
        <w:rPr>
          <w:rFonts w:eastAsia="仿宋_GB2312"/>
          <w:sz w:val="21"/>
          <w:szCs w:val="21"/>
        </w:rPr>
        <w:t>注：</w:t>
      </w:r>
      <w:r>
        <w:rPr>
          <w:rFonts w:eastAsia="仿宋_GB2312"/>
        </w:rPr>
        <w:tab/>
      </w:r>
      <w:r>
        <w:rPr>
          <w:rFonts w:eastAsia="仿宋_GB2312"/>
        </w:rPr>
        <w:t>1</w:t>
      </w:r>
      <w:r>
        <w:rPr>
          <w:rFonts w:hint="eastAsia" w:eastAsia="仿宋_GB2312"/>
          <w:lang w:val="en-US" w:eastAsia="zh-CN"/>
        </w:rPr>
        <w:t xml:space="preserve">. </w:t>
      </w:r>
      <w:r>
        <w:rPr>
          <w:rFonts w:eastAsia="仿宋_GB2312"/>
        </w:rPr>
        <w:t>对完全响应的，在下表相应列中标注“○”。对有偏离的条目在本表相应列中标注“正偏离”或“负偏离”，并在“偏离简述”栏中加以说明。</w:t>
      </w:r>
    </w:p>
    <w:p w14:paraId="5584F0F6">
      <w:pPr>
        <w:snapToGrid w:val="0"/>
        <w:spacing w:after="120" w:afterLines="50"/>
        <w:ind w:left="842" w:leftChars="401"/>
        <w:rPr>
          <w:rFonts w:eastAsia="仿宋_GB2312"/>
        </w:rPr>
      </w:pPr>
      <w:r>
        <w:rPr>
          <w:rFonts w:eastAsia="仿宋_GB2312"/>
        </w:rPr>
        <w:t>2</w:t>
      </w:r>
      <w:r>
        <w:rPr>
          <w:rFonts w:hint="eastAsia" w:eastAsia="仿宋_GB2312"/>
          <w:lang w:val="en-US" w:eastAsia="zh-CN"/>
        </w:rPr>
        <w:t xml:space="preserve">. </w:t>
      </w:r>
      <w:r>
        <w:rPr>
          <w:rFonts w:eastAsia="仿宋_GB2312"/>
        </w:rPr>
        <w:t>正偏离是指应答的条件高于谈判文件要求，负偏离是指应答的条件低于谈判文件要求。</w:t>
      </w:r>
    </w:p>
    <w:p w14:paraId="6813F28E">
      <w:pPr>
        <w:snapToGrid w:val="0"/>
        <w:spacing w:after="120" w:afterLines="50"/>
        <w:ind w:left="842" w:leftChars="401"/>
        <w:rPr>
          <w:rFonts w:eastAsia="仿宋_GB2312"/>
        </w:rPr>
      </w:pPr>
      <w:r>
        <w:rPr>
          <w:rFonts w:eastAsia="仿宋_GB2312"/>
        </w:rPr>
        <w:t>3</w:t>
      </w:r>
      <w:r>
        <w:rPr>
          <w:rFonts w:hint="eastAsia" w:eastAsia="仿宋_GB2312"/>
          <w:lang w:val="en-US" w:eastAsia="zh-CN"/>
        </w:rPr>
        <w:t xml:space="preserve">. </w:t>
      </w:r>
      <w:r>
        <w:rPr>
          <w:rFonts w:eastAsia="仿宋_GB2312"/>
        </w:rPr>
        <w:t>供应商须完整填写响应表。如果未完整填写本表的各项内容则视作供应商已经对谈判文件相关要求和内容完全理解并同意，其报价为在此基础上的完全价格。</w:t>
      </w:r>
    </w:p>
    <w:p w14:paraId="21936C6E">
      <w:pPr>
        <w:snapToGrid w:val="0"/>
        <w:spacing w:after="120" w:afterLines="50"/>
        <w:ind w:left="842" w:leftChars="401"/>
        <w:rPr>
          <w:rFonts w:eastAsia="仿宋_GB2312"/>
        </w:rPr>
      </w:pPr>
      <w:r>
        <w:rPr>
          <w:rFonts w:eastAsia="仿宋_GB2312"/>
        </w:rPr>
        <w:t>4</w:t>
      </w:r>
      <w:r>
        <w:rPr>
          <w:rFonts w:hint="eastAsia" w:eastAsia="仿宋_GB2312"/>
          <w:lang w:val="en-US" w:eastAsia="zh-CN"/>
        </w:rPr>
        <w:t xml:space="preserve">. </w:t>
      </w:r>
      <w:r>
        <w:rPr>
          <w:rFonts w:eastAsia="仿宋_GB2312"/>
        </w:rPr>
        <w:t>在采购人与成交供应商签订合同时，如成交供应商未在响应文件“响应表”中列出偏离说明，无论已发生或即将发生任何情形，均视为完全符合谈判文件要求，并写入合同。若成交供应商在合同签订前，以上述事项为借口而不履行合同签订手续及执行合同，则视作拒绝与采购人签订合同。</w:t>
      </w:r>
    </w:p>
    <w:p w14:paraId="24C737CF">
      <w:pPr>
        <w:rPr>
          <w:rFonts w:ascii="Times New Roman" w:hAnsi="Times New Roman" w:eastAsia="仿宋_GB2312"/>
          <w:b/>
          <w:bCs/>
          <w:sz w:val="28"/>
          <w:szCs w:val="28"/>
        </w:rPr>
      </w:pPr>
      <w:bookmarkStart w:id="508" w:name="_Toc7005136"/>
      <w:bookmarkStart w:id="509" w:name="_Toc414445775"/>
      <w:bookmarkStart w:id="510" w:name="_Toc410631184"/>
      <w:bookmarkStart w:id="511" w:name="_Toc416103825"/>
      <w:r>
        <w:rPr>
          <w:rFonts w:ascii="Times New Roman" w:hAnsi="Times New Roman" w:eastAsia="仿宋_GB2312"/>
          <w:b/>
          <w:bCs/>
          <w:sz w:val="28"/>
          <w:szCs w:val="28"/>
        </w:rPr>
        <w:br w:type="page"/>
      </w:r>
    </w:p>
    <w:p w14:paraId="68E25024">
      <w:pPr>
        <w:pStyle w:val="4"/>
        <w:jc w:val="center"/>
        <w:rPr>
          <w:rFonts w:ascii="Times New Roman" w:hAnsi="Times New Roman" w:eastAsia="仿宋_GB2312"/>
          <w:b/>
          <w:bCs/>
          <w:sz w:val="28"/>
          <w:szCs w:val="28"/>
        </w:rPr>
      </w:pPr>
      <w:r>
        <w:rPr>
          <w:rFonts w:ascii="Times New Roman" w:hAnsi="Times New Roman" w:eastAsia="仿宋_GB2312"/>
          <w:b/>
          <w:bCs/>
          <w:sz w:val="28"/>
          <w:szCs w:val="28"/>
        </w:rPr>
        <w:t>二、技术偏离表</w:t>
      </w:r>
      <w:bookmarkEnd w:id="508"/>
      <w:bookmarkEnd w:id="509"/>
      <w:bookmarkEnd w:id="510"/>
      <w:bookmarkEnd w:id="511"/>
    </w:p>
    <w:p w14:paraId="7ED1B209">
      <w:pPr>
        <w:pStyle w:val="22"/>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14:paraId="5DD6B7F1">
      <w:pPr>
        <w:pStyle w:val="22"/>
      </w:pPr>
      <w:r>
        <w:rPr>
          <w:rFonts w:ascii="Times New Roman" w:hAnsi="Times New Roman" w:eastAsia="仿宋_GB2312"/>
          <w:sz w:val="24"/>
        </w:rPr>
        <w:t>项目名称：</w:t>
      </w:r>
      <w:r>
        <w:rPr>
          <w:rFonts w:ascii="Times New Roman" w:hAnsi="Times New Roman" w:eastAsia="仿宋_GB2312"/>
          <w:sz w:val="24"/>
          <w:u w:val="single"/>
        </w:rPr>
        <w:t xml:space="preserve">              </w:t>
      </w:r>
    </w:p>
    <w:tbl>
      <w:tblPr>
        <w:tblStyle w:val="50"/>
        <w:tblW w:w="90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932"/>
        <w:gridCol w:w="1236"/>
        <w:gridCol w:w="1236"/>
        <w:gridCol w:w="2394"/>
      </w:tblGrid>
      <w:tr w14:paraId="5E8FF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5687D391">
            <w:pPr>
              <w:spacing w:line="400" w:lineRule="exact"/>
              <w:jc w:val="center"/>
              <w:rPr>
                <w:rFonts w:eastAsia="仿宋_GB2312"/>
                <w:b/>
                <w:bCs/>
                <w:sz w:val="24"/>
              </w:rPr>
            </w:pPr>
            <w:r>
              <w:rPr>
                <w:rFonts w:eastAsia="仿宋_GB2312"/>
                <w:b/>
                <w:bCs/>
                <w:sz w:val="24"/>
              </w:rPr>
              <w:t>谈判文件条目号</w:t>
            </w:r>
          </w:p>
        </w:tc>
        <w:tc>
          <w:tcPr>
            <w:tcW w:w="1932" w:type="dxa"/>
          </w:tcPr>
          <w:p w14:paraId="067D0C5A">
            <w:pPr>
              <w:spacing w:line="400" w:lineRule="exact"/>
              <w:jc w:val="center"/>
              <w:rPr>
                <w:rFonts w:eastAsia="仿宋_GB2312"/>
                <w:b/>
                <w:bCs/>
                <w:sz w:val="24"/>
              </w:rPr>
            </w:pPr>
            <w:r>
              <w:rPr>
                <w:rFonts w:eastAsia="仿宋_GB2312"/>
                <w:b/>
                <w:bCs/>
                <w:sz w:val="24"/>
              </w:rPr>
              <w:t>技术条款要求</w:t>
            </w:r>
          </w:p>
        </w:tc>
        <w:tc>
          <w:tcPr>
            <w:tcW w:w="1236" w:type="dxa"/>
          </w:tcPr>
          <w:p w14:paraId="07999FC7">
            <w:pPr>
              <w:spacing w:line="400" w:lineRule="exact"/>
              <w:jc w:val="center"/>
              <w:rPr>
                <w:rFonts w:eastAsia="仿宋_GB2312"/>
                <w:b/>
                <w:bCs/>
                <w:sz w:val="24"/>
              </w:rPr>
            </w:pPr>
            <w:r>
              <w:rPr>
                <w:rFonts w:eastAsia="仿宋_GB2312"/>
                <w:b/>
                <w:bCs/>
                <w:sz w:val="24"/>
              </w:rPr>
              <w:t>完全响应</w:t>
            </w:r>
          </w:p>
        </w:tc>
        <w:tc>
          <w:tcPr>
            <w:tcW w:w="1236" w:type="dxa"/>
          </w:tcPr>
          <w:p w14:paraId="7CD02EB5">
            <w:pPr>
              <w:spacing w:line="400" w:lineRule="exact"/>
              <w:jc w:val="center"/>
              <w:rPr>
                <w:rFonts w:eastAsia="仿宋_GB2312"/>
                <w:b/>
                <w:bCs/>
                <w:sz w:val="24"/>
              </w:rPr>
            </w:pPr>
            <w:r>
              <w:rPr>
                <w:rFonts w:eastAsia="仿宋_GB2312"/>
                <w:b/>
                <w:bCs/>
                <w:sz w:val="24"/>
              </w:rPr>
              <w:t>有偏离</w:t>
            </w:r>
          </w:p>
        </w:tc>
        <w:tc>
          <w:tcPr>
            <w:tcW w:w="2394" w:type="dxa"/>
          </w:tcPr>
          <w:p w14:paraId="3AC33154">
            <w:pPr>
              <w:spacing w:line="400" w:lineRule="exact"/>
              <w:jc w:val="center"/>
              <w:rPr>
                <w:rFonts w:eastAsia="仿宋_GB2312"/>
                <w:b/>
                <w:bCs/>
                <w:sz w:val="24"/>
              </w:rPr>
            </w:pPr>
            <w:r>
              <w:rPr>
                <w:rFonts w:eastAsia="仿宋_GB2312"/>
                <w:b/>
                <w:bCs/>
                <w:sz w:val="24"/>
              </w:rPr>
              <w:t>偏离简述</w:t>
            </w:r>
          </w:p>
        </w:tc>
      </w:tr>
      <w:tr w14:paraId="22A3C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79CB4D2A">
            <w:pPr>
              <w:spacing w:line="400" w:lineRule="exact"/>
              <w:rPr>
                <w:rFonts w:eastAsia="仿宋_GB2312"/>
                <w:sz w:val="24"/>
              </w:rPr>
            </w:pPr>
          </w:p>
        </w:tc>
        <w:tc>
          <w:tcPr>
            <w:tcW w:w="1932" w:type="dxa"/>
          </w:tcPr>
          <w:p w14:paraId="2490B4E0">
            <w:pPr>
              <w:spacing w:line="400" w:lineRule="exact"/>
              <w:rPr>
                <w:rFonts w:eastAsia="仿宋_GB2312"/>
                <w:sz w:val="24"/>
              </w:rPr>
            </w:pPr>
          </w:p>
        </w:tc>
        <w:tc>
          <w:tcPr>
            <w:tcW w:w="1236" w:type="dxa"/>
          </w:tcPr>
          <w:p w14:paraId="6B3806B1">
            <w:pPr>
              <w:spacing w:line="400" w:lineRule="exact"/>
              <w:rPr>
                <w:rFonts w:eastAsia="仿宋_GB2312"/>
                <w:sz w:val="24"/>
              </w:rPr>
            </w:pPr>
          </w:p>
        </w:tc>
        <w:tc>
          <w:tcPr>
            <w:tcW w:w="1236" w:type="dxa"/>
          </w:tcPr>
          <w:p w14:paraId="33426F0F">
            <w:pPr>
              <w:spacing w:line="400" w:lineRule="exact"/>
              <w:rPr>
                <w:rFonts w:eastAsia="仿宋_GB2312"/>
                <w:sz w:val="24"/>
              </w:rPr>
            </w:pPr>
          </w:p>
        </w:tc>
        <w:tc>
          <w:tcPr>
            <w:tcW w:w="2394" w:type="dxa"/>
          </w:tcPr>
          <w:p w14:paraId="7DB4CF15">
            <w:pPr>
              <w:spacing w:line="400" w:lineRule="exact"/>
              <w:rPr>
                <w:rFonts w:eastAsia="仿宋_GB2312"/>
                <w:sz w:val="24"/>
              </w:rPr>
            </w:pPr>
          </w:p>
        </w:tc>
      </w:tr>
      <w:tr w14:paraId="28D57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3A3C320F">
            <w:pPr>
              <w:spacing w:line="400" w:lineRule="exact"/>
              <w:rPr>
                <w:rFonts w:eastAsia="仿宋_GB2312"/>
                <w:sz w:val="24"/>
              </w:rPr>
            </w:pPr>
          </w:p>
        </w:tc>
        <w:tc>
          <w:tcPr>
            <w:tcW w:w="1932" w:type="dxa"/>
          </w:tcPr>
          <w:p w14:paraId="6D2D15B3">
            <w:pPr>
              <w:spacing w:line="400" w:lineRule="exact"/>
              <w:rPr>
                <w:rFonts w:eastAsia="仿宋_GB2312"/>
                <w:sz w:val="24"/>
              </w:rPr>
            </w:pPr>
          </w:p>
        </w:tc>
        <w:tc>
          <w:tcPr>
            <w:tcW w:w="1236" w:type="dxa"/>
          </w:tcPr>
          <w:p w14:paraId="013D18D7">
            <w:pPr>
              <w:spacing w:line="400" w:lineRule="exact"/>
              <w:rPr>
                <w:rFonts w:eastAsia="仿宋_GB2312"/>
                <w:sz w:val="24"/>
              </w:rPr>
            </w:pPr>
          </w:p>
        </w:tc>
        <w:tc>
          <w:tcPr>
            <w:tcW w:w="1236" w:type="dxa"/>
          </w:tcPr>
          <w:p w14:paraId="148A5E23">
            <w:pPr>
              <w:spacing w:line="400" w:lineRule="exact"/>
              <w:rPr>
                <w:rFonts w:eastAsia="仿宋_GB2312"/>
                <w:sz w:val="24"/>
              </w:rPr>
            </w:pPr>
          </w:p>
        </w:tc>
        <w:tc>
          <w:tcPr>
            <w:tcW w:w="2394" w:type="dxa"/>
          </w:tcPr>
          <w:p w14:paraId="077DB72E">
            <w:pPr>
              <w:spacing w:line="400" w:lineRule="exact"/>
              <w:rPr>
                <w:rFonts w:eastAsia="仿宋_GB2312"/>
                <w:sz w:val="24"/>
              </w:rPr>
            </w:pPr>
          </w:p>
        </w:tc>
      </w:tr>
      <w:tr w14:paraId="46E40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0AF844CB">
            <w:pPr>
              <w:spacing w:line="400" w:lineRule="exact"/>
              <w:rPr>
                <w:rFonts w:eastAsia="仿宋_GB2312"/>
                <w:sz w:val="24"/>
              </w:rPr>
            </w:pPr>
          </w:p>
        </w:tc>
        <w:tc>
          <w:tcPr>
            <w:tcW w:w="1932" w:type="dxa"/>
          </w:tcPr>
          <w:p w14:paraId="0AD2B8AF">
            <w:pPr>
              <w:spacing w:line="400" w:lineRule="exact"/>
              <w:rPr>
                <w:rFonts w:eastAsia="仿宋_GB2312"/>
                <w:sz w:val="24"/>
              </w:rPr>
            </w:pPr>
          </w:p>
        </w:tc>
        <w:tc>
          <w:tcPr>
            <w:tcW w:w="1236" w:type="dxa"/>
          </w:tcPr>
          <w:p w14:paraId="4979B5D2">
            <w:pPr>
              <w:spacing w:line="400" w:lineRule="exact"/>
              <w:rPr>
                <w:rFonts w:eastAsia="仿宋_GB2312"/>
                <w:sz w:val="24"/>
              </w:rPr>
            </w:pPr>
          </w:p>
        </w:tc>
        <w:tc>
          <w:tcPr>
            <w:tcW w:w="1236" w:type="dxa"/>
          </w:tcPr>
          <w:p w14:paraId="34878FC0">
            <w:pPr>
              <w:spacing w:line="400" w:lineRule="exact"/>
              <w:rPr>
                <w:rFonts w:eastAsia="仿宋_GB2312"/>
                <w:sz w:val="24"/>
              </w:rPr>
            </w:pPr>
          </w:p>
        </w:tc>
        <w:tc>
          <w:tcPr>
            <w:tcW w:w="2394" w:type="dxa"/>
          </w:tcPr>
          <w:p w14:paraId="0DB07508">
            <w:pPr>
              <w:spacing w:line="400" w:lineRule="exact"/>
              <w:rPr>
                <w:rFonts w:eastAsia="仿宋_GB2312"/>
                <w:sz w:val="24"/>
              </w:rPr>
            </w:pPr>
          </w:p>
        </w:tc>
      </w:tr>
      <w:tr w14:paraId="64EA0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31C6EBF0">
            <w:pPr>
              <w:spacing w:line="400" w:lineRule="exact"/>
              <w:rPr>
                <w:rFonts w:eastAsia="仿宋_GB2312"/>
                <w:sz w:val="24"/>
              </w:rPr>
            </w:pPr>
          </w:p>
        </w:tc>
        <w:tc>
          <w:tcPr>
            <w:tcW w:w="1932" w:type="dxa"/>
          </w:tcPr>
          <w:p w14:paraId="7874988B">
            <w:pPr>
              <w:spacing w:line="400" w:lineRule="exact"/>
              <w:rPr>
                <w:rFonts w:eastAsia="仿宋_GB2312"/>
                <w:sz w:val="24"/>
              </w:rPr>
            </w:pPr>
          </w:p>
        </w:tc>
        <w:tc>
          <w:tcPr>
            <w:tcW w:w="1236" w:type="dxa"/>
          </w:tcPr>
          <w:p w14:paraId="6CC83E54">
            <w:pPr>
              <w:spacing w:line="400" w:lineRule="exact"/>
              <w:rPr>
                <w:rFonts w:eastAsia="仿宋_GB2312"/>
                <w:sz w:val="24"/>
              </w:rPr>
            </w:pPr>
          </w:p>
        </w:tc>
        <w:tc>
          <w:tcPr>
            <w:tcW w:w="1236" w:type="dxa"/>
          </w:tcPr>
          <w:p w14:paraId="0C7C8F7C">
            <w:pPr>
              <w:spacing w:line="400" w:lineRule="exact"/>
              <w:rPr>
                <w:rFonts w:eastAsia="仿宋_GB2312"/>
                <w:sz w:val="24"/>
              </w:rPr>
            </w:pPr>
          </w:p>
        </w:tc>
        <w:tc>
          <w:tcPr>
            <w:tcW w:w="2394" w:type="dxa"/>
          </w:tcPr>
          <w:p w14:paraId="647628A4">
            <w:pPr>
              <w:spacing w:line="400" w:lineRule="exact"/>
              <w:rPr>
                <w:rFonts w:eastAsia="仿宋_GB2312"/>
                <w:sz w:val="24"/>
              </w:rPr>
            </w:pPr>
          </w:p>
        </w:tc>
      </w:tr>
      <w:tr w14:paraId="78987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3449C5E6">
            <w:pPr>
              <w:spacing w:line="400" w:lineRule="exact"/>
              <w:rPr>
                <w:rFonts w:eastAsia="仿宋_GB2312"/>
                <w:sz w:val="24"/>
              </w:rPr>
            </w:pPr>
          </w:p>
        </w:tc>
        <w:tc>
          <w:tcPr>
            <w:tcW w:w="1932" w:type="dxa"/>
          </w:tcPr>
          <w:p w14:paraId="3689482B">
            <w:pPr>
              <w:spacing w:line="400" w:lineRule="exact"/>
              <w:rPr>
                <w:rFonts w:eastAsia="仿宋_GB2312"/>
                <w:sz w:val="24"/>
              </w:rPr>
            </w:pPr>
          </w:p>
        </w:tc>
        <w:tc>
          <w:tcPr>
            <w:tcW w:w="1236" w:type="dxa"/>
          </w:tcPr>
          <w:p w14:paraId="5B84E050">
            <w:pPr>
              <w:spacing w:line="400" w:lineRule="exact"/>
              <w:rPr>
                <w:rFonts w:eastAsia="仿宋_GB2312"/>
                <w:sz w:val="24"/>
              </w:rPr>
            </w:pPr>
          </w:p>
        </w:tc>
        <w:tc>
          <w:tcPr>
            <w:tcW w:w="1236" w:type="dxa"/>
          </w:tcPr>
          <w:p w14:paraId="6BAF523A">
            <w:pPr>
              <w:spacing w:line="400" w:lineRule="exact"/>
              <w:rPr>
                <w:rFonts w:eastAsia="仿宋_GB2312"/>
                <w:sz w:val="24"/>
              </w:rPr>
            </w:pPr>
          </w:p>
        </w:tc>
        <w:tc>
          <w:tcPr>
            <w:tcW w:w="2394" w:type="dxa"/>
          </w:tcPr>
          <w:p w14:paraId="51F9954C">
            <w:pPr>
              <w:spacing w:line="400" w:lineRule="exact"/>
              <w:rPr>
                <w:rFonts w:eastAsia="仿宋_GB2312"/>
                <w:sz w:val="24"/>
              </w:rPr>
            </w:pPr>
          </w:p>
        </w:tc>
      </w:tr>
      <w:tr w14:paraId="15E38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796B1C5C">
            <w:pPr>
              <w:spacing w:line="400" w:lineRule="exact"/>
              <w:rPr>
                <w:rFonts w:eastAsia="仿宋_GB2312"/>
                <w:sz w:val="24"/>
              </w:rPr>
            </w:pPr>
          </w:p>
        </w:tc>
        <w:tc>
          <w:tcPr>
            <w:tcW w:w="1932" w:type="dxa"/>
          </w:tcPr>
          <w:p w14:paraId="23F7D984">
            <w:pPr>
              <w:spacing w:line="400" w:lineRule="exact"/>
              <w:rPr>
                <w:rFonts w:eastAsia="仿宋_GB2312"/>
                <w:bCs/>
                <w:sz w:val="24"/>
              </w:rPr>
            </w:pPr>
          </w:p>
        </w:tc>
        <w:tc>
          <w:tcPr>
            <w:tcW w:w="1236" w:type="dxa"/>
          </w:tcPr>
          <w:p w14:paraId="5D0A76B7">
            <w:pPr>
              <w:spacing w:line="400" w:lineRule="exact"/>
              <w:rPr>
                <w:rFonts w:eastAsia="仿宋_GB2312"/>
                <w:sz w:val="24"/>
              </w:rPr>
            </w:pPr>
          </w:p>
        </w:tc>
        <w:tc>
          <w:tcPr>
            <w:tcW w:w="1236" w:type="dxa"/>
          </w:tcPr>
          <w:p w14:paraId="1233ED9E">
            <w:pPr>
              <w:spacing w:line="400" w:lineRule="exact"/>
              <w:rPr>
                <w:rFonts w:eastAsia="仿宋_GB2312"/>
                <w:sz w:val="24"/>
              </w:rPr>
            </w:pPr>
          </w:p>
        </w:tc>
        <w:tc>
          <w:tcPr>
            <w:tcW w:w="2394" w:type="dxa"/>
          </w:tcPr>
          <w:p w14:paraId="76CBDE93">
            <w:pPr>
              <w:spacing w:line="400" w:lineRule="exact"/>
              <w:rPr>
                <w:rFonts w:eastAsia="仿宋_GB2312"/>
                <w:sz w:val="24"/>
              </w:rPr>
            </w:pPr>
          </w:p>
        </w:tc>
      </w:tr>
      <w:tr w14:paraId="63DF5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1AE01F09">
            <w:pPr>
              <w:spacing w:line="400" w:lineRule="exact"/>
              <w:rPr>
                <w:rFonts w:eastAsia="仿宋_GB2312"/>
                <w:sz w:val="24"/>
              </w:rPr>
            </w:pPr>
          </w:p>
        </w:tc>
        <w:tc>
          <w:tcPr>
            <w:tcW w:w="1932" w:type="dxa"/>
          </w:tcPr>
          <w:p w14:paraId="1B1E9688">
            <w:pPr>
              <w:spacing w:line="400" w:lineRule="exact"/>
              <w:rPr>
                <w:rFonts w:eastAsia="仿宋_GB2312"/>
                <w:bCs/>
                <w:sz w:val="24"/>
              </w:rPr>
            </w:pPr>
          </w:p>
        </w:tc>
        <w:tc>
          <w:tcPr>
            <w:tcW w:w="1236" w:type="dxa"/>
          </w:tcPr>
          <w:p w14:paraId="25932E13">
            <w:pPr>
              <w:spacing w:line="400" w:lineRule="exact"/>
              <w:rPr>
                <w:rFonts w:eastAsia="仿宋_GB2312"/>
                <w:sz w:val="24"/>
              </w:rPr>
            </w:pPr>
          </w:p>
        </w:tc>
        <w:tc>
          <w:tcPr>
            <w:tcW w:w="1236" w:type="dxa"/>
          </w:tcPr>
          <w:p w14:paraId="14D84CDA">
            <w:pPr>
              <w:spacing w:line="400" w:lineRule="exact"/>
              <w:rPr>
                <w:rFonts w:eastAsia="仿宋_GB2312"/>
                <w:sz w:val="24"/>
              </w:rPr>
            </w:pPr>
          </w:p>
        </w:tc>
        <w:tc>
          <w:tcPr>
            <w:tcW w:w="2394" w:type="dxa"/>
          </w:tcPr>
          <w:p w14:paraId="17A55882">
            <w:pPr>
              <w:spacing w:line="400" w:lineRule="exact"/>
              <w:rPr>
                <w:rFonts w:eastAsia="仿宋_GB2312"/>
                <w:sz w:val="24"/>
              </w:rPr>
            </w:pPr>
          </w:p>
        </w:tc>
      </w:tr>
    </w:tbl>
    <w:p w14:paraId="78FD809F">
      <w:pPr>
        <w:spacing w:line="360" w:lineRule="auto"/>
        <w:ind w:firstLine="1920" w:firstLineChars="800"/>
        <w:rPr>
          <w:rFonts w:hint="eastAsia" w:eastAsia="仿宋_GB2312"/>
          <w:sz w:val="24"/>
          <w:lang w:val="en-US" w:eastAsia="zh-CN"/>
        </w:rPr>
      </w:pPr>
    </w:p>
    <w:p w14:paraId="036DBBB3">
      <w:pPr>
        <w:spacing w:before="120" w:after="120" w:line="360" w:lineRule="auto"/>
        <w:ind w:firstLine="1440" w:firstLineChars="600"/>
        <w:rPr>
          <w:rFonts w:eastAsia="仿宋_GB2312"/>
          <w:sz w:val="24"/>
          <w:u w:val="single"/>
        </w:rPr>
      </w:pPr>
      <w:r>
        <w:rPr>
          <w:rFonts w:eastAsia="仿宋_GB2312"/>
          <w:sz w:val="24"/>
        </w:rPr>
        <w:t>供应商（</w:t>
      </w:r>
      <w:r>
        <w:rPr>
          <w:rFonts w:hint="eastAsia" w:eastAsia="仿宋_GB2312"/>
          <w:sz w:val="24"/>
          <w:lang w:val="en-US" w:eastAsia="zh-CN"/>
        </w:rPr>
        <w:t>盖</w:t>
      </w:r>
      <w:r>
        <w:rPr>
          <w:rFonts w:eastAsia="仿宋_GB2312"/>
          <w:sz w:val="24"/>
        </w:rPr>
        <w:t>公章）：</w:t>
      </w:r>
      <w:r>
        <w:rPr>
          <w:rFonts w:eastAsia="仿宋_GB2312"/>
          <w:sz w:val="24"/>
          <w:u w:val="single"/>
        </w:rPr>
        <w:t xml:space="preserve">       </w:t>
      </w:r>
      <w:r>
        <w:rPr>
          <w:rFonts w:hint="eastAsia" w:eastAsia="仿宋_GB2312"/>
          <w:sz w:val="24"/>
          <w:u w:val="single"/>
          <w:lang w:val="en-US" w:eastAsia="zh-CN"/>
        </w:rPr>
        <w:t xml:space="preserve">  </w:t>
      </w:r>
      <w:r>
        <w:rPr>
          <w:rFonts w:eastAsia="仿宋_GB2312"/>
          <w:sz w:val="24"/>
          <w:u w:val="single"/>
        </w:rPr>
        <w:t xml:space="preserve">       </w:t>
      </w:r>
    </w:p>
    <w:p w14:paraId="548FBA3B">
      <w:pPr>
        <w:spacing w:before="120" w:after="120" w:line="360" w:lineRule="auto"/>
        <w:ind w:firstLine="1440" w:firstLineChars="600"/>
        <w:rPr>
          <w:rFonts w:eastAsia="仿宋_GB2312"/>
          <w:sz w:val="24"/>
          <w:u w:val="single"/>
        </w:rPr>
      </w:pPr>
      <w:r>
        <w:rPr>
          <w:rFonts w:eastAsia="仿宋_GB2312"/>
          <w:sz w:val="24"/>
        </w:rPr>
        <w:t>法定代表人或其授权代表（签字</w:t>
      </w:r>
      <w:r>
        <w:rPr>
          <w:rFonts w:hint="eastAsia" w:eastAsia="仿宋_GB2312"/>
          <w:sz w:val="24"/>
          <w:lang w:val="en-US" w:eastAsia="zh-CN"/>
        </w:rPr>
        <w:t>或盖章</w:t>
      </w:r>
      <w:r>
        <w:rPr>
          <w:rFonts w:eastAsia="仿宋_GB2312"/>
          <w:sz w:val="24"/>
        </w:rPr>
        <w:t>）：</w:t>
      </w:r>
      <w:r>
        <w:rPr>
          <w:rFonts w:eastAsia="仿宋_GB2312"/>
          <w:sz w:val="24"/>
          <w:u w:val="single"/>
        </w:rPr>
        <w:t xml:space="preserve">                  </w:t>
      </w:r>
    </w:p>
    <w:p w14:paraId="23CFCCB2">
      <w:pPr>
        <w:spacing w:before="120" w:after="120" w:line="360" w:lineRule="auto"/>
        <w:ind w:firstLine="1440" w:firstLineChars="600"/>
        <w:rPr>
          <w:rFonts w:ascii="Times New Roman" w:hAnsi="Times New Roman" w:eastAsia="仿宋_GB2312"/>
          <w:sz w:val="24"/>
        </w:rPr>
      </w:pPr>
      <w:r>
        <w:rPr>
          <w:rFonts w:eastAsia="仿宋_GB2312"/>
          <w:sz w:val="24"/>
        </w:rPr>
        <w:t>日    期：</w:t>
      </w:r>
      <w:r>
        <w:rPr>
          <w:rFonts w:eastAsia="仿宋_GB2312"/>
          <w:sz w:val="24"/>
          <w:u w:val="single"/>
        </w:rPr>
        <w:t xml:space="preserve">   </w:t>
      </w:r>
      <w:r>
        <w:rPr>
          <w:rFonts w:hint="eastAsia" w:eastAsia="仿宋_GB2312"/>
          <w:sz w:val="24"/>
          <w:u w:val="single"/>
          <w:lang w:val="en-US" w:eastAsia="zh-CN"/>
        </w:rPr>
        <w:t xml:space="preserve"> </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14:paraId="6DF99836">
      <w:pPr>
        <w:spacing w:line="360" w:lineRule="auto"/>
        <w:rPr>
          <w:rFonts w:eastAsia="仿宋_GB2312"/>
        </w:rPr>
      </w:pPr>
    </w:p>
    <w:p w14:paraId="51AEB946">
      <w:pPr>
        <w:snapToGrid w:val="0"/>
        <w:spacing w:after="120" w:afterLines="50"/>
        <w:ind w:left="850" w:hanging="850" w:hangingChars="405"/>
        <w:rPr>
          <w:rFonts w:eastAsia="仿宋_GB2312"/>
        </w:rPr>
      </w:pPr>
      <w:r>
        <w:rPr>
          <w:rFonts w:eastAsia="仿宋_GB2312"/>
        </w:rPr>
        <w:t>注：1.</w:t>
      </w:r>
      <w:r>
        <w:rPr>
          <w:rFonts w:eastAsia="仿宋_GB2312"/>
        </w:rPr>
        <w:tab/>
      </w:r>
      <w:r>
        <w:rPr>
          <w:rFonts w:eastAsia="仿宋_GB2312"/>
        </w:rPr>
        <w:t>对完全响应的条目在本表相应列中标注“○”。对有偏离的条目在本表相应列中标注“正偏离”或“负偏离”。并在“偏离简述”栏中加以说明。</w:t>
      </w:r>
    </w:p>
    <w:p w14:paraId="73FCA264">
      <w:pPr>
        <w:tabs>
          <w:tab w:val="left" w:pos="1200"/>
        </w:tabs>
        <w:snapToGrid w:val="0"/>
        <w:spacing w:after="120" w:afterLines="50"/>
        <w:ind w:left="850" w:leftChars="203" w:hanging="424" w:hangingChars="202"/>
        <w:rPr>
          <w:rFonts w:eastAsia="仿宋_GB2312"/>
        </w:rPr>
      </w:pPr>
      <w:r>
        <w:rPr>
          <w:rFonts w:eastAsia="仿宋_GB2312"/>
        </w:rPr>
        <w:t>2.</w:t>
      </w:r>
      <w:r>
        <w:rPr>
          <w:rFonts w:eastAsia="仿宋_GB2312"/>
        </w:rPr>
        <w:tab/>
      </w:r>
      <w:r>
        <w:rPr>
          <w:rFonts w:eastAsia="仿宋_GB2312"/>
        </w:rPr>
        <w:t>正偏离是指应答的条件高于谈判文件要求，负偏离是指应答的条件低于谈判文件要求。</w:t>
      </w:r>
    </w:p>
    <w:p w14:paraId="74F53721">
      <w:pPr>
        <w:tabs>
          <w:tab w:val="left" w:pos="1200"/>
        </w:tabs>
        <w:snapToGrid w:val="0"/>
        <w:spacing w:after="120" w:afterLines="50"/>
        <w:ind w:left="850" w:leftChars="203" w:hanging="424" w:hangingChars="202"/>
        <w:rPr>
          <w:rFonts w:eastAsia="仿宋_GB2312"/>
        </w:rPr>
      </w:pPr>
      <w:r>
        <w:rPr>
          <w:rFonts w:eastAsia="仿宋_GB2312"/>
        </w:rPr>
        <w:t>3</w:t>
      </w:r>
      <w:r>
        <w:rPr>
          <w:rFonts w:hint="eastAsia" w:eastAsia="仿宋_GB2312"/>
          <w:lang w:val="en-US" w:eastAsia="zh-CN"/>
        </w:rPr>
        <w:t>.</w:t>
      </w:r>
      <w:r>
        <w:rPr>
          <w:rFonts w:eastAsia="仿宋_GB2312"/>
        </w:rPr>
        <w:tab/>
      </w:r>
      <w:r>
        <w:rPr>
          <w:rFonts w:eastAsia="仿宋_GB2312"/>
        </w:rPr>
        <w:t>供应商须按照</w:t>
      </w:r>
      <w:r>
        <w:rPr>
          <w:rFonts w:hint="eastAsia" w:eastAsia="仿宋_GB2312"/>
          <w:lang w:val="en-US" w:eastAsia="zh-CN"/>
        </w:rPr>
        <w:t>采购内容及要求</w:t>
      </w:r>
      <w:r>
        <w:rPr>
          <w:rFonts w:eastAsia="仿宋_GB2312"/>
        </w:rPr>
        <w:t>逐条完整填写响应表。如果未完整填写响应表的各项内容则视作供应商已经对谈判文件相关要求和内容完全理解并同意，其报价为在此基础上的完全价格。</w:t>
      </w:r>
    </w:p>
    <w:p w14:paraId="3785203C">
      <w:pPr>
        <w:tabs>
          <w:tab w:val="left" w:pos="1200"/>
        </w:tabs>
        <w:snapToGrid w:val="0"/>
        <w:spacing w:after="120" w:afterLines="50"/>
        <w:ind w:left="850" w:leftChars="203" w:hanging="424" w:hangingChars="202"/>
        <w:rPr>
          <w:rFonts w:eastAsia="仿宋_GB2312"/>
        </w:rPr>
      </w:pPr>
      <w:r>
        <w:rPr>
          <w:rFonts w:eastAsia="仿宋_GB2312"/>
        </w:rPr>
        <w:t>4</w:t>
      </w:r>
      <w:r>
        <w:rPr>
          <w:rFonts w:hint="eastAsia" w:eastAsia="仿宋_GB2312"/>
          <w:lang w:val="en-US" w:eastAsia="zh-CN"/>
        </w:rPr>
        <w:t>.</w:t>
      </w:r>
      <w:r>
        <w:rPr>
          <w:rFonts w:eastAsia="仿宋_GB2312"/>
        </w:rPr>
        <w:tab/>
      </w:r>
      <w:r>
        <w:rPr>
          <w:rFonts w:eastAsia="仿宋_GB2312"/>
        </w:rPr>
        <w:t>在采购人与成交供应商签订合同时，如成交供应商未在响应文件“响应表”中列出偏离说明，无论即将发生或已发生任何情形，均视为完全符合谈判文件要求，并写入合同。若成交供应商在合同签订前，以上述事项为借口而不履行合同签订手续及执行合同，则视作拒绝与采购人签订合同。</w:t>
      </w:r>
    </w:p>
    <w:p w14:paraId="4F237601">
      <w:pPr>
        <w:autoSpaceDE w:val="0"/>
        <w:autoSpaceDN w:val="0"/>
        <w:adjustRightInd w:val="0"/>
        <w:snapToGrid w:val="0"/>
        <w:spacing w:line="360" w:lineRule="auto"/>
        <w:jc w:val="center"/>
        <w:rPr>
          <w:rFonts w:eastAsia="仿宋_GB2312"/>
          <w:b/>
          <w:sz w:val="32"/>
          <w:szCs w:val="32"/>
        </w:rPr>
      </w:pPr>
      <w:r>
        <w:rPr>
          <w:rFonts w:eastAsia="仿宋_GB2312"/>
          <w:b/>
          <w:sz w:val="32"/>
          <w:szCs w:val="32"/>
        </w:rPr>
        <w:br w:type="page"/>
      </w:r>
    </w:p>
    <w:p w14:paraId="62F605C7">
      <w:pPr>
        <w:pStyle w:val="3"/>
        <w:jc w:val="center"/>
        <w:rPr>
          <w:rFonts w:hint="eastAsia" w:ascii="Times New Roman" w:hAnsi="Times New Roman" w:eastAsia="仿宋_GB2312"/>
          <w:b/>
          <w:bCs/>
          <w:lang w:val="en-US" w:eastAsia="zh-CN"/>
        </w:rPr>
      </w:pPr>
      <w:bookmarkStart w:id="512" w:name="_Toc5558"/>
      <w:r>
        <w:rPr>
          <w:rFonts w:ascii="Times New Roman" w:hAnsi="Times New Roman" w:eastAsia="仿宋_GB2312"/>
          <w:b/>
          <w:bCs/>
          <w:lang w:val="zh-CN"/>
        </w:rPr>
        <w:t>第</w:t>
      </w:r>
      <w:r>
        <w:rPr>
          <w:rFonts w:hint="eastAsia" w:ascii="Times New Roman" w:hAnsi="Times New Roman" w:eastAsia="仿宋_GB2312"/>
          <w:b/>
          <w:bCs/>
          <w:lang w:val="en-US" w:eastAsia="zh-CN"/>
        </w:rPr>
        <w:t>五</w:t>
      </w:r>
      <w:r>
        <w:rPr>
          <w:rFonts w:ascii="Times New Roman" w:hAnsi="Times New Roman" w:eastAsia="仿宋_GB2312"/>
          <w:b/>
          <w:bCs/>
          <w:lang w:val="zh-CN"/>
        </w:rPr>
        <w:t>部分</w:t>
      </w:r>
      <w:r>
        <w:rPr>
          <w:rFonts w:ascii="Times New Roman" w:hAnsi="Times New Roman" w:eastAsia="仿宋_GB2312"/>
          <w:b/>
          <w:bCs/>
        </w:rPr>
        <w:t xml:space="preserve">  </w:t>
      </w:r>
      <w:r>
        <w:rPr>
          <w:rFonts w:hint="eastAsia" w:ascii="Times New Roman" w:hAnsi="Times New Roman" w:eastAsia="仿宋_GB2312"/>
          <w:b/>
          <w:bCs/>
          <w:lang w:val="en-US" w:eastAsia="zh-CN"/>
        </w:rPr>
        <w:t>技术文件及</w:t>
      </w:r>
      <w:r>
        <w:rPr>
          <w:rFonts w:ascii="Times New Roman" w:hAnsi="Times New Roman" w:eastAsia="仿宋_GB2312"/>
          <w:b/>
          <w:bCs/>
          <w:lang w:val="zh-CN"/>
        </w:rPr>
        <w:t>响应方案说明</w:t>
      </w:r>
      <w:bookmarkEnd w:id="512"/>
    </w:p>
    <w:p w14:paraId="1B5A6659">
      <w:pPr>
        <w:pStyle w:val="22"/>
        <w:rPr>
          <w:rFonts w:ascii="Times New Roman" w:hAnsi="Times New Roman" w:eastAsia="仿宋_GB2312"/>
          <w:lang w:val="zh-CN"/>
        </w:rPr>
      </w:pPr>
    </w:p>
    <w:p w14:paraId="48E93C22">
      <w:pPr>
        <w:autoSpaceDE w:val="0"/>
        <w:autoSpaceDN w:val="0"/>
        <w:adjustRightInd w:val="0"/>
        <w:spacing w:line="360" w:lineRule="auto"/>
        <w:jc w:val="center"/>
        <w:rPr>
          <w:rFonts w:eastAsia="仿宋_GB2312"/>
          <w:sz w:val="24"/>
          <w:szCs w:val="24"/>
          <w:lang w:val="zh-CN"/>
        </w:rPr>
      </w:pPr>
      <w:r>
        <w:rPr>
          <w:rFonts w:eastAsia="仿宋_GB2312"/>
          <w:sz w:val="24"/>
          <w:szCs w:val="24"/>
          <w:lang w:val="zh-CN"/>
        </w:rPr>
        <w:t>（</w:t>
      </w:r>
      <w:r>
        <w:rPr>
          <w:rFonts w:hint="eastAsia" w:eastAsia="仿宋_GB2312"/>
          <w:sz w:val="24"/>
          <w:szCs w:val="24"/>
          <w:lang w:val="zh-CN"/>
        </w:rPr>
        <w:t>供应商根据</w:t>
      </w:r>
      <w:r>
        <w:rPr>
          <w:rFonts w:hint="eastAsia" w:eastAsia="仿宋_GB2312"/>
          <w:sz w:val="24"/>
          <w:szCs w:val="24"/>
          <w:lang w:val="en-US" w:eastAsia="zh-CN"/>
        </w:rPr>
        <w:t>本项目</w:t>
      </w:r>
      <w:r>
        <w:rPr>
          <w:rFonts w:hint="eastAsia" w:eastAsia="仿宋_GB2312"/>
          <w:sz w:val="24"/>
          <w:szCs w:val="24"/>
          <w:lang w:val="zh-CN"/>
        </w:rPr>
        <w:t>采购内容及要求，需提供详细的质量保障方案、产品配送方案、售后服务方案、应急方案等。</w:t>
      </w:r>
      <w:r>
        <w:rPr>
          <w:rFonts w:eastAsia="仿宋_GB2312"/>
          <w:sz w:val="24"/>
          <w:szCs w:val="24"/>
          <w:lang w:val="zh-CN"/>
        </w:rPr>
        <w:t>）</w:t>
      </w:r>
    </w:p>
    <w:p w14:paraId="3CF10943">
      <w:pPr>
        <w:pStyle w:val="22"/>
        <w:rPr>
          <w:rFonts w:ascii="Times New Roman" w:hAnsi="Times New Roman" w:eastAsia="仿宋_GB2312"/>
          <w:lang w:val="zh-CN"/>
        </w:rPr>
      </w:pPr>
      <w:r>
        <w:rPr>
          <w:rFonts w:ascii="Times New Roman" w:hAnsi="Times New Roman" w:eastAsia="仿宋_GB2312"/>
          <w:lang w:val="zh-CN"/>
        </w:rPr>
        <w:br w:type="page"/>
      </w:r>
    </w:p>
    <w:p w14:paraId="14CEBCBA">
      <w:pPr>
        <w:pStyle w:val="3"/>
        <w:jc w:val="center"/>
        <w:rPr>
          <w:rFonts w:ascii="Times New Roman" w:hAnsi="Times New Roman" w:eastAsia="仿宋_GB2312"/>
          <w:b/>
          <w:bCs/>
        </w:rPr>
      </w:pPr>
      <w:bookmarkStart w:id="513" w:name="_Toc4990"/>
      <w:r>
        <w:rPr>
          <w:rFonts w:ascii="Times New Roman" w:hAnsi="Times New Roman" w:eastAsia="仿宋_GB2312"/>
          <w:b/>
          <w:bCs/>
          <w:lang w:val="zh-CN"/>
        </w:rPr>
        <w:t>第</w:t>
      </w:r>
      <w:r>
        <w:rPr>
          <w:rFonts w:hint="eastAsia" w:ascii="Times New Roman" w:hAnsi="Times New Roman" w:eastAsia="仿宋_GB2312"/>
          <w:b/>
          <w:bCs/>
          <w:lang w:val="en-US" w:eastAsia="zh-CN"/>
        </w:rPr>
        <w:t>六</w:t>
      </w:r>
      <w:r>
        <w:rPr>
          <w:rFonts w:ascii="Times New Roman" w:hAnsi="Times New Roman" w:eastAsia="仿宋_GB2312"/>
          <w:b/>
          <w:bCs/>
          <w:lang w:val="zh-CN"/>
        </w:rPr>
        <w:t>部分</w:t>
      </w:r>
      <w:r>
        <w:rPr>
          <w:rFonts w:ascii="Times New Roman" w:hAnsi="Times New Roman" w:eastAsia="仿宋_GB2312"/>
          <w:b/>
          <w:bCs/>
        </w:rPr>
        <w:t xml:space="preserve">  </w:t>
      </w:r>
      <w:r>
        <w:rPr>
          <w:rFonts w:hint="eastAsia" w:ascii="Times New Roman" w:hAnsi="Times New Roman" w:eastAsia="仿宋_GB2312"/>
          <w:b/>
          <w:bCs/>
          <w:lang w:val="en-US" w:eastAsia="zh-CN"/>
        </w:rPr>
        <w:t>中小</w:t>
      </w:r>
      <w:r>
        <w:rPr>
          <w:rFonts w:ascii="Times New Roman" w:hAnsi="Times New Roman" w:eastAsia="仿宋_GB2312"/>
          <w:b/>
          <w:bCs/>
        </w:rPr>
        <w:t>企业、监狱企业、残疾人福利单位声明函或证明</w:t>
      </w:r>
      <w:bookmarkEnd w:id="513"/>
    </w:p>
    <w:p w14:paraId="58C38F3B">
      <w:pPr>
        <w:spacing w:before="144" w:line="219" w:lineRule="auto"/>
        <w:jc w:val="center"/>
        <w:rPr>
          <w:rFonts w:hint="eastAsia" w:ascii="仿宋" w:hAnsi="仿宋" w:eastAsia="仿宋" w:cs="仿宋"/>
          <w:sz w:val="28"/>
          <w:szCs w:val="28"/>
        </w:rPr>
      </w:pPr>
      <w:bookmarkStart w:id="514" w:name="_Toc7005133"/>
      <w:r>
        <w:rPr>
          <w:rFonts w:hint="eastAsia" w:ascii="仿宋" w:hAnsi="仿宋" w:eastAsia="仿宋" w:cs="仿宋"/>
          <w:b/>
          <w:bCs/>
          <w:spacing w:val="-6"/>
          <w:sz w:val="28"/>
          <w:szCs w:val="28"/>
          <w:lang w:val="en-US" w:eastAsia="zh-CN"/>
        </w:rPr>
        <w:t>一、</w:t>
      </w:r>
      <w:r>
        <w:rPr>
          <w:rFonts w:hint="eastAsia" w:ascii="仿宋" w:hAnsi="仿宋" w:eastAsia="仿宋" w:cs="仿宋"/>
          <w:b/>
          <w:bCs/>
          <w:spacing w:val="-6"/>
          <w:sz w:val="28"/>
          <w:szCs w:val="28"/>
        </w:rPr>
        <w:t>中小企业声明函(货物)</w:t>
      </w:r>
    </w:p>
    <w:p w14:paraId="7B430708">
      <w:pPr>
        <w:pStyle w:val="22"/>
        <w:spacing w:line="290" w:lineRule="auto"/>
        <w:rPr>
          <w:rFonts w:hint="eastAsia" w:ascii="仿宋" w:hAnsi="仿宋" w:eastAsia="仿宋" w:cs="仿宋"/>
        </w:rPr>
      </w:pPr>
    </w:p>
    <w:p w14:paraId="18884785">
      <w:pPr>
        <w:keepNext w:val="0"/>
        <w:keepLines w:val="0"/>
        <w:pageBreakBefore w:val="0"/>
        <w:widowControl/>
        <w:kinsoku w:val="0"/>
        <w:wordWrap/>
        <w:overflowPunct/>
        <w:topLinePunct w:val="0"/>
        <w:autoSpaceDE w:val="0"/>
        <w:autoSpaceDN w:val="0"/>
        <w:bidi w:val="0"/>
        <w:adjustRightInd w:val="0"/>
        <w:snapToGrid w:val="0"/>
        <w:spacing w:line="420" w:lineRule="auto"/>
        <w:ind w:left="0" w:right="0" w:firstLine="476"/>
        <w:textAlignment w:val="baseline"/>
        <w:rPr>
          <w:rFonts w:hint="eastAsia" w:ascii="仿宋" w:hAnsi="仿宋" w:eastAsia="仿宋" w:cs="仿宋"/>
          <w:sz w:val="24"/>
          <w:szCs w:val="24"/>
        </w:rPr>
      </w:pPr>
      <w:r>
        <w:rPr>
          <w:rFonts w:hint="eastAsia" w:ascii="仿宋" w:hAnsi="仿宋" w:eastAsia="仿宋" w:cs="仿宋"/>
          <w:sz w:val="24"/>
          <w:szCs w:val="24"/>
        </w:rPr>
        <w:t>本公司郑重声明，根据《政府采购促进中小企</w:t>
      </w:r>
      <w:r>
        <w:rPr>
          <w:rFonts w:hint="eastAsia" w:ascii="仿宋" w:hAnsi="仿宋" w:eastAsia="仿宋" w:cs="仿宋"/>
          <w:spacing w:val="-1"/>
          <w:sz w:val="24"/>
          <w:szCs w:val="24"/>
        </w:rPr>
        <w:t>业发展管理办法》（财库</w:t>
      </w:r>
      <w:r>
        <w:rPr>
          <w:rFonts w:hint="eastAsia" w:ascii="仿宋" w:hAnsi="仿宋" w:eastAsia="仿宋" w:cs="仿宋"/>
          <w:spacing w:val="-2"/>
          <w:sz w:val="24"/>
          <w:szCs w:val="24"/>
        </w:rPr>
        <w:t>﹝2020﹞46</w:t>
      </w:r>
      <w:r>
        <w:rPr>
          <w:rFonts w:hint="eastAsia" w:ascii="仿宋" w:hAnsi="仿宋" w:eastAsia="仿宋" w:cs="仿宋"/>
          <w:spacing w:val="-44"/>
          <w:sz w:val="24"/>
          <w:szCs w:val="24"/>
        </w:rPr>
        <w:t xml:space="preserve"> </w:t>
      </w:r>
      <w:r>
        <w:rPr>
          <w:rFonts w:hint="eastAsia" w:ascii="仿宋" w:hAnsi="仿宋" w:eastAsia="仿宋" w:cs="仿宋"/>
          <w:spacing w:val="-2"/>
          <w:sz w:val="24"/>
          <w:szCs w:val="24"/>
        </w:rPr>
        <w:t>号）的规定，本公司参加</w:t>
      </w:r>
      <w:r>
        <w:rPr>
          <w:rFonts w:hint="eastAsia" w:ascii="仿宋" w:hAnsi="仿宋" w:eastAsia="仿宋" w:cs="仿宋"/>
          <w:spacing w:val="-2"/>
          <w:sz w:val="24"/>
          <w:szCs w:val="24"/>
          <w:u w:val="single" w:color="auto"/>
        </w:rPr>
        <w:t>（单位名称）</w:t>
      </w:r>
      <w:r>
        <w:rPr>
          <w:rFonts w:hint="eastAsia" w:ascii="仿宋" w:hAnsi="仿宋" w:eastAsia="仿宋" w:cs="仿宋"/>
          <w:spacing w:val="-2"/>
          <w:sz w:val="24"/>
          <w:szCs w:val="24"/>
        </w:rPr>
        <w:t>的</w:t>
      </w:r>
      <w:r>
        <w:rPr>
          <w:rFonts w:hint="eastAsia" w:ascii="仿宋" w:hAnsi="仿宋" w:eastAsia="仿宋" w:cs="仿宋"/>
          <w:spacing w:val="-2"/>
          <w:sz w:val="24"/>
          <w:szCs w:val="24"/>
          <w:u w:val="single" w:color="auto"/>
        </w:rPr>
        <w:t>（项目名称）</w:t>
      </w:r>
      <w:r>
        <w:rPr>
          <w:rFonts w:hint="eastAsia" w:ascii="仿宋" w:hAnsi="仿宋" w:eastAsia="仿宋" w:cs="仿宋"/>
          <w:spacing w:val="-2"/>
          <w:sz w:val="24"/>
          <w:szCs w:val="24"/>
        </w:rPr>
        <w:t>采</w:t>
      </w:r>
      <w:r>
        <w:rPr>
          <w:rFonts w:hint="eastAsia" w:ascii="仿宋" w:hAnsi="仿宋" w:eastAsia="仿宋" w:cs="仿宋"/>
          <w:spacing w:val="-3"/>
          <w:sz w:val="24"/>
          <w:szCs w:val="24"/>
        </w:rPr>
        <w:t>购活动，</w:t>
      </w:r>
      <w:r>
        <w:rPr>
          <w:rFonts w:hint="eastAsia" w:ascii="仿宋" w:hAnsi="仿宋" w:eastAsia="仿宋" w:cs="仿宋"/>
          <w:spacing w:val="-2"/>
          <w:sz w:val="24"/>
          <w:szCs w:val="24"/>
        </w:rPr>
        <w:t>提供的货物全部由符合政策要求的中小企业。相关企业的具体情况如下：</w:t>
      </w:r>
    </w:p>
    <w:p w14:paraId="5A663B84">
      <w:pPr>
        <w:keepNext w:val="0"/>
        <w:keepLines w:val="0"/>
        <w:pageBreakBefore w:val="0"/>
        <w:widowControl/>
        <w:tabs>
          <w:tab w:val="left" w:pos="367"/>
        </w:tabs>
        <w:kinsoku w:val="0"/>
        <w:wordWrap/>
        <w:overflowPunct/>
        <w:topLinePunct w:val="0"/>
        <w:autoSpaceDE w:val="0"/>
        <w:autoSpaceDN w:val="0"/>
        <w:bidi w:val="0"/>
        <w:adjustRightInd w:val="0"/>
        <w:snapToGrid w:val="0"/>
        <w:spacing w:line="420" w:lineRule="auto"/>
        <w:ind w:left="0" w:right="0" w:firstLine="505"/>
        <w:textAlignment w:val="baseline"/>
        <w:rPr>
          <w:rFonts w:hint="eastAsia" w:ascii="仿宋" w:hAnsi="仿宋" w:eastAsia="仿宋" w:cs="仿宋"/>
          <w:sz w:val="24"/>
          <w:szCs w:val="24"/>
        </w:rPr>
      </w:pPr>
      <w:r>
        <w:rPr>
          <w:rFonts w:hint="eastAsia" w:ascii="仿宋" w:hAnsi="仿宋" w:eastAsia="仿宋" w:cs="仿宋"/>
          <w:spacing w:val="-3"/>
          <w:sz w:val="24"/>
          <w:szCs w:val="24"/>
        </w:rPr>
        <w:t>1.</w:t>
      </w:r>
      <w:r>
        <w:rPr>
          <w:rFonts w:hint="eastAsia" w:ascii="仿宋" w:hAnsi="仿宋" w:eastAsia="仿宋" w:cs="仿宋"/>
          <w:spacing w:val="-3"/>
          <w:sz w:val="24"/>
          <w:szCs w:val="24"/>
          <w:u w:val="single" w:color="auto"/>
        </w:rPr>
        <w:t>（标的名称</w:t>
      </w:r>
      <w:r>
        <w:rPr>
          <w:rFonts w:hint="eastAsia" w:ascii="仿宋" w:hAnsi="仿宋" w:eastAsia="仿宋" w:cs="仿宋"/>
          <w:spacing w:val="-9"/>
          <w:sz w:val="24"/>
          <w:szCs w:val="24"/>
          <w:u w:val="single" w:color="auto"/>
        </w:rPr>
        <w:t>）</w:t>
      </w:r>
      <w:r>
        <w:rPr>
          <w:rFonts w:hint="eastAsia" w:ascii="仿宋" w:hAnsi="仿宋" w:eastAsia="仿宋" w:cs="仿宋"/>
          <w:spacing w:val="-9"/>
          <w:sz w:val="24"/>
          <w:szCs w:val="24"/>
        </w:rPr>
        <w:t>，</w:t>
      </w:r>
      <w:r>
        <w:rPr>
          <w:rFonts w:hint="eastAsia" w:ascii="仿宋" w:hAnsi="仿宋" w:eastAsia="仿宋" w:cs="仿宋"/>
          <w:spacing w:val="-3"/>
          <w:sz w:val="24"/>
          <w:szCs w:val="24"/>
        </w:rPr>
        <w:t>属于</w:t>
      </w:r>
      <w:r>
        <w:rPr>
          <w:rFonts w:hint="eastAsia" w:ascii="仿宋" w:hAnsi="仿宋" w:eastAsia="仿宋" w:cs="仿宋"/>
          <w:spacing w:val="-120"/>
          <w:sz w:val="24"/>
          <w:szCs w:val="24"/>
        </w:rPr>
        <w:t xml:space="preserve"> </w:t>
      </w:r>
      <w:r>
        <w:rPr>
          <w:rFonts w:hint="eastAsia" w:ascii="仿宋" w:hAnsi="仿宋" w:eastAsia="仿宋" w:cs="仿宋"/>
          <w:spacing w:val="103"/>
          <w:sz w:val="24"/>
          <w:szCs w:val="24"/>
          <w:u w:val="single" w:color="auto"/>
        </w:rPr>
        <w:t xml:space="preserve"> </w:t>
      </w:r>
      <w:r>
        <w:rPr>
          <w:rFonts w:hint="eastAsia" w:ascii="仿宋" w:hAnsi="仿宋" w:eastAsia="仿宋" w:cs="仿宋"/>
          <w:spacing w:val="-3"/>
          <w:sz w:val="24"/>
          <w:szCs w:val="24"/>
          <w:u w:val="single" w:color="auto"/>
        </w:rPr>
        <w:t>（采购文件中明确的所属行业）</w:t>
      </w:r>
      <w:r>
        <w:rPr>
          <w:rFonts w:hint="eastAsia" w:ascii="仿宋" w:hAnsi="仿宋" w:eastAsia="仿宋" w:cs="仿宋"/>
          <w:spacing w:val="103"/>
          <w:sz w:val="24"/>
          <w:szCs w:val="24"/>
          <w:u w:val="single" w:color="auto"/>
        </w:rPr>
        <w:t xml:space="preserve"> </w:t>
      </w:r>
      <w:r>
        <w:rPr>
          <w:rFonts w:hint="eastAsia" w:ascii="仿宋" w:hAnsi="仿宋" w:eastAsia="仿宋" w:cs="仿宋"/>
          <w:spacing w:val="-106"/>
          <w:sz w:val="24"/>
          <w:szCs w:val="24"/>
        </w:rPr>
        <w:t xml:space="preserve"> </w:t>
      </w:r>
      <w:r>
        <w:rPr>
          <w:rFonts w:hint="eastAsia" w:ascii="仿宋" w:hAnsi="仿宋" w:eastAsia="仿宋" w:cs="仿宋"/>
          <w:spacing w:val="-3"/>
          <w:sz w:val="24"/>
          <w:szCs w:val="24"/>
        </w:rPr>
        <w:t>行业；制造商为</w:t>
      </w:r>
      <w:r>
        <w:rPr>
          <w:rFonts w:hint="eastAsia" w:ascii="仿宋" w:hAnsi="仿宋" w:eastAsia="仿宋" w:cs="仿宋"/>
          <w:sz w:val="24"/>
          <w:szCs w:val="24"/>
        </w:rPr>
        <w:t xml:space="preserve"> </w:t>
      </w:r>
      <w:r>
        <w:rPr>
          <w:rFonts w:hint="eastAsia" w:ascii="仿宋" w:hAnsi="仿宋" w:eastAsia="仿宋" w:cs="仿宋"/>
          <w:sz w:val="24"/>
          <w:szCs w:val="24"/>
          <w:u w:val="single" w:color="auto"/>
        </w:rPr>
        <w:tab/>
      </w:r>
      <w:r>
        <w:rPr>
          <w:rFonts w:hint="eastAsia" w:ascii="仿宋" w:hAnsi="仿宋" w:eastAsia="仿宋" w:cs="仿宋"/>
          <w:spacing w:val="-7"/>
          <w:sz w:val="24"/>
          <w:szCs w:val="24"/>
          <w:u w:val="single" w:color="auto"/>
        </w:rPr>
        <w:t>（企业名称</w:t>
      </w:r>
      <w:r>
        <w:rPr>
          <w:rFonts w:hint="eastAsia" w:ascii="仿宋" w:hAnsi="仿宋" w:eastAsia="仿宋" w:cs="仿宋"/>
          <w:spacing w:val="-15"/>
          <w:sz w:val="24"/>
          <w:szCs w:val="24"/>
          <w:u w:val="single" w:color="auto"/>
        </w:rPr>
        <w:t>）</w:t>
      </w:r>
      <w:r>
        <w:rPr>
          <w:rFonts w:hint="eastAsia" w:ascii="仿宋" w:hAnsi="仿宋" w:eastAsia="仿宋" w:cs="仿宋"/>
          <w:spacing w:val="-15"/>
          <w:sz w:val="24"/>
          <w:szCs w:val="24"/>
        </w:rPr>
        <w:t>，</w:t>
      </w:r>
      <w:r>
        <w:rPr>
          <w:rFonts w:hint="eastAsia" w:ascii="仿宋" w:hAnsi="仿宋" w:eastAsia="仿宋" w:cs="仿宋"/>
          <w:spacing w:val="-7"/>
          <w:sz w:val="24"/>
          <w:szCs w:val="24"/>
        </w:rPr>
        <w:t>从业人员</w:t>
      </w:r>
      <w:r>
        <w:rPr>
          <w:rFonts w:hint="eastAsia" w:ascii="仿宋" w:hAnsi="仿宋" w:eastAsia="仿宋" w:cs="仿宋"/>
          <w:spacing w:val="34"/>
          <w:sz w:val="24"/>
          <w:szCs w:val="24"/>
        </w:rPr>
        <w:t xml:space="preserve"> </w:t>
      </w:r>
      <w:r>
        <w:rPr>
          <w:rFonts w:hint="eastAsia" w:ascii="仿宋" w:hAnsi="仿宋" w:eastAsia="仿宋" w:cs="仿宋"/>
          <w:sz w:val="24"/>
          <w:szCs w:val="24"/>
          <w:u w:val="single" w:color="auto"/>
        </w:rPr>
        <w:t xml:space="preserve">   </w:t>
      </w:r>
      <w:r>
        <w:rPr>
          <w:rFonts w:hint="eastAsia" w:ascii="仿宋" w:hAnsi="仿宋" w:eastAsia="仿宋" w:cs="仿宋"/>
          <w:spacing w:val="-109"/>
          <w:sz w:val="24"/>
          <w:szCs w:val="24"/>
        </w:rPr>
        <w:t xml:space="preserve"> </w:t>
      </w:r>
      <w:r>
        <w:rPr>
          <w:rFonts w:hint="eastAsia" w:ascii="仿宋" w:hAnsi="仿宋" w:eastAsia="仿宋" w:cs="仿宋"/>
          <w:spacing w:val="-7"/>
          <w:sz w:val="24"/>
          <w:szCs w:val="24"/>
        </w:rPr>
        <w:t>人，营业收入为</w:t>
      </w:r>
      <w:r>
        <w:rPr>
          <w:rFonts w:hint="eastAsia" w:ascii="仿宋" w:hAnsi="仿宋" w:eastAsia="仿宋" w:cs="仿宋"/>
          <w:spacing w:val="-119"/>
          <w:sz w:val="24"/>
          <w:szCs w:val="24"/>
        </w:rPr>
        <w:t xml:space="preserve"> </w:t>
      </w:r>
      <w:r>
        <w:rPr>
          <w:rFonts w:hint="eastAsia" w:ascii="仿宋" w:hAnsi="仿宋" w:eastAsia="仿宋" w:cs="仿宋"/>
          <w:sz w:val="24"/>
          <w:szCs w:val="24"/>
          <w:u w:val="single" w:color="auto"/>
        </w:rPr>
        <w:t xml:space="preserve">     </w:t>
      </w:r>
      <w:r>
        <w:rPr>
          <w:rFonts w:hint="eastAsia" w:ascii="仿宋" w:hAnsi="仿宋" w:eastAsia="仿宋" w:cs="仿宋"/>
          <w:spacing w:val="-105"/>
          <w:sz w:val="24"/>
          <w:szCs w:val="24"/>
        </w:rPr>
        <w:t xml:space="preserve"> </w:t>
      </w:r>
      <w:r>
        <w:rPr>
          <w:rFonts w:hint="eastAsia" w:ascii="仿宋" w:hAnsi="仿宋" w:eastAsia="仿宋" w:cs="仿宋"/>
          <w:spacing w:val="-7"/>
          <w:sz w:val="24"/>
          <w:szCs w:val="24"/>
        </w:rPr>
        <w:t>万元，资产总额为</w:t>
      </w:r>
      <w:r>
        <w:rPr>
          <w:rFonts w:hint="eastAsia" w:ascii="仿宋" w:hAnsi="仿宋" w:eastAsia="仿宋" w:cs="仿宋"/>
          <w:spacing w:val="-120"/>
          <w:sz w:val="24"/>
          <w:szCs w:val="24"/>
        </w:rPr>
        <w:t xml:space="preserve"> </w:t>
      </w:r>
      <w:r>
        <w:rPr>
          <w:rFonts w:hint="eastAsia" w:ascii="仿宋" w:hAnsi="仿宋" w:eastAsia="仿宋" w:cs="仿宋"/>
          <w:sz w:val="24"/>
          <w:szCs w:val="24"/>
          <w:u w:val="single" w:color="auto"/>
        </w:rPr>
        <w:t xml:space="preserve">    </w:t>
      </w:r>
      <w:r>
        <w:rPr>
          <w:rFonts w:hint="eastAsia" w:ascii="仿宋" w:hAnsi="仿宋" w:eastAsia="仿宋" w:cs="仿宋"/>
          <w:spacing w:val="-104"/>
          <w:sz w:val="24"/>
          <w:szCs w:val="24"/>
        </w:rPr>
        <w:t xml:space="preserve"> </w:t>
      </w:r>
      <w:r>
        <w:rPr>
          <w:rFonts w:hint="eastAsia" w:ascii="仿宋" w:hAnsi="仿宋" w:eastAsia="仿宋" w:cs="仿宋"/>
          <w:spacing w:val="-7"/>
          <w:sz w:val="24"/>
          <w:szCs w:val="24"/>
        </w:rPr>
        <w:t>万元</w:t>
      </w:r>
      <w:r>
        <w:rPr>
          <w:rFonts w:hint="eastAsia" w:ascii="仿宋" w:hAnsi="仿宋" w:eastAsia="仿宋" w:cs="仿宋"/>
          <w:sz w:val="24"/>
          <w:szCs w:val="24"/>
        </w:rPr>
        <w:t xml:space="preserve"> </w:t>
      </w:r>
      <w:r>
        <w:rPr>
          <w:rFonts w:hint="eastAsia" w:ascii="仿宋" w:hAnsi="仿宋" w:eastAsia="仿宋" w:cs="仿宋"/>
          <w:spacing w:val="-1"/>
          <w:sz w:val="24"/>
          <w:szCs w:val="24"/>
        </w:rPr>
        <w:t>，属于</w:t>
      </w:r>
      <w:r>
        <w:rPr>
          <w:rFonts w:hint="eastAsia" w:ascii="仿宋" w:hAnsi="仿宋" w:eastAsia="仿宋" w:cs="仿宋"/>
          <w:spacing w:val="-1"/>
          <w:sz w:val="24"/>
          <w:szCs w:val="24"/>
          <w:u w:val="single" w:color="auto"/>
        </w:rPr>
        <w:t>（中型企业、小型企业、微型企业</w:t>
      </w:r>
      <w:r>
        <w:rPr>
          <w:rFonts w:hint="eastAsia" w:ascii="仿宋" w:hAnsi="仿宋" w:eastAsia="仿宋" w:cs="仿宋"/>
          <w:spacing w:val="1"/>
          <w:sz w:val="24"/>
          <w:szCs w:val="24"/>
          <w:u w:val="single" w:color="auto"/>
        </w:rPr>
        <w:t>）</w:t>
      </w:r>
      <w:r>
        <w:rPr>
          <w:rFonts w:hint="eastAsia" w:ascii="仿宋" w:hAnsi="仿宋" w:eastAsia="仿宋" w:cs="仿宋"/>
          <w:spacing w:val="1"/>
          <w:sz w:val="24"/>
          <w:szCs w:val="24"/>
        </w:rPr>
        <w:t>；</w:t>
      </w:r>
    </w:p>
    <w:p w14:paraId="1AA93955">
      <w:pPr>
        <w:keepNext w:val="0"/>
        <w:keepLines w:val="0"/>
        <w:pageBreakBefore w:val="0"/>
        <w:widowControl/>
        <w:tabs>
          <w:tab w:val="left" w:pos="367"/>
        </w:tabs>
        <w:kinsoku w:val="0"/>
        <w:wordWrap/>
        <w:overflowPunct/>
        <w:topLinePunct w:val="0"/>
        <w:autoSpaceDE w:val="0"/>
        <w:autoSpaceDN w:val="0"/>
        <w:bidi w:val="0"/>
        <w:adjustRightInd w:val="0"/>
        <w:snapToGrid w:val="0"/>
        <w:spacing w:line="420" w:lineRule="auto"/>
        <w:ind w:left="0" w:right="0" w:firstLine="493"/>
        <w:textAlignment w:val="baseline"/>
        <w:rPr>
          <w:rFonts w:hint="eastAsia" w:ascii="仿宋" w:hAnsi="仿宋" w:eastAsia="仿宋" w:cs="仿宋"/>
          <w:sz w:val="24"/>
          <w:szCs w:val="24"/>
        </w:rPr>
      </w:pPr>
      <w:r>
        <w:rPr>
          <w:rFonts w:hint="eastAsia" w:ascii="仿宋" w:hAnsi="仿宋" w:eastAsia="仿宋" w:cs="仿宋"/>
          <w:spacing w:val="-2"/>
          <w:sz w:val="24"/>
          <w:szCs w:val="24"/>
        </w:rPr>
        <w:t>2.</w:t>
      </w:r>
      <w:r>
        <w:rPr>
          <w:rFonts w:hint="eastAsia" w:ascii="仿宋" w:hAnsi="仿宋" w:eastAsia="仿宋" w:cs="仿宋"/>
          <w:spacing w:val="-2"/>
          <w:sz w:val="24"/>
          <w:szCs w:val="24"/>
          <w:u w:val="single" w:color="auto"/>
        </w:rPr>
        <w:t>（标的名称</w:t>
      </w:r>
      <w:r>
        <w:rPr>
          <w:rFonts w:hint="eastAsia" w:ascii="仿宋" w:hAnsi="仿宋" w:eastAsia="仿宋" w:cs="仿宋"/>
          <w:spacing w:val="-17"/>
          <w:sz w:val="24"/>
          <w:szCs w:val="24"/>
          <w:u w:val="single" w:color="auto"/>
        </w:rPr>
        <w:t>）</w:t>
      </w:r>
      <w:r>
        <w:rPr>
          <w:rFonts w:hint="eastAsia" w:ascii="仿宋" w:hAnsi="仿宋" w:eastAsia="仿宋" w:cs="仿宋"/>
          <w:spacing w:val="-17"/>
          <w:sz w:val="24"/>
          <w:szCs w:val="24"/>
        </w:rPr>
        <w:t>，</w:t>
      </w:r>
      <w:r>
        <w:rPr>
          <w:rFonts w:hint="eastAsia" w:ascii="仿宋" w:hAnsi="仿宋" w:eastAsia="仿宋" w:cs="仿宋"/>
          <w:spacing w:val="-2"/>
          <w:sz w:val="24"/>
          <w:szCs w:val="24"/>
        </w:rPr>
        <w:t>属于</w:t>
      </w:r>
      <w:r>
        <w:rPr>
          <w:rFonts w:hint="eastAsia" w:ascii="仿宋" w:hAnsi="仿宋" w:eastAsia="仿宋" w:cs="仿宋"/>
          <w:spacing w:val="-120"/>
          <w:sz w:val="24"/>
          <w:szCs w:val="24"/>
        </w:rPr>
        <w:t xml:space="preserve"> </w:t>
      </w:r>
      <w:r>
        <w:rPr>
          <w:rFonts w:hint="eastAsia" w:ascii="仿宋" w:hAnsi="仿宋" w:eastAsia="仿宋" w:cs="仿宋"/>
          <w:spacing w:val="104"/>
          <w:sz w:val="24"/>
          <w:szCs w:val="24"/>
          <w:u w:val="single" w:color="auto"/>
        </w:rPr>
        <w:t xml:space="preserve"> </w:t>
      </w:r>
      <w:r>
        <w:rPr>
          <w:rFonts w:hint="eastAsia" w:ascii="仿宋" w:hAnsi="仿宋" w:eastAsia="仿宋" w:cs="仿宋"/>
          <w:spacing w:val="-2"/>
          <w:sz w:val="24"/>
          <w:szCs w:val="24"/>
          <w:u w:val="single" w:color="auto"/>
        </w:rPr>
        <w:t>（采购文件中明确的所属行业）</w:t>
      </w:r>
      <w:r>
        <w:rPr>
          <w:rFonts w:hint="eastAsia" w:ascii="仿宋" w:hAnsi="仿宋" w:eastAsia="仿宋" w:cs="仿宋"/>
          <w:spacing w:val="103"/>
          <w:sz w:val="24"/>
          <w:szCs w:val="24"/>
          <w:u w:val="single" w:color="auto"/>
        </w:rPr>
        <w:t xml:space="preserve"> </w:t>
      </w:r>
      <w:r>
        <w:rPr>
          <w:rFonts w:hint="eastAsia" w:ascii="仿宋" w:hAnsi="仿宋" w:eastAsia="仿宋" w:cs="仿宋"/>
          <w:spacing w:val="-107"/>
          <w:sz w:val="24"/>
          <w:szCs w:val="24"/>
        </w:rPr>
        <w:t xml:space="preserve"> </w:t>
      </w:r>
      <w:r>
        <w:rPr>
          <w:rFonts w:hint="eastAsia" w:ascii="仿宋" w:hAnsi="仿宋" w:eastAsia="仿宋" w:cs="仿宋"/>
          <w:spacing w:val="-2"/>
          <w:sz w:val="24"/>
          <w:szCs w:val="24"/>
        </w:rPr>
        <w:t>行业；制造商为</w:t>
      </w:r>
      <w:r>
        <w:rPr>
          <w:rFonts w:hint="eastAsia" w:ascii="仿宋" w:hAnsi="仿宋" w:eastAsia="仿宋" w:cs="仿宋"/>
          <w:sz w:val="24"/>
          <w:szCs w:val="24"/>
        </w:rPr>
        <w:t xml:space="preserve"> </w:t>
      </w:r>
      <w:r>
        <w:rPr>
          <w:rFonts w:hint="eastAsia" w:ascii="仿宋" w:hAnsi="仿宋" w:eastAsia="仿宋" w:cs="仿宋"/>
          <w:sz w:val="24"/>
          <w:szCs w:val="24"/>
          <w:u w:val="single" w:color="auto"/>
        </w:rPr>
        <w:tab/>
      </w:r>
      <w:r>
        <w:rPr>
          <w:rFonts w:hint="eastAsia" w:ascii="仿宋" w:hAnsi="仿宋" w:eastAsia="仿宋" w:cs="仿宋"/>
          <w:spacing w:val="-11"/>
          <w:sz w:val="24"/>
          <w:szCs w:val="24"/>
          <w:u w:val="single" w:color="auto"/>
        </w:rPr>
        <w:t>（企业名称</w:t>
      </w:r>
      <w:r>
        <w:rPr>
          <w:rFonts w:hint="eastAsia" w:ascii="仿宋" w:hAnsi="仿宋" w:eastAsia="仿宋" w:cs="仿宋"/>
          <w:spacing w:val="-44"/>
          <w:sz w:val="24"/>
          <w:szCs w:val="24"/>
          <w:u w:val="single" w:color="auto"/>
        </w:rPr>
        <w:t>）</w:t>
      </w:r>
      <w:r>
        <w:rPr>
          <w:rFonts w:hint="eastAsia" w:ascii="仿宋" w:hAnsi="仿宋" w:eastAsia="仿宋" w:cs="仿宋"/>
          <w:spacing w:val="-44"/>
          <w:sz w:val="24"/>
          <w:szCs w:val="24"/>
        </w:rPr>
        <w:t>，</w:t>
      </w:r>
      <w:r>
        <w:rPr>
          <w:rFonts w:hint="eastAsia" w:ascii="仿宋" w:hAnsi="仿宋" w:eastAsia="仿宋" w:cs="仿宋"/>
          <w:spacing w:val="-11"/>
          <w:sz w:val="24"/>
          <w:szCs w:val="24"/>
        </w:rPr>
        <w:t>从业人员</w:t>
      </w:r>
      <w:r>
        <w:rPr>
          <w:rFonts w:hint="eastAsia" w:ascii="仿宋" w:hAnsi="仿宋" w:eastAsia="仿宋" w:cs="仿宋"/>
          <w:spacing w:val="-119"/>
          <w:sz w:val="24"/>
          <w:szCs w:val="24"/>
        </w:rPr>
        <w:t xml:space="preserve"> </w:t>
      </w:r>
      <w:r>
        <w:rPr>
          <w:rFonts w:hint="eastAsia" w:ascii="仿宋" w:hAnsi="仿宋" w:eastAsia="仿宋" w:cs="仿宋"/>
          <w:sz w:val="24"/>
          <w:szCs w:val="24"/>
          <w:u w:val="single" w:color="auto"/>
        </w:rPr>
        <w:t xml:space="preserve">   </w:t>
      </w:r>
      <w:r>
        <w:rPr>
          <w:rFonts w:hint="eastAsia" w:ascii="仿宋" w:hAnsi="仿宋" w:eastAsia="仿宋" w:cs="仿宋"/>
          <w:spacing w:val="-109"/>
          <w:sz w:val="24"/>
          <w:szCs w:val="24"/>
        </w:rPr>
        <w:t xml:space="preserve"> </w:t>
      </w:r>
      <w:r>
        <w:rPr>
          <w:rFonts w:hint="eastAsia" w:ascii="仿宋" w:hAnsi="仿宋" w:eastAsia="仿宋" w:cs="仿宋"/>
          <w:spacing w:val="-11"/>
          <w:sz w:val="24"/>
          <w:szCs w:val="24"/>
        </w:rPr>
        <w:t>人，营业收入为</w:t>
      </w:r>
      <w:r>
        <w:rPr>
          <w:rFonts w:hint="eastAsia" w:ascii="仿宋" w:hAnsi="仿宋" w:eastAsia="仿宋" w:cs="仿宋"/>
          <w:spacing w:val="-11"/>
          <w:sz w:val="24"/>
          <w:szCs w:val="24"/>
          <w:u w:val="single" w:color="auto"/>
        </w:rPr>
        <w:t xml:space="preserve">      </w:t>
      </w:r>
      <w:r>
        <w:rPr>
          <w:rFonts w:hint="eastAsia" w:ascii="仿宋" w:hAnsi="仿宋" w:eastAsia="仿宋" w:cs="仿宋"/>
          <w:spacing w:val="-105"/>
          <w:sz w:val="24"/>
          <w:szCs w:val="24"/>
        </w:rPr>
        <w:t xml:space="preserve"> </w:t>
      </w:r>
      <w:r>
        <w:rPr>
          <w:rFonts w:hint="eastAsia" w:ascii="仿宋" w:hAnsi="仿宋" w:eastAsia="仿宋" w:cs="仿宋"/>
          <w:spacing w:val="-11"/>
          <w:sz w:val="24"/>
          <w:szCs w:val="24"/>
        </w:rPr>
        <w:t>万元，资产总额为</w:t>
      </w:r>
      <w:r>
        <w:rPr>
          <w:rFonts w:hint="eastAsia" w:ascii="仿宋" w:hAnsi="仿宋" w:eastAsia="仿宋" w:cs="仿宋"/>
          <w:spacing w:val="-119"/>
          <w:sz w:val="24"/>
          <w:szCs w:val="24"/>
        </w:rPr>
        <w:t xml:space="preserve"> </w:t>
      </w:r>
      <w:r>
        <w:rPr>
          <w:rFonts w:hint="eastAsia" w:ascii="仿宋" w:hAnsi="仿宋" w:eastAsia="仿宋" w:cs="仿宋"/>
          <w:sz w:val="24"/>
          <w:szCs w:val="24"/>
          <w:u w:val="single" w:color="auto"/>
        </w:rPr>
        <w:t xml:space="preserve">     </w:t>
      </w:r>
      <w:r>
        <w:rPr>
          <w:rFonts w:hint="eastAsia" w:ascii="仿宋" w:hAnsi="仿宋" w:eastAsia="仿宋" w:cs="仿宋"/>
          <w:spacing w:val="-105"/>
          <w:sz w:val="24"/>
          <w:szCs w:val="24"/>
        </w:rPr>
        <w:t xml:space="preserve"> </w:t>
      </w:r>
      <w:r>
        <w:rPr>
          <w:rFonts w:hint="eastAsia" w:ascii="仿宋" w:hAnsi="仿宋" w:eastAsia="仿宋" w:cs="仿宋"/>
          <w:spacing w:val="-11"/>
          <w:sz w:val="24"/>
          <w:szCs w:val="24"/>
        </w:rPr>
        <w:t>万元，</w:t>
      </w:r>
      <w:r>
        <w:rPr>
          <w:rFonts w:hint="eastAsia" w:ascii="仿宋" w:hAnsi="仿宋" w:eastAsia="仿宋" w:cs="仿宋"/>
          <w:sz w:val="24"/>
          <w:szCs w:val="24"/>
        </w:rPr>
        <w:t xml:space="preserve"> </w:t>
      </w:r>
      <w:r>
        <w:rPr>
          <w:rFonts w:hint="eastAsia" w:ascii="仿宋" w:hAnsi="仿宋" w:eastAsia="仿宋" w:cs="仿宋"/>
          <w:spacing w:val="-1"/>
          <w:sz w:val="24"/>
          <w:szCs w:val="24"/>
        </w:rPr>
        <w:t>属于</w:t>
      </w:r>
      <w:r>
        <w:rPr>
          <w:rFonts w:hint="eastAsia" w:ascii="仿宋" w:hAnsi="仿宋" w:eastAsia="仿宋" w:cs="仿宋"/>
          <w:spacing w:val="-1"/>
          <w:sz w:val="24"/>
          <w:szCs w:val="24"/>
          <w:u w:val="single" w:color="auto"/>
        </w:rPr>
        <w:t>（中型企业、小型企业、微型企业</w:t>
      </w:r>
      <w:r>
        <w:rPr>
          <w:rFonts w:hint="eastAsia" w:ascii="仿宋" w:hAnsi="仿宋" w:eastAsia="仿宋" w:cs="仿宋"/>
          <w:spacing w:val="7"/>
          <w:sz w:val="24"/>
          <w:szCs w:val="24"/>
          <w:u w:val="single" w:color="auto"/>
        </w:rPr>
        <w:t>）</w:t>
      </w:r>
      <w:r>
        <w:rPr>
          <w:rFonts w:hint="eastAsia" w:ascii="仿宋" w:hAnsi="仿宋" w:eastAsia="仿宋" w:cs="仿宋"/>
          <w:spacing w:val="7"/>
          <w:sz w:val="24"/>
          <w:szCs w:val="24"/>
        </w:rPr>
        <w:t>；</w:t>
      </w:r>
    </w:p>
    <w:p w14:paraId="2C2A55D8">
      <w:pPr>
        <w:keepNext w:val="0"/>
        <w:keepLines w:val="0"/>
        <w:pageBreakBefore w:val="0"/>
        <w:widowControl/>
        <w:kinsoku w:val="0"/>
        <w:wordWrap/>
        <w:overflowPunct/>
        <w:topLinePunct w:val="0"/>
        <w:autoSpaceDE w:val="0"/>
        <w:autoSpaceDN w:val="0"/>
        <w:bidi w:val="0"/>
        <w:adjustRightInd w:val="0"/>
        <w:snapToGrid w:val="0"/>
        <w:spacing w:line="418" w:lineRule="auto"/>
        <w:ind w:left="0" w:right="0" w:firstLine="505"/>
        <w:textAlignment w:val="baseline"/>
        <w:rPr>
          <w:rFonts w:hint="eastAsia" w:ascii="仿宋" w:hAnsi="仿宋" w:eastAsia="仿宋" w:cs="仿宋"/>
          <w:spacing w:val="45"/>
          <w:w w:val="152"/>
          <w:sz w:val="24"/>
          <w:szCs w:val="24"/>
          <w:lang w:val="en-US" w:eastAsia="zh-CN"/>
        </w:rPr>
      </w:pPr>
      <w:r>
        <w:rPr>
          <w:rFonts w:hint="eastAsia" w:ascii="仿宋" w:hAnsi="仿宋" w:eastAsia="仿宋" w:cs="仿宋"/>
          <w:spacing w:val="45"/>
          <w:w w:val="152"/>
          <w:sz w:val="24"/>
          <w:szCs w:val="24"/>
          <w:lang w:val="en-US" w:eastAsia="zh-CN"/>
        </w:rPr>
        <w:t xml:space="preserve"> </w:t>
      </w:r>
    </w:p>
    <w:p w14:paraId="08361DA1">
      <w:pPr>
        <w:keepNext w:val="0"/>
        <w:keepLines w:val="0"/>
        <w:pageBreakBefore w:val="0"/>
        <w:widowControl/>
        <w:kinsoku w:val="0"/>
        <w:wordWrap/>
        <w:overflowPunct/>
        <w:topLinePunct w:val="0"/>
        <w:autoSpaceDE w:val="0"/>
        <w:autoSpaceDN w:val="0"/>
        <w:bidi w:val="0"/>
        <w:adjustRightInd w:val="0"/>
        <w:snapToGrid w:val="0"/>
        <w:spacing w:line="418" w:lineRule="auto"/>
        <w:ind w:left="0" w:right="0" w:firstLine="505"/>
        <w:textAlignment w:val="baseline"/>
        <w:rPr>
          <w:rFonts w:hint="eastAsia" w:ascii="仿宋" w:hAnsi="仿宋" w:eastAsia="仿宋" w:cs="仿宋"/>
          <w:sz w:val="24"/>
          <w:szCs w:val="24"/>
        </w:rPr>
      </w:pPr>
      <w:r>
        <w:rPr>
          <w:rFonts w:hint="eastAsia" w:ascii="仿宋" w:hAnsi="仿宋" w:eastAsia="仿宋" w:cs="仿宋"/>
          <w:spacing w:val="-4"/>
          <w:sz w:val="24"/>
          <w:szCs w:val="24"/>
        </w:rPr>
        <w:t>以上企业，不属于大企业的分支机构，不存在控股股东为大</w:t>
      </w:r>
      <w:r>
        <w:rPr>
          <w:rFonts w:hint="eastAsia" w:ascii="仿宋" w:hAnsi="仿宋" w:eastAsia="仿宋" w:cs="仿宋"/>
          <w:spacing w:val="-5"/>
          <w:sz w:val="24"/>
          <w:szCs w:val="24"/>
        </w:rPr>
        <w:t>企业的情形，也</w:t>
      </w:r>
      <w:r>
        <w:rPr>
          <w:rFonts w:hint="eastAsia" w:ascii="仿宋" w:hAnsi="仿宋" w:eastAsia="仿宋" w:cs="仿宋"/>
          <w:spacing w:val="-3"/>
          <w:sz w:val="24"/>
          <w:szCs w:val="24"/>
        </w:rPr>
        <w:t>不存在与大企业的负责人为同一人的情形。</w:t>
      </w:r>
    </w:p>
    <w:p w14:paraId="61F2969F">
      <w:pPr>
        <w:spacing w:before="37" w:line="219" w:lineRule="auto"/>
        <w:ind w:left="722"/>
        <w:rPr>
          <w:rFonts w:hint="eastAsia" w:ascii="仿宋" w:hAnsi="仿宋" w:eastAsia="仿宋" w:cs="仿宋"/>
          <w:sz w:val="24"/>
          <w:szCs w:val="24"/>
        </w:rPr>
      </w:pPr>
      <w:r>
        <w:rPr>
          <w:rFonts w:hint="eastAsia" w:ascii="仿宋" w:hAnsi="仿宋" w:eastAsia="仿宋" w:cs="仿宋"/>
          <w:spacing w:val="-1"/>
          <w:sz w:val="24"/>
          <w:szCs w:val="24"/>
        </w:rPr>
        <w:t>本企业对上述声明内容的真实性负责。如有虚</w:t>
      </w:r>
      <w:r>
        <w:rPr>
          <w:rFonts w:hint="eastAsia" w:ascii="仿宋" w:hAnsi="仿宋" w:eastAsia="仿宋" w:cs="仿宋"/>
          <w:spacing w:val="-2"/>
          <w:sz w:val="24"/>
          <w:szCs w:val="24"/>
        </w:rPr>
        <w:t>假，将依法承担相应责任。</w:t>
      </w:r>
    </w:p>
    <w:p w14:paraId="4FB7A4E2">
      <w:pPr>
        <w:spacing w:before="275" w:line="417" w:lineRule="auto"/>
        <w:ind w:left="5573" w:right="2024" w:hanging="337"/>
        <w:rPr>
          <w:rFonts w:hint="eastAsia" w:ascii="仿宋" w:hAnsi="仿宋" w:eastAsia="仿宋" w:cs="仿宋"/>
          <w:sz w:val="24"/>
          <w:szCs w:val="24"/>
        </w:rPr>
      </w:pPr>
      <w:r>
        <w:rPr>
          <w:rFonts w:hint="eastAsia" w:ascii="仿宋" w:hAnsi="仿宋" w:eastAsia="仿宋" w:cs="仿宋"/>
          <w:spacing w:val="-8"/>
          <w:sz w:val="24"/>
          <w:szCs w:val="24"/>
        </w:rPr>
        <w:t>企业名称（盖章</w:t>
      </w:r>
      <w:r>
        <w:rPr>
          <w:rFonts w:hint="eastAsia" w:ascii="仿宋" w:hAnsi="仿宋" w:eastAsia="仿宋" w:cs="仿宋"/>
          <w:spacing w:val="-7"/>
          <w:sz w:val="24"/>
          <w:szCs w:val="24"/>
        </w:rPr>
        <w:t>）：</w:t>
      </w:r>
      <w:r>
        <w:rPr>
          <w:rFonts w:hint="eastAsia" w:ascii="仿宋" w:hAnsi="仿宋" w:eastAsia="仿宋" w:cs="仿宋"/>
          <w:sz w:val="24"/>
          <w:szCs w:val="24"/>
        </w:rPr>
        <w:t xml:space="preserve"> </w:t>
      </w:r>
    </w:p>
    <w:p w14:paraId="6320298D">
      <w:pPr>
        <w:spacing w:before="275" w:line="417" w:lineRule="auto"/>
        <w:ind w:left="5573" w:right="2024" w:hanging="337"/>
        <w:rPr>
          <w:rFonts w:hint="eastAsia" w:ascii="仿宋" w:hAnsi="仿宋" w:eastAsia="仿宋" w:cs="仿宋"/>
          <w:sz w:val="24"/>
          <w:szCs w:val="24"/>
        </w:rPr>
      </w:pPr>
      <w:r>
        <w:rPr>
          <w:rFonts w:hint="eastAsia" w:ascii="仿宋" w:hAnsi="仿宋" w:eastAsia="仿宋" w:cs="仿宋"/>
          <w:spacing w:val="-29"/>
          <w:sz w:val="24"/>
          <w:szCs w:val="24"/>
        </w:rPr>
        <w:t>日</w:t>
      </w:r>
      <w:r>
        <w:rPr>
          <w:rFonts w:hint="eastAsia" w:ascii="仿宋" w:hAnsi="仿宋" w:eastAsia="仿宋" w:cs="仿宋"/>
          <w:spacing w:val="13"/>
          <w:sz w:val="24"/>
          <w:szCs w:val="24"/>
        </w:rPr>
        <w:t xml:space="preserve"> </w:t>
      </w:r>
      <w:r>
        <w:rPr>
          <w:rFonts w:hint="eastAsia" w:ascii="仿宋" w:hAnsi="仿宋" w:eastAsia="仿宋" w:cs="仿宋"/>
          <w:spacing w:val="-29"/>
          <w:sz w:val="24"/>
          <w:szCs w:val="24"/>
        </w:rPr>
        <w:t>期：</w:t>
      </w:r>
    </w:p>
    <w:p w14:paraId="0ED186B4">
      <w:pPr>
        <w:spacing w:line="286" w:lineRule="auto"/>
        <w:rPr>
          <w:rFonts w:hint="eastAsia" w:ascii="仿宋" w:hAnsi="仿宋" w:eastAsia="仿宋" w:cs="仿宋"/>
          <w:sz w:val="21"/>
        </w:rPr>
      </w:pPr>
    </w:p>
    <w:p w14:paraId="330851AA">
      <w:pPr>
        <w:pStyle w:val="22"/>
        <w:spacing w:before="91" w:line="360" w:lineRule="auto"/>
        <w:ind w:left="6" w:firstLine="4"/>
        <w:jc w:val="both"/>
        <w:rPr>
          <w:rFonts w:hint="eastAsia" w:ascii="仿宋" w:hAnsi="仿宋" w:eastAsia="仿宋" w:cs="仿宋"/>
          <w:sz w:val="24"/>
          <w:szCs w:val="24"/>
        </w:rPr>
      </w:pPr>
      <w:r>
        <w:rPr>
          <w:rFonts w:hint="eastAsia" w:ascii="仿宋" w:hAnsi="仿宋" w:eastAsia="仿宋" w:cs="仿宋"/>
          <w:b/>
          <w:bCs/>
          <w:spacing w:val="-7"/>
          <w:sz w:val="24"/>
          <w:szCs w:val="24"/>
        </w:rPr>
        <w:t>注</w:t>
      </w:r>
      <w:r>
        <w:rPr>
          <w:rFonts w:hint="eastAsia" w:ascii="仿宋" w:hAnsi="仿宋" w:eastAsia="仿宋" w:cs="仿宋"/>
          <w:b/>
          <w:bCs/>
          <w:spacing w:val="-27"/>
          <w:sz w:val="24"/>
          <w:szCs w:val="24"/>
        </w:rPr>
        <w:t>：（</w:t>
      </w:r>
      <w:r>
        <w:rPr>
          <w:rFonts w:hint="eastAsia" w:ascii="仿宋" w:hAnsi="仿宋" w:eastAsia="仿宋" w:cs="仿宋"/>
          <w:spacing w:val="-71"/>
          <w:sz w:val="24"/>
          <w:szCs w:val="24"/>
        </w:rPr>
        <w:t xml:space="preserve"> </w:t>
      </w:r>
      <w:r>
        <w:rPr>
          <w:rFonts w:hint="eastAsia" w:ascii="仿宋" w:hAnsi="仿宋" w:eastAsia="仿宋" w:cs="仿宋"/>
          <w:b/>
          <w:bCs/>
          <w:spacing w:val="-7"/>
          <w:sz w:val="24"/>
          <w:szCs w:val="24"/>
        </w:rPr>
        <w:t>1）填写前请认真阅读招标文件《第二章》7.1</w:t>
      </w:r>
      <w:r>
        <w:rPr>
          <w:rFonts w:hint="eastAsia" w:ascii="仿宋" w:hAnsi="仿宋" w:eastAsia="仿宋" w:cs="仿宋"/>
          <w:spacing w:val="-55"/>
          <w:sz w:val="24"/>
          <w:szCs w:val="24"/>
        </w:rPr>
        <w:t xml:space="preserve"> </w:t>
      </w:r>
      <w:r>
        <w:rPr>
          <w:rFonts w:hint="eastAsia" w:ascii="仿宋" w:hAnsi="仿宋" w:eastAsia="仿宋" w:cs="仿宋"/>
          <w:b/>
          <w:bCs/>
          <w:spacing w:val="-7"/>
          <w:sz w:val="24"/>
          <w:szCs w:val="24"/>
        </w:rPr>
        <w:t>条</w:t>
      </w:r>
      <w:r>
        <w:rPr>
          <w:rFonts w:hint="eastAsia" w:ascii="仿宋" w:hAnsi="仿宋" w:eastAsia="仿宋" w:cs="仿宋"/>
          <w:spacing w:val="-99"/>
          <w:sz w:val="24"/>
          <w:szCs w:val="24"/>
        </w:rPr>
        <w:t xml:space="preserve"> </w:t>
      </w:r>
      <w:r>
        <w:rPr>
          <w:rFonts w:hint="eastAsia" w:ascii="仿宋" w:hAnsi="仿宋" w:eastAsia="仿宋" w:cs="仿宋"/>
          <w:b/>
          <w:bCs/>
          <w:spacing w:val="-7"/>
          <w:sz w:val="24"/>
          <w:szCs w:val="24"/>
        </w:rPr>
        <w:t>“</w:t>
      </w:r>
      <w:r>
        <w:rPr>
          <w:rFonts w:hint="eastAsia" w:ascii="仿宋" w:hAnsi="仿宋" w:eastAsia="仿宋" w:cs="仿宋"/>
          <w:spacing w:val="-96"/>
          <w:sz w:val="24"/>
          <w:szCs w:val="24"/>
        </w:rPr>
        <w:t xml:space="preserve"> </w:t>
      </w:r>
      <w:r>
        <w:rPr>
          <w:rFonts w:hint="eastAsia" w:ascii="仿宋" w:hAnsi="仿宋" w:eastAsia="仿宋" w:cs="仿宋"/>
          <w:b/>
          <w:bCs/>
          <w:spacing w:val="-7"/>
          <w:sz w:val="24"/>
          <w:szCs w:val="24"/>
        </w:rPr>
        <w:t>中小企业”</w:t>
      </w:r>
      <w:r>
        <w:rPr>
          <w:rFonts w:hint="eastAsia" w:ascii="仿宋" w:hAnsi="仿宋" w:eastAsia="仿宋" w:cs="仿宋"/>
          <w:spacing w:val="-106"/>
          <w:sz w:val="24"/>
          <w:szCs w:val="24"/>
        </w:rPr>
        <w:t xml:space="preserve"> </w:t>
      </w:r>
      <w:r>
        <w:rPr>
          <w:rFonts w:hint="eastAsia" w:ascii="仿宋" w:hAnsi="仿宋" w:eastAsia="仿宋" w:cs="仿宋"/>
          <w:b/>
          <w:bCs/>
          <w:spacing w:val="-7"/>
          <w:sz w:val="24"/>
          <w:szCs w:val="24"/>
        </w:rPr>
        <w:t>的政</w:t>
      </w:r>
      <w:r>
        <w:rPr>
          <w:rFonts w:hint="eastAsia" w:ascii="仿宋" w:hAnsi="仿宋" w:eastAsia="仿宋" w:cs="仿宋"/>
          <w:b/>
          <w:bCs/>
          <w:sz w:val="24"/>
          <w:szCs w:val="24"/>
        </w:rPr>
        <w:t>策规定和相关文件。声明函内容填写不完整的或未按要求填报的，为无效</w:t>
      </w:r>
      <w:r>
        <w:rPr>
          <w:rFonts w:hint="eastAsia" w:ascii="仿宋" w:hAnsi="仿宋" w:eastAsia="仿宋" w:cs="仿宋"/>
          <w:b/>
          <w:bCs/>
          <w:spacing w:val="-6"/>
          <w:sz w:val="24"/>
          <w:szCs w:val="24"/>
        </w:rPr>
        <w:t>声明函。</w:t>
      </w:r>
    </w:p>
    <w:p w14:paraId="2183C230">
      <w:pPr>
        <w:pStyle w:val="22"/>
        <w:spacing w:before="41" w:line="360" w:lineRule="auto"/>
        <w:ind w:left="6" w:right="2" w:firstLine="548"/>
        <w:rPr>
          <w:rFonts w:hint="eastAsia" w:ascii="仿宋" w:hAnsi="仿宋" w:eastAsia="仿宋" w:cs="仿宋"/>
          <w:sz w:val="24"/>
          <w:szCs w:val="24"/>
        </w:rPr>
      </w:pPr>
      <w:r>
        <w:rPr>
          <w:rFonts w:hint="eastAsia" w:ascii="仿宋" w:hAnsi="仿宋" w:eastAsia="仿宋" w:cs="仿宋"/>
          <w:b/>
          <w:bCs/>
          <w:spacing w:val="-6"/>
          <w:sz w:val="24"/>
          <w:szCs w:val="24"/>
        </w:rPr>
        <w:t>（</w:t>
      </w:r>
      <w:r>
        <w:rPr>
          <w:rFonts w:hint="eastAsia" w:ascii="仿宋" w:hAnsi="仿宋" w:eastAsia="仿宋" w:cs="仿宋"/>
          <w:spacing w:val="-77"/>
          <w:sz w:val="24"/>
          <w:szCs w:val="24"/>
        </w:rPr>
        <w:t xml:space="preserve"> </w:t>
      </w:r>
      <w:r>
        <w:rPr>
          <w:rFonts w:hint="eastAsia" w:ascii="仿宋" w:hAnsi="仿宋" w:eastAsia="仿宋" w:cs="仿宋"/>
          <w:b/>
          <w:bCs/>
          <w:spacing w:val="-6"/>
          <w:sz w:val="24"/>
          <w:szCs w:val="24"/>
        </w:rPr>
        <w:t>2）从业人员、营业收入、资产总额填报上一年度数据，无上一年度</w:t>
      </w:r>
      <w:r>
        <w:rPr>
          <w:rFonts w:hint="eastAsia" w:ascii="仿宋" w:hAnsi="仿宋" w:eastAsia="仿宋" w:cs="仿宋"/>
          <w:b/>
          <w:bCs/>
          <w:spacing w:val="-3"/>
          <w:sz w:val="24"/>
          <w:szCs w:val="24"/>
        </w:rPr>
        <w:t>数据的新成立企业可不填报。</w:t>
      </w:r>
    </w:p>
    <w:p w14:paraId="120D5F1C">
      <w:pPr>
        <w:pStyle w:val="22"/>
        <w:rPr>
          <w:rFonts w:eastAsia="仿宋_GB2312"/>
          <w:b/>
          <w:kern w:val="0"/>
          <w:sz w:val="30"/>
          <w:szCs w:val="30"/>
        </w:rPr>
      </w:pPr>
      <w:r>
        <w:rPr>
          <w:rFonts w:hint="eastAsia" w:ascii="仿宋" w:hAnsi="仿宋" w:eastAsia="仿宋" w:cs="仿宋"/>
          <w:b/>
          <w:bCs/>
          <w:spacing w:val="-6"/>
          <w:sz w:val="24"/>
          <w:szCs w:val="24"/>
        </w:rPr>
        <w:t>（</w:t>
      </w:r>
      <w:r>
        <w:rPr>
          <w:rFonts w:hint="eastAsia" w:ascii="仿宋" w:hAnsi="仿宋" w:eastAsia="仿宋" w:cs="仿宋"/>
          <w:spacing w:val="-70"/>
          <w:sz w:val="24"/>
          <w:szCs w:val="24"/>
        </w:rPr>
        <w:t xml:space="preserve"> </w:t>
      </w:r>
      <w:r>
        <w:rPr>
          <w:rFonts w:hint="eastAsia" w:ascii="仿宋" w:hAnsi="仿宋" w:eastAsia="仿宋" w:cs="仿宋"/>
          <w:b/>
          <w:bCs/>
          <w:spacing w:val="-6"/>
          <w:sz w:val="24"/>
          <w:szCs w:val="24"/>
        </w:rPr>
        <w:t>3）供应商提供的声明函内容不实的，属于提供虚</w:t>
      </w:r>
      <w:r>
        <w:rPr>
          <w:rFonts w:hint="eastAsia" w:ascii="仿宋" w:hAnsi="仿宋" w:eastAsia="仿宋" w:cs="仿宋"/>
          <w:b/>
          <w:bCs/>
          <w:spacing w:val="-7"/>
          <w:sz w:val="24"/>
          <w:szCs w:val="24"/>
        </w:rPr>
        <w:t>假材料谋取中标，</w:t>
      </w:r>
      <w:r>
        <w:rPr>
          <w:rFonts w:hint="eastAsia" w:ascii="仿宋" w:hAnsi="仿宋" w:eastAsia="仿宋" w:cs="仿宋"/>
          <w:b/>
          <w:bCs/>
          <w:spacing w:val="-2"/>
          <w:sz w:val="24"/>
          <w:szCs w:val="24"/>
        </w:rPr>
        <w:t>依照《中华人民共和国政府采购法》等国家有关规定追</w:t>
      </w:r>
      <w:r>
        <w:rPr>
          <w:rFonts w:hint="eastAsia" w:ascii="仿宋" w:hAnsi="仿宋" w:eastAsia="仿宋" w:cs="仿宋"/>
          <w:b/>
          <w:bCs/>
          <w:spacing w:val="-3"/>
          <w:sz w:val="24"/>
          <w:szCs w:val="24"/>
        </w:rPr>
        <w:t>究相应责任。</w:t>
      </w:r>
      <w:r>
        <w:rPr>
          <w:rFonts w:ascii="Times New Roman" w:hAnsi="Times New Roman" w:eastAsia="仿宋_GB2312"/>
        </w:rPr>
        <w:br w:type="page"/>
      </w:r>
    </w:p>
    <w:p w14:paraId="023954E1">
      <w:pPr>
        <w:jc w:val="center"/>
        <w:outlineLvl w:val="2"/>
        <w:rPr>
          <w:rFonts w:eastAsia="仿宋_GB2312"/>
          <w:b/>
          <w:sz w:val="28"/>
          <w:szCs w:val="28"/>
        </w:rPr>
      </w:pPr>
      <w:bookmarkStart w:id="515" w:name="_Toc13171"/>
      <w:r>
        <w:rPr>
          <w:rFonts w:eastAsia="仿宋_GB2312"/>
          <w:b/>
          <w:sz w:val="28"/>
          <w:szCs w:val="28"/>
        </w:rPr>
        <w:t>二、监狱企业</w:t>
      </w:r>
      <w:bookmarkEnd w:id="514"/>
      <w:r>
        <w:rPr>
          <w:rFonts w:eastAsia="仿宋_GB2312"/>
          <w:b/>
          <w:sz w:val="28"/>
          <w:szCs w:val="28"/>
        </w:rPr>
        <w:t>声明函</w:t>
      </w:r>
      <w:bookmarkEnd w:id="515"/>
    </w:p>
    <w:p w14:paraId="69A73AD5">
      <w:pPr>
        <w:spacing w:line="360" w:lineRule="auto"/>
        <w:rPr>
          <w:rFonts w:eastAsia="仿宋_GB2312"/>
          <w:b/>
          <w:kern w:val="0"/>
          <w:sz w:val="24"/>
          <w:szCs w:val="20"/>
        </w:rPr>
      </w:pPr>
    </w:p>
    <w:p w14:paraId="563154C3">
      <w:pPr>
        <w:widowControl/>
        <w:spacing w:before="100" w:beforeAutospacing="1" w:after="100" w:afterAutospacing="1" w:line="360" w:lineRule="auto"/>
        <w:ind w:firstLine="480" w:firstLineChars="200"/>
        <w:jc w:val="left"/>
        <w:rPr>
          <w:rFonts w:eastAsia="仿宋_GB2312"/>
          <w:kern w:val="0"/>
          <w:sz w:val="24"/>
        </w:rPr>
      </w:pPr>
      <w:r>
        <w:rPr>
          <w:rFonts w:eastAsia="仿宋_GB2312"/>
          <w:kern w:val="0"/>
          <w:sz w:val="24"/>
        </w:rPr>
        <w:t>本单位郑重声明下列事项（按照实际情况勾选或填空）：</w:t>
      </w:r>
    </w:p>
    <w:p w14:paraId="59D2EEB0">
      <w:pPr>
        <w:widowControl/>
        <w:spacing w:before="100" w:beforeAutospacing="1" w:after="100" w:afterAutospacing="1" w:line="360" w:lineRule="auto"/>
        <w:ind w:firstLine="480" w:firstLineChars="200"/>
        <w:jc w:val="left"/>
        <w:rPr>
          <w:rFonts w:eastAsia="仿宋_GB2312"/>
          <w:kern w:val="0"/>
          <w:sz w:val="24"/>
        </w:rPr>
      </w:pPr>
      <w:r>
        <w:rPr>
          <w:rFonts w:eastAsia="仿宋_GB2312"/>
          <w:kern w:val="0"/>
          <w:sz w:val="24"/>
        </w:rPr>
        <w:t>本单位为直接供应商，提供本单位制造的货物。</w:t>
      </w:r>
    </w:p>
    <w:p w14:paraId="156B23C7">
      <w:pPr>
        <w:widowControl/>
        <w:spacing w:before="100" w:beforeAutospacing="1" w:after="100" w:afterAutospacing="1" w:line="360" w:lineRule="auto"/>
        <w:ind w:firstLine="360" w:firstLineChars="150"/>
        <w:jc w:val="left"/>
        <w:rPr>
          <w:rFonts w:eastAsia="仿宋_GB2312"/>
          <w:kern w:val="0"/>
          <w:sz w:val="24"/>
        </w:rPr>
      </w:pPr>
      <w:r>
        <w:rPr>
          <w:rFonts w:eastAsia="仿宋_GB2312"/>
          <w:kern w:val="0"/>
          <w:sz w:val="24"/>
        </w:rPr>
        <w:t>（1）本企业（单位）</w:t>
      </w:r>
      <w:r>
        <w:rPr>
          <w:rFonts w:eastAsia="仿宋_GB2312"/>
          <w:kern w:val="0"/>
          <w:sz w:val="24"/>
          <w:u w:val="single"/>
        </w:rPr>
        <w:t xml:space="preserve">        </w:t>
      </w:r>
      <w:r>
        <w:rPr>
          <w:rFonts w:eastAsia="仿宋_GB2312"/>
          <w:kern w:val="0"/>
          <w:sz w:val="24"/>
        </w:rPr>
        <w:t>（请填写：是、不是）监狱企业。如果是，后附省级以上监狱管理局、戒毒管理局（含新疆生产建设兵团）出具的属于监狱企业的证明文件。</w:t>
      </w:r>
    </w:p>
    <w:p w14:paraId="6743E60F">
      <w:pPr>
        <w:widowControl/>
        <w:spacing w:before="100" w:beforeAutospacing="1" w:after="100" w:afterAutospacing="1" w:line="360" w:lineRule="auto"/>
        <w:ind w:firstLine="420"/>
        <w:jc w:val="left"/>
        <w:rPr>
          <w:rFonts w:eastAsia="仿宋_GB2312"/>
          <w:kern w:val="0"/>
          <w:sz w:val="24"/>
        </w:rPr>
      </w:pPr>
      <w:r>
        <w:rPr>
          <w:rFonts w:eastAsia="仿宋_GB2312"/>
          <w:kern w:val="0"/>
          <w:sz w:val="24"/>
        </w:rPr>
        <w:t>（2）本企业（单位）</w:t>
      </w:r>
      <w:r>
        <w:rPr>
          <w:rFonts w:eastAsia="仿宋_GB2312"/>
          <w:kern w:val="0"/>
          <w:sz w:val="24"/>
          <w:u w:val="single"/>
        </w:rPr>
        <w:t xml:space="preserve">        </w:t>
      </w:r>
      <w:r>
        <w:rPr>
          <w:rFonts w:eastAsia="仿宋_GB2312"/>
          <w:kern w:val="0"/>
          <w:sz w:val="24"/>
        </w:rPr>
        <w:t>（请填写：是、不是）为联合体一方，提供本企业（单位）制造的货物，由本企业（单位）承担工程、提供服务。本企业（单位）提供协议合同金额占到共同投标协议合同总金额的比例为</w:t>
      </w:r>
      <w:r>
        <w:rPr>
          <w:rFonts w:eastAsia="仿宋_GB2312"/>
          <w:kern w:val="0"/>
          <w:sz w:val="24"/>
          <w:u w:val="single"/>
        </w:rPr>
        <w:t xml:space="preserve">       </w:t>
      </w:r>
      <w:r>
        <w:rPr>
          <w:rFonts w:eastAsia="仿宋_GB2312"/>
          <w:kern w:val="0"/>
          <w:sz w:val="24"/>
        </w:rPr>
        <w:t>。</w:t>
      </w:r>
    </w:p>
    <w:p w14:paraId="0B7CA32B">
      <w:pPr>
        <w:widowControl/>
        <w:spacing w:before="100" w:beforeAutospacing="1" w:after="100" w:afterAutospacing="1" w:line="360" w:lineRule="auto"/>
        <w:ind w:firstLine="720" w:firstLineChars="300"/>
        <w:jc w:val="left"/>
        <w:rPr>
          <w:rFonts w:eastAsia="仿宋_GB2312"/>
          <w:kern w:val="0"/>
          <w:sz w:val="24"/>
        </w:rPr>
      </w:pPr>
      <w:r>
        <w:rPr>
          <w:rFonts w:eastAsia="仿宋_GB2312"/>
          <w:kern w:val="0"/>
          <w:sz w:val="24"/>
        </w:rPr>
        <w:t>本企业（单位）对上述声明的真实性负责。如有虚假，将依法承担相应责任。</w:t>
      </w:r>
    </w:p>
    <w:p w14:paraId="77FCAB99">
      <w:pPr>
        <w:spacing w:before="120" w:after="120" w:line="360" w:lineRule="auto"/>
        <w:ind w:firstLine="1440" w:firstLineChars="600"/>
        <w:rPr>
          <w:rFonts w:eastAsia="仿宋_GB2312"/>
          <w:sz w:val="24"/>
        </w:rPr>
      </w:pPr>
    </w:p>
    <w:p w14:paraId="1B4E6FF5">
      <w:pPr>
        <w:spacing w:before="120" w:after="120" w:line="360" w:lineRule="auto"/>
        <w:ind w:firstLine="1440" w:firstLineChars="600"/>
        <w:rPr>
          <w:rFonts w:eastAsia="仿宋_GB2312"/>
          <w:sz w:val="24"/>
        </w:rPr>
      </w:pPr>
    </w:p>
    <w:p w14:paraId="7A2B5683">
      <w:pPr>
        <w:spacing w:before="120" w:after="120" w:line="360" w:lineRule="auto"/>
        <w:ind w:firstLine="1440" w:firstLineChars="600"/>
        <w:rPr>
          <w:rFonts w:eastAsia="仿宋_GB2312"/>
          <w:sz w:val="24"/>
          <w:u w:val="single"/>
        </w:rPr>
      </w:pPr>
      <w:r>
        <w:rPr>
          <w:rFonts w:eastAsia="仿宋_GB2312"/>
          <w:sz w:val="24"/>
        </w:rPr>
        <w:t>供应商（</w:t>
      </w:r>
      <w:r>
        <w:rPr>
          <w:rFonts w:hint="eastAsia" w:eastAsia="仿宋_GB2312"/>
          <w:sz w:val="24"/>
          <w:lang w:val="en-US" w:eastAsia="zh-CN"/>
        </w:rPr>
        <w:t>盖</w:t>
      </w:r>
      <w:r>
        <w:rPr>
          <w:rFonts w:eastAsia="仿宋_GB2312"/>
          <w:sz w:val="24"/>
        </w:rPr>
        <w:t xml:space="preserve">公章）： </w:t>
      </w:r>
      <w:r>
        <w:rPr>
          <w:rFonts w:eastAsia="仿宋_GB2312"/>
          <w:sz w:val="24"/>
          <w:u w:val="single"/>
        </w:rPr>
        <w:t xml:space="preserve">              </w:t>
      </w:r>
    </w:p>
    <w:p w14:paraId="0389B75B">
      <w:pPr>
        <w:spacing w:before="120" w:after="120" w:line="360" w:lineRule="auto"/>
        <w:ind w:firstLine="1440" w:firstLineChars="600"/>
        <w:rPr>
          <w:rFonts w:eastAsia="仿宋_GB2312"/>
          <w:sz w:val="24"/>
          <w:u w:val="single"/>
        </w:rPr>
      </w:pPr>
      <w:r>
        <w:rPr>
          <w:rFonts w:eastAsia="仿宋_GB2312"/>
          <w:sz w:val="24"/>
        </w:rPr>
        <w:t>法定代表人或其授权代表（签字</w:t>
      </w:r>
      <w:r>
        <w:rPr>
          <w:rFonts w:hint="eastAsia" w:eastAsia="仿宋_GB2312"/>
          <w:sz w:val="24"/>
          <w:lang w:val="en-US" w:eastAsia="zh-CN"/>
        </w:rPr>
        <w:t>或盖章</w:t>
      </w:r>
      <w:r>
        <w:rPr>
          <w:rFonts w:eastAsia="仿宋_GB2312"/>
          <w:sz w:val="24"/>
        </w:rPr>
        <w:t>）：</w:t>
      </w:r>
    </w:p>
    <w:p w14:paraId="59B0B969">
      <w:pPr>
        <w:spacing w:line="360" w:lineRule="auto"/>
        <w:ind w:firstLine="1440" w:firstLineChars="600"/>
        <w:rPr>
          <w:rFonts w:eastAsia="仿宋_GB2312"/>
          <w:kern w:val="0"/>
          <w:sz w:val="24"/>
          <w:u w:val="single"/>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r>
        <w:rPr>
          <w:rFonts w:eastAsia="仿宋_GB2312"/>
          <w:sz w:val="32"/>
          <w:u w:val="single"/>
        </w:rPr>
        <w:t xml:space="preserve">           </w:t>
      </w:r>
    </w:p>
    <w:p w14:paraId="37D5CED8">
      <w:pPr>
        <w:widowControl/>
        <w:spacing w:before="100" w:beforeAutospacing="1" w:after="100" w:afterAutospacing="1" w:line="360" w:lineRule="auto"/>
        <w:jc w:val="left"/>
        <w:rPr>
          <w:rFonts w:eastAsia="仿宋_GB2312"/>
          <w:sz w:val="24"/>
        </w:rPr>
      </w:pPr>
      <w:r>
        <w:rPr>
          <w:rFonts w:eastAsia="仿宋_GB2312"/>
          <w:kern w:val="0"/>
          <w:sz w:val="24"/>
        </w:rPr>
        <w:t>注：符合《关于政府采购支持监狱企业发展有关问题的通知》价格扣减条件的供应商须提交。需提供</w:t>
      </w:r>
      <w:r>
        <w:rPr>
          <w:rFonts w:eastAsia="仿宋_GB2312"/>
          <w:sz w:val="24"/>
        </w:rPr>
        <w:t>省级以上监狱管理局、戒毒管理局（含新疆生产建设兵团）出具的属于监狱企业的证明文件。</w:t>
      </w:r>
    </w:p>
    <w:p w14:paraId="26A0DCB0">
      <w:pPr>
        <w:widowControl/>
        <w:jc w:val="left"/>
        <w:rPr>
          <w:rFonts w:eastAsia="仿宋_GB2312"/>
          <w:sz w:val="32"/>
          <w:szCs w:val="32"/>
        </w:rPr>
      </w:pPr>
      <w:bookmarkStart w:id="516" w:name="_Toc7005134"/>
      <w:r>
        <w:rPr>
          <w:rFonts w:eastAsia="仿宋_GB2312"/>
          <w:sz w:val="32"/>
          <w:szCs w:val="32"/>
        </w:rPr>
        <w:br w:type="page"/>
      </w:r>
    </w:p>
    <w:p w14:paraId="08CF71D3">
      <w:pPr>
        <w:jc w:val="center"/>
        <w:outlineLvl w:val="2"/>
        <w:rPr>
          <w:rFonts w:eastAsia="仿宋_GB2312"/>
          <w:b/>
          <w:sz w:val="28"/>
          <w:szCs w:val="28"/>
        </w:rPr>
      </w:pPr>
      <w:bookmarkStart w:id="517" w:name="_Toc210"/>
      <w:r>
        <w:rPr>
          <w:rFonts w:eastAsia="仿宋_GB2312"/>
          <w:b/>
          <w:sz w:val="28"/>
          <w:szCs w:val="28"/>
        </w:rPr>
        <w:t>三、残疾人福利性单位声明函</w:t>
      </w:r>
      <w:bookmarkEnd w:id="516"/>
      <w:bookmarkEnd w:id="517"/>
    </w:p>
    <w:p w14:paraId="79072197">
      <w:pPr>
        <w:pStyle w:val="22"/>
        <w:rPr>
          <w:rFonts w:ascii="Times New Roman" w:hAnsi="Times New Roman" w:eastAsia="仿宋_GB2312"/>
        </w:rPr>
      </w:pPr>
    </w:p>
    <w:p w14:paraId="6FFEBCF3">
      <w:pPr>
        <w:jc w:val="center"/>
        <w:rPr>
          <w:rFonts w:eastAsia="仿宋_GB2312"/>
          <w:sz w:val="24"/>
        </w:rPr>
      </w:pPr>
      <w:r>
        <w:rPr>
          <w:rFonts w:eastAsia="仿宋_GB2312"/>
          <w:szCs w:val="21"/>
        </w:rPr>
        <w:t>（注：符合条件的残疾人福利性单位请提供本函，不符合的不提供本函）</w:t>
      </w:r>
    </w:p>
    <w:p w14:paraId="3C7EF23C">
      <w:pPr>
        <w:rPr>
          <w:rFonts w:eastAsia="仿宋_GB2312"/>
          <w:sz w:val="24"/>
        </w:rPr>
      </w:pPr>
    </w:p>
    <w:p w14:paraId="7080DF16">
      <w:pPr>
        <w:spacing w:line="360" w:lineRule="auto"/>
        <w:rPr>
          <w:rFonts w:eastAsia="仿宋_GB2312"/>
          <w:sz w:val="24"/>
        </w:rPr>
      </w:pPr>
    </w:p>
    <w:p w14:paraId="65B36DD7">
      <w:pPr>
        <w:spacing w:line="360" w:lineRule="auto"/>
        <w:ind w:firstLine="480" w:firstLineChars="200"/>
        <w:rPr>
          <w:rFonts w:eastAsia="仿宋_GB2312"/>
          <w:sz w:val="24"/>
        </w:rPr>
      </w:pPr>
      <w:r>
        <w:rPr>
          <w:rFonts w:eastAsia="仿宋_GB2312"/>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10BF2F8">
      <w:pPr>
        <w:spacing w:line="360" w:lineRule="auto"/>
        <w:ind w:firstLine="360" w:firstLineChars="150"/>
        <w:rPr>
          <w:rFonts w:eastAsia="仿宋_GB2312"/>
          <w:sz w:val="24"/>
        </w:rPr>
      </w:pPr>
      <w:r>
        <w:rPr>
          <w:rFonts w:eastAsia="仿宋_GB2312"/>
          <w:sz w:val="24"/>
        </w:rPr>
        <w:t>本单位对上述声明的真实性负责。如有虚假，将依法承担相应责任。</w:t>
      </w:r>
    </w:p>
    <w:p w14:paraId="71824288">
      <w:pPr>
        <w:spacing w:line="360" w:lineRule="auto"/>
        <w:rPr>
          <w:rFonts w:eastAsia="仿宋_GB2312"/>
          <w:sz w:val="24"/>
        </w:rPr>
      </w:pPr>
    </w:p>
    <w:p w14:paraId="5A65177D">
      <w:pPr>
        <w:spacing w:before="120" w:after="120" w:line="360" w:lineRule="auto"/>
        <w:ind w:firstLine="1440" w:firstLineChars="600"/>
        <w:rPr>
          <w:rFonts w:eastAsia="仿宋_GB2312"/>
          <w:sz w:val="24"/>
          <w:u w:val="single"/>
        </w:rPr>
      </w:pPr>
      <w:r>
        <w:rPr>
          <w:rFonts w:eastAsia="仿宋_GB2312"/>
          <w:sz w:val="24"/>
        </w:rPr>
        <w:t>供应商（</w:t>
      </w:r>
      <w:r>
        <w:rPr>
          <w:rFonts w:hint="eastAsia" w:eastAsia="仿宋_GB2312"/>
          <w:sz w:val="24"/>
          <w:lang w:val="en-US" w:eastAsia="zh-CN"/>
        </w:rPr>
        <w:t>盖</w:t>
      </w:r>
      <w:r>
        <w:rPr>
          <w:rFonts w:eastAsia="仿宋_GB2312"/>
          <w:sz w:val="24"/>
        </w:rPr>
        <w:t>公章）：</w:t>
      </w:r>
      <w:r>
        <w:rPr>
          <w:rFonts w:eastAsia="仿宋_GB2312"/>
          <w:sz w:val="24"/>
          <w:u w:val="single"/>
        </w:rPr>
        <w:t xml:space="preserve">             </w:t>
      </w:r>
      <w:r>
        <w:rPr>
          <w:rFonts w:hint="eastAsia" w:eastAsia="仿宋_GB2312"/>
          <w:sz w:val="24"/>
          <w:u w:val="single"/>
          <w:lang w:val="en-US" w:eastAsia="zh-CN"/>
        </w:rPr>
        <w:t xml:space="preserve">            </w:t>
      </w:r>
      <w:r>
        <w:rPr>
          <w:rFonts w:eastAsia="仿宋_GB2312"/>
          <w:sz w:val="24"/>
          <w:u w:val="single"/>
        </w:rPr>
        <w:t xml:space="preserve"> </w:t>
      </w:r>
    </w:p>
    <w:p w14:paraId="0458BB88">
      <w:pPr>
        <w:spacing w:before="120" w:after="120" w:line="360" w:lineRule="auto"/>
        <w:ind w:firstLine="1440" w:firstLineChars="600"/>
        <w:rPr>
          <w:rFonts w:eastAsia="仿宋_GB2312"/>
          <w:sz w:val="24"/>
        </w:rPr>
      </w:pPr>
      <w:r>
        <w:rPr>
          <w:rFonts w:eastAsia="仿宋_GB2312"/>
          <w:sz w:val="24"/>
        </w:rPr>
        <w:t>法定代表人或其授权代表（签字</w:t>
      </w:r>
      <w:r>
        <w:rPr>
          <w:rFonts w:hint="eastAsia" w:eastAsia="仿宋_GB2312"/>
          <w:sz w:val="24"/>
          <w:lang w:val="en-US" w:eastAsia="zh-CN"/>
        </w:rPr>
        <w:t>或盖章</w:t>
      </w:r>
      <w:r>
        <w:rPr>
          <w:rFonts w:eastAsia="仿宋_GB2312"/>
          <w:sz w:val="24"/>
        </w:rPr>
        <w:t>）：</w:t>
      </w:r>
      <w:r>
        <w:rPr>
          <w:rFonts w:eastAsia="仿宋_GB2312"/>
          <w:sz w:val="24"/>
          <w:u w:val="single"/>
        </w:rPr>
        <w:t xml:space="preserve">         </w:t>
      </w:r>
      <w:r>
        <w:rPr>
          <w:rFonts w:hint="eastAsia" w:eastAsia="仿宋_GB2312"/>
          <w:sz w:val="24"/>
          <w:u w:val="single"/>
          <w:lang w:val="en-US" w:eastAsia="zh-CN"/>
        </w:rPr>
        <w:t xml:space="preserve"> </w:t>
      </w:r>
      <w:r>
        <w:rPr>
          <w:rFonts w:eastAsia="仿宋_GB2312"/>
          <w:sz w:val="24"/>
          <w:u w:val="single"/>
        </w:rPr>
        <w:t xml:space="preserve">    </w:t>
      </w:r>
      <w:r>
        <w:rPr>
          <w:rFonts w:hint="eastAsia" w:eastAsia="仿宋_GB2312"/>
          <w:sz w:val="24"/>
          <w:u w:val="single"/>
          <w:lang w:val="en-US" w:eastAsia="zh-CN"/>
        </w:rPr>
        <w:t xml:space="preserve">  </w:t>
      </w:r>
    </w:p>
    <w:p w14:paraId="6A115E71">
      <w:pPr>
        <w:spacing w:before="120" w:after="120" w:line="360" w:lineRule="auto"/>
        <w:ind w:firstLine="1440" w:firstLineChars="600"/>
        <w:rPr>
          <w:rFonts w:eastAsia="仿宋_GB2312"/>
          <w:kern w:val="0"/>
          <w:sz w:val="24"/>
          <w:u w:val="single"/>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14:paraId="2FF053E1">
      <w:pPr>
        <w:snapToGrid w:val="0"/>
        <w:spacing w:before="120" w:beforeLines="50"/>
        <w:jc w:val="center"/>
        <w:rPr>
          <w:rFonts w:eastAsia="仿宋_GB2312"/>
          <w:b/>
          <w:sz w:val="24"/>
          <w:szCs w:val="21"/>
        </w:rPr>
      </w:pPr>
    </w:p>
    <w:p w14:paraId="4464677F">
      <w:pPr>
        <w:widowControl/>
        <w:jc w:val="left"/>
        <w:rPr>
          <w:rFonts w:eastAsia="仿宋_GB2312"/>
          <w:sz w:val="24"/>
        </w:rPr>
      </w:pPr>
      <w:r>
        <w:rPr>
          <w:rFonts w:eastAsia="仿宋_GB2312"/>
          <w:sz w:val="24"/>
        </w:rPr>
        <w:br w:type="page"/>
      </w:r>
    </w:p>
    <w:p w14:paraId="32500FB0">
      <w:pPr>
        <w:jc w:val="center"/>
        <w:outlineLvl w:val="2"/>
        <w:rPr>
          <w:rFonts w:eastAsia="仿宋_GB2312"/>
          <w:b/>
          <w:sz w:val="28"/>
          <w:szCs w:val="28"/>
        </w:rPr>
      </w:pPr>
      <w:bookmarkStart w:id="518" w:name="_Toc9972"/>
      <w:r>
        <w:rPr>
          <w:rFonts w:eastAsia="仿宋_GB2312"/>
          <w:b/>
          <w:sz w:val="28"/>
          <w:szCs w:val="28"/>
        </w:rPr>
        <w:t>四、响应承诺书</w:t>
      </w:r>
      <w:bookmarkEnd w:id="518"/>
    </w:p>
    <w:p w14:paraId="68E6C9AA">
      <w:pPr>
        <w:spacing w:line="360" w:lineRule="auto"/>
        <w:rPr>
          <w:rFonts w:eastAsia="仿宋_GB2312"/>
          <w:sz w:val="24"/>
        </w:rPr>
      </w:pPr>
    </w:p>
    <w:p w14:paraId="729CF236">
      <w:pPr>
        <w:spacing w:line="360" w:lineRule="auto"/>
        <w:rPr>
          <w:rFonts w:eastAsia="仿宋_GB2312"/>
          <w:sz w:val="24"/>
        </w:rPr>
      </w:pPr>
      <w:r>
        <w:rPr>
          <w:rFonts w:hint="eastAsia" w:eastAsia="仿宋_GB2312"/>
          <w:kern w:val="0"/>
          <w:sz w:val="24"/>
          <w:lang w:eastAsia="zh-CN"/>
        </w:rPr>
        <w:t>（</w:t>
      </w:r>
      <w:r>
        <w:rPr>
          <w:rFonts w:hint="eastAsia" w:eastAsia="仿宋_GB2312"/>
          <w:kern w:val="0"/>
          <w:sz w:val="24"/>
          <w:lang w:val="en-US" w:eastAsia="zh-CN"/>
        </w:rPr>
        <w:t>采购人名称</w:t>
      </w:r>
      <w:r>
        <w:rPr>
          <w:rFonts w:hint="eastAsia" w:eastAsia="仿宋_GB2312"/>
          <w:kern w:val="0"/>
          <w:sz w:val="24"/>
          <w:lang w:eastAsia="zh-CN"/>
        </w:rPr>
        <w:t>）</w:t>
      </w:r>
      <w:r>
        <w:rPr>
          <w:rFonts w:eastAsia="仿宋_GB2312"/>
          <w:sz w:val="24"/>
        </w:rPr>
        <w:t>：</w:t>
      </w:r>
    </w:p>
    <w:p w14:paraId="39B8FC65">
      <w:pPr>
        <w:spacing w:line="360" w:lineRule="auto"/>
        <w:ind w:firstLine="480" w:firstLineChars="200"/>
        <w:rPr>
          <w:rFonts w:eastAsia="仿宋_GB2312"/>
          <w:sz w:val="24"/>
        </w:rPr>
      </w:pPr>
      <w:r>
        <w:rPr>
          <w:rFonts w:eastAsia="仿宋_GB2312"/>
          <w:sz w:val="24"/>
        </w:rPr>
        <w:t>我方在此声明，我方以下事项进行承诺：</w:t>
      </w:r>
    </w:p>
    <w:p w14:paraId="370ADC0A">
      <w:pPr>
        <w:spacing w:line="360" w:lineRule="auto"/>
        <w:ind w:firstLine="480" w:firstLineChars="200"/>
        <w:rPr>
          <w:rFonts w:eastAsia="仿宋_GB2312"/>
          <w:sz w:val="24"/>
        </w:rPr>
      </w:pPr>
      <w:r>
        <w:rPr>
          <w:rFonts w:eastAsia="仿宋_GB2312"/>
          <w:sz w:val="24"/>
        </w:rPr>
        <w:t>（1） 在本次谈判中我公司无与其他供应商相互串通，或与采购人串通的行为；</w:t>
      </w:r>
    </w:p>
    <w:p w14:paraId="32B63065">
      <w:pPr>
        <w:spacing w:line="360" w:lineRule="auto"/>
        <w:ind w:firstLine="480" w:firstLineChars="200"/>
        <w:rPr>
          <w:rFonts w:eastAsia="仿宋_GB2312"/>
          <w:sz w:val="24"/>
        </w:rPr>
      </w:pPr>
      <w:r>
        <w:rPr>
          <w:rFonts w:eastAsia="仿宋_GB2312"/>
          <w:sz w:val="24"/>
        </w:rPr>
        <w:t>（2） 在本次谈判中我公司无向采购人或谈判小组成员行贿的手段谋取成交的行为；</w:t>
      </w:r>
    </w:p>
    <w:p w14:paraId="64537B18">
      <w:pPr>
        <w:spacing w:line="360" w:lineRule="auto"/>
        <w:ind w:firstLine="480" w:firstLineChars="200"/>
        <w:rPr>
          <w:rFonts w:eastAsia="仿宋_GB2312"/>
          <w:sz w:val="24"/>
        </w:rPr>
      </w:pPr>
      <w:r>
        <w:rPr>
          <w:rFonts w:eastAsia="仿宋_GB2312"/>
          <w:sz w:val="24"/>
        </w:rPr>
        <w:t>（3） 在本次谈判中我公司无出借或借用资质行为、在响应文件中所附资料（业绩、项目负责人资料等）无弄虚作假；</w:t>
      </w:r>
    </w:p>
    <w:p w14:paraId="059CAAE9">
      <w:pPr>
        <w:spacing w:line="360" w:lineRule="auto"/>
        <w:ind w:firstLine="480" w:firstLineChars="200"/>
        <w:rPr>
          <w:rFonts w:eastAsia="仿宋_GB2312"/>
          <w:sz w:val="24"/>
        </w:rPr>
      </w:pPr>
      <w:r>
        <w:rPr>
          <w:rFonts w:eastAsia="仿宋_GB2312"/>
          <w:sz w:val="24"/>
        </w:rPr>
        <w:t>（4） 我公司没有处于被责令停产、停业、投标资格被取消状态；</w:t>
      </w:r>
    </w:p>
    <w:p w14:paraId="3D46A947">
      <w:pPr>
        <w:spacing w:line="360" w:lineRule="auto"/>
        <w:ind w:firstLine="480" w:firstLineChars="200"/>
        <w:rPr>
          <w:rFonts w:hint="default" w:eastAsia="仿宋_GB2312"/>
          <w:sz w:val="24"/>
          <w:lang w:val="en-US" w:eastAsia="zh-CN"/>
        </w:rPr>
      </w:pPr>
      <w:r>
        <w:rPr>
          <w:rFonts w:hint="eastAsia" w:eastAsia="仿宋_GB2312"/>
          <w:sz w:val="24"/>
          <w:lang w:eastAsia="zh-CN"/>
        </w:rPr>
        <w:t>（</w:t>
      </w:r>
      <w:r>
        <w:rPr>
          <w:rFonts w:hint="eastAsia" w:eastAsia="仿宋_GB2312"/>
          <w:sz w:val="24"/>
          <w:lang w:val="en-US" w:eastAsia="zh-CN"/>
        </w:rPr>
        <w:t>5</w:t>
      </w:r>
      <w:r>
        <w:rPr>
          <w:rFonts w:hint="eastAsia" w:eastAsia="仿宋_GB2312"/>
          <w:sz w:val="24"/>
          <w:lang w:eastAsia="zh-CN"/>
        </w:rPr>
        <w:t>）</w:t>
      </w:r>
      <w:r>
        <w:rPr>
          <w:rFonts w:hint="eastAsia" w:eastAsia="仿宋_GB2312"/>
          <w:sz w:val="24"/>
          <w:lang w:val="en-US" w:eastAsia="zh-CN"/>
        </w:rPr>
        <w:t xml:space="preserve"> 我公司非联合体参与本项目，若成交后绝不转包、分包。</w:t>
      </w:r>
    </w:p>
    <w:p w14:paraId="716167CB">
      <w:pPr>
        <w:spacing w:line="360" w:lineRule="auto"/>
        <w:ind w:firstLine="480" w:firstLineChars="200"/>
        <w:rPr>
          <w:rFonts w:eastAsia="仿宋_GB2312"/>
          <w:sz w:val="24"/>
        </w:rPr>
      </w:pPr>
      <w:r>
        <w:rPr>
          <w:rFonts w:eastAsia="仿宋_GB2312"/>
          <w:sz w:val="24"/>
        </w:rPr>
        <w:t>（</w:t>
      </w:r>
      <w:r>
        <w:rPr>
          <w:rFonts w:hint="eastAsia" w:eastAsia="仿宋_GB2312"/>
          <w:sz w:val="24"/>
          <w:lang w:val="en-US" w:eastAsia="zh-CN"/>
        </w:rPr>
        <w:t>6</w:t>
      </w:r>
      <w:r>
        <w:rPr>
          <w:rFonts w:eastAsia="仿宋_GB2312"/>
          <w:sz w:val="24"/>
        </w:rPr>
        <w:t>）</w:t>
      </w:r>
      <w:r>
        <w:rPr>
          <w:rFonts w:hint="eastAsia" w:eastAsia="仿宋_GB2312"/>
          <w:sz w:val="24"/>
          <w:lang w:val="en-US" w:eastAsia="zh-CN"/>
        </w:rPr>
        <w:t xml:space="preserve"> </w:t>
      </w:r>
      <w:r>
        <w:rPr>
          <w:rFonts w:eastAsia="仿宋_GB2312"/>
          <w:sz w:val="24"/>
        </w:rPr>
        <w:t>我公司不采用非法手段获取证据进行质疑、投诉，在质疑、投诉过程中不提供虚假情况或进行恶意质疑、投诉。</w:t>
      </w:r>
    </w:p>
    <w:p w14:paraId="674C9F92">
      <w:pPr>
        <w:spacing w:line="360" w:lineRule="auto"/>
        <w:ind w:firstLine="480" w:firstLineChars="200"/>
        <w:rPr>
          <w:rFonts w:eastAsia="仿宋_GB2312"/>
          <w:sz w:val="24"/>
        </w:rPr>
      </w:pPr>
      <w:r>
        <w:rPr>
          <w:rFonts w:eastAsia="仿宋_GB2312"/>
          <w:sz w:val="24"/>
        </w:rPr>
        <w:t>上述承诺内容如有不实，我公司愿意承担由此造成的一切法律责任，并承诺赔偿给采购人造成的损失。</w:t>
      </w:r>
    </w:p>
    <w:p w14:paraId="18609FCE">
      <w:pPr>
        <w:spacing w:line="360" w:lineRule="auto"/>
        <w:ind w:firstLine="480" w:firstLineChars="200"/>
        <w:rPr>
          <w:rFonts w:eastAsia="仿宋_GB2312"/>
          <w:sz w:val="24"/>
        </w:rPr>
      </w:pPr>
      <w:r>
        <w:rPr>
          <w:rFonts w:eastAsia="仿宋_GB2312"/>
          <w:sz w:val="24"/>
        </w:rPr>
        <w:t>特此承诺。</w:t>
      </w:r>
    </w:p>
    <w:p w14:paraId="3C2A2E5F">
      <w:pPr>
        <w:spacing w:line="360" w:lineRule="auto"/>
        <w:ind w:firstLine="480" w:firstLineChars="200"/>
        <w:rPr>
          <w:rFonts w:eastAsia="仿宋_GB2312"/>
          <w:sz w:val="24"/>
        </w:rPr>
      </w:pPr>
    </w:p>
    <w:p w14:paraId="16A9240B">
      <w:pPr>
        <w:spacing w:before="120" w:after="120" w:line="360" w:lineRule="auto"/>
        <w:ind w:firstLine="1440" w:firstLineChars="600"/>
        <w:rPr>
          <w:rFonts w:eastAsia="仿宋_GB2312"/>
          <w:sz w:val="24"/>
          <w:u w:val="single"/>
        </w:rPr>
      </w:pPr>
      <w:r>
        <w:rPr>
          <w:rFonts w:eastAsia="仿宋_GB2312"/>
          <w:sz w:val="24"/>
        </w:rPr>
        <w:t>供应商（</w:t>
      </w:r>
      <w:r>
        <w:rPr>
          <w:rFonts w:hint="eastAsia" w:eastAsia="仿宋_GB2312"/>
          <w:sz w:val="24"/>
          <w:lang w:val="en-US" w:eastAsia="zh-CN"/>
        </w:rPr>
        <w:t>盖</w:t>
      </w:r>
      <w:r>
        <w:rPr>
          <w:rFonts w:eastAsia="仿宋_GB2312"/>
          <w:sz w:val="24"/>
        </w:rPr>
        <w:t>公章）：</w:t>
      </w:r>
      <w:r>
        <w:rPr>
          <w:rFonts w:eastAsia="仿宋_GB2312"/>
          <w:sz w:val="24"/>
          <w:u w:val="single"/>
        </w:rPr>
        <w:t xml:space="preserve">  </w:t>
      </w:r>
      <w:r>
        <w:rPr>
          <w:rFonts w:hint="eastAsia" w:eastAsia="仿宋_GB2312"/>
          <w:sz w:val="24"/>
          <w:u w:val="single"/>
          <w:lang w:val="en-US" w:eastAsia="zh-CN"/>
        </w:rPr>
        <w:t xml:space="preserve">   </w:t>
      </w:r>
      <w:r>
        <w:rPr>
          <w:rFonts w:eastAsia="仿宋_GB2312"/>
          <w:sz w:val="24"/>
          <w:u w:val="single"/>
        </w:rPr>
        <w:t xml:space="preserve">            </w:t>
      </w:r>
    </w:p>
    <w:p w14:paraId="28A5A347">
      <w:pPr>
        <w:spacing w:before="120" w:after="120" w:line="360" w:lineRule="auto"/>
        <w:ind w:firstLine="1440" w:firstLineChars="600"/>
        <w:rPr>
          <w:rFonts w:hint="default" w:eastAsia="仿宋_GB2312"/>
          <w:sz w:val="24"/>
          <w:lang w:val="en-US" w:eastAsia="zh-CN"/>
        </w:rPr>
      </w:pPr>
      <w:r>
        <w:rPr>
          <w:rFonts w:eastAsia="仿宋_GB2312"/>
          <w:sz w:val="24"/>
        </w:rPr>
        <w:t>法定代表人或其授权代表（签字</w:t>
      </w:r>
      <w:r>
        <w:rPr>
          <w:rFonts w:hint="eastAsia" w:eastAsia="仿宋_GB2312"/>
          <w:sz w:val="24"/>
          <w:lang w:val="en-US" w:eastAsia="zh-CN"/>
        </w:rPr>
        <w:t>或盖章</w:t>
      </w:r>
      <w:r>
        <w:rPr>
          <w:rFonts w:eastAsia="仿宋_GB2312"/>
          <w:sz w:val="24"/>
        </w:rPr>
        <w:t>）：</w:t>
      </w:r>
      <w:r>
        <w:rPr>
          <w:rFonts w:hint="eastAsia" w:eastAsia="仿宋_GB2312"/>
          <w:sz w:val="24"/>
          <w:u w:val="single"/>
          <w:lang w:val="en-US" w:eastAsia="zh-CN"/>
        </w:rPr>
        <w:t xml:space="preserve">                 </w:t>
      </w:r>
    </w:p>
    <w:p w14:paraId="6004AB00">
      <w:pPr>
        <w:spacing w:before="120" w:after="120" w:line="360" w:lineRule="auto"/>
        <w:ind w:firstLine="1440" w:firstLineChars="600"/>
        <w:rPr>
          <w:rFonts w:eastAsia="仿宋_GB2312"/>
          <w:kern w:val="0"/>
          <w:sz w:val="24"/>
          <w:u w:val="single"/>
        </w:rPr>
      </w:pPr>
      <w:r>
        <w:rPr>
          <w:rFonts w:eastAsia="仿宋_GB2312"/>
          <w:sz w:val="24"/>
        </w:rPr>
        <w:t>日    期：</w:t>
      </w:r>
      <w:r>
        <w:rPr>
          <w:rFonts w:eastAsia="仿宋_GB2312"/>
          <w:sz w:val="24"/>
          <w:u w:val="single"/>
        </w:rPr>
        <w:t xml:space="preserve">   </w:t>
      </w:r>
      <w:r>
        <w:rPr>
          <w:rFonts w:hint="eastAsia" w:eastAsia="仿宋_GB2312"/>
          <w:sz w:val="24"/>
          <w:u w:val="single"/>
          <w:lang w:val="en-US" w:eastAsia="zh-CN"/>
        </w:rPr>
        <w:t xml:space="preserve"> </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sectPr>
      <w:pgSz w:w="11906" w:h="16838"/>
      <w:pgMar w:top="1440" w:right="1083" w:bottom="1440" w:left="1083"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swiss"/>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Neue">
    <w:altName w:val="Segoe Print"/>
    <w:panose1 w:val="00000000000000000000"/>
    <w:charset w:val="00"/>
    <w:family w:val="auto"/>
    <w:pitch w:val="default"/>
    <w:sig w:usb0="00000000" w:usb1="00000000" w:usb2="00000010" w:usb3="00000000" w:csb0="00000001" w:csb1="00000000"/>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S Sans Serif">
    <w:altName w:val="Arial"/>
    <w:panose1 w:val="00000000000000000000"/>
    <w:charset w:val="00"/>
    <w:family w:val="swiss"/>
    <w:pitch w:val="default"/>
    <w:sig w:usb0="00000000" w:usb1="00000000" w:usb2="00000000" w:usb3="00000000" w:csb0="00000001" w:csb1="00000000"/>
  </w:font>
  <w:font w:name="长城仿宋">
    <w:altName w:val="宋体"/>
    <w:panose1 w:val="00000000000000000000"/>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7D875">
    <w:pPr>
      <w:pStyle w:val="3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DFD1BD">
                          <w:pPr>
                            <w:pStyle w:val="33"/>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14:paraId="5EDFD1BD">
                    <w:pPr>
                      <w:pStyle w:val="33"/>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9EEF9">
    <w:pPr>
      <w:pStyle w:val="3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94C2B054"/>
    <w:multiLevelType w:val="singleLevel"/>
    <w:tmpl w:val="94C2B054"/>
    <w:lvl w:ilvl="0" w:tentative="0">
      <w:start w:val="3"/>
      <w:numFmt w:val="chineseCounting"/>
      <w:suff w:val="nothing"/>
      <w:lvlText w:val="%1、"/>
      <w:lvlJc w:val="left"/>
      <w:rPr>
        <w:rFonts w:hint="eastAsia"/>
      </w:rPr>
    </w:lvl>
  </w:abstractNum>
  <w:abstractNum w:abstractNumId="1">
    <w:nsid w:val="E711101E"/>
    <w:multiLevelType w:val="singleLevel"/>
    <w:tmpl w:val="E711101E"/>
    <w:lvl w:ilvl="0" w:tentative="0">
      <w:start w:val="1"/>
      <w:numFmt w:val="decimal"/>
      <w:lvlText w:val="(%1)"/>
      <w:lvlJc w:val="left"/>
      <w:pPr>
        <w:tabs>
          <w:tab w:val="left" w:pos="420"/>
        </w:tabs>
        <w:ind w:left="845" w:hanging="425"/>
      </w:pPr>
      <w:rPr>
        <w:rFonts w:hint="default"/>
      </w:rPr>
    </w:lvl>
  </w:abstractNum>
  <w:abstractNum w:abstractNumId="2">
    <w:nsid w:val="FBAB040F"/>
    <w:multiLevelType w:val="singleLevel"/>
    <w:tmpl w:val="FBAB040F"/>
    <w:lvl w:ilvl="0" w:tentative="0">
      <w:start w:val="3"/>
      <w:numFmt w:val="decimal"/>
      <w:suff w:val="nothing"/>
      <w:lvlText w:val="%1、"/>
      <w:lvlJc w:val="left"/>
    </w:lvl>
  </w:abstractNum>
  <w:abstractNum w:abstractNumId="3">
    <w:nsid w:val="0000000E"/>
    <w:multiLevelType w:val="multilevel"/>
    <w:tmpl w:val="0000000E"/>
    <w:lvl w:ilvl="0" w:tentative="0">
      <w:start w:val="1"/>
      <w:numFmt w:val="decimal"/>
      <w:pStyle w:val="96"/>
      <w:lvlText w:val="%1）"/>
      <w:lvlJc w:val="left"/>
      <w:pPr>
        <w:ind w:left="1560" w:hanging="720"/>
      </w:pPr>
      <w:rPr>
        <w:rFonts w:hint="eastAsia"/>
        <w:snapToGrid w:val="0"/>
        <w:kern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4">
    <w:nsid w:val="0000000F"/>
    <w:multiLevelType w:val="multilevel"/>
    <w:tmpl w:val="0000000F"/>
    <w:lvl w:ilvl="0" w:tentative="0">
      <w:start w:val="1"/>
      <w:numFmt w:val="bullet"/>
      <w:lvlText w:val=""/>
      <w:lvlPicBulletId w:val="0"/>
      <w:lvlJc w:val="left"/>
      <w:pPr>
        <w:tabs>
          <w:tab w:val="left" w:pos="840"/>
        </w:tabs>
        <w:ind w:left="840" w:hanging="420"/>
      </w:pPr>
      <w:rPr>
        <w:rFonts w:hint="default" w:ascii="Wingdings" w:hAnsi="Wingdings"/>
      </w:rPr>
    </w:lvl>
    <w:lvl w:ilvl="1" w:tentative="0">
      <w:start w:val="1"/>
      <w:numFmt w:val="bullet"/>
      <w:pStyle w:val="25"/>
      <w:lvlText w:val=""/>
      <w:lvlPicBulletId w:val="1"/>
      <w:lvlJc w:val="left"/>
      <w:pPr>
        <w:tabs>
          <w:tab w:val="left" w:pos="840"/>
        </w:tabs>
        <w:ind w:left="840" w:hanging="420"/>
      </w:pPr>
      <w:rPr>
        <w:rFonts w:hint="default" w:ascii="Symbol" w:hAnsi="Symbol"/>
        <w:color w:val="auto"/>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09343BCE"/>
    <w:multiLevelType w:val="multilevel"/>
    <w:tmpl w:val="09343BCE"/>
    <w:lvl w:ilvl="0" w:tentative="0">
      <w:start w:val="1"/>
      <w:numFmt w:val="decimal"/>
      <w:lvlText w:val="（%1）"/>
      <w:lvlJc w:val="left"/>
      <w:pPr>
        <w:ind w:left="1146" w:hanging="7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6">
    <w:nsid w:val="1F5942C8"/>
    <w:multiLevelType w:val="multilevel"/>
    <w:tmpl w:val="1F5942C8"/>
    <w:lvl w:ilvl="0" w:tentative="0">
      <w:start w:val="6"/>
      <w:numFmt w:val="decimal"/>
      <w:lvlText w:val="%1"/>
      <w:lvlJc w:val="left"/>
      <w:pPr>
        <w:ind w:left="405" w:hanging="405"/>
      </w:pPr>
      <w:rPr>
        <w:rFonts w:hint="default"/>
      </w:rPr>
    </w:lvl>
    <w:lvl w:ilvl="1" w:tentative="0">
      <w:start w:val="6"/>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7">
    <w:nsid w:val="4FADD3F9"/>
    <w:multiLevelType w:val="singleLevel"/>
    <w:tmpl w:val="4FADD3F9"/>
    <w:lvl w:ilvl="0" w:tentative="0">
      <w:start w:val="1"/>
      <w:numFmt w:val="chineseCounting"/>
      <w:suff w:val="nothing"/>
      <w:lvlText w:val="（%1）"/>
      <w:lvlJc w:val="left"/>
      <w:rPr>
        <w:rFonts w:hint="eastAsia"/>
      </w:rPr>
    </w:lvl>
  </w:abstractNum>
  <w:abstractNum w:abstractNumId="8">
    <w:nsid w:val="4FF2B577"/>
    <w:multiLevelType w:val="singleLevel"/>
    <w:tmpl w:val="4FF2B577"/>
    <w:lvl w:ilvl="0" w:tentative="0">
      <w:start w:val="2"/>
      <w:numFmt w:val="chineseCounting"/>
      <w:suff w:val="nothing"/>
      <w:lvlText w:val="%1、"/>
      <w:lvlJc w:val="left"/>
      <w:rPr>
        <w:rFonts w:hint="eastAsia"/>
      </w:rPr>
    </w:lvl>
  </w:abstractNum>
  <w:abstractNum w:abstractNumId="9">
    <w:nsid w:val="5AA8DCB0"/>
    <w:multiLevelType w:val="singleLevel"/>
    <w:tmpl w:val="5AA8DCB0"/>
    <w:lvl w:ilvl="0" w:tentative="0">
      <w:start w:val="1"/>
      <w:numFmt w:val="decimal"/>
      <w:suff w:val="nothing"/>
      <w:lvlText w:val="%1、"/>
      <w:lvlJc w:val="left"/>
    </w:lvl>
  </w:abstractNum>
  <w:abstractNum w:abstractNumId="10">
    <w:nsid w:val="6CEA2025"/>
    <w:multiLevelType w:val="multilevel"/>
    <w:tmpl w:val="6CEA2025"/>
    <w:lvl w:ilvl="0" w:tentative="0">
      <w:start w:val="1"/>
      <w:numFmt w:val="none"/>
      <w:pStyle w:val="243"/>
      <w:suff w:val="nothing"/>
      <w:lvlText w:val="%1"/>
      <w:lvlJc w:val="left"/>
      <w:pPr>
        <w:ind w:left="0" w:firstLine="0"/>
      </w:pPr>
      <w:rPr>
        <w:rFonts w:hint="default" w:ascii="Times New Roman" w:hAnsi="Times New Roman"/>
        <w:b/>
        <w:i w:val="0"/>
        <w:sz w:val="21"/>
      </w:rPr>
    </w:lvl>
    <w:lvl w:ilvl="1" w:tentative="0">
      <w:start w:val="1"/>
      <w:numFmt w:val="decimal"/>
      <w:pStyle w:val="244"/>
      <w:suff w:val="nothing"/>
      <w:lvlText w:val="%1%2　"/>
      <w:lvlJc w:val="left"/>
      <w:pPr>
        <w:ind w:left="315" w:firstLine="0"/>
      </w:pPr>
      <w:rPr>
        <w:rFonts w:hint="eastAsia" w:ascii="黑体" w:hAnsi="Times New Roman" w:eastAsia="黑体"/>
        <w:b w:val="0"/>
        <w:i w:val="0"/>
        <w:sz w:val="21"/>
      </w:rPr>
    </w:lvl>
    <w:lvl w:ilvl="2" w:tentative="0">
      <w:start w:val="1"/>
      <w:numFmt w:val="decimal"/>
      <w:pStyle w:val="245"/>
      <w:suff w:val="nothing"/>
      <w:lvlText w:val="%1%2.%3　"/>
      <w:lvlJc w:val="left"/>
      <w:pPr>
        <w:ind w:left="630" w:firstLine="0"/>
      </w:pPr>
      <w:rPr>
        <w:rFonts w:hint="eastAsia" w:ascii="黑体" w:hAnsi="Times New Roman" w:eastAsia="黑体"/>
        <w:b w:val="0"/>
        <w:i w:val="0"/>
        <w:sz w:val="21"/>
      </w:rPr>
    </w:lvl>
    <w:lvl w:ilvl="3" w:tentative="0">
      <w:start w:val="1"/>
      <w:numFmt w:val="decimal"/>
      <w:pStyle w:val="246"/>
      <w:suff w:val="nothing"/>
      <w:lvlText w:val="%1%2.%3.%4　"/>
      <w:lvlJc w:val="left"/>
      <w:pPr>
        <w:ind w:left="567" w:firstLine="0"/>
      </w:pPr>
      <w:rPr>
        <w:rFonts w:hint="eastAsia" w:ascii="黑体" w:hAnsi="Times New Roman" w:eastAsia="黑体"/>
        <w:b w:val="0"/>
        <w:i w:val="0"/>
        <w:sz w:val="21"/>
      </w:rPr>
    </w:lvl>
    <w:lvl w:ilvl="4" w:tentative="0">
      <w:start w:val="1"/>
      <w:numFmt w:val="decimal"/>
      <w:pStyle w:val="248"/>
      <w:suff w:val="nothing"/>
      <w:lvlText w:val="%1%2.%3.%4.%5　"/>
      <w:lvlJc w:val="left"/>
      <w:pPr>
        <w:ind w:left="1050" w:firstLine="0"/>
      </w:pPr>
      <w:rPr>
        <w:rFonts w:hint="eastAsia" w:ascii="黑体" w:hAnsi="Times New Roman" w:eastAsia="黑体"/>
        <w:b w:val="0"/>
        <w:i w:val="0"/>
        <w:sz w:val="21"/>
        <w:szCs w:val="21"/>
      </w:rPr>
    </w:lvl>
    <w:lvl w:ilvl="5" w:tentative="0">
      <w:start w:val="1"/>
      <w:numFmt w:val="decimal"/>
      <w:pStyle w:val="249"/>
      <w:suff w:val="nothing"/>
      <w:lvlText w:val="%1%2.%3.%4.%5.%6　"/>
      <w:lvlJc w:val="left"/>
      <w:pPr>
        <w:ind w:left="0" w:firstLine="0"/>
      </w:pPr>
      <w:rPr>
        <w:rFonts w:hint="eastAsia" w:ascii="黑体" w:hAnsi="Times New Roman" w:eastAsia="黑体"/>
        <w:b w:val="0"/>
        <w:i w:val="0"/>
        <w:sz w:val="21"/>
      </w:rPr>
    </w:lvl>
    <w:lvl w:ilvl="6" w:tentative="0">
      <w:start w:val="1"/>
      <w:numFmt w:val="decimal"/>
      <w:pStyle w:val="25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76933334"/>
    <w:multiLevelType w:val="multilevel"/>
    <w:tmpl w:val="76933334"/>
    <w:lvl w:ilvl="0" w:tentative="0">
      <w:start w:val="1"/>
      <w:numFmt w:val="none"/>
      <w:pStyle w:val="247"/>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10"/>
  </w:num>
  <w:num w:numId="4">
    <w:abstractNumId w:val="11"/>
  </w:num>
  <w:num w:numId="5">
    <w:abstractNumId w:val="1"/>
  </w:num>
  <w:num w:numId="6">
    <w:abstractNumId w:val="5"/>
  </w:num>
  <w:num w:numId="7">
    <w:abstractNumId w:val="8"/>
  </w:num>
  <w:num w:numId="8">
    <w:abstractNumId w:val="0"/>
  </w:num>
  <w:num w:numId="9">
    <w:abstractNumId w:val="7"/>
  </w:num>
  <w:num w:numId="10">
    <w:abstractNumId w:val="2"/>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NDY3OTkyMDBlMTcyNGE1MjY2ODg1YmVlODhiMjMifQ=="/>
  </w:docVars>
  <w:rsids>
    <w:rsidRoot w:val="00172A27"/>
    <w:rsid w:val="000076EB"/>
    <w:rsid w:val="00011C69"/>
    <w:rsid w:val="00017F4A"/>
    <w:rsid w:val="0003167F"/>
    <w:rsid w:val="00035C01"/>
    <w:rsid w:val="000360A4"/>
    <w:rsid w:val="000432ED"/>
    <w:rsid w:val="00043EA6"/>
    <w:rsid w:val="00044EF2"/>
    <w:rsid w:val="00047D64"/>
    <w:rsid w:val="00051DDB"/>
    <w:rsid w:val="000524DF"/>
    <w:rsid w:val="00060BDF"/>
    <w:rsid w:val="000616A5"/>
    <w:rsid w:val="00065875"/>
    <w:rsid w:val="000739EC"/>
    <w:rsid w:val="00082842"/>
    <w:rsid w:val="000864F6"/>
    <w:rsid w:val="00090E0B"/>
    <w:rsid w:val="00091EC9"/>
    <w:rsid w:val="0009361A"/>
    <w:rsid w:val="00093935"/>
    <w:rsid w:val="00096144"/>
    <w:rsid w:val="0009799D"/>
    <w:rsid w:val="000A4FE6"/>
    <w:rsid w:val="000B5CCC"/>
    <w:rsid w:val="000C0FA0"/>
    <w:rsid w:val="000C135C"/>
    <w:rsid w:val="000C3906"/>
    <w:rsid w:val="000C5BB6"/>
    <w:rsid w:val="000D231B"/>
    <w:rsid w:val="000D4A95"/>
    <w:rsid w:val="000D6BDC"/>
    <w:rsid w:val="000E05A1"/>
    <w:rsid w:val="000E1212"/>
    <w:rsid w:val="000E2D10"/>
    <w:rsid w:val="000E2D1B"/>
    <w:rsid w:val="000E5101"/>
    <w:rsid w:val="000E638B"/>
    <w:rsid w:val="000F3A5B"/>
    <w:rsid w:val="001019AA"/>
    <w:rsid w:val="001027AD"/>
    <w:rsid w:val="00106BC6"/>
    <w:rsid w:val="00112F6D"/>
    <w:rsid w:val="0011313B"/>
    <w:rsid w:val="00125861"/>
    <w:rsid w:val="0012603F"/>
    <w:rsid w:val="00130EAA"/>
    <w:rsid w:val="00133E04"/>
    <w:rsid w:val="00136E83"/>
    <w:rsid w:val="001453AD"/>
    <w:rsid w:val="00145E81"/>
    <w:rsid w:val="001500A1"/>
    <w:rsid w:val="0015108F"/>
    <w:rsid w:val="001618BA"/>
    <w:rsid w:val="00161AA3"/>
    <w:rsid w:val="00162B16"/>
    <w:rsid w:val="001633CE"/>
    <w:rsid w:val="00163C58"/>
    <w:rsid w:val="00167244"/>
    <w:rsid w:val="001716B7"/>
    <w:rsid w:val="00172A27"/>
    <w:rsid w:val="00175AAF"/>
    <w:rsid w:val="00183796"/>
    <w:rsid w:val="00185079"/>
    <w:rsid w:val="00187220"/>
    <w:rsid w:val="00194AEF"/>
    <w:rsid w:val="0019589D"/>
    <w:rsid w:val="001A2985"/>
    <w:rsid w:val="001B1FDC"/>
    <w:rsid w:val="001B2823"/>
    <w:rsid w:val="001B388E"/>
    <w:rsid w:val="001B3B0E"/>
    <w:rsid w:val="001B5B52"/>
    <w:rsid w:val="001B6E58"/>
    <w:rsid w:val="001B7144"/>
    <w:rsid w:val="001B7FBA"/>
    <w:rsid w:val="001C1032"/>
    <w:rsid w:val="001C180D"/>
    <w:rsid w:val="001C38FF"/>
    <w:rsid w:val="001C3B26"/>
    <w:rsid w:val="001D01A5"/>
    <w:rsid w:val="001D0DA4"/>
    <w:rsid w:val="001D4132"/>
    <w:rsid w:val="001D5265"/>
    <w:rsid w:val="001D5293"/>
    <w:rsid w:val="001D5FDA"/>
    <w:rsid w:val="001E0BCB"/>
    <w:rsid w:val="001E1081"/>
    <w:rsid w:val="001E13CC"/>
    <w:rsid w:val="001E5ACA"/>
    <w:rsid w:val="001F2DA3"/>
    <w:rsid w:val="001F642F"/>
    <w:rsid w:val="00200AA2"/>
    <w:rsid w:val="0021263B"/>
    <w:rsid w:val="0021351E"/>
    <w:rsid w:val="002156D3"/>
    <w:rsid w:val="00220DD5"/>
    <w:rsid w:val="00222276"/>
    <w:rsid w:val="0022779B"/>
    <w:rsid w:val="00237812"/>
    <w:rsid w:val="00246479"/>
    <w:rsid w:val="00247D31"/>
    <w:rsid w:val="002527EC"/>
    <w:rsid w:val="0026051F"/>
    <w:rsid w:val="00262E9E"/>
    <w:rsid w:val="00262F11"/>
    <w:rsid w:val="0026552B"/>
    <w:rsid w:val="0027169F"/>
    <w:rsid w:val="002716E6"/>
    <w:rsid w:val="00272302"/>
    <w:rsid w:val="0027314A"/>
    <w:rsid w:val="00276156"/>
    <w:rsid w:val="0028153C"/>
    <w:rsid w:val="0028435C"/>
    <w:rsid w:val="00290692"/>
    <w:rsid w:val="00290B93"/>
    <w:rsid w:val="00291C75"/>
    <w:rsid w:val="00293DE8"/>
    <w:rsid w:val="0029438A"/>
    <w:rsid w:val="00294F2B"/>
    <w:rsid w:val="002957B2"/>
    <w:rsid w:val="002A5A2C"/>
    <w:rsid w:val="002B1655"/>
    <w:rsid w:val="002B1779"/>
    <w:rsid w:val="002B1CDB"/>
    <w:rsid w:val="002B28F2"/>
    <w:rsid w:val="002B4680"/>
    <w:rsid w:val="002B46E7"/>
    <w:rsid w:val="002B5FA1"/>
    <w:rsid w:val="002B646E"/>
    <w:rsid w:val="002B68F2"/>
    <w:rsid w:val="002C20D3"/>
    <w:rsid w:val="002C4263"/>
    <w:rsid w:val="002D1DB2"/>
    <w:rsid w:val="002D224B"/>
    <w:rsid w:val="002E053E"/>
    <w:rsid w:val="002E321E"/>
    <w:rsid w:val="002E5A17"/>
    <w:rsid w:val="002E601A"/>
    <w:rsid w:val="002F0350"/>
    <w:rsid w:val="002F1770"/>
    <w:rsid w:val="002F2F49"/>
    <w:rsid w:val="002F2FB6"/>
    <w:rsid w:val="002F5F72"/>
    <w:rsid w:val="002F6981"/>
    <w:rsid w:val="00304929"/>
    <w:rsid w:val="0031380D"/>
    <w:rsid w:val="0031543B"/>
    <w:rsid w:val="00326D08"/>
    <w:rsid w:val="00331549"/>
    <w:rsid w:val="00334EF7"/>
    <w:rsid w:val="00344B0C"/>
    <w:rsid w:val="00355C44"/>
    <w:rsid w:val="00356C5D"/>
    <w:rsid w:val="00364824"/>
    <w:rsid w:val="003701FE"/>
    <w:rsid w:val="0037250B"/>
    <w:rsid w:val="00373E63"/>
    <w:rsid w:val="0037458F"/>
    <w:rsid w:val="003778AA"/>
    <w:rsid w:val="003803CD"/>
    <w:rsid w:val="00387748"/>
    <w:rsid w:val="0039011E"/>
    <w:rsid w:val="00394350"/>
    <w:rsid w:val="003A02D7"/>
    <w:rsid w:val="003A0A59"/>
    <w:rsid w:val="003C5F20"/>
    <w:rsid w:val="003D08D2"/>
    <w:rsid w:val="003D1432"/>
    <w:rsid w:val="003D378B"/>
    <w:rsid w:val="003D4142"/>
    <w:rsid w:val="003D43B2"/>
    <w:rsid w:val="003D6CC0"/>
    <w:rsid w:val="003E0455"/>
    <w:rsid w:val="003E6091"/>
    <w:rsid w:val="003E6268"/>
    <w:rsid w:val="003F1C98"/>
    <w:rsid w:val="003F77DF"/>
    <w:rsid w:val="00400609"/>
    <w:rsid w:val="0040248E"/>
    <w:rsid w:val="00402745"/>
    <w:rsid w:val="0040289E"/>
    <w:rsid w:val="00410849"/>
    <w:rsid w:val="00417EFA"/>
    <w:rsid w:val="00420C92"/>
    <w:rsid w:val="004247BB"/>
    <w:rsid w:val="00424F7F"/>
    <w:rsid w:val="00424FDA"/>
    <w:rsid w:val="00424FED"/>
    <w:rsid w:val="00425851"/>
    <w:rsid w:val="00425E9F"/>
    <w:rsid w:val="00427494"/>
    <w:rsid w:val="00441E37"/>
    <w:rsid w:val="00442A84"/>
    <w:rsid w:val="00443C15"/>
    <w:rsid w:val="00446B8E"/>
    <w:rsid w:val="00461A6B"/>
    <w:rsid w:val="004804AC"/>
    <w:rsid w:val="00482E4B"/>
    <w:rsid w:val="00482FF9"/>
    <w:rsid w:val="00494A82"/>
    <w:rsid w:val="004A0A68"/>
    <w:rsid w:val="004A45E2"/>
    <w:rsid w:val="004A4BC1"/>
    <w:rsid w:val="004A6CB2"/>
    <w:rsid w:val="004B012C"/>
    <w:rsid w:val="004B4658"/>
    <w:rsid w:val="004B498E"/>
    <w:rsid w:val="004B521A"/>
    <w:rsid w:val="004B631E"/>
    <w:rsid w:val="004C2993"/>
    <w:rsid w:val="004C3485"/>
    <w:rsid w:val="004D3A80"/>
    <w:rsid w:val="004D5228"/>
    <w:rsid w:val="004E0461"/>
    <w:rsid w:val="004E069A"/>
    <w:rsid w:val="004E70A4"/>
    <w:rsid w:val="004F1D8F"/>
    <w:rsid w:val="004F2D89"/>
    <w:rsid w:val="004F4B90"/>
    <w:rsid w:val="004F529C"/>
    <w:rsid w:val="0050046A"/>
    <w:rsid w:val="00504DD9"/>
    <w:rsid w:val="005118AC"/>
    <w:rsid w:val="005120B4"/>
    <w:rsid w:val="00520A9F"/>
    <w:rsid w:val="00521994"/>
    <w:rsid w:val="00531619"/>
    <w:rsid w:val="00533DBA"/>
    <w:rsid w:val="005349DD"/>
    <w:rsid w:val="0053640F"/>
    <w:rsid w:val="00543323"/>
    <w:rsid w:val="00553423"/>
    <w:rsid w:val="00562554"/>
    <w:rsid w:val="00562743"/>
    <w:rsid w:val="00562C82"/>
    <w:rsid w:val="005670E6"/>
    <w:rsid w:val="00572DA7"/>
    <w:rsid w:val="00573153"/>
    <w:rsid w:val="00573C62"/>
    <w:rsid w:val="0058486C"/>
    <w:rsid w:val="00594BFB"/>
    <w:rsid w:val="005A3176"/>
    <w:rsid w:val="005A3911"/>
    <w:rsid w:val="005B0EE1"/>
    <w:rsid w:val="005B4961"/>
    <w:rsid w:val="005C03B9"/>
    <w:rsid w:val="005C1347"/>
    <w:rsid w:val="005C2FC9"/>
    <w:rsid w:val="005C32D0"/>
    <w:rsid w:val="005C75CD"/>
    <w:rsid w:val="005D0DAD"/>
    <w:rsid w:val="005D3236"/>
    <w:rsid w:val="005D626C"/>
    <w:rsid w:val="005E226F"/>
    <w:rsid w:val="005E62A2"/>
    <w:rsid w:val="005E725B"/>
    <w:rsid w:val="005F2153"/>
    <w:rsid w:val="005F5F4A"/>
    <w:rsid w:val="005F65DF"/>
    <w:rsid w:val="005F7683"/>
    <w:rsid w:val="00620FBC"/>
    <w:rsid w:val="0062765A"/>
    <w:rsid w:val="0063060A"/>
    <w:rsid w:val="00630C0C"/>
    <w:rsid w:val="00643C14"/>
    <w:rsid w:val="006509BB"/>
    <w:rsid w:val="00652D29"/>
    <w:rsid w:val="00653BD0"/>
    <w:rsid w:val="006540C4"/>
    <w:rsid w:val="0065448D"/>
    <w:rsid w:val="0065724B"/>
    <w:rsid w:val="00660AD9"/>
    <w:rsid w:val="00661C43"/>
    <w:rsid w:val="0066575C"/>
    <w:rsid w:val="00670409"/>
    <w:rsid w:val="0067503A"/>
    <w:rsid w:val="00682569"/>
    <w:rsid w:val="00684CC0"/>
    <w:rsid w:val="00685847"/>
    <w:rsid w:val="00691990"/>
    <w:rsid w:val="00694AD5"/>
    <w:rsid w:val="006A414E"/>
    <w:rsid w:val="006A5F7C"/>
    <w:rsid w:val="006A6858"/>
    <w:rsid w:val="006A7003"/>
    <w:rsid w:val="006B00F6"/>
    <w:rsid w:val="006B5C60"/>
    <w:rsid w:val="006C0DD3"/>
    <w:rsid w:val="006C3F78"/>
    <w:rsid w:val="006C6120"/>
    <w:rsid w:val="006C7DB2"/>
    <w:rsid w:val="006D02B6"/>
    <w:rsid w:val="006D2517"/>
    <w:rsid w:val="006D5FD5"/>
    <w:rsid w:val="006D6999"/>
    <w:rsid w:val="006E4B98"/>
    <w:rsid w:val="006E4E35"/>
    <w:rsid w:val="006E6E80"/>
    <w:rsid w:val="006F18A3"/>
    <w:rsid w:val="006F1B11"/>
    <w:rsid w:val="006F70E2"/>
    <w:rsid w:val="006F72F9"/>
    <w:rsid w:val="006F7DCD"/>
    <w:rsid w:val="0070043D"/>
    <w:rsid w:val="00705212"/>
    <w:rsid w:val="007079A5"/>
    <w:rsid w:val="007108A1"/>
    <w:rsid w:val="00711EA4"/>
    <w:rsid w:val="00716957"/>
    <w:rsid w:val="00720269"/>
    <w:rsid w:val="007219AF"/>
    <w:rsid w:val="007247E7"/>
    <w:rsid w:val="00724A04"/>
    <w:rsid w:val="00732A7D"/>
    <w:rsid w:val="00734C54"/>
    <w:rsid w:val="00735AA2"/>
    <w:rsid w:val="00735EA4"/>
    <w:rsid w:val="00740059"/>
    <w:rsid w:val="00744A89"/>
    <w:rsid w:val="00745687"/>
    <w:rsid w:val="00746609"/>
    <w:rsid w:val="00747962"/>
    <w:rsid w:val="00751324"/>
    <w:rsid w:val="00752C78"/>
    <w:rsid w:val="0075406B"/>
    <w:rsid w:val="00757FD1"/>
    <w:rsid w:val="007603C6"/>
    <w:rsid w:val="00762641"/>
    <w:rsid w:val="00767EB5"/>
    <w:rsid w:val="0077123A"/>
    <w:rsid w:val="0077203C"/>
    <w:rsid w:val="007741C4"/>
    <w:rsid w:val="00774AD8"/>
    <w:rsid w:val="00777D36"/>
    <w:rsid w:val="007847E9"/>
    <w:rsid w:val="00787F49"/>
    <w:rsid w:val="00790A08"/>
    <w:rsid w:val="00797C0F"/>
    <w:rsid w:val="007A5B87"/>
    <w:rsid w:val="007B3285"/>
    <w:rsid w:val="007B5519"/>
    <w:rsid w:val="007C4C08"/>
    <w:rsid w:val="007C6A3F"/>
    <w:rsid w:val="007D2F26"/>
    <w:rsid w:val="007E1E5B"/>
    <w:rsid w:val="007E5F14"/>
    <w:rsid w:val="007E71F5"/>
    <w:rsid w:val="007E73B0"/>
    <w:rsid w:val="00801DEF"/>
    <w:rsid w:val="008031F1"/>
    <w:rsid w:val="00804A4E"/>
    <w:rsid w:val="00807872"/>
    <w:rsid w:val="00810B3D"/>
    <w:rsid w:val="00817CCC"/>
    <w:rsid w:val="00826B74"/>
    <w:rsid w:val="00831006"/>
    <w:rsid w:val="0084595F"/>
    <w:rsid w:val="00855B04"/>
    <w:rsid w:val="0086018E"/>
    <w:rsid w:val="00865539"/>
    <w:rsid w:val="00872B82"/>
    <w:rsid w:val="00874426"/>
    <w:rsid w:val="008761AB"/>
    <w:rsid w:val="008767BB"/>
    <w:rsid w:val="00881621"/>
    <w:rsid w:val="008855E4"/>
    <w:rsid w:val="008861AE"/>
    <w:rsid w:val="00893D97"/>
    <w:rsid w:val="008A21B3"/>
    <w:rsid w:val="008A594E"/>
    <w:rsid w:val="008B1F3E"/>
    <w:rsid w:val="008B4671"/>
    <w:rsid w:val="008B5987"/>
    <w:rsid w:val="008B5C32"/>
    <w:rsid w:val="008B7216"/>
    <w:rsid w:val="008C000B"/>
    <w:rsid w:val="008C3554"/>
    <w:rsid w:val="008C4E5C"/>
    <w:rsid w:val="008C5D5C"/>
    <w:rsid w:val="008E64B8"/>
    <w:rsid w:val="008F2A45"/>
    <w:rsid w:val="008F42F1"/>
    <w:rsid w:val="008F45D0"/>
    <w:rsid w:val="008F79E3"/>
    <w:rsid w:val="00902DE7"/>
    <w:rsid w:val="009049D8"/>
    <w:rsid w:val="00904AE8"/>
    <w:rsid w:val="00912229"/>
    <w:rsid w:val="00921008"/>
    <w:rsid w:val="00921EB2"/>
    <w:rsid w:val="009238F5"/>
    <w:rsid w:val="0093690A"/>
    <w:rsid w:val="00947390"/>
    <w:rsid w:val="0095414E"/>
    <w:rsid w:val="00954420"/>
    <w:rsid w:val="00957118"/>
    <w:rsid w:val="00961697"/>
    <w:rsid w:val="00972AD9"/>
    <w:rsid w:val="00972D74"/>
    <w:rsid w:val="00976425"/>
    <w:rsid w:val="009808B4"/>
    <w:rsid w:val="009864F9"/>
    <w:rsid w:val="0099054D"/>
    <w:rsid w:val="00992349"/>
    <w:rsid w:val="00992A65"/>
    <w:rsid w:val="009954FA"/>
    <w:rsid w:val="009A00B0"/>
    <w:rsid w:val="009B42B8"/>
    <w:rsid w:val="009B5AAB"/>
    <w:rsid w:val="009B5D0A"/>
    <w:rsid w:val="009B5E2B"/>
    <w:rsid w:val="009C08A6"/>
    <w:rsid w:val="009C0994"/>
    <w:rsid w:val="009C25E7"/>
    <w:rsid w:val="009C339F"/>
    <w:rsid w:val="009C7C3E"/>
    <w:rsid w:val="009D1A82"/>
    <w:rsid w:val="009D1BC2"/>
    <w:rsid w:val="009D4E57"/>
    <w:rsid w:val="009E695E"/>
    <w:rsid w:val="009F56F2"/>
    <w:rsid w:val="00A02B60"/>
    <w:rsid w:val="00A1373A"/>
    <w:rsid w:val="00A13B44"/>
    <w:rsid w:val="00A26715"/>
    <w:rsid w:val="00A30D88"/>
    <w:rsid w:val="00A32E49"/>
    <w:rsid w:val="00A32FE3"/>
    <w:rsid w:val="00A34F06"/>
    <w:rsid w:val="00A36EA1"/>
    <w:rsid w:val="00A37966"/>
    <w:rsid w:val="00A41B58"/>
    <w:rsid w:val="00A4310B"/>
    <w:rsid w:val="00A45ECA"/>
    <w:rsid w:val="00A52C70"/>
    <w:rsid w:val="00A60B1F"/>
    <w:rsid w:val="00A62048"/>
    <w:rsid w:val="00A627F3"/>
    <w:rsid w:val="00A77387"/>
    <w:rsid w:val="00A80309"/>
    <w:rsid w:val="00A80EE8"/>
    <w:rsid w:val="00A85050"/>
    <w:rsid w:val="00A85AED"/>
    <w:rsid w:val="00A91861"/>
    <w:rsid w:val="00AA24F4"/>
    <w:rsid w:val="00AB0C96"/>
    <w:rsid w:val="00AB5D9E"/>
    <w:rsid w:val="00AB762D"/>
    <w:rsid w:val="00AB7CB0"/>
    <w:rsid w:val="00AC5388"/>
    <w:rsid w:val="00AF0FAA"/>
    <w:rsid w:val="00AF1C97"/>
    <w:rsid w:val="00AF28CD"/>
    <w:rsid w:val="00AF7370"/>
    <w:rsid w:val="00B02899"/>
    <w:rsid w:val="00B02F52"/>
    <w:rsid w:val="00B15DFE"/>
    <w:rsid w:val="00B168B4"/>
    <w:rsid w:val="00B20110"/>
    <w:rsid w:val="00B21407"/>
    <w:rsid w:val="00B217CA"/>
    <w:rsid w:val="00B310FE"/>
    <w:rsid w:val="00B31F50"/>
    <w:rsid w:val="00B32474"/>
    <w:rsid w:val="00B335B1"/>
    <w:rsid w:val="00B35514"/>
    <w:rsid w:val="00B36EA2"/>
    <w:rsid w:val="00B3729D"/>
    <w:rsid w:val="00B46D0B"/>
    <w:rsid w:val="00B5212F"/>
    <w:rsid w:val="00B52AF4"/>
    <w:rsid w:val="00B537AA"/>
    <w:rsid w:val="00B56FF2"/>
    <w:rsid w:val="00B67E01"/>
    <w:rsid w:val="00B74282"/>
    <w:rsid w:val="00B8179D"/>
    <w:rsid w:val="00B84903"/>
    <w:rsid w:val="00B92025"/>
    <w:rsid w:val="00B967ED"/>
    <w:rsid w:val="00BA17CC"/>
    <w:rsid w:val="00BA7CA7"/>
    <w:rsid w:val="00BA7DCB"/>
    <w:rsid w:val="00BA7EA5"/>
    <w:rsid w:val="00BC231E"/>
    <w:rsid w:val="00BC5F50"/>
    <w:rsid w:val="00BD2C47"/>
    <w:rsid w:val="00BD4D76"/>
    <w:rsid w:val="00BD4E36"/>
    <w:rsid w:val="00BD763B"/>
    <w:rsid w:val="00BE0BD0"/>
    <w:rsid w:val="00BE0C40"/>
    <w:rsid w:val="00BE14FD"/>
    <w:rsid w:val="00BE4C8A"/>
    <w:rsid w:val="00BF0D2D"/>
    <w:rsid w:val="00BF233E"/>
    <w:rsid w:val="00BF3315"/>
    <w:rsid w:val="00BF49CB"/>
    <w:rsid w:val="00BF6944"/>
    <w:rsid w:val="00C00D16"/>
    <w:rsid w:val="00C0361D"/>
    <w:rsid w:val="00C05BD3"/>
    <w:rsid w:val="00C06780"/>
    <w:rsid w:val="00C06B71"/>
    <w:rsid w:val="00C12DE3"/>
    <w:rsid w:val="00C17134"/>
    <w:rsid w:val="00C22317"/>
    <w:rsid w:val="00C224CF"/>
    <w:rsid w:val="00C34B36"/>
    <w:rsid w:val="00C37A01"/>
    <w:rsid w:val="00C5104C"/>
    <w:rsid w:val="00C528D4"/>
    <w:rsid w:val="00C53775"/>
    <w:rsid w:val="00C57033"/>
    <w:rsid w:val="00C6149A"/>
    <w:rsid w:val="00C61A4D"/>
    <w:rsid w:val="00C63FF4"/>
    <w:rsid w:val="00C650C0"/>
    <w:rsid w:val="00C72612"/>
    <w:rsid w:val="00C8732F"/>
    <w:rsid w:val="00C94EED"/>
    <w:rsid w:val="00C9738A"/>
    <w:rsid w:val="00CA5206"/>
    <w:rsid w:val="00CA6B7F"/>
    <w:rsid w:val="00CB450A"/>
    <w:rsid w:val="00CB5439"/>
    <w:rsid w:val="00CB689E"/>
    <w:rsid w:val="00CC0844"/>
    <w:rsid w:val="00CC0E95"/>
    <w:rsid w:val="00CC2D24"/>
    <w:rsid w:val="00CC3041"/>
    <w:rsid w:val="00CC4CF7"/>
    <w:rsid w:val="00CC61BE"/>
    <w:rsid w:val="00CD26A8"/>
    <w:rsid w:val="00CD3EB4"/>
    <w:rsid w:val="00CD68B8"/>
    <w:rsid w:val="00CE1EC9"/>
    <w:rsid w:val="00CE768C"/>
    <w:rsid w:val="00CF48E8"/>
    <w:rsid w:val="00D00C56"/>
    <w:rsid w:val="00D01379"/>
    <w:rsid w:val="00D0569E"/>
    <w:rsid w:val="00D30536"/>
    <w:rsid w:val="00D325EA"/>
    <w:rsid w:val="00D3565A"/>
    <w:rsid w:val="00D41306"/>
    <w:rsid w:val="00D42B17"/>
    <w:rsid w:val="00D45F64"/>
    <w:rsid w:val="00D47BB6"/>
    <w:rsid w:val="00D506F5"/>
    <w:rsid w:val="00D51A3F"/>
    <w:rsid w:val="00D54273"/>
    <w:rsid w:val="00D55ADC"/>
    <w:rsid w:val="00D62DF1"/>
    <w:rsid w:val="00D667BC"/>
    <w:rsid w:val="00D67830"/>
    <w:rsid w:val="00D71514"/>
    <w:rsid w:val="00D72228"/>
    <w:rsid w:val="00D72BB3"/>
    <w:rsid w:val="00D761EE"/>
    <w:rsid w:val="00D829AD"/>
    <w:rsid w:val="00D82F39"/>
    <w:rsid w:val="00D83EE7"/>
    <w:rsid w:val="00D852B7"/>
    <w:rsid w:val="00D860F4"/>
    <w:rsid w:val="00D8765D"/>
    <w:rsid w:val="00D91269"/>
    <w:rsid w:val="00D92486"/>
    <w:rsid w:val="00DA178E"/>
    <w:rsid w:val="00DA1939"/>
    <w:rsid w:val="00DA6A22"/>
    <w:rsid w:val="00DA76CB"/>
    <w:rsid w:val="00DC0934"/>
    <w:rsid w:val="00DD0B65"/>
    <w:rsid w:val="00DD10CD"/>
    <w:rsid w:val="00DE4818"/>
    <w:rsid w:val="00DF2F86"/>
    <w:rsid w:val="00DF780E"/>
    <w:rsid w:val="00E04115"/>
    <w:rsid w:val="00E050B7"/>
    <w:rsid w:val="00E05A25"/>
    <w:rsid w:val="00E06BE5"/>
    <w:rsid w:val="00E114E0"/>
    <w:rsid w:val="00E127EE"/>
    <w:rsid w:val="00E15234"/>
    <w:rsid w:val="00E1663B"/>
    <w:rsid w:val="00E26CB6"/>
    <w:rsid w:val="00E32C0B"/>
    <w:rsid w:val="00E33989"/>
    <w:rsid w:val="00E3785E"/>
    <w:rsid w:val="00E41A7C"/>
    <w:rsid w:val="00E42196"/>
    <w:rsid w:val="00E43AA8"/>
    <w:rsid w:val="00E547C7"/>
    <w:rsid w:val="00E6011D"/>
    <w:rsid w:val="00E66313"/>
    <w:rsid w:val="00E71EEB"/>
    <w:rsid w:val="00E80D1E"/>
    <w:rsid w:val="00E81B72"/>
    <w:rsid w:val="00E8549F"/>
    <w:rsid w:val="00E90FA3"/>
    <w:rsid w:val="00E950EE"/>
    <w:rsid w:val="00EB17A4"/>
    <w:rsid w:val="00EB3115"/>
    <w:rsid w:val="00EB3225"/>
    <w:rsid w:val="00EB330A"/>
    <w:rsid w:val="00EB556C"/>
    <w:rsid w:val="00EB75AB"/>
    <w:rsid w:val="00EC4AB3"/>
    <w:rsid w:val="00EC603D"/>
    <w:rsid w:val="00ED12D4"/>
    <w:rsid w:val="00ED4E89"/>
    <w:rsid w:val="00EE20B7"/>
    <w:rsid w:val="00EF05FB"/>
    <w:rsid w:val="00F00998"/>
    <w:rsid w:val="00F06D26"/>
    <w:rsid w:val="00F23C37"/>
    <w:rsid w:val="00F2464A"/>
    <w:rsid w:val="00F25E73"/>
    <w:rsid w:val="00F31692"/>
    <w:rsid w:val="00F33A63"/>
    <w:rsid w:val="00F35625"/>
    <w:rsid w:val="00F41DAF"/>
    <w:rsid w:val="00F51E77"/>
    <w:rsid w:val="00F52B8C"/>
    <w:rsid w:val="00F67C33"/>
    <w:rsid w:val="00F7008C"/>
    <w:rsid w:val="00F74506"/>
    <w:rsid w:val="00F81A9D"/>
    <w:rsid w:val="00F83C5D"/>
    <w:rsid w:val="00F854CB"/>
    <w:rsid w:val="00F92E18"/>
    <w:rsid w:val="00F95CCB"/>
    <w:rsid w:val="00FA1D2C"/>
    <w:rsid w:val="00FA1F1A"/>
    <w:rsid w:val="00FA2227"/>
    <w:rsid w:val="00FA2237"/>
    <w:rsid w:val="00FA2C5D"/>
    <w:rsid w:val="00FA5FF9"/>
    <w:rsid w:val="00FB4964"/>
    <w:rsid w:val="00FB49E3"/>
    <w:rsid w:val="00FB7DA7"/>
    <w:rsid w:val="00FC2897"/>
    <w:rsid w:val="00FC7E4E"/>
    <w:rsid w:val="00FD2F77"/>
    <w:rsid w:val="00FD2F93"/>
    <w:rsid w:val="00FD71F3"/>
    <w:rsid w:val="00FE038F"/>
    <w:rsid w:val="00FE336B"/>
    <w:rsid w:val="00FE7373"/>
    <w:rsid w:val="00FF1ECD"/>
    <w:rsid w:val="00FF6AE6"/>
    <w:rsid w:val="010D6029"/>
    <w:rsid w:val="012313A8"/>
    <w:rsid w:val="0127533C"/>
    <w:rsid w:val="01276CE6"/>
    <w:rsid w:val="01361677"/>
    <w:rsid w:val="013840A1"/>
    <w:rsid w:val="01390BCC"/>
    <w:rsid w:val="01391AF7"/>
    <w:rsid w:val="015232F4"/>
    <w:rsid w:val="015772A4"/>
    <w:rsid w:val="015B4FE6"/>
    <w:rsid w:val="017442FA"/>
    <w:rsid w:val="018F4C90"/>
    <w:rsid w:val="01A56820"/>
    <w:rsid w:val="01AE3368"/>
    <w:rsid w:val="01B6046E"/>
    <w:rsid w:val="01C506B1"/>
    <w:rsid w:val="01DB0F21"/>
    <w:rsid w:val="01EE19B6"/>
    <w:rsid w:val="01F36FCC"/>
    <w:rsid w:val="01F85948"/>
    <w:rsid w:val="02111B48"/>
    <w:rsid w:val="02201D8C"/>
    <w:rsid w:val="026A1507"/>
    <w:rsid w:val="027D1EDC"/>
    <w:rsid w:val="029167E5"/>
    <w:rsid w:val="02A66735"/>
    <w:rsid w:val="02AA6F17"/>
    <w:rsid w:val="02AF2A63"/>
    <w:rsid w:val="02B65AA8"/>
    <w:rsid w:val="02CF7A3A"/>
    <w:rsid w:val="02DC548F"/>
    <w:rsid w:val="02E6429D"/>
    <w:rsid w:val="02ED7EC0"/>
    <w:rsid w:val="02F76F90"/>
    <w:rsid w:val="031C6AA2"/>
    <w:rsid w:val="032E5AB3"/>
    <w:rsid w:val="03343D40"/>
    <w:rsid w:val="033E4DA4"/>
    <w:rsid w:val="033F6241"/>
    <w:rsid w:val="03443858"/>
    <w:rsid w:val="034F46D6"/>
    <w:rsid w:val="03630182"/>
    <w:rsid w:val="038A1BB2"/>
    <w:rsid w:val="038F541B"/>
    <w:rsid w:val="03905ADC"/>
    <w:rsid w:val="03BF3A35"/>
    <w:rsid w:val="03C30C20"/>
    <w:rsid w:val="03C63AB9"/>
    <w:rsid w:val="03C76963"/>
    <w:rsid w:val="03D25EE4"/>
    <w:rsid w:val="03F4702C"/>
    <w:rsid w:val="04021749"/>
    <w:rsid w:val="040E4592"/>
    <w:rsid w:val="04131CA3"/>
    <w:rsid w:val="04194CE4"/>
    <w:rsid w:val="042A6EF2"/>
    <w:rsid w:val="042C2C6A"/>
    <w:rsid w:val="042F62B6"/>
    <w:rsid w:val="043D799D"/>
    <w:rsid w:val="04506958"/>
    <w:rsid w:val="046077F9"/>
    <w:rsid w:val="04714B20"/>
    <w:rsid w:val="04754611"/>
    <w:rsid w:val="04846602"/>
    <w:rsid w:val="04874841"/>
    <w:rsid w:val="04912D46"/>
    <w:rsid w:val="04AF0DC0"/>
    <w:rsid w:val="04B769D7"/>
    <w:rsid w:val="04BF763A"/>
    <w:rsid w:val="04C1758B"/>
    <w:rsid w:val="04DC4690"/>
    <w:rsid w:val="050140F6"/>
    <w:rsid w:val="05025778"/>
    <w:rsid w:val="050D4849"/>
    <w:rsid w:val="0510665E"/>
    <w:rsid w:val="053578FC"/>
    <w:rsid w:val="05393890"/>
    <w:rsid w:val="05726DA2"/>
    <w:rsid w:val="05740424"/>
    <w:rsid w:val="0580326D"/>
    <w:rsid w:val="059B00A7"/>
    <w:rsid w:val="05A76A4C"/>
    <w:rsid w:val="05AC79A0"/>
    <w:rsid w:val="05BE1FE7"/>
    <w:rsid w:val="05C43136"/>
    <w:rsid w:val="05CA3B1B"/>
    <w:rsid w:val="05D40F8A"/>
    <w:rsid w:val="05E97CB2"/>
    <w:rsid w:val="05F23A3F"/>
    <w:rsid w:val="05FB28F4"/>
    <w:rsid w:val="05FD666C"/>
    <w:rsid w:val="06035C4C"/>
    <w:rsid w:val="060D6A3B"/>
    <w:rsid w:val="06193B1E"/>
    <w:rsid w:val="061D0ABC"/>
    <w:rsid w:val="062E0E0B"/>
    <w:rsid w:val="06383C8B"/>
    <w:rsid w:val="063876A4"/>
    <w:rsid w:val="06617FAF"/>
    <w:rsid w:val="0675163B"/>
    <w:rsid w:val="0696086E"/>
    <w:rsid w:val="06C6067E"/>
    <w:rsid w:val="06D3561E"/>
    <w:rsid w:val="06D80E87"/>
    <w:rsid w:val="06D82C35"/>
    <w:rsid w:val="06DC6419"/>
    <w:rsid w:val="06E45A7E"/>
    <w:rsid w:val="0707497A"/>
    <w:rsid w:val="070954E4"/>
    <w:rsid w:val="071579E5"/>
    <w:rsid w:val="07394A3D"/>
    <w:rsid w:val="07416329"/>
    <w:rsid w:val="07501B9E"/>
    <w:rsid w:val="07504EC1"/>
    <w:rsid w:val="07630750"/>
    <w:rsid w:val="07693EC1"/>
    <w:rsid w:val="076D5A73"/>
    <w:rsid w:val="076D7821"/>
    <w:rsid w:val="077741FC"/>
    <w:rsid w:val="078801B7"/>
    <w:rsid w:val="07A34FF1"/>
    <w:rsid w:val="07B2792A"/>
    <w:rsid w:val="07B54D24"/>
    <w:rsid w:val="07C35693"/>
    <w:rsid w:val="07CD6512"/>
    <w:rsid w:val="07E13D6B"/>
    <w:rsid w:val="08064B23"/>
    <w:rsid w:val="082A539E"/>
    <w:rsid w:val="082F2D28"/>
    <w:rsid w:val="0838785B"/>
    <w:rsid w:val="08393BA7"/>
    <w:rsid w:val="083B16CD"/>
    <w:rsid w:val="08510EF1"/>
    <w:rsid w:val="08566507"/>
    <w:rsid w:val="086F1438"/>
    <w:rsid w:val="087D0B78"/>
    <w:rsid w:val="08974827"/>
    <w:rsid w:val="08AA0601"/>
    <w:rsid w:val="08DB07BA"/>
    <w:rsid w:val="091A640F"/>
    <w:rsid w:val="0920129B"/>
    <w:rsid w:val="09336848"/>
    <w:rsid w:val="095A4C3F"/>
    <w:rsid w:val="09616F12"/>
    <w:rsid w:val="09772BD9"/>
    <w:rsid w:val="097924AD"/>
    <w:rsid w:val="09823E4D"/>
    <w:rsid w:val="098552F6"/>
    <w:rsid w:val="09880942"/>
    <w:rsid w:val="099512B1"/>
    <w:rsid w:val="099948FD"/>
    <w:rsid w:val="09CA0F5B"/>
    <w:rsid w:val="09ED481E"/>
    <w:rsid w:val="0A2763AD"/>
    <w:rsid w:val="0A4B18CE"/>
    <w:rsid w:val="0A5922DF"/>
    <w:rsid w:val="0A656ED5"/>
    <w:rsid w:val="0A717628"/>
    <w:rsid w:val="0A825391"/>
    <w:rsid w:val="0AAF0151"/>
    <w:rsid w:val="0AB021D9"/>
    <w:rsid w:val="0AB94B2B"/>
    <w:rsid w:val="0AB974EA"/>
    <w:rsid w:val="0AC01B2F"/>
    <w:rsid w:val="0AC800D5"/>
    <w:rsid w:val="0ADD6A6C"/>
    <w:rsid w:val="0AF838A6"/>
    <w:rsid w:val="0AFA19A7"/>
    <w:rsid w:val="0AFD0EBC"/>
    <w:rsid w:val="0B112BB9"/>
    <w:rsid w:val="0B181252"/>
    <w:rsid w:val="0B2428ED"/>
    <w:rsid w:val="0B2543AA"/>
    <w:rsid w:val="0B2621C1"/>
    <w:rsid w:val="0B50723E"/>
    <w:rsid w:val="0B651CEF"/>
    <w:rsid w:val="0B6B4077"/>
    <w:rsid w:val="0B772A1C"/>
    <w:rsid w:val="0B8415DD"/>
    <w:rsid w:val="0B8F1C67"/>
    <w:rsid w:val="0B903ADE"/>
    <w:rsid w:val="0BB93035"/>
    <w:rsid w:val="0BC148B9"/>
    <w:rsid w:val="0BDE0CED"/>
    <w:rsid w:val="0BF00A21"/>
    <w:rsid w:val="0C000C64"/>
    <w:rsid w:val="0C0D3381"/>
    <w:rsid w:val="0C0F534B"/>
    <w:rsid w:val="0C1464BD"/>
    <w:rsid w:val="0C1666D9"/>
    <w:rsid w:val="0C275A89"/>
    <w:rsid w:val="0C2A3F33"/>
    <w:rsid w:val="0C4C3AE9"/>
    <w:rsid w:val="0C4C4A10"/>
    <w:rsid w:val="0C5178DA"/>
    <w:rsid w:val="0C72041B"/>
    <w:rsid w:val="0C7B29E0"/>
    <w:rsid w:val="0C8573BB"/>
    <w:rsid w:val="0CBB5882"/>
    <w:rsid w:val="0CD36378"/>
    <w:rsid w:val="0CDD2D53"/>
    <w:rsid w:val="0CDF2F6F"/>
    <w:rsid w:val="0CE40585"/>
    <w:rsid w:val="0CEE6D0E"/>
    <w:rsid w:val="0CF462EF"/>
    <w:rsid w:val="0CF633CB"/>
    <w:rsid w:val="0D006A41"/>
    <w:rsid w:val="0D054058"/>
    <w:rsid w:val="0D0E5602"/>
    <w:rsid w:val="0D1A5D55"/>
    <w:rsid w:val="0D20436B"/>
    <w:rsid w:val="0D531CDF"/>
    <w:rsid w:val="0D6214AA"/>
    <w:rsid w:val="0D827973"/>
    <w:rsid w:val="0DC12675"/>
    <w:rsid w:val="0DC61A39"/>
    <w:rsid w:val="0DC65EDD"/>
    <w:rsid w:val="0DC6629D"/>
    <w:rsid w:val="0DCA3125"/>
    <w:rsid w:val="0DCE08EE"/>
    <w:rsid w:val="0DD028B8"/>
    <w:rsid w:val="0DE211A1"/>
    <w:rsid w:val="0DE93979"/>
    <w:rsid w:val="0E0E36CF"/>
    <w:rsid w:val="0E100F06"/>
    <w:rsid w:val="0E2D3866"/>
    <w:rsid w:val="0E416A77"/>
    <w:rsid w:val="0E5306B0"/>
    <w:rsid w:val="0E567261"/>
    <w:rsid w:val="0E603C3C"/>
    <w:rsid w:val="0E6059EA"/>
    <w:rsid w:val="0E7B7367"/>
    <w:rsid w:val="0E7E0566"/>
    <w:rsid w:val="0EA34036"/>
    <w:rsid w:val="0EB63F9D"/>
    <w:rsid w:val="0EC35F79"/>
    <w:rsid w:val="0EC50C13"/>
    <w:rsid w:val="0EFE5203"/>
    <w:rsid w:val="0F0770E4"/>
    <w:rsid w:val="0F0C1A90"/>
    <w:rsid w:val="0F0D3C99"/>
    <w:rsid w:val="0F130CAE"/>
    <w:rsid w:val="0F246A9F"/>
    <w:rsid w:val="0F2904D1"/>
    <w:rsid w:val="0F3A5D17"/>
    <w:rsid w:val="0F3B1FB3"/>
    <w:rsid w:val="0F46124C"/>
    <w:rsid w:val="0F4F733E"/>
    <w:rsid w:val="0F54794B"/>
    <w:rsid w:val="0F661726"/>
    <w:rsid w:val="0F6A354E"/>
    <w:rsid w:val="0F7F00F1"/>
    <w:rsid w:val="0F88478D"/>
    <w:rsid w:val="0F916077"/>
    <w:rsid w:val="0FAC41C6"/>
    <w:rsid w:val="0FB73DA5"/>
    <w:rsid w:val="0FBC7598"/>
    <w:rsid w:val="0FDE2587"/>
    <w:rsid w:val="0FE12B5A"/>
    <w:rsid w:val="0FF860F6"/>
    <w:rsid w:val="101D1679"/>
    <w:rsid w:val="10260EB5"/>
    <w:rsid w:val="102B0E30"/>
    <w:rsid w:val="1030763E"/>
    <w:rsid w:val="10353F21"/>
    <w:rsid w:val="10507757"/>
    <w:rsid w:val="10573134"/>
    <w:rsid w:val="10613C9B"/>
    <w:rsid w:val="10704ACD"/>
    <w:rsid w:val="107439CE"/>
    <w:rsid w:val="107A1082"/>
    <w:rsid w:val="107C2883"/>
    <w:rsid w:val="109E7189"/>
    <w:rsid w:val="109F26A5"/>
    <w:rsid w:val="10A73DA4"/>
    <w:rsid w:val="10AA5642"/>
    <w:rsid w:val="10E70644"/>
    <w:rsid w:val="10F863AD"/>
    <w:rsid w:val="110411F6"/>
    <w:rsid w:val="111D1ABB"/>
    <w:rsid w:val="112B3E2A"/>
    <w:rsid w:val="11433684"/>
    <w:rsid w:val="114A0BD3"/>
    <w:rsid w:val="114F1D45"/>
    <w:rsid w:val="115206FB"/>
    <w:rsid w:val="1154554F"/>
    <w:rsid w:val="115D5086"/>
    <w:rsid w:val="11621A79"/>
    <w:rsid w:val="117A5014"/>
    <w:rsid w:val="117B2614"/>
    <w:rsid w:val="11891BF6"/>
    <w:rsid w:val="11AB4EA0"/>
    <w:rsid w:val="11B40613"/>
    <w:rsid w:val="11BE2022"/>
    <w:rsid w:val="11D83EA2"/>
    <w:rsid w:val="12007455"/>
    <w:rsid w:val="12046FD4"/>
    <w:rsid w:val="1211524D"/>
    <w:rsid w:val="1212349F"/>
    <w:rsid w:val="12174F59"/>
    <w:rsid w:val="12216648"/>
    <w:rsid w:val="122510EE"/>
    <w:rsid w:val="12405481"/>
    <w:rsid w:val="12435D4E"/>
    <w:rsid w:val="12483364"/>
    <w:rsid w:val="126857B5"/>
    <w:rsid w:val="127777A6"/>
    <w:rsid w:val="12877BAC"/>
    <w:rsid w:val="128B4FFF"/>
    <w:rsid w:val="128D1331"/>
    <w:rsid w:val="12B24C82"/>
    <w:rsid w:val="12B427A8"/>
    <w:rsid w:val="12B96010"/>
    <w:rsid w:val="12C1355D"/>
    <w:rsid w:val="12C21534"/>
    <w:rsid w:val="12C56763"/>
    <w:rsid w:val="12CF313E"/>
    <w:rsid w:val="12E32924"/>
    <w:rsid w:val="12E50BB3"/>
    <w:rsid w:val="12E56E05"/>
    <w:rsid w:val="12EF7289"/>
    <w:rsid w:val="12F11306"/>
    <w:rsid w:val="12F901BB"/>
    <w:rsid w:val="12F96127"/>
    <w:rsid w:val="130044B9"/>
    <w:rsid w:val="1340403C"/>
    <w:rsid w:val="13482EF0"/>
    <w:rsid w:val="134D5A81"/>
    <w:rsid w:val="13541895"/>
    <w:rsid w:val="135D699C"/>
    <w:rsid w:val="13693592"/>
    <w:rsid w:val="136E44BE"/>
    <w:rsid w:val="136E6DFB"/>
    <w:rsid w:val="13737F6D"/>
    <w:rsid w:val="13873A19"/>
    <w:rsid w:val="13877EBC"/>
    <w:rsid w:val="13A22600"/>
    <w:rsid w:val="13AD46FD"/>
    <w:rsid w:val="13B2147E"/>
    <w:rsid w:val="13BF6991"/>
    <w:rsid w:val="13F95DC4"/>
    <w:rsid w:val="13FA243C"/>
    <w:rsid w:val="141C612A"/>
    <w:rsid w:val="142A3E2D"/>
    <w:rsid w:val="142B0848"/>
    <w:rsid w:val="143771ED"/>
    <w:rsid w:val="144A2F6A"/>
    <w:rsid w:val="144A7973"/>
    <w:rsid w:val="145762E3"/>
    <w:rsid w:val="14847F58"/>
    <w:rsid w:val="14860174"/>
    <w:rsid w:val="14A10B0A"/>
    <w:rsid w:val="14A44BF5"/>
    <w:rsid w:val="14AD546B"/>
    <w:rsid w:val="14C03686"/>
    <w:rsid w:val="14DE3B0C"/>
    <w:rsid w:val="14EA24B1"/>
    <w:rsid w:val="14FB7DA2"/>
    <w:rsid w:val="15080B89"/>
    <w:rsid w:val="1525798D"/>
    <w:rsid w:val="1542409B"/>
    <w:rsid w:val="15542020"/>
    <w:rsid w:val="155D0ED5"/>
    <w:rsid w:val="15763D45"/>
    <w:rsid w:val="15861448"/>
    <w:rsid w:val="158710F3"/>
    <w:rsid w:val="15A44D56"/>
    <w:rsid w:val="15A5462A"/>
    <w:rsid w:val="15A563D8"/>
    <w:rsid w:val="15C772F3"/>
    <w:rsid w:val="15CE4C34"/>
    <w:rsid w:val="15D05B4B"/>
    <w:rsid w:val="15D54412"/>
    <w:rsid w:val="15D62A35"/>
    <w:rsid w:val="15F0775C"/>
    <w:rsid w:val="15FA6724"/>
    <w:rsid w:val="15FB249C"/>
    <w:rsid w:val="160A00B1"/>
    <w:rsid w:val="160A0AD0"/>
    <w:rsid w:val="161B669A"/>
    <w:rsid w:val="16473933"/>
    <w:rsid w:val="164C2CF7"/>
    <w:rsid w:val="164D0F49"/>
    <w:rsid w:val="16526560"/>
    <w:rsid w:val="165B6F79"/>
    <w:rsid w:val="165F2A2B"/>
    <w:rsid w:val="166718DF"/>
    <w:rsid w:val="166E5EB0"/>
    <w:rsid w:val="16832BBD"/>
    <w:rsid w:val="168B7CC4"/>
    <w:rsid w:val="16B81863"/>
    <w:rsid w:val="16BC1C2B"/>
    <w:rsid w:val="16C94348"/>
    <w:rsid w:val="16CB7CD9"/>
    <w:rsid w:val="16CD5BE6"/>
    <w:rsid w:val="16D127A1"/>
    <w:rsid w:val="16E82A20"/>
    <w:rsid w:val="16F2564D"/>
    <w:rsid w:val="16F50974"/>
    <w:rsid w:val="16F614E7"/>
    <w:rsid w:val="172F68A1"/>
    <w:rsid w:val="173739A8"/>
    <w:rsid w:val="173D2841"/>
    <w:rsid w:val="176F3A30"/>
    <w:rsid w:val="1780534F"/>
    <w:rsid w:val="17AC1CA0"/>
    <w:rsid w:val="17C84600"/>
    <w:rsid w:val="17F92A0B"/>
    <w:rsid w:val="180970F2"/>
    <w:rsid w:val="180A4C18"/>
    <w:rsid w:val="1815135D"/>
    <w:rsid w:val="1820060E"/>
    <w:rsid w:val="18205BA9"/>
    <w:rsid w:val="18370FAA"/>
    <w:rsid w:val="18383EAD"/>
    <w:rsid w:val="185F6D12"/>
    <w:rsid w:val="186D58D3"/>
    <w:rsid w:val="187501F6"/>
    <w:rsid w:val="1888270D"/>
    <w:rsid w:val="188D7D42"/>
    <w:rsid w:val="189F7A56"/>
    <w:rsid w:val="18AE37F5"/>
    <w:rsid w:val="18B708FC"/>
    <w:rsid w:val="18BC4164"/>
    <w:rsid w:val="18C45643"/>
    <w:rsid w:val="18C94AD3"/>
    <w:rsid w:val="18E84F59"/>
    <w:rsid w:val="18F733EE"/>
    <w:rsid w:val="190336CE"/>
    <w:rsid w:val="19094ED0"/>
    <w:rsid w:val="1927785E"/>
    <w:rsid w:val="192E0D9B"/>
    <w:rsid w:val="193E101D"/>
    <w:rsid w:val="19445F08"/>
    <w:rsid w:val="19467ED2"/>
    <w:rsid w:val="195919B3"/>
    <w:rsid w:val="195E155B"/>
    <w:rsid w:val="195E346D"/>
    <w:rsid w:val="19650358"/>
    <w:rsid w:val="197B401F"/>
    <w:rsid w:val="19A370D2"/>
    <w:rsid w:val="19AA0461"/>
    <w:rsid w:val="19AA702C"/>
    <w:rsid w:val="19B117EF"/>
    <w:rsid w:val="19D63004"/>
    <w:rsid w:val="19DF45AE"/>
    <w:rsid w:val="19E24CAD"/>
    <w:rsid w:val="19E25E4D"/>
    <w:rsid w:val="19FE255B"/>
    <w:rsid w:val="1A0A0EFF"/>
    <w:rsid w:val="1A0C41D1"/>
    <w:rsid w:val="1A2A3350"/>
    <w:rsid w:val="1A2E4BEE"/>
    <w:rsid w:val="1A336BE7"/>
    <w:rsid w:val="1A4572C8"/>
    <w:rsid w:val="1A612D7C"/>
    <w:rsid w:val="1A807E72"/>
    <w:rsid w:val="1A8A2A47"/>
    <w:rsid w:val="1AA41354"/>
    <w:rsid w:val="1AA72BF2"/>
    <w:rsid w:val="1ACB068F"/>
    <w:rsid w:val="1AD522D3"/>
    <w:rsid w:val="1AE33FE9"/>
    <w:rsid w:val="1AE6371B"/>
    <w:rsid w:val="1AE87493"/>
    <w:rsid w:val="1AF916A0"/>
    <w:rsid w:val="1B083691"/>
    <w:rsid w:val="1B16166A"/>
    <w:rsid w:val="1B2E6E70"/>
    <w:rsid w:val="1B3E3557"/>
    <w:rsid w:val="1B3E5305"/>
    <w:rsid w:val="1B4B5C73"/>
    <w:rsid w:val="1B5E3332"/>
    <w:rsid w:val="1B5F527B"/>
    <w:rsid w:val="1B811695"/>
    <w:rsid w:val="1B8C2514"/>
    <w:rsid w:val="1B9B2757"/>
    <w:rsid w:val="1BAD248A"/>
    <w:rsid w:val="1BB93E83"/>
    <w:rsid w:val="1BC644B6"/>
    <w:rsid w:val="1BDA70E9"/>
    <w:rsid w:val="1BE91714"/>
    <w:rsid w:val="1BEF4851"/>
    <w:rsid w:val="1C1A14B0"/>
    <w:rsid w:val="1C2A1390"/>
    <w:rsid w:val="1C2C1601"/>
    <w:rsid w:val="1C476C9E"/>
    <w:rsid w:val="1C493F61"/>
    <w:rsid w:val="1C542906"/>
    <w:rsid w:val="1C544FF7"/>
    <w:rsid w:val="1C613AB1"/>
    <w:rsid w:val="1C746B04"/>
    <w:rsid w:val="1C8C0466"/>
    <w:rsid w:val="1C9B22E3"/>
    <w:rsid w:val="1CCE090A"/>
    <w:rsid w:val="1CD13F56"/>
    <w:rsid w:val="1CD6156D"/>
    <w:rsid w:val="1CE617B0"/>
    <w:rsid w:val="1CF57C45"/>
    <w:rsid w:val="1D0121D0"/>
    <w:rsid w:val="1D0460DA"/>
    <w:rsid w:val="1D17405F"/>
    <w:rsid w:val="1D1F2F14"/>
    <w:rsid w:val="1D303373"/>
    <w:rsid w:val="1D3A7D4E"/>
    <w:rsid w:val="1D3D339A"/>
    <w:rsid w:val="1D497F91"/>
    <w:rsid w:val="1D5B524F"/>
    <w:rsid w:val="1D6D3522"/>
    <w:rsid w:val="1D8A4831"/>
    <w:rsid w:val="1D8D2573"/>
    <w:rsid w:val="1D927B8A"/>
    <w:rsid w:val="1DB47B00"/>
    <w:rsid w:val="1DBE7F5B"/>
    <w:rsid w:val="1DC37D43"/>
    <w:rsid w:val="1DC51D0D"/>
    <w:rsid w:val="1DCA10D2"/>
    <w:rsid w:val="1DCA2EF0"/>
    <w:rsid w:val="1DD0420E"/>
    <w:rsid w:val="1DF25773"/>
    <w:rsid w:val="1DF83E91"/>
    <w:rsid w:val="1DFA7416"/>
    <w:rsid w:val="1DFD14A7"/>
    <w:rsid w:val="1E075E82"/>
    <w:rsid w:val="1E0F4D36"/>
    <w:rsid w:val="1E1D38F7"/>
    <w:rsid w:val="1E4075E6"/>
    <w:rsid w:val="1E4C1AE7"/>
    <w:rsid w:val="1E4F7829"/>
    <w:rsid w:val="1E57048B"/>
    <w:rsid w:val="1E6037E4"/>
    <w:rsid w:val="1E6432D4"/>
    <w:rsid w:val="1E852BA7"/>
    <w:rsid w:val="1E8F40C9"/>
    <w:rsid w:val="1ECE699F"/>
    <w:rsid w:val="1ED72355"/>
    <w:rsid w:val="1EEC1623"/>
    <w:rsid w:val="1EFD7285"/>
    <w:rsid w:val="1F0028D1"/>
    <w:rsid w:val="1F114ADE"/>
    <w:rsid w:val="1F2D7B6A"/>
    <w:rsid w:val="1F474868"/>
    <w:rsid w:val="1F501AAA"/>
    <w:rsid w:val="1F576995"/>
    <w:rsid w:val="1F705CA9"/>
    <w:rsid w:val="1F880D86"/>
    <w:rsid w:val="1F883C9F"/>
    <w:rsid w:val="1F9000F9"/>
    <w:rsid w:val="1F947BE9"/>
    <w:rsid w:val="1FB65DB1"/>
    <w:rsid w:val="1FB94E27"/>
    <w:rsid w:val="1FBC0EEE"/>
    <w:rsid w:val="1FC57DA2"/>
    <w:rsid w:val="1FDB2097"/>
    <w:rsid w:val="1FE3647B"/>
    <w:rsid w:val="1FEB5F31"/>
    <w:rsid w:val="1FF41576"/>
    <w:rsid w:val="200308CB"/>
    <w:rsid w:val="20034FBB"/>
    <w:rsid w:val="200D1749"/>
    <w:rsid w:val="202076CF"/>
    <w:rsid w:val="2031368A"/>
    <w:rsid w:val="20340A84"/>
    <w:rsid w:val="20554749"/>
    <w:rsid w:val="2076109D"/>
    <w:rsid w:val="20A43E5C"/>
    <w:rsid w:val="20AF20C5"/>
    <w:rsid w:val="20B10327"/>
    <w:rsid w:val="20CB786C"/>
    <w:rsid w:val="20DD111C"/>
    <w:rsid w:val="20ED7306"/>
    <w:rsid w:val="20F96916"/>
    <w:rsid w:val="210963B5"/>
    <w:rsid w:val="211106C5"/>
    <w:rsid w:val="21373196"/>
    <w:rsid w:val="21431785"/>
    <w:rsid w:val="21494A03"/>
    <w:rsid w:val="21535882"/>
    <w:rsid w:val="215C4736"/>
    <w:rsid w:val="218B0B78"/>
    <w:rsid w:val="21902632"/>
    <w:rsid w:val="219E251A"/>
    <w:rsid w:val="21AD0E84"/>
    <w:rsid w:val="21B225A8"/>
    <w:rsid w:val="21B46321"/>
    <w:rsid w:val="21C24F4B"/>
    <w:rsid w:val="21CB366A"/>
    <w:rsid w:val="21ED538F"/>
    <w:rsid w:val="220529A0"/>
    <w:rsid w:val="22071464"/>
    <w:rsid w:val="220A4192"/>
    <w:rsid w:val="22266AF2"/>
    <w:rsid w:val="22284619"/>
    <w:rsid w:val="2232235C"/>
    <w:rsid w:val="22372AAE"/>
    <w:rsid w:val="224469E3"/>
    <w:rsid w:val="22625D7D"/>
    <w:rsid w:val="228201CD"/>
    <w:rsid w:val="22883309"/>
    <w:rsid w:val="228D26CE"/>
    <w:rsid w:val="22910410"/>
    <w:rsid w:val="22A55C69"/>
    <w:rsid w:val="22A939AB"/>
    <w:rsid w:val="22B44BEF"/>
    <w:rsid w:val="22C5630B"/>
    <w:rsid w:val="22E66E75"/>
    <w:rsid w:val="22EF5136"/>
    <w:rsid w:val="22FF1D11"/>
    <w:rsid w:val="230230BC"/>
    <w:rsid w:val="230B75CD"/>
    <w:rsid w:val="231E77CA"/>
    <w:rsid w:val="231F5A1C"/>
    <w:rsid w:val="23291785"/>
    <w:rsid w:val="23614286"/>
    <w:rsid w:val="23710488"/>
    <w:rsid w:val="23887A65"/>
    <w:rsid w:val="238B30B1"/>
    <w:rsid w:val="23957A8C"/>
    <w:rsid w:val="23BB002C"/>
    <w:rsid w:val="23C33515"/>
    <w:rsid w:val="23F1680C"/>
    <w:rsid w:val="23F549CE"/>
    <w:rsid w:val="240510B5"/>
    <w:rsid w:val="241C1F5B"/>
    <w:rsid w:val="242A0B1C"/>
    <w:rsid w:val="243A0633"/>
    <w:rsid w:val="243A6885"/>
    <w:rsid w:val="243C084F"/>
    <w:rsid w:val="243E15D5"/>
    <w:rsid w:val="244B2840"/>
    <w:rsid w:val="24551238"/>
    <w:rsid w:val="2455546D"/>
    <w:rsid w:val="245B2D56"/>
    <w:rsid w:val="246D0C9C"/>
    <w:rsid w:val="247104F9"/>
    <w:rsid w:val="24747FE9"/>
    <w:rsid w:val="248144B4"/>
    <w:rsid w:val="249B37C8"/>
    <w:rsid w:val="24AF7273"/>
    <w:rsid w:val="24D43866"/>
    <w:rsid w:val="250C1FD0"/>
    <w:rsid w:val="250F7D12"/>
    <w:rsid w:val="25224672"/>
    <w:rsid w:val="2523621D"/>
    <w:rsid w:val="25237319"/>
    <w:rsid w:val="25250089"/>
    <w:rsid w:val="25252A8D"/>
    <w:rsid w:val="25284930"/>
    <w:rsid w:val="254A5A9B"/>
    <w:rsid w:val="255676EF"/>
    <w:rsid w:val="255A0F8D"/>
    <w:rsid w:val="25627E42"/>
    <w:rsid w:val="259300DB"/>
    <w:rsid w:val="25A466AC"/>
    <w:rsid w:val="25C94365"/>
    <w:rsid w:val="25CB59E7"/>
    <w:rsid w:val="25D02FFD"/>
    <w:rsid w:val="25D54115"/>
    <w:rsid w:val="25F72F27"/>
    <w:rsid w:val="2604539D"/>
    <w:rsid w:val="26061115"/>
    <w:rsid w:val="26086C3B"/>
    <w:rsid w:val="260B2287"/>
    <w:rsid w:val="260F4C55"/>
    <w:rsid w:val="26291B1A"/>
    <w:rsid w:val="26296BB1"/>
    <w:rsid w:val="26445799"/>
    <w:rsid w:val="264A1001"/>
    <w:rsid w:val="26556B48"/>
    <w:rsid w:val="265C0D35"/>
    <w:rsid w:val="267C3983"/>
    <w:rsid w:val="268362C1"/>
    <w:rsid w:val="26977FBF"/>
    <w:rsid w:val="26C20F14"/>
    <w:rsid w:val="26D44D6F"/>
    <w:rsid w:val="26D82BDE"/>
    <w:rsid w:val="26DC7FF3"/>
    <w:rsid w:val="26E31456"/>
    <w:rsid w:val="26EB0757"/>
    <w:rsid w:val="26FD42C6"/>
    <w:rsid w:val="270101AC"/>
    <w:rsid w:val="270218DC"/>
    <w:rsid w:val="27090EBD"/>
    <w:rsid w:val="27147861"/>
    <w:rsid w:val="27277595"/>
    <w:rsid w:val="274D71B2"/>
    <w:rsid w:val="2751147F"/>
    <w:rsid w:val="275A1718"/>
    <w:rsid w:val="27612079"/>
    <w:rsid w:val="27661C05"/>
    <w:rsid w:val="276E2ACE"/>
    <w:rsid w:val="27802801"/>
    <w:rsid w:val="27871DE1"/>
    <w:rsid w:val="27897BCF"/>
    <w:rsid w:val="279C6957"/>
    <w:rsid w:val="27B61A37"/>
    <w:rsid w:val="27BB7CDD"/>
    <w:rsid w:val="27C03956"/>
    <w:rsid w:val="27C941A8"/>
    <w:rsid w:val="27D019DA"/>
    <w:rsid w:val="27D32B77"/>
    <w:rsid w:val="27DC21EE"/>
    <w:rsid w:val="27DE5929"/>
    <w:rsid w:val="27E14C4C"/>
    <w:rsid w:val="27EF10DD"/>
    <w:rsid w:val="27F37477"/>
    <w:rsid w:val="27F966F1"/>
    <w:rsid w:val="280B2A12"/>
    <w:rsid w:val="28206735"/>
    <w:rsid w:val="282E04AF"/>
    <w:rsid w:val="28341F69"/>
    <w:rsid w:val="28445F24"/>
    <w:rsid w:val="28686312"/>
    <w:rsid w:val="286C62A1"/>
    <w:rsid w:val="287265EE"/>
    <w:rsid w:val="28812CD5"/>
    <w:rsid w:val="2883566A"/>
    <w:rsid w:val="288D78CB"/>
    <w:rsid w:val="28981B48"/>
    <w:rsid w:val="28991DCC"/>
    <w:rsid w:val="28A069B8"/>
    <w:rsid w:val="28CA467C"/>
    <w:rsid w:val="28F72971"/>
    <w:rsid w:val="290556B4"/>
    <w:rsid w:val="29072AAC"/>
    <w:rsid w:val="290B259E"/>
    <w:rsid w:val="291E674C"/>
    <w:rsid w:val="296C128F"/>
    <w:rsid w:val="296C74E1"/>
    <w:rsid w:val="298760C9"/>
    <w:rsid w:val="298E38FB"/>
    <w:rsid w:val="299A404E"/>
    <w:rsid w:val="29CB06AB"/>
    <w:rsid w:val="29CC4423"/>
    <w:rsid w:val="29D82DC8"/>
    <w:rsid w:val="29D84B76"/>
    <w:rsid w:val="29EC3021"/>
    <w:rsid w:val="29F51284"/>
    <w:rsid w:val="2A067935"/>
    <w:rsid w:val="2A0C2A72"/>
    <w:rsid w:val="2A2B114A"/>
    <w:rsid w:val="2A3073E0"/>
    <w:rsid w:val="2A4B17EC"/>
    <w:rsid w:val="2A6D3510"/>
    <w:rsid w:val="2A750617"/>
    <w:rsid w:val="2A7812C8"/>
    <w:rsid w:val="2A924D25"/>
    <w:rsid w:val="2A9F5945"/>
    <w:rsid w:val="2AA902C1"/>
    <w:rsid w:val="2ABC6246"/>
    <w:rsid w:val="2AD16FAD"/>
    <w:rsid w:val="2AE00186"/>
    <w:rsid w:val="2AE31A25"/>
    <w:rsid w:val="2AE35535"/>
    <w:rsid w:val="2AEB2687"/>
    <w:rsid w:val="2AFE060C"/>
    <w:rsid w:val="2B076E3A"/>
    <w:rsid w:val="2B0A6FB1"/>
    <w:rsid w:val="2B0B4AD7"/>
    <w:rsid w:val="2B17347C"/>
    <w:rsid w:val="2B200583"/>
    <w:rsid w:val="2B2C517A"/>
    <w:rsid w:val="2B34402E"/>
    <w:rsid w:val="2B496FA3"/>
    <w:rsid w:val="2B876854"/>
    <w:rsid w:val="2BA411B4"/>
    <w:rsid w:val="2BB024B4"/>
    <w:rsid w:val="2BB1567F"/>
    <w:rsid w:val="2BBE1B4A"/>
    <w:rsid w:val="2BC60F98"/>
    <w:rsid w:val="2BE041B6"/>
    <w:rsid w:val="2BE131CE"/>
    <w:rsid w:val="2BE27F2E"/>
    <w:rsid w:val="2BE449B8"/>
    <w:rsid w:val="2BE66FCE"/>
    <w:rsid w:val="2BFD08C4"/>
    <w:rsid w:val="2C041C52"/>
    <w:rsid w:val="2C066A1A"/>
    <w:rsid w:val="2C0A4D8F"/>
    <w:rsid w:val="2C0B4AE6"/>
    <w:rsid w:val="2C106849"/>
    <w:rsid w:val="2C1D4AC2"/>
    <w:rsid w:val="2C2C2F57"/>
    <w:rsid w:val="2C300C99"/>
    <w:rsid w:val="2C3C2B6A"/>
    <w:rsid w:val="2C414C55"/>
    <w:rsid w:val="2C4542D3"/>
    <w:rsid w:val="2C477D91"/>
    <w:rsid w:val="2C48050C"/>
    <w:rsid w:val="2C5C383D"/>
    <w:rsid w:val="2C6D5A4A"/>
    <w:rsid w:val="2C6E17C2"/>
    <w:rsid w:val="2C706CFE"/>
    <w:rsid w:val="2C7C3EDF"/>
    <w:rsid w:val="2C8165FA"/>
    <w:rsid w:val="2C830AA3"/>
    <w:rsid w:val="2CAC7CBD"/>
    <w:rsid w:val="2CBE62A5"/>
    <w:rsid w:val="2CBF13C8"/>
    <w:rsid w:val="2CCC08A3"/>
    <w:rsid w:val="2CCD473A"/>
    <w:rsid w:val="2CD23AFF"/>
    <w:rsid w:val="2CED26E7"/>
    <w:rsid w:val="2CFC5020"/>
    <w:rsid w:val="2CFE48F4"/>
    <w:rsid w:val="2D0A514C"/>
    <w:rsid w:val="2D0F4D53"/>
    <w:rsid w:val="2D50069C"/>
    <w:rsid w:val="2D517119"/>
    <w:rsid w:val="2D805324"/>
    <w:rsid w:val="2D857AF2"/>
    <w:rsid w:val="2D8748E9"/>
    <w:rsid w:val="2D9C5EBB"/>
    <w:rsid w:val="2DB235BF"/>
    <w:rsid w:val="2DC23B73"/>
    <w:rsid w:val="2DC6496F"/>
    <w:rsid w:val="2DCF77B8"/>
    <w:rsid w:val="2DEF06E0"/>
    <w:rsid w:val="2E1168A9"/>
    <w:rsid w:val="2E132621"/>
    <w:rsid w:val="2E1819E5"/>
    <w:rsid w:val="2E2959A0"/>
    <w:rsid w:val="2E3B3926"/>
    <w:rsid w:val="2E577392"/>
    <w:rsid w:val="2E6B5FB9"/>
    <w:rsid w:val="2E7D3F3E"/>
    <w:rsid w:val="2E8250B1"/>
    <w:rsid w:val="2E8B1B62"/>
    <w:rsid w:val="2E954DE4"/>
    <w:rsid w:val="2E970AE4"/>
    <w:rsid w:val="2EB227A5"/>
    <w:rsid w:val="2EB24057"/>
    <w:rsid w:val="2ECD6C74"/>
    <w:rsid w:val="2ED964C1"/>
    <w:rsid w:val="2EDC6EB7"/>
    <w:rsid w:val="2EF33190"/>
    <w:rsid w:val="2EF42F7F"/>
    <w:rsid w:val="2EF7784D"/>
    <w:rsid w:val="2EF91817"/>
    <w:rsid w:val="2EFA10EB"/>
    <w:rsid w:val="2F067A90"/>
    <w:rsid w:val="2F185C3B"/>
    <w:rsid w:val="2F230642"/>
    <w:rsid w:val="2F416D1A"/>
    <w:rsid w:val="2F520F27"/>
    <w:rsid w:val="2F5E00A3"/>
    <w:rsid w:val="2F644280"/>
    <w:rsid w:val="2F6824F8"/>
    <w:rsid w:val="2F822BAC"/>
    <w:rsid w:val="2F927575"/>
    <w:rsid w:val="2F9E416C"/>
    <w:rsid w:val="2FA06136"/>
    <w:rsid w:val="2FA379D4"/>
    <w:rsid w:val="2FAD43AF"/>
    <w:rsid w:val="2FB120F1"/>
    <w:rsid w:val="2FBE036A"/>
    <w:rsid w:val="2FC71915"/>
    <w:rsid w:val="2FF7387C"/>
    <w:rsid w:val="301A2C89"/>
    <w:rsid w:val="301F6139"/>
    <w:rsid w:val="30590093"/>
    <w:rsid w:val="305C026F"/>
    <w:rsid w:val="30641E74"/>
    <w:rsid w:val="306453B6"/>
    <w:rsid w:val="30810E1D"/>
    <w:rsid w:val="308570DA"/>
    <w:rsid w:val="308E5F8F"/>
    <w:rsid w:val="30B023A9"/>
    <w:rsid w:val="30B639B5"/>
    <w:rsid w:val="30D50061"/>
    <w:rsid w:val="30E42053"/>
    <w:rsid w:val="31091AB9"/>
    <w:rsid w:val="3112096E"/>
    <w:rsid w:val="314067D8"/>
    <w:rsid w:val="314256C4"/>
    <w:rsid w:val="314618C4"/>
    <w:rsid w:val="314D5915"/>
    <w:rsid w:val="3159659D"/>
    <w:rsid w:val="316B62D0"/>
    <w:rsid w:val="317745D7"/>
    <w:rsid w:val="31927D00"/>
    <w:rsid w:val="319F3C0F"/>
    <w:rsid w:val="31A55C86"/>
    <w:rsid w:val="31A6555A"/>
    <w:rsid w:val="31A67308"/>
    <w:rsid w:val="31C205E6"/>
    <w:rsid w:val="31C3610C"/>
    <w:rsid w:val="31C84451"/>
    <w:rsid w:val="31CB6D6E"/>
    <w:rsid w:val="31CD0D39"/>
    <w:rsid w:val="31DD2FE6"/>
    <w:rsid w:val="31E340B8"/>
    <w:rsid w:val="320209E2"/>
    <w:rsid w:val="3207249C"/>
    <w:rsid w:val="32221084"/>
    <w:rsid w:val="322A618B"/>
    <w:rsid w:val="3236068C"/>
    <w:rsid w:val="32454D73"/>
    <w:rsid w:val="32613622"/>
    <w:rsid w:val="326A6587"/>
    <w:rsid w:val="32780CA4"/>
    <w:rsid w:val="328E04C8"/>
    <w:rsid w:val="329F04E5"/>
    <w:rsid w:val="32A25D21"/>
    <w:rsid w:val="32D54349"/>
    <w:rsid w:val="32EB7033"/>
    <w:rsid w:val="32F02F31"/>
    <w:rsid w:val="32F9755F"/>
    <w:rsid w:val="32FF3174"/>
    <w:rsid w:val="330216D9"/>
    <w:rsid w:val="33062754"/>
    <w:rsid w:val="3309799D"/>
    <w:rsid w:val="330C5891"/>
    <w:rsid w:val="331B2806"/>
    <w:rsid w:val="333214D1"/>
    <w:rsid w:val="334B460B"/>
    <w:rsid w:val="33541711"/>
    <w:rsid w:val="3370495E"/>
    <w:rsid w:val="33811DDB"/>
    <w:rsid w:val="33835B53"/>
    <w:rsid w:val="338546B9"/>
    <w:rsid w:val="33896EE1"/>
    <w:rsid w:val="339E473B"/>
    <w:rsid w:val="33A7303A"/>
    <w:rsid w:val="33CC0FC6"/>
    <w:rsid w:val="33DD0EAC"/>
    <w:rsid w:val="33DE0EF4"/>
    <w:rsid w:val="33F407FF"/>
    <w:rsid w:val="33F95E15"/>
    <w:rsid w:val="34060532"/>
    <w:rsid w:val="340A165C"/>
    <w:rsid w:val="34143D51"/>
    <w:rsid w:val="341A6B73"/>
    <w:rsid w:val="342015F4"/>
    <w:rsid w:val="34237336"/>
    <w:rsid w:val="342D5ABF"/>
    <w:rsid w:val="34302898"/>
    <w:rsid w:val="34580D8D"/>
    <w:rsid w:val="345B460B"/>
    <w:rsid w:val="346314E0"/>
    <w:rsid w:val="34655037"/>
    <w:rsid w:val="346E6803"/>
    <w:rsid w:val="346F60D7"/>
    <w:rsid w:val="348778C5"/>
    <w:rsid w:val="348A2F11"/>
    <w:rsid w:val="348E2B4F"/>
    <w:rsid w:val="34EA50C0"/>
    <w:rsid w:val="34F8022E"/>
    <w:rsid w:val="350E58F0"/>
    <w:rsid w:val="352C3FC8"/>
    <w:rsid w:val="35482A8B"/>
    <w:rsid w:val="354B6B44"/>
    <w:rsid w:val="355754E9"/>
    <w:rsid w:val="355C281A"/>
    <w:rsid w:val="355D687E"/>
    <w:rsid w:val="35610116"/>
    <w:rsid w:val="35733206"/>
    <w:rsid w:val="35BB2645"/>
    <w:rsid w:val="35BC2674"/>
    <w:rsid w:val="35C97D56"/>
    <w:rsid w:val="35CB558F"/>
    <w:rsid w:val="35E52AF5"/>
    <w:rsid w:val="35EE5D6B"/>
    <w:rsid w:val="36010FB1"/>
    <w:rsid w:val="36127662"/>
    <w:rsid w:val="36202551"/>
    <w:rsid w:val="362829E1"/>
    <w:rsid w:val="3637765B"/>
    <w:rsid w:val="363A3F05"/>
    <w:rsid w:val="365311E6"/>
    <w:rsid w:val="366A124C"/>
    <w:rsid w:val="366A7C87"/>
    <w:rsid w:val="367112A8"/>
    <w:rsid w:val="368340BC"/>
    <w:rsid w:val="369B31B3"/>
    <w:rsid w:val="36F2306C"/>
    <w:rsid w:val="370C260B"/>
    <w:rsid w:val="373D5193"/>
    <w:rsid w:val="374E46CA"/>
    <w:rsid w:val="375445E4"/>
    <w:rsid w:val="376964D6"/>
    <w:rsid w:val="377177F2"/>
    <w:rsid w:val="377B454E"/>
    <w:rsid w:val="377E4FAF"/>
    <w:rsid w:val="379C3619"/>
    <w:rsid w:val="37A60062"/>
    <w:rsid w:val="37A662B4"/>
    <w:rsid w:val="37B07132"/>
    <w:rsid w:val="37CB36BB"/>
    <w:rsid w:val="37CD13CC"/>
    <w:rsid w:val="37CD1A92"/>
    <w:rsid w:val="37D56B99"/>
    <w:rsid w:val="380D1E8F"/>
    <w:rsid w:val="3814321D"/>
    <w:rsid w:val="382611A3"/>
    <w:rsid w:val="3836588A"/>
    <w:rsid w:val="3837515E"/>
    <w:rsid w:val="38445F22"/>
    <w:rsid w:val="38455ACD"/>
    <w:rsid w:val="384835A4"/>
    <w:rsid w:val="385E26EA"/>
    <w:rsid w:val="388163D9"/>
    <w:rsid w:val="388D1222"/>
    <w:rsid w:val="38B22A36"/>
    <w:rsid w:val="38C05153"/>
    <w:rsid w:val="38C22C79"/>
    <w:rsid w:val="38CC73F3"/>
    <w:rsid w:val="38CE68D5"/>
    <w:rsid w:val="38CF35E8"/>
    <w:rsid w:val="38D97FC3"/>
    <w:rsid w:val="38DD3F57"/>
    <w:rsid w:val="39007C46"/>
    <w:rsid w:val="39162FC5"/>
    <w:rsid w:val="392E0314"/>
    <w:rsid w:val="394538AA"/>
    <w:rsid w:val="395104A1"/>
    <w:rsid w:val="395B66C1"/>
    <w:rsid w:val="395F496C"/>
    <w:rsid w:val="39A24859"/>
    <w:rsid w:val="39AE15AC"/>
    <w:rsid w:val="39C50F72"/>
    <w:rsid w:val="39CD3FCC"/>
    <w:rsid w:val="39D8471E"/>
    <w:rsid w:val="39DF70D6"/>
    <w:rsid w:val="39E83FB4"/>
    <w:rsid w:val="3A15327D"/>
    <w:rsid w:val="3A153790"/>
    <w:rsid w:val="3A1F11A7"/>
    <w:rsid w:val="3A1F5EA9"/>
    <w:rsid w:val="3A231E3E"/>
    <w:rsid w:val="3A4D48B7"/>
    <w:rsid w:val="3A4F678F"/>
    <w:rsid w:val="3A502507"/>
    <w:rsid w:val="3A614714"/>
    <w:rsid w:val="3A66582B"/>
    <w:rsid w:val="3A791A5E"/>
    <w:rsid w:val="3A86575A"/>
    <w:rsid w:val="3AEE244B"/>
    <w:rsid w:val="3AF45588"/>
    <w:rsid w:val="3B115AB0"/>
    <w:rsid w:val="3B1B2B15"/>
    <w:rsid w:val="3B255741"/>
    <w:rsid w:val="3B293EF9"/>
    <w:rsid w:val="3B341FC1"/>
    <w:rsid w:val="3B343BD6"/>
    <w:rsid w:val="3B5D137F"/>
    <w:rsid w:val="3B5D4EDB"/>
    <w:rsid w:val="3B5F0C53"/>
    <w:rsid w:val="3B6F11E8"/>
    <w:rsid w:val="3B732683"/>
    <w:rsid w:val="3B851216"/>
    <w:rsid w:val="3B892174"/>
    <w:rsid w:val="3B8E32E7"/>
    <w:rsid w:val="3BA0301A"/>
    <w:rsid w:val="3BA743A8"/>
    <w:rsid w:val="3BA85CCD"/>
    <w:rsid w:val="3BB32D4D"/>
    <w:rsid w:val="3BC27434"/>
    <w:rsid w:val="3BDA0050"/>
    <w:rsid w:val="3C274A6B"/>
    <w:rsid w:val="3C3420E0"/>
    <w:rsid w:val="3C3C2D43"/>
    <w:rsid w:val="3C463BC1"/>
    <w:rsid w:val="3C481DED"/>
    <w:rsid w:val="3C4A14EF"/>
    <w:rsid w:val="3C53008C"/>
    <w:rsid w:val="3C6122AB"/>
    <w:rsid w:val="3C666012"/>
    <w:rsid w:val="3C8B7E22"/>
    <w:rsid w:val="3C9568F7"/>
    <w:rsid w:val="3C9E1C4F"/>
    <w:rsid w:val="3CA803D8"/>
    <w:rsid w:val="3CB72D11"/>
    <w:rsid w:val="3CBC3E83"/>
    <w:rsid w:val="3CC52E96"/>
    <w:rsid w:val="3CD04564"/>
    <w:rsid w:val="3CEA6C43"/>
    <w:rsid w:val="3CF4361D"/>
    <w:rsid w:val="3CFB0E50"/>
    <w:rsid w:val="3D0B4A9A"/>
    <w:rsid w:val="3D1837B0"/>
    <w:rsid w:val="3D31661F"/>
    <w:rsid w:val="3D347EBE"/>
    <w:rsid w:val="3D3879AE"/>
    <w:rsid w:val="3D8449A1"/>
    <w:rsid w:val="3D9F0938"/>
    <w:rsid w:val="3DA349DC"/>
    <w:rsid w:val="3DA60DBB"/>
    <w:rsid w:val="3DC76F84"/>
    <w:rsid w:val="3DD84CED"/>
    <w:rsid w:val="3DEB4A20"/>
    <w:rsid w:val="3DF8538F"/>
    <w:rsid w:val="3DFF04CC"/>
    <w:rsid w:val="3E063608"/>
    <w:rsid w:val="3E1E24A7"/>
    <w:rsid w:val="3E1F291C"/>
    <w:rsid w:val="3E3457B0"/>
    <w:rsid w:val="3E416D36"/>
    <w:rsid w:val="3E8B1D5F"/>
    <w:rsid w:val="3E9753EA"/>
    <w:rsid w:val="3EB92D70"/>
    <w:rsid w:val="3ED0433F"/>
    <w:rsid w:val="3EE41CB3"/>
    <w:rsid w:val="3EEF6792"/>
    <w:rsid w:val="3EF142B8"/>
    <w:rsid w:val="3F002F99"/>
    <w:rsid w:val="3F141D55"/>
    <w:rsid w:val="3F192702"/>
    <w:rsid w:val="3F20694C"/>
    <w:rsid w:val="3F3348D1"/>
    <w:rsid w:val="3F373C95"/>
    <w:rsid w:val="3F422D66"/>
    <w:rsid w:val="3F5E71A0"/>
    <w:rsid w:val="3F79434E"/>
    <w:rsid w:val="3F7C7E4A"/>
    <w:rsid w:val="3F852C53"/>
    <w:rsid w:val="3F892743"/>
    <w:rsid w:val="3FA27361"/>
    <w:rsid w:val="3FAA090B"/>
    <w:rsid w:val="3FAA346A"/>
    <w:rsid w:val="3FAB317E"/>
    <w:rsid w:val="3FB3156E"/>
    <w:rsid w:val="3FB62E0C"/>
    <w:rsid w:val="3FD64E92"/>
    <w:rsid w:val="3FEA0D08"/>
    <w:rsid w:val="3FEB6F5A"/>
    <w:rsid w:val="3FEE25A6"/>
    <w:rsid w:val="3FEF5D91"/>
    <w:rsid w:val="3FF51B86"/>
    <w:rsid w:val="3FFA53EF"/>
    <w:rsid w:val="4044666A"/>
    <w:rsid w:val="404B3E9C"/>
    <w:rsid w:val="405D597D"/>
    <w:rsid w:val="40602185"/>
    <w:rsid w:val="406D3C7A"/>
    <w:rsid w:val="40880C4C"/>
    <w:rsid w:val="4090365D"/>
    <w:rsid w:val="4093139F"/>
    <w:rsid w:val="409E3FCC"/>
    <w:rsid w:val="40AD420F"/>
    <w:rsid w:val="40C357E1"/>
    <w:rsid w:val="40C477AB"/>
    <w:rsid w:val="40C94DC1"/>
    <w:rsid w:val="40D043A1"/>
    <w:rsid w:val="40DD4529"/>
    <w:rsid w:val="40EC4756"/>
    <w:rsid w:val="410F0A26"/>
    <w:rsid w:val="41103530"/>
    <w:rsid w:val="41126768"/>
    <w:rsid w:val="41140732"/>
    <w:rsid w:val="41160006"/>
    <w:rsid w:val="41436921"/>
    <w:rsid w:val="414803DC"/>
    <w:rsid w:val="41524DB6"/>
    <w:rsid w:val="4157061F"/>
    <w:rsid w:val="416C231C"/>
    <w:rsid w:val="417411D1"/>
    <w:rsid w:val="4182569C"/>
    <w:rsid w:val="41C041B9"/>
    <w:rsid w:val="41CF6407"/>
    <w:rsid w:val="41DF2AEE"/>
    <w:rsid w:val="41E371A6"/>
    <w:rsid w:val="420C6916"/>
    <w:rsid w:val="423071DF"/>
    <w:rsid w:val="425A03C6"/>
    <w:rsid w:val="425A4334"/>
    <w:rsid w:val="42603601"/>
    <w:rsid w:val="426A0E03"/>
    <w:rsid w:val="427D695B"/>
    <w:rsid w:val="4290203A"/>
    <w:rsid w:val="42905B96"/>
    <w:rsid w:val="42AE24C0"/>
    <w:rsid w:val="42B01A80"/>
    <w:rsid w:val="42B540C6"/>
    <w:rsid w:val="42C578F7"/>
    <w:rsid w:val="42DC5105"/>
    <w:rsid w:val="42E859D2"/>
    <w:rsid w:val="42ED2FE9"/>
    <w:rsid w:val="43124DBF"/>
    <w:rsid w:val="43230B46"/>
    <w:rsid w:val="432A5FEB"/>
    <w:rsid w:val="435C4BA0"/>
    <w:rsid w:val="436314FD"/>
    <w:rsid w:val="436B215F"/>
    <w:rsid w:val="436D4129"/>
    <w:rsid w:val="43803E5D"/>
    <w:rsid w:val="43827BD5"/>
    <w:rsid w:val="4391606A"/>
    <w:rsid w:val="439858E4"/>
    <w:rsid w:val="43AF64F0"/>
    <w:rsid w:val="43B613AF"/>
    <w:rsid w:val="43B81849"/>
    <w:rsid w:val="43C33D49"/>
    <w:rsid w:val="43DE6DD5"/>
    <w:rsid w:val="43E02B4D"/>
    <w:rsid w:val="43FB1735"/>
    <w:rsid w:val="4410085A"/>
    <w:rsid w:val="44103433"/>
    <w:rsid w:val="444255B6"/>
    <w:rsid w:val="44450291"/>
    <w:rsid w:val="44562E10"/>
    <w:rsid w:val="445F1CC4"/>
    <w:rsid w:val="447339C1"/>
    <w:rsid w:val="44753296"/>
    <w:rsid w:val="44781DAA"/>
    <w:rsid w:val="447F5EC2"/>
    <w:rsid w:val="448D7806"/>
    <w:rsid w:val="44906321"/>
    <w:rsid w:val="449322B6"/>
    <w:rsid w:val="44B32C61"/>
    <w:rsid w:val="44C71617"/>
    <w:rsid w:val="44CA357E"/>
    <w:rsid w:val="44DF2E05"/>
    <w:rsid w:val="44EC3064"/>
    <w:rsid w:val="44FC7513"/>
    <w:rsid w:val="45085EB8"/>
    <w:rsid w:val="452151CC"/>
    <w:rsid w:val="452A12B9"/>
    <w:rsid w:val="45464C32"/>
    <w:rsid w:val="45594965"/>
    <w:rsid w:val="455C4456"/>
    <w:rsid w:val="45634F1C"/>
    <w:rsid w:val="456F4189"/>
    <w:rsid w:val="457B0D80"/>
    <w:rsid w:val="457F1EF2"/>
    <w:rsid w:val="45833790"/>
    <w:rsid w:val="45967968"/>
    <w:rsid w:val="459B31D0"/>
    <w:rsid w:val="45A81449"/>
    <w:rsid w:val="45B778DE"/>
    <w:rsid w:val="45C718D7"/>
    <w:rsid w:val="45CF460B"/>
    <w:rsid w:val="45D15B2E"/>
    <w:rsid w:val="45D16BF2"/>
    <w:rsid w:val="45E27E1E"/>
    <w:rsid w:val="45F53F37"/>
    <w:rsid w:val="461D562C"/>
    <w:rsid w:val="462B44CE"/>
    <w:rsid w:val="463351B6"/>
    <w:rsid w:val="46565349"/>
    <w:rsid w:val="46582E6F"/>
    <w:rsid w:val="465A0995"/>
    <w:rsid w:val="46601D24"/>
    <w:rsid w:val="46690BD8"/>
    <w:rsid w:val="46780E1B"/>
    <w:rsid w:val="468B329F"/>
    <w:rsid w:val="46B5206F"/>
    <w:rsid w:val="46B67C74"/>
    <w:rsid w:val="46B8390E"/>
    <w:rsid w:val="46CE3131"/>
    <w:rsid w:val="46D11A60"/>
    <w:rsid w:val="46FA5CD4"/>
    <w:rsid w:val="470316C4"/>
    <w:rsid w:val="470923BB"/>
    <w:rsid w:val="471825FE"/>
    <w:rsid w:val="47226FD9"/>
    <w:rsid w:val="47326B5E"/>
    <w:rsid w:val="474E6020"/>
    <w:rsid w:val="47647DBB"/>
    <w:rsid w:val="476F4FDA"/>
    <w:rsid w:val="477B5067"/>
    <w:rsid w:val="47802EE5"/>
    <w:rsid w:val="478D4D9A"/>
    <w:rsid w:val="47AC7367"/>
    <w:rsid w:val="47B86B55"/>
    <w:rsid w:val="47BA5BC1"/>
    <w:rsid w:val="47C7285C"/>
    <w:rsid w:val="47DD7AD0"/>
    <w:rsid w:val="480520F9"/>
    <w:rsid w:val="48270D4B"/>
    <w:rsid w:val="482A0307"/>
    <w:rsid w:val="48515DC8"/>
    <w:rsid w:val="48643D4D"/>
    <w:rsid w:val="48693111"/>
    <w:rsid w:val="486D24D6"/>
    <w:rsid w:val="487519F9"/>
    <w:rsid w:val="488C6E00"/>
    <w:rsid w:val="48934632"/>
    <w:rsid w:val="48B325DE"/>
    <w:rsid w:val="48CD3A8B"/>
    <w:rsid w:val="48D52555"/>
    <w:rsid w:val="48DA5DBD"/>
    <w:rsid w:val="48FF3A76"/>
    <w:rsid w:val="490421D8"/>
    <w:rsid w:val="49172B6D"/>
    <w:rsid w:val="493B1763"/>
    <w:rsid w:val="493C25D4"/>
    <w:rsid w:val="494E2307"/>
    <w:rsid w:val="495042D1"/>
    <w:rsid w:val="49667651"/>
    <w:rsid w:val="497F756E"/>
    <w:rsid w:val="49885819"/>
    <w:rsid w:val="49995C78"/>
    <w:rsid w:val="49B303BC"/>
    <w:rsid w:val="49B77EAC"/>
    <w:rsid w:val="49EA0282"/>
    <w:rsid w:val="49EA64D4"/>
    <w:rsid w:val="49FF2B43"/>
    <w:rsid w:val="4A0A5885"/>
    <w:rsid w:val="4A205A52"/>
    <w:rsid w:val="4A2F038B"/>
    <w:rsid w:val="4A6718D3"/>
    <w:rsid w:val="4A877BBD"/>
    <w:rsid w:val="4A8A3813"/>
    <w:rsid w:val="4A91694F"/>
    <w:rsid w:val="4A9B4CF4"/>
    <w:rsid w:val="4AA77F21"/>
    <w:rsid w:val="4ABD5996"/>
    <w:rsid w:val="4AC705C3"/>
    <w:rsid w:val="4AD6576E"/>
    <w:rsid w:val="4AD8632C"/>
    <w:rsid w:val="4AEE3DA2"/>
    <w:rsid w:val="4B0435C5"/>
    <w:rsid w:val="4B045CDA"/>
    <w:rsid w:val="4B073A5C"/>
    <w:rsid w:val="4B0C5FD6"/>
    <w:rsid w:val="4B0E1D4E"/>
    <w:rsid w:val="4B125CE2"/>
    <w:rsid w:val="4B1F5D09"/>
    <w:rsid w:val="4B321EE0"/>
    <w:rsid w:val="4B3A2B43"/>
    <w:rsid w:val="4B44760D"/>
    <w:rsid w:val="4B490FD8"/>
    <w:rsid w:val="4B4C0AC8"/>
    <w:rsid w:val="4B513614"/>
    <w:rsid w:val="4B5C0D0B"/>
    <w:rsid w:val="4B5C5D27"/>
    <w:rsid w:val="4B5E326D"/>
    <w:rsid w:val="4B647BC0"/>
    <w:rsid w:val="4B66690C"/>
    <w:rsid w:val="4B692739"/>
    <w:rsid w:val="4B6978CC"/>
    <w:rsid w:val="4B7778F3"/>
    <w:rsid w:val="4B7B2E05"/>
    <w:rsid w:val="4B7D0C82"/>
    <w:rsid w:val="4B840ACD"/>
    <w:rsid w:val="4B8C42AD"/>
    <w:rsid w:val="4BB70638"/>
    <w:rsid w:val="4BB740D3"/>
    <w:rsid w:val="4BC774AF"/>
    <w:rsid w:val="4BC86687"/>
    <w:rsid w:val="4BE62CCB"/>
    <w:rsid w:val="4BEA4569"/>
    <w:rsid w:val="4BF72474"/>
    <w:rsid w:val="4C3E2B07"/>
    <w:rsid w:val="4C4F0B45"/>
    <w:rsid w:val="4C5E0AB3"/>
    <w:rsid w:val="4C5E4F57"/>
    <w:rsid w:val="4C746529"/>
    <w:rsid w:val="4C892141"/>
    <w:rsid w:val="4C9C6C90"/>
    <w:rsid w:val="4CA54934"/>
    <w:rsid w:val="4CC0176E"/>
    <w:rsid w:val="4CCC0113"/>
    <w:rsid w:val="4CCC1EC1"/>
    <w:rsid w:val="4CF02261"/>
    <w:rsid w:val="4D0C49B3"/>
    <w:rsid w:val="4D0F1DAD"/>
    <w:rsid w:val="4D111FCA"/>
    <w:rsid w:val="4D371A30"/>
    <w:rsid w:val="4D387556"/>
    <w:rsid w:val="4D397B3D"/>
    <w:rsid w:val="4D720CBA"/>
    <w:rsid w:val="4D775CC7"/>
    <w:rsid w:val="4D7F5C79"/>
    <w:rsid w:val="4D981DA3"/>
    <w:rsid w:val="4D9D206F"/>
    <w:rsid w:val="4DA969FC"/>
    <w:rsid w:val="4DB73FDD"/>
    <w:rsid w:val="4DB7491F"/>
    <w:rsid w:val="4DC4528E"/>
    <w:rsid w:val="4DC64B62"/>
    <w:rsid w:val="4DC93BE9"/>
    <w:rsid w:val="4DF74D1B"/>
    <w:rsid w:val="4DFB7BC2"/>
    <w:rsid w:val="4E0D453F"/>
    <w:rsid w:val="4E16053E"/>
    <w:rsid w:val="4E28581D"/>
    <w:rsid w:val="4E30647F"/>
    <w:rsid w:val="4E3A10AC"/>
    <w:rsid w:val="4E487C6D"/>
    <w:rsid w:val="4E4D7031"/>
    <w:rsid w:val="4E54216E"/>
    <w:rsid w:val="4E604FB7"/>
    <w:rsid w:val="4E6C395B"/>
    <w:rsid w:val="4E760336"/>
    <w:rsid w:val="4E8011B5"/>
    <w:rsid w:val="4EAF55F6"/>
    <w:rsid w:val="4F066320"/>
    <w:rsid w:val="4F0C4606"/>
    <w:rsid w:val="4F2066D0"/>
    <w:rsid w:val="4F231B40"/>
    <w:rsid w:val="4F4E6EBF"/>
    <w:rsid w:val="4F6210E4"/>
    <w:rsid w:val="4F6C1739"/>
    <w:rsid w:val="4F6F4D85"/>
    <w:rsid w:val="4F7D4C71"/>
    <w:rsid w:val="4FA26F09"/>
    <w:rsid w:val="4FBC446F"/>
    <w:rsid w:val="4FCA7073"/>
    <w:rsid w:val="4FDD6193"/>
    <w:rsid w:val="4FDF1C24"/>
    <w:rsid w:val="4FE259E9"/>
    <w:rsid w:val="501D7C2E"/>
    <w:rsid w:val="502B6EFE"/>
    <w:rsid w:val="503009B9"/>
    <w:rsid w:val="50454464"/>
    <w:rsid w:val="508A1E77"/>
    <w:rsid w:val="508D564D"/>
    <w:rsid w:val="50A218B6"/>
    <w:rsid w:val="50AA2519"/>
    <w:rsid w:val="50B27620"/>
    <w:rsid w:val="50D37CC2"/>
    <w:rsid w:val="50D70E34"/>
    <w:rsid w:val="50E61077"/>
    <w:rsid w:val="50FC5666"/>
    <w:rsid w:val="510C4F82"/>
    <w:rsid w:val="510C5F03"/>
    <w:rsid w:val="511B523C"/>
    <w:rsid w:val="512C7508"/>
    <w:rsid w:val="51316796"/>
    <w:rsid w:val="5144471C"/>
    <w:rsid w:val="51477D68"/>
    <w:rsid w:val="514E10F6"/>
    <w:rsid w:val="51510BE7"/>
    <w:rsid w:val="5151508A"/>
    <w:rsid w:val="51644DBE"/>
    <w:rsid w:val="51645C2F"/>
    <w:rsid w:val="516C3C72"/>
    <w:rsid w:val="51856AE2"/>
    <w:rsid w:val="518E5997"/>
    <w:rsid w:val="51907961"/>
    <w:rsid w:val="51A90A23"/>
    <w:rsid w:val="51CC1237"/>
    <w:rsid w:val="51D33CF1"/>
    <w:rsid w:val="52287B99"/>
    <w:rsid w:val="52293911"/>
    <w:rsid w:val="52321D93"/>
    <w:rsid w:val="523227C6"/>
    <w:rsid w:val="524349D3"/>
    <w:rsid w:val="524A3FB4"/>
    <w:rsid w:val="52533FC1"/>
    <w:rsid w:val="527E1EAF"/>
    <w:rsid w:val="52880638"/>
    <w:rsid w:val="52BE22AC"/>
    <w:rsid w:val="52D675F5"/>
    <w:rsid w:val="52DB2E5E"/>
    <w:rsid w:val="52E57838"/>
    <w:rsid w:val="52FA0B1E"/>
    <w:rsid w:val="52FD515E"/>
    <w:rsid w:val="53114AD1"/>
    <w:rsid w:val="53183661"/>
    <w:rsid w:val="53283BC9"/>
    <w:rsid w:val="532E5683"/>
    <w:rsid w:val="53360094"/>
    <w:rsid w:val="534A3B3F"/>
    <w:rsid w:val="536015B5"/>
    <w:rsid w:val="53605111"/>
    <w:rsid w:val="53857AED"/>
    <w:rsid w:val="53966D85"/>
    <w:rsid w:val="53BA0CC5"/>
    <w:rsid w:val="53C9715A"/>
    <w:rsid w:val="53DA43C4"/>
    <w:rsid w:val="53E267AB"/>
    <w:rsid w:val="53F504B9"/>
    <w:rsid w:val="53FD5056"/>
    <w:rsid w:val="54040192"/>
    <w:rsid w:val="54136627"/>
    <w:rsid w:val="541A5C08"/>
    <w:rsid w:val="543547EF"/>
    <w:rsid w:val="54493DF7"/>
    <w:rsid w:val="54843081"/>
    <w:rsid w:val="548B08B3"/>
    <w:rsid w:val="54A379AB"/>
    <w:rsid w:val="54AC059B"/>
    <w:rsid w:val="54AF6350"/>
    <w:rsid w:val="54C85664"/>
    <w:rsid w:val="54D02C4B"/>
    <w:rsid w:val="54DC4C6B"/>
    <w:rsid w:val="550F29EB"/>
    <w:rsid w:val="55112B45"/>
    <w:rsid w:val="551219F6"/>
    <w:rsid w:val="552A3C28"/>
    <w:rsid w:val="55351206"/>
    <w:rsid w:val="55486C8A"/>
    <w:rsid w:val="554E3DBB"/>
    <w:rsid w:val="55547DEE"/>
    <w:rsid w:val="555850DA"/>
    <w:rsid w:val="55653C63"/>
    <w:rsid w:val="558F79BB"/>
    <w:rsid w:val="55945546"/>
    <w:rsid w:val="55A649AE"/>
    <w:rsid w:val="55B654BC"/>
    <w:rsid w:val="55D83684"/>
    <w:rsid w:val="55D93627"/>
    <w:rsid w:val="55EC5382"/>
    <w:rsid w:val="560C77D2"/>
    <w:rsid w:val="560E354A"/>
    <w:rsid w:val="56150435"/>
    <w:rsid w:val="562A6900"/>
    <w:rsid w:val="56327239"/>
    <w:rsid w:val="56382375"/>
    <w:rsid w:val="5647080A"/>
    <w:rsid w:val="56554CD5"/>
    <w:rsid w:val="56576C9F"/>
    <w:rsid w:val="56602AF8"/>
    <w:rsid w:val="56661590"/>
    <w:rsid w:val="56725887"/>
    <w:rsid w:val="56925F29"/>
    <w:rsid w:val="569D1848"/>
    <w:rsid w:val="56A17F1A"/>
    <w:rsid w:val="56A47A0A"/>
    <w:rsid w:val="56B13A64"/>
    <w:rsid w:val="56BA3AA0"/>
    <w:rsid w:val="56C7186D"/>
    <w:rsid w:val="56C97471"/>
    <w:rsid w:val="56CF6D97"/>
    <w:rsid w:val="56D66689"/>
    <w:rsid w:val="56EA4A82"/>
    <w:rsid w:val="570606C5"/>
    <w:rsid w:val="570E46A2"/>
    <w:rsid w:val="57127095"/>
    <w:rsid w:val="57160908"/>
    <w:rsid w:val="574511ED"/>
    <w:rsid w:val="5749539E"/>
    <w:rsid w:val="574C432A"/>
    <w:rsid w:val="57544F8D"/>
    <w:rsid w:val="577D2735"/>
    <w:rsid w:val="57835872"/>
    <w:rsid w:val="57847C36"/>
    <w:rsid w:val="57853398"/>
    <w:rsid w:val="57875362"/>
    <w:rsid w:val="5791607D"/>
    <w:rsid w:val="57944254"/>
    <w:rsid w:val="57A17F32"/>
    <w:rsid w:val="57A8352A"/>
    <w:rsid w:val="57AC6B77"/>
    <w:rsid w:val="57B95737"/>
    <w:rsid w:val="57BB500C"/>
    <w:rsid w:val="57C74156"/>
    <w:rsid w:val="57D4349D"/>
    <w:rsid w:val="57D61E46"/>
    <w:rsid w:val="57D664C6"/>
    <w:rsid w:val="57DE4FF5"/>
    <w:rsid w:val="57EC3417"/>
    <w:rsid w:val="57EE3633"/>
    <w:rsid w:val="5814471C"/>
    <w:rsid w:val="58337298"/>
    <w:rsid w:val="5851771E"/>
    <w:rsid w:val="585E08E2"/>
    <w:rsid w:val="586409BF"/>
    <w:rsid w:val="5867454D"/>
    <w:rsid w:val="586A742C"/>
    <w:rsid w:val="586C4558"/>
    <w:rsid w:val="586F72DC"/>
    <w:rsid w:val="587E2A9C"/>
    <w:rsid w:val="587F24DD"/>
    <w:rsid w:val="5881039C"/>
    <w:rsid w:val="58823D7B"/>
    <w:rsid w:val="588F1F45"/>
    <w:rsid w:val="589C308F"/>
    <w:rsid w:val="58C134D7"/>
    <w:rsid w:val="58C94C3F"/>
    <w:rsid w:val="58D565A1"/>
    <w:rsid w:val="58E95BA9"/>
    <w:rsid w:val="5915699E"/>
    <w:rsid w:val="59167EE8"/>
    <w:rsid w:val="591E42EB"/>
    <w:rsid w:val="59246BE1"/>
    <w:rsid w:val="59257A04"/>
    <w:rsid w:val="592A1676"/>
    <w:rsid w:val="59305585"/>
    <w:rsid w:val="594F3C5E"/>
    <w:rsid w:val="5986548D"/>
    <w:rsid w:val="59CA3C2C"/>
    <w:rsid w:val="59D2663D"/>
    <w:rsid w:val="59E06FAB"/>
    <w:rsid w:val="59E71DDE"/>
    <w:rsid w:val="5A05075D"/>
    <w:rsid w:val="5A064D2E"/>
    <w:rsid w:val="5A1D5B0A"/>
    <w:rsid w:val="5A382944"/>
    <w:rsid w:val="5A3B2434"/>
    <w:rsid w:val="5A4C2893"/>
    <w:rsid w:val="5A517EA9"/>
    <w:rsid w:val="5A53496E"/>
    <w:rsid w:val="5A6220B6"/>
    <w:rsid w:val="5A6F20DD"/>
    <w:rsid w:val="5A7756D8"/>
    <w:rsid w:val="5A8B5169"/>
    <w:rsid w:val="5A957D96"/>
    <w:rsid w:val="5A96078C"/>
    <w:rsid w:val="5ABB0552"/>
    <w:rsid w:val="5AC87CD6"/>
    <w:rsid w:val="5ACE14FA"/>
    <w:rsid w:val="5AE85A5C"/>
    <w:rsid w:val="5AEC372E"/>
    <w:rsid w:val="5B027EFD"/>
    <w:rsid w:val="5B303F63"/>
    <w:rsid w:val="5B370E4D"/>
    <w:rsid w:val="5B4377F2"/>
    <w:rsid w:val="5B4517BC"/>
    <w:rsid w:val="5B484E08"/>
    <w:rsid w:val="5B693839"/>
    <w:rsid w:val="5B721E85"/>
    <w:rsid w:val="5B765E19"/>
    <w:rsid w:val="5BAA7871"/>
    <w:rsid w:val="5BB406F0"/>
    <w:rsid w:val="5BC326E1"/>
    <w:rsid w:val="5BEC7E8A"/>
    <w:rsid w:val="5BF3746A"/>
    <w:rsid w:val="5C036F81"/>
    <w:rsid w:val="5C05719D"/>
    <w:rsid w:val="5C140850"/>
    <w:rsid w:val="5C1473E0"/>
    <w:rsid w:val="5C1D0043"/>
    <w:rsid w:val="5C422D43"/>
    <w:rsid w:val="5C4A2BD7"/>
    <w:rsid w:val="5C4C26D6"/>
    <w:rsid w:val="5C693288"/>
    <w:rsid w:val="5C6A7000"/>
    <w:rsid w:val="5C78171D"/>
    <w:rsid w:val="5C7C1E93"/>
    <w:rsid w:val="5C8F6A67"/>
    <w:rsid w:val="5C910A31"/>
    <w:rsid w:val="5CA249EC"/>
    <w:rsid w:val="5CA835FB"/>
    <w:rsid w:val="5CAE3391"/>
    <w:rsid w:val="5CAF68F6"/>
    <w:rsid w:val="5CB564CD"/>
    <w:rsid w:val="5CB70498"/>
    <w:rsid w:val="5CBE64BF"/>
    <w:rsid w:val="5CE24DE9"/>
    <w:rsid w:val="5CE46DB3"/>
    <w:rsid w:val="5CF84E92"/>
    <w:rsid w:val="5D056D23"/>
    <w:rsid w:val="5D1F428F"/>
    <w:rsid w:val="5D213D72"/>
    <w:rsid w:val="5D281115"/>
    <w:rsid w:val="5D373386"/>
    <w:rsid w:val="5D395350"/>
    <w:rsid w:val="5D3C6BEF"/>
    <w:rsid w:val="5D431D2B"/>
    <w:rsid w:val="5D5A7075"/>
    <w:rsid w:val="5D63632E"/>
    <w:rsid w:val="5D720862"/>
    <w:rsid w:val="5D755C5D"/>
    <w:rsid w:val="5D8B1FAD"/>
    <w:rsid w:val="5D9B1B67"/>
    <w:rsid w:val="5DB91FED"/>
    <w:rsid w:val="5DDC3F2E"/>
    <w:rsid w:val="5DDE7CA6"/>
    <w:rsid w:val="5DE112EF"/>
    <w:rsid w:val="5DF11787"/>
    <w:rsid w:val="5DF734B0"/>
    <w:rsid w:val="5E0C56F7"/>
    <w:rsid w:val="5E1611EE"/>
    <w:rsid w:val="5E2775BD"/>
    <w:rsid w:val="5E303744"/>
    <w:rsid w:val="5E504C73"/>
    <w:rsid w:val="5E6A32E8"/>
    <w:rsid w:val="5E853EBA"/>
    <w:rsid w:val="5E8545C5"/>
    <w:rsid w:val="5E9842F9"/>
    <w:rsid w:val="5E985E8A"/>
    <w:rsid w:val="5E9B16F3"/>
    <w:rsid w:val="5EAE1426"/>
    <w:rsid w:val="5EB50A07"/>
    <w:rsid w:val="5EDB5F93"/>
    <w:rsid w:val="5F0604EF"/>
    <w:rsid w:val="5F117C07"/>
    <w:rsid w:val="5F36141C"/>
    <w:rsid w:val="5F4973A1"/>
    <w:rsid w:val="5F4B3119"/>
    <w:rsid w:val="5F506981"/>
    <w:rsid w:val="5F567379"/>
    <w:rsid w:val="5F622211"/>
    <w:rsid w:val="5F6E5059"/>
    <w:rsid w:val="5F6E6E08"/>
    <w:rsid w:val="5FB455AB"/>
    <w:rsid w:val="5FCC24AC"/>
    <w:rsid w:val="5FD8479E"/>
    <w:rsid w:val="5FDA624B"/>
    <w:rsid w:val="5FDB26EF"/>
    <w:rsid w:val="5FE0232C"/>
    <w:rsid w:val="5FEF4FD0"/>
    <w:rsid w:val="5FF11588"/>
    <w:rsid w:val="5FFC4413"/>
    <w:rsid w:val="600031CA"/>
    <w:rsid w:val="60025ECE"/>
    <w:rsid w:val="601856F1"/>
    <w:rsid w:val="601E03AB"/>
    <w:rsid w:val="602120CC"/>
    <w:rsid w:val="604310ED"/>
    <w:rsid w:val="60585DBB"/>
    <w:rsid w:val="606F1089"/>
    <w:rsid w:val="60803325"/>
    <w:rsid w:val="60874625"/>
    <w:rsid w:val="608A3DEF"/>
    <w:rsid w:val="6090467B"/>
    <w:rsid w:val="60AD75F4"/>
    <w:rsid w:val="60C03693"/>
    <w:rsid w:val="60DA29A7"/>
    <w:rsid w:val="60E27AAD"/>
    <w:rsid w:val="60E72C7B"/>
    <w:rsid w:val="60EA61FA"/>
    <w:rsid w:val="611834CF"/>
    <w:rsid w:val="61291238"/>
    <w:rsid w:val="61374D95"/>
    <w:rsid w:val="61394E2C"/>
    <w:rsid w:val="616E7593"/>
    <w:rsid w:val="618C17C7"/>
    <w:rsid w:val="618E480E"/>
    <w:rsid w:val="61B056D3"/>
    <w:rsid w:val="61C8132B"/>
    <w:rsid w:val="61CD6067"/>
    <w:rsid w:val="61E3588B"/>
    <w:rsid w:val="61FA4982"/>
    <w:rsid w:val="62013F63"/>
    <w:rsid w:val="620D6DAC"/>
    <w:rsid w:val="621C7A8F"/>
    <w:rsid w:val="625422E5"/>
    <w:rsid w:val="62685D90"/>
    <w:rsid w:val="62724E61"/>
    <w:rsid w:val="6280757E"/>
    <w:rsid w:val="62B40FD5"/>
    <w:rsid w:val="62B86D17"/>
    <w:rsid w:val="62C70D09"/>
    <w:rsid w:val="62F475B6"/>
    <w:rsid w:val="6300421A"/>
    <w:rsid w:val="63027F93"/>
    <w:rsid w:val="630C6A64"/>
    <w:rsid w:val="631303F2"/>
    <w:rsid w:val="632A1297"/>
    <w:rsid w:val="632C14B3"/>
    <w:rsid w:val="633345F0"/>
    <w:rsid w:val="63584057"/>
    <w:rsid w:val="63750765"/>
    <w:rsid w:val="637569B7"/>
    <w:rsid w:val="63847100"/>
    <w:rsid w:val="63892ADC"/>
    <w:rsid w:val="63927568"/>
    <w:rsid w:val="63964CCA"/>
    <w:rsid w:val="6399764D"/>
    <w:rsid w:val="639F3A33"/>
    <w:rsid w:val="63C67212"/>
    <w:rsid w:val="63CB2A7A"/>
    <w:rsid w:val="63CC234F"/>
    <w:rsid w:val="63F345CB"/>
    <w:rsid w:val="63F44853"/>
    <w:rsid w:val="63F7561D"/>
    <w:rsid w:val="63FA2F37"/>
    <w:rsid w:val="6408231E"/>
    <w:rsid w:val="64104931"/>
    <w:rsid w:val="641726EB"/>
    <w:rsid w:val="64175CC0"/>
    <w:rsid w:val="641C32D6"/>
    <w:rsid w:val="64264155"/>
    <w:rsid w:val="642D7291"/>
    <w:rsid w:val="643028DD"/>
    <w:rsid w:val="645B2050"/>
    <w:rsid w:val="646507D9"/>
    <w:rsid w:val="64872E45"/>
    <w:rsid w:val="64BE613B"/>
    <w:rsid w:val="64CF659A"/>
    <w:rsid w:val="64E62203"/>
    <w:rsid w:val="64EF4547"/>
    <w:rsid w:val="64F241A3"/>
    <w:rsid w:val="650251A0"/>
    <w:rsid w:val="6509385A"/>
    <w:rsid w:val="652A2E44"/>
    <w:rsid w:val="654E4849"/>
    <w:rsid w:val="65686657"/>
    <w:rsid w:val="65766A16"/>
    <w:rsid w:val="657B5DDA"/>
    <w:rsid w:val="65864EAB"/>
    <w:rsid w:val="659F2B52"/>
    <w:rsid w:val="659F5F6D"/>
    <w:rsid w:val="65A17F37"/>
    <w:rsid w:val="65A837AF"/>
    <w:rsid w:val="65BD69EB"/>
    <w:rsid w:val="65C06703"/>
    <w:rsid w:val="65D976D1"/>
    <w:rsid w:val="65EC0A86"/>
    <w:rsid w:val="66140709"/>
    <w:rsid w:val="66164FCD"/>
    <w:rsid w:val="66240220"/>
    <w:rsid w:val="66287D10"/>
    <w:rsid w:val="662F5543"/>
    <w:rsid w:val="66303069"/>
    <w:rsid w:val="663F32AC"/>
    <w:rsid w:val="664977CF"/>
    <w:rsid w:val="667B0788"/>
    <w:rsid w:val="66815672"/>
    <w:rsid w:val="668313EA"/>
    <w:rsid w:val="668B64F1"/>
    <w:rsid w:val="66925AD1"/>
    <w:rsid w:val="669C24AC"/>
    <w:rsid w:val="669E00DF"/>
    <w:rsid w:val="669E6224"/>
    <w:rsid w:val="66C719F1"/>
    <w:rsid w:val="66D03326"/>
    <w:rsid w:val="66E225B5"/>
    <w:rsid w:val="66EC4975"/>
    <w:rsid w:val="67016B09"/>
    <w:rsid w:val="6703217D"/>
    <w:rsid w:val="674C5C80"/>
    <w:rsid w:val="676034DA"/>
    <w:rsid w:val="67746F85"/>
    <w:rsid w:val="678371C8"/>
    <w:rsid w:val="67881188"/>
    <w:rsid w:val="67D839B8"/>
    <w:rsid w:val="67E4410B"/>
    <w:rsid w:val="68010E54"/>
    <w:rsid w:val="6808604B"/>
    <w:rsid w:val="680D18B3"/>
    <w:rsid w:val="6813679E"/>
    <w:rsid w:val="681B27B3"/>
    <w:rsid w:val="68210EBB"/>
    <w:rsid w:val="683116BC"/>
    <w:rsid w:val="683410E1"/>
    <w:rsid w:val="68354966"/>
    <w:rsid w:val="68686AEA"/>
    <w:rsid w:val="68707986"/>
    <w:rsid w:val="687B49C3"/>
    <w:rsid w:val="68896A60"/>
    <w:rsid w:val="688F3871"/>
    <w:rsid w:val="689C49E5"/>
    <w:rsid w:val="68CD4B9F"/>
    <w:rsid w:val="68D47E36"/>
    <w:rsid w:val="68E74072"/>
    <w:rsid w:val="68E967E9"/>
    <w:rsid w:val="69140A20"/>
    <w:rsid w:val="69173BDC"/>
    <w:rsid w:val="692179FA"/>
    <w:rsid w:val="69232A11"/>
    <w:rsid w:val="692E081B"/>
    <w:rsid w:val="693A3886"/>
    <w:rsid w:val="6949691B"/>
    <w:rsid w:val="6951757E"/>
    <w:rsid w:val="695465A4"/>
    <w:rsid w:val="69594BFB"/>
    <w:rsid w:val="697274F4"/>
    <w:rsid w:val="69BD2E65"/>
    <w:rsid w:val="69BD4674"/>
    <w:rsid w:val="69CC30A8"/>
    <w:rsid w:val="69CD5C19"/>
    <w:rsid w:val="69D84824"/>
    <w:rsid w:val="69EE301F"/>
    <w:rsid w:val="6A022F6E"/>
    <w:rsid w:val="6A036769"/>
    <w:rsid w:val="6A072332"/>
    <w:rsid w:val="6A1F767C"/>
    <w:rsid w:val="6A52291B"/>
    <w:rsid w:val="6A633A0D"/>
    <w:rsid w:val="6A7B10E5"/>
    <w:rsid w:val="6A8120E5"/>
    <w:rsid w:val="6A817F02"/>
    <w:rsid w:val="6A885221"/>
    <w:rsid w:val="6A9A4F55"/>
    <w:rsid w:val="6AA61B4B"/>
    <w:rsid w:val="6AAD3E42"/>
    <w:rsid w:val="6ACC38AB"/>
    <w:rsid w:val="6AE306AA"/>
    <w:rsid w:val="6AE85CC0"/>
    <w:rsid w:val="6AFD3370"/>
    <w:rsid w:val="6AFE7291"/>
    <w:rsid w:val="6B0845B4"/>
    <w:rsid w:val="6B0B19AE"/>
    <w:rsid w:val="6B217424"/>
    <w:rsid w:val="6B285902"/>
    <w:rsid w:val="6B2D7B77"/>
    <w:rsid w:val="6B351E6F"/>
    <w:rsid w:val="6B715CB5"/>
    <w:rsid w:val="6B741C4A"/>
    <w:rsid w:val="6B7632CC"/>
    <w:rsid w:val="6B7A4051"/>
    <w:rsid w:val="6B7E6624"/>
    <w:rsid w:val="6BA442DD"/>
    <w:rsid w:val="6BC26ADC"/>
    <w:rsid w:val="6BD46244"/>
    <w:rsid w:val="6BE14999"/>
    <w:rsid w:val="6BFB5FD1"/>
    <w:rsid w:val="6C1D762E"/>
    <w:rsid w:val="6C384A25"/>
    <w:rsid w:val="6C3F5DB4"/>
    <w:rsid w:val="6C5A5992"/>
    <w:rsid w:val="6C7D4B2E"/>
    <w:rsid w:val="6C937EAD"/>
    <w:rsid w:val="6CC12C6C"/>
    <w:rsid w:val="6CC4275D"/>
    <w:rsid w:val="6CC4450B"/>
    <w:rsid w:val="6CF90658"/>
    <w:rsid w:val="6D12175F"/>
    <w:rsid w:val="6D140FEE"/>
    <w:rsid w:val="6D1A237D"/>
    <w:rsid w:val="6D1F5AF0"/>
    <w:rsid w:val="6D3113B3"/>
    <w:rsid w:val="6D321474"/>
    <w:rsid w:val="6D344457"/>
    <w:rsid w:val="6D3E42BD"/>
    <w:rsid w:val="6D592EA5"/>
    <w:rsid w:val="6D6B4986"/>
    <w:rsid w:val="6D725D15"/>
    <w:rsid w:val="6D8B5116"/>
    <w:rsid w:val="6DB427D1"/>
    <w:rsid w:val="6DC25164"/>
    <w:rsid w:val="6DF332FA"/>
    <w:rsid w:val="6E254B81"/>
    <w:rsid w:val="6E415A81"/>
    <w:rsid w:val="6E44272A"/>
    <w:rsid w:val="6E4753F3"/>
    <w:rsid w:val="6E5E2FB2"/>
    <w:rsid w:val="6EA77C40"/>
    <w:rsid w:val="6EA91C0A"/>
    <w:rsid w:val="6EC46A44"/>
    <w:rsid w:val="6ED0363B"/>
    <w:rsid w:val="6EDC1FE0"/>
    <w:rsid w:val="6EF04F13"/>
    <w:rsid w:val="6EF32E85"/>
    <w:rsid w:val="6F213E96"/>
    <w:rsid w:val="6F243938"/>
    <w:rsid w:val="6F2A2D4B"/>
    <w:rsid w:val="6F3657AD"/>
    <w:rsid w:val="6F3E040D"/>
    <w:rsid w:val="6F4034D9"/>
    <w:rsid w:val="6F437969"/>
    <w:rsid w:val="6F524050"/>
    <w:rsid w:val="6F59436E"/>
    <w:rsid w:val="6F6D49E6"/>
    <w:rsid w:val="6F927414"/>
    <w:rsid w:val="6F974373"/>
    <w:rsid w:val="6FAD572A"/>
    <w:rsid w:val="6FC74058"/>
    <w:rsid w:val="6FC860C0"/>
    <w:rsid w:val="6FD827A7"/>
    <w:rsid w:val="6FE518A1"/>
    <w:rsid w:val="6FFD220E"/>
    <w:rsid w:val="6FFD6D35"/>
    <w:rsid w:val="700062EB"/>
    <w:rsid w:val="70040E87"/>
    <w:rsid w:val="700951AA"/>
    <w:rsid w:val="700C0F2F"/>
    <w:rsid w:val="700C41FF"/>
    <w:rsid w:val="702754DC"/>
    <w:rsid w:val="704871A4"/>
    <w:rsid w:val="7055204A"/>
    <w:rsid w:val="70592DFA"/>
    <w:rsid w:val="70694F36"/>
    <w:rsid w:val="70822713"/>
    <w:rsid w:val="70880C5C"/>
    <w:rsid w:val="70901A28"/>
    <w:rsid w:val="70B16683"/>
    <w:rsid w:val="70B523D0"/>
    <w:rsid w:val="70B52AE8"/>
    <w:rsid w:val="70BA1EAD"/>
    <w:rsid w:val="70C1323B"/>
    <w:rsid w:val="70C34E17"/>
    <w:rsid w:val="70DD3906"/>
    <w:rsid w:val="70FD7FEB"/>
    <w:rsid w:val="710650F2"/>
    <w:rsid w:val="71235CA4"/>
    <w:rsid w:val="71245578"/>
    <w:rsid w:val="71327C95"/>
    <w:rsid w:val="71353C29"/>
    <w:rsid w:val="714B69AB"/>
    <w:rsid w:val="71690108"/>
    <w:rsid w:val="716D6F1F"/>
    <w:rsid w:val="71763E02"/>
    <w:rsid w:val="71867FE1"/>
    <w:rsid w:val="718A7AD1"/>
    <w:rsid w:val="719941B8"/>
    <w:rsid w:val="719B076B"/>
    <w:rsid w:val="719C5A56"/>
    <w:rsid w:val="71A32941"/>
    <w:rsid w:val="71D22489"/>
    <w:rsid w:val="71E74F23"/>
    <w:rsid w:val="71F96A05"/>
    <w:rsid w:val="71FF79BE"/>
    <w:rsid w:val="721D6B97"/>
    <w:rsid w:val="723143F0"/>
    <w:rsid w:val="724759C2"/>
    <w:rsid w:val="724C4D86"/>
    <w:rsid w:val="72505BF1"/>
    <w:rsid w:val="727147ED"/>
    <w:rsid w:val="727D3192"/>
    <w:rsid w:val="727E6F0A"/>
    <w:rsid w:val="728E73F9"/>
    <w:rsid w:val="72907369"/>
    <w:rsid w:val="7298446F"/>
    <w:rsid w:val="729F75AC"/>
    <w:rsid w:val="72A11576"/>
    <w:rsid w:val="72C139C6"/>
    <w:rsid w:val="72C32A8C"/>
    <w:rsid w:val="72E15E16"/>
    <w:rsid w:val="72ED38A2"/>
    <w:rsid w:val="72FD7943"/>
    <w:rsid w:val="730B69EF"/>
    <w:rsid w:val="732301DD"/>
    <w:rsid w:val="732775A1"/>
    <w:rsid w:val="73393BC2"/>
    <w:rsid w:val="7352461E"/>
    <w:rsid w:val="7355410F"/>
    <w:rsid w:val="73662BEC"/>
    <w:rsid w:val="737B44DB"/>
    <w:rsid w:val="73893DB8"/>
    <w:rsid w:val="73AB1F81"/>
    <w:rsid w:val="73AF381F"/>
    <w:rsid w:val="73C3376E"/>
    <w:rsid w:val="74085625"/>
    <w:rsid w:val="740A314B"/>
    <w:rsid w:val="74262B1B"/>
    <w:rsid w:val="742C4E6F"/>
    <w:rsid w:val="74343D24"/>
    <w:rsid w:val="74626AE3"/>
    <w:rsid w:val="7479207F"/>
    <w:rsid w:val="747F58E7"/>
    <w:rsid w:val="748542C7"/>
    <w:rsid w:val="7499002B"/>
    <w:rsid w:val="74A6094A"/>
    <w:rsid w:val="74AF5DF6"/>
    <w:rsid w:val="74CC21DF"/>
    <w:rsid w:val="74DD260E"/>
    <w:rsid w:val="74E16F35"/>
    <w:rsid w:val="74E249F9"/>
    <w:rsid w:val="75062ACB"/>
    <w:rsid w:val="751678CE"/>
    <w:rsid w:val="752244C4"/>
    <w:rsid w:val="753541F8"/>
    <w:rsid w:val="7535469C"/>
    <w:rsid w:val="753A7A60"/>
    <w:rsid w:val="75466405"/>
    <w:rsid w:val="7548217D"/>
    <w:rsid w:val="754E0E15"/>
    <w:rsid w:val="75532D3D"/>
    <w:rsid w:val="7578286F"/>
    <w:rsid w:val="75846316"/>
    <w:rsid w:val="75B710B1"/>
    <w:rsid w:val="75B96BD7"/>
    <w:rsid w:val="75BF1D13"/>
    <w:rsid w:val="75C335B1"/>
    <w:rsid w:val="75C612F4"/>
    <w:rsid w:val="75D92DD5"/>
    <w:rsid w:val="75E31EA6"/>
    <w:rsid w:val="75EF25F8"/>
    <w:rsid w:val="75F145C2"/>
    <w:rsid w:val="760140DA"/>
    <w:rsid w:val="760D3B3A"/>
    <w:rsid w:val="761F2330"/>
    <w:rsid w:val="762A3631"/>
    <w:rsid w:val="763F26D5"/>
    <w:rsid w:val="764D0528"/>
    <w:rsid w:val="76684159"/>
    <w:rsid w:val="766A6123"/>
    <w:rsid w:val="766F76C7"/>
    <w:rsid w:val="768076F4"/>
    <w:rsid w:val="7688510D"/>
    <w:rsid w:val="76A074BE"/>
    <w:rsid w:val="76AF1D88"/>
    <w:rsid w:val="76C82F19"/>
    <w:rsid w:val="76CD220E"/>
    <w:rsid w:val="76CE66B2"/>
    <w:rsid w:val="76D65566"/>
    <w:rsid w:val="76FB4FCD"/>
    <w:rsid w:val="77045A49"/>
    <w:rsid w:val="770B16B4"/>
    <w:rsid w:val="77266E5A"/>
    <w:rsid w:val="77291B31"/>
    <w:rsid w:val="7738346E"/>
    <w:rsid w:val="77387FCF"/>
    <w:rsid w:val="774626EC"/>
    <w:rsid w:val="775A7F45"/>
    <w:rsid w:val="7760226B"/>
    <w:rsid w:val="776B5CAF"/>
    <w:rsid w:val="776C4EAA"/>
    <w:rsid w:val="77701354"/>
    <w:rsid w:val="77750DFA"/>
    <w:rsid w:val="77925931"/>
    <w:rsid w:val="779A189F"/>
    <w:rsid w:val="77CD0717"/>
    <w:rsid w:val="77ED700C"/>
    <w:rsid w:val="78000AED"/>
    <w:rsid w:val="780B56E4"/>
    <w:rsid w:val="78112CFA"/>
    <w:rsid w:val="78160310"/>
    <w:rsid w:val="781F51BA"/>
    <w:rsid w:val="783E1615"/>
    <w:rsid w:val="78494544"/>
    <w:rsid w:val="78497969"/>
    <w:rsid w:val="785030F6"/>
    <w:rsid w:val="785B37DC"/>
    <w:rsid w:val="787B0173"/>
    <w:rsid w:val="788F00C3"/>
    <w:rsid w:val="789B25C4"/>
    <w:rsid w:val="78A60CA5"/>
    <w:rsid w:val="78AA2807"/>
    <w:rsid w:val="78C7160B"/>
    <w:rsid w:val="78E431C4"/>
    <w:rsid w:val="78EB4A40"/>
    <w:rsid w:val="78EE303B"/>
    <w:rsid w:val="78EF0B61"/>
    <w:rsid w:val="791660EE"/>
    <w:rsid w:val="791800B8"/>
    <w:rsid w:val="791E4FA3"/>
    <w:rsid w:val="793230AC"/>
    <w:rsid w:val="796E77C6"/>
    <w:rsid w:val="797F672E"/>
    <w:rsid w:val="798474FC"/>
    <w:rsid w:val="798C63B0"/>
    <w:rsid w:val="798E037A"/>
    <w:rsid w:val="79955265"/>
    <w:rsid w:val="79A61220"/>
    <w:rsid w:val="79BE0E38"/>
    <w:rsid w:val="79C8388C"/>
    <w:rsid w:val="79CB3DE1"/>
    <w:rsid w:val="79E41D48"/>
    <w:rsid w:val="79F944AF"/>
    <w:rsid w:val="7A0B19CB"/>
    <w:rsid w:val="7A140880"/>
    <w:rsid w:val="7A15284A"/>
    <w:rsid w:val="7A1E3999"/>
    <w:rsid w:val="7A20424A"/>
    <w:rsid w:val="7A3148AB"/>
    <w:rsid w:val="7A432F13"/>
    <w:rsid w:val="7A434CC1"/>
    <w:rsid w:val="7A4413F9"/>
    <w:rsid w:val="7A49604F"/>
    <w:rsid w:val="7A7B08FF"/>
    <w:rsid w:val="7A807E04"/>
    <w:rsid w:val="7A910122"/>
    <w:rsid w:val="7A9279F6"/>
    <w:rsid w:val="7ACA7190"/>
    <w:rsid w:val="7AD149C3"/>
    <w:rsid w:val="7AD5227E"/>
    <w:rsid w:val="7ADB139D"/>
    <w:rsid w:val="7AE364A4"/>
    <w:rsid w:val="7AE85868"/>
    <w:rsid w:val="7AEA0E27"/>
    <w:rsid w:val="7AF366E7"/>
    <w:rsid w:val="7AF4420D"/>
    <w:rsid w:val="7AF75AAB"/>
    <w:rsid w:val="7AFD57B8"/>
    <w:rsid w:val="7AFE508C"/>
    <w:rsid w:val="7B0E3521"/>
    <w:rsid w:val="7B537186"/>
    <w:rsid w:val="7B720AC6"/>
    <w:rsid w:val="7BA07EF1"/>
    <w:rsid w:val="7BAF6112"/>
    <w:rsid w:val="7BBA7205"/>
    <w:rsid w:val="7BC10593"/>
    <w:rsid w:val="7BD00A8D"/>
    <w:rsid w:val="7BE6624C"/>
    <w:rsid w:val="7BE934CD"/>
    <w:rsid w:val="7BEB1AB4"/>
    <w:rsid w:val="7BEF6703"/>
    <w:rsid w:val="7BFA6408"/>
    <w:rsid w:val="7C180AB2"/>
    <w:rsid w:val="7C55517F"/>
    <w:rsid w:val="7C572CA5"/>
    <w:rsid w:val="7C5859F2"/>
    <w:rsid w:val="7C683105"/>
    <w:rsid w:val="7C735E4E"/>
    <w:rsid w:val="7C9B5288"/>
    <w:rsid w:val="7CB2612E"/>
    <w:rsid w:val="7CC04CEF"/>
    <w:rsid w:val="7CC540B3"/>
    <w:rsid w:val="7CCF6CE0"/>
    <w:rsid w:val="7CFB1883"/>
    <w:rsid w:val="7D071AF5"/>
    <w:rsid w:val="7D21599B"/>
    <w:rsid w:val="7D4579F4"/>
    <w:rsid w:val="7D6E4798"/>
    <w:rsid w:val="7D7E7646"/>
    <w:rsid w:val="7D8775BA"/>
    <w:rsid w:val="7D893333"/>
    <w:rsid w:val="7D9046C1"/>
    <w:rsid w:val="7DC26738"/>
    <w:rsid w:val="7DC409A9"/>
    <w:rsid w:val="7DCE6F97"/>
    <w:rsid w:val="7DD16A88"/>
    <w:rsid w:val="7DE22A43"/>
    <w:rsid w:val="7DE52587"/>
    <w:rsid w:val="7DE9584E"/>
    <w:rsid w:val="7E062BD5"/>
    <w:rsid w:val="7E3239CA"/>
    <w:rsid w:val="7E3F7E95"/>
    <w:rsid w:val="7E5576B9"/>
    <w:rsid w:val="7E68119A"/>
    <w:rsid w:val="7E972C19"/>
    <w:rsid w:val="7EA452E1"/>
    <w:rsid w:val="7EA85A3A"/>
    <w:rsid w:val="7EAB72D9"/>
    <w:rsid w:val="7EAD12A3"/>
    <w:rsid w:val="7EB75C7D"/>
    <w:rsid w:val="7EBB2BFC"/>
    <w:rsid w:val="7ED11BDF"/>
    <w:rsid w:val="7EF14CDF"/>
    <w:rsid w:val="7F1B445E"/>
    <w:rsid w:val="7F1E7AAB"/>
    <w:rsid w:val="7F3C6183"/>
    <w:rsid w:val="7F422A3A"/>
    <w:rsid w:val="7F4F4108"/>
    <w:rsid w:val="7F594F87"/>
    <w:rsid w:val="7F6E4E40"/>
    <w:rsid w:val="7F7E2419"/>
    <w:rsid w:val="7F856BE9"/>
    <w:rsid w:val="7F8D69DE"/>
    <w:rsid w:val="7F91674F"/>
    <w:rsid w:val="7F954211"/>
    <w:rsid w:val="7F9935D5"/>
    <w:rsid w:val="7FA44454"/>
    <w:rsid w:val="7FAA7590"/>
    <w:rsid w:val="7FB328E9"/>
    <w:rsid w:val="7FBF303C"/>
    <w:rsid w:val="7FDA60C7"/>
    <w:rsid w:val="7FEB7F4E"/>
    <w:rsid w:val="7FED39F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qFormat="1" w:unhideWhenUsed="0" w:uiPriority="99"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qFormat="1"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2">
    <w:name w:val="heading 1"/>
    <w:basedOn w:val="1"/>
    <w:next w:val="1"/>
    <w:link w:val="67"/>
    <w:qFormat/>
    <w:uiPriority w:val="99"/>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3">
    <w:name w:val="heading 2"/>
    <w:basedOn w:val="1"/>
    <w:next w:val="1"/>
    <w:link w:val="107"/>
    <w:qFormat/>
    <w:uiPriority w:val="99"/>
    <w:pPr>
      <w:spacing w:before="260" w:after="260" w:line="416" w:lineRule="atLeast"/>
      <w:outlineLvl w:val="1"/>
    </w:pPr>
    <w:rPr>
      <w:rFonts w:ascii="Cambria" w:hAnsi="Cambria"/>
      <w:sz w:val="32"/>
      <w:szCs w:val="32"/>
    </w:rPr>
  </w:style>
  <w:style w:type="paragraph" w:styleId="4">
    <w:name w:val="heading 3"/>
    <w:basedOn w:val="1"/>
    <w:next w:val="5"/>
    <w:link w:val="117"/>
    <w:qFormat/>
    <w:uiPriority w:val="99"/>
    <w:pPr>
      <w:tabs>
        <w:tab w:val="left" w:pos="588"/>
      </w:tabs>
      <w:spacing w:line="360" w:lineRule="auto"/>
      <w:outlineLvl w:val="2"/>
    </w:pPr>
    <w:rPr>
      <w:rFonts w:ascii="Tahoma" w:hAnsi="Tahoma"/>
    </w:rPr>
  </w:style>
  <w:style w:type="paragraph" w:styleId="6">
    <w:name w:val="heading 4"/>
    <w:basedOn w:val="1"/>
    <w:next w:val="1"/>
    <w:link w:val="143"/>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7">
    <w:name w:val="heading 5"/>
    <w:basedOn w:val="1"/>
    <w:next w:val="1"/>
    <w:link w:val="106"/>
    <w:qFormat/>
    <w:uiPriority w:val="99"/>
    <w:pPr>
      <w:keepNext/>
      <w:keepLines/>
      <w:spacing w:before="280" w:after="290" w:line="376" w:lineRule="auto"/>
      <w:ind w:left="1008" w:hanging="1008"/>
      <w:outlineLvl w:val="4"/>
    </w:pPr>
    <w:rPr>
      <w:b/>
      <w:bCs/>
      <w:sz w:val="24"/>
      <w:szCs w:val="28"/>
    </w:rPr>
  </w:style>
  <w:style w:type="paragraph" w:styleId="8">
    <w:name w:val="heading 6"/>
    <w:basedOn w:val="1"/>
    <w:next w:val="1"/>
    <w:link w:val="136"/>
    <w:qFormat/>
    <w:uiPriority w:val="99"/>
    <w:pPr>
      <w:keepNext/>
      <w:keepLines/>
      <w:spacing w:before="240" w:after="64" w:line="320" w:lineRule="auto"/>
      <w:ind w:left="1152" w:hanging="1152"/>
      <w:outlineLvl w:val="5"/>
    </w:pPr>
    <w:rPr>
      <w:rFonts w:ascii="Arial" w:hAnsi="Arial" w:eastAsia="黑体"/>
      <w:b/>
      <w:bCs/>
      <w:sz w:val="24"/>
      <w:szCs w:val="28"/>
    </w:rPr>
  </w:style>
  <w:style w:type="paragraph" w:styleId="9">
    <w:name w:val="heading 7"/>
    <w:basedOn w:val="1"/>
    <w:next w:val="1"/>
    <w:link w:val="126"/>
    <w:qFormat/>
    <w:uiPriority w:val="99"/>
    <w:pPr>
      <w:keepNext/>
      <w:keepLines/>
      <w:spacing w:before="240" w:after="64" w:line="320" w:lineRule="auto"/>
      <w:ind w:left="1296" w:hanging="1296"/>
      <w:outlineLvl w:val="6"/>
    </w:pPr>
    <w:rPr>
      <w:b/>
      <w:bCs/>
      <w:sz w:val="24"/>
      <w:szCs w:val="28"/>
    </w:rPr>
  </w:style>
  <w:style w:type="paragraph" w:styleId="10">
    <w:name w:val="heading 8"/>
    <w:basedOn w:val="1"/>
    <w:next w:val="1"/>
    <w:link w:val="112"/>
    <w:qFormat/>
    <w:uiPriority w:val="99"/>
    <w:pPr>
      <w:keepNext/>
      <w:keepLines/>
      <w:spacing w:before="240" w:after="64" w:line="320" w:lineRule="auto"/>
      <w:ind w:left="1440" w:hanging="1440"/>
      <w:outlineLvl w:val="7"/>
    </w:pPr>
    <w:rPr>
      <w:rFonts w:ascii="Arial" w:hAnsi="Arial" w:eastAsia="黑体"/>
      <w:sz w:val="24"/>
      <w:szCs w:val="28"/>
    </w:rPr>
  </w:style>
  <w:style w:type="paragraph" w:styleId="11">
    <w:name w:val="heading 9"/>
    <w:basedOn w:val="1"/>
    <w:next w:val="1"/>
    <w:link w:val="128"/>
    <w:qFormat/>
    <w:uiPriority w:val="99"/>
    <w:pPr>
      <w:keepNext/>
      <w:keepLines/>
      <w:spacing w:before="240" w:after="64" w:line="320" w:lineRule="auto"/>
      <w:ind w:left="1584" w:hanging="1584"/>
      <w:outlineLvl w:val="8"/>
    </w:pPr>
    <w:rPr>
      <w:rFonts w:ascii="Arial" w:hAnsi="Arial" w:eastAsia="黑体"/>
      <w:sz w:val="24"/>
      <w:szCs w:val="21"/>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39"/>
    <w:qFormat/>
    <w:uiPriority w:val="0"/>
    <w:pPr>
      <w:spacing w:line="360" w:lineRule="auto"/>
      <w:ind w:firstLine="200" w:firstLineChars="200"/>
    </w:pPr>
    <w:rPr>
      <w:sz w:val="24"/>
      <w:szCs w:val="20"/>
    </w:rPr>
  </w:style>
  <w:style w:type="paragraph" w:styleId="12">
    <w:name w:val="toc 7"/>
    <w:basedOn w:val="1"/>
    <w:next w:val="1"/>
    <w:qFormat/>
    <w:uiPriority w:val="39"/>
    <w:pPr>
      <w:spacing w:line="440" w:lineRule="exact"/>
      <w:ind w:left="1680"/>
      <w:jc w:val="left"/>
    </w:pPr>
    <w:rPr>
      <w:rFonts w:ascii="Calibri" w:hAnsi="Calibri"/>
      <w:sz w:val="18"/>
      <w:szCs w:val="18"/>
    </w:rPr>
  </w:style>
  <w:style w:type="paragraph" w:styleId="13">
    <w:name w:val="Note Heading"/>
    <w:basedOn w:val="14"/>
    <w:next w:val="14"/>
    <w:link w:val="203"/>
    <w:qFormat/>
    <w:uiPriority w:val="0"/>
    <w:rPr>
      <w:rFonts w:ascii="..ì." w:eastAsia="..ì." w:cs="Times New Roman"/>
      <w:color w:val="auto"/>
      <w:szCs w:val="20"/>
    </w:rPr>
  </w:style>
  <w:style w:type="paragraph" w:customStyle="1" w:styleId="14">
    <w:name w:val="Default"/>
    <w:qFormat/>
    <w:uiPriority w:val="0"/>
    <w:pPr>
      <w:widowControl w:val="0"/>
      <w:autoSpaceDE w:val="0"/>
      <w:autoSpaceDN w:val="0"/>
      <w:adjustRightInd w:val="0"/>
    </w:pPr>
    <w:rPr>
      <w:rFonts w:ascii="宋体" w:hAnsi="Times New Roman" w:eastAsia="Arial Unicode MS" w:cs="宋体"/>
      <w:color w:val="000000"/>
      <w:sz w:val="24"/>
      <w:szCs w:val="24"/>
      <w:lang w:val="en-US" w:eastAsia="zh-CN" w:bidi="ar-SA"/>
    </w:rPr>
  </w:style>
  <w:style w:type="paragraph" w:styleId="15">
    <w:name w:val="caption"/>
    <w:basedOn w:val="1"/>
    <w:next w:val="1"/>
    <w:link w:val="98"/>
    <w:qFormat/>
    <w:uiPriority w:val="0"/>
    <w:pPr>
      <w:spacing w:line="480" w:lineRule="auto"/>
    </w:pPr>
    <w:rPr>
      <w:rFonts w:ascii="华文中宋" w:eastAsia="华文中宋"/>
      <w:sz w:val="36"/>
      <w:szCs w:val="20"/>
    </w:rPr>
  </w:style>
  <w:style w:type="paragraph" w:styleId="16">
    <w:name w:val="index 5"/>
    <w:basedOn w:val="1"/>
    <w:next w:val="1"/>
    <w:qFormat/>
    <w:uiPriority w:val="99"/>
    <w:pPr>
      <w:ind w:left="800" w:leftChars="800"/>
    </w:pPr>
    <w:rPr>
      <w:rFonts w:eastAsia="宋体"/>
    </w:rPr>
  </w:style>
  <w:style w:type="paragraph" w:styleId="17">
    <w:name w:val="Document Map"/>
    <w:basedOn w:val="1"/>
    <w:link w:val="133"/>
    <w:qFormat/>
    <w:uiPriority w:val="99"/>
    <w:pPr>
      <w:spacing w:line="440" w:lineRule="exact"/>
    </w:pPr>
    <w:rPr>
      <w:rFonts w:ascii="宋体"/>
      <w:sz w:val="18"/>
      <w:szCs w:val="18"/>
    </w:rPr>
  </w:style>
  <w:style w:type="paragraph" w:styleId="18">
    <w:name w:val="toa heading"/>
    <w:basedOn w:val="1"/>
    <w:next w:val="1"/>
    <w:unhideWhenUsed/>
    <w:qFormat/>
    <w:uiPriority w:val="99"/>
    <w:pPr>
      <w:spacing w:before="120"/>
    </w:pPr>
    <w:rPr>
      <w:rFonts w:ascii="Cambria" w:hAnsi="Cambria" w:eastAsia="宋体"/>
      <w:sz w:val="24"/>
    </w:rPr>
  </w:style>
  <w:style w:type="paragraph" w:styleId="19">
    <w:name w:val="annotation text"/>
    <w:basedOn w:val="1"/>
    <w:link w:val="104"/>
    <w:qFormat/>
    <w:uiPriority w:val="0"/>
    <w:pPr>
      <w:jc w:val="left"/>
    </w:pPr>
    <w:rPr>
      <w:rFonts w:ascii="Tahoma" w:hAnsi="Tahoma"/>
    </w:rPr>
  </w:style>
  <w:style w:type="paragraph" w:styleId="20">
    <w:name w:val="Salutation"/>
    <w:basedOn w:val="14"/>
    <w:next w:val="14"/>
    <w:link w:val="202"/>
    <w:qFormat/>
    <w:uiPriority w:val="0"/>
    <w:rPr>
      <w:rFonts w:ascii="..ì." w:eastAsia="..ì." w:cs="Times New Roman"/>
      <w:color w:val="auto"/>
      <w:szCs w:val="20"/>
    </w:rPr>
  </w:style>
  <w:style w:type="paragraph" w:styleId="21">
    <w:name w:val="Body Text 3"/>
    <w:basedOn w:val="1"/>
    <w:link w:val="210"/>
    <w:qFormat/>
    <w:uiPriority w:val="99"/>
    <w:pPr>
      <w:spacing w:after="120"/>
    </w:pPr>
    <w:rPr>
      <w:rFonts w:eastAsia="宋体"/>
      <w:sz w:val="16"/>
      <w:szCs w:val="16"/>
    </w:rPr>
  </w:style>
  <w:style w:type="paragraph" w:styleId="22">
    <w:name w:val="Body Text"/>
    <w:basedOn w:val="1"/>
    <w:link w:val="137"/>
    <w:qFormat/>
    <w:uiPriority w:val="99"/>
    <w:pPr>
      <w:spacing w:line="360" w:lineRule="auto"/>
    </w:pPr>
    <w:rPr>
      <w:rFonts w:ascii="Tahoma" w:hAnsi="Tahoma"/>
    </w:rPr>
  </w:style>
  <w:style w:type="paragraph" w:styleId="23">
    <w:name w:val="Body Text Indent"/>
    <w:basedOn w:val="1"/>
    <w:link w:val="169"/>
    <w:qFormat/>
    <w:uiPriority w:val="99"/>
    <w:pPr>
      <w:widowControl/>
      <w:spacing w:line="360" w:lineRule="auto"/>
      <w:ind w:firstLine="709"/>
      <w:jc w:val="left"/>
    </w:pPr>
    <w:rPr>
      <w:rFonts w:ascii="Tahoma" w:hAnsi="Tahoma"/>
    </w:rPr>
  </w:style>
  <w:style w:type="paragraph" w:styleId="24">
    <w:name w:val="Block Text"/>
    <w:basedOn w:val="1"/>
    <w:qFormat/>
    <w:uiPriority w:val="99"/>
    <w:pPr>
      <w:spacing w:line="360" w:lineRule="auto"/>
      <w:ind w:left="357" w:leftChars="170" w:right="25" w:rightChars="12" w:firstLine="1"/>
    </w:pPr>
    <w:rPr>
      <w:rFonts w:ascii="宋体" w:hAnsi="宋体" w:eastAsia="宋体" w:cs="Arial"/>
      <w:sz w:val="24"/>
      <w:szCs w:val="20"/>
    </w:rPr>
  </w:style>
  <w:style w:type="paragraph" w:styleId="25">
    <w:name w:val="List Bullet 2"/>
    <w:basedOn w:val="1"/>
    <w:qFormat/>
    <w:uiPriority w:val="0"/>
    <w:pPr>
      <w:numPr>
        <w:ilvl w:val="1"/>
        <w:numId w:val="1"/>
      </w:numPr>
      <w:spacing w:line="360" w:lineRule="auto"/>
    </w:pPr>
    <w:rPr>
      <w:sz w:val="24"/>
      <w:szCs w:val="28"/>
    </w:rPr>
  </w:style>
  <w:style w:type="paragraph" w:styleId="26">
    <w:name w:val="toc 5"/>
    <w:basedOn w:val="1"/>
    <w:next w:val="1"/>
    <w:qFormat/>
    <w:uiPriority w:val="39"/>
    <w:pPr>
      <w:spacing w:line="440" w:lineRule="exact"/>
      <w:ind w:left="1120"/>
      <w:jc w:val="left"/>
    </w:pPr>
    <w:rPr>
      <w:rFonts w:ascii="Calibri" w:hAnsi="Calibri"/>
      <w:sz w:val="18"/>
      <w:szCs w:val="18"/>
    </w:rPr>
  </w:style>
  <w:style w:type="paragraph" w:styleId="27">
    <w:name w:val="toc 3"/>
    <w:basedOn w:val="1"/>
    <w:next w:val="1"/>
    <w:qFormat/>
    <w:uiPriority w:val="39"/>
    <w:pPr>
      <w:tabs>
        <w:tab w:val="right" w:leader="dot" w:pos="8302"/>
      </w:tabs>
      <w:ind w:left="561"/>
      <w:jc w:val="left"/>
    </w:pPr>
    <w:rPr>
      <w:rFonts w:ascii="Calibri" w:hAnsi="Calibri"/>
      <w:iCs/>
      <w:sz w:val="20"/>
      <w:szCs w:val="20"/>
    </w:rPr>
  </w:style>
  <w:style w:type="paragraph" w:styleId="28">
    <w:name w:val="Plain Text"/>
    <w:basedOn w:val="1"/>
    <w:link w:val="224"/>
    <w:qFormat/>
    <w:uiPriority w:val="0"/>
    <w:pPr>
      <w:spacing w:line="360" w:lineRule="auto"/>
    </w:pPr>
    <w:rPr>
      <w:rFonts w:ascii="宋体" w:hAnsi="Courier New"/>
      <w:szCs w:val="21"/>
    </w:rPr>
  </w:style>
  <w:style w:type="paragraph" w:styleId="29">
    <w:name w:val="toc 8"/>
    <w:basedOn w:val="1"/>
    <w:next w:val="1"/>
    <w:qFormat/>
    <w:uiPriority w:val="39"/>
    <w:pPr>
      <w:spacing w:line="440" w:lineRule="exact"/>
      <w:ind w:left="1960"/>
      <w:jc w:val="left"/>
    </w:pPr>
    <w:rPr>
      <w:rFonts w:ascii="Calibri" w:hAnsi="Calibri"/>
      <w:sz w:val="18"/>
      <w:szCs w:val="18"/>
    </w:rPr>
  </w:style>
  <w:style w:type="paragraph" w:styleId="30">
    <w:name w:val="Date"/>
    <w:basedOn w:val="1"/>
    <w:next w:val="1"/>
    <w:link w:val="200"/>
    <w:qFormat/>
    <w:uiPriority w:val="99"/>
    <w:pPr>
      <w:spacing w:line="360" w:lineRule="auto"/>
      <w:ind w:left="2500" w:leftChars="2500"/>
    </w:pPr>
    <w:rPr>
      <w:rFonts w:ascii="Tahoma" w:hAnsi="Tahoma"/>
    </w:rPr>
  </w:style>
  <w:style w:type="paragraph" w:styleId="31">
    <w:name w:val="Body Text Indent 2"/>
    <w:basedOn w:val="1"/>
    <w:link w:val="165"/>
    <w:qFormat/>
    <w:uiPriority w:val="99"/>
    <w:pPr>
      <w:adjustRightInd w:val="0"/>
      <w:snapToGrid w:val="0"/>
      <w:spacing w:afterLines="25" w:line="420" w:lineRule="exact"/>
      <w:ind w:left="778" w:leftChars="378"/>
    </w:pPr>
    <w:rPr>
      <w:rFonts w:eastAsia="宋体"/>
      <w:sz w:val="24"/>
      <w:szCs w:val="30"/>
    </w:rPr>
  </w:style>
  <w:style w:type="paragraph" w:styleId="32">
    <w:name w:val="Balloon Text"/>
    <w:basedOn w:val="1"/>
    <w:link w:val="100"/>
    <w:qFormat/>
    <w:uiPriority w:val="0"/>
    <w:rPr>
      <w:sz w:val="18"/>
      <w:szCs w:val="18"/>
    </w:rPr>
  </w:style>
  <w:style w:type="paragraph" w:styleId="33">
    <w:name w:val="footer"/>
    <w:basedOn w:val="1"/>
    <w:link w:val="140"/>
    <w:qFormat/>
    <w:uiPriority w:val="99"/>
    <w:pPr>
      <w:tabs>
        <w:tab w:val="center" w:pos="4153"/>
        <w:tab w:val="right" w:pos="8306"/>
      </w:tabs>
      <w:adjustRightInd w:val="0"/>
      <w:spacing w:line="240" w:lineRule="atLeast"/>
      <w:jc w:val="left"/>
      <w:textAlignment w:val="baseline"/>
    </w:pPr>
    <w:rPr>
      <w:rFonts w:ascii="Tahoma" w:hAnsi="Tahoma"/>
      <w:sz w:val="18"/>
      <w:szCs w:val="18"/>
    </w:rPr>
  </w:style>
  <w:style w:type="paragraph" w:styleId="34">
    <w:name w:val="header"/>
    <w:basedOn w:val="1"/>
    <w:link w:val="125"/>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35">
    <w:name w:val="toc 1"/>
    <w:basedOn w:val="1"/>
    <w:next w:val="1"/>
    <w:qFormat/>
    <w:uiPriority w:val="39"/>
    <w:pPr>
      <w:tabs>
        <w:tab w:val="right" w:leader="dot" w:pos="9344"/>
      </w:tabs>
      <w:spacing w:before="120" w:after="120" w:line="360" w:lineRule="auto"/>
      <w:jc w:val="left"/>
    </w:pPr>
    <w:rPr>
      <w:rFonts w:ascii="宋体"/>
      <w:b/>
      <w:bCs/>
      <w:caps/>
      <w:sz w:val="24"/>
      <w:szCs w:val="20"/>
    </w:rPr>
  </w:style>
  <w:style w:type="paragraph" w:styleId="36">
    <w:name w:val="toc 4"/>
    <w:basedOn w:val="1"/>
    <w:next w:val="1"/>
    <w:qFormat/>
    <w:uiPriority w:val="39"/>
    <w:pPr>
      <w:spacing w:line="440" w:lineRule="exact"/>
      <w:ind w:left="840"/>
      <w:jc w:val="left"/>
    </w:pPr>
    <w:rPr>
      <w:rFonts w:ascii="Calibri" w:hAnsi="Calibri"/>
      <w:sz w:val="18"/>
      <w:szCs w:val="18"/>
    </w:rPr>
  </w:style>
  <w:style w:type="paragraph" w:styleId="37">
    <w:name w:val="List"/>
    <w:basedOn w:val="1"/>
    <w:qFormat/>
    <w:uiPriority w:val="99"/>
    <w:pPr>
      <w:adjustRightInd w:val="0"/>
      <w:spacing w:line="360" w:lineRule="atLeast"/>
      <w:ind w:left="420" w:hanging="420"/>
      <w:jc w:val="left"/>
    </w:pPr>
    <w:rPr>
      <w:rFonts w:hint="eastAsia" w:ascii="宋体" w:eastAsia="宋体"/>
      <w:kern w:val="0"/>
      <w:sz w:val="24"/>
      <w:szCs w:val="20"/>
    </w:rPr>
  </w:style>
  <w:style w:type="paragraph" w:styleId="38">
    <w:name w:val="toc 6"/>
    <w:basedOn w:val="1"/>
    <w:next w:val="1"/>
    <w:qFormat/>
    <w:uiPriority w:val="39"/>
    <w:pPr>
      <w:spacing w:line="440" w:lineRule="exact"/>
      <w:ind w:left="1400"/>
      <w:jc w:val="left"/>
    </w:pPr>
    <w:rPr>
      <w:rFonts w:ascii="Calibri" w:hAnsi="Calibri"/>
      <w:sz w:val="18"/>
      <w:szCs w:val="18"/>
    </w:rPr>
  </w:style>
  <w:style w:type="paragraph" w:styleId="39">
    <w:name w:val="Body Text Indent 3"/>
    <w:basedOn w:val="1"/>
    <w:link w:val="213"/>
    <w:qFormat/>
    <w:uiPriority w:val="99"/>
    <w:pPr>
      <w:spacing w:after="120"/>
      <w:ind w:left="420" w:leftChars="200"/>
    </w:pPr>
    <w:rPr>
      <w:sz w:val="16"/>
      <w:szCs w:val="16"/>
    </w:rPr>
  </w:style>
  <w:style w:type="paragraph" w:styleId="40">
    <w:name w:val="toc 2"/>
    <w:basedOn w:val="1"/>
    <w:next w:val="1"/>
    <w:qFormat/>
    <w:uiPriority w:val="39"/>
    <w:pPr>
      <w:widowControl/>
      <w:adjustRightInd w:val="0"/>
      <w:spacing w:line="300" w:lineRule="auto"/>
      <w:jc w:val="center"/>
    </w:pPr>
    <w:rPr>
      <w:rFonts w:eastAsia="黑体"/>
      <w:smallCaps/>
      <w:kern w:val="0"/>
      <w:sz w:val="24"/>
    </w:rPr>
  </w:style>
  <w:style w:type="paragraph" w:styleId="41">
    <w:name w:val="toc 9"/>
    <w:basedOn w:val="1"/>
    <w:next w:val="1"/>
    <w:qFormat/>
    <w:uiPriority w:val="39"/>
    <w:pPr>
      <w:spacing w:line="440" w:lineRule="exact"/>
      <w:ind w:left="2240"/>
      <w:jc w:val="left"/>
    </w:pPr>
    <w:rPr>
      <w:rFonts w:ascii="Calibri" w:hAnsi="Calibri"/>
      <w:sz w:val="18"/>
      <w:szCs w:val="18"/>
    </w:rPr>
  </w:style>
  <w:style w:type="paragraph" w:styleId="42">
    <w:name w:val="Body Text 2"/>
    <w:basedOn w:val="1"/>
    <w:link w:val="171"/>
    <w:qFormat/>
    <w:uiPriority w:val="99"/>
    <w:pPr>
      <w:spacing w:line="360" w:lineRule="auto"/>
      <w:ind w:right="26"/>
    </w:pPr>
    <w:rPr>
      <w:rFonts w:ascii="宋体" w:eastAsia="宋体"/>
      <w:szCs w:val="20"/>
    </w:rPr>
  </w:style>
  <w:style w:type="paragraph" w:styleId="4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5">
    <w:name w:val="index 1"/>
    <w:basedOn w:val="1"/>
    <w:next w:val="1"/>
    <w:qFormat/>
    <w:uiPriority w:val="99"/>
    <w:pPr>
      <w:spacing w:line="220" w:lineRule="exact"/>
      <w:jc w:val="center"/>
    </w:pPr>
    <w:rPr>
      <w:rFonts w:ascii="仿宋_GB2312" w:eastAsia="仿宋_GB2312"/>
      <w:szCs w:val="21"/>
    </w:rPr>
  </w:style>
  <w:style w:type="paragraph" w:styleId="46">
    <w:name w:val="Title"/>
    <w:basedOn w:val="1"/>
    <w:next w:val="1"/>
    <w:link w:val="127"/>
    <w:qFormat/>
    <w:uiPriority w:val="99"/>
    <w:pPr>
      <w:spacing w:before="240" w:after="60" w:line="440" w:lineRule="exact"/>
      <w:jc w:val="center"/>
      <w:outlineLvl w:val="0"/>
    </w:pPr>
    <w:rPr>
      <w:rFonts w:ascii="Cambria" w:hAnsi="Cambria"/>
      <w:b/>
      <w:bCs/>
      <w:sz w:val="32"/>
      <w:szCs w:val="32"/>
    </w:rPr>
  </w:style>
  <w:style w:type="paragraph" w:styleId="47">
    <w:name w:val="annotation subject"/>
    <w:basedOn w:val="19"/>
    <w:next w:val="19"/>
    <w:link w:val="131"/>
    <w:unhideWhenUsed/>
    <w:qFormat/>
    <w:uiPriority w:val="99"/>
    <w:pPr>
      <w:spacing w:line="440" w:lineRule="exact"/>
    </w:pPr>
    <w:rPr>
      <w:b/>
      <w:bCs/>
      <w:sz w:val="24"/>
      <w:szCs w:val="28"/>
    </w:rPr>
  </w:style>
  <w:style w:type="paragraph" w:styleId="48">
    <w:name w:val="Body Text First Indent"/>
    <w:basedOn w:val="22"/>
    <w:link w:val="134"/>
    <w:qFormat/>
    <w:uiPriority w:val="0"/>
    <w:pPr>
      <w:spacing w:after="120" w:line="240" w:lineRule="auto"/>
      <w:ind w:firstLine="100" w:firstLineChars="100"/>
    </w:pPr>
  </w:style>
  <w:style w:type="paragraph" w:styleId="49">
    <w:name w:val="Body Text First Indent 2"/>
    <w:basedOn w:val="23"/>
    <w:link w:val="170"/>
    <w:qFormat/>
    <w:uiPriority w:val="0"/>
    <w:pPr>
      <w:widowControl w:val="0"/>
      <w:spacing w:after="120" w:line="240" w:lineRule="auto"/>
      <w:ind w:left="420" w:leftChars="200" w:firstLine="420" w:firstLineChars="200"/>
      <w:jc w:val="both"/>
    </w:pPr>
    <w:rPr>
      <w:rFonts w:ascii="Times New Roman" w:hAnsi="Times New Roman" w:eastAsia="宋体"/>
    </w:rPr>
  </w:style>
  <w:style w:type="table" w:styleId="51">
    <w:name w:val="Table Grid"/>
    <w:basedOn w:val="5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0"/>
  </w:style>
  <w:style w:type="character" w:styleId="54">
    <w:name w:val="page number"/>
    <w:basedOn w:val="52"/>
    <w:qFormat/>
    <w:uiPriority w:val="99"/>
  </w:style>
  <w:style w:type="character" w:styleId="55">
    <w:name w:val="FollowedHyperlink"/>
    <w:unhideWhenUsed/>
    <w:qFormat/>
    <w:uiPriority w:val="99"/>
    <w:rPr>
      <w:color w:val="954F72"/>
      <w:u w:val="single"/>
    </w:rPr>
  </w:style>
  <w:style w:type="character" w:styleId="56">
    <w:name w:val="Emphasis"/>
    <w:qFormat/>
    <w:uiPriority w:val="0"/>
    <w:rPr>
      <w:i/>
      <w:iCs/>
    </w:rPr>
  </w:style>
  <w:style w:type="character" w:styleId="57">
    <w:name w:val="HTML Definition"/>
    <w:unhideWhenUsed/>
    <w:qFormat/>
    <w:uiPriority w:val="0"/>
  </w:style>
  <w:style w:type="character" w:styleId="58">
    <w:name w:val="HTML Typewriter"/>
    <w:basedOn w:val="52"/>
    <w:semiHidden/>
    <w:unhideWhenUsed/>
    <w:qFormat/>
    <w:uiPriority w:val="0"/>
    <w:rPr>
      <w:rFonts w:ascii="monospace" w:hAnsi="monospace" w:eastAsia="monospace" w:cs="monospace"/>
      <w:sz w:val="20"/>
    </w:rPr>
  </w:style>
  <w:style w:type="character" w:styleId="59">
    <w:name w:val="HTML Acronym"/>
    <w:basedOn w:val="52"/>
    <w:semiHidden/>
    <w:unhideWhenUsed/>
    <w:qFormat/>
    <w:uiPriority w:val="0"/>
  </w:style>
  <w:style w:type="character" w:styleId="60">
    <w:name w:val="HTML Variable"/>
    <w:unhideWhenUsed/>
    <w:qFormat/>
    <w:uiPriority w:val="0"/>
  </w:style>
  <w:style w:type="character" w:styleId="61">
    <w:name w:val="Hyperlink"/>
    <w:qFormat/>
    <w:uiPriority w:val="99"/>
    <w:rPr>
      <w:rFonts w:hint="eastAsia" w:ascii="宋体" w:hAnsi="宋体" w:eastAsia="宋体" w:cs="宋体"/>
      <w:color w:val="004A85"/>
      <w:sz w:val="12"/>
      <w:szCs w:val="12"/>
      <w:u w:val="single"/>
    </w:rPr>
  </w:style>
  <w:style w:type="character" w:styleId="62">
    <w:name w:val="HTML Code"/>
    <w:basedOn w:val="52"/>
    <w:unhideWhenUsed/>
    <w:qFormat/>
    <w:uiPriority w:val="0"/>
    <w:rPr>
      <w:rFonts w:hint="default" w:ascii="monospace" w:hAnsi="monospace" w:eastAsia="monospace" w:cs="monospace"/>
      <w:sz w:val="20"/>
    </w:rPr>
  </w:style>
  <w:style w:type="character" w:styleId="63">
    <w:name w:val="annotation reference"/>
    <w:qFormat/>
    <w:uiPriority w:val="99"/>
    <w:rPr>
      <w:sz w:val="21"/>
      <w:szCs w:val="21"/>
    </w:rPr>
  </w:style>
  <w:style w:type="character" w:styleId="64">
    <w:name w:val="HTML Cite"/>
    <w:unhideWhenUsed/>
    <w:qFormat/>
    <w:uiPriority w:val="0"/>
  </w:style>
  <w:style w:type="character" w:styleId="65">
    <w:name w:val="HTML Keyboard"/>
    <w:basedOn w:val="52"/>
    <w:semiHidden/>
    <w:unhideWhenUsed/>
    <w:qFormat/>
    <w:uiPriority w:val="0"/>
    <w:rPr>
      <w:rFonts w:hint="default" w:ascii="monospace" w:hAnsi="monospace" w:eastAsia="monospace" w:cs="monospace"/>
      <w:sz w:val="20"/>
    </w:rPr>
  </w:style>
  <w:style w:type="character" w:styleId="66">
    <w:name w:val="HTML Sample"/>
    <w:basedOn w:val="52"/>
    <w:semiHidden/>
    <w:unhideWhenUsed/>
    <w:qFormat/>
    <w:uiPriority w:val="0"/>
    <w:rPr>
      <w:rFonts w:hint="default" w:ascii="monospace" w:hAnsi="monospace" w:eastAsia="monospace" w:cs="monospace"/>
    </w:rPr>
  </w:style>
  <w:style w:type="character" w:customStyle="1" w:styleId="67">
    <w:name w:val="标题 1 Char"/>
    <w:link w:val="2"/>
    <w:qFormat/>
    <w:uiPriority w:val="0"/>
    <w:rPr>
      <w:rFonts w:ascii="Tahoma" w:hAnsi="Tahoma"/>
      <w:b/>
      <w:bCs/>
      <w:kern w:val="44"/>
      <w:sz w:val="24"/>
      <w:szCs w:val="44"/>
    </w:rPr>
  </w:style>
  <w:style w:type="paragraph" w:customStyle="1" w:styleId="68">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69">
    <w:name w:val="列出段落2"/>
    <w:basedOn w:val="1"/>
    <w:unhideWhenUsed/>
    <w:qFormat/>
    <w:uiPriority w:val="0"/>
    <w:pPr>
      <w:ind w:firstLine="420" w:firstLineChars="200"/>
    </w:pPr>
  </w:style>
  <w:style w:type="paragraph" w:customStyle="1" w:styleId="70">
    <w:name w:val="题头内容"/>
    <w:basedOn w:val="1"/>
    <w:qFormat/>
    <w:uiPriority w:val="0"/>
    <w:pPr>
      <w:adjustRightInd w:val="0"/>
      <w:spacing w:before="120" w:after="120" w:line="312" w:lineRule="atLeast"/>
      <w:ind w:right="879" w:firstLine="839" w:firstLineChars="200"/>
      <w:jc w:val="center"/>
      <w:textAlignment w:val="baseline"/>
    </w:pPr>
    <w:rPr>
      <w:rFonts w:hint="eastAsia" w:ascii="黑体" w:eastAsia="黑体"/>
      <w:kern w:val="0"/>
      <w:sz w:val="32"/>
      <w:szCs w:val="32"/>
    </w:rPr>
  </w:style>
  <w:style w:type="paragraph" w:customStyle="1" w:styleId="71">
    <w:name w:val="_Style 67"/>
    <w:basedOn w:val="1"/>
    <w:next w:val="72"/>
    <w:qFormat/>
    <w:uiPriority w:val="99"/>
    <w:pPr>
      <w:ind w:firstLine="420" w:firstLineChars="200"/>
    </w:pPr>
    <w:rPr>
      <w:rFonts w:ascii="Calibri" w:hAnsi="Calibri"/>
      <w:szCs w:val="22"/>
    </w:rPr>
  </w:style>
  <w:style w:type="paragraph" w:styleId="72">
    <w:name w:val="List Paragraph"/>
    <w:basedOn w:val="1"/>
    <w:qFormat/>
    <w:uiPriority w:val="34"/>
    <w:pPr>
      <w:ind w:firstLine="420" w:firstLineChars="200"/>
    </w:pPr>
    <w:rPr>
      <w:rFonts w:ascii="Calibri" w:hAnsi="Calibri" w:eastAsia="宋体"/>
      <w:szCs w:val="22"/>
    </w:rPr>
  </w:style>
  <w:style w:type="paragraph" w:customStyle="1" w:styleId="73">
    <w:name w:val="_Style 2"/>
    <w:basedOn w:val="1"/>
    <w:qFormat/>
    <w:uiPriority w:val="34"/>
    <w:pPr>
      <w:ind w:firstLine="420" w:firstLineChars="200"/>
    </w:pPr>
    <w:rPr>
      <w:rFonts w:ascii="Calibri" w:hAnsi="Calibri"/>
      <w:szCs w:val="22"/>
    </w:rPr>
  </w:style>
  <w:style w:type="paragraph" w:customStyle="1" w:styleId="74">
    <w:name w:val="列出段落1"/>
    <w:basedOn w:val="1"/>
    <w:qFormat/>
    <w:uiPriority w:val="0"/>
    <w:pPr>
      <w:adjustRightInd w:val="0"/>
      <w:spacing w:line="300" w:lineRule="auto"/>
      <w:ind w:firstLine="420" w:firstLineChars="200"/>
      <w:textAlignment w:val="baseline"/>
    </w:pPr>
    <w:rPr>
      <w:kern w:val="0"/>
      <w:sz w:val="24"/>
    </w:rPr>
  </w:style>
  <w:style w:type="paragraph" w:customStyle="1" w:styleId="75">
    <w:name w:val="TOC 标题1"/>
    <w:basedOn w:val="2"/>
    <w:next w:val="1"/>
    <w:qFormat/>
    <w:uiPriority w:val="0"/>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76">
    <w:name w:val="封面落款"/>
    <w:basedOn w:val="1"/>
    <w:qFormat/>
    <w:uiPriority w:val="0"/>
    <w:pPr>
      <w:spacing w:line="360" w:lineRule="auto"/>
      <w:jc w:val="center"/>
    </w:pPr>
    <w:rPr>
      <w:rFonts w:ascii="Arial" w:hAnsi="Arial" w:eastAsia="黑体"/>
      <w:sz w:val="32"/>
      <w:szCs w:val="28"/>
    </w:rPr>
  </w:style>
  <w:style w:type="paragraph" w:customStyle="1" w:styleId="77">
    <w:name w:val="目录"/>
    <w:link w:val="109"/>
    <w:qFormat/>
    <w:uiPriority w:val="0"/>
    <w:pPr>
      <w:spacing w:before="156" w:after="156"/>
    </w:pPr>
    <w:rPr>
      <w:rFonts w:ascii="仿宋_GB2312" w:hAnsi="宋体" w:eastAsia="仿宋_GB2312" w:cs="Times New Roman"/>
      <w:sz w:val="28"/>
      <w:szCs w:val="28"/>
      <w:lang w:val="en-US" w:eastAsia="zh-CN" w:bidi="ar-SA"/>
    </w:rPr>
  </w:style>
  <w:style w:type="paragraph" w:customStyle="1" w:styleId="78">
    <w:name w:val="表格字体小四"/>
    <w:link w:val="108"/>
    <w:qFormat/>
    <w:uiPriority w:val="0"/>
    <w:pPr>
      <w:widowControl w:val="0"/>
      <w:jc w:val="center"/>
    </w:pPr>
    <w:rPr>
      <w:rFonts w:ascii="Times New Roman" w:hAnsi="Times New Roman" w:eastAsia="Arial Unicode MS" w:cs="Times New Roman"/>
      <w:kern w:val="2"/>
      <w:sz w:val="24"/>
      <w:szCs w:val="24"/>
      <w:lang w:val="en-US" w:eastAsia="zh-CN" w:bidi="ar-SA"/>
    </w:rPr>
  </w:style>
  <w:style w:type="paragraph" w:customStyle="1" w:styleId="79">
    <w:name w:val="样式 标题 5 + 小四"/>
    <w:basedOn w:val="7"/>
    <w:qFormat/>
    <w:uiPriority w:val="0"/>
    <w:pPr>
      <w:tabs>
        <w:tab w:val="left" w:pos="567"/>
      </w:tabs>
      <w:wordWrap w:val="0"/>
      <w:spacing w:line="377" w:lineRule="auto"/>
      <w:ind w:left="567" w:hanging="567"/>
      <w:jc w:val="left"/>
    </w:pPr>
  </w:style>
  <w:style w:type="paragraph" w:customStyle="1" w:styleId="80">
    <w:name w:val="表格格式"/>
    <w:basedOn w:val="1"/>
    <w:qFormat/>
    <w:uiPriority w:val="0"/>
    <w:pPr>
      <w:adjustRightInd w:val="0"/>
      <w:snapToGrid w:val="0"/>
      <w:jc w:val="left"/>
      <w:textAlignment w:val="baseline"/>
    </w:pPr>
    <w:rPr>
      <w:rFonts w:ascii="宋体"/>
      <w:kern w:val="0"/>
      <w:szCs w:val="20"/>
    </w:rPr>
  </w:style>
  <w:style w:type="paragraph" w:customStyle="1" w:styleId="81">
    <w:name w:val="样式5"/>
    <w:basedOn w:val="5"/>
    <w:qFormat/>
    <w:uiPriority w:val="0"/>
    <w:pPr>
      <w:ind w:firstLine="420"/>
    </w:pPr>
    <w:rPr>
      <w:sz w:val="21"/>
      <w:szCs w:val="21"/>
    </w:rPr>
  </w:style>
  <w:style w:type="paragraph" w:customStyle="1" w:styleId="82">
    <w:name w:val="标题2"/>
    <w:basedOn w:val="3"/>
    <w:next w:val="1"/>
    <w:link w:val="99"/>
    <w:qFormat/>
    <w:uiPriority w:val="0"/>
    <w:pPr>
      <w:widowControl/>
      <w:spacing w:beforeLines="10" w:afterLines="10" w:line="240" w:lineRule="auto"/>
      <w:jc w:val="left"/>
    </w:pPr>
    <w:rPr>
      <w:rFonts w:ascii="Times New Roman" w:hAnsi="Times New Roman" w:eastAsia="黑体"/>
      <w:b/>
      <w:bCs/>
      <w:szCs w:val="24"/>
    </w:rPr>
  </w:style>
  <w:style w:type="paragraph" w:customStyle="1" w:styleId="83">
    <w:name w:val="三级"/>
    <w:basedOn w:val="3"/>
    <w:link w:val="110"/>
    <w:qFormat/>
    <w:uiPriority w:val="0"/>
    <w:pPr>
      <w:widowControl/>
      <w:spacing w:beforeLines="10" w:afterLines="10" w:line="240" w:lineRule="auto"/>
      <w:ind w:left="720" w:hanging="720"/>
      <w:jc w:val="left"/>
    </w:pPr>
    <w:rPr>
      <w:rFonts w:ascii="Times New Roman" w:hAnsi="Times New Roman" w:eastAsia="黑体"/>
      <w:b/>
      <w:sz w:val="30"/>
      <w:szCs w:val="24"/>
    </w:rPr>
  </w:style>
  <w:style w:type="paragraph" w:customStyle="1" w:styleId="84">
    <w:name w:val="样式2"/>
    <w:basedOn w:val="1"/>
    <w:link w:val="122"/>
    <w:qFormat/>
    <w:uiPriority w:val="0"/>
    <w:pPr>
      <w:spacing w:line="300" w:lineRule="auto"/>
      <w:jc w:val="center"/>
      <w:outlineLvl w:val="0"/>
    </w:pPr>
    <w:rPr>
      <w:b/>
      <w:sz w:val="24"/>
    </w:rPr>
  </w:style>
  <w:style w:type="paragraph" w:customStyle="1" w:styleId="85">
    <w:name w:val="Char1"/>
    <w:basedOn w:val="1"/>
    <w:qFormat/>
    <w:uiPriority w:val="0"/>
    <w:pPr>
      <w:adjustRightInd w:val="0"/>
      <w:spacing w:line="360" w:lineRule="auto"/>
    </w:pPr>
    <w:rPr>
      <w:kern w:val="0"/>
      <w:sz w:val="24"/>
      <w:szCs w:val="20"/>
    </w:rPr>
  </w:style>
  <w:style w:type="paragraph" w:customStyle="1" w:styleId="86">
    <w:name w:val="表格标题(居中)"/>
    <w:basedOn w:val="1"/>
    <w:qFormat/>
    <w:uiPriority w:val="0"/>
    <w:pPr>
      <w:adjustRightInd w:val="0"/>
      <w:snapToGrid w:val="0"/>
      <w:spacing w:line="300" w:lineRule="auto"/>
      <w:ind w:firstLine="480" w:firstLineChars="200"/>
      <w:jc w:val="center"/>
      <w:textAlignment w:val="baseline"/>
    </w:pPr>
    <w:rPr>
      <w:rFonts w:eastAsia="黑体"/>
      <w:kern w:val="0"/>
      <w:sz w:val="24"/>
    </w:rPr>
  </w:style>
  <w:style w:type="paragraph" w:customStyle="1" w:styleId="87">
    <w:name w:val="标题3"/>
    <w:basedOn w:val="4"/>
    <w:next w:val="1"/>
    <w:link w:val="142"/>
    <w:qFormat/>
    <w:uiPriority w:val="0"/>
    <w:pPr>
      <w:tabs>
        <w:tab w:val="clear" w:pos="588"/>
      </w:tabs>
      <w:spacing w:beforeLines="10" w:afterLines="10" w:line="440" w:lineRule="exact"/>
      <w:ind w:left="720" w:hanging="720"/>
      <w:jc w:val="left"/>
    </w:pPr>
    <w:rPr>
      <w:rFonts w:ascii="Times New Roman" w:hAnsi="Times New Roman" w:eastAsia="黑体"/>
      <w:b/>
      <w:bCs/>
      <w:sz w:val="28"/>
    </w:rPr>
  </w:style>
  <w:style w:type="paragraph" w:customStyle="1" w:styleId="88">
    <w:name w:val="图表正文"/>
    <w:basedOn w:val="1"/>
    <w:qFormat/>
    <w:uiPriority w:val="0"/>
    <w:pPr>
      <w:tabs>
        <w:tab w:val="left" w:pos="2117"/>
      </w:tabs>
      <w:spacing w:beforeLines="50" w:afterLines="50" w:line="276" w:lineRule="auto"/>
      <w:jc w:val="center"/>
    </w:pPr>
    <w:rPr>
      <w:rFonts w:ascii="宋体" w:hAnsi="宋体"/>
      <w:color w:val="000000"/>
      <w:szCs w:val="21"/>
    </w:rPr>
  </w:style>
  <w:style w:type="paragraph" w:customStyle="1" w:styleId="89">
    <w:name w:val="表格标题"/>
    <w:basedOn w:val="15"/>
    <w:link w:val="135"/>
    <w:qFormat/>
    <w:uiPriority w:val="0"/>
    <w:pPr>
      <w:spacing w:before="152" w:after="160" w:line="420" w:lineRule="exact"/>
      <w:ind w:firstLine="480" w:firstLineChars="200"/>
      <w:jc w:val="center"/>
    </w:pPr>
    <w:rPr>
      <w:rFonts w:ascii="Arial" w:hAnsi="Arial" w:eastAsia="宋体"/>
      <w:sz w:val="24"/>
      <w:szCs w:val="24"/>
    </w:rPr>
  </w:style>
  <w:style w:type="paragraph" w:customStyle="1" w:styleId="90">
    <w:name w:val="正文小4号字缩进2字符"/>
    <w:qFormat/>
    <w:uiPriority w:val="0"/>
    <w:pPr>
      <w:widowControl w:val="0"/>
      <w:tabs>
        <w:tab w:val="left" w:pos="2205"/>
      </w:tabs>
      <w:spacing w:line="400" w:lineRule="exact"/>
      <w:ind w:right="240" w:rightChars="100" w:firstLine="240" w:firstLineChars="100"/>
      <w:jc w:val="center"/>
    </w:pPr>
    <w:rPr>
      <w:rFonts w:ascii="宋体" w:hAnsi="宋体" w:eastAsia="Arial Unicode MS" w:cs="Times New Roman"/>
      <w:color w:val="000000"/>
      <w:kern w:val="2"/>
      <w:sz w:val="24"/>
      <w:szCs w:val="24"/>
      <w:lang w:val="en-US" w:eastAsia="zh-CN" w:bidi="ar-SA"/>
    </w:rPr>
  </w:style>
  <w:style w:type="paragraph" w:customStyle="1" w:styleId="91">
    <w:name w:val="图片"/>
    <w:basedOn w:val="1"/>
    <w:link w:val="124"/>
    <w:qFormat/>
    <w:uiPriority w:val="0"/>
    <w:pPr>
      <w:jc w:val="center"/>
    </w:pPr>
    <w:rPr>
      <w:sz w:val="28"/>
      <w:szCs w:val="28"/>
    </w:rPr>
  </w:style>
  <w:style w:type="paragraph" w:customStyle="1" w:styleId="92">
    <w:name w:val="正文首行缩进1"/>
    <w:basedOn w:val="22"/>
    <w:qFormat/>
    <w:uiPriority w:val="0"/>
    <w:pPr>
      <w:suppressAutoHyphens/>
      <w:spacing w:line="300" w:lineRule="auto"/>
      <w:ind w:left="426"/>
    </w:pPr>
    <w:rPr>
      <w:rFonts w:ascii="宋体" w:hAnsi="宋体"/>
      <w:szCs w:val="20"/>
    </w:rPr>
  </w:style>
  <w:style w:type="paragraph" w:customStyle="1" w:styleId="93">
    <w:name w:val="纯文本1"/>
    <w:basedOn w:val="1"/>
    <w:qFormat/>
    <w:uiPriority w:val="0"/>
    <w:rPr>
      <w:rFonts w:ascii="宋体" w:hAnsi="Courier New"/>
    </w:rPr>
  </w:style>
  <w:style w:type="paragraph" w:customStyle="1" w:styleId="94">
    <w:name w:val="样式 首行不缩进"/>
    <w:basedOn w:val="1"/>
    <w:qFormat/>
    <w:uiPriority w:val="0"/>
    <w:pPr>
      <w:spacing w:before="120" w:after="120" w:line="360" w:lineRule="auto"/>
      <w:jc w:val="center"/>
    </w:pPr>
    <w:rPr>
      <w:rFonts w:cs="宋体"/>
      <w:sz w:val="24"/>
      <w:szCs w:val="20"/>
    </w:rPr>
  </w:style>
  <w:style w:type="paragraph" w:customStyle="1" w:styleId="95">
    <w:name w:val="图题"/>
    <w:link w:val="118"/>
    <w:qFormat/>
    <w:uiPriority w:val="0"/>
    <w:pPr>
      <w:jc w:val="center"/>
    </w:pPr>
    <w:rPr>
      <w:rFonts w:ascii="Times New Roman" w:hAnsi="Times New Roman" w:eastAsia="Arial Unicode MS" w:cs="Times New Roman"/>
      <w:kern w:val="2"/>
      <w:sz w:val="24"/>
      <w:szCs w:val="24"/>
      <w:lang w:val="en-US" w:eastAsia="zh-CN" w:bidi="ar-SA"/>
    </w:rPr>
  </w:style>
  <w:style w:type="paragraph" w:customStyle="1" w:styleId="96">
    <w:name w:val="小列表"/>
    <w:basedOn w:val="1"/>
    <w:link w:val="102"/>
    <w:qFormat/>
    <w:uiPriority w:val="0"/>
    <w:pPr>
      <w:numPr>
        <w:ilvl w:val="0"/>
        <w:numId w:val="2"/>
      </w:numPr>
      <w:autoSpaceDE w:val="0"/>
      <w:autoSpaceDN w:val="0"/>
      <w:spacing w:line="440" w:lineRule="exact"/>
      <w:ind w:firstLine="0"/>
    </w:pPr>
    <w:rPr>
      <w:sz w:val="24"/>
      <w:szCs w:val="28"/>
    </w:rPr>
  </w:style>
  <w:style w:type="paragraph" w:customStyle="1" w:styleId="97">
    <w:name w:val="表格正文"/>
    <w:basedOn w:val="1"/>
    <w:qFormat/>
    <w:uiPriority w:val="0"/>
    <w:pPr>
      <w:widowControl/>
      <w:snapToGrid w:val="0"/>
      <w:spacing w:before="60" w:after="60"/>
      <w:ind w:left="11"/>
      <w:jc w:val="center"/>
    </w:pPr>
    <w:rPr>
      <w:kern w:val="0"/>
      <w:szCs w:val="21"/>
    </w:rPr>
  </w:style>
  <w:style w:type="character" w:customStyle="1" w:styleId="98">
    <w:name w:val="题注 Char"/>
    <w:link w:val="15"/>
    <w:qFormat/>
    <w:uiPriority w:val="0"/>
    <w:rPr>
      <w:rFonts w:ascii="华文中宋" w:eastAsia="华文中宋"/>
      <w:kern w:val="2"/>
      <w:sz w:val="36"/>
    </w:rPr>
  </w:style>
  <w:style w:type="character" w:customStyle="1" w:styleId="99">
    <w:name w:val="标题2 Char Char"/>
    <w:link w:val="82"/>
    <w:qFormat/>
    <w:uiPriority w:val="0"/>
    <w:rPr>
      <w:rFonts w:eastAsia="黑体"/>
      <w:kern w:val="2"/>
      <w:sz w:val="32"/>
      <w:szCs w:val="24"/>
    </w:rPr>
  </w:style>
  <w:style w:type="character" w:customStyle="1" w:styleId="100">
    <w:name w:val="批注框文本 Char"/>
    <w:link w:val="32"/>
    <w:qFormat/>
    <w:uiPriority w:val="0"/>
    <w:rPr>
      <w:kern w:val="2"/>
      <w:sz w:val="18"/>
      <w:szCs w:val="18"/>
    </w:rPr>
  </w:style>
  <w:style w:type="character" w:customStyle="1" w:styleId="101">
    <w:name w:val="refresh"/>
    <w:basedOn w:val="52"/>
    <w:qFormat/>
    <w:uiPriority w:val="0"/>
  </w:style>
  <w:style w:type="character" w:customStyle="1" w:styleId="102">
    <w:name w:val="小列表 Char Char"/>
    <w:link w:val="96"/>
    <w:qFormat/>
    <w:uiPriority w:val="0"/>
    <w:rPr>
      <w:rFonts w:ascii="Times New Roman" w:hAnsi="Times New Roman" w:eastAsia="Arial Unicode MS" w:cs="Times New Roman"/>
      <w:kern w:val="2"/>
      <w:sz w:val="24"/>
      <w:szCs w:val="28"/>
    </w:rPr>
  </w:style>
  <w:style w:type="character" w:customStyle="1" w:styleId="103">
    <w:name w:val="del"/>
    <w:basedOn w:val="52"/>
    <w:qFormat/>
    <w:uiPriority w:val="0"/>
  </w:style>
  <w:style w:type="character" w:customStyle="1" w:styleId="104">
    <w:name w:val="批注文字 Char1"/>
    <w:link w:val="19"/>
    <w:qFormat/>
    <w:uiPriority w:val="0"/>
    <w:rPr>
      <w:rFonts w:ascii="Tahoma" w:hAnsi="Tahoma"/>
      <w:kern w:val="2"/>
      <w:sz w:val="21"/>
      <w:szCs w:val="24"/>
    </w:rPr>
  </w:style>
  <w:style w:type="character" w:customStyle="1" w:styleId="105">
    <w:name w:val="正文缩进 Char1"/>
    <w:qFormat/>
    <w:uiPriority w:val="0"/>
    <w:rPr>
      <w:rFonts w:eastAsia="宋体"/>
      <w:kern w:val="2"/>
      <w:sz w:val="21"/>
      <w:szCs w:val="24"/>
      <w:lang w:val="en-US" w:eastAsia="zh-CN" w:bidi="ar-SA"/>
    </w:rPr>
  </w:style>
  <w:style w:type="character" w:customStyle="1" w:styleId="106">
    <w:name w:val="标题 5 Char"/>
    <w:link w:val="7"/>
    <w:qFormat/>
    <w:uiPriority w:val="99"/>
    <w:rPr>
      <w:b/>
      <w:bCs/>
      <w:kern w:val="2"/>
      <w:sz w:val="24"/>
      <w:szCs w:val="28"/>
    </w:rPr>
  </w:style>
  <w:style w:type="character" w:customStyle="1" w:styleId="107">
    <w:name w:val="标题 2 Char"/>
    <w:link w:val="3"/>
    <w:qFormat/>
    <w:uiPriority w:val="99"/>
    <w:rPr>
      <w:rFonts w:ascii="Cambria" w:hAnsi="Cambria"/>
      <w:b/>
      <w:bCs/>
      <w:kern w:val="2"/>
      <w:sz w:val="32"/>
      <w:szCs w:val="32"/>
    </w:rPr>
  </w:style>
  <w:style w:type="character" w:customStyle="1" w:styleId="108">
    <w:name w:val="表格字体小四 Char Char"/>
    <w:link w:val="78"/>
    <w:qFormat/>
    <w:uiPriority w:val="0"/>
    <w:rPr>
      <w:kern w:val="2"/>
      <w:sz w:val="24"/>
      <w:szCs w:val="24"/>
      <w:lang w:val="en-US" w:eastAsia="zh-CN" w:bidi="ar-SA"/>
    </w:rPr>
  </w:style>
  <w:style w:type="character" w:customStyle="1" w:styleId="109">
    <w:name w:val="目录 Char Char"/>
    <w:link w:val="77"/>
    <w:qFormat/>
    <w:uiPriority w:val="0"/>
    <w:rPr>
      <w:rFonts w:ascii="仿宋_GB2312" w:hAnsi="宋体" w:eastAsia="仿宋_GB2312"/>
      <w:sz w:val="28"/>
      <w:szCs w:val="28"/>
      <w:lang w:val="en-US" w:eastAsia="zh-CN" w:bidi="ar-SA"/>
    </w:rPr>
  </w:style>
  <w:style w:type="character" w:customStyle="1" w:styleId="110">
    <w:name w:val="三级 Char Char"/>
    <w:link w:val="83"/>
    <w:qFormat/>
    <w:uiPriority w:val="0"/>
    <w:rPr>
      <w:rFonts w:eastAsia="黑体"/>
      <w:bCs/>
      <w:kern w:val="2"/>
      <w:sz w:val="30"/>
      <w:szCs w:val="24"/>
    </w:rPr>
  </w:style>
  <w:style w:type="character" w:customStyle="1" w:styleId="111">
    <w:name w:val="label"/>
    <w:basedOn w:val="52"/>
    <w:qFormat/>
    <w:uiPriority w:val="0"/>
  </w:style>
  <w:style w:type="character" w:customStyle="1" w:styleId="112">
    <w:name w:val="标题 8 Char"/>
    <w:link w:val="10"/>
    <w:qFormat/>
    <w:uiPriority w:val="99"/>
    <w:rPr>
      <w:rFonts w:ascii="Arial" w:hAnsi="Arial" w:eastAsia="黑体"/>
      <w:kern w:val="2"/>
      <w:sz w:val="24"/>
      <w:szCs w:val="28"/>
    </w:rPr>
  </w:style>
  <w:style w:type="character" w:customStyle="1" w:styleId="113">
    <w:name w:val="open2"/>
    <w:basedOn w:val="52"/>
    <w:qFormat/>
    <w:uiPriority w:val="0"/>
  </w:style>
  <w:style w:type="character" w:customStyle="1" w:styleId="114">
    <w:name w:val="15"/>
    <w:qFormat/>
    <w:uiPriority w:val="0"/>
    <w:rPr>
      <w:rFonts w:hint="default" w:ascii="Calibri" w:hAnsi="Calibri" w:cs="Calibri"/>
      <w:color w:val="0000FF"/>
      <w:u w:val="single"/>
    </w:rPr>
  </w:style>
  <w:style w:type="character" w:customStyle="1" w:styleId="115">
    <w:name w:val="trans"/>
    <w:basedOn w:val="52"/>
    <w:qFormat/>
    <w:uiPriority w:val="0"/>
  </w:style>
  <w:style w:type="character" w:customStyle="1" w:styleId="116">
    <w:name w:val="del2"/>
    <w:basedOn w:val="52"/>
    <w:qFormat/>
    <w:uiPriority w:val="0"/>
  </w:style>
  <w:style w:type="character" w:customStyle="1" w:styleId="117">
    <w:name w:val="标题 3 Char"/>
    <w:link w:val="4"/>
    <w:qFormat/>
    <w:uiPriority w:val="0"/>
    <w:rPr>
      <w:rFonts w:ascii="Tahoma" w:hAnsi="Tahoma"/>
      <w:b/>
      <w:bCs/>
      <w:kern w:val="2"/>
      <w:sz w:val="32"/>
      <w:szCs w:val="32"/>
    </w:rPr>
  </w:style>
  <w:style w:type="character" w:customStyle="1" w:styleId="118">
    <w:name w:val="图题 Char Char"/>
    <w:link w:val="95"/>
    <w:qFormat/>
    <w:uiPriority w:val="0"/>
    <w:rPr>
      <w:kern w:val="2"/>
      <w:sz w:val="24"/>
      <w:szCs w:val="24"/>
      <w:lang w:val="en-US" w:eastAsia="zh-CN" w:bidi="ar-SA"/>
    </w:rPr>
  </w:style>
  <w:style w:type="character" w:customStyle="1" w:styleId="119">
    <w:name w:val="pagelinks"/>
    <w:basedOn w:val="52"/>
    <w:qFormat/>
    <w:uiPriority w:val="0"/>
  </w:style>
  <w:style w:type="character" w:customStyle="1" w:styleId="120">
    <w:name w:val="morewin"/>
    <w:basedOn w:val="52"/>
    <w:qFormat/>
    <w:uiPriority w:val="0"/>
  </w:style>
  <w:style w:type="character" w:customStyle="1" w:styleId="121">
    <w:name w:val="open"/>
    <w:basedOn w:val="52"/>
    <w:qFormat/>
    <w:uiPriority w:val="0"/>
  </w:style>
  <w:style w:type="character" w:customStyle="1" w:styleId="122">
    <w:name w:val="样式2 Char Char"/>
    <w:link w:val="84"/>
    <w:qFormat/>
    <w:uiPriority w:val="0"/>
    <w:rPr>
      <w:b/>
      <w:kern w:val="2"/>
      <w:sz w:val="24"/>
      <w:szCs w:val="24"/>
    </w:rPr>
  </w:style>
  <w:style w:type="character" w:customStyle="1" w:styleId="123">
    <w:name w:val="批注文字 Char"/>
    <w:qFormat/>
    <w:uiPriority w:val="99"/>
    <w:rPr>
      <w:kern w:val="2"/>
      <w:sz w:val="24"/>
      <w:szCs w:val="28"/>
    </w:rPr>
  </w:style>
  <w:style w:type="character" w:customStyle="1" w:styleId="124">
    <w:name w:val="图片 Char Char"/>
    <w:link w:val="91"/>
    <w:qFormat/>
    <w:uiPriority w:val="0"/>
    <w:rPr>
      <w:kern w:val="2"/>
      <w:sz w:val="28"/>
      <w:szCs w:val="28"/>
    </w:rPr>
  </w:style>
  <w:style w:type="character" w:customStyle="1" w:styleId="125">
    <w:name w:val="页眉 Char"/>
    <w:link w:val="34"/>
    <w:qFormat/>
    <w:uiPriority w:val="99"/>
    <w:rPr>
      <w:rFonts w:ascii="Tahoma" w:hAnsi="Tahoma"/>
      <w:kern w:val="2"/>
      <w:sz w:val="18"/>
      <w:szCs w:val="18"/>
    </w:rPr>
  </w:style>
  <w:style w:type="character" w:customStyle="1" w:styleId="126">
    <w:name w:val="标题 7 Char"/>
    <w:link w:val="9"/>
    <w:qFormat/>
    <w:uiPriority w:val="99"/>
    <w:rPr>
      <w:b/>
      <w:bCs/>
      <w:kern w:val="2"/>
      <w:sz w:val="24"/>
      <w:szCs w:val="28"/>
    </w:rPr>
  </w:style>
  <w:style w:type="character" w:customStyle="1" w:styleId="127">
    <w:name w:val="标题 Char"/>
    <w:link w:val="46"/>
    <w:qFormat/>
    <w:uiPriority w:val="99"/>
    <w:rPr>
      <w:rFonts w:ascii="Cambria" w:hAnsi="Cambria"/>
      <w:b/>
      <w:bCs/>
      <w:kern w:val="2"/>
      <w:sz w:val="32"/>
      <w:szCs w:val="32"/>
    </w:rPr>
  </w:style>
  <w:style w:type="character" w:customStyle="1" w:styleId="128">
    <w:name w:val="标题 9 Char"/>
    <w:link w:val="11"/>
    <w:qFormat/>
    <w:uiPriority w:val="99"/>
    <w:rPr>
      <w:rFonts w:ascii="Arial" w:hAnsi="Arial" w:eastAsia="黑体"/>
      <w:kern w:val="2"/>
      <w:sz w:val="24"/>
      <w:szCs w:val="21"/>
    </w:rPr>
  </w:style>
  <w:style w:type="character" w:customStyle="1" w:styleId="129">
    <w:name w:val="error"/>
    <w:qFormat/>
    <w:uiPriority w:val="0"/>
    <w:rPr>
      <w:color w:val="CC0000"/>
    </w:rPr>
  </w:style>
  <w:style w:type="character" w:customStyle="1" w:styleId="130">
    <w:name w:val="add"/>
    <w:basedOn w:val="52"/>
    <w:qFormat/>
    <w:uiPriority w:val="0"/>
  </w:style>
  <w:style w:type="character" w:customStyle="1" w:styleId="131">
    <w:name w:val="批注主题 Char"/>
    <w:link w:val="47"/>
    <w:qFormat/>
    <w:uiPriority w:val="99"/>
    <w:rPr>
      <w:rFonts w:ascii="Tahoma" w:hAnsi="Tahoma"/>
      <w:b/>
      <w:bCs/>
      <w:kern w:val="2"/>
      <w:sz w:val="24"/>
      <w:szCs w:val="28"/>
    </w:rPr>
  </w:style>
  <w:style w:type="character" w:customStyle="1" w:styleId="132">
    <w:name w:val="pagebanner"/>
    <w:basedOn w:val="52"/>
    <w:qFormat/>
    <w:uiPriority w:val="0"/>
  </w:style>
  <w:style w:type="character" w:customStyle="1" w:styleId="133">
    <w:name w:val="文档结构图 Char"/>
    <w:link w:val="17"/>
    <w:qFormat/>
    <w:uiPriority w:val="99"/>
    <w:rPr>
      <w:rFonts w:ascii="宋体"/>
      <w:kern w:val="2"/>
      <w:sz w:val="18"/>
      <w:szCs w:val="18"/>
    </w:rPr>
  </w:style>
  <w:style w:type="character" w:customStyle="1" w:styleId="134">
    <w:name w:val="正文首行缩进 Char"/>
    <w:link w:val="48"/>
    <w:qFormat/>
    <w:uiPriority w:val="0"/>
    <w:rPr>
      <w:rFonts w:ascii="Tahoma" w:hAnsi="Tahoma"/>
      <w:kern w:val="2"/>
      <w:sz w:val="21"/>
      <w:szCs w:val="24"/>
    </w:rPr>
  </w:style>
  <w:style w:type="character" w:customStyle="1" w:styleId="135">
    <w:name w:val="表格标题 Char Char"/>
    <w:link w:val="89"/>
    <w:qFormat/>
    <w:uiPriority w:val="0"/>
    <w:rPr>
      <w:rFonts w:ascii="Arial" w:hAnsi="Arial" w:cs="Arial"/>
      <w:kern w:val="2"/>
      <w:sz w:val="24"/>
      <w:szCs w:val="24"/>
    </w:rPr>
  </w:style>
  <w:style w:type="character" w:customStyle="1" w:styleId="136">
    <w:name w:val="标题 6 Char"/>
    <w:link w:val="8"/>
    <w:qFormat/>
    <w:uiPriority w:val="99"/>
    <w:rPr>
      <w:rFonts w:ascii="Arial" w:hAnsi="Arial" w:eastAsia="黑体"/>
      <w:b/>
      <w:bCs/>
      <w:kern w:val="2"/>
      <w:sz w:val="24"/>
      <w:szCs w:val="28"/>
    </w:rPr>
  </w:style>
  <w:style w:type="character" w:customStyle="1" w:styleId="137">
    <w:name w:val="正文文本 Char"/>
    <w:link w:val="22"/>
    <w:qFormat/>
    <w:uiPriority w:val="99"/>
    <w:rPr>
      <w:rFonts w:ascii="Tahoma" w:hAnsi="Tahoma"/>
      <w:kern w:val="2"/>
      <w:sz w:val="21"/>
      <w:szCs w:val="24"/>
    </w:rPr>
  </w:style>
  <w:style w:type="character" w:customStyle="1" w:styleId="138">
    <w:name w:val="10"/>
    <w:qFormat/>
    <w:uiPriority w:val="0"/>
    <w:rPr>
      <w:rFonts w:hint="default" w:ascii="Calibri" w:hAnsi="Calibri" w:cs="Calibri"/>
    </w:rPr>
  </w:style>
  <w:style w:type="character" w:customStyle="1" w:styleId="139">
    <w:name w:val="正文缩进 Char"/>
    <w:link w:val="5"/>
    <w:qFormat/>
    <w:uiPriority w:val="0"/>
    <w:rPr>
      <w:kern w:val="2"/>
      <w:sz w:val="24"/>
    </w:rPr>
  </w:style>
  <w:style w:type="character" w:customStyle="1" w:styleId="140">
    <w:name w:val="页脚 Char"/>
    <w:link w:val="33"/>
    <w:qFormat/>
    <w:uiPriority w:val="99"/>
    <w:rPr>
      <w:rFonts w:ascii="Tahoma" w:hAnsi="Tahoma"/>
      <w:kern w:val="2"/>
      <w:sz w:val="18"/>
      <w:szCs w:val="18"/>
    </w:rPr>
  </w:style>
  <w:style w:type="character" w:customStyle="1" w:styleId="141">
    <w:name w:val="mod"/>
    <w:basedOn w:val="52"/>
    <w:qFormat/>
    <w:uiPriority w:val="0"/>
  </w:style>
  <w:style w:type="character" w:customStyle="1" w:styleId="142">
    <w:name w:val="标题3 Char Char"/>
    <w:link w:val="87"/>
    <w:qFormat/>
    <w:uiPriority w:val="0"/>
    <w:rPr>
      <w:rFonts w:eastAsia="黑体"/>
      <w:kern w:val="2"/>
      <w:sz w:val="28"/>
      <w:szCs w:val="32"/>
    </w:rPr>
  </w:style>
  <w:style w:type="character" w:customStyle="1" w:styleId="143">
    <w:name w:val="标题 4 Char"/>
    <w:link w:val="6"/>
    <w:qFormat/>
    <w:uiPriority w:val="99"/>
    <w:rPr>
      <w:b/>
      <w:sz w:val="24"/>
      <w:szCs w:val="24"/>
    </w:rPr>
  </w:style>
  <w:style w:type="paragraph" w:customStyle="1" w:styleId="144">
    <w:name w:val="默认"/>
    <w:qFormat/>
    <w:uiPriority w:val="0"/>
    <w:pPr>
      <w:framePr w:wrap="around" w:vAnchor="margin" w:hAnchor="text" w:y="1"/>
      <w:spacing w:before="160"/>
    </w:pPr>
    <w:rPr>
      <w:rFonts w:ascii="Helvetica Neue" w:hAnsi="Helvetica Neue" w:eastAsia="Helvetica Neue" w:cs="Helvetica Neue"/>
      <w:color w:val="000000"/>
      <w:sz w:val="24"/>
      <w:szCs w:val="24"/>
      <w:lang w:val="en-US" w:eastAsia="zh-CN" w:bidi="ar-SA"/>
    </w:rPr>
  </w:style>
  <w:style w:type="character" w:customStyle="1" w:styleId="145">
    <w:name w:val="redfilefwwh"/>
    <w:basedOn w:val="52"/>
    <w:qFormat/>
    <w:uiPriority w:val="0"/>
    <w:rPr>
      <w:color w:val="BA2636"/>
      <w:sz w:val="12"/>
      <w:szCs w:val="12"/>
    </w:rPr>
  </w:style>
  <w:style w:type="character" w:customStyle="1" w:styleId="146">
    <w:name w:val="gjfg"/>
    <w:basedOn w:val="52"/>
    <w:qFormat/>
    <w:uiPriority w:val="0"/>
  </w:style>
  <w:style w:type="character" w:customStyle="1" w:styleId="147">
    <w:name w:val="redfilenumber"/>
    <w:basedOn w:val="52"/>
    <w:qFormat/>
    <w:uiPriority w:val="0"/>
    <w:rPr>
      <w:color w:val="BA2636"/>
      <w:sz w:val="12"/>
      <w:szCs w:val="12"/>
    </w:rPr>
  </w:style>
  <w:style w:type="character" w:customStyle="1" w:styleId="148">
    <w:name w:val="qxdate"/>
    <w:basedOn w:val="52"/>
    <w:qFormat/>
    <w:uiPriority w:val="0"/>
    <w:rPr>
      <w:color w:val="333333"/>
      <w:sz w:val="12"/>
      <w:szCs w:val="12"/>
    </w:rPr>
  </w:style>
  <w:style w:type="character" w:customStyle="1" w:styleId="149">
    <w:name w:val="prev"/>
    <w:basedOn w:val="52"/>
    <w:qFormat/>
    <w:uiPriority w:val="0"/>
    <w:rPr>
      <w:rFonts w:ascii="微软雅黑" w:hAnsi="微软雅黑" w:eastAsia="微软雅黑" w:cs="微软雅黑"/>
      <w:sz w:val="14"/>
      <w:szCs w:val="14"/>
    </w:rPr>
  </w:style>
  <w:style w:type="character" w:customStyle="1" w:styleId="150">
    <w:name w:val="cfdate"/>
    <w:basedOn w:val="52"/>
    <w:qFormat/>
    <w:uiPriority w:val="0"/>
    <w:rPr>
      <w:color w:val="333333"/>
      <w:sz w:val="12"/>
      <w:szCs w:val="12"/>
    </w:rPr>
  </w:style>
  <w:style w:type="character" w:customStyle="1" w:styleId="151">
    <w:name w:val="displayarti"/>
    <w:basedOn w:val="52"/>
    <w:qFormat/>
    <w:uiPriority w:val="0"/>
    <w:rPr>
      <w:color w:val="FFFFFF"/>
      <w:shd w:val="clear" w:color="auto" w:fill="A00000"/>
    </w:rPr>
  </w:style>
  <w:style w:type="character" w:customStyle="1" w:styleId="152">
    <w:name w:val="next2"/>
    <w:basedOn w:val="52"/>
    <w:qFormat/>
    <w:uiPriority w:val="0"/>
    <w:rPr>
      <w:rFonts w:hint="eastAsia" w:ascii="微软雅黑" w:hAnsi="微软雅黑" w:eastAsia="微软雅黑" w:cs="微软雅黑"/>
      <w:sz w:val="14"/>
      <w:szCs w:val="14"/>
    </w:rPr>
  </w:style>
  <w:style w:type="character" w:customStyle="1" w:styleId="153">
    <w:name w:val="next3"/>
    <w:basedOn w:val="52"/>
    <w:qFormat/>
    <w:uiPriority w:val="0"/>
    <w:rPr>
      <w:color w:val="888888"/>
    </w:rPr>
  </w:style>
  <w:style w:type="character" w:customStyle="1" w:styleId="154">
    <w:name w:val="next"/>
    <w:basedOn w:val="52"/>
    <w:qFormat/>
    <w:uiPriority w:val="0"/>
    <w:rPr>
      <w:rFonts w:ascii="微软雅黑" w:hAnsi="微软雅黑" w:eastAsia="微软雅黑" w:cs="微软雅黑"/>
      <w:sz w:val="14"/>
      <w:szCs w:val="14"/>
    </w:rPr>
  </w:style>
  <w:style w:type="character" w:customStyle="1" w:styleId="155">
    <w:name w:val="prev1"/>
    <w:basedOn w:val="52"/>
    <w:qFormat/>
    <w:uiPriority w:val="0"/>
    <w:rPr>
      <w:color w:val="888888"/>
    </w:rPr>
  </w:style>
  <w:style w:type="paragraph" w:customStyle="1" w:styleId="156">
    <w:name w:val="Body text|21"/>
    <w:basedOn w:val="1"/>
    <w:link w:val="158"/>
    <w:qFormat/>
    <w:uiPriority w:val="0"/>
    <w:pPr>
      <w:shd w:val="clear" w:color="auto" w:fill="FFFFFF"/>
      <w:spacing w:before="4340" w:after="840" w:line="240" w:lineRule="exact"/>
      <w:jc w:val="center"/>
    </w:pPr>
    <w:rPr>
      <w:rFonts w:ascii="PMingLiU" w:hAnsi="PMingLiU" w:eastAsia="PMingLiU" w:cs="PMingLiU"/>
      <w:spacing w:val="30"/>
    </w:rPr>
  </w:style>
  <w:style w:type="character" w:customStyle="1" w:styleId="157">
    <w:name w:val="Body text|2 + Spacing 0 pt"/>
    <w:basedOn w:val="158"/>
    <w:qFormat/>
    <w:uiPriority w:val="0"/>
    <w:rPr>
      <w:rFonts w:ascii="PMingLiU" w:hAnsi="PMingLiU" w:eastAsia="PMingLiU" w:cs="PMingLiU"/>
      <w:color w:val="000000"/>
      <w:spacing w:val="0"/>
      <w:w w:val="100"/>
      <w:position w:val="0"/>
      <w:sz w:val="24"/>
      <w:szCs w:val="24"/>
      <w:u w:val="none"/>
      <w:lang w:val="zh-CN" w:eastAsia="zh-CN" w:bidi="zh-CN"/>
    </w:rPr>
  </w:style>
  <w:style w:type="character" w:customStyle="1" w:styleId="158">
    <w:name w:val="Body text|2_"/>
    <w:basedOn w:val="52"/>
    <w:link w:val="156"/>
    <w:qFormat/>
    <w:uiPriority w:val="0"/>
    <w:rPr>
      <w:rFonts w:ascii="PMingLiU" w:hAnsi="PMingLiU" w:eastAsia="PMingLiU" w:cs="PMingLiU"/>
      <w:spacing w:val="30"/>
    </w:rPr>
  </w:style>
  <w:style w:type="character" w:customStyle="1" w:styleId="159">
    <w:name w:val="Body text|2 + Spacing 3 pt"/>
    <w:basedOn w:val="158"/>
    <w:qFormat/>
    <w:uiPriority w:val="0"/>
    <w:rPr>
      <w:rFonts w:ascii="PMingLiU" w:hAnsi="PMingLiU" w:eastAsia="PMingLiU" w:cs="PMingLiU"/>
      <w:color w:val="000000"/>
      <w:spacing w:val="60"/>
      <w:w w:val="100"/>
      <w:position w:val="0"/>
      <w:sz w:val="24"/>
      <w:szCs w:val="24"/>
      <w:u w:val="none"/>
      <w:lang w:val="zh-CN" w:eastAsia="zh-CN" w:bidi="zh-CN"/>
    </w:rPr>
  </w:style>
  <w:style w:type="paragraph" w:customStyle="1" w:styleId="160">
    <w:name w:val="图文"/>
    <w:basedOn w:val="1"/>
    <w:qFormat/>
    <w:uiPriority w:val="0"/>
    <w:pPr>
      <w:adjustRightInd w:val="0"/>
      <w:snapToGrid w:val="0"/>
      <w:spacing w:after="50" w:line="360" w:lineRule="auto"/>
    </w:pPr>
    <w:rPr>
      <w:sz w:val="24"/>
    </w:rPr>
  </w:style>
  <w:style w:type="paragraph" w:customStyle="1" w:styleId="161">
    <w:name w:val="页眉与页脚"/>
    <w:qFormat/>
    <w:uiPriority w:val="0"/>
    <w:pPr>
      <w:framePr w:wrap="around" w:vAnchor="margin" w:hAnchor="text" w:y="1"/>
      <w:tabs>
        <w:tab w:val="right" w:pos="9020"/>
      </w:tabs>
    </w:pPr>
    <w:rPr>
      <w:rFonts w:ascii="Helvetica Neue" w:hAnsi="Helvetica Neue" w:eastAsia="Helvetica Neue" w:cs="Helvetica Neue"/>
      <w:color w:val="000000"/>
      <w:sz w:val="24"/>
      <w:szCs w:val="24"/>
      <w:lang w:val="en-US" w:eastAsia="zh-CN" w:bidi="ar-SA"/>
    </w:rPr>
  </w:style>
  <w:style w:type="paragraph" w:customStyle="1" w:styleId="162">
    <w:name w:val="Char"/>
    <w:basedOn w:val="1"/>
    <w:qFormat/>
    <w:uiPriority w:val="0"/>
    <w:rPr>
      <w:rFonts w:ascii="仿宋_GB2312" w:eastAsia="仿宋_GB2312"/>
      <w:b/>
      <w:sz w:val="32"/>
      <w:szCs w:val="32"/>
    </w:rPr>
  </w:style>
  <w:style w:type="paragraph" w:customStyle="1" w:styleId="163">
    <w:name w:val="目录文字"/>
    <w:basedOn w:val="1"/>
    <w:qFormat/>
    <w:uiPriority w:val="0"/>
    <w:pPr>
      <w:widowControl/>
      <w:spacing w:line="480" w:lineRule="auto"/>
      <w:jc w:val="left"/>
    </w:pPr>
    <w:rPr>
      <w:rFonts w:ascii="宋体" w:hAnsi="宋体" w:eastAsia="宋体"/>
      <w:kern w:val="0"/>
      <w:sz w:val="24"/>
      <w:szCs w:val="20"/>
    </w:rPr>
  </w:style>
  <w:style w:type="paragraph" w:customStyle="1" w:styleId="164">
    <w:name w:val="1"/>
    <w:basedOn w:val="1"/>
    <w:next w:val="23"/>
    <w:qFormat/>
    <w:uiPriority w:val="99"/>
    <w:pPr>
      <w:widowControl/>
      <w:overflowPunct w:val="0"/>
      <w:autoSpaceDE w:val="0"/>
      <w:autoSpaceDN w:val="0"/>
      <w:adjustRightInd w:val="0"/>
      <w:spacing w:line="360" w:lineRule="auto"/>
      <w:ind w:firstLine="540"/>
      <w:textAlignment w:val="baseline"/>
    </w:pPr>
    <w:rPr>
      <w:rFonts w:ascii="宋体" w:hAnsi="MS Sans Serif" w:eastAsia="宋体"/>
      <w:spacing w:val="12"/>
      <w:kern w:val="0"/>
      <w:sz w:val="24"/>
      <w:szCs w:val="20"/>
    </w:rPr>
  </w:style>
  <w:style w:type="character" w:customStyle="1" w:styleId="165">
    <w:name w:val="正文文本缩进 2 Char"/>
    <w:basedOn w:val="52"/>
    <w:link w:val="31"/>
    <w:qFormat/>
    <w:uiPriority w:val="99"/>
    <w:rPr>
      <w:rFonts w:ascii="Times New Roman" w:hAnsi="Times New Roman" w:eastAsia="宋体" w:cs="Times New Roman"/>
      <w:kern w:val="2"/>
      <w:sz w:val="24"/>
      <w:szCs w:val="30"/>
    </w:rPr>
  </w:style>
  <w:style w:type="paragraph" w:customStyle="1" w:styleId="16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67">
    <w:name w:val="xl24"/>
    <w:basedOn w:val="1"/>
    <w:qFormat/>
    <w:uiPriority w:val="99"/>
    <w:pPr>
      <w:widowControl/>
      <w:spacing w:before="100" w:after="100"/>
      <w:jc w:val="center"/>
      <w:textAlignment w:val="center"/>
    </w:pPr>
    <w:rPr>
      <w:rFonts w:ascii="宋体" w:hAnsi="宋体" w:eastAsia="宋体"/>
      <w:kern w:val="0"/>
      <w:sz w:val="24"/>
      <w:szCs w:val="20"/>
    </w:rPr>
  </w:style>
  <w:style w:type="paragraph" w:customStyle="1" w:styleId="168">
    <w:name w:val="倪芳"/>
    <w:basedOn w:val="1"/>
    <w:qFormat/>
    <w:uiPriority w:val="0"/>
    <w:pPr>
      <w:spacing w:beforeLines="25" w:afterLines="15" w:line="400" w:lineRule="exact"/>
    </w:pPr>
    <w:rPr>
      <w:rFonts w:ascii="宋体" w:hAnsi="Courier New" w:eastAsia="宋体" w:cs="Courier New"/>
      <w:sz w:val="24"/>
      <w:szCs w:val="21"/>
    </w:rPr>
  </w:style>
  <w:style w:type="character" w:customStyle="1" w:styleId="169">
    <w:name w:val="正文文本缩进 Char"/>
    <w:basedOn w:val="52"/>
    <w:link w:val="23"/>
    <w:qFormat/>
    <w:uiPriority w:val="99"/>
    <w:rPr>
      <w:rFonts w:ascii="Tahoma" w:hAnsi="Tahoma" w:eastAsia="Arial Unicode MS" w:cs="Times New Roman"/>
      <w:kern w:val="2"/>
      <w:sz w:val="21"/>
      <w:szCs w:val="24"/>
    </w:rPr>
  </w:style>
  <w:style w:type="character" w:customStyle="1" w:styleId="170">
    <w:name w:val="正文首行缩进 2 Char"/>
    <w:basedOn w:val="169"/>
    <w:link w:val="49"/>
    <w:qFormat/>
    <w:uiPriority w:val="0"/>
    <w:rPr>
      <w:rFonts w:ascii="Times New Roman" w:hAnsi="Times New Roman" w:eastAsia="宋体" w:cs="Times New Roman"/>
      <w:kern w:val="2"/>
      <w:sz w:val="21"/>
      <w:szCs w:val="24"/>
    </w:rPr>
  </w:style>
  <w:style w:type="character" w:customStyle="1" w:styleId="171">
    <w:name w:val="正文文本 2 Char"/>
    <w:basedOn w:val="52"/>
    <w:link w:val="42"/>
    <w:qFormat/>
    <w:uiPriority w:val="99"/>
    <w:rPr>
      <w:rFonts w:ascii="宋体" w:hAnsi="Times New Roman" w:eastAsia="宋体" w:cs="Times New Roman"/>
      <w:kern w:val="2"/>
      <w:sz w:val="21"/>
    </w:rPr>
  </w:style>
  <w:style w:type="paragraph" w:customStyle="1" w:styleId="172">
    <w:name w:val="普通 (Web)"/>
    <w:basedOn w:val="1"/>
    <w:qFormat/>
    <w:uiPriority w:val="0"/>
    <w:pPr>
      <w:widowControl/>
      <w:spacing w:before="100" w:beforeAutospacing="1" w:after="100" w:afterAutospacing="1"/>
      <w:jc w:val="left"/>
    </w:pPr>
    <w:rPr>
      <w:rFonts w:ascii="宋体" w:hAnsi="宋体" w:eastAsia="宋体"/>
      <w:kern w:val="0"/>
      <w:sz w:val="24"/>
    </w:rPr>
  </w:style>
  <w:style w:type="paragraph" w:customStyle="1" w:styleId="173">
    <w:name w:val="样式 标题 2 + (符号) 宋体 小四"/>
    <w:basedOn w:val="3"/>
    <w:qFormat/>
    <w:uiPriority w:val="0"/>
    <w:pPr>
      <w:keepNext/>
      <w:keepLines/>
      <w:spacing w:line="416" w:lineRule="auto"/>
    </w:pPr>
    <w:rPr>
      <w:rFonts w:ascii="Arial" w:hAnsi="Arial" w:eastAsia="宋体"/>
      <w:bCs/>
      <w:sz w:val="24"/>
    </w:rPr>
  </w:style>
  <w:style w:type="character" w:customStyle="1" w:styleId="174">
    <w:name w:val="Char2"/>
    <w:qFormat/>
    <w:uiPriority w:val="0"/>
    <w:rPr>
      <w:rFonts w:ascii="Arial" w:hAnsi="Arial" w:eastAsia="黑体"/>
      <w:b/>
      <w:bCs/>
      <w:kern w:val="2"/>
      <w:sz w:val="32"/>
      <w:szCs w:val="32"/>
      <w:lang w:val="en-US" w:eastAsia="zh-CN" w:bidi="ar-SA"/>
    </w:rPr>
  </w:style>
  <w:style w:type="character" w:customStyle="1" w:styleId="175">
    <w:name w:val="样式 标题 2 + (符号) 宋体 小四 Char"/>
    <w:qFormat/>
    <w:uiPriority w:val="0"/>
    <w:rPr>
      <w:rFonts w:ascii="Arial" w:hAnsi="Arial" w:eastAsia="宋体"/>
      <w:b/>
      <w:bCs/>
      <w:kern w:val="2"/>
      <w:sz w:val="24"/>
      <w:szCs w:val="32"/>
      <w:lang w:val="en-US" w:eastAsia="zh-CN" w:bidi="ar-SA"/>
    </w:rPr>
  </w:style>
  <w:style w:type="paragraph" w:customStyle="1" w:styleId="176">
    <w:name w:val="样式1"/>
    <w:basedOn w:val="1"/>
    <w:next w:val="4"/>
    <w:qFormat/>
    <w:uiPriority w:val="99"/>
    <w:rPr>
      <w:rFonts w:eastAsia="宋体"/>
      <w:sz w:val="24"/>
      <w:szCs w:val="20"/>
    </w:rPr>
  </w:style>
  <w:style w:type="paragraph" w:customStyle="1" w:styleId="177">
    <w:name w:val="默认段落字体 Para Char Char Char Char Char Char Char Char Char Char"/>
    <w:basedOn w:val="17"/>
    <w:qFormat/>
    <w:uiPriority w:val="0"/>
    <w:pPr>
      <w:shd w:val="clear" w:color="auto" w:fill="000080"/>
      <w:spacing w:line="240" w:lineRule="auto"/>
    </w:pPr>
    <w:rPr>
      <w:rFonts w:ascii="Tahoma" w:hAnsi="Tahoma" w:eastAsia="宋体"/>
      <w:sz w:val="24"/>
      <w:szCs w:val="24"/>
    </w:rPr>
  </w:style>
  <w:style w:type="paragraph" w:customStyle="1" w:styleId="178">
    <w:name w:val="font5"/>
    <w:basedOn w:val="1"/>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79">
    <w:name w:val="xl25"/>
    <w:basedOn w:val="1"/>
    <w:qFormat/>
    <w:uiPriority w:val="0"/>
    <w:pPr>
      <w:widowControl/>
      <w:pBdr>
        <w:right w:val="single" w:color="969696" w:sz="8" w:space="0"/>
      </w:pBdr>
      <w:spacing w:before="100" w:beforeAutospacing="1" w:after="100" w:afterAutospacing="1"/>
      <w:jc w:val="left"/>
    </w:pPr>
    <w:rPr>
      <w:rFonts w:ascii="Arial Unicode MS" w:hAnsi="Arial Unicode MS" w:cs="Arial Unicode MS"/>
      <w:kern w:val="0"/>
      <w:sz w:val="18"/>
      <w:szCs w:val="18"/>
    </w:rPr>
  </w:style>
  <w:style w:type="paragraph" w:customStyle="1" w:styleId="180">
    <w:name w:val="xl2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1">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2">
    <w:name w:val="xl28"/>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3">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4">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5">
    <w:name w:val="xl31"/>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6">
    <w:name w:val="xl32"/>
    <w:basedOn w:val="1"/>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7">
    <w:name w:val="xl33"/>
    <w:basedOn w:val="1"/>
    <w:qFormat/>
    <w:uiPriority w:val="0"/>
    <w:pPr>
      <w:widowControl/>
      <w:pBdr>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8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0">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sz w:val="18"/>
      <w:szCs w:val="18"/>
    </w:rPr>
  </w:style>
  <w:style w:type="paragraph" w:customStyle="1" w:styleId="191">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2">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3">
    <w:name w:val="xl39"/>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5">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6">
    <w:name w:val="xl42"/>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7">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8">
    <w:name w:val="_Style 186"/>
    <w:qFormat/>
    <w:uiPriority w:val="99"/>
    <w:pPr>
      <w:widowControl w:val="0"/>
      <w:jc w:val="both"/>
    </w:pPr>
    <w:rPr>
      <w:rFonts w:ascii="Times New Roman" w:hAnsi="Times New Roman" w:eastAsia="Arial Unicode MS" w:cs="Times New Roman"/>
      <w:kern w:val="2"/>
      <w:sz w:val="21"/>
      <w:szCs w:val="24"/>
      <w:lang w:val="en-US" w:eastAsia="zh-CN" w:bidi="ar-SA"/>
    </w:rPr>
  </w:style>
  <w:style w:type="paragraph" w:customStyle="1" w:styleId="199">
    <w:name w:val="文档正文"/>
    <w:basedOn w:val="1"/>
    <w:qFormat/>
    <w:uiPriority w:val="0"/>
    <w:pPr>
      <w:adjustRightInd w:val="0"/>
      <w:spacing w:line="480" w:lineRule="atLeast"/>
      <w:ind w:firstLine="567"/>
      <w:textAlignment w:val="baseline"/>
    </w:pPr>
    <w:rPr>
      <w:rFonts w:ascii="长城仿宋" w:eastAsia="宋体"/>
      <w:kern w:val="0"/>
      <w:sz w:val="24"/>
    </w:rPr>
  </w:style>
  <w:style w:type="character" w:customStyle="1" w:styleId="200">
    <w:name w:val="日期 Char"/>
    <w:link w:val="30"/>
    <w:qFormat/>
    <w:uiPriority w:val="99"/>
    <w:rPr>
      <w:rFonts w:ascii="Tahoma" w:hAnsi="Tahoma" w:eastAsia="Arial Unicode MS" w:cs="Times New Roman"/>
      <w:kern w:val="2"/>
      <w:sz w:val="21"/>
      <w:szCs w:val="24"/>
    </w:rPr>
  </w:style>
  <w:style w:type="character" w:customStyle="1" w:styleId="201">
    <w:name w:val="Char Char"/>
    <w:qFormat/>
    <w:uiPriority w:val="0"/>
    <w:rPr>
      <w:rFonts w:eastAsia="宋体"/>
      <w:kern w:val="2"/>
      <w:sz w:val="24"/>
      <w:lang w:val="en-US" w:eastAsia="zh-CN" w:bidi="ar-SA"/>
    </w:rPr>
  </w:style>
  <w:style w:type="character" w:customStyle="1" w:styleId="202">
    <w:name w:val="称呼 Char"/>
    <w:basedOn w:val="52"/>
    <w:link w:val="20"/>
    <w:qFormat/>
    <w:uiPriority w:val="0"/>
    <w:rPr>
      <w:rFonts w:ascii="..ì." w:hAnsi="Times New Roman" w:eastAsia="..ì." w:cs="Times New Roman"/>
      <w:sz w:val="24"/>
    </w:rPr>
  </w:style>
  <w:style w:type="character" w:customStyle="1" w:styleId="203">
    <w:name w:val="注释标题 Char"/>
    <w:basedOn w:val="52"/>
    <w:link w:val="13"/>
    <w:qFormat/>
    <w:uiPriority w:val="0"/>
    <w:rPr>
      <w:rFonts w:ascii="..ì." w:hAnsi="Times New Roman" w:eastAsia="..ì." w:cs="Times New Roman"/>
      <w:sz w:val="24"/>
    </w:rPr>
  </w:style>
  <w:style w:type="paragraph" w:customStyle="1" w:styleId="204">
    <w:name w:val="1 Char Char Char Char"/>
    <w:basedOn w:val="1"/>
    <w:qFormat/>
    <w:uiPriority w:val="0"/>
    <w:rPr>
      <w:rFonts w:ascii="Tahoma" w:hAnsi="Tahoma" w:eastAsia="宋体"/>
      <w:sz w:val="24"/>
      <w:szCs w:val="20"/>
    </w:rPr>
  </w:style>
  <w:style w:type="paragraph" w:customStyle="1" w:styleId="205">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06">
    <w:name w:val="TOC 标题2"/>
    <w:basedOn w:val="2"/>
    <w:next w:val="1"/>
    <w:qFormat/>
    <w:uiPriority w:val="99"/>
    <w:pPr>
      <w:adjustRightInd/>
      <w:spacing w:before="340" w:after="330" w:line="578" w:lineRule="auto"/>
      <w:textAlignment w:val="auto"/>
      <w:outlineLvl w:val="9"/>
    </w:pPr>
    <w:rPr>
      <w:rFonts w:ascii="Times New Roman" w:hAnsi="Times New Roman" w:eastAsia="宋体"/>
      <w:sz w:val="44"/>
    </w:rPr>
  </w:style>
  <w:style w:type="character" w:customStyle="1" w:styleId="207">
    <w:name w:val="标题 1 Char1"/>
    <w:qFormat/>
    <w:uiPriority w:val="99"/>
    <w:rPr>
      <w:rFonts w:ascii="黑体" w:eastAsia="黑体"/>
      <w:sz w:val="52"/>
      <w:lang w:bidi="ar-SA"/>
    </w:rPr>
  </w:style>
  <w:style w:type="paragraph" w:customStyle="1" w:styleId="208">
    <w:name w:val="样式 标题 2 + Times New Roman 四号 非加粗 段前: 5 磅 段后: 0 磅 行距: 固定值 20..."/>
    <w:basedOn w:val="3"/>
    <w:qFormat/>
    <w:uiPriority w:val="99"/>
    <w:pPr>
      <w:keepNext/>
      <w:keepLines/>
      <w:spacing w:before="100" w:after="0" w:line="400" w:lineRule="exact"/>
    </w:pPr>
    <w:rPr>
      <w:rFonts w:ascii="Times New Roman" w:hAnsi="Times New Roman" w:eastAsia="黑体" w:cs="宋体"/>
      <w:sz w:val="28"/>
      <w:szCs w:val="20"/>
    </w:rPr>
  </w:style>
  <w:style w:type="paragraph" w:customStyle="1" w:styleId="209">
    <w:name w:val="3"/>
    <w:basedOn w:val="1"/>
    <w:next w:val="21"/>
    <w:qFormat/>
    <w:uiPriority w:val="99"/>
    <w:rPr>
      <w:rFonts w:ascii="宋体" w:eastAsia="宋体"/>
      <w:sz w:val="24"/>
      <w:szCs w:val="20"/>
    </w:rPr>
  </w:style>
  <w:style w:type="character" w:customStyle="1" w:styleId="210">
    <w:name w:val="正文文本 3 Char"/>
    <w:basedOn w:val="52"/>
    <w:link w:val="21"/>
    <w:qFormat/>
    <w:uiPriority w:val="99"/>
    <w:rPr>
      <w:rFonts w:ascii="Times New Roman" w:hAnsi="Times New Roman" w:eastAsia="宋体" w:cs="Times New Roman"/>
      <w:kern w:val="2"/>
      <w:sz w:val="16"/>
      <w:szCs w:val="16"/>
    </w:rPr>
  </w:style>
  <w:style w:type="paragraph" w:customStyle="1" w:styleId="211">
    <w:name w:val="样式 标题 3 + (中文) 黑体 小四 非加粗 段前: 7.8 磅 段后: 0 磅 行距: 固定值 20 磅"/>
    <w:basedOn w:val="4"/>
    <w:qFormat/>
    <w:uiPriority w:val="0"/>
    <w:pPr>
      <w:keepNext/>
      <w:keepLines/>
      <w:tabs>
        <w:tab w:val="clear" w:pos="588"/>
      </w:tabs>
      <w:spacing w:line="400" w:lineRule="exact"/>
    </w:pPr>
    <w:rPr>
      <w:rFonts w:ascii="Times New Roman" w:hAnsi="Times New Roman" w:eastAsia="黑体"/>
      <w:sz w:val="24"/>
      <w:szCs w:val="20"/>
    </w:rPr>
  </w:style>
  <w:style w:type="paragraph" w:customStyle="1" w:styleId="212">
    <w:name w:val="2"/>
    <w:basedOn w:val="1"/>
    <w:next w:val="23"/>
    <w:qFormat/>
    <w:uiPriority w:val="99"/>
    <w:pPr>
      <w:ind w:left="432"/>
    </w:pPr>
    <w:rPr>
      <w:rFonts w:eastAsia="宋体"/>
      <w:szCs w:val="20"/>
    </w:rPr>
  </w:style>
  <w:style w:type="character" w:customStyle="1" w:styleId="213">
    <w:name w:val="正文文本缩进 3 Char"/>
    <w:link w:val="39"/>
    <w:qFormat/>
    <w:uiPriority w:val="99"/>
    <w:rPr>
      <w:rFonts w:ascii="Times New Roman" w:hAnsi="Times New Roman" w:eastAsia="Arial Unicode MS" w:cs="Times New Roman"/>
      <w:kern w:val="2"/>
      <w:sz w:val="16"/>
      <w:szCs w:val="16"/>
    </w:rPr>
  </w:style>
  <w:style w:type="paragraph" w:customStyle="1" w:styleId="214">
    <w:name w:val="样式 标题 1 + 黑体 三号 非加粗 居中 段前: 6 磅 段后: 6 磅 行距: 固定值 20 磅"/>
    <w:basedOn w:val="2"/>
    <w:qFormat/>
    <w:uiPriority w:val="99"/>
    <w:pPr>
      <w:adjustRightInd/>
      <w:spacing w:before="120" w:after="120" w:line="400" w:lineRule="exact"/>
      <w:jc w:val="center"/>
      <w:textAlignment w:val="auto"/>
    </w:pPr>
    <w:rPr>
      <w:rFonts w:ascii="黑体" w:hAnsi="黑体" w:eastAsia="黑体" w:cs="宋体"/>
      <w:b w:val="0"/>
      <w:bCs w:val="0"/>
      <w:sz w:val="32"/>
      <w:szCs w:val="20"/>
    </w:rPr>
  </w:style>
  <w:style w:type="paragraph" w:customStyle="1" w:styleId="215">
    <w:name w:val="Char1111"/>
    <w:basedOn w:val="1"/>
    <w:qFormat/>
    <w:uiPriority w:val="0"/>
    <w:rPr>
      <w:rFonts w:ascii="Tahoma" w:hAnsi="Tahoma" w:eastAsia="宋体"/>
      <w:sz w:val="24"/>
      <w:szCs w:val="20"/>
    </w:rPr>
  </w:style>
  <w:style w:type="character" w:customStyle="1" w:styleId="216">
    <w:name w:val="font161"/>
    <w:qFormat/>
    <w:uiPriority w:val="99"/>
    <w:rPr>
      <w:b/>
      <w:bCs/>
      <w:sz w:val="32"/>
      <w:szCs w:val="32"/>
    </w:rPr>
  </w:style>
  <w:style w:type="paragraph" w:customStyle="1" w:styleId="217">
    <w:name w:val="6'"/>
    <w:basedOn w:val="1"/>
    <w:qFormat/>
    <w:uiPriority w:val="99"/>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218">
    <w:name w:val="表格"/>
    <w:basedOn w:val="1"/>
    <w:qFormat/>
    <w:uiPriority w:val="99"/>
    <w:pPr>
      <w:jc w:val="center"/>
      <w:textAlignment w:val="center"/>
    </w:pPr>
    <w:rPr>
      <w:rFonts w:ascii="华文细黑" w:hAnsi="华文细黑" w:eastAsia="宋体"/>
      <w:kern w:val="0"/>
      <w:szCs w:val="20"/>
    </w:rPr>
  </w:style>
  <w:style w:type="paragraph" w:customStyle="1" w:styleId="219">
    <w:name w:val="表格文字"/>
    <w:basedOn w:val="1"/>
    <w:qFormat/>
    <w:uiPriority w:val="99"/>
    <w:pPr>
      <w:adjustRightInd w:val="0"/>
      <w:spacing w:line="420" w:lineRule="atLeast"/>
      <w:jc w:val="left"/>
      <w:textAlignment w:val="baseline"/>
    </w:pPr>
    <w:rPr>
      <w:rFonts w:eastAsia="宋体"/>
      <w:kern w:val="0"/>
      <w:szCs w:val="20"/>
    </w:rPr>
  </w:style>
  <w:style w:type="paragraph" w:customStyle="1" w:styleId="220">
    <w:name w:val="XW正文"/>
    <w:basedOn w:val="23"/>
    <w:qFormat/>
    <w:uiPriority w:val="99"/>
    <w:pPr>
      <w:widowControl w:val="0"/>
      <w:adjustRightInd w:val="0"/>
      <w:snapToGrid w:val="0"/>
      <w:spacing w:line="300" w:lineRule="auto"/>
      <w:ind w:firstLine="520" w:firstLineChars="200"/>
    </w:pPr>
    <w:rPr>
      <w:rFonts w:ascii="Times New Roman" w:hAnsi="Times New Roman" w:eastAsia="宋体"/>
      <w:kern w:val="0"/>
    </w:rPr>
  </w:style>
  <w:style w:type="paragraph" w:customStyle="1" w:styleId="221">
    <w:name w:val="金安桥正文"/>
    <w:basedOn w:val="23"/>
    <w:qFormat/>
    <w:uiPriority w:val="99"/>
    <w:pPr>
      <w:widowControl w:val="0"/>
      <w:adjustRightInd w:val="0"/>
      <w:spacing w:line="300" w:lineRule="auto"/>
      <w:ind w:firstLine="200" w:firstLineChars="200"/>
    </w:pPr>
    <w:rPr>
      <w:rFonts w:ascii="Times New Roman" w:hAnsi="Times New Roman" w:eastAsia="宋体"/>
      <w:kern w:val="0"/>
      <w:sz w:val="24"/>
      <w:szCs w:val="20"/>
    </w:rPr>
  </w:style>
  <w:style w:type="character" w:customStyle="1" w:styleId="222">
    <w:name w:val="样式 粉红"/>
    <w:qFormat/>
    <w:uiPriority w:val="99"/>
    <w:rPr>
      <w:color w:val="auto"/>
      <w:u w:val="none"/>
    </w:rPr>
  </w:style>
  <w:style w:type="character" w:customStyle="1" w:styleId="223">
    <w:name w:val="Char Char1"/>
    <w:qFormat/>
    <w:uiPriority w:val="0"/>
    <w:rPr>
      <w:rFonts w:eastAsia="宋体"/>
      <w:kern w:val="2"/>
      <w:sz w:val="24"/>
      <w:lang w:val="en-US" w:eastAsia="zh-CN" w:bidi="ar-SA"/>
    </w:rPr>
  </w:style>
  <w:style w:type="character" w:customStyle="1" w:styleId="224">
    <w:name w:val="纯文本 Char"/>
    <w:link w:val="28"/>
    <w:qFormat/>
    <w:uiPriority w:val="0"/>
    <w:rPr>
      <w:rFonts w:ascii="宋体" w:hAnsi="Courier New" w:eastAsia="Arial Unicode MS" w:cs="Times New Roman"/>
      <w:kern w:val="2"/>
      <w:sz w:val="21"/>
      <w:szCs w:val="21"/>
    </w:rPr>
  </w:style>
  <w:style w:type="paragraph" w:customStyle="1" w:styleId="225">
    <w:name w:val="Char Char Char Char"/>
    <w:basedOn w:val="1"/>
    <w:qFormat/>
    <w:uiPriority w:val="0"/>
    <w:pPr>
      <w:widowControl/>
      <w:spacing w:after="160" w:line="240" w:lineRule="exact"/>
      <w:jc w:val="left"/>
    </w:pPr>
    <w:rPr>
      <w:rFonts w:eastAsia="宋体"/>
      <w:szCs w:val="20"/>
    </w:rPr>
  </w:style>
  <w:style w:type="paragraph" w:customStyle="1" w:styleId="226">
    <w:name w:val="p17"/>
    <w:basedOn w:val="1"/>
    <w:qFormat/>
    <w:uiPriority w:val="99"/>
    <w:pPr>
      <w:widowControl/>
    </w:pPr>
    <w:rPr>
      <w:rFonts w:eastAsia="宋体"/>
      <w:kern w:val="0"/>
      <w:szCs w:val="21"/>
    </w:rPr>
  </w:style>
  <w:style w:type="character" w:customStyle="1" w:styleId="227">
    <w:name w:val="H4 Char"/>
    <w:qFormat/>
    <w:uiPriority w:val="0"/>
    <w:rPr>
      <w:b/>
      <w:sz w:val="28"/>
    </w:rPr>
  </w:style>
  <w:style w:type="character" w:customStyle="1" w:styleId="228">
    <w:name w:val="Char Char2"/>
    <w:qFormat/>
    <w:uiPriority w:val="0"/>
    <w:rPr>
      <w:rFonts w:eastAsia="宋体"/>
      <w:kern w:val="2"/>
      <w:sz w:val="24"/>
      <w:lang w:val="en-US" w:eastAsia="zh-CN" w:bidi="ar-SA"/>
    </w:rPr>
  </w:style>
  <w:style w:type="character" w:customStyle="1" w:styleId="229">
    <w:name w:val="Char Char111"/>
    <w:qFormat/>
    <w:uiPriority w:val="99"/>
    <w:rPr>
      <w:rFonts w:eastAsia="宋体"/>
      <w:kern w:val="2"/>
      <w:sz w:val="24"/>
      <w:lang w:val="en-US" w:eastAsia="zh-CN" w:bidi="ar-SA"/>
    </w:rPr>
  </w:style>
  <w:style w:type="paragraph" w:customStyle="1" w:styleId="230">
    <w:name w:val="Char Char Char Char111"/>
    <w:basedOn w:val="1"/>
    <w:qFormat/>
    <w:uiPriority w:val="0"/>
    <w:pPr>
      <w:widowControl/>
      <w:spacing w:after="160" w:line="240" w:lineRule="exact"/>
      <w:jc w:val="left"/>
    </w:pPr>
    <w:rPr>
      <w:rFonts w:eastAsia="宋体"/>
      <w:szCs w:val="20"/>
    </w:rPr>
  </w:style>
  <w:style w:type="paragraph" w:customStyle="1" w:styleId="231">
    <w:name w:val="font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2">
    <w:name w:val="font6"/>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3">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4">
    <w:name w:val="xl65"/>
    <w:basedOn w:val="1"/>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23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36">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7">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8">
    <w:name w:val="xl69"/>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9">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4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41">
    <w:name w:val="xl72"/>
    <w:basedOn w:val="1"/>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242">
    <w:name w:val="xl7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43">
    <w:name w:val="前言、引言标题"/>
    <w:next w:val="1"/>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4">
    <w:name w:val="章标题"/>
    <w:next w:val="1"/>
    <w:link w:val="251"/>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245">
    <w:name w:val="一级条标题"/>
    <w:basedOn w:val="244"/>
    <w:next w:val="1"/>
    <w:link w:val="252"/>
    <w:qFormat/>
    <w:uiPriority w:val="0"/>
    <w:pPr>
      <w:numPr>
        <w:ilvl w:val="2"/>
      </w:numPr>
      <w:tabs>
        <w:tab w:val="left" w:pos="360"/>
      </w:tabs>
      <w:spacing w:beforeLines="0" w:afterLines="0"/>
      <w:ind w:left="315"/>
      <w:outlineLvl w:val="2"/>
    </w:pPr>
  </w:style>
  <w:style w:type="paragraph" w:customStyle="1" w:styleId="246">
    <w:name w:val="二级条标题"/>
    <w:basedOn w:val="245"/>
    <w:next w:val="1"/>
    <w:link w:val="253"/>
    <w:qFormat/>
    <w:uiPriority w:val="0"/>
    <w:pPr>
      <w:numPr>
        <w:ilvl w:val="3"/>
      </w:numPr>
      <w:ind w:left="315"/>
      <w:outlineLvl w:val="3"/>
    </w:pPr>
  </w:style>
  <w:style w:type="paragraph" w:customStyle="1" w:styleId="247">
    <w:name w:val="列项——"/>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248">
    <w:name w:val="三级条标题"/>
    <w:basedOn w:val="246"/>
    <w:next w:val="1"/>
    <w:qFormat/>
    <w:uiPriority w:val="0"/>
    <w:pPr>
      <w:numPr>
        <w:ilvl w:val="4"/>
      </w:numPr>
      <w:tabs>
        <w:tab w:val="left" w:pos="1680"/>
        <w:tab w:val="left" w:pos="2100"/>
      </w:tabs>
      <w:ind w:left="2100" w:hanging="420"/>
      <w:outlineLvl w:val="4"/>
    </w:pPr>
  </w:style>
  <w:style w:type="paragraph" w:customStyle="1" w:styleId="249">
    <w:name w:val="四级条标题"/>
    <w:basedOn w:val="248"/>
    <w:next w:val="1"/>
    <w:qFormat/>
    <w:uiPriority w:val="0"/>
    <w:pPr>
      <w:numPr>
        <w:ilvl w:val="5"/>
      </w:numPr>
      <w:tabs>
        <w:tab w:val="left" w:pos="2520"/>
      </w:tabs>
      <w:ind w:left="2520" w:hanging="420"/>
      <w:outlineLvl w:val="5"/>
    </w:pPr>
  </w:style>
  <w:style w:type="paragraph" w:customStyle="1" w:styleId="250">
    <w:name w:val="五级条标题"/>
    <w:basedOn w:val="249"/>
    <w:next w:val="1"/>
    <w:qFormat/>
    <w:uiPriority w:val="0"/>
    <w:pPr>
      <w:numPr>
        <w:ilvl w:val="6"/>
      </w:numPr>
      <w:tabs>
        <w:tab w:val="left" w:pos="2940"/>
      </w:tabs>
      <w:ind w:left="2940" w:hanging="420"/>
      <w:outlineLvl w:val="6"/>
    </w:pPr>
  </w:style>
  <w:style w:type="character" w:customStyle="1" w:styleId="251">
    <w:name w:val="章标题 Char"/>
    <w:link w:val="244"/>
    <w:qFormat/>
    <w:uiPriority w:val="0"/>
    <w:rPr>
      <w:rFonts w:ascii="黑体" w:hAnsi="Times New Roman" w:eastAsia="黑体" w:cs="Times New Roman"/>
      <w:sz w:val="21"/>
    </w:rPr>
  </w:style>
  <w:style w:type="character" w:customStyle="1" w:styleId="252">
    <w:name w:val="一级条标题 Char"/>
    <w:link w:val="245"/>
    <w:qFormat/>
    <w:uiPriority w:val="0"/>
    <w:rPr>
      <w:rFonts w:ascii="黑体" w:hAnsi="Times New Roman" w:eastAsia="黑体" w:cs="Times New Roman"/>
      <w:sz w:val="21"/>
    </w:rPr>
  </w:style>
  <w:style w:type="character" w:customStyle="1" w:styleId="253">
    <w:name w:val="二级条标题 Char"/>
    <w:link w:val="246"/>
    <w:qFormat/>
    <w:uiPriority w:val="0"/>
    <w:rPr>
      <w:rFonts w:ascii="黑体" w:hAnsi="Times New Roman" w:eastAsia="黑体" w:cs="Times New Roman"/>
      <w:sz w:val="21"/>
    </w:rPr>
  </w:style>
  <w:style w:type="character" w:customStyle="1" w:styleId="254">
    <w:name w:val="Heading 1 Char"/>
    <w:qFormat/>
    <w:locked/>
    <w:uiPriority w:val="0"/>
    <w:rPr>
      <w:rFonts w:ascii="黑体" w:hAnsi="Times New Roman" w:eastAsia="黑体" w:cs="Times New Roman"/>
      <w:kern w:val="0"/>
      <w:sz w:val="20"/>
      <w:szCs w:val="20"/>
    </w:rPr>
  </w:style>
  <w:style w:type="character" w:customStyle="1" w:styleId="255">
    <w:name w:val="Heading 2 Char"/>
    <w:qFormat/>
    <w:locked/>
    <w:uiPriority w:val="0"/>
    <w:rPr>
      <w:rFonts w:ascii="Times New Roman" w:hAnsi="Times New Roman" w:eastAsia="宋体" w:cs="Times New Roman"/>
      <w:b/>
      <w:kern w:val="0"/>
      <w:sz w:val="32"/>
      <w:szCs w:val="32"/>
    </w:rPr>
  </w:style>
  <w:style w:type="character" w:customStyle="1" w:styleId="256">
    <w:name w:val="标题 3 Char1"/>
    <w:qFormat/>
    <w:locked/>
    <w:uiPriority w:val="99"/>
    <w:rPr>
      <w:rFonts w:eastAsia="宋体"/>
      <w:b/>
      <w:sz w:val="32"/>
      <w:lang w:val="en-US" w:eastAsia="zh-CN" w:bidi="ar-SA"/>
    </w:rPr>
  </w:style>
  <w:style w:type="character" w:customStyle="1" w:styleId="257">
    <w:name w:val="Heading 4 Char"/>
    <w:qFormat/>
    <w:locked/>
    <w:uiPriority w:val="0"/>
    <w:rPr>
      <w:rFonts w:ascii="Times New Roman" w:hAnsi="Times New Roman" w:eastAsia="宋体" w:cs="Times New Roman"/>
      <w:b/>
      <w:kern w:val="0"/>
      <w:sz w:val="20"/>
      <w:szCs w:val="20"/>
    </w:rPr>
  </w:style>
  <w:style w:type="character" w:customStyle="1" w:styleId="258">
    <w:name w:val="Heading 5 Char"/>
    <w:qFormat/>
    <w:locked/>
    <w:uiPriority w:val="0"/>
    <w:rPr>
      <w:rFonts w:ascii="Times New Roman" w:hAnsi="Times New Roman" w:eastAsia="宋体" w:cs="Times New Roman"/>
      <w:b/>
      <w:bCs/>
      <w:sz w:val="28"/>
      <w:szCs w:val="28"/>
    </w:rPr>
  </w:style>
  <w:style w:type="character" w:customStyle="1" w:styleId="259">
    <w:name w:val="Heading 6 Char"/>
    <w:qFormat/>
    <w:locked/>
    <w:uiPriority w:val="0"/>
    <w:rPr>
      <w:rFonts w:ascii="Arial" w:hAnsi="Arial" w:eastAsia="黑体" w:cs="Times New Roman"/>
      <w:b/>
      <w:bCs/>
      <w:kern w:val="0"/>
      <w:sz w:val="24"/>
      <w:szCs w:val="24"/>
    </w:rPr>
  </w:style>
  <w:style w:type="character" w:customStyle="1" w:styleId="260">
    <w:name w:val="Heading 7 Char"/>
    <w:qFormat/>
    <w:locked/>
    <w:uiPriority w:val="0"/>
    <w:rPr>
      <w:rFonts w:ascii="Times New Roman" w:hAnsi="Times New Roman" w:eastAsia="宋体" w:cs="Times New Roman"/>
      <w:b/>
      <w:bCs/>
      <w:kern w:val="0"/>
      <w:sz w:val="24"/>
      <w:szCs w:val="24"/>
    </w:rPr>
  </w:style>
  <w:style w:type="character" w:customStyle="1" w:styleId="261">
    <w:name w:val="Heading 8 Char"/>
    <w:qFormat/>
    <w:locked/>
    <w:uiPriority w:val="0"/>
    <w:rPr>
      <w:rFonts w:ascii="Arial" w:hAnsi="Arial" w:eastAsia="黑体" w:cs="Times New Roman"/>
      <w:kern w:val="0"/>
      <w:sz w:val="24"/>
      <w:szCs w:val="24"/>
    </w:rPr>
  </w:style>
  <w:style w:type="character" w:customStyle="1" w:styleId="262">
    <w:name w:val="Heading 9 Char"/>
    <w:qFormat/>
    <w:locked/>
    <w:uiPriority w:val="0"/>
    <w:rPr>
      <w:rFonts w:ascii="Arial" w:hAnsi="Arial" w:eastAsia="黑体" w:cs="Times New Roman"/>
      <w:kern w:val="0"/>
      <w:sz w:val="21"/>
      <w:szCs w:val="21"/>
    </w:rPr>
  </w:style>
  <w:style w:type="character" w:customStyle="1" w:styleId="263">
    <w:name w:val="Document Map Char"/>
    <w:qFormat/>
    <w:locked/>
    <w:uiPriority w:val="0"/>
    <w:rPr>
      <w:rFonts w:ascii="Times New Roman" w:hAnsi="Times New Roman" w:eastAsia="宋体" w:cs="Times New Roman"/>
      <w:sz w:val="24"/>
      <w:szCs w:val="24"/>
      <w:shd w:val="clear" w:color="auto" w:fill="000080"/>
    </w:rPr>
  </w:style>
  <w:style w:type="character" w:customStyle="1" w:styleId="264">
    <w:name w:val="Date Char"/>
    <w:qFormat/>
    <w:locked/>
    <w:uiPriority w:val="0"/>
    <w:rPr>
      <w:rFonts w:ascii="Times New Roman" w:hAnsi="Times New Roman" w:eastAsia="宋体" w:cs="Times New Roman"/>
      <w:sz w:val="20"/>
      <w:szCs w:val="20"/>
    </w:rPr>
  </w:style>
  <w:style w:type="character" w:customStyle="1" w:styleId="265">
    <w:name w:val="Header Char"/>
    <w:qFormat/>
    <w:locked/>
    <w:uiPriority w:val="0"/>
    <w:rPr>
      <w:rFonts w:ascii="Times New Roman" w:hAnsi="Times New Roman" w:eastAsia="宋体" w:cs="Times New Roman"/>
      <w:kern w:val="0"/>
      <w:sz w:val="20"/>
      <w:szCs w:val="20"/>
    </w:rPr>
  </w:style>
  <w:style w:type="character" w:customStyle="1" w:styleId="266">
    <w:name w:val="Footer Char"/>
    <w:qFormat/>
    <w:locked/>
    <w:uiPriority w:val="0"/>
    <w:rPr>
      <w:rFonts w:ascii="Times New Roman" w:hAnsi="Times New Roman" w:eastAsia="宋体" w:cs="Times New Roman"/>
      <w:kern w:val="0"/>
      <w:sz w:val="20"/>
      <w:szCs w:val="20"/>
    </w:rPr>
  </w:style>
  <w:style w:type="character" w:customStyle="1" w:styleId="267">
    <w:name w:val="Plain Text Char"/>
    <w:qFormat/>
    <w:locked/>
    <w:uiPriority w:val="0"/>
    <w:rPr>
      <w:rFonts w:ascii="宋体" w:hAnsi="Courier New" w:eastAsia="宋体" w:cs="Times New Roman"/>
      <w:sz w:val="20"/>
      <w:szCs w:val="20"/>
    </w:rPr>
  </w:style>
  <w:style w:type="character" w:customStyle="1" w:styleId="268">
    <w:name w:val="Body Text Indent 2 Char"/>
    <w:qFormat/>
    <w:locked/>
    <w:uiPriority w:val="0"/>
    <w:rPr>
      <w:rFonts w:ascii="Times New Roman" w:hAnsi="Times New Roman" w:eastAsia="宋体" w:cs="Times New Roman"/>
      <w:sz w:val="30"/>
      <w:szCs w:val="30"/>
    </w:rPr>
  </w:style>
  <w:style w:type="character" w:customStyle="1" w:styleId="269">
    <w:name w:val="Body Text Indent 3 Char"/>
    <w:qFormat/>
    <w:locked/>
    <w:uiPriority w:val="0"/>
    <w:rPr>
      <w:rFonts w:ascii="Times New Roman" w:hAnsi="Times New Roman" w:eastAsia="宋体" w:cs="Times New Roman"/>
      <w:sz w:val="30"/>
      <w:szCs w:val="30"/>
    </w:rPr>
  </w:style>
  <w:style w:type="character" w:customStyle="1" w:styleId="270">
    <w:name w:val="Body Text First Indent 2 Char"/>
    <w:qFormat/>
    <w:locked/>
    <w:uiPriority w:val="0"/>
    <w:rPr>
      <w:rFonts w:ascii="Times New Roman" w:hAnsi="Times New Roman" w:eastAsia="宋体" w:cs="Times New Roman"/>
      <w:kern w:val="2"/>
      <w:sz w:val="24"/>
      <w:szCs w:val="24"/>
    </w:rPr>
  </w:style>
  <w:style w:type="character" w:customStyle="1" w:styleId="271">
    <w:name w:val="Body Text 2 Char"/>
    <w:qFormat/>
    <w:locked/>
    <w:uiPriority w:val="0"/>
    <w:rPr>
      <w:rFonts w:ascii="宋体" w:hAnsi="Times New Roman" w:eastAsia="宋体" w:cs="Times New Roman"/>
      <w:sz w:val="20"/>
      <w:szCs w:val="20"/>
    </w:rPr>
  </w:style>
  <w:style w:type="character" w:customStyle="1" w:styleId="272">
    <w:name w:val="Balloon Text Char"/>
    <w:qFormat/>
    <w:locked/>
    <w:uiPriority w:val="0"/>
    <w:rPr>
      <w:rFonts w:ascii="Times New Roman" w:hAnsi="Times New Roman" w:eastAsia="宋体" w:cs="Times New Roman"/>
      <w:sz w:val="18"/>
      <w:szCs w:val="18"/>
    </w:rPr>
  </w:style>
  <w:style w:type="character" w:customStyle="1" w:styleId="273">
    <w:name w:val="Salutation Char"/>
    <w:qFormat/>
    <w:locked/>
    <w:uiPriority w:val="0"/>
    <w:rPr>
      <w:rFonts w:ascii="..ì." w:hAnsi="Times New Roman" w:eastAsia="..ì." w:cs="Times New Roman"/>
      <w:kern w:val="0"/>
      <w:sz w:val="20"/>
      <w:szCs w:val="20"/>
    </w:rPr>
  </w:style>
  <w:style w:type="character" w:customStyle="1" w:styleId="274">
    <w:name w:val="Note Heading Char"/>
    <w:qFormat/>
    <w:locked/>
    <w:uiPriority w:val="0"/>
    <w:rPr>
      <w:rFonts w:ascii="..ì." w:hAnsi="Times New Roman" w:eastAsia="..ì." w:cs="Times New Roman"/>
      <w:kern w:val="0"/>
      <w:sz w:val="20"/>
      <w:szCs w:val="20"/>
    </w:rPr>
  </w:style>
  <w:style w:type="paragraph" w:customStyle="1" w:styleId="275">
    <w:name w:val="Revision1"/>
    <w:hidden/>
    <w:semiHidden/>
    <w:qFormat/>
    <w:uiPriority w:val="0"/>
    <w:rPr>
      <w:rFonts w:ascii="Times New Roman" w:hAnsi="Times New Roman" w:eastAsia="宋体" w:cs="Times New Roman"/>
      <w:kern w:val="2"/>
      <w:sz w:val="21"/>
      <w:szCs w:val="24"/>
      <w:lang w:val="en-US" w:eastAsia="zh-CN" w:bidi="ar-SA"/>
    </w:rPr>
  </w:style>
  <w:style w:type="paragraph" w:customStyle="1" w:styleId="276">
    <w:name w:val="TOC Heading1"/>
    <w:basedOn w:val="2"/>
    <w:next w:val="1"/>
    <w:qFormat/>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277">
    <w:name w:val="Body Text 3 Char"/>
    <w:qFormat/>
    <w:locked/>
    <w:uiPriority w:val="0"/>
    <w:rPr>
      <w:rFonts w:ascii="Times New Roman" w:hAnsi="Times New Roman" w:eastAsia="宋体" w:cs="Times New Roman"/>
      <w:sz w:val="16"/>
      <w:szCs w:val="16"/>
    </w:rPr>
  </w:style>
  <w:style w:type="character" w:customStyle="1" w:styleId="278">
    <w:name w:val="Title Char"/>
    <w:qFormat/>
    <w:locked/>
    <w:uiPriority w:val="0"/>
    <w:rPr>
      <w:rFonts w:ascii="Arial" w:hAnsi="Arial" w:eastAsia="宋体" w:cs="Times New Roman"/>
      <w:b/>
      <w:kern w:val="0"/>
      <w:sz w:val="20"/>
      <w:szCs w:val="20"/>
    </w:rPr>
  </w:style>
  <w:style w:type="character" w:customStyle="1" w:styleId="279">
    <w:name w:val="Comment Subject Char"/>
    <w:qFormat/>
    <w:locked/>
    <w:uiPriority w:val="0"/>
    <w:rPr>
      <w:rFonts w:ascii="Times New Roman" w:hAnsi="Times New Roman" w:eastAsia="宋体" w:cs="Times New Roman"/>
      <w:b/>
      <w:bCs/>
      <w:sz w:val="24"/>
      <w:szCs w:val="24"/>
    </w:rPr>
  </w:style>
  <w:style w:type="character" w:customStyle="1" w:styleId="280">
    <w:name w:val="Comment Text Char"/>
    <w:qFormat/>
    <w:locked/>
    <w:uiPriority w:val="0"/>
    <w:rPr>
      <w:rFonts w:ascii="Times New Roman" w:hAnsi="Times New Roman" w:eastAsia="宋体"/>
      <w:sz w:val="24"/>
    </w:rPr>
  </w:style>
  <w:style w:type="paragraph" w:customStyle="1" w:styleId="281">
    <w:name w:val="List Paragraph1"/>
    <w:basedOn w:val="1"/>
    <w:qFormat/>
    <w:uiPriority w:val="0"/>
    <w:pPr>
      <w:ind w:firstLine="420" w:firstLineChars="200"/>
    </w:pPr>
    <w:rPr>
      <w:rFonts w:eastAsia="宋体"/>
    </w:rPr>
  </w:style>
  <w:style w:type="paragraph" w:customStyle="1" w:styleId="282">
    <w:name w:val="reader-word-layer reader-word-s2-5"/>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83">
    <w:name w:val="未处理的提及"/>
    <w:unhideWhenUsed/>
    <w:qFormat/>
    <w:uiPriority w:val="99"/>
    <w:rPr>
      <w:color w:val="605E5C"/>
      <w:shd w:val="clear" w:color="auto" w:fill="E1DFDD"/>
    </w:rPr>
  </w:style>
  <w:style w:type="character" w:customStyle="1" w:styleId="284">
    <w:name w:val="Char Char11"/>
    <w:qFormat/>
    <w:uiPriority w:val="99"/>
    <w:rPr>
      <w:rFonts w:eastAsia="宋体"/>
      <w:kern w:val="2"/>
      <w:sz w:val="24"/>
      <w:lang w:val="en-US" w:eastAsia="zh-CN"/>
    </w:rPr>
  </w:style>
  <w:style w:type="character" w:customStyle="1" w:styleId="285">
    <w:name w:val="正文文本 Char1"/>
    <w:semiHidden/>
    <w:qFormat/>
    <w:uiPriority w:val="0"/>
    <w:rPr>
      <w:rFonts w:ascii="Times New Roman" w:hAnsi="Times New Roman" w:eastAsia="宋体" w:cs="Times New Roman"/>
      <w:szCs w:val="24"/>
    </w:rPr>
  </w:style>
  <w:style w:type="paragraph" w:customStyle="1" w:styleId="286">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7">
    <w:name w:val="Char11"/>
    <w:basedOn w:val="1"/>
    <w:qFormat/>
    <w:uiPriority w:val="99"/>
    <w:rPr>
      <w:rFonts w:ascii="Tahoma" w:hAnsi="Tahoma" w:eastAsia="宋体"/>
      <w:sz w:val="24"/>
      <w:szCs w:val="20"/>
    </w:rPr>
  </w:style>
  <w:style w:type="paragraph" w:customStyle="1" w:styleId="288">
    <w:name w:val="Char Char Char Char1"/>
    <w:basedOn w:val="1"/>
    <w:qFormat/>
    <w:uiPriority w:val="99"/>
    <w:pPr>
      <w:widowControl/>
      <w:spacing w:after="160" w:line="240" w:lineRule="exact"/>
      <w:jc w:val="left"/>
    </w:pPr>
    <w:rPr>
      <w:rFonts w:eastAsia="宋体"/>
      <w:szCs w:val="20"/>
    </w:rPr>
  </w:style>
  <w:style w:type="paragraph" w:customStyle="1" w:styleId="289">
    <w:name w:val="Normal_0"/>
    <w:qFormat/>
    <w:uiPriority w:val="99"/>
    <w:pPr>
      <w:spacing w:before="120" w:after="240"/>
      <w:jc w:val="both"/>
    </w:pPr>
    <w:rPr>
      <w:rFonts w:ascii="Calibri" w:hAnsi="Calibri" w:eastAsia="Calibri" w:cs="Times New Roman"/>
      <w:sz w:val="22"/>
      <w:szCs w:val="22"/>
      <w:lang w:val="ru-RU" w:eastAsia="en-US" w:bidi="ar-SA"/>
    </w:rPr>
  </w:style>
  <w:style w:type="paragraph" w:customStyle="1" w:styleId="290">
    <w:name w:val="_Style 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1">
    <w:name w:val="Char Char Char Char11"/>
    <w:basedOn w:val="1"/>
    <w:qFormat/>
    <w:uiPriority w:val="99"/>
    <w:pPr>
      <w:widowControl/>
      <w:spacing w:after="160" w:line="240" w:lineRule="exact"/>
      <w:jc w:val="left"/>
    </w:pPr>
    <w:rPr>
      <w:rFonts w:eastAsia="宋体"/>
      <w:szCs w:val="20"/>
    </w:rPr>
  </w:style>
  <w:style w:type="paragraph" w:customStyle="1" w:styleId="292">
    <w:name w:val="Char12"/>
    <w:basedOn w:val="1"/>
    <w:qFormat/>
    <w:uiPriority w:val="99"/>
    <w:rPr>
      <w:rFonts w:ascii="Tahoma" w:hAnsi="Tahoma" w:eastAsia="宋体"/>
      <w:sz w:val="24"/>
      <w:szCs w:val="20"/>
    </w:rPr>
  </w:style>
  <w:style w:type="paragraph" w:customStyle="1" w:styleId="293">
    <w:name w:val="Char111"/>
    <w:basedOn w:val="1"/>
    <w:qFormat/>
    <w:uiPriority w:val="99"/>
    <w:rPr>
      <w:rFonts w:ascii="Tahoma" w:hAnsi="Tahoma" w:eastAsia="宋体"/>
      <w:sz w:val="24"/>
      <w:szCs w:val="20"/>
    </w:rPr>
  </w:style>
  <w:style w:type="paragraph" w:customStyle="1" w:styleId="294">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5">
    <w:name w:val="Char Char Char Char2"/>
    <w:basedOn w:val="1"/>
    <w:qFormat/>
    <w:uiPriority w:val="99"/>
    <w:pPr>
      <w:widowControl/>
      <w:spacing w:after="160" w:line="240" w:lineRule="exact"/>
      <w:jc w:val="left"/>
    </w:pPr>
    <w:rPr>
      <w:rFonts w:eastAsia="宋体"/>
      <w:szCs w:val="20"/>
    </w:rPr>
  </w:style>
  <w:style w:type="character" w:customStyle="1" w:styleId="296">
    <w:name w:val="正文文本 字符"/>
    <w:qFormat/>
    <w:uiPriority w:val="0"/>
    <w:rPr>
      <w:b/>
      <w:i/>
      <w:szCs w:val="24"/>
    </w:rPr>
  </w:style>
  <w:style w:type="paragraph" w:customStyle="1" w:styleId="297">
    <w:name w:val="纯文本2"/>
    <w:basedOn w:val="1"/>
    <w:qFormat/>
    <w:uiPriority w:val="0"/>
    <w:rPr>
      <w:rFonts w:ascii="宋体" w:hAnsi="Courier New" w:cs="Courier New"/>
      <w:szCs w:val="21"/>
    </w:rPr>
  </w:style>
  <w:style w:type="paragraph" w:customStyle="1" w:styleId="298">
    <w:name w:val="TOC 标题3"/>
    <w:basedOn w:val="2"/>
    <w:next w:val="1"/>
    <w:unhideWhenUsed/>
    <w:qFormat/>
    <w:uiPriority w:val="39"/>
    <w:pPr>
      <w:widowControl/>
      <w:adjustRightInd/>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paragraph" w:customStyle="1" w:styleId="299">
    <w:name w:val="null3"/>
    <w:hidden/>
    <w:qFormat/>
    <w:uiPriority w:val="0"/>
    <w:rPr>
      <w:rFonts w:hint="eastAsia" w:asciiTheme="minorHAnsi" w:hAnsiTheme="minorHAnsi" w:eastAsiaTheme="minorEastAsia" w:cstheme="minorBidi"/>
      <w:lang w:val="en-US" w:eastAsia="zh-Hans"/>
    </w:rPr>
  </w:style>
  <w:style w:type="character" w:customStyle="1" w:styleId="300">
    <w:name w:val="mini-outputtext1"/>
    <w:basedOn w:val="52"/>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7B022F-F8BE-4A63-AACA-8A3DE323D1BD}">
  <ds:schemaRefs/>
</ds:datastoreItem>
</file>

<file path=docProps/app.xml><?xml version="1.0" encoding="utf-8"?>
<Properties xmlns="http://schemas.openxmlformats.org/officeDocument/2006/extended-properties" xmlns:vt="http://schemas.openxmlformats.org/officeDocument/2006/docPropsVTypes">
  <Template>Normal</Template>
  <Company>MS</Company>
  <Pages>71</Pages>
  <Words>22468</Words>
  <Characters>23643</Characters>
  <Lines>261</Lines>
  <Paragraphs>73</Paragraphs>
  <TotalTime>408</TotalTime>
  <ScaleCrop>false</ScaleCrop>
  <LinksUpToDate>false</LinksUpToDate>
  <CharactersWithSpaces>24316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2020-12-07T03:00:00Z</dcterms:created>
  <dc:creator>Lv Ji_BM</dc:creator>
  <cp:lastModifiedBy>浅笑</cp:lastModifiedBy>
  <cp:lastPrinted>2024-07-25T03:20:00Z</cp:lastPrinted>
  <dcterms:modified xsi:type="dcterms:W3CDTF">2025-11-17T03:34:31Z</dcterms:modified>
  <dc:title>_x0001_</dc:title>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B37F37A6CCCC4489AFD4674FE2608AD9_13</vt:lpwstr>
  </property>
  <property fmtid="{D5CDD505-2E9C-101B-9397-08002B2CF9AE}" pid="4" name="KSOTemplateDocerSaveRecord">
    <vt:lpwstr>eyJoZGlkIjoiOTQxZGE0YjFkZTg3NDkwNGUxMTAxOGUwODU0MDg2MWEiLCJ1c2VySWQiOiI1NDY3MDk0NzQifQ==</vt:lpwstr>
  </property>
</Properties>
</file>