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15" w:name="_GoBack"/>
      <w:bookmarkEnd w:id="15"/>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西安市人民政府</w:t>
      </w:r>
      <w:r>
        <w:rPr>
          <w:rFonts w:cs="Tahoma" w:asciiTheme="minorHAnsi" w:hAnsiTheme="minorHAnsi"/>
          <w:color w:val="C00000"/>
        </w:rPr>
        <w:t>国有资产监督管理委员会</w:t>
      </w:r>
      <w:r>
        <w:rPr>
          <w:rFonts w:hint="eastAsia" w:cs="Tahoma" w:asciiTheme="minorHAnsi" w:hAnsiTheme="minorHAnsi"/>
          <w:color w:val="C00000"/>
        </w:rPr>
        <w:t>2</w:t>
      </w:r>
      <w:r>
        <w:rPr>
          <w:rFonts w:cs="Tahoma" w:asciiTheme="minorHAnsi" w:hAnsiTheme="minorHAnsi"/>
          <w:color w:val="C00000"/>
        </w:rPr>
        <w:t>025年西安智慧国资系统运维项目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XCZX2025-0172</w:t>
      </w: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1FC0D83">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"_Toc212455737" </w:instrText>
      </w:r>
      <w:r>
        <w:fldChar w:fldCharType="separate"/>
      </w:r>
      <w:r>
        <w:rPr>
          <w:rStyle w:val="31"/>
          <w:rFonts w:hint="eastAsia"/>
        </w:rPr>
        <w:t>第一章　磋商邀请函</w:t>
      </w:r>
      <w:r>
        <w:tab/>
      </w:r>
      <w:r>
        <w:fldChar w:fldCharType="begin"/>
      </w:r>
      <w:r>
        <w:instrText xml:space="preserve"> PAGEREF _Toc212455737 \h </w:instrText>
      </w:r>
      <w:r>
        <w:fldChar w:fldCharType="separate"/>
      </w:r>
      <w:r>
        <w:t>1</w:t>
      </w:r>
      <w:r>
        <w:fldChar w:fldCharType="end"/>
      </w:r>
      <w:r>
        <w:fldChar w:fldCharType="end"/>
      </w:r>
    </w:p>
    <w:p w14:paraId="3D9F1C74">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"_Toc212455738" </w:instrText>
      </w:r>
      <w:r>
        <w:fldChar w:fldCharType="separate"/>
      </w:r>
      <w:r>
        <w:rPr>
          <w:rStyle w:val="31"/>
          <w:rFonts w:hint="eastAsia"/>
        </w:rPr>
        <w:t>第二章　供应商须知</w:t>
      </w:r>
      <w:r>
        <w:tab/>
      </w:r>
      <w:r>
        <w:fldChar w:fldCharType="begin"/>
      </w:r>
      <w:r>
        <w:instrText xml:space="preserve"> PAGEREF _Toc212455738 \h </w:instrText>
      </w:r>
      <w:r>
        <w:fldChar w:fldCharType="separate"/>
      </w:r>
      <w:r>
        <w:t>4</w:t>
      </w:r>
      <w:r>
        <w:fldChar w:fldCharType="end"/>
      </w:r>
      <w:r>
        <w:fldChar w:fldCharType="end"/>
      </w:r>
    </w:p>
    <w:p w14:paraId="1C135B06">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"_Toc212455739" </w:instrText>
      </w:r>
      <w:r>
        <w:fldChar w:fldCharType="separate"/>
      </w:r>
      <w:r>
        <w:rPr>
          <w:rStyle w:val="31"/>
          <w:rFonts w:hint="eastAsia"/>
        </w:rPr>
        <w:t>第三章　磋商内容及要求</w:t>
      </w:r>
      <w:r>
        <w:tab/>
      </w:r>
      <w:r>
        <w:t>32</w:t>
      </w:r>
      <w:r>
        <w:fldChar w:fldCharType="end"/>
      </w:r>
    </w:p>
    <w:p w14:paraId="2DF7692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"_Toc212455741" </w:instrText>
      </w:r>
      <w:r>
        <w:fldChar w:fldCharType="separate"/>
      </w:r>
      <w:r>
        <w:rPr>
          <w:rStyle w:val="31"/>
          <w:rFonts w:hint="eastAsia"/>
        </w:rPr>
        <w:t>第四章　合同草案条款</w:t>
      </w:r>
      <w:r>
        <w:tab/>
      </w:r>
      <w:r>
        <w:fldChar w:fldCharType="begin"/>
      </w:r>
      <w:r>
        <w:instrText xml:space="preserve"> PAGEREF _Toc212455741 \h </w:instrText>
      </w:r>
      <w:r>
        <w:fldChar w:fldCharType="separate"/>
      </w:r>
      <w:r>
        <w:t>38</w:t>
      </w:r>
      <w:r>
        <w:fldChar w:fldCharType="end"/>
      </w:r>
      <w:r>
        <w:fldChar w:fldCharType="end"/>
      </w:r>
    </w:p>
    <w:p w14:paraId="078A24DC">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"_Toc212455742" </w:instrText>
      </w:r>
      <w:r>
        <w:fldChar w:fldCharType="separate"/>
      </w:r>
      <w:r>
        <w:rPr>
          <w:rStyle w:val="31"/>
          <w:rFonts w:hint="eastAsia"/>
        </w:rPr>
        <w:t>第五章　响应文件构成及格式</w:t>
      </w:r>
      <w:r>
        <w:tab/>
      </w:r>
      <w:r>
        <w:fldChar w:fldCharType="begin"/>
      </w:r>
      <w:r>
        <w:instrText xml:space="preserve"> PAGEREF _Toc212455742 \h </w:instrText>
      </w:r>
      <w:r>
        <w:fldChar w:fldCharType="separate"/>
      </w:r>
      <w:r>
        <w:t>41</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2455737"/>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西安市人民政府国有资产监督管理委员会</w:t>
      </w:r>
      <w:r>
        <w:rPr>
          <w:rFonts w:hint="eastAsia"/>
        </w:rPr>
        <w:t>的委托，经政府采购监管部门批准，按照政府采购程序，对</w:t>
      </w:r>
      <w:r>
        <w:rPr>
          <w:rFonts w:hint="eastAsia"/>
          <w:color w:val="C00000"/>
        </w:rPr>
        <w:t>西安市人民政府国有资产监督管理委员会2025年西安智慧国资系统运维项目</w:t>
      </w:r>
      <w:r>
        <w:rPr>
          <w:rFonts w:hint="eastAsia"/>
        </w:rPr>
        <w:t>进行竞争性磋商，欢迎符合资格条件的、有能力提供本项目所需货物、服务或</w:t>
      </w:r>
      <w:r>
        <w:t>工程</w:t>
      </w:r>
      <w:r>
        <w:rPr>
          <w:rFonts w:hint="eastAsia"/>
        </w:rPr>
        <w:t>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西安市人民政府国有资产监督管理委员会2025年西安智慧国资系统运维项目</w:t>
      </w:r>
    </w:p>
    <w:p w14:paraId="62B33849">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0172</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5133</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color w:val="C00000"/>
        </w:rPr>
        <w:t>625000</w:t>
      </w:r>
      <w:r>
        <w:rPr>
          <w:rFonts w:hint="eastAsia"/>
          <w:color w:val="C00000"/>
        </w:rPr>
        <w:t>元（最高限价</w:t>
      </w:r>
      <w:r>
        <w:rPr>
          <w:color w:val="C00000"/>
        </w:rPr>
        <w:t>625000</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t>11</w:t>
      </w:r>
      <w:r>
        <w:rPr>
          <w:rFonts w:hint="eastAsia"/>
        </w:rPr>
        <w:t>月2</w:t>
      </w:r>
      <w:r>
        <w:t>0</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t>11</w:t>
      </w:r>
      <w:r>
        <w:rPr>
          <w:rFonts w:hint="eastAsia"/>
        </w:rPr>
        <w:t>月2</w:t>
      </w:r>
      <w:r>
        <w:t>0</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虚拟开标室4。</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1．采购人：西安市人民政府国有资产监督管理委员会</w:t>
      </w:r>
    </w:p>
    <w:p w14:paraId="07A194B0">
      <w:pPr>
        <w:widowControl w:val="0"/>
        <w:topLinePunct/>
        <w:ind w:firstLine="480" w:firstLineChars="200"/>
        <w:jc w:val="both"/>
      </w:pPr>
      <w:r>
        <w:rPr>
          <w:rFonts w:hint="eastAsia"/>
        </w:rPr>
        <w:t>地址：西安市未央区凤城八路109号市行政中心3号楼</w:t>
      </w:r>
    </w:p>
    <w:p w14:paraId="5CD1CE1F">
      <w:pPr>
        <w:widowControl w:val="0"/>
        <w:topLinePunct/>
        <w:ind w:firstLine="480" w:firstLineChars="200"/>
        <w:jc w:val="both"/>
      </w:pPr>
      <w:r>
        <w:rPr>
          <w:rFonts w:hint="eastAsia"/>
        </w:rPr>
        <w:t>联系人：郑老师</w:t>
      </w:r>
    </w:p>
    <w:p w14:paraId="7C403659">
      <w:pPr>
        <w:widowControl w:val="0"/>
        <w:topLinePunct/>
        <w:ind w:firstLine="480" w:firstLineChars="200"/>
        <w:jc w:val="both"/>
      </w:pPr>
      <w:r>
        <w:rPr>
          <w:rFonts w:hint="eastAsia"/>
        </w:rPr>
        <w:t>联系电话：0</w:t>
      </w:r>
      <w:r>
        <w:t>29-67097789</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开标联系人及分机号：张老师（</w:t>
      </w:r>
      <w:r>
        <w:t>80835</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97563329"/>
      <w:bookmarkStart w:id="2" w:name="_Toc445407251"/>
      <w:bookmarkStart w:id="3" w:name="_Toc534656414"/>
      <w:bookmarkStart w:id="4" w:name="_Toc533363235"/>
      <w:bookmarkStart w:id="5" w:name="_Toc498349068"/>
      <w:bookmarkStart w:id="6" w:name="_Toc212455738"/>
      <w:bookmarkStart w:id="7" w:name="_Toc534656409"/>
      <w:bookmarkStart w:id="8" w:name="_Toc533363262"/>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西安市人民政府国有资产监督管理委员会2025年西安智慧国资系统运维项目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XCZX2025-0172</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2"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6</w:t>
            </w:r>
            <w:r>
              <w:rPr>
                <w:rFonts w:ascii="Calibri" w:hAnsi="宋体" w:eastAsia="宋体" w:cstheme="minorHAnsi"/>
                <w:sz w:val="21"/>
              </w:rPr>
              <w:t>25000</w:t>
            </w:r>
            <w:r>
              <w:rPr>
                <w:rFonts w:hint="eastAsia" w:ascii="Calibri" w:hAnsi="宋体" w:eastAsia="宋体" w:cstheme="minorHAnsi"/>
                <w:sz w:val="21"/>
              </w:rPr>
              <w:t>元（最高限价</w:t>
            </w:r>
            <w:r>
              <w:rPr>
                <w:rFonts w:ascii="Calibri" w:hAnsi="宋体" w:eastAsia="宋体" w:cstheme="minorHAnsi"/>
                <w:sz w:val="21"/>
              </w:rPr>
              <w:t>625000</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软件和信息技术服务业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185812BF">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5CC9CFE5">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259"/>
        <w:gridCol w:w="968"/>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259"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968"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259"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968"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259"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1</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1</w:t>
            </w:r>
            <w:r>
              <w:rPr>
                <w:rFonts w:hint="eastAsia" w:ascii="Calibri" w:hAnsi="宋体" w:eastAsia="宋体" w:cs="宋体"/>
                <w:sz w:val="21"/>
                <w:szCs w:val="21"/>
              </w:rPr>
              <w:t>0％×100。</w:t>
            </w:r>
          </w:p>
        </w:tc>
        <w:tc>
          <w:tcPr>
            <w:tcW w:w="968"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s="宋体"/>
                <w:b/>
                <w:sz w:val="21"/>
                <w:szCs w:val="21"/>
              </w:rPr>
              <w:t>技术/服务部分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7</w:t>
            </w:r>
            <w:r>
              <w:rPr>
                <w:rFonts w:ascii="Calibri" w:hAnsi="宋体" w:eastAsia="宋体" w:cs="宋体"/>
                <w:bCs/>
                <w:sz w:val="21"/>
                <w:szCs w:val="21"/>
              </w:rPr>
              <w:t>2</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6259" w:type="dxa"/>
            <w:tcBorders>
              <w:top w:val="single" w:color="auto" w:sz="2" w:space="0"/>
            </w:tcBorders>
            <w:shd w:val="clear" w:color="auto" w:fill="auto"/>
            <w:vAlign w:val="center"/>
          </w:tcPr>
          <w:p w14:paraId="04811239">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整体服务方案</w:t>
            </w:r>
          </w:p>
          <w:p w14:paraId="66A4B4D9">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1、评审内容：</w:t>
            </w:r>
          </w:p>
          <w:p w14:paraId="57BAE61C">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供应商针对本项目需求理解的内容，提供整体方案，包括：①需求分析工作方案；②具体工作措施；③需求分析结果正确性的保障。</w:t>
            </w:r>
          </w:p>
          <w:p w14:paraId="381AB4FC">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2、评审标准：</w:t>
            </w:r>
          </w:p>
          <w:p w14:paraId="739E0834">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①完整性：方案须详细全面，表述清晰完整，完全满足磋商文件要求；</w:t>
            </w:r>
          </w:p>
          <w:p w14:paraId="10AD98DF">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②可实施性：切合本项目实际情况，能够准确把握运维要点及重点；</w:t>
            </w:r>
          </w:p>
          <w:p w14:paraId="6ECE5EB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7E14FCDA">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3、赋分标准：</w:t>
            </w:r>
          </w:p>
          <w:p w14:paraId="06353DFF">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①需求分析工作方案：每完全满足一项评审标准得2分，满分6分；</w:t>
            </w:r>
          </w:p>
          <w:p w14:paraId="43980A6C">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②具体工作措施：每完全满足一项评审标准得2分，满分6分；</w:t>
            </w:r>
          </w:p>
          <w:p w14:paraId="729A1E2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③需求分析结果正确性的保障：每完全满足一项评审标准得2分，满分6分。</w:t>
            </w:r>
          </w:p>
        </w:tc>
        <w:tc>
          <w:tcPr>
            <w:tcW w:w="968" w:type="dxa"/>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2</w:t>
            </w:r>
            <w:r>
              <w:rPr>
                <w:rFonts w:ascii="Calibri" w:hAnsi="宋体" w:eastAsia="宋体" w:cs="宋体"/>
                <w:bCs/>
                <w:sz w:val="21"/>
                <w:szCs w:val="21"/>
              </w:rPr>
              <w:t>1</w:t>
            </w:r>
          </w:p>
        </w:tc>
        <w:tc>
          <w:tcPr>
            <w:tcW w:w="6259" w:type="dxa"/>
            <w:tcBorders>
              <w:top w:val="single" w:color="auto" w:sz="2" w:space="0"/>
            </w:tcBorders>
            <w:shd w:val="clear" w:color="auto" w:fill="auto"/>
            <w:vAlign w:val="center"/>
          </w:tcPr>
          <w:p w14:paraId="61A6250C">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系统运维方案</w:t>
            </w:r>
          </w:p>
          <w:p w14:paraId="3DE828E2">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1、评审内容：</w:t>
            </w:r>
          </w:p>
          <w:p w14:paraId="0E7532AE">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供应商针对本项目提供总体运维方案，包括：①运维服务管理目标设定；②运维管理与服务保障工作重点、难点分析及保障措施；③设备保障措施；④人员保障措施。</w:t>
            </w:r>
          </w:p>
          <w:p w14:paraId="4126091D">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2、评审标准：</w:t>
            </w:r>
          </w:p>
          <w:p w14:paraId="6B387772">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①完整性：方案须详细全面，表述清晰完整，完全满足磋商文件要求；</w:t>
            </w:r>
          </w:p>
          <w:p w14:paraId="704B4F6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②可实施性：切合本项目实际情况，能够准确把握运维要点及重点；</w:t>
            </w:r>
          </w:p>
          <w:p w14:paraId="14329138">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72F9C09F">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3、赋分标准：</w:t>
            </w:r>
          </w:p>
          <w:p w14:paraId="725F853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①运维服务管理目标设定：每完全满足一项评审标准得2分，满分6分；</w:t>
            </w:r>
          </w:p>
          <w:p w14:paraId="5585F607">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②运维管理与服务保障工作重点、难点分析及保障措施：每完全满足一项评审标准得2分，满分6分；</w:t>
            </w:r>
          </w:p>
          <w:p w14:paraId="0F3C582B">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③设备保障措施：每完全满足一项评审标准得2分，满分6分；</w:t>
            </w:r>
          </w:p>
          <w:p w14:paraId="29B45122">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④人员保障措施：每完全满足一项评审标准得1分，满分3分。</w:t>
            </w:r>
          </w:p>
        </w:tc>
        <w:tc>
          <w:tcPr>
            <w:tcW w:w="968" w:type="dxa"/>
            <w:tcBorders>
              <w:top w:val="single" w:color="auto" w:sz="2" w:space="0"/>
            </w:tcBorders>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259" w:type="dxa"/>
            <w:tcBorders>
              <w:top w:val="single" w:color="auto" w:sz="2" w:space="0"/>
            </w:tcBorders>
            <w:shd w:val="clear" w:color="auto" w:fill="auto"/>
            <w:vAlign w:val="center"/>
          </w:tcPr>
          <w:p w14:paraId="49D3FEEA">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安全、保密管理方案</w:t>
            </w:r>
          </w:p>
          <w:p w14:paraId="64E7453A">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1、评审内容：</w:t>
            </w:r>
          </w:p>
          <w:p w14:paraId="1757A354">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供应商针对本项目提供安全、保密管理方案，包括：①安全管理方案及措施；②保密管理方案及措施。</w:t>
            </w:r>
          </w:p>
          <w:p w14:paraId="18219E84">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2、评审标准：</w:t>
            </w:r>
          </w:p>
          <w:p w14:paraId="5CCAEEFD">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①完整性：方案须详细全面，表述清晰完整，完全满足磋商文件要求；</w:t>
            </w:r>
          </w:p>
          <w:p w14:paraId="703F5339">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②可实施性：切合本项目实际情况，能够准确把握运维要点及重点；</w:t>
            </w:r>
          </w:p>
          <w:p w14:paraId="4868A07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70E04799">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3、赋分标准：</w:t>
            </w:r>
          </w:p>
          <w:p w14:paraId="6727A108">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①安全管理方案及措施：每完全满足一项评审标准得2分，满分6分；</w:t>
            </w:r>
          </w:p>
          <w:p w14:paraId="6D7C2C2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②保密管理方案及措施：每完全满足一项评审标准得2分，满分6分。</w:t>
            </w:r>
          </w:p>
        </w:tc>
        <w:tc>
          <w:tcPr>
            <w:tcW w:w="968" w:type="dxa"/>
            <w:tcBorders>
              <w:top w:val="single" w:color="auto" w:sz="2" w:space="0"/>
            </w:tcBorders>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A5100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4164005">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4A2AB33">
            <w:pPr>
              <w:spacing w:line="400" w:lineRule="exact"/>
              <w:jc w:val="center"/>
              <w:rPr>
                <w:rFonts w:ascii="Calibri" w:hAnsi="宋体" w:eastAsia="宋体" w:cs="宋体"/>
                <w:bCs/>
                <w:sz w:val="21"/>
                <w:szCs w:val="21"/>
              </w:rPr>
            </w:pPr>
          </w:p>
        </w:tc>
        <w:tc>
          <w:tcPr>
            <w:tcW w:w="860" w:type="dxa"/>
            <w:shd w:val="clear" w:color="auto" w:fill="auto"/>
            <w:vAlign w:val="center"/>
          </w:tcPr>
          <w:p w14:paraId="1762A591">
            <w:pPr>
              <w:jc w:val="center"/>
              <w:rPr>
                <w:rFonts w:ascii="Calibri" w:hAnsi="宋体" w:eastAsia="宋体" w:cs="宋体"/>
                <w:sz w:val="21"/>
                <w:szCs w:val="21"/>
              </w:rPr>
            </w:pPr>
            <w:r>
              <w:rPr>
                <w:rFonts w:hint="eastAsia" w:ascii="Calibri" w:hAnsi="宋体" w:eastAsia="宋体" w:cs="宋体"/>
                <w:sz w:val="21"/>
                <w:szCs w:val="21"/>
              </w:rPr>
              <w:t>1</w:t>
            </w:r>
            <w:r>
              <w:rPr>
                <w:rFonts w:ascii="Calibri" w:hAnsi="宋体" w:eastAsia="宋体" w:cs="宋体"/>
                <w:sz w:val="21"/>
                <w:szCs w:val="21"/>
              </w:rPr>
              <w:t>2</w:t>
            </w:r>
          </w:p>
        </w:tc>
        <w:tc>
          <w:tcPr>
            <w:tcW w:w="6259" w:type="dxa"/>
            <w:tcBorders>
              <w:top w:val="single" w:color="auto" w:sz="2" w:space="0"/>
            </w:tcBorders>
            <w:shd w:val="clear" w:color="auto" w:fill="auto"/>
            <w:vAlign w:val="center"/>
          </w:tcPr>
          <w:p w14:paraId="52A2132F">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应急保障服务方案</w:t>
            </w:r>
          </w:p>
          <w:p w14:paraId="2EC6D9B4">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1、评审内容：</w:t>
            </w:r>
          </w:p>
          <w:p w14:paraId="1D9A89E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供应商针对本项目提供应急保障服务方案，包括：①应急响应措施；②预防措施；③突发事件应急方式；④应急响应时间。</w:t>
            </w:r>
          </w:p>
          <w:p w14:paraId="4CA8857B">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2、评审标准：</w:t>
            </w:r>
          </w:p>
          <w:p w14:paraId="7815AC7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①完整性：方案须详细全面，表述清晰完整，完全满足磋商文件要求；</w:t>
            </w:r>
          </w:p>
          <w:p w14:paraId="7286BAA1">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②可实施性：切合本项目实际情况，能够准确把握运维要点及重点；</w:t>
            </w:r>
          </w:p>
          <w:p w14:paraId="35B2AB80">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226A0E77">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3、赋分标准：</w:t>
            </w:r>
          </w:p>
          <w:p w14:paraId="59B9B136">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①应急响应措施：每完全满足一项评审标准得1分，满分3分；</w:t>
            </w:r>
          </w:p>
          <w:p w14:paraId="43D0577B">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②预防措施：每完全满足一项评审标准得1分，满分3分；</w:t>
            </w:r>
          </w:p>
          <w:p w14:paraId="2AB8F4FC">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③突发事件应急方式：每完全满足一项评审标准得1分，满分3分；</w:t>
            </w:r>
          </w:p>
          <w:p w14:paraId="7E320591">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④应急响应时间：每完全满足一项评审标准得1分，满分3分。</w:t>
            </w:r>
          </w:p>
        </w:tc>
        <w:tc>
          <w:tcPr>
            <w:tcW w:w="968" w:type="dxa"/>
            <w:tcBorders>
              <w:top w:val="single" w:color="auto" w:sz="2" w:space="0"/>
            </w:tcBorders>
            <w:shd w:val="clear" w:color="auto" w:fill="auto"/>
            <w:vAlign w:val="center"/>
          </w:tcPr>
          <w:p w14:paraId="600C7E2A">
            <w:pPr>
              <w:spacing w:line="400" w:lineRule="exact"/>
              <w:jc w:val="center"/>
              <w:rPr>
                <w:rFonts w:ascii="Calibri" w:hAnsi="宋体" w:eastAsia="宋体" w:cs="宋体"/>
                <w:bCs/>
                <w:color w:val="FF0000"/>
                <w:sz w:val="21"/>
                <w:szCs w:val="21"/>
              </w:rPr>
            </w:pPr>
          </w:p>
        </w:tc>
      </w:tr>
      <w:tr w14:paraId="10CBCB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14B25DC">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4AF84C6D">
            <w:pPr>
              <w:spacing w:line="400" w:lineRule="exact"/>
              <w:jc w:val="center"/>
              <w:rPr>
                <w:rFonts w:ascii="Calibri" w:hAnsi="宋体" w:eastAsia="宋体" w:cs="宋体"/>
                <w:bCs/>
                <w:sz w:val="21"/>
                <w:szCs w:val="21"/>
              </w:rPr>
            </w:pPr>
          </w:p>
        </w:tc>
        <w:tc>
          <w:tcPr>
            <w:tcW w:w="860" w:type="dxa"/>
            <w:shd w:val="clear" w:color="auto" w:fill="auto"/>
            <w:vAlign w:val="center"/>
          </w:tcPr>
          <w:p w14:paraId="3298D3D4">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259" w:type="dxa"/>
            <w:tcBorders>
              <w:top w:val="single" w:color="auto" w:sz="2" w:space="0"/>
            </w:tcBorders>
            <w:shd w:val="clear" w:color="auto" w:fill="auto"/>
            <w:vAlign w:val="center"/>
          </w:tcPr>
          <w:p w14:paraId="3E32DD20">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数据管理与维护</w:t>
            </w:r>
          </w:p>
          <w:p w14:paraId="4059E326">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1、评审内容：</w:t>
            </w:r>
          </w:p>
          <w:p w14:paraId="536C106E">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供应商针对本项目提出数据管理与维护方案，包括：①数据治理、挖掘、分析；②数据加工处理；③数据运维安全。</w:t>
            </w:r>
          </w:p>
          <w:p w14:paraId="73BF2DD1">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2、评审标准：</w:t>
            </w:r>
          </w:p>
          <w:p w14:paraId="084D8D4F">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①完整性：方案须详细全面，表述清晰完整，完全满足磋商文件要求；</w:t>
            </w:r>
          </w:p>
          <w:p w14:paraId="2232D635">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②可实施性：切合本项目实际情况，能够准确把握运维要点及重点；</w:t>
            </w:r>
          </w:p>
          <w:p w14:paraId="1350862C">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13381470">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3、赋分标准：</w:t>
            </w:r>
          </w:p>
          <w:p w14:paraId="6974C6FB">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①数据治理、挖掘、分析：每完全满足一项评审标准得1分，满分3分；</w:t>
            </w:r>
          </w:p>
          <w:p w14:paraId="40027129">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②数据加工处理：每完全满足一项评审标准得1分，满分3分；</w:t>
            </w:r>
          </w:p>
          <w:p w14:paraId="2C034AE0">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③数据运维安全：每完全满足一项评审标准得1分，满分3分。</w:t>
            </w:r>
          </w:p>
        </w:tc>
        <w:tc>
          <w:tcPr>
            <w:tcW w:w="968" w:type="dxa"/>
            <w:tcBorders>
              <w:top w:val="single" w:color="auto" w:sz="2" w:space="0"/>
            </w:tcBorders>
            <w:shd w:val="clear" w:color="auto" w:fill="auto"/>
            <w:vAlign w:val="center"/>
          </w:tcPr>
          <w:p w14:paraId="155C4B92">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24961D1C">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14:paraId="2DE786E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p>
        </w:tc>
        <w:tc>
          <w:tcPr>
            <w:tcW w:w="6259" w:type="dxa"/>
            <w:shd w:val="clear" w:color="auto" w:fill="auto"/>
            <w:vAlign w:val="center"/>
          </w:tcPr>
          <w:p w14:paraId="04E6180D">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项目经理：</w:t>
            </w:r>
          </w:p>
          <w:p w14:paraId="0A355B81">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拟派项目经理具有本科及以上学历，且具有“计算机技术与软件专业技术资格（水平）考试”信息系统项目管理师证书得4分。</w:t>
            </w:r>
          </w:p>
          <w:p w14:paraId="1A32FFC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b/>
                <w:sz w:val="21"/>
                <w:szCs w:val="21"/>
              </w:rPr>
              <w:t>注：</w:t>
            </w:r>
            <w:r>
              <w:rPr>
                <w:rFonts w:hint="eastAsia" w:ascii="Calibri" w:hAnsi="宋体" w:eastAsia="宋体" w:cs="宋体"/>
                <w:sz w:val="21"/>
                <w:szCs w:val="21"/>
              </w:rPr>
              <w:t>提供项目经理的身份证、学历证、资格证书</w:t>
            </w:r>
            <w:r>
              <w:rPr>
                <w:rFonts w:ascii="Calibri" w:hAnsi="宋体" w:eastAsia="宋体" w:cs="宋体"/>
                <w:sz w:val="21"/>
                <w:szCs w:val="21"/>
              </w:rPr>
              <w:t>的</w:t>
            </w:r>
            <w:r>
              <w:rPr>
                <w:rFonts w:hint="eastAsia" w:ascii="Calibri" w:hAnsi="宋体" w:eastAsia="宋体" w:cs="宋体"/>
                <w:sz w:val="21"/>
                <w:szCs w:val="21"/>
              </w:rPr>
              <w:t>扫描件，以及2025年 1月 1日以来供应商为其缴纳的连续</w:t>
            </w:r>
            <w:r>
              <w:rPr>
                <w:rFonts w:ascii="Calibri" w:hAnsi="宋体" w:eastAsia="宋体" w:cs="宋体"/>
                <w:sz w:val="21"/>
                <w:szCs w:val="21"/>
              </w:rPr>
              <w:t>6</w:t>
            </w:r>
            <w:r>
              <w:rPr>
                <w:rFonts w:hint="eastAsia" w:ascii="Calibri" w:hAnsi="宋体" w:eastAsia="宋体" w:cs="宋体"/>
                <w:sz w:val="21"/>
                <w:szCs w:val="21"/>
              </w:rPr>
              <w:t>个月社保证明，未提供或提供不全证明材料的，不得分。</w:t>
            </w:r>
          </w:p>
        </w:tc>
        <w:tc>
          <w:tcPr>
            <w:tcW w:w="968" w:type="dxa"/>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259" w:type="dxa"/>
            <w:shd w:val="clear" w:color="auto" w:fill="auto"/>
            <w:vAlign w:val="center"/>
          </w:tcPr>
          <w:p w14:paraId="625742F0">
            <w:pPr>
              <w:spacing w:line="300" w:lineRule="exact"/>
              <w:ind w:firstLine="420"/>
              <w:jc w:val="both"/>
              <w:rPr>
                <w:rFonts w:ascii="Calibri" w:hAnsi="宋体" w:eastAsia="宋体"/>
                <w:b/>
                <w:sz w:val="21"/>
              </w:rPr>
            </w:pPr>
            <w:r>
              <w:rPr>
                <w:rFonts w:hint="eastAsia" w:ascii="Calibri" w:hAnsi="宋体" w:eastAsia="宋体"/>
                <w:b/>
                <w:sz w:val="21"/>
              </w:rPr>
              <w:t>项目团队</w:t>
            </w:r>
          </w:p>
          <w:p w14:paraId="48AFD883">
            <w:pPr>
              <w:spacing w:line="300" w:lineRule="exact"/>
              <w:ind w:firstLine="420"/>
              <w:jc w:val="both"/>
              <w:rPr>
                <w:rFonts w:ascii="Calibri" w:hAnsi="宋体" w:eastAsia="宋体"/>
                <w:b/>
                <w:sz w:val="21"/>
              </w:rPr>
            </w:pPr>
            <w:r>
              <w:rPr>
                <w:rFonts w:hint="eastAsia" w:ascii="Calibri" w:hAnsi="宋体" w:eastAsia="宋体"/>
                <w:b/>
                <w:sz w:val="21"/>
              </w:rPr>
              <w:t>1、评审内容：</w:t>
            </w:r>
          </w:p>
          <w:p w14:paraId="1D1205F0">
            <w:pPr>
              <w:spacing w:line="300" w:lineRule="exact"/>
              <w:ind w:firstLine="420"/>
              <w:jc w:val="both"/>
              <w:rPr>
                <w:rFonts w:ascii="Calibri" w:hAnsi="宋体" w:eastAsia="宋体"/>
                <w:sz w:val="21"/>
              </w:rPr>
            </w:pPr>
            <w:r>
              <w:rPr>
                <w:rFonts w:hint="eastAsia" w:ascii="Calibri" w:hAnsi="宋体" w:eastAsia="宋体"/>
                <w:sz w:val="21"/>
              </w:rPr>
              <w:t>供应商针对本项目提供团队配备相应内容，包括：①拟派项目团队人员组成；②岗位职责；③团队管理制度。</w:t>
            </w:r>
          </w:p>
          <w:p w14:paraId="577A94B0">
            <w:pPr>
              <w:spacing w:line="300" w:lineRule="exact"/>
              <w:ind w:firstLine="420"/>
              <w:jc w:val="both"/>
              <w:rPr>
                <w:rFonts w:ascii="Calibri" w:hAnsi="宋体" w:eastAsia="宋体"/>
                <w:b/>
                <w:sz w:val="21"/>
              </w:rPr>
            </w:pPr>
            <w:r>
              <w:rPr>
                <w:rFonts w:hint="eastAsia" w:ascii="Calibri" w:hAnsi="宋体" w:eastAsia="宋体"/>
                <w:b/>
                <w:sz w:val="21"/>
              </w:rPr>
              <w:t>2、评审标准：</w:t>
            </w:r>
          </w:p>
          <w:p w14:paraId="14A70F3D">
            <w:pPr>
              <w:spacing w:line="300" w:lineRule="exact"/>
              <w:ind w:firstLine="420"/>
              <w:jc w:val="both"/>
              <w:rPr>
                <w:rFonts w:ascii="Calibri" w:hAnsi="宋体" w:eastAsia="宋体"/>
                <w:sz w:val="21"/>
              </w:rPr>
            </w:pPr>
            <w:r>
              <w:rPr>
                <w:rFonts w:hint="eastAsia" w:ascii="Calibri" w:hAnsi="宋体" w:eastAsia="宋体"/>
                <w:sz w:val="21"/>
              </w:rPr>
              <w:t>①完整性：方案须详细全面，表述清晰完整，完全满足磋商文件要求；</w:t>
            </w:r>
          </w:p>
          <w:p w14:paraId="49483AD4">
            <w:pPr>
              <w:spacing w:line="300" w:lineRule="exact"/>
              <w:ind w:firstLine="420"/>
              <w:jc w:val="both"/>
              <w:rPr>
                <w:rFonts w:ascii="Calibri" w:hAnsi="宋体" w:eastAsia="宋体"/>
                <w:sz w:val="21"/>
              </w:rPr>
            </w:pPr>
            <w:r>
              <w:rPr>
                <w:rFonts w:hint="eastAsia" w:ascii="Calibri" w:hAnsi="宋体" w:eastAsia="宋体"/>
                <w:sz w:val="21"/>
              </w:rPr>
              <w:t>②专业性：人员配置科学合理，管理框架清晰，任务分工明确，可操作性强。</w:t>
            </w:r>
          </w:p>
          <w:p w14:paraId="6EDD19A4">
            <w:pPr>
              <w:spacing w:line="300" w:lineRule="exact"/>
              <w:ind w:firstLine="420"/>
              <w:jc w:val="both"/>
              <w:rPr>
                <w:rFonts w:ascii="Calibri" w:hAnsi="宋体" w:eastAsia="宋体"/>
                <w:sz w:val="21"/>
              </w:rPr>
            </w:pPr>
            <w:r>
              <w:rPr>
                <w:rFonts w:hint="eastAsia" w:ascii="Calibri" w:hAnsi="宋体" w:eastAsia="宋体"/>
                <w:sz w:val="21"/>
              </w:rPr>
              <w:t>③针对性：人员配备配置能紧扣本项目实际情况，专业性强，满足本项目要求。</w:t>
            </w:r>
          </w:p>
          <w:p w14:paraId="332DA7BC">
            <w:pPr>
              <w:spacing w:line="300" w:lineRule="exact"/>
              <w:ind w:firstLine="420"/>
              <w:jc w:val="both"/>
              <w:rPr>
                <w:rFonts w:ascii="Calibri" w:hAnsi="宋体" w:eastAsia="宋体"/>
                <w:b/>
                <w:sz w:val="21"/>
              </w:rPr>
            </w:pPr>
            <w:r>
              <w:rPr>
                <w:rFonts w:hint="eastAsia" w:ascii="Calibri" w:hAnsi="宋体" w:eastAsia="宋体"/>
                <w:b/>
                <w:sz w:val="21"/>
              </w:rPr>
              <w:t>3、赋分标准：</w:t>
            </w:r>
          </w:p>
          <w:p w14:paraId="79889436">
            <w:pPr>
              <w:spacing w:line="300" w:lineRule="exact"/>
              <w:ind w:firstLine="420"/>
              <w:jc w:val="both"/>
              <w:rPr>
                <w:rFonts w:ascii="Calibri" w:hAnsi="宋体" w:eastAsia="宋体"/>
                <w:sz w:val="21"/>
              </w:rPr>
            </w:pPr>
            <w:r>
              <w:rPr>
                <w:rFonts w:hint="eastAsia" w:ascii="Calibri" w:hAnsi="宋体" w:eastAsia="宋体"/>
                <w:sz w:val="21"/>
              </w:rPr>
              <w:t>①拟派项目团队人员组成：每完全满足一项评审标准得1分，本项满分3分；</w:t>
            </w:r>
          </w:p>
          <w:p w14:paraId="07AACF4F">
            <w:pPr>
              <w:spacing w:line="300" w:lineRule="exact"/>
              <w:ind w:firstLine="420"/>
              <w:jc w:val="both"/>
              <w:rPr>
                <w:rFonts w:ascii="Calibri" w:hAnsi="宋体" w:eastAsia="宋体"/>
                <w:sz w:val="21"/>
              </w:rPr>
            </w:pPr>
            <w:r>
              <w:rPr>
                <w:rFonts w:hint="eastAsia" w:ascii="Calibri" w:hAnsi="宋体" w:eastAsia="宋体"/>
                <w:sz w:val="21"/>
              </w:rPr>
              <w:t>②岗位职责：每完全满足一项评审标准得1分，本项满分3分；</w:t>
            </w:r>
          </w:p>
          <w:p w14:paraId="3EDFCE8F">
            <w:pPr>
              <w:spacing w:line="300" w:lineRule="exact"/>
              <w:ind w:firstLine="420"/>
              <w:jc w:val="both"/>
              <w:rPr>
                <w:rFonts w:ascii="Calibri" w:hAnsi="宋体" w:eastAsia="宋体"/>
                <w:sz w:val="21"/>
              </w:rPr>
            </w:pPr>
            <w:r>
              <w:rPr>
                <w:rFonts w:hint="eastAsia" w:ascii="Calibri" w:hAnsi="宋体" w:eastAsia="宋体"/>
                <w:sz w:val="21"/>
              </w:rPr>
              <w:t>③团队管理制度：每完全满足一项评审标准得1分，本项满分3分；</w:t>
            </w:r>
          </w:p>
          <w:p w14:paraId="793C4151">
            <w:pPr>
              <w:spacing w:line="30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提供所有团队人员</w:t>
            </w:r>
            <w:r>
              <w:rPr>
                <w:rFonts w:hint="eastAsia" w:ascii="Calibri" w:hAnsi="宋体" w:eastAsia="宋体" w:cs="宋体"/>
                <w:sz w:val="21"/>
                <w:szCs w:val="21"/>
              </w:rPr>
              <w:t>的身份证、学历证的扫描件，以及2025年 1月 1日以来供应商为其缴纳的连续</w:t>
            </w:r>
            <w:r>
              <w:rPr>
                <w:rFonts w:ascii="Calibri" w:hAnsi="宋体" w:eastAsia="宋体" w:cs="宋体"/>
                <w:sz w:val="21"/>
                <w:szCs w:val="21"/>
              </w:rPr>
              <w:t>6</w:t>
            </w:r>
            <w:r>
              <w:rPr>
                <w:rFonts w:hint="eastAsia" w:ascii="Calibri" w:hAnsi="宋体" w:eastAsia="宋体" w:cs="宋体"/>
                <w:sz w:val="21"/>
                <w:szCs w:val="21"/>
              </w:rPr>
              <w:t>个月社保证明</w:t>
            </w:r>
            <w:r>
              <w:rPr>
                <w:rFonts w:hint="eastAsia" w:ascii="Calibri" w:hAnsi="宋体" w:eastAsia="宋体"/>
                <w:sz w:val="21"/>
              </w:rPr>
              <w:t>，并加盖公章，未提供或提供不全证明材料的，该项不得分。</w:t>
            </w:r>
          </w:p>
        </w:tc>
        <w:tc>
          <w:tcPr>
            <w:tcW w:w="968" w:type="dxa"/>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0709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1960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BA32D62">
            <w:pPr>
              <w:spacing w:line="400" w:lineRule="exact"/>
              <w:jc w:val="center"/>
              <w:rPr>
                <w:rFonts w:ascii="Calibri" w:hAnsi="宋体" w:eastAsia="宋体" w:cs="宋体"/>
                <w:bCs/>
                <w:sz w:val="21"/>
                <w:szCs w:val="21"/>
              </w:rPr>
            </w:pPr>
          </w:p>
        </w:tc>
        <w:tc>
          <w:tcPr>
            <w:tcW w:w="860" w:type="dxa"/>
            <w:shd w:val="clear" w:color="auto" w:fill="auto"/>
            <w:vAlign w:val="center"/>
          </w:tcPr>
          <w:p w14:paraId="0E10AFCB">
            <w:pPr>
              <w:spacing w:line="400" w:lineRule="exact"/>
              <w:jc w:val="center"/>
              <w:rPr>
                <w:rFonts w:ascii="Calibri" w:hAnsi="宋体" w:eastAsia="宋体" w:cs="宋体"/>
                <w:bCs/>
                <w:sz w:val="21"/>
                <w:szCs w:val="21"/>
              </w:rPr>
            </w:pPr>
            <w:r>
              <w:rPr>
                <w:rFonts w:hint="eastAsia" w:ascii="Calibri" w:hAnsi="宋体" w:eastAsia="宋体" w:cs="宋体"/>
                <w:bCs/>
                <w:sz w:val="21"/>
                <w:szCs w:val="21"/>
              </w:rPr>
              <w:t>2</w:t>
            </w:r>
          </w:p>
        </w:tc>
        <w:tc>
          <w:tcPr>
            <w:tcW w:w="6259" w:type="dxa"/>
            <w:shd w:val="clear" w:color="auto" w:fill="auto"/>
            <w:vAlign w:val="center"/>
          </w:tcPr>
          <w:p w14:paraId="7A587D69">
            <w:pPr>
              <w:spacing w:line="300" w:lineRule="exact"/>
              <w:ind w:firstLine="420"/>
              <w:jc w:val="both"/>
              <w:rPr>
                <w:rFonts w:ascii="Calibri" w:hAnsi="宋体" w:eastAsia="宋体"/>
                <w:b/>
                <w:sz w:val="21"/>
              </w:rPr>
            </w:pPr>
            <w:r>
              <w:rPr>
                <w:rFonts w:hint="eastAsia" w:ascii="Calibri" w:hAnsi="宋体" w:eastAsia="宋体"/>
                <w:b/>
                <w:sz w:val="21"/>
              </w:rPr>
              <w:t>企业能力：</w:t>
            </w:r>
          </w:p>
          <w:p w14:paraId="69FBA315">
            <w:pPr>
              <w:pStyle w:val="68"/>
              <w:numPr>
                <w:ilvl w:val="0"/>
                <w:numId w:val="4"/>
              </w:numPr>
              <w:spacing w:line="300" w:lineRule="exact"/>
              <w:jc w:val="both"/>
              <w:rPr>
                <w:rFonts w:ascii="Calibri" w:hAnsi="宋体" w:eastAsia="宋体"/>
                <w:sz w:val="21"/>
              </w:rPr>
            </w:pPr>
            <w:r>
              <w:rPr>
                <w:rFonts w:hint="eastAsia" w:ascii="Calibri" w:hAnsi="宋体" w:eastAsia="宋体"/>
                <w:sz w:val="21"/>
              </w:rPr>
              <w:t>提供信息安全管理体系认证证书，得1分；</w:t>
            </w:r>
          </w:p>
          <w:p w14:paraId="2FD01444">
            <w:pPr>
              <w:pStyle w:val="68"/>
              <w:numPr>
                <w:ilvl w:val="0"/>
                <w:numId w:val="4"/>
              </w:numPr>
              <w:spacing w:line="300" w:lineRule="exact"/>
              <w:jc w:val="both"/>
              <w:rPr>
                <w:rFonts w:ascii="Calibri" w:hAnsi="宋体" w:eastAsia="宋体"/>
                <w:sz w:val="21"/>
              </w:rPr>
            </w:pPr>
            <w:r>
              <w:rPr>
                <w:rFonts w:hint="eastAsia" w:ascii="Calibri" w:hAnsi="宋体" w:eastAsia="宋体"/>
                <w:sz w:val="21"/>
              </w:rPr>
              <w:t>提供信息技术服务管理体系认证证书，得1分。</w:t>
            </w:r>
          </w:p>
          <w:p w14:paraId="3134B226">
            <w:pPr>
              <w:spacing w:line="30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提供证书扫描件并加盖供应商公章。</w:t>
            </w:r>
          </w:p>
        </w:tc>
        <w:tc>
          <w:tcPr>
            <w:tcW w:w="968" w:type="dxa"/>
            <w:shd w:val="clear" w:color="auto" w:fill="auto"/>
            <w:vAlign w:val="center"/>
          </w:tcPr>
          <w:p w14:paraId="4DA32682">
            <w:pPr>
              <w:spacing w:line="400" w:lineRule="exact"/>
              <w:jc w:val="center"/>
              <w:rPr>
                <w:rFonts w:ascii="Calibri" w:hAnsi="宋体" w:eastAsia="宋体" w:cs="宋体"/>
                <w:bCs/>
                <w:color w:val="FF0000"/>
                <w:sz w:val="21"/>
                <w:szCs w:val="21"/>
              </w:rPr>
            </w:pPr>
          </w:p>
        </w:tc>
      </w:tr>
      <w:tr w14:paraId="23A12F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B62126">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022802E">
            <w:pPr>
              <w:spacing w:line="400" w:lineRule="exact"/>
              <w:jc w:val="center"/>
              <w:rPr>
                <w:rFonts w:ascii="Calibri" w:hAnsi="宋体" w:eastAsia="宋体" w:cs="宋体"/>
                <w:bCs/>
                <w:sz w:val="21"/>
                <w:szCs w:val="21"/>
              </w:rPr>
            </w:pPr>
          </w:p>
        </w:tc>
        <w:tc>
          <w:tcPr>
            <w:tcW w:w="860" w:type="dxa"/>
            <w:shd w:val="clear" w:color="auto" w:fill="auto"/>
            <w:vAlign w:val="center"/>
          </w:tcPr>
          <w:p w14:paraId="169C223B">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259" w:type="dxa"/>
            <w:shd w:val="clear" w:color="auto" w:fill="auto"/>
            <w:vAlign w:val="center"/>
          </w:tcPr>
          <w:p w14:paraId="13148965">
            <w:pPr>
              <w:spacing w:line="300" w:lineRule="exact"/>
              <w:ind w:firstLine="420"/>
              <w:jc w:val="both"/>
              <w:rPr>
                <w:rFonts w:ascii="Calibri" w:hAnsi="宋体" w:eastAsia="宋体"/>
                <w:b/>
                <w:sz w:val="21"/>
              </w:rPr>
            </w:pPr>
            <w:r>
              <w:rPr>
                <w:rFonts w:ascii="Calibri" w:hAnsi="宋体" w:eastAsia="宋体"/>
                <w:b/>
                <w:sz w:val="21"/>
              </w:rPr>
              <w:t>业绩：</w:t>
            </w:r>
          </w:p>
          <w:p w14:paraId="30082D43">
            <w:pPr>
              <w:spacing w:line="300" w:lineRule="exact"/>
              <w:ind w:firstLine="420"/>
              <w:jc w:val="both"/>
              <w:rPr>
                <w:rFonts w:ascii="Calibri" w:hAnsi="宋体" w:eastAsia="宋体"/>
                <w:sz w:val="21"/>
              </w:rPr>
            </w:pPr>
            <w:r>
              <w:rPr>
                <w:rFonts w:hint="eastAsia" w:ascii="Calibri" w:hAnsi="宋体" w:eastAsia="宋体"/>
                <w:sz w:val="21"/>
              </w:rPr>
              <w:t>提供2023年1月1日（以合同签订日期为准）以来类似项目的业绩证明文件（须提供合同），得3分。</w:t>
            </w:r>
          </w:p>
          <w:p w14:paraId="7ED9E9C7">
            <w:pPr>
              <w:spacing w:line="30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供应商需提供合同关键页扫描件（包括但不限于合同首页、合同金额所在页、签字盖章，能够证明项目内容的部分等，并加盖公章）。</w:t>
            </w:r>
          </w:p>
        </w:tc>
        <w:tc>
          <w:tcPr>
            <w:tcW w:w="968" w:type="dxa"/>
            <w:shd w:val="clear" w:color="auto" w:fill="auto"/>
            <w:vAlign w:val="center"/>
          </w:tcPr>
          <w:p w14:paraId="08EA67EA">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14:paraId="5E16FD7D">
      <w:pPr>
        <w:pStyle w:val="81"/>
        <w:ind w:firstLine="482"/>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1"/>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1" w:name="_Toc212455739"/>
      <w:r>
        <w:rPr>
          <w:rFonts w:hint="eastAsia"/>
        </w:rPr>
        <w:t>第三章　磋商内容及要求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西安智慧国资监管信息系统运行3年以来，各系统模块运转正常。本次采购一家运维服务商，保障智慧国资监管信息系统运维、相关硬件维护以及系统产生的深度应用，确保系统运行安全、稳定，提升国资监管效能，为业务应用提供支撑。</w:t>
      </w:r>
    </w:p>
    <w:p w14:paraId="7307D21B">
      <w:pPr>
        <w:pStyle w:val="3"/>
        <w:jc w:val="both"/>
      </w:pPr>
      <w:r>
        <w:rPr>
          <w:rFonts w:hint="eastAsia"/>
        </w:rPr>
        <w:t>二、</w:t>
      </w:r>
      <w:r>
        <w:t>采购</w:t>
      </w:r>
      <w:r>
        <w:rPr>
          <w:rFonts w:hint="eastAsia"/>
        </w:rPr>
        <w:t>内容</w:t>
      </w:r>
    </w:p>
    <w:p w14:paraId="7D71C63E">
      <w:pPr>
        <w:ind w:firstLine="480" w:firstLineChars="200"/>
        <w:jc w:val="both"/>
        <w:rPr>
          <w:b/>
        </w:rPr>
      </w:pPr>
      <w:r>
        <w:rPr>
          <w:rFonts w:hint="eastAsia"/>
          <w:b/>
        </w:rPr>
        <w:t>（一）软件维护：</w:t>
      </w:r>
    </w:p>
    <w:p w14:paraId="10CF282B">
      <w:pPr>
        <w:ind w:firstLine="480" w:firstLineChars="200"/>
        <w:jc w:val="both"/>
      </w:pPr>
      <w:r>
        <w:rPr>
          <w:rFonts w:hint="eastAsia"/>
        </w:rPr>
        <w:t>1、系统监控：对系统进行实时监控，及时发现并处理异常情况。监控的内容包括系统资源使用情况、网络状态、应用程序运行情况等。对系统进行7*24小时监控，确保软件系统的稳定性和可用性。</w:t>
      </w:r>
    </w:p>
    <w:p w14:paraId="7644C5F8">
      <w:pPr>
        <w:ind w:firstLine="480" w:firstLineChars="200"/>
        <w:jc w:val="both"/>
      </w:pPr>
      <w:r>
        <w:rPr>
          <w:rFonts w:hint="eastAsia"/>
        </w:rPr>
        <w:t>2、故障排查：当软件系统出现故障时，及时发现并解决软件系统中的故障和问题，包括系统崩溃、错误报告、异常行为等。</w:t>
      </w:r>
    </w:p>
    <w:p w14:paraId="476BBED1">
      <w:pPr>
        <w:ind w:firstLine="480" w:firstLineChars="200"/>
        <w:jc w:val="both"/>
      </w:pPr>
      <w:r>
        <w:rPr>
          <w:rFonts w:hint="eastAsia"/>
        </w:rPr>
        <w:t>3、备份与恢复：执行系统及数据备份，确保在发生故障时，及时进行系统及数据恢复，确保软件系统的正常运行。</w:t>
      </w:r>
    </w:p>
    <w:p w14:paraId="0B843E5B">
      <w:pPr>
        <w:ind w:firstLine="480" w:firstLineChars="200"/>
        <w:jc w:val="both"/>
      </w:pPr>
      <w:r>
        <w:rPr>
          <w:rFonts w:hint="eastAsia"/>
        </w:rPr>
        <w:t>4、安全性管理：确保系统运行的安全性和稳定性，更新系统的安全补丁，及时更新安全策略和措施；配置和管理访问控制，确保系统只能被授权人员访问。</w:t>
      </w:r>
    </w:p>
    <w:p w14:paraId="6B58E825">
      <w:pPr>
        <w:ind w:firstLine="480" w:firstLineChars="200"/>
        <w:jc w:val="both"/>
      </w:pPr>
      <w:r>
        <w:rPr>
          <w:rFonts w:hint="eastAsia"/>
        </w:rPr>
        <w:t>5、版本控制和管理：系统版本及代码管理，包括系统补丁、漏洞修复等。定期进行系统更新和升级，包括数据库、中间件等。</w:t>
      </w:r>
    </w:p>
    <w:p w14:paraId="4CCED165">
      <w:pPr>
        <w:ind w:firstLine="480" w:firstLineChars="200"/>
        <w:jc w:val="both"/>
      </w:pPr>
      <w:r>
        <w:rPr>
          <w:rFonts w:hint="eastAsia"/>
        </w:rPr>
        <w:t>6、容量规划：进行容量规划，确保系统能够应对未来的扩展需求。</w:t>
      </w:r>
    </w:p>
    <w:p w14:paraId="3543F692">
      <w:pPr>
        <w:ind w:firstLine="480" w:firstLineChars="200"/>
        <w:jc w:val="both"/>
      </w:pPr>
      <w:r>
        <w:rPr>
          <w:rFonts w:hint="eastAsia"/>
        </w:rPr>
        <w:t>7、日志管理和审计：管理系统日志，确保能够及时发现潜在问题。</w:t>
      </w:r>
    </w:p>
    <w:p w14:paraId="0B570194">
      <w:pPr>
        <w:ind w:firstLine="480" w:firstLineChars="200"/>
        <w:jc w:val="both"/>
      </w:pPr>
      <w:r>
        <w:rPr>
          <w:rFonts w:hint="eastAsia"/>
        </w:rPr>
        <w:t>8、应急预案：制定应急保障服务方案，当发生突发事件时，可以快速响应并采取有效的措施进行处置，减少损失和影响。</w:t>
      </w:r>
    </w:p>
    <w:p w14:paraId="23E449A2">
      <w:pPr>
        <w:ind w:firstLine="480" w:firstLineChars="200"/>
        <w:jc w:val="both"/>
      </w:pPr>
      <w:r>
        <w:rPr>
          <w:rFonts w:hint="eastAsia"/>
        </w:rPr>
        <w:t>9、应用系统对接维护：与企业侧信息系统、大屏展示系统等相关系统对接及维护。</w:t>
      </w:r>
    </w:p>
    <w:p w14:paraId="07E98E8B">
      <w:pPr>
        <w:ind w:firstLine="480" w:firstLineChars="200"/>
        <w:jc w:val="both"/>
        <w:rPr>
          <w:b/>
        </w:rPr>
      </w:pPr>
      <w:r>
        <w:rPr>
          <w:rFonts w:hint="eastAsia"/>
          <w:b/>
        </w:rPr>
        <w:t>（二）硬件维护：（后附：设备清单）</w:t>
      </w:r>
    </w:p>
    <w:p w14:paraId="260E10F0">
      <w:pPr>
        <w:ind w:firstLine="480" w:firstLineChars="200"/>
        <w:jc w:val="both"/>
      </w:pPr>
      <w:r>
        <w:rPr>
          <w:rFonts w:hint="eastAsia"/>
        </w:rPr>
        <w:t>主要针对智慧国资系统已超过质保期的硬件设备进行及时且有效的维修和必要的更换。如大屏视频处理器、控制器、信号传输线路出现故障，服务器的硬盘老化损坏，或者网络设备的关键部件失效时，需要专业技术人员进行检测、维修，技术人员需具备专业的技术能力和维修经验，使用符合标准的维修工具和配件，维修过程中严格遵守安全规定，确保不会对设备和环境造成损坏，对于无法修复的部件进行更换，其中重要硬件设备需购买原厂服务，运维硬件损坏所产生的修复费用不属于整体运维的范畴。</w:t>
      </w:r>
    </w:p>
    <w:p w14:paraId="3CBBC845">
      <w:pPr>
        <w:ind w:firstLine="480" w:firstLineChars="200"/>
        <w:jc w:val="both"/>
      </w:pPr>
      <w:r>
        <w:rPr>
          <w:rFonts w:hint="eastAsia"/>
        </w:rPr>
        <w:t>硬件设备的巡检每月不少于1次，LED大屏显示屏需每周启动1次，启动时检查各项功能是否正常，显示像素、色彩、亮度是否清晰，有无故障提示，并做好启动记录，以便及时发现问题进行处理；防火墙、网闸、交换机需3个月进行固件和规则更新升级，做好配置审核，及时备份和恢复；工作站、移动办公终端进行软件更新、数据备份，做好病毒的防护和数据安全，每月1次。</w:t>
      </w:r>
    </w:p>
    <w:tbl>
      <w:tblPr>
        <w:tblStyle w:val="25"/>
        <w:tblW w:w="90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515"/>
        <w:gridCol w:w="2538"/>
        <w:gridCol w:w="1977"/>
        <w:gridCol w:w="2460"/>
      </w:tblGrid>
      <w:tr w14:paraId="2AB5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40" w:type="dxa"/>
            <w:gridSpan w:val="5"/>
            <w:tcBorders>
              <w:top w:val="single" w:color="auto" w:sz="4" w:space="0"/>
              <w:left w:val="single" w:color="auto" w:sz="4" w:space="0"/>
              <w:bottom w:val="single" w:color="auto" w:sz="4" w:space="0"/>
              <w:right w:val="single" w:color="auto" w:sz="4" w:space="0"/>
            </w:tcBorders>
            <w:vAlign w:val="center"/>
          </w:tcPr>
          <w:p w14:paraId="76D028B0">
            <w:pPr>
              <w:adjustRightInd w:val="0"/>
              <w:snapToGrid w:val="0"/>
              <w:jc w:val="center"/>
              <w:rPr>
                <w:rFonts w:ascii="宋体" w:hAnsi="宋体"/>
                <w:b/>
                <w:sz w:val="28"/>
                <w:szCs w:val="28"/>
              </w:rPr>
            </w:pPr>
            <w:r>
              <w:rPr>
                <w:rFonts w:hint="eastAsia" w:ascii="宋体" w:hAnsi="宋体"/>
                <w:b/>
                <w:sz w:val="28"/>
                <w:szCs w:val="28"/>
              </w:rPr>
              <w:t>设备清单</w:t>
            </w:r>
          </w:p>
        </w:tc>
      </w:tr>
      <w:tr w14:paraId="4310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0" w:type="dxa"/>
            <w:tcBorders>
              <w:top w:val="single" w:color="auto" w:sz="4" w:space="0"/>
              <w:left w:val="single" w:color="auto" w:sz="4" w:space="0"/>
              <w:bottom w:val="single" w:color="auto" w:sz="4" w:space="0"/>
              <w:right w:val="single" w:color="auto" w:sz="4" w:space="0"/>
            </w:tcBorders>
            <w:vAlign w:val="center"/>
          </w:tcPr>
          <w:p w14:paraId="20DC5023">
            <w:pPr>
              <w:adjustRightInd w:val="0"/>
              <w:snapToGrid w:val="0"/>
              <w:jc w:val="center"/>
              <w:rPr>
                <w:rFonts w:ascii="宋体" w:hAnsi="宋体"/>
                <w:b/>
              </w:rPr>
            </w:pPr>
            <w:r>
              <w:rPr>
                <w:rFonts w:hint="eastAsia" w:ascii="宋体" w:hAnsi="宋体"/>
                <w:b/>
              </w:rPr>
              <w:t>序号</w:t>
            </w:r>
          </w:p>
        </w:tc>
        <w:tc>
          <w:tcPr>
            <w:tcW w:w="1515" w:type="dxa"/>
            <w:tcBorders>
              <w:top w:val="single" w:color="auto" w:sz="4" w:space="0"/>
              <w:left w:val="single" w:color="auto" w:sz="4" w:space="0"/>
              <w:bottom w:val="single" w:color="auto" w:sz="4" w:space="0"/>
              <w:right w:val="single" w:color="auto" w:sz="4" w:space="0"/>
            </w:tcBorders>
            <w:vAlign w:val="center"/>
          </w:tcPr>
          <w:p w14:paraId="3EFB22C9">
            <w:pPr>
              <w:adjustRightInd w:val="0"/>
              <w:snapToGrid w:val="0"/>
              <w:jc w:val="center"/>
              <w:rPr>
                <w:rFonts w:ascii="宋体" w:hAnsi="宋体"/>
                <w:b/>
              </w:rPr>
            </w:pPr>
            <w:r>
              <w:rPr>
                <w:rFonts w:hint="eastAsia" w:ascii="宋体" w:hAnsi="宋体"/>
                <w:b/>
              </w:rPr>
              <w:t>设备名称</w:t>
            </w:r>
          </w:p>
        </w:tc>
        <w:tc>
          <w:tcPr>
            <w:tcW w:w="2538" w:type="dxa"/>
            <w:tcBorders>
              <w:top w:val="single" w:color="auto" w:sz="4" w:space="0"/>
              <w:left w:val="single" w:color="auto" w:sz="4" w:space="0"/>
              <w:bottom w:val="single" w:color="auto" w:sz="4" w:space="0"/>
              <w:right w:val="single" w:color="auto" w:sz="4" w:space="0"/>
            </w:tcBorders>
            <w:vAlign w:val="center"/>
          </w:tcPr>
          <w:p w14:paraId="43724B37">
            <w:pPr>
              <w:adjustRightInd w:val="0"/>
              <w:snapToGrid w:val="0"/>
              <w:jc w:val="center"/>
              <w:rPr>
                <w:rFonts w:ascii="宋体" w:hAnsi="宋体"/>
                <w:b/>
              </w:rPr>
            </w:pPr>
            <w:r>
              <w:rPr>
                <w:rFonts w:hint="eastAsia" w:ascii="宋体" w:hAnsi="宋体"/>
                <w:b/>
              </w:rPr>
              <w:t>维保时长</w:t>
            </w:r>
          </w:p>
        </w:tc>
        <w:tc>
          <w:tcPr>
            <w:tcW w:w="1977" w:type="dxa"/>
            <w:tcBorders>
              <w:top w:val="single" w:color="auto" w:sz="4" w:space="0"/>
              <w:left w:val="single" w:color="auto" w:sz="4" w:space="0"/>
              <w:bottom w:val="single" w:color="auto" w:sz="4" w:space="0"/>
              <w:right w:val="single" w:color="auto" w:sz="4" w:space="0"/>
            </w:tcBorders>
            <w:vAlign w:val="center"/>
          </w:tcPr>
          <w:p w14:paraId="12BC60CA">
            <w:pPr>
              <w:adjustRightInd w:val="0"/>
              <w:snapToGrid w:val="0"/>
              <w:jc w:val="center"/>
              <w:rPr>
                <w:rFonts w:ascii="宋体" w:hAnsi="宋体"/>
                <w:b/>
              </w:rPr>
            </w:pPr>
            <w:r>
              <w:rPr>
                <w:rFonts w:hint="eastAsia" w:ascii="宋体" w:hAnsi="宋体"/>
                <w:b/>
              </w:rPr>
              <w:t>维保截止日期</w:t>
            </w:r>
          </w:p>
        </w:tc>
        <w:tc>
          <w:tcPr>
            <w:tcW w:w="2460" w:type="dxa"/>
            <w:tcBorders>
              <w:top w:val="single" w:color="auto" w:sz="4" w:space="0"/>
              <w:left w:val="single" w:color="auto" w:sz="4" w:space="0"/>
              <w:bottom w:val="single" w:color="auto" w:sz="4" w:space="0"/>
              <w:right w:val="single" w:color="auto" w:sz="4" w:space="0"/>
            </w:tcBorders>
            <w:vAlign w:val="center"/>
          </w:tcPr>
          <w:p w14:paraId="5FD9D6C2">
            <w:pPr>
              <w:adjustRightInd w:val="0"/>
              <w:snapToGrid w:val="0"/>
              <w:jc w:val="center"/>
              <w:rPr>
                <w:rFonts w:ascii="宋体" w:hAnsi="宋体"/>
                <w:b/>
              </w:rPr>
            </w:pPr>
            <w:r>
              <w:rPr>
                <w:rFonts w:hint="eastAsia" w:ascii="宋体" w:hAnsi="宋体"/>
                <w:b/>
              </w:rPr>
              <w:t>备注</w:t>
            </w:r>
          </w:p>
        </w:tc>
      </w:tr>
      <w:tr w14:paraId="4F88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50" w:type="dxa"/>
            <w:vMerge w:val="restart"/>
            <w:tcBorders>
              <w:top w:val="nil"/>
              <w:left w:val="single" w:color="auto" w:sz="4" w:space="0"/>
              <w:bottom w:val="single" w:color="auto" w:sz="4" w:space="0"/>
              <w:right w:val="single" w:color="auto" w:sz="4" w:space="0"/>
            </w:tcBorders>
            <w:vAlign w:val="center"/>
          </w:tcPr>
          <w:p w14:paraId="756AA8AB">
            <w:pPr>
              <w:adjustRightInd w:val="0"/>
              <w:snapToGrid w:val="0"/>
              <w:rPr>
                <w:rFonts w:ascii="宋体" w:hAnsi="宋体"/>
                <w:b/>
              </w:rPr>
            </w:pPr>
            <w:r>
              <w:rPr>
                <w:rFonts w:hint="eastAsia" w:ascii="宋体" w:hAnsi="宋体"/>
                <w:b/>
              </w:rPr>
              <w:t>硬</w:t>
            </w:r>
          </w:p>
          <w:p w14:paraId="77574FF9">
            <w:pPr>
              <w:adjustRightInd w:val="0"/>
              <w:snapToGrid w:val="0"/>
              <w:rPr>
                <w:rFonts w:ascii="宋体" w:hAnsi="宋体"/>
                <w:b/>
              </w:rPr>
            </w:pPr>
            <w:r>
              <w:rPr>
                <w:rFonts w:hint="eastAsia" w:ascii="宋体" w:hAnsi="宋体"/>
                <w:b/>
              </w:rPr>
              <w:t>件</w:t>
            </w:r>
          </w:p>
        </w:tc>
        <w:tc>
          <w:tcPr>
            <w:tcW w:w="1515" w:type="dxa"/>
            <w:tcBorders>
              <w:top w:val="single" w:color="auto" w:sz="4" w:space="0"/>
              <w:left w:val="single" w:color="auto" w:sz="4" w:space="0"/>
              <w:bottom w:val="single" w:color="auto" w:sz="4" w:space="0"/>
              <w:right w:val="single" w:color="auto" w:sz="4" w:space="0"/>
            </w:tcBorders>
            <w:vAlign w:val="center"/>
          </w:tcPr>
          <w:p w14:paraId="6BA3F74B">
            <w:pPr>
              <w:spacing w:line="300" w:lineRule="exact"/>
              <w:jc w:val="center"/>
              <w:textAlignment w:val="center"/>
              <w:rPr>
                <w:rFonts w:ascii="宋体" w:hAnsi="宋体"/>
                <w:b/>
                <w:sz w:val="21"/>
                <w:szCs w:val="21"/>
              </w:rPr>
            </w:pPr>
            <w:r>
              <w:rPr>
                <w:rFonts w:hint="eastAsia" w:ascii="宋体" w:hAnsi="宋体"/>
                <w:color w:val="000000"/>
                <w:sz w:val="21"/>
                <w:szCs w:val="21"/>
              </w:rPr>
              <w:t>防火墙</w:t>
            </w:r>
          </w:p>
        </w:tc>
        <w:tc>
          <w:tcPr>
            <w:tcW w:w="2538" w:type="dxa"/>
            <w:tcBorders>
              <w:top w:val="single" w:color="auto" w:sz="4" w:space="0"/>
              <w:left w:val="single" w:color="auto" w:sz="4" w:space="0"/>
              <w:bottom w:val="single" w:color="auto" w:sz="4" w:space="0"/>
              <w:right w:val="single" w:color="auto" w:sz="4" w:space="0"/>
            </w:tcBorders>
            <w:vAlign w:val="center"/>
          </w:tcPr>
          <w:p w14:paraId="0C52F18F">
            <w:pPr>
              <w:spacing w:line="300" w:lineRule="exact"/>
              <w:jc w:val="center"/>
              <w:textAlignment w:val="center"/>
              <w:rPr>
                <w:rFonts w:ascii="宋体" w:hAnsi="宋体"/>
                <w:b/>
                <w:sz w:val="21"/>
                <w:szCs w:val="21"/>
              </w:rPr>
            </w:pPr>
            <w:r>
              <w:rPr>
                <w:rFonts w:hint="eastAsia" w:ascii="宋体" w:hAnsi="宋体"/>
                <w:color w:val="000000"/>
                <w:sz w:val="21"/>
                <w:szCs w:val="21"/>
              </w:rPr>
              <w:t>三年硬件维保服务，</w:t>
            </w:r>
            <w:r>
              <w:rPr>
                <w:rFonts w:hint="eastAsia" w:ascii="宋体" w:hAnsi="宋体"/>
                <w:color w:val="000000"/>
                <w:sz w:val="21"/>
                <w:szCs w:val="21"/>
              </w:rPr>
              <w:br w:type="textWrapping"/>
            </w:r>
            <w:r>
              <w:rPr>
                <w:rFonts w:hint="eastAsia" w:ascii="宋体" w:hAnsi="宋体"/>
                <w:color w:val="000000"/>
                <w:sz w:val="21"/>
                <w:szCs w:val="21"/>
              </w:rPr>
              <w:t>三年功能授权及规则库升级服务</w:t>
            </w:r>
          </w:p>
        </w:tc>
        <w:tc>
          <w:tcPr>
            <w:tcW w:w="1977" w:type="dxa"/>
            <w:tcBorders>
              <w:top w:val="single" w:color="auto" w:sz="4" w:space="0"/>
              <w:left w:val="single" w:color="auto" w:sz="4" w:space="0"/>
              <w:bottom w:val="single" w:color="auto" w:sz="4" w:space="0"/>
              <w:right w:val="single" w:color="auto" w:sz="4" w:space="0"/>
            </w:tcBorders>
            <w:vAlign w:val="center"/>
          </w:tcPr>
          <w:p w14:paraId="6509B16C">
            <w:pPr>
              <w:spacing w:line="300" w:lineRule="exact"/>
              <w:jc w:val="center"/>
              <w:textAlignment w:val="center"/>
              <w:rPr>
                <w:rFonts w:ascii="宋体" w:hAnsi="宋体"/>
                <w:b/>
                <w:sz w:val="21"/>
                <w:szCs w:val="21"/>
              </w:rPr>
            </w:pPr>
            <w:r>
              <w:rPr>
                <w:rFonts w:hint="eastAsia" w:ascii="宋体" w:hAnsi="宋体"/>
                <w:color w:val="000000"/>
                <w:sz w:val="21"/>
                <w:szCs w:val="21"/>
              </w:rPr>
              <w:t>2024.12.12</w:t>
            </w:r>
          </w:p>
        </w:tc>
        <w:tc>
          <w:tcPr>
            <w:tcW w:w="2460" w:type="dxa"/>
            <w:tcBorders>
              <w:top w:val="single" w:color="auto" w:sz="4" w:space="0"/>
              <w:left w:val="single" w:color="auto" w:sz="4" w:space="0"/>
              <w:bottom w:val="single" w:color="auto" w:sz="4" w:space="0"/>
              <w:right w:val="single" w:color="auto" w:sz="4" w:space="0"/>
            </w:tcBorders>
            <w:vAlign w:val="center"/>
          </w:tcPr>
          <w:p w14:paraId="3FE85819">
            <w:pPr>
              <w:adjustRightInd w:val="0"/>
              <w:snapToGrid w:val="0"/>
              <w:spacing w:line="300" w:lineRule="exact"/>
              <w:jc w:val="center"/>
              <w:rPr>
                <w:rFonts w:ascii="宋体" w:hAnsi="宋体"/>
                <w:b/>
                <w:sz w:val="28"/>
                <w:szCs w:val="28"/>
              </w:rPr>
            </w:pPr>
          </w:p>
        </w:tc>
      </w:tr>
      <w:tr w14:paraId="49B6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Merge w:val="continue"/>
            <w:tcBorders>
              <w:top w:val="nil"/>
              <w:left w:val="single" w:color="auto" w:sz="4" w:space="0"/>
              <w:bottom w:val="single" w:color="auto" w:sz="4" w:space="0"/>
              <w:right w:val="single" w:color="auto" w:sz="4" w:space="0"/>
            </w:tcBorders>
            <w:vAlign w:val="center"/>
          </w:tcPr>
          <w:p w14:paraId="436653D7">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47AB3772">
            <w:pPr>
              <w:spacing w:line="300" w:lineRule="exact"/>
              <w:jc w:val="center"/>
              <w:textAlignment w:val="center"/>
              <w:rPr>
                <w:rFonts w:ascii="宋体" w:hAnsi="宋体"/>
                <w:b/>
                <w:sz w:val="21"/>
                <w:szCs w:val="21"/>
              </w:rPr>
            </w:pPr>
            <w:r>
              <w:rPr>
                <w:rFonts w:hint="eastAsia" w:ascii="宋体" w:hAnsi="宋体"/>
                <w:color w:val="000000"/>
                <w:sz w:val="21"/>
                <w:szCs w:val="21"/>
              </w:rPr>
              <w:t>网闸</w:t>
            </w:r>
          </w:p>
        </w:tc>
        <w:tc>
          <w:tcPr>
            <w:tcW w:w="2538" w:type="dxa"/>
            <w:tcBorders>
              <w:top w:val="single" w:color="auto" w:sz="4" w:space="0"/>
              <w:left w:val="single" w:color="auto" w:sz="4" w:space="0"/>
              <w:bottom w:val="single" w:color="auto" w:sz="4" w:space="0"/>
              <w:right w:val="single" w:color="auto" w:sz="4" w:space="0"/>
            </w:tcBorders>
            <w:vAlign w:val="center"/>
          </w:tcPr>
          <w:p w14:paraId="0E7AF02D">
            <w:pPr>
              <w:spacing w:line="300" w:lineRule="exact"/>
              <w:jc w:val="center"/>
              <w:textAlignment w:val="center"/>
              <w:rPr>
                <w:rFonts w:ascii="宋体" w:hAnsi="宋体"/>
                <w:b/>
                <w:sz w:val="21"/>
                <w:szCs w:val="21"/>
              </w:rPr>
            </w:pPr>
            <w:r>
              <w:rPr>
                <w:rFonts w:hint="eastAsia" w:ascii="宋体" w:hAnsi="宋体"/>
                <w:color w:val="000000"/>
                <w:sz w:val="21"/>
                <w:szCs w:val="21"/>
              </w:rPr>
              <w:t>三年硬件维保和软件升级服务</w:t>
            </w:r>
          </w:p>
        </w:tc>
        <w:tc>
          <w:tcPr>
            <w:tcW w:w="1977" w:type="dxa"/>
            <w:tcBorders>
              <w:top w:val="single" w:color="auto" w:sz="4" w:space="0"/>
              <w:left w:val="single" w:color="auto" w:sz="4" w:space="0"/>
              <w:bottom w:val="single" w:color="auto" w:sz="4" w:space="0"/>
              <w:right w:val="single" w:color="auto" w:sz="4" w:space="0"/>
            </w:tcBorders>
            <w:vAlign w:val="center"/>
          </w:tcPr>
          <w:p w14:paraId="1D5CA712">
            <w:pPr>
              <w:spacing w:line="300" w:lineRule="exact"/>
              <w:jc w:val="center"/>
              <w:textAlignment w:val="center"/>
              <w:rPr>
                <w:rFonts w:ascii="宋体" w:hAnsi="宋体"/>
                <w:b/>
                <w:sz w:val="21"/>
                <w:szCs w:val="21"/>
              </w:rPr>
            </w:pPr>
            <w:r>
              <w:rPr>
                <w:rFonts w:hint="eastAsia" w:ascii="宋体" w:hAnsi="宋体"/>
                <w:color w:val="000000"/>
                <w:sz w:val="21"/>
                <w:szCs w:val="21"/>
              </w:rPr>
              <w:t>2024.12.12</w:t>
            </w:r>
          </w:p>
        </w:tc>
        <w:tc>
          <w:tcPr>
            <w:tcW w:w="2460" w:type="dxa"/>
            <w:tcBorders>
              <w:top w:val="single" w:color="auto" w:sz="4" w:space="0"/>
              <w:left w:val="single" w:color="auto" w:sz="4" w:space="0"/>
              <w:bottom w:val="single" w:color="auto" w:sz="4" w:space="0"/>
              <w:right w:val="single" w:color="auto" w:sz="4" w:space="0"/>
            </w:tcBorders>
            <w:vAlign w:val="center"/>
          </w:tcPr>
          <w:p w14:paraId="06822446">
            <w:pPr>
              <w:adjustRightInd w:val="0"/>
              <w:snapToGrid w:val="0"/>
              <w:spacing w:line="300" w:lineRule="exact"/>
              <w:jc w:val="center"/>
              <w:rPr>
                <w:rFonts w:ascii="宋体" w:hAnsi="宋体"/>
                <w:b/>
                <w:sz w:val="28"/>
                <w:szCs w:val="28"/>
              </w:rPr>
            </w:pPr>
          </w:p>
        </w:tc>
      </w:tr>
      <w:tr w14:paraId="09E4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50" w:type="dxa"/>
            <w:vMerge w:val="continue"/>
            <w:tcBorders>
              <w:top w:val="nil"/>
              <w:left w:val="single" w:color="auto" w:sz="4" w:space="0"/>
              <w:bottom w:val="single" w:color="auto" w:sz="4" w:space="0"/>
              <w:right w:val="single" w:color="auto" w:sz="4" w:space="0"/>
            </w:tcBorders>
            <w:vAlign w:val="center"/>
          </w:tcPr>
          <w:p w14:paraId="73302AE9">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19EB34CB">
            <w:pPr>
              <w:spacing w:line="300" w:lineRule="exact"/>
              <w:jc w:val="center"/>
              <w:textAlignment w:val="center"/>
              <w:rPr>
                <w:rFonts w:ascii="宋体" w:hAnsi="宋体"/>
                <w:b/>
                <w:sz w:val="21"/>
                <w:szCs w:val="21"/>
              </w:rPr>
            </w:pPr>
            <w:r>
              <w:rPr>
                <w:rFonts w:hint="eastAsia" w:ascii="宋体" w:hAnsi="宋体"/>
                <w:color w:val="000000"/>
                <w:sz w:val="21"/>
                <w:szCs w:val="21"/>
              </w:rPr>
              <w:t>交换机</w:t>
            </w:r>
          </w:p>
        </w:tc>
        <w:tc>
          <w:tcPr>
            <w:tcW w:w="2538" w:type="dxa"/>
            <w:tcBorders>
              <w:top w:val="single" w:color="auto" w:sz="4" w:space="0"/>
              <w:left w:val="single" w:color="auto" w:sz="4" w:space="0"/>
              <w:bottom w:val="single" w:color="auto" w:sz="4" w:space="0"/>
              <w:right w:val="single" w:color="auto" w:sz="4" w:space="0"/>
            </w:tcBorders>
            <w:vAlign w:val="center"/>
          </w:tcPr>
          <w:p w14:paraId="6F5504DE">
            <w:pPr>
              <w:spacing w:line="300" w:lineRule="exact"/>
              <w:jc w:val="center"/>
              <w:textAlignment w:val="center"/>
              <w:rPr>
                <w:rFonts w:ascii="宋体" w:hAnsi="宋体"/>
                <w:b/>
                <w:sz w:val="21"/>
                <w:szCs w:val="21"/>
              </w:rPr>
            </w:pPr>
            <w:r>
              <w:rPr>
                <w:rFonts w:hint="eastAsia" w:ascii="宋体" w:hAnsi="宋体"/>
                <w:color w:val="000000"/>
                <w:sz w:val="21"/>
                <w:szCs w:val="21"/>
              </w:rPr>
              <w:t>一年</w:t>
            </w:r>
          </w:p>
        </w:tc>
        <w:tc>
          <w:tcPr>
            <w:tcW w:w="1977" w:type="dxa"/>
            <w:tcBorders>
              <w:top w:val="single" w:color="auto" w:sz="4" w:space="0"/>
              <w:left w:val="single" w:color="auto" w:sz="4" w:space="0"/>
              <w:bottom w:val="single" w:color="auto" w:sz="4" w:space="0"/>
              <w:right w:val="single" w:color="auto" w:sz="4" w:space="0"/>
            </w:tcBorders>
            <w:vAlign w:val="center"/>
          </w:tcPr>
          <w:p w14:paraId="2BA8B089">
            <w:pPr>
              <w:spacing w:line="300" w:lineRule="exact"/>
              <w:jc w:val="center"/>
              <w:textAlignment w:val="center"/>
              <w:rPr>
                <w:rFonts w:ascii="宋体" w:hAnsi="宋体"/>
                <w:b/>
                <w:sz w:val="21"/>
                <w:szCs w:val="21"/>
              </w:rPr>
            </w:pPr>
            <w:r>
              <w:rPr>
                <w:rFonts w:hint="eastAsia" w:ascii="宋体" w:hAnsi="宋体"/>
                <w:color w:val="000000"/>
                <w:sz w:val="21"/>
                <w:szCs w:val="21"/>
              </w:rPr>
              <w:t>2022.12.12</w:t>
            </w:r>
          </w:p>
        </w:tc>
        <w:tc>
          <w:tcPr>
            <w:tcW w:w="2460" w:type="dxa"/>
            <w:tcBorders>
              <w:top w:val="single" w:color="auto" w:sz="4" w:space="0"/>
              <w:left w:val="single" w:color="auto" w:sz="4" w:space="0"/>
              <w:bottom w:val="single" w:color="auto" w:sz="4" w:space="0"/>
              <w:right w:val="single" w:color="auto" w:sz="4" w:space="0"/>
            </w:tcBorders>
            <w:vAlign w:val="center"/>
          </w:tcPr>
          <w:p w14:paraId="0189433A">
            <w:pPr>
              <w:adjustRightInd w:val="0"/>
              <w:snapToGrid w:val="0"/>
              <w:spacing w:line="300" w:lineRule="exact"/>
              <w:jc w:val="center"/>
              <w:rPr>
                <w:rFonts w:ascii="宋体" w:hAnsi="宋体"/>
                <w:b/>
                <w:sz w:val="28"/>
                <w:szCs w:val="28"/>
              </w:rPr>
            </w:pPr>
          </w:p>
        </w:tc>
      </w:tr>
      <w:tr w14:paraId="0935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50" w:type="dxa"/>
            <w:vMerge w:val="continue"/>
            <w:tcBorders>
              <w:top w:val="nil"/>
              <w:left w:val="single" w:color="auto" w:sz="4" w:space="0"/>
              <w:bottom w:val="single" w:color="auto" w:sz="4" w:space="0"/>
              <w:right w:val="single" w:color="auto" w:sz="4" w:space="0"/>
            </w:tcBorders>
            <w:vAlign w:val="center"/>
          </w:tcPr>
          <w:p w14:paraId="267A615B">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3FF59838">
            <w:pPr>
              <w:spacing w:line="300" w:lineRule="exact"/>
              <w:jc w:val="center"/>
              <w:textAlignment w:val="center"/>
              <w:rPr>
                <w:rFonts w:ascii="宋体" w:hAnsi="宋体"/>
                <w:b/>
                <w:sz w:val="21"/>
                <w:szCs w:val="21"/>
              </w:rPr>
            </w:pPr>
            <w:r>
              <w:rPr>
                <w:rFonts w:hint="eastAsia" w:ascii="宋体" w:hAnsi="宋体"/>
                <w:color w:val="000000"/>
                <w:sz w:val="21"/>
                <w:szCs w:val="21"/>
              </w:rPr>
              <w:t>交换机</w:t>
            </w:r>
          </w:p>
        </w:tc>
        <w:tc>
          <w:tcPr>
            <w:tcW w:w="2538" w:type="dxa"/>
            <w:tcBorders>
              <w:top w:val="single" w:color="auto" w:sz="4" w:space="0"/>
              <w:left w:val="single" w:color="auto" w:sz="4" w:space="0"/>
              <w:bottom w:val="single" w:color="auto" w:sz="4" w:space="0"/>
              <w:right w:val="single" w:color="auto" w:sz="4" w:space="0"/>
            </w:tcBorders>
            <w:vAlign w:val="center"/>
          </w:tcPr>
          <w:p w14:paraId="4BDD685C">
            <w:pPr>
              <w:spacing w:line="300" w:lineRule="exact"/>
              <w:jc w:val="center"/>
              <w:textAlignment w:val="center"/>
              <w:rPr>
                <w:rFonts w:ascii="宋体" w:hAnsi="宋体"/>
                <w:b/>
                <w:sz w:val="21"/>
                <w:szCs w:val="21"/>
              </w:rPr>
            </w:pPr>
            <w:r>
              <w:rPr>
                <w:rFonts w:hint="eastAsia" w:ascii="宋体" w:hAnsi="宋体"/>
                <w:color w:val="000000"/>
                <w:sz w:val="21"/>
                <w:szCs w:val="21"/>
              </w:rPr>
              <w:t>一年</w:t>
            </w:r>
          </w:p>
        </w:tc>
        <w:tc>
          <w:tcPr>
            <w:tcW w:w="1977" w:type="dxa"/>
            <w:tcBorders>
              <w:top w:val="single" w:color="auto" w:sz="4" w:space="0"/>
              <w:left w:val="single" w:color="auto" w:sz="4" w:space="0"/>
              <w:bottom w:val="single" w:color="auto" w:sz="4" w:space="0"/>
              <w:right w:val="single" w:color="auto" w:sz="4" w:space="0"/>
            </w:tcBorders>
            <w:vAlign w:val="center"/>
          </w:tcPr>
          <w:p w14:paraId="07F962A6">
            <w:pPr>
              <w:spacing w:line="300" w:lineRule="exact"/>
              <w:jc w:val="center"/>
              <w:textAlignment w:val="center"/>
              <w:rPr>
                <w:rFonts w:ascii="宋体" w:hAnsi="宋体"/>
                <w:b/>
                <w:sz w:val="21"/>
                <w:szCs w:val="21"/>
              </w:rPr>
            </w:pPr>
            <w:r>
              <w:rPr>
                <w:rFonts w:hint="eastAsia" w:ascii="宋体" w:hAnsi="宋体"/>
                <w:color w:val="000000"/>
                <w:sz w:val="21"/>
                <w:szCs w:val="21"/>
              </w:rPr>
              <w:t>2022.12.12</w:t>
            </w:r>
          </w:p>
        </w:tc>
        <w:tc>
          <w:tcPr>
            <w:tcW w:w="2460" w:type="dxa"/>
            <w:tcBorders>
              <w:top w:val="single" w:color="auto" w:sz="4" w:space="0"/>
              <w:left w:val="single" w:color="auto" w:sz="4" w:space="0"/>
              <w:bottom w:val="single" w:color="auto" w:sz="4" w:space="0"/>
              <w:right w:val="single" w:color="auto" w:sz="4" w:space="0"/>
            </w:tcBorders>
            <w:vAlign w:val="center"/>
          </w:tcPr>
          <w:p w14:paraId="054A29E3">
            <w:pPr>
              <w:adjustRightInd w:val="0"/>
              <w:snapToGrid w:val="0"/>
              <w:spacing w:line="300" w:lineRule="exact"/>
              <w:jc w:val="center"/>
              <w:rPr>
                <w:rFonts w:ascii="宋体" w:hAnsi="宋体"/>
                <w:b/>
                <w:sz w:val="28"/>
                <w:szCs w:val="28"/>
              </w:rPr>
            </w:pPr>
          </w:p>
        </w:tc>
      </w:tr>
      <w:tr w14:paraId="59F7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Merge w:val="continue"/>
            <w:tcBorders>
              <w:top w:val="nil"/>
              <w:left w:val="single" w:color="auto" w:sz="4" w:space="0"/>
              <w:bottom w:val="single" w:color="auto" w:sz="4" w:space="0"/>
              <w:right w:val="single" w:color="auto" w:sz="4" w:space="0"/>
            </w:tcBorders>
            <w:vAlign w:val="center"/>
          </w:tcPr>
          <w:p w14:paraId="6AC9A497">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54BC15F6">
            <w:pPr>
              <w:spacing w:line="300" w:lineRule="exact"/>
              <w:jc w:val="center"/>
              <w:textAlignment w:val="center"/>
              <w:rPr>
                <w:rFonts w:ascii="宋体" w:hAnsi="宋体"/>
                <w:b/>
                <w:sz w:val="21"/>
                <w:szCs w:val="21"/>
              </w:rPr>
            </w:pPr>
            <w:r>
              <w:rPr>
                <w:rFonts w:hint="eastAsia" w:ascii="宋体" w:hAnsi="宋体"/>
                <w:color w:val="000000"/>
                <w:sz w:val="21"/>
                <w:szCs w:val="21"/>
              </w:rPr>
              <w:t>拼接器（大屏处理器）</w:t>
            </w:r>
          </w:p>
        </w:tc>
        <w:tc>
          <w:tcPr>
            <w:tcW w:w="2538" w:type="dxa"/>
            <w:tcBorders>
              <w:top w:val="single" w:color="auto" w:sz="4" w:space="0"/>
              <w:left w:val="single" w:color="auto" w:sz="4" w:space="0"/>
              <w:bottom w:val="single" w:color="auto" w:sz="4" w:space="0"/>
              <w:right w:val="single" w:color="auto" w:sz="4" w:space="0"/>
            </w:tcBorders>
            <w:vAlign w:val="center"/>
          </w:tcPr>
          <w:p w14:paraId="4EA367CA">
            <w:pPr>
              <w:spacing w:line="300" w:lineRule="exact"/>
              <w:jc w:val="center"/>
              <w:textAlignment w:val="center"/>
              <w:rPr>
                <w:rFonts w:ascii="宋体" w:hAnsi="宋体"/>
                <w:b/>
                <w:sz w:val="21"/>
                <w:szCs w:val="21"/>
              </w:rPr>
            </w:pPr>
            <w:r>
              <w:rPr>
                <w:rFonts w:hint="eastAsia" w:ascii="宋体" w:hAnsi="宋体"/>
                <w:color w:val="000000"/>
                <w:sz w:val="21"/>
                <w:szCs w:val="21"/>
              </w:rPr>
              <w:t>三年原厂质保服务</w:t>
            </w:r>
          </w:p>
        </w:tc>
        <w:tc>
          <w:tcPr>
            <w:tcW w:w="1977" w:type="dxa"/>
            <w:tcBorders>
              <w:top w:val="single" w:color="auto" w:sz="4" w:space="0"/>
              <w:left w:val="single" w:color="auto" w:sz="4" w:space="0"/>
              <w:bottom w:val="single" w:color="auto" w:sz="4" w:space="0"/>
              <w:right w:val="single" w:color="auto" w:sz="4" w:space="0"/>
            </w:tcBorders>
            <w:vAlign w:val="center"/>
          </w:tcPr>
          <w:p w14:paraId="6DD1A006">
            <w:pPr>
              <w:spacing w:line="300" w:lineRule="exact"/>
              <w:jc w:val="center"/>
              <w:textAlignment w:val="center"/>
              <w:rPr>
                <w:rFonts w:ascii="宋体" w:hAnsi="宋体"/>
                <w:b/>
                <w:sz w:val="21"/>
                <w:szCs w:val="21"/>
              </w:rPr>
            </w:pPr>
            <w:r>
              <w:rPr>
                <w:rFonts w:hint="eastAsia" w:ascii="宋体" w:hAnsi="宋体"/>
                <w:color w:val="000000"/>
                <w:sz w:val="21"/>
                <w:szCs w:val="21"/>
              </w:rPr>
              <w:t>2024.12.12</w:t>
            </w:r>
          </w:p>
        </w:tc>
        <w:tc>
          <w:tcPr>
            <w:tcW w:w="2460" w:type="dxa"/>
            <w:tcBorders>
              <w:top w:val="single" w:color="auto" w:sz="4" w:space="0"/>
              <w:left w:val="single" w:color="auto" w:sz="4" w:space="0"/>
              <w:bottom w:val="single" w:color="auto" w:sz="4" w:space="0"/>
              <w:right w:val="single" w:color="auto" w:sz="4" w:space="0"/>
            </w:tcBorders>
            <w:vAlign w:val="center"/>
          </w:tcPr>
          <w:p w14:paraId="1DF4F8BF">
            <w:pPr>
              <w:adjustRightInd w:val="0"/>
              <w:snapToGrid w:val="0"/>
              <w:spacing w:line="300" w:lineRule="exact"/>
              <w:jc w:val="center"/>
              <w:rPr>
                <w:rFonts w:ascii="宋体" w:hAnsi="宋体"/>
                <w:b/>
                <w:sz w:val="28"/>
                <w:szCs w:val="28"/>
              </w:rPr>
            </w:pPr>
          </w:p>
        </w:tc>
      </w:tr>
      <w:tr w14:paraId="6CF1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50" w:type="dxa"/>
            <w:vMerge w:val="continue"/>
            <w:tcBorders>
              <w:top w:val="nil"/>
              <w:left w:val="single" w:color="auto" w:sz="4" w:space="0"/>
              <w:bottom w:val="single" w:color="auto" w:sz="4" w:space="0"/>
              <w:right w:val="single" w:color="auto" w:sz="4" w:space="0"/>
            </w:tcBorders>
            <w:vAlign w:val="center"/>
          </w:tcPr>
          <w:p w14:paraId="07FE8198">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49BE5080">
            <w:pPr>
              <w:spacing w:line="300" w:lineRule="exact"/>
              <w:jc w:val="center"/>
              <w:textAlignment w:val="center"/>
              <w:rPr>
                <w:rFonts w:ascii="宋体" w:hAnsi="宋体"/>
                <w:b/>
                <w:sz w:val="21"/>
                <w:szCs w:val="21"/>
              </w:rPr>
            </w:pPr>
            <w:r>
              <w:rPr>
                <w:rFonts w:hint="eastAsia" w:ascii="宋体" w:hAnsi="宋体"/>
                <w:color w:val="000000"/>
                <w:sz w:val="21"/>
                <w:szCs w:val="21"/>
              </w:rPr>
              <w:t>5G高清独立主控</w:t>
            </w:r>
          </w:p>
        </w:tc>
        <w:tc>
          <w:tcPr>
            <w:tcW w:w="2538" w:type="dxa"/>
            <w:tcBorders>
              <w:top w:val="single" w:color="auto" w:sz="4" w:space="0"/>
              <w:left w:val="single" w:color="auto" w:sz="4" w:space="0"/>
              <w:bottom w:val="single" w:color="auto" w:sz="4" w:space="0"/>
              <w:right w:val="single" w:color="auto" w:sz="4" w:space="0"/>
            </w:tcBorders>
            <w:vAlign w:val="center"/>
          </w:tcPr>
          <w:p w14:paraId="252325C1">
            <w:pPr>
              <w:spacing w:line="300" w:lineRule="exact"/>
              <w:jc w:val="center"/>
              <w:textAlignment w:val="center"/>
              <w:rPr>
                <w:rFonts w:ascii="宋体" w:hAnsi="宋体"/>
                <w:b/>
                <w:sz w:val="21"/>
                <w:szCs w:val="21"/>
              </w:rPr>
            </w:pPr>
            <w:r>
              <w:rPr>
                <w:rFonts w:hint="eastAsia" w:ascii="宋体" w:hAnsi="宋体"/>
                <w:color w:val="000000"/>
                <w:sz w:val="21"/>
                <w:szCs w:val="21"/>
              </w:rPr>
              <w:t>三年原厂质保服务</w:t>
            </w:r>
          </w:p>
        </w:tc>
        <w:tc>
          <w:tcPr>
            <w:tcW w:w="1977" w:type="dxa"/>
            <w:tcBorders>
              <w:top w:val="single" w:color="auto" w:sz="4" w:space="0"/>
              <w:left w:val="single" w:color="auto" w:sz="4" w:space="0"/>
              <w:bottom w:val="single" w:color="auto" w:sz="4" w:space="0"/>
              <w:right w:val="single" w:color="auto" w:sz="4" w:space="0"/>
            </w:tcBorders>
            <w:vAlign w:val="center"/>
          </w:tcPr>
          <w:p w14:paraId="506C1C21">
            <w:pPr>
              <w:spacing w:line="300" w:lineRule="exact"/>
              <w:jc w:val="center"/>
              <w:textAlignment w:val="center"/>
              <w:rPr>
                <w:rFonts w:ascii="宋体" w:hAnsi="宋体"/>
                <w:b/>
                <w:sz w:val="21"/>
                <w:szCs w:val="21"/>
              </w:rPr>
            </w:pPr>
            <w:r>
              <w:rPr>
                <w:rFonts w:hint="eastAsia" w:ascii="宋体" w:hAnsi="宋体"/>
                <w:color w:val="000000"/>
                <w:sz w:val="21"/>
                <w:szCs w:val="21"/>
              </w:rPr>
              <w:t>2024.12.12</w:t>
            </w:r>
          </w:p>
        </w:tc>
        <w:tc>
          <w:tcPr>
            <w:tcW w:w="2460" w:type="dxa"/>
            <w:tcBorders>
              <w:top w:val="single" w:color="auto" w:sz="4" w:space="0"/>
              <w:left w:val="single" w:color="auto" w:sz="4" w:space="0"/>
              <w:bottom w:val="single" w:color="auto" w:sz="4" w:space="0"/>
              <w:right w:val="single" w:color="auto" w:sz="4" w:space="0"/>
            </w:tcBorders>
            <w:vAlign w:val="center"/>
          </w:tcPr>
          <w:p w14:paraId="5E7FEE9C">
            <w:pPr>
              <w:adjustRightInd w:val="0"/>
              <w:snapToGrid w:val="0"/>
              <w:spacing w:line="300" w:lineRule="exact"/>
              <w:jc w:val="center"/>
              <w:rPr>
                <w:rFonts w:ascii="宋体" w:hAnsi="宋体"/>
                <w:b/>
                <w:sz w:val="28"/>
                <w:szCs w:val="28"/>
              </w:rPr>
            </w:pPr>
          </w:p>
        </w:tc>
      </w:tr>
      <w:tr w14:paraId="72A3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Merge w:val="restart"/>
            <w:tcBorders>
              <w:top w:val="nil"/>
              <w:left w:val="single" w:color="auto" w:sz="4" w:space="0"/>
              <w:bottom w:val="single" w:color="auto" w:sz="4" w:space="0"/>
              <w:right w:val="single" w:color="auto" w:sz="4" w:space="0"/>
            </w:tcBorders>
            <w:vAlign w:val="center"/>
          </w:tcPr>
          <w:p w14:paraId="119CC5C7">
            <w:pPr>
              <w:adjustRightInd w:val="0"/>
              <w:snapToGrid w:val="0"/>
              <w:jc w:val="center"/>
              <w:rPr>
                <w:rFonts w:ascii="宋体" w:hAnsi="宋体"/>
                <w:b/>
              </w:rPr>
            </w:pPr>
            <w:r>
              <w:rPr>
                <w:rFonts w:hint="eastAsia" w:ascii="宋体" w:hAnsi="宋体"/>
                <w:b/>
              </w:rPr>
              <w:t>大屏</w:t>
            </w:r>
          </w:p>
        </w:tc>
        <w:tc>
          <w:tcPr>
            <w:tcW w:w="1515" w:type="dxa"/>
            <w:tcBorders>
              <w:top w:val="single" w:color="auto" w:sz="4" w:space="0"/>
              <w:left w:val="single" w:color="auto" w:sz="4" w:space="0"/>
              <w:bottom w:val="single" w:color="auto" w:sz="4" w:space="0"/>
              <w:right w:val="single" w:color="auto" w:sz="4" w:space="0"/>
            </w:tcBorders>
            <w:vAlign w:val="center"/>
          </w:tcPr>
          <w:p w14:paraId="465C29F3">
            <w:pPr>
              <w:spacing w:line="300" w:lineRule="exact"/>
              <w:jc w:val="center"/>
              <w:textAlignment w:val="center"/>
              <w:rPr>
                <w:rFonts w:ascii="宋体" w:hAnsi="宋体"/>
                <w:b/>
                <w:sz w:val="21"/>
                <w:szCs w:val="21"/>
              </w:rPr>
            </w:pPr>
            <w:r>
              <w:rPr>
                <w:rFonts w:hint="eastAsia" w:ascii="宋体" w:hAnsi="宋体"/>
                <w:color w:val="000000"/>
                <w:sz w:val="21"/>
                <w:szCs w:val="21"/>
              </w:rPr>
              <w:t>配电柜</w:t>
            </w:r>
          </w:p>
        </w:tc>
        <w:tc>
          <w:tcPr>
            <w:tcW w:w="2538" w:type="dxa"/>
            <w:tcBorders>
              <w:top w:val="single" w:color="auto" w:sz="4" w:space="0"/>
              <w:left w:val="single" w:color="auto" w:sz="4" w:space="0"/>
              <w:bottom w:val="single" w:color="auto" w:sz="4" w:space="0"/>
              <w:right w:val="single" w:color="auto" w:sz="4" w:space="0"/>
            </w:tcBorders>
            <w:vAlign w:val="center"/>
          </w:tcPr>
          <w:p w14:paraId="58C23421">
            <w:pPr>
              <w:spacing w:line="300" w:lineRule="exact"/>
              <w:jc w:val="center"/>
              <w:textAlignment w:val="center"/>
              <w:rPr>
                <w:rFonts w:ascii="宋体" w:hAnsi="宋体"/>
                <w:b/>
                <w:sz w:val="21"/>
                <w:szCs w:val="21"/>
              </w:rPr>
            </w:pPr>
            <w:r>
              <w:rPr>
                <w:rFonts w:hint="eastAsia" w:ascii="宋体" w:hAnsi="宋体"/>
                <w:color w:val="000000"/>
                <w:sz w:val="21"/>
                <w:szCs w:val="21"/>
              </w:rPr>
              <w:t>三年原厂质保服务</w:t>
            </w:r>
          </w:p>
        </w:tc>
        <w:tc>
          <w:tcPr>
            <w:tcW w:w="1977" w:type="dxa"/>
            <w:tcBorders>
              <w:top w:val="single" w:color="auto" w:sz="4" w:space="0"/>
              <w:left w:val="single" w:color="auto" w:sz="4" w:space="0"/>
              <w:bottom w:val="single" w:color="auto" w:sz="4" w:space="0"/>
              <w:right w:val="single" w:color="auto" w:sz="4" w:space="0"/>
            </w:tcBorders>
            <w:vAlign w:val="center"/>
          </w:tcPr>
          <w:p w14:paraId="2D56C290">
            <w:pPr>
              <w:spacing w:line="300" w:lineRule="exact"/>
              <w:jc w:val="center"/>
              <w:textAlignment w:val="center"/>
              <w:rPr>
                <w:rFonts w:ascii="宋体" w:hAnsi="宋体"/>
                <w:b/>
                <w:sz w:val="21"/>
                <w:szCs w:val="21"/>
              </w:rPr>
            </w:pPr>
            <w:r>
              <w:rPr>
                <w:rFonts w:hint="eastAsia" w:ascii="宋体" w:hAnsi="宋体"/>
                <w:color w:val="000000"/>
                <w:sz w:val="21"/>
                <w:szCs w:val="21"/>
              </w:rPr>
              <w:t>2024.12.12</w:t>
            </w:r>
          </w:p>
        </w:tc>
        <w:tc>
          <w:tcPr>
            <w:tcW w:w="2460" w:type="dxa"/>
            <w:tcBorders>
              <w:top w:val="single" w:color="auto" w:sz="4" w:space="0"/>
              <w:left w:val="single" w:color="auto" w:sz="4" w:space="0"/>
              <w:bottom w:val="single" w:color="auto" w:sz="4" w:space="0"/>
              <w:right w:val="single" w:color="auto" w:sz="4" w:space="0"/>
            </w:tcBorders>
            <w:vAlign w:val="center"/>
          </w:tcPr>
          <w:p w14:paraId="7472C95A">
            <w:pPr>
              <w:adjustRightInd w:val="0"/>
              <w:snapToGrid w:val="0"/>
              <w:spacing w:line="300" w:lineRule="exact"/>
              <w:jc w:val="center"/>
              <w:rPr>
                <w:rFonts w:ascii="宋体" w:hAnsi="宋体"/>
                <w:b/>
                <w:sz w:val="28"/>
                <w:szCs w:val="28"/>
              </w:rPr>
            </w:pPr>
          </w:p>
        </w:tc>
      </w:tr>
      <w:tr w14:paraId="7C60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Merge w:val="continue"/>
            <w:tcBorders>
              <w:top w:val="nil"/>
              <w:left w:val="single" w:color="auto" w:sz="4" w:space="0"/>
              <w:bottom w:val="single" w:color="auto" w:sz="4" w:space="0"/>
              <w:right w:val="single" w:color="auto" w:sz="4" w:space="0"/>
            </w:tcBorders>
            <w:vAlign w:val="center"/>
          </w:tcPr>
          <w:p w14:paraId="067E9D83">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426D58F8">
            <w:pPr>
              <w:spacing w:line="300" w:lineRule="exact"/>
              <w:jc w:val="center"/>
              <w:textAlignment w:val="center"/>
              <w:rPr>
                <w:rFonts w:ascii="宋体" w:hAnsi="宋体"/>
                <w:b/>
                <w:sz w:val="21"/>
                <w:szCs w:val="21"/>
              </w:rPr>
            </w:pPr>
            <w:r>
              <w:rPr>
                <w:rFonts w:hint="eastAsia" w:ascii="宋体" w:hAnsi="宋体"/>
                <w:color w:val="000000"/>
                <w:sz w:val="21"/>
                <w:szCs w:val="21"/>
              </w:rPr>
              <w:t>LED全彩显示屏</w:t>
            </w:r>
          </w:p>
        </w:tc>
        <w:tc>
          <w:tcPr>
            <w:tcW w:w="2538" w:type="dxa"/>
            <w:tcBorders>
              <w:top w:val="single" w:color="auto" w:sz="4" w:space="0"/>
              <w:left w:val="single" w:color="auto" w:sz="4" w:space="0"/>
              <w:bottom w:val="single" w:color="auto" w:sz="4" w:space="0"/>
              <w:right w:val="single" w:color="auto" w:sz="4" w:space="0"/>
            </w:tcBorders>
            <w:vAlign w:val="center"/>
          </w:tcPr>
          <w:p w14:paraId="77FB0CA4">
            <w:pPr>
              <w:spacing w:line="300" w:lineRule="exact"/>
              <w:jc w:val="center"/>
              <w:textAlignment w:val="center"/>
              <w:rPr>
                <w:rFonts w:ascii="宋体" w:hAnsi="宋体"/>
                <w:b/>
                <w:sz w:val="21"/>
                <w:szCs w:val="21"/>
              </w:rPr>
            </w:pPr>
            <w:r>
              <w:rPr>
                <w:rFonts w:hint="eastAsia" w:ascii="宋体" w:hAnsi="宋体"/>
                <w:color w:val="000000"/>
                <w:sz w:val="21"/>
                <w:szCs w:val="21"/>
              </w:rPr>
              <w:t>三年原厂质保服务</w:t>
            </w:r>
          </w:p>
        </w:tc>
        <w:tc>
          <w:tcPr>
            <w:tcW w:w="1977" w:type="dxa"/>
            <w:tcBorders>
              <w:top w:val="single" w:color="auto" w:sz="4" w:space="0"/>
              <w:left w:val="single" w:color="auto" w:sz="4" w:space="0"/>
              <w:bottom w:val="single" w:color="auto" w:sz="4" w:space="0"/>
              <w:right w:val="single" w:color="auto" w:sz="4" w:space="0"/>
            </w:tcBorders>
            <w:vAlign w:val="center"/>
          </w:tcPr>
          <w:p w14:paraId="7520D4A7">
            <w:pPr>
              <w:spacing w:line="300" w:lineRule="exact"/>
              <w:jc w:val="center"/>
              <w:textAlignment w:val="center"/>
              <w:rPr>
                <w:rFonts w:ascii="宋体" w:hAnsi="宋体"/>
                <w:b/>
                <w:sz w:val="21"/>
                <w:szCs w:val="21"/>
              </w:rPr>
            </w:pPr>
            <w:r>
              <w:rPr>
                <w:rFonts w:hint="eastAsia" w:ascii="宋体" w:hAnsi="宋体"/>
                <w:color w:val="000000"/>
                <w:sz w:val="21"/>
                <w:szCs w:val="21"/>
              </w:rPr>
              <w:t>2024.12.12</w:t>
            </w:r>
          </w:p>
        </w:tc>
        <w:tc>
          <w:tcPr>
            <w:tcW w:w="2460" w:type="dxa"/>
            <w:tcBorders>
              <w:top w:val="single" w:color="auto" w:sz="4" w:space="0"/>
              <w:left w:val="single" w:color="auto" w:sz="4" w:space="0"/>
              <w:bottom w:val="single" w:color="auto" w:sz="4" w:space="0"/>
              <w:right w:val="single" w:color="auto" w:sz="4" w:space="0"/>
            </w:tcBorders>
            <w:vAlign w:val="center"/>
          </w:tcPr>
          <w:p w14:paraId="078B0C39">
            <w:pPr>
              <w:adjustRightInd w:val="0"/>
              <w:snapToGrid w:val="0"/>
              <w:spacing w:line="300" w:lineRule="exact"/>
              <w:jc w:val="center"/>
              <w:rPr>
                <w:rFonts w:ascii="宋体" w:hAnsi="宋体"/>
                <w:b/>
                <w:sz w:val="28"/>
                <w:szCs w:val="28"/>
              </w:rPr>
            </w:pPr>
          </w:p>
        </w:tc>
      </w:tr>
      <w:tr w14:paraId="4961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Merge w:val="restart"/>
            <w:tcBorders>
              <w:top w:val="nil"/>
              <w:left w:val="single" w:color="auto" w:sz="4" w:space="0"/>
              <w:bottom w:val="single" w:color="auto" w:sz="4" w:space="0"/>
              <w:right w:val="single" w:color="auto" w:sz="4" w:space="0"/>
            </w:tcBorders>
            <w:vAlign w:val="center"/>
          </w:tcPr>
          <w:p w14:paraId="215E0ADE">
            <w:pPr>
              <w:adjustRightInd w:val="0"/>
              <w:snapToGrid w:val="0"/>
              <w:jc w:val="center"/>
              <w:rPr>
                <w:rFonts w:ascii="宋体" w:hAnsi="宋体"/>
                <w:b/>
              </w:rPr>
            </w:pPr>
            <w:r>
              <w:rPr>
                <w:rFonts w:hint="eastAsia" w:ascii="宋体" w:hAnsi="宋体"/>
                <w:b/>
              </w:rPr>
              <w:t>操作台</w:t>
            </w:r>
          </w:p>
        </w:tc>
        <w:tc>
          <w:tcPr>
            <w:tcW w:w="1515" w:type="dxa"/>
            <w:tcBorders>
              <w:top w:val="single" w:color="auto" w:sz="4" w:space="0"/>
              <w:left w:val="single" w:color="auto" w:sz="4" w:space="0"/>
              <w:bottom w:val="single" w:color="auto" w:sz="4" w:space="0"/>
              <w:right w:val="single" w:color="auto" w:sz="4" w:space="0"/>
            </w:tcBorders>
            <w:vAlign w:val="center"/>
          </w:tcPr>
          <w:p w14:paraId="2FD3B77F">
            <w:pPr>
              <w:spacing w:line="300" w:lineRule="exact"/>
              <w:jc w:val="center"/>
              <w:textAlignment w:val="center"/>
              <w:rPr>
                <w:rFonts w:ascii="宋体" w:hAnsi="宋体"/>
                <w:b/>
                <w:sz w:val="21"/>
                <w:szCs w:val="21"/>
              </w:rPr>
            </w:pPr>
            <w:r>
              <w:rPr>
                <w:rFonts w:hint="eastAsia" w:ascii="宋体" w:hAnsi="宋体"/>
                <w:color w:val="000000"/>
                <w:sz w:val="21"/>
                <w:szCs w:val="21"/>
              </w:rPr>
              <w:t>联想工作站</w:t>
            </w:r>
          </w:p>
        </w:tc>
        <w:tc>
          <w:tcPr>
            <w:tcW w:w="2538" w:type="dxa"/>
            <w:tcBorders>
              <w:top w:val="single" w:color="auto" w:sz="4" w:space="0"/>
              <w:left w:val="single" w:color="auto" w:sz="4" w:space="0"/>
              <w:bottom w:val="single" w:color="auto" w:sz="4" w:space="0"/>
              <w:right w:val="single" w:color="auto" w:sz="4" w:space="0"/>
            </w:tcBorders>
            <w:vAlign w:val="center"/>
          </w:tcPr>
          <w:p w14:paraId="68335C99">
            <w:pPr>
              <w:spacing w:line="300" w:lineRule="exact"/>
              <w:jc w:val="center"/>
              <w:textAlignment w:val="center"/>
              <w:rPr>
                <w:rFonts w:ascii="宋体" w:hAnsi="宋体"/>
                <w:b/>
                <w:sz w:val="21"/>
                <w:szCs w:val="21"/>
              </w:rPr>
            </w:pPr>
            <w:r>
              <w:rPr>
                <w:rFonts w:hint="eastAsia" w:ascii="宋体" w:hAnsi="宋体"/>
                <w:color w:val="000000"/>
                <w:sz w:val="21"/>
                <w:szCs w:val="21"/>
              </w:rPr>
              <w:t>上门服务一年，质保三年</w:t>
            </w:r>
          </w:p>
        </w:tc>
        <w:tc>
          <w:tcPr>
            <w:tcW w:w="1977" w:type="dxa"/>
            <w:tcBorders>
              <w:top w:val="single" w:color="auto" w:sz="4" w:space="0"/>
              <w:left w:val="single" w:color="auto" w:sz="4" w:space="0"/>
              <w:bottom w:val="single" w:color="auto" w:sz="4" w:space="0"/>
              <w:right w:val="single" w:color="auto" w:sz="4" w:space="0"/>
            </w:tcBorders>
            <w:vAlign w:val="center"/>
          </w:tcPr>
          <w:p w14:paraId="15745524">
            <w:pPr>
              <w:spacing w:line="300" w:lineRule="exact"/>
              <w:jc w:val="center"/>
              <w:textAlignment w:val="center"/>
              <w:rPr>
                <w:rFonts w:ascii="宋体" w:hAnsi="宋体"/>
                <w:b/>
                <w:sz w:val="21"/>
                <w:szCs w:val="21"/>
              </w:rPr>
            </w:pPr>
            <w:r>
              <w:rPr>
                <w:rFonts w:hint="eastAsia" w:ascii="宋体" w:hAnsi="宋体"/>
                <w:color w:val="000000"/>
                <w:sz w:val="21"/>
                <w:szCs w:val="21"/>
              </w:rPr>
              <w:t>2025.05.06</w:t>
            </w:r>
          </w:p>
        </w:tc>
        <w:tc>
          <w:tcPr>
            <w:tcW w:w="2460" w:type="dxa"/>
            <w:tcBorders>
              <w:top w:val="single" w:color="auto" w:sz="4" w:space="0"/>
              <w:left w:val="single" w:color="auto" w:sz="4" w:space="0"/>
              <w:bottom w:val="single" w:color="auto" w:sz="4" w:space="0"/>
              <w:right w:val="single" w:color="auto" w:sz="4" w:space="0"/>
            </w:tcBorders>
            <w:vAlign w:val="center"/>
          </w:tcPr>
          <w:p w14:paraId="2AF30DB6">
            <w:pPr>
              <w:adjustRightInd w:val="0"/>
              <w:snapToGrid w:val="0"/>
              <w:spacing w:line="300" w:lineRule="exact"/>
              <w:jc w:val="center"/>
              <w:rPr>
                <w:rFonts w:ascii="宋体" w:hAnsi="宋体"/>
                <w:b/>
                <w:sz w:val="28"/>
                <w:szCs w:val="28"/>
              </w:rPr>
            </w:pPr>
          </w:p>
        </w:tc>
      </w:tr>
      <w:tr w14:paraId="3F5A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50" w:type="dxa"/>
            <w:vMerge w:val="continue"/>
            <w:tcBorders>
              <w:top w:val="nil"/>
              <w:left w:val="single" w:color="auto" w:sz="4" w:space="0"/>
              <w:bottom w:val="single" w:color="auto" w:sz="4" w:space="0"/>
              <w:right w:val="single" w:color="auto" w:sz="4" w:space="0"/>
            </w:tcBorders>
            <w:vAlign w:val="center"/>
          </w:tcPr>
          <w:p w14:paraId="47C797F4">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4F1D51EB">
            <w:pPr>
              <w:spacing w:line="300" w:lineRule="exact"/>
              <w:jc w:val="center"/>
              <w:textAlignment w:val="center"/>
              <w:rPr>
                <w:rFonts w:ascii="宋体" w:hAnsi="宋体"/>
                <w:b/>
                <w:sz w:val="21"/>
                <w:szCs w:val="21"/>
              </w:rPr>
            </w:pPr>
            <w:r>
              <w:rPr>
                <w:rFonts w:hint="eastAsia" w:ascii="宋体" w:hAnsi="宋体"/>
                <w:color w:val="000000"/>
                <w:sz w:val="21"/>
                <w:szCs w:val="21"/>
              </w:rPr>
              <w:t>联想工作站</w:t>
            </w:r>
          </w:p>
        </w:tc>
        <w:tc>
          <w:tcPr>
            <w:tcW w:w="2538" w:type="dxa"/>
            <w:tcBorders>
              <w:top w:val="single" w:color="auto" w:sz="4" w:space="0"/>
              <w:left w:val="single" w:color="auto" w:sz="4" w:space="0"/>
              <w:bottom w:val="single" w:color="auto" w:sz="4" w:space="0"/>
              <w:right w:val="single" w:color="auto" w:sz="4" w:space="0"/>
            </w:tcBorders>
            <w:vAlign w:val="center"/>
          </w:tcPr>
          <w:p w14:paraId="32DC7BE3">
            <w:pPr>
              <w:spacing w:line="300" w:lineRule="exact"/>
              <w:jc w:val="center"/>
              <w:textAlignment w:val="center"/>
              <w:rPr>
                <w:rFonts w:ascii="宋体" w:hAnsi="宋体"/>
                <w:b/>
                <w:sz w:val="21"/>
                <w:szCs w:val="21"/>
              </w:rPr>
            </w:pPr>
            <w:r>
              <w:rPr>
                <w:rFonts w:hint="eastAsia" w:ascii="宋体" w:hAnsi="宋体"/>
                <w:color w:val="000000"/>
                <w:sz w:val="21"/>
                <w:szCs w:val="21"/>
              </w:rPr>
              <w:t>上门服务一年，质保三年</w:t>
            </w:r>
          </w:p>
        </w:tc>
        <w:tc>
          <w:tcPr>
            <w:tcW w:w="1977" w:type="dxa"/>
            <w:tcBorders>
              <w:top w:val="single" w:color="auto" w:sz="4" w:space="0"/>
              <w:left w:val="single" w:color="auto" w:sz="4" w:space="0"/>
              <w:bottom w:val="single" w:color="auto" w:sz="4" w:space="0"/>
              <w:right w:val="single" w:color="auto" w:sz="4" w:space="0"/>
            </w:tcBorders>
            <w:vAlign w:val="center"/>
          </w:tcPr>
          <w:p w14:paraId="4F89934C">
            <w:pPr>
              <w:spacing w:line="300" w:lineRule="exact"/>
              <w:jc w:val="center"/>
              <w:textAlignment w:val="center"/>
              <w:rPr>
                <w:rFonts w:ascii="宋体" w:hAnsi="宋体"/>
                <w:b/>
                <w:sz w:val="21"/>
                <w:szCs w:val="21"/>
              </w:rPr>
            </w:pPr>
            <w:r>
              <w:rPr>
                <w:rFonts w:hint="eastAsia" w:ascii="宋体" w:hAnsi="宋体"/>
                <w:color w:val="000000"/>
                <w:sz w:val="21"/>
                <w:szCs w:val="21"/>
              </w:rPr>
              <w:t>2025.05.06</w:t>
            </w:r>
          </w:p>
        </w:tc>
        <w:tc>
          <w:tcPr>
            <w:tcW w:w="2460" w:type="dxa"/>
            <w:tcBorders>
              <w:top w:val="single" w:color="auto" w:sz="4" w:space="0"/>
              <w:left w:val="single" w:color="auto" w:sz="4" w:space="0"/>
              <w:bottom w:val="single" w:color="auto" w:sz="4" w:space="0"/>
              <w:right w:val="single" w:color="auto" w:sz="4" w:space="0"/>
            </w:tcBorders>
            <w:vAlign w:val="center"/>
          </w:tcPr>
          <w:p w14:paraId="6BE4B0A9">
            <w:pPr>
              <w:adjustRightInd w:val="0"/>
              <w:snapToGrid w:val="0"/>
              <w:spacing w:line="300" w:lineRule="exact"/>
              <w:jc w:val="center"/>
              <w:rPr>
                <w:rFonts w:ascii="宋体" w:hAnsi="宋体"/>
                <w:b/>
                <w:sz w:val="28"/>
                <w:szCs w:val="28"/>
              </w:rPr>
            </w:pPr>
          </w:p>
        </w:tc>
      </w:tr>
      <w:tr w14:paraId="1989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50" w:type="dxa"/>
            <w:vMerge w:val="continue"/>
            <w:tcBorders>
              <w:top w:val="nil"/>
              <w:left w:val="single" w:color="auto" w:sz="4" w:space="0"/>
              <w:bottom w:val="single" w:color="auto" w:sz="4" w:space="0"/>
              <w:right w:val="single" w:color="auto" w:sz="4" w:space="0"/>
            </w:tcBorders>
            <w:vAlign w:val="center"/>
          </w:tcPr>
          <w:p w14:paraId="0164FE6D">
            <w:pPr>
              <w:rPr>
                <w:rFonts w:ascii="宋体" w:hAnsi="宋体" w:eastAsia="宋体"/>
                <w:b/>
                <w:kern w:val="2"/>
              </w:rPr>
            </w:pPr>
          </w:p>
        </w:tc>
        <w:tc>
          <w:tcPr>
            <w:tcW w:w="1515" w:type="dxa"/>
            <w:tcBorders>
              <w:top w:val="single" w:color="auto" w:sz="4" w:space="0"/>
              <w:left w:val="single" w:color="auto" w:sz="4" w:space="0"/>
              <w:bottom w:val="single" w:color="auto" w:sz="4" w:space="0"/>
              <w:right w:val="single" w:color="auto" w:sz="4" w:space="0"/>
            </w:tcBorders>
            <w:vAlign w:val="center"/>
          </w:tcPr>
          <w:p w14:paraId="1A813AC5">
            <w:pPr>
              <w:spacing w:line="300" w:lineRule="exact"/>
              <w:jc w:val="center"/>
              <w:textAlignment w:val="center"/>
              <w:rPr>
                <w:rFonts w:ascii="宋体" w:hAnsi="宋体"/>
                <w:b/>
                <w:sz w:val="21"/>
                <w:szCs w:val="21"/>
              </w:rPr>
            </w:pPr>
            <w:r>
              <w:rPr>
                <w:rFonts w:hint="eastAsia" w:ascii="宋体" w:hAnsi="宋体"/>
                <w:color w:val="000000"/>
                <w:sz w:val="21"/>
                <w:szCs w:val="21"/>
              </w:rPr>
              <w:t>操作台</w:t>
            </w:r>
          </w:p>
        </w:tc>
        <w:tc>
          <w:tcPr>
            <w:tcW w:w="2538" w:type="dxa"/>
            <w:tcBorders>
              <w:top w:val="single" w:color="auto" w:sz="4" w:space="0"/>
              <w:left w:val="single" w:color="auto" w:sz="4" w:space="0"/>
              <w:bottom w:val="single" w:color="auto" w:sz="4" w:space="0"/>
              <w:right w:val="single" w:color="auto" w:sz="4" w:space="0"/>
            </w:tcBorders>
            <w:vAlign w:val="center"/>
          </w:tcPr>
          <w:p w14:paraId="6AB8609F">
            <w:pPr>
              <w:spacing w:line="300" w:lineRule="exact"/>
              <w:jc w:val="center"/>
              <w:textAlignment w:val="center"/>
              <w:rPr>
                <w:rFonts w:ascii="宋体" w:hAnsi="宋体"/>
                <w:b/>
                <w:sz w:val="21"/>
                <w:szCs w:val="21"/>
              </w:rPr>
            </w:pPr>
            <w:r>
              <w:rPr>
                <w:rFonts w:hint="eastAsia" w:ascii="宋体" w:hAnsi="宋体"/>
                <w:color w:val="000000"/>
                <w:sz w:val="21"/>
                <w:szCs w:val="21"/>
              </w:rPr>
              <w:t>一年</w:t>
            </w:r>
          </w:p>
        </w:tc>
        <w:tc>
          <w:tcPr>
            <w:tcW w:w="1977" w:type="dxa"/>
            <w:tcBorders>
              <w:top w:val="single" w:color="auto" w:sz="4" w:space="0"/>
              <w:left w:val="single" w:color="auto" w:sz="4" w:space="0"/>
              <w:bottom w:val="single" w:color="auto" w:sz="4" w:space="0"/>
              <w:right w:val="single" w:color="auto" w:sz="4" w:space="0"/>
            </w:tcBorders>
            <w:vAlign w:val="center"/>
          </w:tcPr>
          <w:p w14:paraId="3E5F9CED">
            <w:pPr>
              <w:spacing w:line="300" w:lineRule="exact"/>
              <w:jc w:val="center"/>
              <w:textAlignment w:val="center"/>
              <w:rPr>
                <w:rFonts w:ascii="宋体" w:hAnsi="宋体"/>
                <w:b/>
                <w:sz w:val="21"/>
                <w:szCs w:val="21"/>
              </w:rPr>
            </w:pPr>
            <w:r>
              <w:rPr>
                <w:rFonts w:hint="eastAsia" w:ascii="宋体" w:hAnsi="宋体"/>
                <w:color w:val="000000"/>
                <w:sz w:val="21"/>
                <w:szCs w:val="21"/>
              </w:rPr>
              <w:t>2023.05.06</w:t>
            </w:r>
          </w:p>
        </w:tc>
        <w:tc>
          <w:tcPr>
            <w:tcW w:w="2460" w:type="dxa"/>
            <w:tcBorders>
              <w:top w:val="single" w:color="auto" w:sz="4" w:space="0"/>
              <w:left w:val="single" w:color="auto" w:sz="4" w:space="0"/>
              <w:bottom w:val="single" w:color="auto" w:sz="4" w:space="0"/>
              <w:right w:val="single" w:color="auto" w:sz="4" w:space="0"/>
            </w:tcBorders>
            <w:vAlign w:val="center"/>
          </w:tcPr>
          <w:p w14:paraId="7513F421">
            <w:pPr>
              <w:adjustRightInd w:val="0"/>
              <w:snapToGrid w:val="0"/>
              <w:spacing w:line="300" w:lineRule="exact"/>
              <w:jc w:val="center"/>
              <w:rPr>
                <w:rFonts w:ascii="宋体" w:hAnsi="宋体"/>
                <w:b/>
                <w:sz w:val="28"/>
                <w:szCs w:val="28"/>
              </w:rPr>
            </w:pPr>
          </w:p>
        </w:tc>
      </w:tr>
      <w:tr w14:paraId="6F81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50" w:type="dxa"/>
            <w:tcBorders>
              <w:top w:val="single" w:color="auto" w:sz="4" w:space="0"/>
              <w:left w:val="single" w:color="auto" w:sz="4" w:space="0"/>
              <w:bottom w:val="single" w:color="auto" w:sz="4" w:space="0"/>
              <w:right w:val="single" w:color="auto" w:sz="4" w:space="0"/>
            </w:tcBorders>
            <w:vAlign w:val="center"/>
          </w:tcPr>
          <w:p w14:paraId="4DEC2C34">
            <w:pPr>
              <w:adjustRightInd w:val="0"/>
              <w:snapToGrid w:val="0"/>
              <w:jc w:val="center"/>
              <w:rPr>
                <w:rFonts w:ascii="宋体" w:hAnsi="宋体"/>
                <w:b/>
              </w:rPr>
            </w:pPr>
            <w:r>
              <w:rPr>
                <w:rFonts w:hint="eastAsia" w:ascii="宋体" w:hAnsi="宋体"/>
                <w:b/>
              </w:rPr>
              <w:t>OA办公</w:t>
            </w:r>
          </w:p>
        </w:tc>
        <w:tc>
          <w:tcPr>
            <w:tcW w:w="1515" w:type="dxa"/>
            <w:tcBorders>
              <w:top w:val="single" w:color="auto" w:sz="4" w:space="0"/>
              <w:left w:val="single" w:color="auto" w:sz="4" w:space="0"/>
              <w:bottom w:val="single" w:color="auto" w:sz="4" w:space="0"/>
              <w:right w:val="single" w:color="auto" w:sz="4" w:space="0"/>
            </w:tcBorders>
            <w:vAlign w:val="center"/>
          </w:tcPr>
          <w:p w14:paraId="7868A226">
            <w:pPr>
              <w:spacing w:line="300" w:lineRule="exact"/>
              <w:jc w:val="center"/>
              <w:textAlignment w:val="center"/>
              <w:rPr>
                <w:rFonts w:ascii="宋体" w:hAnsi="宋体"/>
                <w:color w:val="000000"/>
                <w:sz w:val="21"/>
                <w:szCs w:val="21"/>
              </w:rPr>
            </w:pPr>
            <w:r>
              <w:rPr>
                <w:rFonts w:hint="eastAsia" w:ascii="宋体" w:hAnsi="宋体"/>
                <w:color w:val="000000"/>
                <w:sz w:val="21"/>
                <w:szCs w:val="21"/>
              </w:rPr>
              <w:t>移动办公终端</w:t>
            </w:r>
          </w:p>
        </w:tc>
        <w:tc>
          <w:tcPr>
            <w:tcW w:w="2538" w:type="dxa"/>
            <w:tcBorders>
              <w:top w:val="single" w:color="auto" w:sz="4" w:space="0"/>
              <w:left w:val="single" w:color="auto" w:sz="4" w:space="0"/>
              <w:bottom w:val="single" w:color="auto" w:sz="4" w:space="0"/>
              <w:right w:val="single" w:color="auto" w:sz="4" w:space="0"/>
            </w:tcBorders>
            <w:vAlign w:val="center"/>
          </w:tcPr>
          <w:p w14:paraId="61219526">
            <w:pPr>
              <w:spacing w:line="300" w:lineRule="exact"/>
              <w:jc w:val="center"/>
              <w:textAlignment w:val="center"/>
              <w:rPr>
                <w:rFonts w:ascii="宋体" w:hAnsi="宋体"/>
                <w:color w:val="000000"/>
                <w:sz w:val="21"/>
                <w:szCs w:val="21"/>
              </w:rPr>
            </w:pPr>
            <w:r>
              <w:rPr>
                <w:rFonts w:hint="eastAsia" w:ascii="宋体" w:hAnsi="宋体"/>
                <w:color w:val="000000"/>
                <w:sz w:val="21"/>
                <w:szCs w:val="21"/>
              </w:rPr>
              <w:t>一年</w:t>
            </w:r>
          </w:p>
        </w:tc>
        <w:tc>
          <w:tcPr>
            <w:tcW w:w="1977" w:type="dxa"/>
            <w:tcBorders>
              <w:top w:val="single" w:color="auto" w:sz="4" w:space="0"/>
              <w:left w:val="single" w:color="auto" w:sz="4" w:space="0"/>
              <w:bottom w:val="single" w:color="auto" w:sz="4" w:space="0"/>
              <w:right w:val="single" w:color="auto" w:sz="4" w:space="0"/>
            </w:tcBorders>
            <w:vAlign w:val="center"/>
          </w:tcPr>
          <w:p w14:paraId="6063AAB2">
            <w:pPr>
              <w:spacing w:line="300" w:lineRule="exact"/>
              <w:jc w:val="center"/>
              <w:textAlignment w:val="center"/>
              <w:rPr>
                <w:rFonts w:ascii="宋体" w:hAnsi="宋体"/>
                <w:color w:val="000000"/>
                <w:sz w:val="21"/>
                <w:szCs w:val="21"/>
              </w:rPr>
            </w:pPr>
            <w:r>
              <w:rPr>
                <w:rFonts w:hint="eastAsia" w:ascii="宋体" w:hAnsi="宋体"/>
                <w:color w:val="000000"/>
                <w:sz w:val="21"/>
                <w:szCs w:val="21"/>
              </w:rPr>
              <w:t>2023.04</w:t>
            </w:r>
          </w:p>
        </w:tc>
        <w:tc>
          <w:tcPr>
            <w:tcW w:w="2460" w:type="dxa"/>
            <w:tcBorders>
              <w:top w:val="single" w:color="auto" w:sz="4" w:space="0"/>
              <w:left w:val="single" w:color="auto" w:sz="4" w:space="0"/>
              <w:bottom w:val="single" w:color="auto" w:sz="4" w:space="0"/>
              <w:right w:val="single" w:color="auto" w:sz="4" w:space="0"/>
            </w:tcBorders>
            <w:vAlign w:val="center"/>
          </w:tcPr>
          <w:p w14:paraId="6A984AF9">
            <w:pPr>
              <w:adjustRightInd w:val="0"/>
              <w:snapToGrid w:val="0"/>
              <w:spacing w:line="300" w:lineRule="exact"/>
              <w:jc w:val="center"/>
              <w:rPr>
                <w:rFonts w:ascii="宋体" w:hAnsi="宋体"/>
                <w:b/>
                <w:kern w:val="2"/>
                <w:sz w:val="28"/>
                <w:szCs w:val="28"/>
              </w:rPr>
            </w:pPr>
          </w:p>
        </w:tc>
      </w:tr>
    </w:tbl>
    <w:p w14:paraId="186984F7">
      <w:pPr>
        <w:ind w:firstLine="480" w:firstLineChars="200"/>
        <w:jc w:val="both"/>
        <w:rPr>
          <w:b/>
        </w:rPr>
      </w:pPr>
      <w:r>
        <w:rPr>
          <w:b/>
        </w:rPr>
        <w:t>（</w:t>
      </w:r>
      <w:r>
        <w:rPr>
          <w:rFonts w:hint="eastAsia"/>
          <w:b/>
        </w:rPr>
        <w:t>三）其他内容：</w:t>
      </w:r>
    </w:p>
    <w:p w14:paraId="31D0AAB0">
      <w:pPr>
        <w:ind w:firstLine="480" w:firstLineChars="200"/>
        <w:jc w:val="both"/>
      </w:pPr>
      <w:r>
        <w:rPr>
          <w:rFonts w:hint="eastAsia"/>
        </w:rPr>
        <w:t>为国资监管平台运维系统使用的会议进行会务保障服务工作，包含但不限于会议通知、会议文件的整理归依、上传和下发，会场多媒体设备调试。</w:t>
      </w:r>
    </w:p>
    <w:p w14:paraId="26042384">
      <w:pPr>
        <w:pStyle w:val="3"/>
        <w:jc w:val="both"/>
      </w:pPr>
      <w:r>
        <w:t>三、</w:t>
      </w:r>
      <w:r>
        <w:rPr>
          <w:rFonts w:hint="eastAsia"/>
        </w:rPr>
        <w:t>服务要求</w:t>
      </w:r>
    </w:p>
    <w:p w14:paraId="3E9CBB39">
      <w:pPr>
        <w:ind w:firstLine="480" w:firstLineChars="200"/>
        <w:jc w:val="both"/>
        <w:rPr>
          <w:b/>
        </w:rPr>
      </w:pPr>
      <w:r>
        <w:rPr>
          <w:rFonts w:hint="eastAsia"/>
          <w:b/>
        </w:rPr>
        <w:t>（一）时间要求</w:t>
      </w:r>
    </w:p>
    <w:p w14:paraId="1DC75007">
      <w:pPr>
        <w:ind w:firstLine="480" w:firstLineChars="200"/>
        <w:jc w:val="both"/>
        <w:rPr>
          <w:b/>
        </w:rPr>
      </w:pPr>
      <w:r>
        <w:rPr>
          <w:rFonts w:hint="eastAsia"/>
          <w:b/>
        </w:rPr>
        <w:t>1、软件维护：</w:t>
      </w:r>
    </w:p>
    <w:p w14:paraId="0255D99D">
      <w:pPr>
        <w:ind w:firstLine="480" w:firstLineChars="200"/>
        <w:jc w:val="both"/>
      </w:pPr>
      <w:r>
        <w:rPr>
          <w:rFonts w:hint="eastAsia"/>
        </w:rPr>
        <w:t>（1）提供7*24小时的技术服务，提供热线电话或E-mail、传真等途径随时回答与系统有关的技术问题并在24小时内提出解决方案。通过监控和评估以上指标，以评估系统的稳定性、安全性和性能，并及时调整运维策略以提升系统的整体质量。</w:t>
      </w:r>
    </w:p>
    <w:p w14:paraId="328A10F0">
      <w:pPr>
        <w:ind w:firstLine="480" w:firstLineChars="200"/>
        <w:jc w:val="both"/>
      </w:pPr>
      <w:r>
        <w:rPr>
          <w:rFonts w:hint="eastAsia"/>
        </w:rPr>
        <w:t>（2）平均故障修复时间（MTTR）：一般系统故障5小时内解决，系统宕机24小时内解决。</w:t>
      </w:r>
    </w:p>
    <w:p w14:paraId="75B883CE">
      <w:pPr>
        <w:ind w:firstLine="480" w:firstLineChars="200"/>
        <w:jc w:val="both"/>
        <w:rPr>
          <w:b/>
        </w:rPr>
      </w:pPr>
      <w:r>
        <w:rPr>
          <w:rFonts w:hint="eastAsia"/>
          <w:b/>
        </w:rPr>
        <w:t>2、硬件维修：</w:t>
      </w:r>
    </w:p>
    <w:p w14:paraId="42A564A8">
      <w:pPr>
        <w:ind w:firstLine="480" w:firstLineChars="200"/>
        <w:jc w:val="both"/>
      </w:pPr>
      <w:r>
        <w:rPr>
          <w:rFonts w:hint="eastAsia"/>
        </w:rPr>
        <w:t>运维单位在接到报修通知后，1小时内做出响应，确定问题的性质和严重程度，一般故障应在3小时内修复完成，复杂故障或者需要更换特殊部件的情况，应尽最大努力在最短时间内修复，并及时向项目建设方通报维修进度。</w:t>
      </w:r>
    </w:p>
    <w:p w14:paraId="5E134D62">
      <w:pPr>
        <w:ind w:firstLine="480" w:firstLineChars="200"/>
        <w:jc w:val="both"/>
        <w:rPr>
          <w:b/>
        </w:rPr>
      </w:pPr>
      <w:r>
        <w:rPr>
          <w:rFonts w:hint="eastAsia"/>
          <w:b/>
        </w:rPr>
        <w:t>（二）响应要求</w:t>
      </w:r>
    </w:p>
    <w:p w14:paraId="258C85F7">
      <w:pPr>
        <w:ind w:firstLine="480" w:firstLineChars="200"/>
        <w:jc w:val="both"/>
        <w:rPr>
          <w:b/>
        </w:rPr>
      </w:pPr>
      <w:r>
        <w:rPr>
          <w:b/>
        </w:rPr>
        <w:t>1、</w:t>
      </w:r>
      <w:r>
        <w:rPr>
          <w:rFonts w:hint="eastAsia"/>
          <w:b/>
        </w:rPr>
        <w:t>信息系统突发事件分类分级的说明</w:t>
      </w:r>
    </w:p>
    <w:p w14:paraId="1AFC14A6">
      <w:pPr>
        <w:ind w:firstLine="480" w:firstLineChars="200"/>
        <w:jc w:val="both"/>
      </w:pPr>
      <w:r>
        <w:rPr>
          <w:rFonts w:hint="eastAsia"/>
        </w:rPr>
        <w:t>（1）根据业务信息系统突发事件的发生原因、性质和机理，信息系统突发事件主要分为以下三类: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7339"/>
      </w:tblGrid>
      <w:tr w14:paraId="7498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tcPr>
          <w:p w14:paraId="2AFE4BD0">
            <w:pPr>
              <w:jc w:val="center"/>
              <w:rPr>
                <w:b/>
              </w:rPr>
            </w:pPr>
            <w:r>
              <w:rPr>
                <w:rFonts w:hint="eastAsia"/>
                <w:b/>
              </w:rPr>
              <w:t>突发事件分类</w:t>
            </w:r>
          </w:p>
        </w:tc>
        <w:tc>
          <w:tcPr>
            <w:tcW w:w="7339" w:type="dxa"/>
          </w:tcPr>
          <w:p w14:paraId="78AF3530">
            <w:pPr>
              <w:jc w:val="center"/>
              <w:rPr>
                <w:b/>
              </w:rPr>
            </w:pPr>
            <w:r>
              <w:rPr>
                <w:rFonts w:hint="eastAsia"/>
                <w:b/>
              </w:rPr>
              <w:t>含义</w:t>
            </w:r>
          </w:p>
        </w:tc>
      </w:tr>
      <w:tr w14:paraId="410F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16F45505">
            <w:pPr>
              <w:jc w:val="center"/>
              <w:rPr>
                <w:sz w:val="21"/>
                <w:szCs w:val="21"/>
              </w:rPr>
            </w:pPr>
            <w:r>
              <w:rPr>
                <w:rFonts w:hint="eastAsia"/>
                <w:sz w:val="21"/>
                <w:szCs w:val="21"/>
              </w:rPr>
              <w:t>攻击类事件</w:t>
            </w:r>
          </w:p>
        </w:tc>
        <w:tc>
          <w:tcPr>
            <w:tcW w:w="7339" w:type="dxa"/>
          </w:tcPr>
          <w:p w14:paraId="366E5066">
            <w:pPr>
              <w:spacing w:line="300" w:lineRule="exact"/>
              <w:jc w:val="both"/>
              <w:rPr>
                <w:sz w:val="21"/>
                <w:szCs w:val="21"/>
              </w:rPr>
            </w:pPr>
            <w:r>
              <w:rPr>
                <w:rFonts w:hint="eastAsia"/>
                <w:sz w:val="21"/>
                <w:szCs w:val="21"/>
              </w:rPr>
              <w:t>指信息系统因计算机病毒感染、非法入侵等导致业务中断、系统宕机、信息系统瘫痪等情况</w:t>
            </w:r>
          </w:p>
        </w:tc>
      </w:tr>
      <w:tr w14:paraId="5285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7B579871">
            <w:pPr>
              <w:jc w:val="center"/>
              <w:rPr>
                <w:sz w:val="21"/>
                <w:szCs w:val="21"/>
              </w:rPr>
            </w:pPr>
            <w:r>
              <w:rPr>
                <w:rFonts w:hint="eastAsia"/>
                <w:sz w:val="21"/>
                <w:szCs w:val="21"/>
              </w:rPr>
              <w:t>故障类事件</w:t>
            </w:r>
          </w:p>
        </w:tc>
        <w:tc>
          <w:tcPr>
            <w:tcW w:w="7339" w:type="dxa"/>
          </w:tcPr>
          <w:p w14:paraId="6A802E85">
            <w:pPr>
              <w:spacing w:line="300" w:lineRule="exact"/>
              <w:jc w:val="both"/>
              <w:rPr>
                <w:sz w:val="21"/>
                <w:szCs w:val="21"/>
              </w:rPr>
            </w:pPr>
            <w:r>
              <w:rPr>
                <w:rFonts w:hint="eastAsia"/>
                <w:sz w:val="21"/>
                <w:szCs w:val="21"/>
              </w:rPr>
              <w:t>指信息系统因计算机软硬件故障、停电、人为误操作等导致业务中断、系统宕机、信息系统瘫痪等情况</w:t>
            </w:r>
          </w:p>
        </w:tc>
      </w:tr>
      <w:tr w14:paraId="4651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689B7B4D">
            <w:pPr>
              <w:jc w:val="center"/>
              <w:rPr>
                <w:sz w:val="21"/>
                <w:szCs w:val="21"/>
              </w:rPr>
            </w:pPr>
            <w:r>
              <w:rPr>
                <w:rFonts w:hint="eastAsia"/>
                <w:sz w:val="21"/>
                <w:szCs w:val="21"/>
              </w:rPr>
              <w:t>灾害类事件</w:t>
            </w:r>
          </w:p>
        </w:tc>
        <w:tc>
          <w:tcPr>
            <w:tcW w:w="7339" w:type="dxa"/>
          </w:tcPr>
          <w:p w14:paraId="2FD62B8A">
            <w:pPr>
              <w:spacing w:line="300" w:lineRule="exact"/>
              <w:jc w:val="both"/>
              <w:rPr>
                <w:sz w:val="21"/>
                <w:szCs w:val="21"/>
              </w:rPr>
            </w:pPr>
            <w:r>
              <w:rPr>
                <w:rFonts w:hint="eastAsia"/>
                <w:sz w:val="21"/>
                <w:szCs w:val="21"/>
              </w:rPr>
              <w:t>指因爆炸、火灾、雷击、地震、台风等外力因素导致信息系统损毁，造成业务中断、系统宕机、信息系统瘫痪等情况</w:t>
            </w:r>
          </w:p>
        </w:tc>
      </w:tr>
    </w:tbl>
    <w:p w14:paraId="1ACF55FE">
      <w:pPr>
        <w:ind w:firstLine="480" w:firstLineChars="200"/>
        <w:jc w:val="both"/>
      </w:pPr>
      <w:r>
        <w:rPr>
          <w:rFonts w:hint="eastAsia"/>
        </w:rPr>
        <w:t>（2）按照突发事件的性质、严重程度、可控性和影响范围，将其分为四级故障：</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7481"/>
      </w:tblGrid>
      <w:tr w14:paraId="2AC0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tcPr>
          <w:p w14:paraId="5F55E240">
            <w:pPr>
              <w:jc w:val="center"/>
              <w:rPr>
                <w:b/>
              </w:rPr>
            </w:pPr>
            <w:r>
              <w:rPr>
                <w:rFonts w:hint="eastAsia"/>
                <w:b/>
              </w:rPr>
              <w:t>故障分类</w:t>
            </w:r>
          </w:p>
        </w:tc>
        <w:tc>
          <w:tcPr>
            <w:tcW w:w="7481" w:type="dxa"/>
          </w:tcPr>
          <w:p w14:paraId="7CD5A250">
            <w:pPr>
              <w:jc w:val="center"/>
              <w:rPr>
                <w:b/>
              </w:rPr>
            </w:pPr>
            <w:r>
              <w:rPr>
                <w:rFonts w:hint="eastAsia"/>
                <w:b/>
              </w:rPr>
              <w:t>含义</w:t>
            </w:r>
          </w:p>
        </w:tc>
      </w:tr>
      <w:tr w14:paraId="12C5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439BF70A">
            <w:pPr>
              <w:jc w:val="center"/>
              <w:rPr>
                <w:sz w:val="21"/>
                <w:szCs w:val="21"/>
              </w:rPr>
            </w:pPr>
            <w:r>
              <w:rPr>
                <w:rFonts w:hint="eastAsia"/>
                <w:sz w:val="21"/>
                <w:szCs w:val="21"/>
              </w:rPr>
              <w:t>一般故障</w:t>
            </w:r>
          </w:p>
        </w:tc>
        <w:tc>
          <w:tcPr>
            <w:tcW w:w="7481" w:type="dxa"/>
            <w:vAlign w:val="center"/>
          </w:tcPr>
          <w:p w14:paraId="516109E8">
            <w:pPr>
              <w:spacing w:line="300" w:lineRule="exact"/>
              <w:jc w:val="both"/>
              <w:rPr>
                <w:sz w:val="21"/>
                <w:szCs w:val="21"/>
              </w:rPr>
            </w:pPr>
            <w:r>
              <w:rPr>
                <w:rFonts w:hint="eastAsia"/>
                <w:sz w:val="21"/>
                <w:szCs w:val="21"/>
              </w:rPr>
              <w:t>信息系统中一般系统故障，但未影响业务系统运行，也未造成社会影响或经济损失的突发事件</w:t>
            </w:r>
          </w:p>
        </w:tc>
      </w:tr>
      <w:tr w14:paraId="1CDC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4DA9A24B">
            <w:pPr>
              <w:jc w:val="center"/>
              <w:rPr>
                <w:sz w:val="21"/>
                <w:szCs w:val="21"/>
              </w:rPr>
            </w:pPr>
            <w:r>
              <w:rPr>
                <w:rFonts w:hint="eastAsia"/>
                <w:sz w:val="21"/>
                <w:szCs w:val="21"/>
              </w:rPr>
              <w:t>严重故障</w:t>
            </w:r>
          </w:p>
        </w:tc>
        <w:tc>
          <w:tcPr>
            <w:tcW w:w="7481" w:type="dxa"/>
            <w:vAlign w:val="center"/>
          </w:tcPr>
          <w:p w14:paraId="7FC3FD5F">
            <w:pPr>
              <w:spacing w:line="300" w:lineRule="exact"/>
              <w:jc w:val="both"/>
              <w:rPr>
                <w:sz w:val="21"/>
                <w:szCs w:val="21"/>
              </w:rPr>
            </w:pPr>
            <w:r>
              <w:rPr>
                <w:rFonts w:hint="eastAsia"/>
                <w:sz w:val="21"/>
                <w:szCs w:val="21"/>
              </w:rPr>
              <w:t>信息系统中严重故障导致业务中断，可能造成较大业务影响或较大经济损失的突发事件</w:t>
            </w:r>
          </w:p>
        </w:tc>
      </w:tr>
      <w:tr w14:paraId="1EA2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422FEB5E">
            <w:pPr>
              <w:jc w:val="center"/>
              <w:rPr>
                <w:sz w:val="21"/>
                <w:szCs w:val="21"/>
              </w:rPr>
            </w:pPr>
            <w:r>
              <w:rPr>
                <w:rFonts w:hint="eastAsia"/>
                <w:sz w:val="21"/>
                <w:szCs w:val="21"/>
              </w:rPr>
              <w:t>重大故障</w:t>
            </w:r>
          </w:p>
        </w:tc>
        <w:tc>
          <w:tcPr>
            <w:tcW w:w="7481" w:type="dxa"/>
            <w:vAlign w:val="center"/>
          </w:tcPr>
          <w:p w14:paraId="43654206">
            <w:pPr>
              <w:spacing w:line="300" w:lineRule="exact"/>
              <w:jc w:val="both"/>
              <w:rPr>
                <w:sz w:val="21"/>
                <w:szCs w:val="21"/>
              </w:rPr>
            </w:pPr>
            <w:r>
              <w:rPr>
                <w:rFonts w:hint="eastAsia"/>
                <w:sz w:val="21"/>
                <w:szCs w:val="21"/>
              </w:rPr>
              <w:t>信息系统重大故障引起的整体业务系统长时间中断，可能造成重大社会影响和巨大经济损失的突发事件</w:t>
            </w:r>
          </w:p>
        </w:tc>
      </w:tr>
      <w:tr w14:paraId="0950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04400B6B">
            <w:pPr>
              <w:jc w:val="center"/>
              <w:rPr>
                <w:sz w:val="21"/>
                <w:szCs w:val="21"/>
              </w:rPr>
            </w:pPr>
            <w:r>
              <w:rPr>
                <w:rFonts w:hint="eastAsia"/>
                <w:sz w:val="21"/>
                <w:szCs w:val="21"/>
              </w:rPr>
              <w:t>特级故障</w:t>
            </w:r>
          </w:p>
        </w:tc>
        <w:tc>
          <w:tcPr>
            <w:tcW w:w="7481" w:type="dxa"/>
            <w:vAlign w:val="center"/>
          </w:tcPr>
          <w:p w14:paraId="2802AA6A">
            <w:pPr>
              <w:spacing w:line="300" w:lineRule="exact"/>
              <w:jc w:val="both"/>
              <w:rPr>
                <w:sz w:val="21"/>
                <w:szCs w:val="21"/>
              </w:rPr>
            </w:pPr>
            <w:r>
              <w:rPr>
                <w:rFonts w:hint="eastAsia"/>
                <w:sz w:val="21"/>
                <w:szCs w:val="21"/>
              </w:rPr>
              <w:t>信息系统特技故障，特指发生不可预见的灾难性事故，如火灾、水灾和地震等</w:t>
            </w:r>
          </w:p>
        </w:tc>
      </w:tr>
    </w:tbl>
    <w:p w14:paraId="24CCC26C">
      <w:pPr>
        <w:ind w:firstLine="480" w:firstLineChars="200"/>
        <w:jc w:val="both"/>
        <w:rPr>
          <w:b/>
        </w:rPr>
      </w:pPr>
      <w:r>
        <w:rPr>
          <w:b/>
        </w:rPr>
        <w:t>2、</w:t>
      </w:r>
      <w:r>
        <w:rPr>
          <w:rFonts w:hint="eastAsia"/>
          <w:b/>
        </w:rPr>
        <w:t>信息系统应急预案启动</w:t>
      </w:r>
    </w:p>
    <w:p w14:paraId="5E4B8073">
      <w:pPr>
        <w:ind w:firstLine="480" w:firstLineChars="200"/>
        <w:jc w:val="both"/>
      </w:pPr>
      <w:r>
        <w:rPr>
          <w:rFonts w:hint="eastAsia"/>
        </w:rPr>
        <w:t>根据以上定义的故障分级，当信息系统事件的要素满足启动应急预案要求时，进入相应的应急启动流程。</w:t>
      </w:r>
    </w:p>
    <w:p w14:paraId="118BA61B">
      <w:pPr>
        <w:ind w:firstLine="480" w:firstLineChars="200"/>
        <w:jc w:val="both"/>
      </w:pPr>
      <w:r>
        <w:t>（</w:t>
      </w:r>
      <w:r>
        <w:rPr>
          <w:rFonts w:hint="eastAsia"/>
        </w:rPr>
        <w:t>1</w:t>
      </w:r>
      <w:r>
        <w:t>）</w:t>
      </w:r>
      <w:r>
        <w:rPr>
          <w:rFonts w:hint="eastAsia"/>
        </w:rPr>
        <w:t>应急处理工作小组从业务人员或值班人员的故障申告、信息系统监控报告的故障告警中得知信息系统异常事件后，在第一时间赶赴信息系统故障现场。</w:t>
      </w:r>
    </w:p>
    <w:p w14:paraId="3570039F">
      <w:pPr>
        <w:ind w:firstLine="480" w:firstLineChars="200"/>
        <w:jc w:val="both"/>
      </w:pPr>
      <w:r>
        <w:rPr>
          <w:rFonts w:hint="eastAsia"/>
        </w:rPr>
        <w:t>（2）应急处理工作小组向领导小组报告，在领导小组的授权后启动相应的应急预案。针对灾难事件和影响重要业务运行的重大事件，还要及时向上级机关进行报告。</w:t>
      </w:r>
    </w:p>
    <w:p w14:paraId="2547ABE0">
      <w:pPr>
        <w:ind w:firstLine="480" w:firstLineChars="200"/>
        <w:jc w:val="both"/>
      </w:pPr>
      <w:r>
        <w:rPr>
          <w:rFonts w:hint="eastAsia"/>
        </w:rPr>
        <w:t>（3）应急处理工作小组根据故障类型及时与相关方取得联系。各方密切协作力求信息系统在短时间内恢复正常。</w:t>
      </w:r>
    </w:p>
    <w:p w14:paraId="4999844B">
      <w:pPr>
        <w:ind w:firstLine="480" w:firstLineChars="200"/>
        <w:jc w:val="both"/>
      </w:pPr>
      <w:r>
        <w:rPr>
          <w:rFonts w:hint="eastAsia"/>
        </w:rPr>
        <w:t>（4）应急处理工作小组在上级机构或相关方的配合下，充分利用应急预案的资源准备，采取有力措施进行故障处理，及时恢复信息系统的正常工作状态。</w:t>
      </w:r>
    </w:p>
    <w:p w14:paraId="21751BDF">
      <w:pPr>
        <w:ind w:firstLine="480" w:firstLineChars="200"/>
        <w:jc w:val="both"/>
      </w:pPr>
      <w:r>
        <w:rPr>
          <w:rFonts w:hint="eastAsia"/>
        </w:rPr>
        <w:t>（5）应急处理工作小组通知国资委各处室信息系统恢复正常，并向领导小组报告故障处理的基本情况。重大事件形成文字资料，以书面形式向上级报告。</w:t>
      </w:r>
    </w:p>
    <w:p w14:paraId="24BAFFB2">
      <w:pPr>
        <w:ind w:firstLine="480" w:firstLineChars="200"/>
        <w:jc w:val="both"/>
      </w:pPr>
      <w:r>
        <w:rPr>
          <w:rFonts w:hint="eastAsia"/>
        </w:rPr>
        <w:t>（6）总结整个处理过程中出现的问题，并及时改进应急预案。</w:t>
      </w:r>
    </w:p>
    <w:p w14:paraId="34F026A8">
      <w:pPr>
        <w:ind w:firstLine="480" w:firstLineChars="200"/>
        <w:jc w:val="both"/>
        <w:rPr>
          <w:b/>
        </w:rPr>
      </w:pPr>
      <w:r>
        <w:rPr>
          <w:b/>
        </w:rPr>
        <w:t>3、</w:t>
      </w:r>
      <w:r>
        <w:rPr>
          <w:rFonts w:hint="eastAsia"/>
          <w:b/>
        </w:rPr>
        <w:t>现场应急处理</w:t>
      </w:r>
    </w:p>
    <w:p w14:paraId="7C07D072">
      <w:pPr>
        <w:ind w:firstLine="480" w:firstLineChars="200"/>
        <w:jc w:val="both"/>
      </w:pPr>
      <w:r>
        <w:rPr>
          <w:rFonts w:hint="eastAsia"/>
        </w:rPr>
        <w:t>（1）如遇到预知外界因素（如定时、定点停电）影响业务信息系统系统的正常运行，将根据有关部门的通知，提前安排技术人员到实地关闭信息系统设备并进行现场维护，直至外界因素消除。</w:t>
      </w:r>
    </w:p>
    <w:p w14:paraId="52D4A850">
      <w:pPr>
        <w:ind w:firstLine="480" w:firstLineChars="200"/>
        <w:jc w:val="both"/>
      </w:pPr>
      <w:r>
        <w:rPr>
          <w:rFonts w:hint="eastAsia"/>
        </w:rPr>
        <w:t>（2）如遇到不可抗力因素（如火灾）造成的信息系统系统故障时，接到通知的值班人员要快速到达现场，积极参与消除不可抗力因素，并及时将情况上报应急处理工作小组领导。</w:t>
      </w:r>
    </w:p>
    <w:p w14:paraId="4349EB7D">
      <w:pPr>
        <w:ind w:firstLine="480" w:firstLineChars="200"/>
        <w:jc w:val="both"/>
      </w:pPr>
      <w:r>
        <w:rPr>
          <w:rFonts w:hint="eastAsia"/>
        </w:rPr>
        <w:t>（3）如遇到一般故障、严重故障和重大故障，影响信息系统的正常运行，值班人员要迅速、及时地赶到现场，进行相应突发事件的应急处理。</w:t>
      </w:r>
    </w:p>
    <w:p w14:paraId="05DBFFDE">
      <w:pPr>
        <w:ind w:firstLine="480" w:firstLineChars="200"/>
        <w:jc w:val="both"/>
        <w:rPr>
          <w:b/>
        </w:rPr>
      </w:pPr>
      <w:r>
        <w:rPr>
          <w:b/>
        </w:rPr>
        <w:t>4、</w:t>
      </w:r>
      <w:r>
        <w:rPr>
          <w:rFonts w:hint="eastAsia"/>
          <w:b/>
        </w:rPr>
        <w:t>保障支持</w:t>
      </w:r>
    </w:p>
    <w:p w14:paraId="63F398E0">
      <w:pPr>
        <w:ind w:firstLine="480" w:firstLineChars="200"/>
        <w:jc w:val="both"/>
      </w:pPr>
      <w:r>
        <w:rPr>
          <w:rFonts w:hint="eastAsia"/>
        </w:rPr>
        <w:t>为提高信息系统突发事件应急响应水平，服务期内，运维单位要在进行重大系统调整和重大保障活动时，提供现场值守服务；对关键系统中存在的设备、系统软件及应用软件的多厂商问题，在发生系统故障及问题时，协调相关厂商进行分析并加以解决。</w:t>
      </w:r>
    </w:p>
    <w:p w14:paraId="133CB02E">
      <w:pPr>
        <w:ind w:firstLine="480" w:firstLineChars="200"/>
        <w:jc w:val="both"/>
        <w:rPr>
          <w:b/>
        </w:rPr>
      </w:pPr>
      <w:r>
        <w:rPr>
          <w:rFonts w:hint="eastAsia"/>
          <w:b/>
        </w:rPr>
        <w:t>（三）软件运维对平台建设的性能要求</w:t>
      </w:r>
    </w:p>
    <w:p w14:paraId="1A3F9048">
      <w:pPr>
        <w:ind w:firstLine="480" w:firstLineChars="200"/>
        <w:jc w:val="both"/>
      </w:pPr>
      <w:r>
        <w:rPr>
          <w:rFonts w:hint="eastAsia"/>
        </w:rPr>
        <w:t>确保系统能够持续稳定运行、减少故障发生，满足业务发展需求，方便功能扩展和升级，保证平台具备良好的性能，达到设计要求，提升用户体验。</w:t>
      </w:r>
    </w:p>
    <w:p w14:paraId="138EDD25">
      <w:pPr>
        <w:ind w:firstLine="480" w:firstLineChars="200"/>
        <w:jc w:val="both"/>
      </w:pPr>
      <w:r>
        <w:rPr>
          <w:rFonts w:hint="eastAsia"/>
          <w:b/>
        </w:rPr>
        <w:t>（四）</w:t>
      </w:r>
      <w:r>
        <w:rPr>
          <w:rFonts w:hint="eastAsia"/>
        </w:rPr>
        <w:t>发生当场不能解决的硬件类故障问题，应在48小时内无条件提供同档次或更高配置的设备对故障设备进行替换，顶替运行，并完成原设备上系统配置的转移工作。</w:t>
      </w:r>
    </w:p>
    <w:p w14:paraId="68B4ED16">
      <w:pPr>
        <w:ind w:firstLine="480" w:firstLineChars="200"/>
        <w:jc w:val="both"/>
      </w:pPr>
      <w:r>
        <w:rPr>
          <w:rFonts w:hint="eastAsia"/>
          <w:b/>
        </w:rPr>
        <w:t>（五）</w:t>
      </w:r>
      <w:r>
        <w:rPr>
          <w:rFonts w:hint="eastAsia"/>
        </w:rPr>
        <w:t>进行技术交流和反馈，填写维护记录，并提供客户服务维护技术档案，以提高客户技术人员的日常维护水平和对问题的解决能力；建立客户档案和设备基本状况档案；协助客户建立预防性维护规范。</w:t>
      </w:r>
    </w:p>
    <w:p w14:paraId="50446329">
      <w:pPr>
        <w:ind w:firstLine="480" w:firstLineChars="200"/>
        <w:jc w:val="both"/>
        <w:rPr>
          <w:b/>
        </w:rPr>
      </w:pPr>
      <w:r>
        <w:rPr>
          <w:b/>
        </w:rPr>
        <w:t>（六）</w:t>
      </w:r>
      <w:r>
        <w:rPr>
          <w:rFonts w:hint="eastAsia"/>
          <w:b/>
        </w:rPr>
        <w:t>保密要求</w:t>
      </w:r>
    </w:p>
    <w:p w14:paraId="6BA7976F">
      <w:pPr>
        <w:ind w:firstLine="480" w:firstLineChars="200"/>
        <w:jc w:val="both"/>
      </w:pPr>
      <w:r>
        <w:rPr>
          <w:rFonts w:hint="eastAsia"/>
        </w:rPr>
        <w:t>严格遵守系统的保密要求，定期进行保密培训，严格执行系统访问权限，不越权操作，及时对系统进行安全监测，对涉密文件和数据做好加密处理。</w:t>
      </w:r>
    </w:p>
    <w:p w14:paraId="1C734463">
      <w:pPr>
        <w:pStyle w:val="3"/>
        <w:jc w:val="both"/>
      </w:pPr>
      <w:r>
        <w:rPr>
          <w:rFonts w:hint="eastAsia"/>
        </w:rPr>
        <w:t>四、人员要求</w:t>
      </w:r>
    </w:p>
    <w:p w14:paraId="36A76408">
      <w:pPr>
        <w:ind w:firstLine="480" w:firstLineChars="200"/>
      </w:pPr>
      <w:r>
        <w:t>（一）</w:t>
      </w:r>
      <w:r>
        <w:rPr>
          <w:rFonts w:hint="eastAsia"/>
        </w:rPr>
        <w:t>本项目系统运维团队人员不低于8人，驻场人员不低于5人，随时按照运维工作安排做好支持。岗位情况如下表：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276"/>
        <w:gridCol w:w="6205"/>
      </w:tblGrid>
      <w:tr w14:paraId="2532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14:paraId="7D810F2B">
            <w:pPr>
              <w:spacing w:line="320" w:lineRule="exact"/>
              <w:jc w:val="center"/>
              <w:rPr>
                <w:rFonts w:asciiTheme="minorEastAsia" w:hAnsiTheme="minorEastAsia"/>
                <w:b/>
              </w:rPr>
            </w:pPr>
            <w:r>
              <w:rPr>
                <w:rFonts w:hint="eastAsia" w:asciiTheme="minorEastAsia" w:hAnsiTheme="minorEastAsia"/>
                <w:b/>
              </w:rPr>
              <w:t>岗位</w:t>
            </w:r>
          </w:p>
        </w:tc>
        <w:tc>
          <w:tcPr>
            <w:tcW w:w="1276" w:type="dxa"/>
            <w:vAlign w:val="center"/>
          </w:tcPr>
          <w:p w14:paraId="5B2FD40A">
            <w:pPr>
              <w:spacing w:line="320" w:lineRule="exact"/>
              <w:jc w:val="center"/>
              <w:rPr>
                <w:rFonts w:asciiTheme="minorEastAsia" w:hAnsiTheme="minorEastAsia"/>
                <w:b/>
              </w:rPr>
            </w:pPr>
            <w:r>
              <w:rPr>
                <w:rFonts w:hint="eastAsia" w:asciiTheme="minorEastAsia" w:hAnsiTheme="minorEastAsia"/>
                <w:b/>
              </w:rPr>
              <w:t>岗位所需总人数</w:t>
            </w:r>
          </w:p>
        </w:tc>
        <w:tc>
          <w:tcPr>
            <w:tcW w:w="6205" w:type="dxa"/>
            <w:vAlign w:val="center"/>
          </w:tcPr>
          <w:p w14:paraId="54E6615E">
            <w:pPr>
              <w:spacing w:line="320" w:lineRule="exact"/>
              <w:jc w:val="center"/>
              <w:rPr>
                <w:rFonts w:asciiTheme="minorEastAsia" w:hAnsiTheme="minorEastAsia"/>
                <w:b/>
              </w:rPr>
            </w:pPr>
            <w:r>
              <w:rPr>
                <w:rFonts w:hint="eastAsia" w:asciiTheme="minorEastAsia" w:hAnsiTheme="minorEastAsia"/>
                <w:b/>
              </w:rPr>
              <w:t>岗位要求</w:t>
            </w:r>
          </w:p>
        </w:tc>
      </w:tr>
      <w:tr w14:paraId="1948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14:paraId="124AC832">
            <w:pPr>
              <w:spacing w:line="300" w:lineRule="exact"/>
              <w:jc w:val="center"/>
              <w:rPr>
                <w:sz w:val="21"/>
                <w:szCs w:val="21"/>
              </w:rPr>
            </w:pPr>
            <w:r>
              <w:rPr>
                <w:rFonts w:hint="eastAsia"/>
                <w:sz w:val="21"/>
                <w:szCs w:val="21"/>
              </w:rPr>
              <w:t>项目经理</w:t>
            </w:r>
          </w:p>
        </w:tc>
        <w:tc>
          <w:tcPr>
            <w:tcW w:w="1276" w:type="dxa"/>
            <w:vAlign w:val="center"/>
          </w:tcPr>
          <w:p w14:paraId="59EEE182">
            <w:pPr>
              <w:spacing w:line="300" w:lineRule="exact"/>
              <w:jc w:val="center"/>
              <w:rPr>
                <w:sz w:val="21"/>
                <w:szCs w:val="21"/>
              </w:rPr>
            </w:pPr>
            <w:r>
              <w:rPr>
                <w:rFonts w:hint="eastAsia"/>
                <w:sz w:val="21"/>
                <w:szCs w:val="21"/>
              </w:rPr>
              <w:t>1</w:t>
            </w:r>
          </w:p>
        </w:tc>
        <w:tc>
          <w:tcPr>
            <w:tcW w:w="6205" w:type="dxa"/>
          </w:tcPr>
          <w:p w14:paraId="2A51DE3A">
            <w:pPr>
              <w:spacing w:line="300" w:lineRule="exact"/>
              <w:rPr>
                <w:sz w:val="21"/>
                <w:szCs w:val="21"/>
              </w:rPr>
            </w:pPr>
            <w:r>
              <w:rPr>
                <w:rFonts w:hint="eastAsia"/>
                <w:sz w:val="21"/>
                <w:szCs w:val="21"/>
              </w:rPr>
              <w:t>1、年龄45 周岁以下，本科及以上学历，有不少于2年类似监管系统运维项目管理岗位经验，并具有“计算机技术与软件专业技术资格（水平）考试”信息系统项目管理师证书。</w:t>
            </w:r>
          </w:p>
          <w:p w14:paraId="3C4E0CAC">
            <w:pPr>
              <w:spacing w:line="300" w:lineRule="exact"/>
              <w:rPr>
                <w:sz w:val="21"/>
                <w:szCs w:val="21"/>
              </w:rPr>
            </w:pPr>
            <w:r>
              <w:rPr>
                <w:rFonts w:hint="eastAsia"/>
                <w:sz w:val="21"/>
                <w:szCs w:val="21"/>
              </w:rPr>
              <w:t>2、熟悉监管信息系统功能需求，工作条理性强，具有良好的综合判断能力、决策能力、沟通协调能力，能够提出合理建议。</w:t>
            </w:r>
          </w:p>
        </w:tc>
      </w:tr>
      <w:tr w14:paraId="42B2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14:paraId="1E588119">
            <w:pPr>
              <w:spacing w:line="300" w:lineRule="exact"/>
              <w:jc w:val="center"/>
              <w:rPr>
                <w:sz w:val="21"/>
                <w:szCs w:val="21"/>
              </w:rPr>
            </w:pPr>
            <w:r>
              <w:rPr>
                <w:rFonts w:hint="eastAsia"/>
                <w:sz w:val="21"/>
                <w:szCs w:val="21"/>
              </w:rPr>
              <w:t>软件运维人员（驻场）</w:t>
            </w:r>
          </w:p>
        </w:tc>
        <w:tc>
          <w:tcPr>
            <w:tcW w:w="1276" w:type="dxa"/>
            <w:vAlign w:val="center"/>
          </w:tcPr>
          <w:p w14:paraId="445D4F55">
            <w:pPr>
              <w:spacing w:line="300" w:lineRule="exact"/>
              <w:jc w:val="center"/>
              <w:rPr>
                <w:sz w:val="21"/>
                <w:szCs w:val="21"/>
              </w:rPr>
            </w:pPr>
            <w:r>
              <w:rPr>
                <w:rFonts w:hint="eastAsia"/>
                <w:sz w:val="21"/>
                <w:szCs w:val="21"/>
              </w:rPr>
              <w:t>3</w:t>
            </w:r>
            <w:r>
              <w:rPr>
                <w:sz w:val="21"/>
                <w:szCs w:val="21"/>
              </w:rPr>
              <w:t xml:space="preserve"> </w:t>
            </w:r>
          </w:p>
        </w:tc>
        <w:tc>
          <w:tcPr>
            <w:tcW w:w="6205" w:type="dxa"/>
          </w:tcPr>
          <w:p w14:paraId="5412DFBA">
            <w:pPr>
              <w:spacing w:line="300" w:lineRule="exact"/>
              <w:rPr>
                <w:sz w:val="21"/>
                <w:szCs w:val="21"/>
              </w:rPr>
            </w:pPr>
            <w:r>
              <w:rPr>
                <w:rFonts w:hint="eastAsia"/>
                <w:sz w:val="21"/>
                <w:szCs w:val="21"/>
              </w:rPr>
              <w:t>1、8小时*5工作日在岗，按照采购人管理制度考勤打卡。</w:t>
            </w:r>
          </w:p>
          <w:p w14:paraId="731DC39A">
            <w:pPr>
              <w:spacing w:line="300" w:lineRule="exact"/>
              <w:rPr>
                <w:sz w:val="21"/>
                <w:szCs w:val="21"/>
              </w:rPr>
            </w:pPr>
            <w:r>
              <w:rPr>
                <w:rFonts w:hint="eastAsia"/>
                <w:sz w:val="21"/>
                <w:szCs w:val="21"/>
              </w:rPr>
              <w:t>2本科及以上学历，有不少于2年信息系统维护的经验，配合采购人做好7*24 小时的售后服务响应，迅速解决软件故障。</w:t>
            </w:r>
          </w:p>
          <w:p w14:paraId="57E5CD66">
            <w:pPr>
              <w:spacing w:line="300" w:lineRule="exact"/>
              <w:rPr>
                <w:sz w:val="21"/>
                <w:szCs w:val="21"/>
              </w:rPr>
            </w:pPr>
            <w:r>
              <w:rPr>
                <w:rFonts w:hint="eastAsia"/>
                <w:sz w:val="21"/>
                <w:szCs w:val="21"/>
              </w:rPr>
              <w:t>3、做好系统用户的协作沟通，及时响应需求，提供技术支持。</w:t>
            </w:r>
          </w:p>
          <w:p w14:paraId="2605B5F8">
            <w:pPr>
              <w:spacing w:line="300" w:lineRule="exact"/>
              <w:rPr>
                <w:sz w:val="21"/>
                <w:szCs w:val="21"/>
              </w:rPr>
            </w:pPr>
            <w:r>
              <w:rPr>
                <w:rFonts w:hint="eastAsia"/>
                <w:sz w:val="21"/>
                <w:szCs w:val="21"/>
              </w:rPr>
              <w:t>4、做好数据备份，确保数据安全。</w:t>
            </w:r>
          </w:p>
          <w:p w14:paraId="4422C4DC">
            <w:pPr>
              <w:spacing w:line="300" w:lineRule="exact"/>
              <w:rPr>
                <w:sz w:val="21"/>
                <w:szCs w:val="21"/>
              </w:rPr>
            </w:pPr>
            <w:r>
              <w:rPr>
                <w:rFonts w:hint="eastAsia"/>
                <w:sz w:val="21"/>
                <w:szCs w:val="21"/>
              </w:rPr>
              <w:t>5、文档管理整理，定期更新运维文档。</w:t>
            </w:r>
          </w:p>
          <w:p w14:paraId="4AB95302">
            <w:pPr>
              <w:spacing w:line="300" w:lineRule="exact"/>
              <w:rPr>
                <w:sz w:val="21"/>
                <w:szCs w:val="21"/>
              </w:rPr>
            </w:pPr>
            <w:r>
              <w:rPr>
                <w:rFonts w:hint="eastAsia"/>
                <w:sz w:val="21"/>
                <w:szCs w:val="21"/>
              </w:rPr>
              <w:t>6、协助项目建设方做好系统软件对接的技术咨询和指导。</w:t>
            </w:r>
          </w:p>
        </w:tc>
      </w:tr>
      <w:tr w14:paraId="01A0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14:paraId="4F1F90C9">
            <w:pPr>
              <w:spacing w:line="300" w:lineRule="exact"/>
              <w:jc w:val="center"/>
              <w:rPr>
                <w:sz w:val="21"/>
                <w:szCs w:val="21"/>
              </w:rPr>
            </w:pPr>
            <w:r>
              <w:rPr>
                <w:rFonts w:hint="eastAsia"/>
                <w:sz w:val="21"/>
                <w:szCs w:val="21"/>
              </w:rPr>
              <w:t>硬件运维人员（驻场）</w:t>
            </w:r>
          </w:p>
        </w:tc>
        <w:tc>
          <w:tcPr>
            <w:tcW w:w="1276" w:type="dxa"/>
            <w:vAlign w:val="center"/>
          </w:tcPr>
          <w:p w14:paraId="09024557">
            <w:pPr>
              <w:spacing w:line="300" w:lineRule="exact"/>
              <w:jc w:val="center"/>
              <w:rPr>
                <w:sz w:val="21"/>
                <w:szCs w:val="21"/>
              </w:rPr>
            </w:pPr>
            <w:r>
              <w:rPr>
                <w:rFonts w:hint="eastAsia"/>
                <w:sz w:val="21"/>
                <w:szCs w:val="21"/>
              </w:rPr>
              <w:t>2</w:t>
            </w:r>
          </w:p>
        </w:tc>
        <w:tc>
          <w:tcPr>
            <w:tcW w:w="6205" w:type="dxa"/>
          </w:tcPr>
          <w:p w14:paraId="5DEA294F">
            <w:pPr>
              <w:spacing w:line="300" w:lineRule="exact"/>
              <w:rPr>
                <w:sz w:val="21"/>
                <w:szCs w:val="21"/>
              </w:rPr>
            </w:pPr>
            <w:r>
              <w:rPr>
                <w:rFonts w:hint="eastAsia"/>
                <w:sz w:val="21"/>
                <w:szCs w:val="21"/>
              </w:rPr>
              <w:t>1、8小时*5工作日在岗，按照采购人管理制度进行考勤打卡。</w:t>
            </w:r>
          </w:p>
          <w:p w14:paraId="7B3FA771">
            <w:pPr>
              <w:spacing w:line="300" w:lineRule="exact"/>
              <w:rPr>
                <w:sz w:val="21"/>
                <w:szCs w:val="21"/>
              </w:rPr>
            </w:pPr>
            <w:r>
              <w:rPr>
                <w:rFonts w:hint="eastAsia"/>
                <w:sz w:val="21"/>
                <w:szCs w:val="21"/>
              </w:rPr>
              <w:t xml:space="preserve">2、能够熟练操作相关硬件设备，定期对设备巡检，及时处理硬件设备故障和维护；                     </w:t>
            </w:r>
          </w:p>
          <w:p w14:paraId="5407A1E5">
            <w:pPr>
              <w:spacing w:line="300" w:lineRule="exact"/>
              <w:rPr>
                <w:sz w:val="21"/>
                <w:szCs w:val="21"/>
              </w:rPr>
            </w:pPr>
            <w:r>
              <w:rPr>
                <w:rFonts w:hint="eastAsia"/>
                <w:sz w:val="21"/>
                <w:szCs w:val="21"/>
              </w:rPr>
              <w:t>3、做好硬件设备的性能监测和安全管理；</w:t>
            </w:r>
          </w:p>
          <w:p w14:paraId="372AD7AC">
            <w:pPr>
              <w:spacing w:line="300" w:lineRule="exact"/>
              <w:rPr>
                <w:sz w:val="21"/>
                <w:szCs w:val="21"/>
              </w:rPr>
            </w:pPr>
            <w:r>
              <w:rPr>
                <w:rFonts w:hint="eastAsia"/>
                <w:sz w:val="21"/>
                <w:szCs w:val="21"/>
              </w:rPr>
              <w:t>4、协助采购人做好系统硬件对接的技术对接和指导。</w:t>
            </w:r>
          </w:p>
        </w:tc>
      </w:tr>
      <w:tr w14:paraId="7B7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14:paraId="0E75CE5F">
            <w:pPr>
              <w:spacing w:line="300" w:lineRule="exact"/>
              <w:jc w:val="center"/>
              <w:rPr>
                <w:sz w:val="21"/>
                <w:szCs w:val="21"/>
              </w:rPr>
            </w:pPr>
            <w:r>
              <w:rPr>
                <w:rFonts w:hint="eastAsia"/>
                <w:sz w:val="21"/>
                <w:szCs w:val="21"/>
              </w:rPr>
              <w:t>其他临时服务性工作</w:t>
            </w:r>
          </w:p>
        </w:tc>
        <w:tc>
          <w:tcPr>
            <w:tcW w:w="1276" w:type="dxa"/>
            <w:vAlign w:val="center"/>
          </w:tcPr>
          <w:p w14:paraId="587AC3F7">
            <w:pPr>
              <w:spacing w:line="300" w:lineRule="exact"/>
              <w:jc w:val="center"/>
              <w:rPr>
                <w:sz w:val="21"/>
                <w:szCs w:val="21"/>
              </w:rPr>
            </w:pPr>
            <w:r>
              <w:rPr>
                <w:rFonts w:hint="eastAsia"/>
                <w:sz w:val="21"/>
                <w:szCs w:val="21"/>
              </w:rPr>
              <w:t>2</w:t>
            </w:r>
          </w:p>
        </w:tc>
        <w:tc>
          <w:tcPr>
            <w:tcW w:w="6205" w:type="dxa"/>
          </w:tcPr>
          <w:p w14:paraId="3CEF92C1">
            <w:pPr>
              <w:spacing w:line="300" w:lineRule="exact"/>
              <w:rPr>
                <w:sz w:val="21"/>
                <w:szCs w:val="21"/>
              </w:rPr>
            </w:pPr>
            <w:r>
              <w:rPr>
                <w:rFonts w:hint="eastAsia"/>
                <w:sz w:val="21"/>
                <w:szCs w:val="21"/>
              </w:rPr>
              <w:t>1、年龄35周岁以下，本科及以上学历，有不少于2年会务策划、筹备和组织相关工作经验。</w:t>
            </w:r>
          </w:p>
          <w:p w14:paraId="78BCBB92">
            <w:pPr>
              <w:spacing w:line="300" w:lineRule="exact"/>
              <w:rPr>
                <w:sz w:val="21"/>
                <w:szCs w:val="21"/>
              </w:rPr>
            </w:pPr>
            <w:r>
              <w:rPr>
                <w:rFonts w:hint="eastAsia"/>
                <w:sz w:val="21"/>
                <w:szCs w:val="21"/>
              </w:rPr>
              <w:t>2、工作条理性强，有较强的沟通协调能力和文字功底，能灵活应对突发情况。</w:t>
            </w:r>
          </w:p>
        </w:tc>
      </w:tr>
    </w:tbl>
    <w:p w14:paraId="57A8E4CF">
      <w:pPr>
        <w:ind w:firstLine="480" w:firstLineChars="200"/>
      </w:pPr>
      <w:r>
        <w:rPr>
          <w:rFonts w:hint="eastAsia"/>
        </w:rPr>
        <w:t>（二）驻场技术服务人员必须具有相应的技术能力和工作经验，能够较好的完成项目相关的服务要求，具有良好语言沟通和文字能力，必须严格服从采购方的工作分配和时间安排完成相关工作任务，遵守采购方现行的各项规章制度。具体的人员要求如下：</w:t>
      </w:r>
    </w:p>
    <w:p w14:paraId="055ECE51">
      <w:pPr>
        <w:ind w:firstLine="480" w:firstLineChars="200"/>
      </w:pPr>
      <w:r>
        <w:rPr>
          <w:rFonts w:hint="eastAsia"/>
        </w:rPr>
        <w:t>1、具备扎实的TCP/IP基础，精通网络技术；精通主流交换机、路由器、防火墙产品的配置实施；</w:t>
      </w:r>
    </w:p>
    <w:p w14:paraId="211DA93B">
      <w:pPr>
        <w:ind w:firstLine="480" w:firstLineChars="200"/>
      </w:pPr>
      <w:r>
        <w:rPr>
          <w:rFonts w:hint="eastAsia"/>
        </w:rPr>
        <w:t>2、熟悉大型企业网络,熟悉常见的各种路由交换协议（如：RIP，OSPF，IS-IS， BGP 等协议）；</w:t>
      </w:r>
    </w:p>
    <w:p w14:paraId="09F211EE">
      <w:pPr>
        <w:ind w:firstLine="480" w:firstLineChars="200"/>
      </w:pPr>
      <w:r>
        <w:rPr>
          <w:rFonts w:hint="eastAsia"/>
        </w:rPr>
        <w:t>3、能熟练配置常见产商网络设备；</w:t>
      </w:r>
    </w:p>
    <w:p w14:paraId="26A6949B">
      <w:pPr>
        <w:ind w:firstLine="480" w:firstLineChars="200"/>
      </w:pPr>
      <w:r>
        <w:rPr>
          <w:rFonts w:hint="eastAsia"/>
        </w:rPr>
        <w:t>4、能独立完成网络设计及相关交办工作；</w:t>
      </w:r>
    </w:p>
    <w:p w14:paraId="5F9FBA2D">
      <w:pPr>
        <w:ind w:firstLine="480" w:firstLineChars="200"/>
      </w:pPr>
      <w:r>
        <w:rPr>
          <w:rFonts w:hint="eastAsia"/>
        </w:rPr>
        <w:t>5、具备网络与信息安全基本意识和保密意识；</w:t>
      </w:r>
    </w:p>
    <w:p w14:paraId="0DB62F36">
      <w:pPr>
        <w:ind w:firstLine="480" w:firstLineChars="200"/>
      </w:pPr>
      <w:r>
        <w:rPr>
          <w:rFonts w:hint="eastAsia"/>
        </w:rPr>
        <w:t>（三）在合同期限内，应承诺保障驻场服务人员保持相对稳定，确保服务的连续性、有效性和及时性。驻场服务人员变更必须经采购人同意，并必须保证后续人员具有同等的资质和能力，否则不予变更。人员变更必须提前30天提出申请并经采购人同意，并认真做好具体工作交接。</w:t>
      </w:r>
    </w:p>
    <w:p w14:paraId="213DDC72">
      <w:pPr>
        <w:ind w:firstLine="480" w:firstLineChars="200"/>
      </w:pPr>
      <w:r>
        <w:rPr>
          <w:rFonts w:hint="eastAsia"/>
        </w:rPr>
        <w:t>（四）在合同期限内，应承诺驻场服务人员出现不服从采购方具体工作安排，或者具体工作敷衍了事，工作态度不端正，工作能力和效果较差等情况的，采购人有权要求更换且供应商必须完成配合。</w:t>
      </w:r>
    </w:p>
    <w:p w14:paraId="224E9955">
      <w:pPr>
        <w:ind w:firstLine="480" w:firstLineChars="200"/>
      </w:pPr>
      <w:r>
        <w:rPr>
          <w:rFonts w:hint="eastAsia"/>
        </w:rPr>
        <w:t>（五）合同期限内，如采购人因工作临时要求驻点人员加班，驻点人员应积极配合采购人工作安排，相关加班费用包括在合同总价中。</w:t>
      </w:r>
    </w:p>
    <w:p w14:paraId="1C8888A0">
      <w:pPr>
        <w:pStyle w:val="3"/>
        <w:jc w:val="both"/>
      </w:pPr>
      <w:r>
        <w:rPr>
          <w:rFonts w:hint="eastAsia"/>
        </w:rPr>
        <w:t>五、商务要求</w:t>
      </w:r>
    </w:p>
    <w:p w14:paraId="68511B45">
      <w:pPr>
        <w:ind w:left="480"/>
        <w:jc w:val="both"/>
      </w:pPr>
      <w:r>
        <w:rPr>
          <w:rFonts w:hint="eastAsia"/>
        </w:rPr>
        <w:t>服务期：1年，以合同约定的起止时间为准。</w:t>
      </w:r>
    </w:p>
    <w:p w14:paraId="2A3BDD75">
      <w:pPr>
        <w:pStyle w:val="81"/>
        <w:ind w:firstLine="0" w:firstLineChars="0"/>
      </w:pPr>
    </w:p>
    <w:p w14:paraId="0E603386">
      <w:pPr>
        <w:pStyle w:val="81"/>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2" w:name="_Toc148453731"/>
      <w:bookmarkStart w:id="13" w:name="_Toc212455741"/>
      <w:r>
        <w:rPr>
          <w:rFonts w:hint="eastAsia"/>
        </w:rPr>
        <w:t>第四章　合同</w:t>
      </w:r>
      <w:bookmarkEnd w:id="12"/>
      <w:r>
        <w:rPr>
          <w:rFonts w:hint="eastAsia"/>
        </w:rPr>
        <w:t>草案条款</w:t>
      </w:r>
      <w:bookmarkEnd w:id="13"/>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b/>
          <w:color w:val="C00000"/>
          <w:u w:val="single"/>
        </w:rPr>
        <w:t>〈采购人〉</w:t>
      </w:r>
    </w:p>
    <w:p w14:paraId="44A487A0">
      <w:pPr>
        <w:ind w:firstLine="480" w:firstLineChars="200"/>
        <w:jc w:val="both"/>
        <w:rPr>
          <w:b/>
        </w:rPr>
      </w:pPr>
      <w:r>
        <w:rPr>
          <w:b/>
        </w:rPr>
        <w:t>乙方（成交供应商）：</w:t>
      </w:r>
      <w:r>
        <w:rPr>
          <w:color w:val="C00000"/>
        </w:rPr>
        <w:t>_________________</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（二）服务内容：见本项目磋商文件</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14:paraId="7B2F04D2">
      <w:pPr>
        <w:spacing w:before="230" w:beforeLines="50"/>
        <w:jc w:val="both"/>
        <w:rPr>
          <w:rFonts w:cs="Calibri Light"/>
          <w:b/>
        </w:rPr>
      </w:pPr>
      <w:r>
        <w:rPr>
          <w:rFonts w:cs="Calibri Light"/>
          <w:b/>
        </w:rPr>
        <w:t>二、合同价款</w:t>
      </w:r>
    </w:p>
    <w:p w14:paraId="55D8E838">
      <w:pPr>
        <w:ind w:firstLine="480" w:firstLineChars="200"/>
        <w:jc w:val="both"/>
      </w:pPr>
      <w:r>
        <w:t>（一）本合同项下总价款为人民币_________元（小写，精确到小数点后两位），即__________（大写）。</w:t>
      </w:r>
    </w:p>
    <w:p w14:paraId="7D5196F7">
      <w:pPr>
        <w:ind w:firstLine="480" w:firstLineChars="200"/>
        <w:jc w:val="both"/>
      </w:pPr>
      <w:r>
        <w:t>（二）</w:t>
      </w:r>
      <w:r>
        <w:rPr>
          <w:rFonts w:hint="eastAsia"/>
        </w:rPr>
        <w:t>本合同总价系统整体维护、软件维护及硬件维修一切费用。系固定不变价格，不受市场价格变化因素的影响</w:t>
      </w:r>
      <w:r>
        <w:t>。</w:t>
      </w:r>
    </w:p>
    <w:p w14:paraId="3E196DC7">
      <w:pPr>
        <w:spacing w:before="230" w:beforeLines="50"/>
        <w:jc w:val="both"/>
        <w:rPr>
          <w:rFonts w:cs="Calibri Light"/>
          <w:b/>
        </w:rPr>
      </w:pPr>
      <w:r>
        <w:rPr>
          <w:rFonts w:cs="Calibri Light"/>
          <w:b/>
        </w:rPr>
        <w:t>三、款项结算</w:t>
      </w:r>
    </w:p>
    <w:p w14:paraId="29227FAE">
      <w:pPr>
        <w:pStyle w:val="40"/>
        <w:spacing w:line="240" w:lineRule="auto"/>
        <w:ind w:firstLine="480" w:firstLineChars="200"/>
        <w:jc w:val="both"/>
        <w:rPr>
          <w:rFonts w:asciiTheme="minorHAnsi" w:hAnsiTheme="minorHAnsi" w:eastAsiaTheme="minorEastAsia"/>
        </w:rPr>
      </w:pPr>
      <w:r>
        <w:rPr>
          <w:rFonts w:asciiTheme="minorHAnsi" w:hAnsiTheme="minorHAnsi" w:eastAsiaTheme="minorEastAsia"/>
          <w:sz w:val="24"/>
          <w:szCs w:val="24"/>
        </w:rPr>
        <w:t>（一）</w:t>
      </w:r>
      <w:r>
        <w:rPr>
          <w:rFonts w:hint="eastAsia" w:asciiTheme="minorHAnsi" w:hAnsiTheme="minorHAnsi" w:eastAsiaTheme="minorEastAsia"/>
          <w:sz w:val="24"/>
          <w:szCs w:val="24"/>
        </w:rPr>
        <w:t>合同签订后，乙方向甲方提供合同价款的等额增值税发票，甲方自收到发票10个工作日内向乙方付款支付合同总价款的100%。</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436A9DB5">
      <w:pPr>
        <w:wordWrap w:val="0"/>
        <w:ind w:firstLine="480" w:firstLineChars="200"/>
        <w:jc w:val="both"/>
      </w:pPr>
      <w:r>
        <w:t>名  称：_____________________</w:t>
      </w:r>
    </w:p>
    <w:p w14:paraId="6C30F7F3">
      <w:pPr>
        <w:wordWrap w:val="0"/>
        <w:ind w:firstLine="480" w:firstLineChars="200"/>
        <w:jc w:val="both"/>
      </w:pPr>
      <w:r>
        <w:t>开户行：_____________________</w:t>
      </w:r>
    </w:p>
    <w:p w14:paraId="2DA52542">
      <w:pPr>
        <w:wordWrap w:val="0"/>
        <w:ind w:firstLine="480" w:firstLineChars="200"/>
        <w:jc w:val="both"/>
      </w:pPr>
      <w:r>
        <w:t>账  号：_____________________</w:t>
      </w:r>
    </w:p>
    <w:p w14:paraId="339311BF">
      <w:pPr>
        <w:wordWrap w:val="0"/>
        <w:ind w:firstLine="480" w:firstLineChars="200"/>
        <w:jc w:val="both"/>
      </w:pPr>
      <w:r>
        <w:t>甲方仅认可上述指定账户并向该账户付款。否则甲方有权拒绝向指定账户之外的任何账户付款，并且由此导致的付款延迟责任由乙方承担。</w:t>
      </w:r>
    </w:p>
    <w:p w14:paraId="0731AEDC">
      <w:pPr>
        <w:spacing w:before="230" w:beforeLines="50"/>
        <w:jc w:val="both"/>
        <w:rPr>
          <w:rFonts w:cs="Calibri Light"/>
          <w:b/>
        </w:rPr>
      </w:pPr>
      <w:r>
        <w:rPr>
          <w:rFonts w:cs="Calibri Light"/>
          <w:b/>
        </w:rPr>
        <w:t>四、服务保证</w:t>
      </w:r>
    </w:p>
    <w:p w14:paraId="220F6436">
      <w:pPr>
        <w:wordWrap w:val="0"/>
        <w:ind w:firstLine="480" w:firstLineChars="200"/>
        <w:jc w:val="both"/>
      </w:pPr>
      <w:r>
        <w:rPr>
          <w:rFonts w:hint="eastAsia"/>
        </w:rPr>
        <w:t>（一）乙方应制定详细实施计划，包含系统整体维护、软件维护、硬件维修及其他相关服务承诺。</w:t>
      </w:r>
    </w:p>
    <w:p w14:paraId="43844216">
      <w:pPr>
        <w:wordWrap w:val="0"/>
        <w:ind w:firstLine="480" w:firstLineChars="200"/>
        <w:jc w:val="both"/>
      </w:pPr>
      <w:r>
        <w:rPr>
          <w:rFonts w:hint="eastAsia"/>
        </w:rPr>
        <w:t>（二）在服务期限内，遵循零干扰服务。乙方不得干扰或阻碍甲方正常工作。</w:t>
      </w:r>
    </w:p>
    <w:p w14:paraId="3C978079">
      <w:pPr>
        <w:wordWrap w:val="0"/>
        <w:ind w:firstLine="480" w:firstLineChars="200"/>
        <w:jc w:val="both"/>
      </w:pPr>
      <w:r>
        <w:rPr>
          <w:rFonts w:hint="eastAsia"/>
        </w:rPr>
        <w:t>（三）乙方应严格履行响应文件中的承诺，不得随意减少，响应文件为本合同组成内容的一部分，同样具备合同效力。</w:t>
      </w:r>
    </w:p>
    <w:p w14:paraId="3739DF02">
      <w:pPr>
        <w:spacing w:before="230" w:beforeLines="50"/>
        <w:jc w:val="both"/>
        <w:rPr>
          <w:rFonts w:cs="Calibri Light"/>
          <w:b/>
        </w:rPr>
      </w:pPr>
      <w:r>
        <w:rPr>
          <w:rFonts w:cs="Calibri Light"/>
          <w:b/>
        </w:rPr>
        <w:t>五、双方的权利和义务</w:t>
      </w:r>
    </w:p>
    <w:p w14:paraId="422D3328">
      <w:pPr>
        <w:wordWrap w:val="0"/>
        <w:ind w:firstLine="480" w:firstLineChars="200"/>
        <w:jc w:val="both"/>
      </w:pPr>
      <w:r>
        <w:t>（一）甲方的权利和义务</w:t>
      </w:r>
    </w:p>
    <w:p w14:paraId="5AF4446F">
      <w:pPr>
        <w:wordWrap w:val="0"/>
        <w:ind w:firstLine="480" w:firstLineChars="200"/>
        <w:jc w:val="both"/>
      </w:pPr>
      <w:r>
        <w:rPr>
          <w:rFonts w:hint="eastAsia"/>
        </w:rPr>
        <w:t>1、甲方有权对乙方承诺的服务事项进行监督并提出合理化建议。对乙方未按合同约定履行服务义务，有权要求乙方整改到位。</w:t>
      </w:r>
    </w:p>
    <w:p w14:paraId="67F23D46">
      <w:pPr>
        <w:wordWrap w:val="0"/>
        <w:ind w:firstLine="480" w:firstLineChars="200"/>
        <w:jc w:val="both"/>
      </w:pPr>
      <w:r>
        <w:rPr>
          <w:rFonts w:hint="eastAsia"/>
        </w:rPr>
        <w:t>2、甲方不得干涉乙方依法或依本合同规定内容所进行的管理活动。</w:t>
      </w:r>
    </w:p>
    <w:p w14:paraId="6403C2B7">
      <w:pPr>
        <w:wordWrap w:val="0"/>
        <w:ind w:firstLine="472" w:firstLineChars="200"/>
        <w:jc w:val="both"/>
        <w:rPr>
          <w:spacing w:val="-2"/>
        </w:rPr>
      </w:pPr>
      <w:r>
        <w:rPr>
          <w:rFonts w:hint="eastAsia"/>
          <w:spacing w:val="-2"/>
        </w:rPr>
        <w:t>3、甲方应按照合同规定，按时足额向乙方支付本合同项下的服务费及其它应付费用。</w:t>
      </w:r>
    </w:p>
    <w:p w14:paraId="10616045">
      <w:pPr>
        <w:wordWrap w:val="0"/>
        <w:ind w:firstLine="480" w:firstLineChars="200"/>
        <w:jc w:val="both"/>
      </w:pPr>
      <w:r>
        <w:t>（二）乙方的权利和义务</w:t>
      </w:r>
    </w:p>
    <w:p w14:paraId="15CD3D5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1、遵守各项管理法规和合同规定的责任要求，根据甲方授权，对本项目实施服务，确保实现服务目标，并承担相应责任，自觉接受甲方检查监督；</w:t>
      </w:r>
    </w:p>
    <w:p w14:paraId="7DB7FE0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2、根据有关法律法规及本合同的约定，制订具体工作计划及人员安排；</w:t>
      </w:r>
    </w:p>
    <w:p w14:paraId="1698A22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3、妥善保管和正确使用甲方提供的相关档案资料，及时记载有关变更信息，不得泄露甲方任何个人信息或将信息用于项目执行之外的其他用途；</w:t>
      </w:r>
    </w:p>
    <w:p w14:paraId="78910C0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4、服务期满时向甲方移交全部项目相关资料；</w:t>
      </w:r>
    </w:p>
    <w:p w14:paraId="51D4F364">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5、本合同执行期间，如遇不可抗力，致使合同无法履行时，双方应按有关法律规定及时协商处理。</w:t>
      </w:r>
    </w:p>
    <w:p w14:paraId="4B83D0FA">
      <w:pPr>
        <w:spacing w:before="230" w:beforeLines="50"/>
        <w:jc w:val="both"/>
        <w:rPr>
          <w:rFonts w:cs="Calibri Light"/>
          <w:b/>
        </w:rPr>
      </w:pPr>
      <w:r>
        <w:rPr>
          <w:rFonts w:cs="Calibri Light"/>
          <w:b/>
        </w:rPr>
        <w:t>六、验收</w:t>
      </w:r>
    </w:p>
    <w:p w14:paraId="54CA5CB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（一）服务期满后，甲方对本项目的实施情况进行验收，确认服务标准和服务方式是否达到采购要求（必要时甲方可委托技术专家对项目进行验收）。验收合格后，填写政府采购项目验收单（一式</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份）作为对项目的最终认可。</w:t>
      </w:r>
    </w:p>
    <w:p w14:paraId="72531F9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（二）验收依据</w:t>
      </w:r>
    </w:p>
    <w:p w14:paraId="79F082A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1、磋商文件、响应文件、澄清表（函）；</w:t>
      </w:r>
    </w:p>
    <w:p w14:paraId="1AD2335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2、本合同及附件文本；</w:t>
      </w:r>
    </w:p>
    <w:p w14:paraId="0D085A4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3、合同签订时国家及行业现行的标准和技术规范。</w:t>
      </w:r>
    </w:p>
    <w:p w14:paraId="5A8DF765">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（三）乙方应向甲方提交项目实施过程中的所有资料，以便甲方日后管理和维护。</w:t>
      </w:r>
    </w:p>
    <w:p w14:paraId="1358C10D">
      <w:pPr>
        <w:spacing w:before="230" w:beforeLines="50"/>
        <w:jc w:val="both"/>
        <w:rPr>
          <w:rFonts w:cs="Calibri Light"/>
          <w:b/>
        </w:rPr>
      </w:pPr>
      <w:r>
        <w:rPr>
          <w:rFonts w:cs="Calibri Light"/>
          <w:b/>
        </w:rPr>
        <w:t>七、违约责任</w:t>
      </w:r>
    </w:p>
    <w:p w14:paraId="2DEE537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4E3EDB02">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（二）其他未尽事宜，按《民法典》中的相关条款执行。</w:t>
      </w:r>
    </w:p>
    <w:p w14:paraId="373B5981">
      <w:pPr>
        <w:spacing w:before="230" w:beforeLines="50"/>
        <w:jc w:val="both"/>
        <w:rPr>
          <w:rFonts w:cs="Calibri Light"/>
          <w:b/>
        </w:rPr>
      </w:pPr>
      <w:r>
        <w:rPr>
          <w:rFonts w:cs="Calibri Light"/>
          <w:b/>
        </w:rPr>
        <w:t>八、争议解决</w:t>
      </w:r>
    </w:p>
    <w:p w14:paraId="7AE5789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20D0CFDA">
      <w:pPr>
        <w:wordWrap w:val="0"/>
        <w:ind w:firstLine="480" w:firstLineChars="200"/>
        <w:jc w:val="both"/>
      </w:pPr>
      <w:r>
        <w:t>（二）凡与本合同有关的一切争议，双方应通过友好协商解决。如协商后仍不能达成协议时，依法向甲方所在地有管辖权的人民法院提起诉讼。</w:t>
      </w:r>
    </w:p>
    <w:p w14:paraId="558B1EDB">
      <w:pPr>
        <w:spacing w:before="230" w:beforeLines="50"/>
        <w:jc w:val="both"/>
        <w:rPr>
          <w:rFonts w:cs="Calibri Light"/>
          <w:b/>
        </w:rPr>
      </w:pPr>
      <w:r>
        <w:rPr>
          <w:rFonts w:hint="eastAsia" w:cs="Calibri Light"/>
          <w:b/>
        </w:rPr>
        <w:t>九</w:t>
      </w:r>
      <w:r>
        <w:rPr>
          <w:rFonts w:cs="Calibri Light"/>
          <w:b/>
        </w:rPr>
        <w:t>、合同生效及其他</w:t>
      </w:r>
    </w:p>
    <w:p w14:paraId="552BA70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06B482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4318751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6FD31474"/>
    <w:p w14:paraId="0FC4A7EB">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14" w:name="_Toc212455742"/>
      <w:r>
        <w:rPr>
          <w:rFonts w:hint="eastAsia"/>
        </w:rPr>
        <w:t>第五章　响应文件构成及格式</w:t>
      </w:r>
      <w:bookmarkEnd w:id="14"/>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5D6A6AE5">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第一次报价表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采购包/项目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14:paraId="5C1980AD">
      <w:pPr>
        <w:pStyle w:val="40"/>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68554F52">
      <w:r>
        <w:br w:type="page"/>
      </w: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2D5C7ED3">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07A35F3">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7B74882F">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40997C45">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5B412D05">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6E68FD5E">
      <w:pPr>
        <w:ind w:firstLine="480" w:firstLineChars="200"/>
        <w:jc w:val="both"/>
      </w:pPr>
      <w:r>
        <w:t>以上企业，不属于大企业的分支机构，不存在控股股东为大企业的情形，也不存在与大企业的负责人为同一人的情形。</w:t>
      </w:r>
    </w:p>
    <w:p w14:paraId="4CCCF636">
      <w:pPr>
        <w:ind w:firstLine="480" w:firstLineChars="200"/>
        <w:jc w:val="both"/>
      </w:pPr>
      <w:r>
        <w:t>本企业对上述声明内容的真实性负责。如有虚假，将依法承担相应责任。</w:t>
      </w:r>
    </w:p>
    <w:p w14:paraId="6E0E4138">
      <w:pPr>
        <w:ind w:firstLine="480" w:firstLineChars="200"/>
        <w:jc w:val="both"/>
      </w:pPr>
    </w:p>
    <w:p w14:paraId="33E8E5C0">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08C2B984">
      <w:pPr>
        <w:tabs>
          <w:tab w:val="left" w:pos="5670"/>
        </w:tabs>
        <w:ind w:firstLine="480" w:firstLineChars="200"/>
        <w:jc w:val="both"/>
        <w:rPr>
          <w:rFonts w:cs="Calibri Light"/>
          <w:color w:val="000000"/>
        </w:rPr>
      </w:pPr>
      <w:r>
        <w:rPr>
          <w:rFonts w:cs="Calibri Light"/>
          <w:color w:val="000000"/>
        </w:rPr>
        <w:t>日　期：　　年　月　日</w:t>
      </w:r>
    </w:p>
    <w:p w14:paraId="3153AA5C">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770AED3A">
      <w:pPr>
        <w:jc w:val="both"/>
        <w:rPr>
          <w:rFonts w:ascii="Calibri" w:hAnsi="Calibri" w:eastAsia="黑体"/>
          <w:kern w:val="28"/>
          <w:sz w:val="28"/>
        </w:rPr>
      </w:pPr>
    </w:p>
    <w:p w14:paraId="7C0D6F00">
      <w:pPr>
        <w:jc w:val="both"/>
        <w:rPr>
          <w:rFonts w:ascii="Calibri" w:hAnsi="Calibri" w:eastAsia="黑体"/>
          <w:kern w:val="28"/>
          <w:sz w:val="28"/>
        </w:rPr>
      </w:pPr>
    </w:p>
    <w:p w14:paraId="7E7DCCF2">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6A34FB30">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7EAE1D6">
      <w:pPr>
        <w:jc w:val="center"/>
        <w:rPr>
          <w:rFonts w:cstheme="minorHAnsi"/>
          <w:b/>
        </w:rPr>
      </w:pPr>
      <w:r>
        <w:rPr>
          <w:rFonts w:cstheme="minorHAnsi"/>
          <w:b/>
        </w:rPr>
        <w:t>2</w:t>
      </w:r>
      <w:r>
        <w:rPr>
          <w:rFonts w:hint="eastAsia" w:cstheme="minorHAnsi"/>
          <w:b/>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9E19919">
      <w:pPr>
        <w:rPr>
          <w:rFonts w:asciiTheme="minorEastAsia" w:hAnsiTheme="minorEastAsia"/>
        </w:rPr>
      </w:pPr>
      <w:r>
        <w:rPr>
          <w:rFonts w:hint="eastAsia" w:asciiTheme="minorEastAsia" w:hAnsiTheme="minorEastAsia"/>
        </w:rPr>
        <w:t>1．整体服务方案</w:t>
      </w:r>
    </w:p>
    <w:p w14:paraId="2EBB0BD4">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．系统运维方案</w:t>
      </w:r>
    </w:p>
    <w:p w14:paraId="422021FC">
      <w:pPr>
        <w:rPr>
          <w:rFonts w:asciiTheme="minorEastAsia" w:hAnsiTheme="minorEastAsia"/>
        </w:rPr>
      </w:pPr>
    </w:p>
    <w:p w14:paraId="1EB5A55D">
      <w:pPr>
        <w:rPr>
          <w:rFonts w:asciiTheme="minorEastAsia" w:hAnsiTheme="minorEastAsia"/>
        </w:rPr>
      </w:pPr>
      <w:r>
        <w:rPr>
          <w:rFonts w:asciiTheme="minorEastAsia" w:hAnsiTheme="minorEastAsia"/>
        </w:rPr>
        <w:t>3. 安全、保密管理方案</w:t>
      </w:r>
    </w:p>
    <w:p w14:paraId="667C019D">
      <w:pPr>
        <w:rPr>
          <w:rFonts w:asciiTheme="minorEastAsia" w:hAnsiTheme="minorEastAsia"/>
        </w:rPr>
      </w:pPr>
    </w:p>
    <w:p w14:paraId="3E56DC98">
      <w:pPr>
        <w:rPr>
          <w:rFonts w:asciiTheme="minorEastAsia" w:hAnsiTheme="minorEastAsia"/>
        </w:rPr>
      </w:pPr>
      <w:r>
        <w:rPr>
          <w:rFonts w:hint="eastAsia" w:asciiTheme="minorEastAsia" w:hAnsiTheme="minorEastAsia"/>
        </w:rPr>
        <w:t>4</w:t>
      </w:r>
      <w:r>
        <w:rPr>
          <w:rFonts w:asciiTheme="minorEastAsia" w:hAnsiTheme="minorEastAsia"/>
        </w:rPr>
        <w:t>. 应急保障服务方案</w:t>
      </w:r>
    </w:p>
    <w:p w14:paraId="0EA80BC9">
      <w:pPr>
        <w:rPr>
          <w:rFonts w:asciiTheme="minorEastAsia" w:hAnsiTheme="minorEastAsia"/>
        </w:rPr>
      </w:pPr>
    </w:p>
    <w:p w14:paraId="5FD8D889">
      <w:pPr>
        <w:rPr>
          <w:rFonts w:asciiTheme="minorEastAsia" w:hAnsiTheme="minorEastAsia"/>
        </w:rPr>
      </w:pPr>
      <w:r>
        <w:rPr>
          <w:rFonts w:hint="eastAsia" w:asciiTheme="minorEastAsia" w:hAnsiTheme="minorEastAsia"/>
        </w:rPr>
        <w:t>5</w:t>
      </w:r>
      <w:r>
        <w:rPr>
          <w:rFonts w:asciiTheme="minorEastAsia" w:hAnsiTheme="minorEastAsia"/>
        </w:rPr>
        <w:t>. 数据管理与维护</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．项目经理</w:t>
      </w:r>
    </w:p>
    <w:p w14:paraId="31119CD0">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．项目团队</w:t>
      </w:r>
    </w:p>
    <w:p w14:paraId="0C2EF47B">
      <w:pPr>
        <w:rPr>
          <w:rFonts w:asciiTheme="minorEastAsia" w:hAnsiTheme="minorEastAsia" w:cstheme="minorHAnsi"/>
          <w:b/>
          <w:color w:val="000000"/>
          <w:kern w:val="24"/>
        </w:rPr>
      </w:pPr>
    </w:p>
    <w:p w14:paraId="3A9EA6E1">
      <w:pPr>
        <w:rPr>
          <w:rFonts w:asciiTheme="minorEastAsia" w:hAnsiTheme="minorEastAsia" w:cstheme="minorHAnsi"/>
          <w:b/>
          <w:color w:val="000000"/>
          <w:kern w:val="24"/>
        </w:rPr>
      </w:pPr>
      <w:r>
        <w:rPr>
          <w:rFonts w:hint="eastAsia" w:asciiTheme="minorEastAsia" w:hAnsiTheme="minorEastAsia" w:cstheme="minorHAnsi"/>
          <w:b/>
          <w:color w:val="000000"/>
          <w:kern w:val="24"/>
        </w:rPr>
        <w:t>3．企业能力</w:t>
      </w:r>
    </w:p>
    <w:p w14:paraId="652248E7">
      <w:pPr>
        <w:rPr>
          <w:rFonts w:asciiTheme="minorEastAsia" w:hAnsiTheme="minorEastAsia" w:cstheme="minorHAnsi"/>
          <w:b/>
          <w:color w:val="000000"/>
          <w:kern w:val="24"/>
        </w:rPr>
      </w:pPr>
    </w:p>
    <w:p w14:paraId="1C782DD1">
      <w:pPr>
        <w:rPr>
          <w:rFonts w:asciiTheme="minorEastAsia" w:hAnsiTheme="minorEastAsia" w:cstheme="minorHAnsi"/>
          <w:b/>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业绩</w:t>
      </w: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96E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ABD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BF4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DE1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2B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FF4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F9E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169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3A0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A31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E8E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7FC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33F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A1E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F39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EC1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6A4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EC5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934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008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西安市人民政府国有资产监督管理委员会</w:t>
    </w:r>
    <w:r>
      <w:rPr>
        <w:rFonts w:ascii="宋体" w:hAnsi="宋体" w:eastAsia="宋体"/>
      </w:rPr>
      <w:t>2025年西安智慧国资系统运维项目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西安市人民政府国有资产监督管理委员会</w:t>
    </w:r>
    <w:r>
      <w:rPr>
        <w:rFonts w:ascii="宋体" w:hAnsi="宋体" w:eastAsia="宋体"/>
      </w:rPr>
      <w:t>2025年西安智慧国资系统运维项目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西安市人民政府国有资产监督管理委员会</w:t>
    </w:r>
    <w:r>
      <w:rPr>
        <w:rFonts w:ascii="宋体" w:hAnsi="宋体" w:eastAsia="宋体"/>
      </w:rPr>
      <w:t>2025年西安智慧国资系统运维项目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578A"/>
    <w:multiLevelType w:val="multilevel"/>
    <w:tmpl w:val="3044578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59F4"/>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4B77"/>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0805"/>
    <w:rsid w:val="00084264"/>
    <w:rsid w:val="00084335"/>
    <w:rsid w:val="00084C5B"/>
    <w:rsid w:val="000857F2"/>
    <w:rsid w:val="00085999"/>
    <w:rsid w:val="00086611"/>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0F0E"/>
    <w:rsid w:val="000A159C"/>
    <w:rsid w:val="000A1B38"/>
    <w:rsid w:val="000A1F6A"/>
    <w:rsid w:val="000A2583"/>
    <w:rsid w:val="000A2B11"/>
    <w:rsid w:val="000A521E"/>
    <w:rsid w:val="000A7A6A"/>
    <w:rsid w:val="000B129A"/>
    <w:rsid w:val="000B2E68"/>
    <w:rsid w:val="000B4360"/>
    <w:rsid w:val="000B4751"/>
    <w:rsid w:val="000B539F"/>
    <w:rsid w:val="000B5741"/>
    <w:rsid w:val="000B5ACF"/>
    <w:rsid w:val="000B5DE5"/>
    <w:rsid w:val="000B6858"/>
    <w:rsid w:val="000B6A55"/>
    <w:rsid w:val="000B7806"/>
    <w:rsid w:val="000B7B93"/>
    <w:rsid w:val="000C048C"/>
    <w:rsid w:val="000C078B"/>
    <w:rsid w:val="000C21A4"/>
    <w:rsid w:val="000C22A9"/>
    <w:rsid w:val="000C3ADC"/>
    <w:rsid w:val="000C4C29"/>
    <w:rsid w:val="000C538D"/>
    <w:rsid w:val="000C59A5"/>
    <w:rsid w:val="000C774E"/>
    <w:rsid w:val="000D074C"/>
    <w:rsid w:val="000D0AF3"/>
    <w:rsid w:val="000D0DE1"/>
    <w:rsid w:val="000D1277"/>
    <w:rsid w:val="000D12BE"/>
    <w:rsid w:val="000D159C"/>
    <w:rsid w:val="000D4097"/>
    <w:rsid w:val="000D7EAE"/>
    <w:rsid w:val="000E00FF"/>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22E"/>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1705F"/>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6CCD"/>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2A23"/>
    <w:rsid w:val="001B49FD"/>
    <w:rsid w:val="001B5302"/>
    <w:rsid w:val="001B5B8B"/>
    <w:rsid w:val="001B6638"/>
    <w:rsid w:val="001C0A0A"/>
    <w:rsid w:val="001C0BA3"/>
    <w:rsid w:val="001C0BBD"/>
    <w:rsid w:val="001C25ED"/>
    <w:rsid w:val="001C4AFC"/>
    <w:rsid w:val="001C5987"/>
    <w:rsid w:val="001C5BE5"/>
    <w:rsid w:val="001C607B"/>
    <w:rsid w:val="001C6B1E"/>
    <w:rsid w:val="001C732E"/>
    <w:rsid w:val="001D1423"/>
    <w:rsid w:val="001D1BCB"/>
    <w:rsid w:val="001D22C0"/>
    <w:rsid w:val="001D2CE5"/>
    <w:rsid w:val="001D3803"/>
    <w:rsid w:val="001D4171"/>
    <w:rsid w:val="001D4442"/>
    <w:rsid w:val="001D576E"/>
    <w:rsid w:val="001D70BC"/>
    <w:rsid w:val="001D7B5D"/>
    <w:rsid w:val="001E0376"/>
    <w:rsid w:val="001E0C4B"/>
    <w:rsid w:val="001E16E0"/>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6CF0"/>
    <w:rsid w:val="001F7532"/>
    <w:rsid w:val="001F75D7"/>
    <w:rsid w:val="001F779A"/>
    <w:rsid w:val="001F7B5A"/>
    <w:rsid w:val="00200E55"/>
    <w:rsid w:val="00201376"/>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593"/>
    <w:rsid w:val="00221727"/>
    <w:rsid w:val="0022295D"/>
    <w:rsid w:val="00223AA8"/>
    <w:rsid w:val="00223E30"/>
    <w:rsid w:val="00223EFE"/>
    <w:rsid w:val="00224257"/>
    <w:rsid w:val="0022457B"/>
    <w:rsid w:val="00224D12"/>
    <w:rsid w:val="00226069"/>
    <w:rsid w:val="00226756"/>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28C"/>
    <w:rsid w:val="00266611"/>
    <w:rsid w:val="002669FC"/>
    <w:rsid w:val="0026748B"/>
    <w:rsid w:val="00267AE5"/>
    <w:rsid w:val="00267C8A"/>
    <w:rsid w:val="00267FDD"/>
    <w:rsid w:val="00271136"/>
    <w:rsid w:val="00271CEA"/>
    <w:rsid w:val="002720DE"/>
    <w:rsid w:val="00272146"/>
    <w:rsid w:val="002721CB"/>
    <w:rsid w:val="00272337"/>
    <w:rsid w:val="002724F0"/>
    <w:rsid w:val="00272E7E"/>
    <w:rsid w:val="00273219"/>
    <w:rsid w:val="002735B7"/>
    <w:rsid w:val="00273A93"/>
    <w:rsid w:val="00273F51"/>
    <w:rsid w:val="002742EA"/>
    <w:rsid w:val="0027449B"/>
    <w:rsid w:val="00274AFC"/>
    <w:rsid w:val="00275230"/>
    <w:rsid w:val="00275284"/>
    <w:rsid w:val="00275C8F"/>
    <w:rsid w:val="00276641"/>
    <w:rsid w:val="00276C8A"/>
    <w:rsid w:val="002771C6"/>
    <w:rsid w:val="0028033D"/>
    <w:rsid w:val="0028114A"/>
    <w:rsid w:val="0028152A"/>
    <w:rsid w:val="00282837"/>
    <w:rsid w:val="00282CF7"/>
    <w:rsid w:val="00283DD5"/>
    <w:rsid w:val="002848E9"/>
    <w:rsid w:val="00286093"/>
    <w:rsid w:val="00291777"/>
    <w:rsid w:val="00292519"/>
    <w:rsid w:val="0029384E"/>
    <w:rsid w:val="00294428"/>
    <w:rsid w:val="002961E2"/>
    <w:rsid w:val="00296372"/>
    <w:rsid w:val="002966F0"/>
    <w:rsid w:val="00296C23"/>
    <w:rsid w:val="0029717E"/>
    <w:rsid w:val="00297703"/>
    <w:rsid w:val="00297866"/>
    <w:rsid w:val="002A26D5"/>
    <w:rsid w:val="002A299D"/>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0239"/>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7D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355F"/>
    <w:rsid w:val="003245F8"/>
    <w:rsid w:val="00325D47"/>
    <w:rsid w:val="00325EF1"/>
    <w:rsid w:val="00326169"/>
    <w:rsid w:val="0032696A"/>
    <w:rsid w:val="00326F42"/>
    <w:rsid w:val="00327A6B"/>
    <w:rsid w:val="003302D2"/>
    <w:rsid w:val="00330BFE"/>
    <w:rsid w:val="00330EA4"/>
    <w:rsid w:val="0033167F"/>
    <w:rsid w:val="003316CD"/>
    <w:rsid w:val="00332A7C"/>
    <w:rsid w:val="00334247"/>
    <w:rsid w:val="003345B6"/>
    <w:rsid w:val="00335C58"/>
    <w:rsid w:val="00337CFC"/>
    <w:rsid w:val="0034052E"/>
    <w:rsid w:val="003406B1"/>
    <w:rsid w:val="00341F3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308"/>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407D"/>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2105"/>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67C39"/>
    <w:rsid w:val="0047010C"/>
    <w:rsid w:val="004719DE"/>
    <w:rsid w:val="00471E1E"/>
    <w:rsid w:val="0047278F"/>
    <w:rsid w:val="00473CE1"/>
    <w:rsid w:val="00474667"/>
    <w:rsid w:val="0047566E"/>
    <w:rsid w:val="0047590B"/>
    <w:rsid w:val="0047799A"/>
    <w:rsid w:val="0048120A"/>
    <w:rsid w:val="00482B46"/>
    <w:rsid w:val="00483328"/>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4DC7"/>
    <w:rsid w:val="004B532B"/>
    <w:rsid w:val="004B5992"/>
    <w:rsid w:val="004B6259"/>
    <w:rsid w:val="004B6DC3"/>
    <w:rsid w:val="004C0517"/>
    <w:rsid w:val="004C093C"/>
    <w:rsid w:val="004C0B7A"/>
    <w:rsid w:val="004C0CA0"/>
    <w:rsid w:val="004C0CC3"/>
    <w:rsid w:val="004C17D4"/>
    <w:rsid w:val="004C36C3"/>
    <w:rsid w:val="004C48B9"/>
    <w:rsid w:val="004C5B48"/>
    <w:rsid w:val="004C6493"/>
    <w:rsid w:val="004C7371"/>
    <w:rsid w:val="004D0E5E"/>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3B9B"/>
    <w:rsid w:val="0050431E"/>
    <w:rsid w:val="005053C1"/>
    <w:rsid w:val="00506ECC"/>
    <w:rsid w:val="00506F3F"/>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510"/>
    <w:rsid w:val="0054390D"/>
    <w:rsid w:val="00544037"/>
    <w:rsid w:val="00544FDF"/>
    <w:rsid w:val="0054537C"/>
    <w:rsid w:val="00545E64"/>
    <w:rsid w:val="00547AD0"/>
    <w:rsid w:val="0055098B"/>
    <w:rsid w:val="005509F0"/>
    <w:rsid w:val="00550B89"/>
    <w:rsid w:val="00551012"/>
    <w:rsid w:val="00551218"/>
    <w:rsid w:val="00551BCE"/>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B34"/>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2D20"/>
    <w:rsid w:val="005B314D"/>
    <w:rsid w:val="005B353B"/>
    <w:rsid w:val="005B3CE3"/>
    <w:rsid w:val="005B42C9"/>
    <w:rsid w:val="005B4718"/>
    <w:rsid w:val="005B4EBE"/>
    <w:rsid w:val="005B509D"/>
    <w:rsid w:val="005B51A3"/>
    <w:rsid w:val="005B547C"/>
    <w:rsid w:val="005B556C"/>
    <w:rsid w:val="005B65A5"/>
    <w:rsid w:val="005B67BE"/>
    <w:rsid w:val="005B6F3F"/>
    <w:rsid w:val="005B7116"/>
    <w:rsid w:val="005C03AE"/>
    <w:rsid w:val="005C1784"/>
    <w:rsid w:val="005C1795"/>
    <w:rsid w:val="005C2884"/>
    <w:rsid w:val="005C381B"/>
    <w:rsid w:val="005C3D94"/>
    <w:rsid w:val="005C50A4"/>
    <w:rsid w:val="005C50D1"/>
    <w:rsid w:val="005C6C4F"/>
    <w:rsid w:val="005D000E"/>
    <w:rsid w:val="005D035F"/>
    <w:rsid w:val="005D24EB"/>
    <w:rsid w:val="005D2A79"/>
    <w:rsid w:val="005D394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E7E64"/>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B7F"/>
    <w:rsid w:val="00616D0D"/>
    <w:rsid w:val="00617595"/>
    <w:rsid w:val="0061777B"/>
    <w:rsid w:val="00621440"/>
    <w:rsid w:val="00622129"/>
    <w:rsid w:val="00623A3D"/>
    <w:rsid w:val="00624066"/>
    <w:rsid w:val="0062454A"/>
    <w:rsid w:val="00624620"/>
    <w:rsid w:val="006247E0"/>
    <w:rsid w:val="00624946"/>
    <w:rsid w:val="00625173"/>
    <w:rsid w:val="00630CCB"/>
    <w:rsid w:val="00631E71"/>
    <w:rsid w:val="00632B6A"/>
    <w:rsid w:val="0063350A"/>
    <w:rsid w:val="006340A0"/>
    <w:rsid w:val="00634FB6"/>
    <w:rsid w:val="0063581A"/>
    <w:rsid w:val="006366EC"/>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BAA"/>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621"/>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703"/>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044A"/>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36611"/>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3EE5"/>
    <w:rsid w:val="007A4657"/>
    <w:rsid w:val="007A494D"/>
    <w:rsid w:val="007A5B38"/>
    <w:rsid w:val="007A5FCD"/>
    <w:rsid w:val="007A6F8A"/>
    <w:rsid w:val="007A77C7"/>
    <w:rsid w:val="007A7AAB"/>
    <w:rsid w:val="007A7AC5"/>
    <w:rsid w:val="007B0FCA"/>
    <w:rsid w:val="007B1707"/>
    <w:rsid w:val="007B177B"/>
    <w:rsid w:val="007B1F48"/>
    <w:rsid w:val="007B2234"/>
    <w:rsid w:val="007B29C8"/>
    <w:rsid w:val="007B3AF9"/>
    <w:rsid w:val="007B4190"/>
    <w:rsid w:val="007B5A22"/>
    <w:rsid w:val="007B644F"/>
    <w:rsid w:val="007B7795"/>
    <w:rsid w:val="007C05E3"/>
    <w:rsid w:val="007C05FF"/>
    <w:rsid w:val="007C11F3"/>
    <w:rsid w:val="007C1E2E"/>
    <w:rsid w:val="007C2A5B"/>
    <w:rsid w:val="007C2F2F"/>
    <w:rsid w:val="007C32E6"/>
    <w:rsid w:val="007C3BD4"/>
    <w:rsid w:val="007C4071"/>
    <w:rsid w:val="007C50B3"/>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3C82"/>
    <w:rsid w:val="007F4564"/>
    <w:rsid w:val="007F5493"/>
    <w:rsid w:val="007F575C"/>
    <w:rsid w:val="007F5B53"/>
    <w:rsid w:val="007F60D5"/>
    <w:rsid w:val="007F61C8"/>
    <w:rsid w:val="007F6DC7"/>
    <w:rsid w:val="0080075E"/>
    <w:rsid w:val="00802948"/>
    <w:rsid w:val="00802AAC"/>
    <w:rsid w:val="0080324C"/>
    <w:rsid w:val="00803BA5"/>
    <w:rsid w:val="008041CC"/>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5F58"/>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3C9"/>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85A"/>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0B6E"/>
    <w:rsid w:val="008A16A5"/>
    <w:rsid w:val="008A2458"/>
    <w:rsid w:val="008A2482"/>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32BD"/>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0D5"/>
    <w:rsid w:val="008F0A84"/>
    <w:rsid w:val="008F0CC3"/>
    <w:rsid w:val="008F175B"/>
    <w:rsid w:val="008F44C7"/>
    <w:rsid w:val="008F46A2"/>
    <w:rsid w:val="008F5035"/>
    <w:rsid w:val="008F5056"/>
    <w:rsid w:val="008F5A80"/>
    <w:rsid w:val="008F5CC0"/>
    <w:rsid w:val="008F6954"/>
    <w:rsid w:val="008F721D"/>
    <w:rsid w:val="008F7E0B"/>
    <w:rsid w:val="00900C2F"/>
    <w:rsid w:val="0090168B"/>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1CBF"/>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74D"/>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370"/>
    <w:rsid w:val="009A1519"/>
    <w:rsid w:val="009A1801"/>
    <w:rsid w:val="009A1A57"/>
    <w:rsid w:val="009A1C33"/>
    <w:rsid w:val="009A2439"/>
    <w:rsid w:val="009A2BFF"/>
    <w:rsid w:val="009A5BD6"/>
    <w:rsid w:val="009A64BA"/>
    <w:rsid w:val="009A6D30"/>
    <w:rsid w:val="009A7843"/>
    <w:rsid w:val="009A7CBC"/>
    <w:rsid w:val="009B039A"/>
    <w:rsid w:val="009B1365"/>
    <w:rsid w:val="009B206F"/>
    <w:rsid w:val="009B2999"/>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03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1BF"/>
    <w:rsid w:val="00A562E3"/>
    <w:rsid w:val="00A56859"/>
    <w:rsid w:val="00A568FF"/>
    <w:rsid w:val="00A569D3"/>
    <w:rsid w:val="00A5706D"/>
    <w:rsid w:val="00A6062B"/>
    <w:rsid w:val="00A60A9E"/>
    <w:rsid w:val="00A60DAF"/>
    <w:rsid w:val="00A60E41"/>
    <w:rsid w:val="00A61259"/>
    <w:rsid w:val="00A62089"/>
    <w:rsid w:val="00A63264"/>
    <w:rsid w:val="00A64500"/>
    <w:rsid w:val="00A64BA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4CD7"/>
    <w:rsid w:val="00A86383"/>
    <w:rsid w:val="00A86960"/>
    <w:rsid w:val="00A869B7"/>
    <w:rsid w:val="00A86B01"/>
    <w:rsid w:val="00A87B06"/>
    <w:rsid w:val="00A91267"/>
    <w:rsid w:val="00A91A54"/>
    <w:rsid w:val="00A91B7E"/>
    <w:rsid w:val="00A94247"/>
    <w:rsid w:val="00A96F13"/>
    <w:rsid w:val="00A97427"/>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805"/>
    <w:rsid w:val="00AD4D41"/>
    <w:rsid w:val="00AD4DD2"/>
    <w:rsid w:val="00AD4EF1"/>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09E0"/>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5F84"/>
    <w:rsid w:val="00B6622F"/>
    <w:rsid w:val="00B6752F"/>
    <w:rsid w:val="00B67926"/>
    <w:rsid w:val="00B679FA"/>
    <w:rsid w:val="00B71DDB"/>
    <w:rsid w:val="00B72B4C"/>
    <w:rsid w:val="00B74539"/>
    <w:rsid w:val="00B74829"/>
    <w:rsid w:val="00B74D87"/>
    <w:rsid w:val="00B75DE1"/>
    <w:rsid w:val="00B76EAC"/>
    <w:rsid w:val="00B77C0A"/>
    <w:rsid w:val="00B80558"/>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0A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8E2"/>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E7D16"/>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CE8"/>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DB7"/>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3D7E"/>
    <w:rsid w:val="00C6464D"/>
    <w:rsid w:val="00C64FE6"/>
    <w:rsid w:val="00C667D5"/>
    <w:rsid w:val="00C67A39"/>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4E9F"/>
    <w:rsid w:val="00CA5311"/>
    <w:rsid w:val="00CA597B"/>
    <w:rsid w:val="00CA6D97"/>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1"/>
    <w:rsid w:val="00CF2A1F"/>
    <w:rsid w:val="00CF3031"/>
    <w:rsid w:val="00CF363A"/>
    <w:rsid w:val="00CF4EA8"/>
    <w:rsid w:val="00CF50D5"/>
    <w:rsid w:val="00CF5C9B"/>
    <w:rsid w:val="00CF5CAA"/>
    <w:rsid w:val="00CF6662"/>
    <w:rsid w:val="00D01058"/>
    <w:rsid w:val="00D01136"/>
    <w:rsid w:val="00D015AF"/>
    <w:rsid w:val="00D02DEF"/>
    <w:rsid w:val="00D03474"/>
    <w:rsid w:val="00D03476"/>
    <w:rsid w:val="00D03C0F"/>
    <w:rsid w:val="00D04372"/>
    <w:rsid w:val="00D04C9A"/>
    <w:rsid w:val="00D04FB0"/>
    <w:rsid w:val="00D04FD4"/>
    <w:rsid w:val="00D06998"/>
    <w:rsid w:val="00D06B71"/>
    <w:rsid w:val="00D06DC1"/>
    <w:rsid w:val="00D07687"/>
    <w:rsid w:val="00D07A70"/>
    <w:rsid w:val="00D105D9"/>
    <w:rsid w:val="00D10945"/>
    <w:rsid w:val="00D11197"/>
    <w:rsid w:val="00D11FB0"/>
    <w:rsid w:val="00D129B0"/>
    <w:rsid w:val="00D1422B"/>
    <w:rsid w:val="00D174DA"/>
    <w:rsid w:val="00D1750D"/>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B02"/>
    <w:rsid w:val="00D84D41"/>
    <w:rsid w:val="00D85201"/>
    <w:rsid w:val="00D85867"/>
    <w:rsid w:val="00D8610F"/>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52D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1293"/>
    <w:rsid w:val="00E631D5"/>
    <w:rsid w:val="00E637C3"/>
    <w:rsid w:val="00E63BD1"/>
    <w:rsid w:val="00E6435C"/>
    <w:rsid w:val="00E6467D"/>
    <w:rsid w:val="00E6495A"/>
    <w:rsid w:val="00E65AC4"/>
    <w:rsid w:val="00E66BCF"/>
    <w:rsid w:val="00E675EB"/>
    <w:rsid w:val="00E70D30"/>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1FC1"/>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612F"/>
    <w:rsid w:val="00EB7672"/>
    <w:rsid w:val="00EB7A4C"/>
    <w:rsid w:val="00EC0DD8"/>
    <w:rsid w:val="00EC1093"/>
    <w:rsid w:val="00EC10E7"/>
    <w:rsid w:val="00EC1729"/>
    <w:rsid w:val="00EC2A66"/>
    <w:rsid w:val="00EC3672"/>
    <w:rsid w:val="00EC44FF"/>
    <w:rsid w:val="00EC53C5"/>
    <w:rsid w:val="00ED0960"/>
    <w:rsid w:val="00ED096C"/>
    <w:rsid w:val="00ED3632"/>
    <w:rsid w:val="00ED3782"/>
    <w:rsid w:val="00ED56C1"/>
    <w:rsid w:val="00ED6961"/>
    <w:rsid w:val="00ED7CED"/>
    <w:rsid w:val="00ED7D80"/>
    <w:rsid w:val="00EE08BA"/>
    <w:rsid w:val="00EE0E79"/>
    <w:rsid w:val="00EE1F49"/>
    <w:rsid w:val="00EE1F87"/>
    <w:rsid w:val="00EE361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A7E"/>
    <w:rsid w:val="00EF7D7F"/>
    <w:rsid w:val="00F01751"/>
    <w:rsid w:val="00F01DD8"/>
    <w:rsid w:val="00F02CF2"/>
    <w:rsid w:val="00F02FDE"/>
    <w:rsid w:val="00F0385A"/>
    <w:rsid w:val="00F04ADF"/>
    <w:rsid w:val="00F078C6"/>
    <w:rsid w:val="00F1070F"/>
    <w:rsid w:val="00F1280C"/>
    <w:rsid w:val="00F13901"/>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52A"/>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4DE5"/>
    <w:rsid w:val="00FE7494"/>
    <w:rsid w:val="00FF025A"/>
    <w:rsid w:val="00FF2486"/>
    <w:rsid w:val="00FF2C7E"/>
    <w:rsid w:val="00FF2E19"/>
    <w:rsid w:val="00FF3A71"/>
    <w:rsid w:val="00FF568F"/>
    <w:rsid w:val="00FF7091"/>
    <w:rsid w:val="00FF756F"/>
    <w:rsid w:val="3F90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126A-2CD3-4E73-AD2A-3F0756FA6319}">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34</Pages>
  <Words>1947</Words>
  <Characters>2191</Characters>
  <Lines>950</Lines>
  <Paragraphs>1046</Paragraphs>
  <TotalTime>1661</TotalTime>
  <ScaleCrop>false</ScaleCrop>
  <LinksUpToDate>false</LinksUpToDate>
  <CharactersWithSpaces>2212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常巧利</cp:lastModifiedBy>
  <cp:lastPrinted>2025-11-03T03:05:00Z</cp:lastPrinted>
  <dcterms:modified xsi:type="dcterms:W3CDTF">2025-11-21T09:16:38Z</dcterms:modified>
  <cp:revision>690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3B84FB80FC8542F3960A6B26121FBEA5_13</vt:lpwstr>
  </property>
</Properties>
</file>