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7125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采购需求</w:t>
      </w:r>
    </w:p>
    <w:p w14:paraId="782A62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工程概况</w:t>
      </w:r>
    </w:p>
    <w:p w14:paraId="77A4AB4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1、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工程名称：陕西铜川工业技师学院（局一中校区）建筑外墙改造工程。</w:t>
      </w:r>
    </w:p>
    <w:p w14:paraId="463108A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 建设地点：陕西铜川工业技师学院（局一中校区）。</w:t>
      </w:r>
    </w:p>
    <w:p w14:paraId="0D5B0FF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3、工程内容主要包括：陕西铜川工业技师学院（局一中校区）建筑外墙刷真石漆，部分外墙做50厚岩棉保温，更换断桥铝合金窗及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屋面排水管，新做挡烟垂壁、肯德基门等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27D2D6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二、编制依据</w:t>
      </w:r>
    </w:p>
    <w:p w14:paraId="241F556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1、采用现行的标准图集、规范、工艺标准、材料做法；</w:t>
      </w:r>
    </w:p>
    <w:p w14:paraId="061CF12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2、执行《陕西省建设工程工程量清单计价计算标准》(2025)；</w:t>
      </w:r>
    </w:p>
    <w:p w14:paraId="06A0AC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3、执行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《房屋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建筑与装饰工程消耗量定额》（2025）；</w:t>
      </w:r>
    </w:p>
    <w:p w14:paraId="68FC845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4、执行《陕西省房屋建筑与装饰工程基价表》（2025）；</w:t>
      </w:r>
    </w:p>
    <w:p w14:paraId="6158FC9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5、人工费、税金按照陕建管发（2025）10号《陕西省住房城乡建设厅关于印发2025陕西建设工程费用规则等计价依据的通知》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执行；</w:t>
      </w:r>
    </w:p>
    <w:p w14:paraId="125C42F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6、材料单价参考《铜川工程造价信息》2025年第4期除税信息价及同期市场价；</w:t>
      </w:r>
    </w:p>
    <w:p w14:paraId="5E8673E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、工程量清单计价软件使用“广联达云计价平台GCCP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7.0  7.2.23.392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”；</w:t>
      </w:r>
    </w:p>
    <w:p w14:paraId="469499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8、本造价含养老统筹。</w:t>
      </w:r>
    </w:p>
    <w:p w14:paraId="75DD5E9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三、最高限价</w:t>
      </w:r>
    </w:p>
    <w:p w14:paraId="37CDF30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小写：4523414.98元（大写：肆佰伍拾贰万叁仟肆佰壹拾肆元玖角捌分）</w:t>
      </w:r>
    </w:p>
    <w:p w14:paraId="051B6C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、工程量清单及图纸</w:t>
      </w:r>
    </w:p>
    <w:p w14:paraId="4B8E43B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工程量清单：另册提供。</w:t>
      </w:r>
    </w:p>
    <w:p w14:paraId="1049A37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设计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图纸：另册提供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55971C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部分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材料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及施工要求。（此部分与设计图纸不一致时，以高标准执行）。</w:t>
      </w:r>
    </w:p>
    <w:p w14:paraId="7371ABB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、工期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90天。</w:t>
      </w:r>
    </w:p>
    <w:p w14:paraId="1CD8EB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、质保期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项目验收合格后三年</w:t>
      </w:r>
    </w:p>
    <w:p w14:paraId="08E6A53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、质量要求：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合格（达到国家强制性合格标准）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并达到采购人采购需求。</w:t>
      </w:r>
    </w:p>
    <w:p w14:paraId="3FFE91D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、付款方式：</w:t>
      </w:r>
    </w:p>
    <w:p w14:paraId="00729C3A"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合同签订生效开工后支付合同总金额的30%，完工且初步验收后支付合同总金额的40%,工程决算审计后根据最终结算金额支付剩余款项，并扣除3%质保金。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311DA"/>
    <w:rsid w:val="5DF3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2025-11-24T07:51:00Z</dcterms:created>
  <dc:creator>德仁招标</dc:creator>
  <cp:lastModifiedBy>德仁招标</cp:lastModifiedBy>
  <dcterms:modified xsi:type="dcterms:W3CDTF">2025-11-24T07:52:13Z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98BD5DF180CF4898B5C69DC8C9A169CE_11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