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76F" w:rsidRPr="00E25539" w:rsidRDefault="004813D7">
      <w:pPr>
        <w:spacing w:line="360" w:lineRule="auto"/>
        <w:ind w:right="284"/>
        <w:jc w:val="center"/>
        <w:outlineLvl w:val="0"/>
        <w:rPr>
          <w:rFonts w:ascii="宋体" w:hAnsi="宋体"/>
          <w:b/>
          <w:sz w:val="28"/>
          <w:szCs w:val="28"/>
        </w:rPr>
      </w:pPr>
      <w:r w:rsidRPr="00E25539">
        <w:rPr>
          <w:rFonts w:ascii="宋体" w:hAnsi="宋体" w:hint="eastAsia"/>
          <w:b/>
          <w:sz w:val="28"/>
          <w:szCs w:val="28"/>
        </w:rPr>
        <w:t>工程量清单说明</w:t>
      </w:r>
    </w:p>
    <w:p w:rsidR="0051376F" w:rsidRPr="00E25539" w:rsidRDefault="004813D7">
      <w:pPr>
        <w:spacing w:line="360" w:lineRule="auto"/>
        <w:ind w:right="284"/>
        <w:jc w:val="left"/>
        <w:outlineLvl w:val="0"/>
        <w:rPr>
          <w:rFonts w:ascii="宋体" w:hAnsi="宋体"/>
          <w:b/>
          <w:sz w:val="28"/>
          <w:szCs w:val="28"/>
        </w:rPr>
      </w:pPr>
      <w:r w:rsidRPr="00E25539">
        <w:rPr>
          <w:rFonts w:ascii="宋体" w:hAnsi="宋体" w:hint="eastAsia"/>
          <w:b/>
          <w:sz w:val="28"/>
          <w:szCs w:val="28"/>
        </w:rPr>
        <w:t>一、工程概况</w:t>
      </w:r>
    </w:p>
    <w:p w:rsidR="00E25539" w:rsidRPr="00E25539" w:rsidRDefault="00E25539" w:rsidP="00E25539">
      <w:pPr>
        <w:spacing w:line="360" w:lineRule="auto"/>
        <w:ind w:firstLineChars="200" w:firstLine="560"/>
        <w:rPr>
          <w:rFonts w:ascii="宋体" w:hAnsi="宋体" w:cs="宋体"/>
          <w:bCs/>
          <w:sz w:val="28"/>
          <w:szCs w:val="28"/>
        </w:rPr>
      </w:pPr>
      <w:r w:rsidRPr="00E25539">
        <w:rPr>
          <w:rFonts w:asciiTheme="minorEastAsia" w:eastAsiaTheme="minorEastAsia" w:hAnsiTheme="minorEastAsia" w:cs="宋体" w:hint="eastAsia"/>
          <w:bCs/>
          <w:sz w:val="28"/>
          <w:szCs w:val="28"/>
        </w:rPr>
        <w:t>富平县2025年度黄河流域山水林田湖草沙生态保护示范工程。</w:t>
      </w:r>
      <w:r w:rsidRPr="00E25539">
        <w:rPr>
          <w:rFonts w:ascii="宋体" w:hAnsi="宋体" w:cs="宋体" w:hint="eastAsia"/>
          <w:bCs/>
          <w:sz w:val="28"/>
          <w:szCs w:val="28"/>
        </w:rPr>
        <w:t>富平县2025年度黄河流域山水林田湖草沙生态保护示范工程主要位于富平县庄里镇，局部位于宫里镇、梅家坪镇、齐村镇和曹村镇，包含庄里镇北山区废弃矿山生态修复项目、庄里镇北山区低效防护林提升改造项目和庄里镇北山区水土流失治理项目。下发总绩效面积607.85hm2，其中历史遗留矿山生态修复面积5.85hm2、防护林提升改造面积214.0hm2、水土流失治理面积388.00hm2；工程实施区域设计面积613.07hm2，其中历史遗留矿山生态修复面积6.13hm2、防护林提升改造面积216.21hm2、水土流失治理面积390.73hm2。</w:t>
      </w:r>
    </w:p>
    <w:p w:rsidR="00E25539" w:rsidRPr="00E25539" w:rsidRDefault="00E25539" w:rsidP="00E25539">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庄里镇北山区废弃矿山生态修复项目主要建设内容包括：危岩清理、土地平整、覆土、植树绿化、格宾笼挡墙，排水渠、碎石土路等。庄里镇北山区低效防护林提升改造项目主要建设内容包括：鱼鳞坑植树，苗木种类有侧柏、油松、山桃、山杏、连翘、紫穗槐。庄里镇北山区水土流失治理项目主要建设内容包括：鱼鳞坑植树，苗木种类有侧柏、杂交构树、紫穗槐、柠条；穴植花椒树（大红袍）；场地整理（垃圾清理外运、石渣清理、危土体清理、石灰窑回填等）；保土耕作（培肥、田埂、挡水坎）、谷坊和排水沟等</w:t>
      </w:r>
      <w:r w:rsidRPr="00E25539">
        <w:rPr>
          <w:rFonts w:ascii="宋体" w:hAnsi="宋体" w:cs="宋体"/>
          <w:bCs/>
          <w:sz w:val="28"/>
          <w:szCs w:val="28"/>
        </w:rPr>
        <w:t>。</w:t>
      </w:r>
      <w:r w:rsidRPr="00E25539">
        <w:rPr>
          <w:rFonts w:asciiTheme="minorEastAsia" w:eastAsiaTheme="minorEastAsia" w:hAnsiTheme="minorEastAsia" w:cs="宋体"/>
          <w:bCs/>
          <w:sz w:val="28"/>
          <w:szCs w:val="28"/>
        </w:rPr>
        <w:t>本项目共分为</w:t>
      </w:r>
      <w:r w:rsidRPr="00E25539">
        <w:rPr>
          <w:rFonts w:asciiTheme="minorEastAsia" w:eastAsiaTheme="minorEastAsia" w:hAnsiTheme="minorEastAsia" w:cs="宋体" w:hint="eastAsia"/>
          <w:bCs/>
          <w:sz w:val="28"/>
          <w:szCs w:val="28"/>
        </w:rPr>
        <w:t>四</w:t>
      </w:r>
      <w:r w:rsidRPr="00E25539">
        <w:rPr>
          <w:rFonts w:asciiTheme="minorEastAsia" w:eastAsiaTheme="minorEastAsia" w:hAnsiTheme="minorEastAsia" w:cs="宋体"/>
          <w:bCs/>
          <w:sz w:val="28"/>
          <w:szCs w:val="28"/>
        </w:rPr>
        <w:t>个施工标项</w:t>
      </w:r>
    </w:p>
    <w:p w:rsidR="00E25539" w:rsidRPr="00E25539" w:rsidRDefault="00E25539" w:rsidP="00E25539">
      <w:pPr>
        <w:spacing w:line="360" w:lineRule="auto"/>
        <w:ind w:firstLineChars="200" w:firstLine="560"/>
        <w:rPr>
          <w:rFonts w:asciiTheme="minorEastAsia" w:eastAsiaTheme="minorEastAsia" w:hAnsiTheme="minorEastAsia" w:cs="宋体"/>
          <w:bCs/>
          <w:sz w:val="28"/>
          <w:szCs w:val="28"/>
        </w:rPr>
      </w:pPr>
      <w:r w:rsidRPr="00E25539">
        <w:rPr>
          <w:rFonts w:ascii="宋体" w:hAnsi="宋体" w:cs="宋体" w:hint="eastAsia"/>
          <w:bCs/>
          <w:sz w:val="28"/>
          <w:szCs w:val="28"/>
        </w:rPr>
        <w:t>庄里镇北山区废弃矿山生态修复项目一标段：主要建设内容为</w:t>
      </w:r>
      <w:r w:rsidRPr="00E25539">
        <w:rPr>
          <w:rFonts w:ascii="宋体" w:hAnsi="宋体" w:cs="宋体"/>
          <w:bCs/>
          <w:sz w:val="28"/>
          <w:szCs w:val="28"/>
        </w:rPr>
        <w:t>生态修复项目及防护林提升改造；</w:t>
      </w:r>
    </w:p>
    <w:p w:rsidR="00E25539" w:rsidRPr="00E25539" w:rsidRDefault="00E25539" w:rsidP="00E25539">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lastRenderedPageBreak/>
        <w:t>庄里镇北山区生态防护林提升改造项目二标段：主要建设内容为防护林提升改造；</w:t>
      </w:r>
    </w:p>
    <w:p w:rsidR="00E25539" w:rsidRPr="00E25539" w:rsidRDefault="00E25539" w:rsidP="00E25539">
      <w:pPr>
        <w:spacing w:line="360" w:lineRule="auto"/>
        <w:ind w:firstLineChars="200" w:firstLine="560"/>
        <w:rPr>
          <w:rFonts w:asciiTheme="minorEastAsia" w:eastAsiaTheme="minorEastAsia" w:hAnsiTheme="minorEastAsia" w:cs="宋体"/>
          <w:bCs/>
          <w:sz w:val="28"/>
          <w:szCs w:val="28"/>
        </w:rPr>
      </w:pPr>
      <w:r w:rsidRPr="00E25539">
        <w:rPr>
          <w:rFonts w:ascii="宋体" w:hAnsi="宋体" w:cs="宋体" w:hint="eastAsia"/>
          <w:bCs/>
          <w:sz w:val="28"/>
          <w:szCs w:val="28"/>
        </w:rPr>
        <w:t>庄里镇北山区水土流失治理项目三标段：主要建设内容为：</w:t>
      </w:r>
      <w:r w:rsidRPr="00E25539">
        <w:rPr>
          <w:rFonts w:ascii="宋体" w:hAnsi="宋体" w:cs="宋体"/>
          <w:bCs/>
          <w:sz w:val="28"/>
          <w:szCs w:val="28"/>
        </w:rPr>
        <w:t>水土流失治理，</w:t>
      </w:r>
      <w:r w:rsidRPr="00E25539">
        <w:rPr>
          <w:rFonts w:ascii="宋体" w:hAnsi="宋体" w:cs="宋体" w:hint="eastAsia"/>
          <w:bCs/>
          <w:sz w:val="28"/>
          <w:szCs w:val="28"/>
        </w:rPr>
        <w:t>水土流失1区和3</w:t>
      </w:r>
      <w:r w:rsidRPr="00E25539">
        <w:rPr>
          <w:rFonts w:asciiTheme="minorEastAsia" w:eastAsiaTheme="minorEastAsia" w:hAnsiTheme="minorEastAsia" w:cs="宋体" w:hint="eastAsia"/>
          <w:bCs/>
          <w:sz w:val="28"/>
          <w:szCs w:val="28"/>
        </w:rPr>
        <w:t>区上游；</w:t>
      </w:r>
    </w:p>
    <w:p w:rsidR="00E25539" w:rsidRPr="00E25539" w:rsidRDefault="00E25539" w:rsidP="00E25539">
      <w:pPr>
        <w:spacing w:line="360" w:lineRule="auto"/>
        <w:ind w:firstLineChars="200" w:firstLine="560"/>
        <w:rPr>
          <w:rFonts w:asciiTheme="minorEastAsia" w:eastAsiaTheme="minorEastAsia" w:hAnsiTheme="minorEastAsia" w:cs="宋体"/>
          <w:bCs/>
          <w:sz w:val="28"/>
          <w:szCs w:val="28"/>
        </w:rPr>
      </w:pPr>
      <w:r w:rsidRPr="00E25539">
        <w:rPr>
          <w:rFonts w:ascii="宋体" w:hAnsi="宋体" w:cs="宋体" w:hint="eastAsia"/>
          <w:bCs/>
          <w:sz w:val="28"/>
          <w:szCs w:val="28"/>
        </w:rPr>
        <w:t>庄里镇北山区水土流失治理项目四标段：主要建设内容为：</w:t>
      </w:r>
      <w:r w:rsidRPr="00E25539">
        <w:rPr>
          <w:rFonts w:ascii="宋体" w:hAnsi="宋体" w:cs="宋体"/>
          <w:bCs/>
          <w:sz w:val="28"/>
          <w:szCs w:val="28"/>
        </w:rPr>
        <w:t>水土流失治理，</w:t>
      </w:r>
      <w:r w:rsidRPr="00E25539">
        <w:rPr>
          <w:rFonts w:asciiTheme="minorEastAsia" w:eastAsiaTheme="minorEastAsia" w:hAnsiTheme="minorEastAsia" w:cs="宋体" w:hint="eastAsia"/>
          <w:bCs/>
          <w:sz w:val="28"/>
          <w:szCs w:val="28"/>
        </w:rPr>
        <w:t>水土流失2区和3区下游；</w:t>
      </w:r>
    </w:p>
    <w:p w:rsidR="0051376F" w:rsidRPr="00E25539" w:rsidRDefault="004813D7">
      <w:pPr>
        <w:spacing w:line="360" w:lineRule="auto"/>
        <w:rPr>
          <w:rFonts w:ascii="宋体" w:hAnsi="宋体"/>
          <w:b/>
          <w:sz w:val="28"/>
          <w:szCs w:val="28"/>
        </w:rPr>
      </w:pPr>
      <w:r w:rsidRPr="00E25539">
        <w:rPr>
          <w:rFonts w:ascii="宋体" w:hAnsi="宋体" w:hint="eastAsia"/>
          <w:b/>
          <w:sz w:val="28"/>
          <w:szCs w:val="28"/>
        </w:rPr>
        <w:t>二、工程清单说明</w:t>
      </w:r>
    </w:p>
    <w:p w:rsidR="0051376F" w:rsidRPr="00E25539" w:rsidRDefault="004813D7" w:rsidP="00F73EF5">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1、工程量清单应与招标文件中的投标人须知、通用合同条款、专用合同条款、技术标准和要求（合同技术条款）、图纸等一起阅读和理解；</w:t>
      </w:r>
    </w:p>
    <w:p w:rsidR="0051376F" w:rsidRPr="00E25539" w:rsidRDefault="004813D7" w:rsidP="00F73EF5">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2、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rsidR="0051376F" w:rsidRPr="00E25539" w:rsidRDefault="004813D7" w:rsidP="00F73EF5">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3、工程量清单中各项目的工作内容和要求应符合相关技术标准和要求（合同技术条款）的规定；</w:t>
      </w:r>
      <w:bookmarkStart w:id="0" w:name="_GoBack"/>
      <w:bookmarkEnd w:id="0"/>
    </w:p>
    <w:p w:rsidR="0051376F" w:rsidRPr="00E25539" w:rsidRDefault="004813D7" w:rsidP="00F73EF5">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4</w:t>
      </w:r>
      <w:r w:rsidR="00E25539">
        <w:rPr>
          <w:rFonts w:ascii="宋体" w:hAnsi="宋体" w:cs="宋体" w:hint="eastAsia"/>
          <w:bCs/>
          <w:sz w:val="28"/>
          <w:szCs w:val="28"/>
        </w:rPr>
        <w:t>、施工</w:t>
      </w:r>
      <w:r w:rsidR="00DA00B3">
        <w:rPr>
          <w:rFonts w:ascii="宋体" w:hAnsi="宋体" w:cs="宋体" w:hint="eastAsia"/>
          <w:bCs/>
          <w:sz w:val="28"/>
          <w:szCs w:val="28"/>
        </w:rPr>
        <w:t>其他</w:t>
      </w:r>
      <w:r w:rsidR="00E25539">
        <w:rPr>
          <w:rFonts w:ascii="宋体" w:hAnsi="宋体" w:cs="宋体" w:hint="eastAsia"/>
          <w:bCs/>
          <w:sz w:val="28"/>
          <w:szCs w:val="28"/>
        </w:rPr>
        <w:t>临时工程费包括所有可能发生的</w:t>
      </w:r>
      <w:r w:rsidR="00DA00B3">
        <w:rPr>
          <w:rFonts w:ascii="宋体" w:hAnsi="宋体" w:cs="宋体" w:hint="eastAsia"/>
          <w:bCs/>
          <w:sz w:val="28"/>
          <w:szCs w:val="28"/>
        </w:rPr>
        <w:t>所有</w:t>
      </w:r>
      <w:r w:rsidR="00E25539">
        <w:rPr>
          <w:rFonts w:ascii="宋体" w:hAnsi="宋体" w:cs="宋体" w:hint="eastAsia"/>
          <w:bCs/>
          <w:sz w:val="28"/>
          <w:szCs w:val="28"/>
        </w:rPr>
        <w:t>临时工程</w:t>
      </w:r>
      <w:r w:rsidR="00DA00B3">
        <w:rPr>
          <w:rFonts w:ascii="宋体" w:hAnsi="宋体" w:cs="宋体" w:hint="eastAsia"/>
          <w:bCs/>
          <w:sz w:val="28"/>
          <w:szCs w:val="28"/>
        </w:rPr>
        <w:t>，未计入的临时工程均包含在单价中，不另行支付</w:t>
      </w:r>
      <w:r w:rsidRPr="00E25539">
        <w:rPr>
          <w:rFonts w:ascii="宋体" w:hAnsi="宋体" w:cs="宋体" w:hint="eastAsia"/>
          <w:bCs/>
          <w:sz w:val="28"/>
          <w:szCs w:val="28"/>
        </w:rPr>
        <w:t>；</w:t>
      </w:r>
    </w:p>
    <w:p w:rsidR="0051376F" w:rsidRPr="00E25539" w:rsidRDefault="004813D7" w:rsidP="00F73EF5">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5、工程量清单按照水利工程工程量清单规范GB50501-2007；</w:t>
      </w:r>
    </w:p>
    <w:p w:rsidR="0051376F" w:rsidRPr="00E25539" w:rsidRDefault="004813D7" w:rsidP="00F73EF5">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6、</w:t>
      </w:r>
      <w:r w:rsidR="00E25539" w:rsidRPr="00E25539">
        <w:rPr>
          <w:rFonts w:asciiTheme="minorEastAsia" w:eastAsiaTheme="minorEastAsia" w:hAnsiTheme="minorEastAsia" w:cs="宋体" w:hint="eastAsia"/>
          <w:bCs/>
          <w:sz w:val="28"/>
          <w:szCs w:val="28"/>
        </w:rPr>
        <w:t>富平县2025年度黄河流域山水林田湖草沙生态保护示范工程</w:t>
      </w:r>
      <w:r w:rsidR="00F73EF5" w:rsidRPr="00E25539">
        <w:rPr>
          <w:rFonts w:ascii="宋体" w:hAnsi="宋体" w:cs="宋体" w:hint="eastAsia"/>
          <w:bCs/>
          <w:sz w:val="28"/>
          <w:szCs w:val="28"/>
        </w:rPr>
        <w:t>施工图纸</w:t>
      </w:r>
      <w:r w:rsidRPr="00E25539">
        <w:rPr>
          <w:rFonts w:ascii="宋体" w:hAnsi="宋体" w:cs="宋体" w:hint="eastAsia"/>
          <w:bCs/>
          <w:sz w:val="28"/>
          <w:szCs w:val="28"/>
        </w:rPr>
        <w:t>。</w:t>
      </w:r>
    </w:p>
    <w:p w:rsidR="0051376F" w:rsidRPr="00E25539" w:rsidRDefault="004813D7">
      <w:pPr>
        <w:spacing w:line="360" w:lineRule="auto"/>
        <w:rPr>
          <w:rFonts w:ascii="宋体" w:hAnsi="宋体" w:cs="宋体"/>
          <w:b/>
          <w:bCs/>
          <w:sz w:val="28"/>
          <w:szCs w:val="28"/>
        </w:rPr>
      </w:pPr>
      <w:r w:rsidRPr="00E25539">
        <w:rPr>
          <w:rFonts w:ascii="宋体" w:hAnsi="宋体" w:cs="宋体" w:hint="eastAsia"/>
          <w:b/>
          <w:bCs/>
          <w:sz w:val="28"/>
          <w:szCs w:val="28"/>
        </w:rPr>
        <w:lastRenderedPageBreak/>
        <w:t>三、其他说明</w:t>
      </w:r>
    </w:p>
    <w:p w:rsidR="00E25539" w:rsidRPr="00E25539" w:rsidRDefault="00E25539" w:rsidP="00E25539">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1、采用易投软件编制；</w:t>
      </w:r>
    </w:p>
    <w:p w:rsidR="00E25539" w:rsidRPr="00E25539" w:rsidRDefault="00E25539" w:rsidP="00E25539">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2、施工安全生产专项工程</w:t>
      </w:r>
      <w:r>
        <w:rPr>
          <w:rFonts w:ascii="宋体" w:hAnsi="宋体" w:cs="宋体" w:hint="eastAsia"/>
          <w:bCs/>
          <w:sz w:val="28"/>
          <w:szCs w:val="28"/>
        </w:rPr>
        <w:t>：</w:t>
      </w:r>
      <w:r>
        <w:rPr>
          <w:rFonts w:ascii="宋体" w:hAnsi="宋体"/>
          <w:color w:val="000000"/>
          <w:sz w:val="28"/>
          <w:szCs w:val="28"/>
        </w:rPr>
        <w:t>建筑工程×(1+其他施工临时工程费率)</w:t>
      </w:r>
      <w:r>
        <w:rPr>
          <w:rFonts w:ascii="宋体" w:hAnsi="宋体" w:hint="eastAsia"/>
          <w:color w:val="000000"/>
          <w:sz w:val="28"/>
          <w:szCs w:val="28"/>
        </w:rPr>
        <w:t>的</w:t>
      </w:r>
      <w:r w:rsidRPr="00E25539">
        <w:rPr>
          <w:rFonts w:ascii="宋体" w:hAnsi="宋体" w:cs="宋体"/>
          <w:bCs/>
          <w:sz w:val="28"/>
          <w:szCs w:val="28"/>
        </w:rPr>
        <w:t xml:space="preserve"> 2.5%</w:t>
      </w:r>
      <w:r>
        <w:rPr>
          <w:rFonts w:ascii="宋体" w:hAnsi="宋体" w:cs="宋体"/>
          <w:bCs/>
          <w:sz w:val="28"/>
          <w:szCs w:val="28"/>
        </w:rPr>
        <w:t>计入</w:t>
      </w:r>
      <w:r w:rsidRPr="00E25539">
        <w:rPr>
          <w:rFonts w:ascii="宋体" w:hAnsi="宋体" w:cs="宋体"/>
          <w:bCs/>
          <w:sz w:val="28"/>
          <w:szCs w:val="28"/>
        </w:rPr>
        <w:t>；</w:t>
      </w:r>
    </w:p>
    <w:p w:rsidR="00E25539" w:rsidRPr="00E25539" w:rsidRDefault="00E25539" w:rsidP="00E25539">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3、其他施工临</w:t>
      </w:r>
      <w:r w:rsidRPr="00E25539">
        <w:rPr>
          <w:rFonts w:ascii="宋体" w:hAnsi="宋体" w:hint="eastAsia"/>
          <w:color w:val="000000"/>
          <w:sz w:val="28"/>
          <w:szCs w:val="28"/>
        </w:rPr>
        <w:t>时工程：</w:t>
      </w:r>
      <w:r>
        <w:rPr>
          <w:rFonts w:ascii="宋体" w:hAnsi="宋体" w:hint="eastAsia"/>
          <w:color w:val="000000"/>
          <w:sz w:val="28"/>
          <w:szCs w:val="28"/>
        </w:rPr>
        <w:t>建安工程费</w:t>
      </w:r>
      <w:r w:rsidRPr="00E25539">
        <w:rPr>
          <w:rFonts w:ascii="宋体" w:hAnsi="宋体" w:hint="eastAsia"/>
          <w:color w:val="000000"/>
          <w:sz w:val="28"/>
          <w:szCs w:val="28"/>
        </w:rPr>
        <w:t>(不包括其他临时工程)</w:t>
      </w:r>
      <w:r w:rsidRPr="00E25539">
        <w:rPr>
          <w:rFonts w:ascii="宋体" w:hAnsi="宋体"/>
          <w:color w:val="000000"/>
          <w:sz w:val="28"/>
          <w:szCs w:val="28"/>
        </w:rPr>
        <w:t xml:space="preserve"> </w:t>
      </w:r>
      <w:r>
        <w:rPr>
          <w:rFonts w:ascii="宋体" w:hAnsi="宋体" w:hint="eastAsia"/>
          <w:color w:val="000000"/>
          <w:sz w:val="28"/>
          <w:szCs w:val="28"/>
        </w:rPr>
        <w:t>的</w:t>
      </w:r>
      <w:r w:rsidRPr="00E25539">
        <w:rPr>
          <w:rFonts w:ascii="宋体" w:hAnsi="宋体"/>
          <w:color w:val="000000"/>
          <w:sz w:val="28"/>
          <w:szCs w:val="28"/>
        </w:rPr>
        <w:t>2%</w:t>
      </w:r>
      <w:r>
        <w:rPr>
          <w:rFonts w:ascii="宋体" w:hAnsi="宋体"/>
          <w:color w:val="000000"/>
          <w:sz w:val="28"/>
          <w:szCs w:val="28"/>
        </w:rPr>
        <w:t>计入</w:t>
      </w:r>
      <w:r w:rsidRPr="00E25539">
        <w:rPr>
          <w:rFonts w:ascii="宋体" w:hAnsi="宋体" w:hint="eastAsia"/>
          <w:color w:val="000000"/>
          <w:sz w:val="28"/>
          <w:szCs w:val="28"/>
        </w:rPr>
        <w:t>；</w:t>
      </w:r>
    </w:p>
    <w:p w:rsidR="00E25539" w:rsidRPr="00E25539" w:rsidRDefault="00E25539" w:rsidP="00E25539">
      <w:pPr>
        <w:spacing w:line="360" w:lineRule="auto"/>
        <w:ind w:firstLineChars="200" w:firstLine="560"/>
        <w:rPr>
          <w:rFonts w:ascii="宋体" w:hAnsi="宋体" w:cs="宋体"/>
          <w:bCs/>
          <w:sz w:val="28"/>
          <w:szCs w:val="28"/>
        </w:rPr>
      </w:pPr>
      <w:r w:rsidRPr="00E25539">
        <w:rPr>
          <w:rFonts w:ascii="宋体" w:hAnsi="宋体" w:cs="宋体" w:hint="eastAsia"/>
          <w:bCs/>
          <w:sz w:val="28"/>
          <w:szCs w:val="28"/>
        </w:rPr>
        <w:t>4、暂列金</w:t>
      </w:r>
      <w:r>
        <w:rPr>
          <w:rFonts w:ascii="宋体" w:hAnsi="宋体" w:cs="宋体" w:hint="eastAsia"/>
          <w:bCs/>
          <w:sz w:val="28"/>
          <w:szCs w:val="28"/>
        </w:rPr>
        <w:t>：</w:t>
      </w:r>
      <w:r>
        <w:rPr>
          <w:rFonts w:ascii="宋体" w:hAnsi="宋体" w:hint="eastAsia"/>
          <w:color w:val="000000"/>
          <w:sz w:val="28"/>
          <w:szCs w:val="28"/>
        </w:rPr>
        <w:t>建安工程费的</w:t>
      </w:r>
      <w:r w:rsidRPr="00E25539">
        <w:rPr>
          <w:rFonts w:ascii="宋体" w:hAnsi="宋体" w:cs="宋体"/>
          <w:bCs/>
          <w:sz w:val="28"/>
          <w:szCs w:val="28"/>
        </w:rPr>
        <w:t xml:space="preserve"> </w:t>
      </w:r>
      <w:r w:rsidRPr="00E25539">
        <w:rPr>
          <w:rFonts w:ascii="宋体" w:hAnsi="宋体" w:cs="宋体" w:hint="eastAsia"/>
          <w:bCs/>
          <w:sz w:val="28"/>
          <w:szCs w:val="28"/>
        </w:rPr>
        <w:t>3%</w:t>
      </w:r>
      <w:r>
        <w:rPr>
          <w:rFonts w:ascii="宋体" w:hAnsi="宋体" w:cs="宋体" w:hint="eastAsia"/>
          <w:bCs/>
          <w:sz w:val="28"/>
          <w:szCs w:val="28"/>
        </w:rPr>
        <w:t>计入</w:t>
      </w:r>
      <w:r w:rsidRPr="00E25539">
        <w:rPr>
          <w:rFonts w:ascii="宋体" w:hAnsi="宋体" w:cs="宋体" w:hint="eastAsia"/>
          <w:bCs/>
          <w:sz w:val="28"/>
          <w:szCs w:val="28"/>
        </w:rPr>
        <w:t>。</w:t>
      </w:r>
    </w:p>
    <w:p w:rsidR="00E25539" w:rsidRPr="000165A2" w:rsidRDefault="00E25539" w:rsidP="00E25539">
      <w:pPr>
        <w:spacing w:line="360" w:lineRule="auto"/>
        <w:ind w:firstLineChars="100" w:firstLine="240"/>
        <w:rPr>
          <w:rFonts w:ascii="宋体" w:hAnsi="宋体" w:cs="宋体"/>
          <w:bCs/>
          <w:sz w:val="24"/>
        </w:rPr>
      </w:pPr>
    </w:p>
    <w:p w:rsidR="0051376F" w:rsidRPr="00E25539" w:rsidRDefault="0051376F">
      <w:pPr>
        <w:spacing w:line="480" w:lineRule="auto"/>
        <w:jc w:val="center"/>
        <w:rPr>
          <w:rFonts w:asciiTheme="minorEastAsia" w:eastAsiaTheme="minorEastAsia" w:hAnsiTheme="minorEastAsia"/>
          <w:b/>
          <w:sz w:val="28"/>
          <w:szCs w:val="28"/>
        </w:rPr>
      </w:pPr>
    </w:p>
    <w:sectPr w:rsidR="0051376F" w:rsidRPr="00E25539" w:rsidSect="0051376F">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5A9" w:rsidRDefault="001575A9" w:rsidP="008E71A6">
      <w:r>
        <w:separator/>
      </w:r>
    </w:p>
  </w:endnote>
  <w:endnote w:type="continuationSeparator" w:id="1">
    <w:p w:rsidR="001575A9" w:rsidRDefault="001575A9" w:rsidP="008E71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5A9" w:rsidRDefault="001575A9" w:rsidP="008E71A6">
      <w:r>
        <w:separator/>
      </w:r>
    </w:p>
  </w:footnote>
  <w:footnote w:type="continuationSeparator" w:id="1">
    <w:p w:rsidR="001575A9" w:rsidRDefault="001575A9" w:rsidP="008E71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mVmMzZlOGUwYTYwNGQxM2U2NWUwNDA0YWEyNGVhMjcifQ=="/>
  </w:docVars>
  <w:rsids>
    <w:rsidRoot w:val="00260752"/>
    <w:rsid w:val="00002E99"/>
    <w:rsid w:val="000112FA"/>
    <w:rsid w:val="0005182D"/>
    <w:rsid w:val="000853E2"/>
    <w:rsid w:val="000A1889"/>
    <w:rsid w:val="000A3CBA"/>
    <w:rsid w:val="000A6C0B"/>
    <w:rsid w:val="000C47C6"/>
    <w:rsid w:val="000F5999"/>
    <w:rsid w:val="00106DB4"/>
    <w:rsid w:val="00130604"/>
    <w:rsid w:val="00142AE7"/>
    <w:rsid w:val="0014506E"/>
    <w:rsid w:val="001575A9"/>
    <w:rsid w:val="00182767"/>
    <w:rsid w:val="001D7356"/>
    <w:rsid w:val="001D7E81"/>
    <w:rsid w:val="00260752"/>
    <w:rsid w:val="00276FEC"/>
    <w:rsid w:val="002A382B"/>
    <w:rsid w:val="002A5362"/>
    <w:rsid w:val="002B3035"/>
    <w:rsid w:val="002B5431"/>
    <w:rsid w:val="00312319"/>
    <w:rsid w:val="003347ED"/>
    <w:rsid w:val="00350497"/>
    <w:rsid w:val="00352019"/>
    <w:rsid w:val="00366E84"/>
    <w:rsid w:val="00367C4F"/>
    <w:rsid w:val="003B71FC"/>
    <w:rsid w:val="003E0D66"/>
    <w:rsid w:val="003F6DE4"/>
    <w:rsid w:val="004227B0"/>
    <w:rsid w:val="00437B73"/>
    <w:rsid w:val="0045050D"/>
    <w:rsid w:val="0047773D"/>
    <w:rsid w:val="004813D7"/>
    <w:rsid w:val="004C01FE"/>
    <w:rsid w:val="004C2718"/>
    <w:rsid w:val="004C3ED6"/>
    <w:rsid w:val="004E0532"/>
    <w:rsid w:val="004F25E1"/>
    <w:rsid w:val="0051376F"/>
    <w:rsid w:val="00517A28"/>
    <w:rsid w:val="00560067"/>
    <w:rsid w:val="005630E6"/>
    <w:rsid w:val="005D0CC7"/>
    <w:rsid w:val="005F5306"/>
    <w:rsid w:val="00601F43"/>
    <w:rsid w:val="006049A8"/>
    <w:rsid w:val="00617B89"/>
    <w:rsid w:val="0062174F"/>
    <w:rsid w:val="0062214A"/>
    <w:rsid w:val="006404D1"/>
    <w:rsid w:val="00653A52"/>
    <w:rsid w:val="00654512"/>
    <w:rsid w:val="00665E03"/>
    <w:rsid w:val="006C32FE"/>
    <w:rsid w:val="00715B8C"/>
    <w:rsid w:val="00734067"/>
    <w:rsid w:val="007404EE"/>
    <w:rsid w:val="007570CC"/>
    <w:rsid w:val="00766085"/>
    <w:rsid w:val="007E46FC"/>
    <w:rsid w:val="008266AE"/>
    <w:rsid w:val="0084393F"/>
    <w:rsid w:val="0089005C"/>
    <w:rsid w:val="008915E8"/>
    <w:rsid w:val="008B0D4A"/>
    <w:rsid w:val="008C48E7"/>
    <w:rsid w:val="008E5754"/>
    <w:rsid w:val="008E71A6"/>
    <w:rsid w:val="00924B74"/>
    <w:rsid w:val="0096039D"/>
    <w:rsid w:val="00984720"/>
    <w:rsid w:val="009907A4"/>
    <w:rsid w:val="00A10A65"/>
    <w:rsid w:val="00A44C29"/>
    <w:rsid w:val="00A516E3"/>
    <w:rsid w:val="00AC53DD"/>
    <w:rsid w:val="00B01A7C"/>
    <w:rsid w:val="00B03F0F"/>
    <w:rsid w:val="00B04D01"/>
    <w:rsid w:val="00B11DAF"/>
    <w:rsid w:val="00B622FB"/>
    <w:rsid w:val="00B861FD"/>
    <w:rsid w:val="00B87590"/>
    <w:rsid w:val="00BC4372"/>
    <w:rsid w:val="00BF2544"/>
    <w:rsid w:val="00BF4546"/>
    <w:rsid w:val="00C54F6E"/>
    <w:rsid w:val="00CB7C60"/>
    <w:rsid w:val="00CC7B7C"/>
    <w:rsid w:val="00CD5720"/>
    <w:rsid w:val="00CE79AF"/>
    <w:rsid w:val="00CF7A25"/>
    <w:rsid w:val="00D81BE8"/>
    <w:rsid w:val="00DA00B3"/>
    <w:rsid w:val="00DA030C"/>
    <w:rsid w:val="00DA550D"/>
    <w:rsid w:val="00DC4368"/>
    <w:rsid w:val="00DC7932"/>
    <w:rsid w:val="00DD479B"/>
    <w:rsid w:val="00E25539"/>
    <w:rsid w:val="00E3490F"/>
    <w:rsid w:val="00E456B7"/>
    <w:rsid w:val="00E63A54"/>
    <w:rsid w:val="00E71D41"/>
    <w:rsid w:val="00EC1239"/>
    <w:rsid w:val="00F55876"/>
    <w:rsid w:val="00F562AB"/>
    <w:rsid w:val="00F64265"/>
    <w:rsid w:val="00F73EF5"/>
    <w:rsid w:val="00F84430"/>
    <w:rsid w:val="00FA0829"/>
    <w:rsid w:val="00FA4037"/>
    <w:rsid w:val="00FA4768"/>
    <w:rsid w:val="00FB7996"/>
    <w:rsid w:val="00FC4F8C"/>
    <w:rsid w:val="00FC6F39"/>
    <w:rsid w:val="00FD0E02"/>
    <w:rsid w:val="00FD3830"/>
    <w:rsid w:val="02497534"/>
    <w:rsid w:val="07FE5484"/>
    <w:rsid w:val="235C6C70"/>
    <w:rsid w:val="25564AF2"/>
    <w:rsid w:val="28AD5A3F"/>
    <w:rsid w:val="2EAD4823"/>
    <w:rsid w:val="331A510D"/>
    <w:rsid w:val="345C6ED1"/>
    <w:rsid w:val="34A71D15"/>
    <w:rsid w:val="37EA5E6A"/>
    <w:rsid w:val="3F3643C1"/>
    <w:rsid w:val="485A1120"/>
    <w:rsid w:val="48B22567"/>
    <w:rsid w:val="4B7C486E"/>
    <w:rsid w:val="4B9E6071"/>
    <w:rsid w:val="4FD13B5C"/>
    <w:rsid w:val="53D43AC1"/>
    <w:rsid w:val="55E62245"/>
    <w:rsid w:val="5C761E49"/>
    <w:rsid w:val="5EB033F0"/>
    <w:rsid w:val="5F1A17E6"/>
    <w:rsid w:val="652769B7"/>
    <w:rsid w:val="6C07652D"/>
    <w:rsid w:val="71C07997"/>
    <w:rsid w:val="751A73BE"/>
    <w:rsid w:val="7D3952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header"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76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51376F"/>
    <w:pPr>
      <w:ind w:firstLine="420"/>
    </w:pPr>
    <w:rPr>
      <w:rFonts w:eastAsia="楷体_GB2312"/>
      <w:sz w:val="32"/>
      <w:szCs w:val="20"/>
    </w:rPr>
  </w:style>
  <w:style w:type="paragraph" w:styleId="a4">
    <w:name w:val="Date"/>
    <w:basedOn w:val="a"/>
    <w:next w:val="a"/>
    <w:link w:val="Char"/>
    <w:uiPriority w:val="99"/>
    <w:semiHidden/>
    <w:unhideWhenUsed/>
    <w:rsid w:val="0051376F"/>
    <w:pPr>
      <w:ind w:leftChars="2500" w:left="100"/>
    </w:pPr>
  </w:style>
  <w:style w:type="paragraph" w:styleId="a5">
    <w:name w:val="Balloon Text"/>
    <w:basedOn w:val="a"/>
    <w:link w:val="Char0"/>
    <w:uiPriority w:val="99"/>
    <w:semiHidden/>
    <w:unhideWhenUsed/>
    <w:rsid w:val="0051376F"/>
    <w:rPr>
      <w:sz w:val="18"/>
      <w:szCs w:val="18"/>
    </w:rPr>
  </w:style>
  <w:style w:type="paragraph" w:styleId="a6">
    <w:name w:val="footer"/>
    <w:basedOn w:val="a"/>
    <w:link w:val="Char1"/>
    <w:autoRedefine/>
    <w:unhideWhenUsed/>
    <w:qFormat/>
    <w:rsid w:val="0051376F"/>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2"/>
    <w:autoRedefine/>
    <w:uiPriority w:val="99"/>
    <w:semiHidden/>
    <w:unhideWhenUsed/>
    <w:qFormat/>
    <w:rsid w:val="0051376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2">
    <w:name w:val="页眉 Char"/>
    <w:basedOn w:val="a0"/>
    <w:link w:val="a7"/>
    <w:autoRedefine/>
    <w:uiPriority w:val="99"/>
    <w:semiHidden/>
    <w:qFormat/>
    <w:rsid w:val="0051376F"/>
    <w:rPr>
      <w:sz w:val="18"/>
      <w:szCs w:val="18"/>
    </w:rPr>
  </w:style>
  <w:style w:type="character" w:customStyle="1" w:styleId="Char1">
    <w:name w:val="页脚 Char"/>
    <w:basedOn w:val="a0"/>
    <w:link w:val="a6"/>
    <w:autoRedefine/>
    <w:uiPriority w:val="99"/>
    <w:semiHidden/>
    <w:qFormat/>
    <w:rsid w:val="0051376F"/>
    <w:rPr>
      <w:sz w:val="18"/>
      <w:szCs w:val="18"/>
    </w:rPr>
  </w:style>
  <w:style w:type="paragraph" w:customStyle="1" w:styleId="1">
    <w:name w:val="样式1"/>
    <w:basedOn w:val="a"/>
    <w:autoRedefine/>
    <w:qFormat/>
    <w:rsid w:val="0051376F"/>
    <w:pPr>
      <w:widowControl/>
      <w:spacing w:beforeLines="200" w:line="580" w:lineRule="atLeast"/>
      <w:jc w:val="center"/>
    </w:pPr>
    <w:rPr>
      <w:rFonts w:ascii="黑体" w:eastAsia="黑体" w:hint="eastAsia"/>
      <w:b/>
      <w:bCs/>
      <w:kern w:val="0"/>
      <w:sz w:val="44"/>
      <w:szCs w:val="20"/>
    </w:rPr>
  </w:style>
  <w:style w:type="character" w:customStyle="1" w:styleId="Char0">
    <w:name w:val="批注框文本 Char"/>
    <w:basedOn w:val="a0"/>
    <w:link w:val="a5"/>
    <w:autoRedefine/>
    <w:uiPriority w:val="99"/>
    <w:semiHidden/>
    <w:qFormat/>
    <w:rsid w:val="0051376F"/>
    <w:rPr>
      <w:rFonts w:ascii="Times New Roman" w:eastAsia="宋体" w:hAnsi="Times New Roman" w:cs="Times New Roman"/>
      <w:sz w:val="18"/>
      <w:szCs w:val="18"/>
    </w:rPr>
  </w:style>
  <w:style w:type="character" w:customStyle="1" w:styleId="Char">
    <w:name w:val="日期 Char"/>
    <w:basedOn w:val="a0"/>
    <w:link w:val="a4"/>
    <w:autoRedefine/>
    <w:uiPriority w:val="99"/>
    <w:semiHidden/>
    <w:qFormat/>
    <w:rsid w:val="0051376F"/>
    <w:rPr>
      <w:rFonts w:ascii="Times New Roman" w:eastAsia="宋体" w:hAnsi="Times New Roman" w:cs="Times New Roman"/>
      <w:szCs w:val="24"/>
    </w:rPr>
  </w:style>
  <w:style w:type="paragraph" w:styleId="a8">
    <w:name w:val="List Paragraph"/>
    <w:basedOn w:val="a"/>
    <w:uiPriority w:val="34"/>
    <w:qFormat/>
    <w:rsid w:val="0051376F"/>
    <w:pPr>
      <w:ind w:firstLineChars="200" w:firstLine="420"/>
    </w:pPr>
  </w:style>
</w:styles>
</file>

<file path=word/webSettings.xml><?xml version="1.0" encoding="utf-8"?>
<w:webSettings xmlns:r="http://schemas.openxmlformats.org/officeDocument/2006/relationships" xmlns:w="http://schemas.openxmlformats.org/wordprocessingml/2006/main">
  <w:divs>
    <w:div w:id="303891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179</Words>
  <Characters>1026</Characters>
  <Application>Microsoft Office Word</Application>
  <DocSecurity>0</DocSecurity>
  <Lines>8</Lines>
  <Paragraphs>2</Paragraphs>
  <ScaleCrop>false</ScaleCrop>
  <Company>微软中国</Company>
  <LinksUpToDate>false</LinksUpToDate>
  <CharactersWithSpaces>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微软用户</cp:lastModifiedBy>
  <cp:revision>2</cp:revision>
  <cp:lastPrinted>2023-05-06T08:46:00Z</cp:lastPrinted>
  <dcterms:created xsi:type="dcterms:W3CDTF">2025-10-31T05:31:00Z</dcterms:created>
  <dcterms:modified xsi:type="dcterms:W3CDTF">2025-10-31T05:31:00Z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D21E054263994F0CA809CEE642D3DA0B_12</vt:lpwstr>
  </property>
</Properties>
</file>