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1444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宋体" w:hAnsi="宋体" w:eastAsia="宋体" w:cs="宋体"/>
          <w:b/>
          <w:sz w:val="32"/>
          <w:szCs w:val="32"/>
          <w:lang w:val="en-US" w:eastAsia="zh-CN"/>
        </w:rPr>
      </w:pPr>
      <w:r>
        <w:rPr>
          <w:rFonts w:hint="eastAsia" w:ascii="宋体" w:hAnsi="宋体" w:cs="宋体"/>
          <w:b/>
          <w:sz w:val="32"/>
          <w:szCs w:val="32"/>
          <w:lang w:val="en-US" w:eastAsia="zh-CN"/>
        </w:rPr>
        <w:t>采购需求</w:t>
      </w:r>
      <w:bookmarkStart w:id="0" w:name="_GoBack"/>
      <w:bookmarkEnd w:id="0"/>
    </w:p>
    <w:p w14:paraId="4BEF04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一</w:t>
      </w:r>
      <w:r>
        <w:rPr>
          <w:rFonts w:hint="eastAsia" w:ascii="宋体" w:hAnsi="宋体" w:eastAsia="宋体" w:cs="宋体"/>
          <w:b/>
          <w:sz w:val="24"/>
          <w:szCs w:val="24"/>
          <w:lang w:eastAsia="zh-CN"/>
        </w:rPr>
        <w:t>、</w:t>
      </w:r>
      <w:r>
        <w:rPr>
          <w:rFonts w:hint="eastAsia" w:ascii="宋体" w:hAnsi="宋体" w:eastAsia="宋体" w:cs="宋体"/>
          <w:b/>
          <w:sz w:val="24"/>
          <w:szCs w:val="24"/>
        </w:rPr>
        <w:t>谈判要求</w:t>
      </w:r>
    </w:p>
    <w:p w14:paraId="2FF8C6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rPr>
        <w:t>1、项目名称：</w:t>
      </w:r>
      <w:r>
        <w:rPr>
          <w:rFonts w:hint="eastAsia" w:ascii="宋体" w:hAnsi="宋体" w:eastAsia="宋体" w:cs="宋体"/>
          <w:color w:val="auto"/>
          <w:sz w:val="24"/>
          <w:szCs w:val="24"/>
          <w:lang w:eastAsia="zh-CN"/>
        </w:rPr>
        <w:t>陕西艺术职业学院信息安全等级保护升级改造采购项目</w:t>
      </w:r>
    </w:p>
    <w:p w14:paraId="27DF86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、交货期：合同签订后12天</w:t>
      </w:r>
    </w:p>
    <w:p w14:paraId="5DA7A78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、质保期：</w:t>
      </w:r>
      <w:r>
        <w:rPr>
          <w:rFonts w:hint="eastAsia" w:ascii="宋体" w:hAnsi="宋体" w:eastAsia="宋体" w:cs="宋体"/>
          <w:color w:val="auto"/>
          <w:sz w:val="24"/>
          <w:szCs w:val="24"/>
          <w:highlight w:val="none"/>
          <w:lang w:val="en-US" w:eastAsia="zh-CN"/>
        </w:rPr>
        <w:t>3年</w:t>
      </w:r>
    </w:p>
    <w:p w14:paraId="38C56E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、交货地点：采购人指定地点</w:t>
      </w:r>
    </w:p>
    <w:p w14:paraId="7EE282B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二、技术参数</w:t>
      </w:r>
    </w:p>
    <w:tbl>
      <w:tblPr>
        <w:tblStyle w:val="2"/>
        <w:tblW w:w="0" w:type="auto"/>
        <w:tblInd w:w="0" w:type="dxa"/>
        <w:tblLayout w:type="fixed"/>
        <w:tblCellMar>
          <w:top w:w="0" w:type="dxa"/>
          <w:left w:w="108" w:type="dxa"/>
          <w:bottom w:w="0" w:type="dxa"/>
          <w:right w:w="108" w:type="dxa"/>
        </w:tblCellMar>
      </w:tblPr>
      <w:tblGrid>
        <w:gridCol w:w="451"/>
        <w:gridCol w:w="779"/>
        <w:gridCol w:w="6467"/>
        <w:gridCol w:w="651"/>
        <w:gridCol w:w="651"/>
      </w:tblGrid>
      <w:tr w14:paraId="2DA520DE">
        <w:tblPrEx>
          <w:tblCellMar>
            <w:top w:w="0" w:type="dxa"/>
            <w:left w:w="108" w:type="dxa"/>
            <w:bottom w:w="0" w:type="dxa"/>
            <w:right w:w="108" w:type="dxa"/>
          </w:tblCellMar>
        </w:tblPrEx>
        <w:trPr>
          <w:trHeight w:val="1062" w:hRule="atLeast"/>
        </w:trPr>
        <w:tc>
          <w:tcPr>
            <w:tcW w:w="451" w:type="dxa"/>
            <w:tcBorders>
              <w:top w:val="single" w:color="000000" w:sz="4" w:space="0"/>
              <w:left w:val="single" w:color="000000" w:sz="4" w:space="0"/>
              <w:bottom w:val="single" w:color="000000" w:sz="4" w:space="0"/>
              <w:right w:val="single" w:color="000000" w:sz="4" w:space="0"/>
            </w:tcBorders>
            <w:shd w:val="clear" w:color="auto" w:fill="5B9BD5"/>
            <w:noWrap w:val="0"/>
            <w:vAlign w:val="center"/>
          </w:tcPr>
          <w:p w14:paraId="0CF03ED7">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779" w:type="dxa"/>
            <w:tcBorders>
              <w:top w:val="single" w:color="000000" w:sz="4" w:space="0"/>
              <w:left w:val="single" w:color="000000" w:sz="4" w:space="0"/>
              <w:bottom w:val="single" w:color="000000" w:sz="4" w:space="0"/>
              <w:right w:val="single" w:color="000000" w:sz="4" w:space="0"/>
            </w:tcBorders>
            <w:shd w:val="clear" w:color="auto" w:fill="5B9BD5"/>
            <w:noWrap w:val="0"/>
            <w:vAlign w:val="center"/>
          </w:tcPr>
          <w:p w14:paraId="4DC38512">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产品名称</w:t>
            </w:r>
          </w:p>
        </w:tc>
        <w:tc>
          <w:tcPr>
            <w:tcW w:w="6467" w:type="dxa"/>
            <w:tcBorders>
              <w:top w:val="single" w:color="000000" w:sz="4" w:space="0"/>
              <w:left w:val="single" w:color="000000" w:sz="4" w:space="0"/>
              <w:bottom w:val="single" w:color="000000" w:sz="4" w:space="0"/>
              <w:right w:val="single" w:color="000000" w:sz="4" w:space="0"/>
            </w:tcBorders>
            <w:shd w:val="clear" w:color="auto" w:fill="5B9BD5"/>
            <w:noWrap w:val="0"/>
            <w:vAlign w:val="center"/>
          </w:tcPr>
          <w:p w14:paraId="6A2A1EDA">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技术要求</w:t>
            </w:r>
          </w:p>
        </w:tc>
        <w:tc>
          <w:tcPr>
            <w:tcW w:w="651" w:type="dxa"/>
            <w:tcBorders>
              <w:top w:val="single" w:color="000000" w:sz="4" w:space="0"/>
              <w:left w:val="single" w:color="000000" w:sz="4" w:space="0"/>
              <w:bottom w:val="single" w:color="000000" w:sz="4" w:space="0"/>
              <w:right w:val="single" w:color="000000" w:sz="4" w:space="0"/>
            </w:tcBorders>
            <w:shd w:val="clear" w:color="auto" w:fill="5B9BD5"/>
            <w:noWrap w:val="0"/>
            <w:vAlign w:val="center"/>
          </w:tcPr>
          <w:p w14:paraId="62A14FF8">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数量</w:t>
            </w:r>
          </w:p>
        </w:tc>
        <w:tc>
          <w:tcPr>
            <w:tcW w:w="651" w:type="dxa"/>
            <w:tcBorders>
              <w:top w:val="single" w:color="000000" w:sz="4" w:space="0"/>
              <w:left w:val="single" w:color="000000" w:sz="4" w:space="0"/>
              <w:bottom w:val="single" w:color="000000" w:sz="4" w:space="0"/>
              <w:right w:val="single" w:color="000000" w:sz="4" w:space="0"/>
            </w:tcBorders>
            <w:shd w:val="clear" w:color="auto" w:fill="5B9BD5"/>
            <w:noWrap w:val="0"/>
            <w:vAlign w:val="center"/>
          </w:tcPr>
          <w:p w14:paraId="0B4DC535">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单位</w:t>
            </w:r>
          </w:p>
        </w:tc>
      </w:tr>
      <w:tr w14:paraId="09714FBC">
        <w:tblPrEx>
          <w:tblCellMar>
            <w:top w:w="0" w:type="dxa"/>
            <w:left w:w="108" w:type="dxa"/>
            <w:bottom w:w="0" w:type="dxa"/>
            <w:right w:w="108" w:type="dxa"/>
          </w:tblCellMar>
        </w:tblPrEx>
        <w:trPr>
          <w:trHeight w:val="90" w:hRule="atLeast"/>
        </w:trPr>
        <w:tc>
          <w:tcPr>
            <w:tcW w:w="451" w:type="dxa"/>
            <w:tcBorders>
              <w:top w:val="single" w:color="000000" w:sz="4" w:space="0"/>
              <w:left w:val="single" w:color="000000" w:sz="4" w:space="0"/>
              <w:bottom w:val="single" w:color="000000" w:sz="4" w:space="0"/>
              <w:right w:val="single" w:color="000000" w:sz="4" w:space="0"/>
            </w:tcBorders>
            <w:noWrap w:val="0"/>
            <w:vAlign w:val="center"/>
          </w:tcPr>
          <w:p w14:paraId="3129B7D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516A57C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下一代防火墙</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14:paraId="58846C09">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性能参数：网络层吞吐量≥80G，应用层吞吐量≥35G，防病毒吞吐量≥12G，IPS吞吐量≥16G，全威胁吞吐量≥10G，并发连接数≥1600万，HTTP新建连接数≥60万，IPSec VPN 最大接入数≥20000，IPSec VPN吞吐量≥7G。</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硬件参数：规格：2U，内存大小≥48G，系统盘≥128G SSD，数据盘≥960G SSD，冗余电源，接口≥4千兆电口，≥4千兆光口SFP+，≥4万兆光口SFP+。</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包含ACL控制、防病毒、入侵防御、应用识别、WAF、威胁情报等模块。</w:t>
            </w:r>
            <w:r>
              <w:rPr>
                <w:rFonts w:hint="eastAsia" w:ascii="宋体" w:hAnsi="宋体" w:eastAsia="宋体" w:cs="宋体"/>
                <w:color w:val="FF0000"/>
                <w:kern w:val="0"/>
                <w:sz w:val="21"/>
                <w:szCs w:val="21"/>
                <w:lang w:bidi="ar"/>
              </w:rPr>
              <w:br w:type="textWrapping"/>
            </w:r>
            <w:r>
              <w:rPr>
                <w:rFonts w:hint="eastAsia" w:ascii="宋体" w:hAnsi="宋体" w:eastAsia="宋体" w:cs="宋体"/>
                <w:color w:val="000000"/>
                <w:kern w:val="0"/>
                <w:sz w:val="21"/>
                <w:szCs w:val="21"/>
                <w:lang w:bidi="ar"/>
              </w:rPr>
              <w:t>包含一套资产授权不少于50个的日志审计软件模块，支持纯软部署，满足日志存储保留180天以上。</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提供应用识别和控制功能，可以对应用进行检测与控制。</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提供僵尸主机检测功能，可识别主机的异常外联行为。</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提供漏洞攻击的检测与识别功能，对蠕虫、木马、恶意代码、间谍软件等威胁能够防护。</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提供压缩文件进行解压病毒查杀功能。</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提供任意方式勒索病毒防护功能，可以对勒索病毒实现检测与防御，进行勒索风险自动化评估并自动生成防护策略。</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具备威胁情报拦截功能，通过云端威胁情报库，及时向防火墙下发威胁流量，实现失陷外联及时阻断。</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具备云端未知威胁主动探测技术，实现未知威胁情报全网设备及时下发。</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提供任意方式蜜罐功能，可以伪装业务诱捕内外网攻击行为，联动防火墙封锁高危IP。</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支持策略生命周期管理功能，对安全策略修改的时间、原因、变更类型进行统一管理。</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能够与现网态势感知系统联动管理，已免费开放标准对接接口，要求在防火墙产品完成端点安全策略设置和端点安全软件的统一管理，提供兼容性测试报告或者加盖投标人公章的承诺函。</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支持微信小程序、微信公众号、企业微信、钉钉、APP等任意方式移动端运维处置功能，便捷实现安全事件预警和处置，通过云端运营管理，辅助进行流量日志分析、事件聚合、云端专家研判。</w:t>
            </w:r>
          </w:p>
          <w:p w14:paraId="6D62EDDA">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具备网络安全应急服务支撑单位甲级资质。提供证明材料并加盖公章。</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16C1AA2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43E702B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r>
      <w:tr w14:paraId="7A556F9E">
        <w:tblPrEx>
          <w:tblCellMar>
            <w:top w:w="0" w:type="dxa"/>
            <w:left w:w="108" w:type="dxa"/>
            <w:bottom w:w="0" w:type="dxa"/>
            <w:right w:w="108" w:type="dxa"/>
          </w:tblCellMar>
        </w:tblPrEx>
        <w:trPr>
          <w:trHeight w:val="439" w:hRule="atLeast"/>
        </w:trPr>
        <w:tc>
          <w:tcPr>
            <w:tcW w:w="451" w:type="dxa"/>
            <w:tcBorders>
              <w:top w:val="single" w:color="000000" w:sz="4" w:space="0"/>
              <w:left w:val="single" w:color="000000" w:sz="4" w:space="0"/>
              <w:bottom w:val="single" w:color="000000" w:sz="4" w:space="0"/>
              <w:right w:val="single" w:color="000000" w:sz="4" w:space="0"/>
            </w:tcBorders>
            <w:noWrap w:val="0"/>
            <w:vAlign w:val="center"/>
          </w:tcPr>
          <w:p w14:paraId="5BF1243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32F1069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统一端点安全管理系统</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14:paraId="669E8923">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50套服务器版授权。</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支持与现网授权合并，并支持现网管理平台统一管理，实现统一威胁处置，统一漏洞修复，威胁响应处置，日志记录与查询等功能。</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支持全网终端资产清点，包括操作系统、应用软件、监听端口和主机账户等。</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具有设备控制功能，可管控U盘、便携设备、USB网卡、打印机、光驱、蓝牙设备等。</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具备勒索病毒攻击立体防护模块，对勒索病毒及变种实现有效防御，支持展示勒索病毒处置情况。</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支持对勒索入侵的主流方式RDP暴破做全方位保护，包括RDP登录校验、RDP文件加白二次校验等功能。</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支持基于威胁情报的病毒特征值和域名全网终端搜索，可定位出全网终端该病毒的感染情况。</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支持全网风险展示，包括但不限于未处理的勒索病毒数量、暴力破解数量、WebShell后门数量、高危漏洞及其各自影响的终端数量。</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支持流行Windows高危漏洞的轻补丁免疫防御，支持Windows补丁批量一键修复，提供功能截图证明。</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通过智能识别终端环境情况（低配硬件、老旧设备等）和当前终端资源占用，在闲时实时监控和病毒扫描场景，可智能调整客户端的资源占用（CPU、IO等），降低业务影响。</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支持与现网防火墙进行安全联动，在防火墙管理界面下发快速查杀任务，并查看任务状态、结果并进行处置，提供证明材料或者加盖投标人公章的承诺函。</w:t>
            </w:r>
          </w:p>
          <w:p w14:paraId="260D4ADB">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具备中国信息安全测评中心颁发的信息安全服务资质证书（安全开发类二级或二级以上）。提供证明材料并加盖公章。</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60AF6A9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732D972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r>
      <w:tr w14:paraId="1E10B224">
        <w:tblPrEx>
          <w:tblCellMar>
            <w:top w:w="0" w:type="dxa"/>
            <w:left w:w="108" w:type="dxa"/>
            <w:bottom w:w="0" w:type="dxa"/>
            <w:right w:w="108" w:type="dxa"/>
          </w:tblCellMar>
        </w:tblPrEx>
        <w:trPr>
          <w:trHeight w:val="487" w:hRule="atLeast"/>
        </w:trPr>
        <w:tc>
          <w:tcPr>
            <w:tcW w:w="451" w:type="dxa"/>
            <w:tcBorders>
              <w:top w:val="single" w:color="000000" w:sz="4" w:space="0"/>
              <w:left w:val="single" w:color="000000" w:sz="4" w:space="0"/>
              <w:bottom w:val="single" w:color="000000" w:sz="4" w:space="0"/>
              <w:right w:val="single" w:color="000000" w:sz="4" w:space="0"/>
            </w:tcBorders>
            <w:noWrap w:val="0"/>
            <w:vAlign w:val="center"/>
          </w:tcPr>
          <w:p w14:paraId="6A054D0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28E9CAD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零信任</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14:paraId="443B988C">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SSL性能参数：最大加密流量（Mbps）≥480，最大并发用户数≥800，最大https并发连接数（个）≥40000，https新建连接数（个/秒）≥120；</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IPSEC性能参数：加密最大流量（Mbps）≥135，并发隧道数（Tunnel）≥480。</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硬件参数：规格：1U，内存大小≥16G，硬盘容量≥128G SSD，接口≥8千兆电口，≥2万兆光口SFP+。提供</w:t>
            </w:r>
            <w:r>
              <w:rPr>
                <w:rFonts w:hint="eastAsia" w:ascii="宋体" w:hAnsi="宋体" w:eastAsia="宋体" w:cs="宋体"/>
                <w:color w:val="FF0000"/>
                <w:kern w:val="0"/>
                <w:sz w:val="21"/>
                <w:szCs w:val="21"/>
                <w:lang w:bidi="ar"/>
              </w:rPr>
              <w:t>≥</w:t>
            </w:r>
            <w:r>
              <w:rPr>
                <w:rFonts w:hint="eastAsia" w:ascii="宋体" w:hAnsi="宋体" w:eastAsia="宋体" w:cs="宋体"/>
                <w:color w:val="000000"/>
                <w:kern w:val="0"/>
                <w:sz w:val="21"/>
                <w:szCs w:val="21"/>
                <w:lang w:bidi="ar"/>
              </w:rPr>
              <w:t>200接入授权。</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支持IPV4/IPV6双栈网络IP配置，支持默认限制所有IP通过WAN口访问系统。</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支持通过隧道模式和WEB模式发布资源,，其中WEB模式支持透明代理、智能改写等模式，支持开启水印。</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零信任客户端支持多种终端操作系统兼容，包括但不限于：Windows7/10/11、MacOS10/11/12、Ubuntu、Android、iOS、麒麟V10系统、统信V20系统。</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支持原VPN客户端时直接升级成零信任客户端来登录访问业务，允许升级完成后选择是否卸载原VPN客户端。</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支持配置指定用户上下行带宽限制。</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支持配置一个帐号在PC端和移动端分别绑定N个终端数量，可设置的数量范围为1~100；支持配置一个终端仅允许一个用户绑定；支持多因素认证，其中异常环境下需完成增强认证才可登录；支持自动锁定闲置账号（时长可自定义配置）。</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支持通过组织架构、角色等方式进行本地用户管理；支持与外部用户管理服务器进行对接；支持批量导入/导出用户；配置不少于10万条弱密码规则。</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支持限定操作系统、接入IP、指定杀毒软件、用户登录时间等变量动控制态业务访问。</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支持Web应用商店功能，可配置需认证/不经过认证访问Web应用商店。</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支持UDP+TCP单包授权机制，UDP+TCP方式默认不开放端口；支持共享码和一人一码两种模式。</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支持PC终端登录零信任客户端后，在特定的网络域下只能主动访问网络域对应的IP、IP范围、IP段、域名，且只能被限定的IP、IP范围、IP段访问。</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支持终端环境诊断排查，提供终端诊断工具，支持对当前终端的基本环境进行扫描和一键修复。</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支持对设备自身的安全状态和策略配置进行巡检，并输出巡检报告，支持下载。</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支持通过OPEN API的方式将零信任系统的能力开放给第三方业务系统进行调用配置。</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5A44A01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44610AF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r>
      <w:tr w14:paraId="79794DD2">
        <w:tblPrEx>
          <w:tblCellMar>
            <w:top w:w="0" w:type="dxa"/>
            <w:left w:w="108" w:type="dxa"/>
            <w:bottom w:w="0" w:type="dxa"/>
            <w:right w:w="108" w:type="dxa"/>
          </w:tblCellMar>
        </w:tblPrEx>
        <w:trPr>
          <w:trHeight w:val="570" w:hRule="atLeast"/>
        </w:trPr>
        <w:tc>
          <w:tcPr>
            <w:tcW w:w="451" w:type="dxa"/>
            <w:tcBorders>
              <w:top w:val="single" w:color="000000" w:sz="4" w:space="0"/>
              <w:left w:val="single" w:color="000000" w:sz="4" w:space="0"/>
              <w:bottom w:val="single" w:color="000000" w:sz="4" w:space="0"/>
              <w:right w:val="single" w:color="000000" w:sz="4" w:space="0"/>
            </w:tcBorders>
            <w:noWrap w:val="0"/>
            <w:vAlign w:val="center"/>
          </w:tcPr>
          <w:p w14:paraId="2D1A2224">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78FD2366">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其他说明</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14:paraId="507AA2A8">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备注：1、以上所有技术指标必须满足要求没有负偏离，否则按无效文件处理；</w:t>
            </w:r>
          </w:p>
          <w:p w14:paraId="34705827">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xml:space="preserve"> 2、要求提供佐证材料的必须提供，否则视为负偏离，按无效文件处理。</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0A5745A3">
            <w:pPr>
              <w:widowControl/>
              <w:jc w:val="center"/>
              <w:textAlignment w:val="center"/>
              <w:rPr>
                <w:rFonts w:hint="eastAsia" w:ascii="宋体" w:hAnsi="宋体" w:eastAsia="宋体" w:cs="宋体"/>
                <w:color w:val="000000"/>
                <w:kern w:val="0"/>
                <w:sz w:val="21"/>
                <w:szCs w:val="21"/>
                <w:lang w:bidi="ar"/>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3751D037">
            <w:pPr>
              <w:widowControl/>
              <w:jc w:val="center"/>
              <w:textAlignment w:val="center"/>
              <w:rPr>
                <w:rFonts w:hint="eastAsia" w:ascii="宋体" w:hAnsi="宋体" w:eastAsia="宋体" w:cs="宋体"/>
                <w:color w:val="000000"/>
                <w:kern w:val="0"/>
                <w:sz w:val="21"/>
                <w:szCs w:val="21"/>
                <w:lang w:bidi="ar"/>
              </w:rPr>
            </w:pPr>
          </w:p>
        </w:tc>
      </w:tr>
    </w:tbl>
    <w:p w14:paraId="29313E1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C7B21"/>
    <w:rsid w:val="46FC7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2025-11-26T03:53:00Z</dcterms:created>
  <dc:creator>安安</dc:creator>
  <cp:lastModifiedBy>安安</cp:lastModifiedBy>
  <dcterms:modified xsi:type="dcterms:W3CDTF">2025-11-26T03:53:59Z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778482589B5B496A8E4676B5C635DFD8_11</vt:lpwstr>
  </property>
  <property fmtid="{D5CDD505-2E9C-101B-9397-08002B2CF9AE}" pid="4" name="KSOTemplateDocerSaveRecord">
    <vt:lpwstr>eyJoZGlkIjoiY2JiM2Q2YTNkZTc1Mjk4ODRhOWVjZTc0YTFmYTE5NzciLCJ1c2VySWQiOiIxMTQ2NDU0OTA0In0=</vt:lpwstr>
  </property>
</Properties>
</file>