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pPr>
        <w:keepNext w:val="0"/>
        <w:keepLines w:val="0"/>
        <w:pageBreakBefore w:val="0"/>
        <w:widowControl w:val="0"/>
        <w:numPr>
          <w:ilvl w:val="0"/>
          <w:numId w:val="0"/>
        </w:numPr>
        <w:kinsoku/>
        <w:wordWrap/>
        <w:overflowPunct/>
        <w:topLinePunct w:val="0"/>
        <w:autoSpaceDE/>
        <w:autoSpaceDN/>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注：本合同为示范文本，具体条款内容由采购人和中标人协商确定，但不得改变招标文件、投标文件、中标通知书里的实质性内容。）</w:t>
      </w:r>
    </w:p>
    <w:p>
      <w:pPr>
        <w:pStyle w:val="12"/>
        <w:spacing w:line="360" w:lineRule="auto"/>
        <w:ind w:firstLine="480" w:firstLineChars="200"/>
        <w:rPr>
          <w:rFonts w:hint="eastAsia" w:ascii="仿宋" w:hAnsi="仿宋" w:eastAsia="仿宋" w:cs="仿宋"/>
          <w:color w:val="auto"/>
          <w:highlight w:val="none"/>
        </w:rPr>
      </w:pPr>
    </w:p>
    <w:p>
      <w:pPr>
        <w:pStyle w:val="12"/>
        <w:spacing w:line="360" w:lineRule="auto"/>
        <w:ind w:firstLine="480" w:firstLineChars="200"/>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pPr>
        <w:pStyle w:val="12"/>
        <w:spacing w:line="360" w:lineRule="auto"/>
        <w:ind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pPr>
        <w:pStyle w:val="12"/>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bookmarkStart w:id="0" w:name="OLE_LINK1"/>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bookmarkEnd w:id="0"/>
      <w:r>
        <w:rPr>
          <w:rFonts w:hint="eastAsia" w:ascii="仿宋" w:hAnsi="仿宋" w:eastAsia="仿宋" w:cs="仿宋"/>
          <w:color w:val="auto"/>
          <w:highlight w:val="none"/>
        </w:rPr>
        <w:t>（中标人）</w:t>
      </w:r>
    </w:p>
    <w:p>
      <w:pPr>
        <w:pStyle w:val="12"/>
        <w:spacing w:line="360" w:lineRule="auto"/>
        <w:ind w:left="420" w:leftChars="200"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lang w:val="en-US" w:eastAsia="zh-CN"/>
        </w:rPr>
        <w:t>采购包</w:t>
      </w:r>
      <w:bookmarkStart w:id="87" w:name="_GoBack"/>
      <w:bookmarkEnd w:id="87"/>
      <w:r>
        <w:rPr>
          <w:rFonts w:hint="eastAsia" w:ascii="仿宋" w:hAnsi="仿宋" w:eastAsia="仿宋" w:cs="仿宋"/>
          <w:color w:val="auto"/>
          <w:highlight w:val="none"/>
        </w:rPr>
        <w:t>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pPr>
        <w:pStyle w:val="12"/>
        <w:spacing w:line="360" w:lineRule="auto"/>
        <w:outlineLvl w:val="1"/>
        <w:rPr>
          <w:rFonts w:hint="eastAsia" w:ascii="仿宋" w:hAnsi="仿宋" w:eastAsia="仿宋" w:cs="仿宋"/>
          <w:b/>
          <w:color w:val="auto"/>
          <w:highlight w:val="none"/>
        </w:rPr>
      </w:pPr>
      <w:bookmarkStart w:id="1" w:name="_Toc18934"/>
      <w:bookmarkStart w:id="2" w:name="_Toc3373"/>
      <w:bookmarkStart w:id="3" w:name="_Toc8686"/>
      <w:r>
        <w:rPr>
          <w:rFonts w:hint="eastAsia" w:ascii="仿宋" w:hAnsi="仿宋" w:eastAsia="仿宋" w:cs="仿宋"/>
          <w:b/>
          <w:color w:val="auto"/>
          <w:highlight w:val="none"/>
        </w:rPr>
        <w:t>第一条 合同标的及数量</w:t>
      </w:r>
      <w:bookmarkEnd w:id="1"/>
      <w:bookmarkEnd w:id="2"/>
      <w:bookmarkEnd w:id="3"/>
    </w:p>
    <w:p>
      <w:pPr>
        <w:pStyle w:val="12"/>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pPr>
        <w:pStyle w:val="6"/>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0"/>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162"/>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pPr>
              <w:outlineLvl w:val="9"/>
              <w:rPr>
                <w:rFonts w:hint="eastAsia" w:ascii="仿宋" w:hAnsi="仿宋" w:eastAsia="仿宋" w:cs="仿宋"/>
                <w:color w:val="auto"/>
                <w:sz w:val="24"/>
                <w:szCs w:val="24"/>
                <w:highlight w:val="none"/>
              </w:rPr>
            </w:pPr>
            <w:bookmarkStart w:id="4" w:name="_Toc26294"/>
            <w:bookmarkStart w:id="5" w:name="_Toc21343"/>
            <w:bookmarkStart w:id="6" w:name="_Toc1631"/>
            <w:bookmarkStart w:id="7" w:name="_Toc7471"/>
            <w:bookmarkStart w:id="8" w:name="_Toc31400"/>
            <w:r>
              <w:rPr>
                <w:rFonts w:hint="eastAsia" w:ascii="仿宋" w:hAnsi="仿宋" w:eastAsia="仿宋" w:cs="仿宋"/>
                <w:color w:val="auto"/>
                <w:sz w:val="24"/>
                <w:szCs w:val="24"/>
                <w:highlight w:val="none"/>
              </w:rPr>
              <w:t>序号</w:t>
            </w:r>
            <w:bookmarkEnd w:id="4"/>
            <w:bookmarkEnd w:id="5"/>
            <w:bookmarkEnd w:id="6"/>
            <w:bookmarkEnd w:id="7"/>
            <w:bookmarkEnd w:id="8"/>
          </w:p>
        </w:tc>
        <w:tc>
          <w:tcPr>
            <w:tcW w:w="1461" w:type="dxa"/>
            <w:vAlign w:val="center"/>
          </w:tcPr>
          <w:p>
            <w:pPr>
              <w:jc w:val="center"/>
              <w:outlineLvl w:val="9"/>
              <w:rPr>
                <w:rFonts w:hint="eastAsia" w:ascii="仿宋" w:hAnsi="仿宋" w:eastAsia="仿宋" w:cs="仿宋"/>
                <w:color w:val="auto"/>
                <w:sz w:val="24"/>
                <w:szCs w:val="24"/>
                <w:highlight w:val="none"/>
              </w:rPr>
            </w:pPr>
            <w:bookmarkStart w:id="9" w:name="_Toc6445"/>
            <w:bookmarkStart w:id="10" w:name="_Toc23183"/>
            <w:bookmarkStart w:id="11" w:name="_Toc22389"/>
            <w:bookmarkStart w:id="12" w:name="_Toc678"/>
            <w:bookmarkStart w:id="13" w:name="_Toc3968"/>
            <w:r>
              <w:rPr>
                <w:rFonts w:hint="eastAsia" w:ascii="仿宋" w:hAnsi="仿宋" w:eastAsia="仿宋" w:cs="仿宋"/>
                <w:color w:val="auto"/>
                <w:sz w:val="24"/>
                <w:szCs w:val="24"/>
                <w:highlight w:val="none"/>
              </w:rPr>
              <w:t>名称</w:t>
            </w:r>
            <w:bookmarkEnd w:id="9"/>
            <w:bookmarkEnd w:id="10"/>
            <w:bookmarkEnd w:id="11"/>
            <w:bookmarkEnd w:id="12"/>
            <w:bookmarkEnd w:id="13"/>
          </w:p>
        </w:tc>
        <w:tc>
          <w:tcPr>
            <w:tcW w:w="1623" w:type="dxa"/>
            <w:vAlign w:val="center"/>
          </w:tcPr>
          <w:p>
            <w:pPr>
              <w:outlineLvl w:val="9"/>
              <w:rPr>
                <w:rFonts w:hint="eastAsia" w:ascii="仿宋" w:hAnsi="仿宋" w:eastAsia="仿宋" w:cs="仿宋"/>
                <w:color w:val="auto"/>
                <w:sz w:val="24"/>
                <w:szCs w:val="24"/>
                <w:highlight w:val="none"/>
              </w:rPr>
            </w:pPr>
            <w:bookmarkStart w:id="14" w:name="_Toc16370"/>
            <w:bookmarkStart w:id="15" w:name="_Toc31540"/>
            <w:bookmarkStart w:id="16" w:name="_Toc6213"/>
            <w:bookmarkStart w:id="17" w:name="_Toc5820"/>
            <w:bookmarkStart w:id="18" w:name="_Toc13493"/>
            <w:r>
              <w:rPr>
                <w:rFonts w:hint="eastAsia" w:ascii="仿宋" w:hAnsi="仿宋" w:eastAsia="仿宋" w:cs="仿宋"/>
                <w:color w:val="auto"/>
                <w:sz w:val="24"/>
                <w:szCs w:val="24"/>
                <w:highlight w:val="none"/>
              </w:rPr>
              <w:t>品牌/型号</w:t>
            </w:r>
            <w:bookmarkEnd w:id="14"/>
            <w:bookmarkEnd w:id="15"/>
            <w:bookmarkEnd w:id="16"/>
            <w:bookmarkEnd w:id="17"/>
            <w:bookmarkEnd w:id="18"/>
          </w:p>
        </w:tc>
        <w:tc>
          <w:tcPr>
            <w:tcW w:w="832" w:type="dxa"/>
            <w:vAlign w:val="center"/>
          </w:tcPr>
          <w:p>
            <w:pPr>
              <w:outlineLvl w:val="9"/>
              <w:rPr>
                <w:rFonts w:hint="eastAsia" w:ascii="仿宋" w:hAnsi="仿宋" w:eastAsia="仿宋" w:cs="仿宋"/>
                <w:color w:val="auto"/>
                <w:sz w:val="24"/>
                <w:szCs w:val="24"/>
                <w:highlight w:val="none"/>
              </w:rPr>
            </w:pPr>
            <w:bookmarkStart w:id="19" w:name="_Toc15931"/>
            <w:bookmarkStart w:id="20" w:name="_Toc3931"/>
            <w:bookmarkStart w:id="21" w:name="_Toc5177"/>
            <w:bookmarkStart w:id="22" w:name="_Toc21205"/>
            <w:bookmarkStart w:id="23" w:name="_Toc3362"/>
            <w:r>
              <w:rPr>
                <w:rFonts w:hint="eastAsia" w:ascii="仿宋" w:hAnsi="仿宋" w:eastAsia="仿宋" w:cs="仿宋"/>
                <w:color w:val="auto"/>
                <w:sz w:val="24"/>
                <w:szCs w:val="24"/>
                <w:highlight w:val="none"/>
              </w:rPr>
              <w:t>规格</w:t>
            </w:r>
            <w:bookmarkEnd w:id="19"/>
            <w:bookmarkEnd w:id="20"/>
            <w:bookmarkEnd w:id="21"/>
            <w:bookmarkEnd w:id="22"/>
            <w:bookmarkEnd w:id="23"/>
          </w:p>
        </w:tc>
        <w:tc>
          <w:tcPr>
            <w:tcW w:w="822" w:type="dxa"/>
            <w:vAlign w:val="center"/>
          </w:tcPr>
          <w:p>
            <w:pPr>
              <w:outlineLvl w:val="9"/>
              <w:rPr>
                <w:rFonts w:hint="eastAsia" w:ascii="仿宋" w:hAnsi="仿宋" w:eastAsia="仿宋" w:cs="仿宋"/>
                <w:color w:val="auto"/>
                <w:sz w:val="24"/>
                <w:szCs w:val="24"/>
                <w:highlight w:val="none"/>
              </w:rPr>
            </w:pPr>
            <w:bookmarkStart w:id="24" w:name="_Toc18669"/>
            <w:bookmarkStart w:id="25" w:name="_Toc16004"/>
            <w:bookmarkStart w:id="26" w:name="_Toc13801"/>
            <w:bookmarkStart w:id="27" w:name="_Toc8364"/>
            <w:bookmarkStart w:id="28" w:name="_Toc30791"/>
            <w:r>
              <w:rPr>
                <w:rFonts w:hint="eastAsia" w:ascii="仿宋" w:hAnsi="仿宋" w:eastAsia="仿宋" w:cs="仿宋"/>
                <w:color w:val="auto"/>
                <w:sz w:val="24"/>
                <w:szCs w:val="24"/>
                <w:highlight w:val="none"/>
              </w:rPr>
              <w:t>计量单位</w:t>
            </w:r>
            <w:bookmarkEnd w:id="24"/>
            <w:bookmarkEnd w:id="25"/>
            <w:bookmarkEnd w:id="26"/>
            <w:bookmarkEnd w:id="27"/>
            <w:bookmarkEnd w:id="28"/>
          </w:p>
        </w:tc>
        <w:tc>
          <w:tcPr>
            <w:tcW w:w="514" w:type="dxa"/>
            <w:vAlign w:val="center"/>
          </w:tcPr>
          <w:p>
            <w:pPr>
              <w:outlineLvl w:val="9"/>
              <w:rPr>
                <w:rFonts w:hint="eastAsia" w:ascii="仿宋" w:hAnsi="仿宋" w:eastAsia="仿宋" w:cs="仿宋"/>
                <w:color w:val="auto"/>
                <w:sz w:val="24"/>
                <w:szCs w:val="24"/>
                <w:highlight w:val="none"/>
              </w:rPr>
            </w:pPr>
            <w:bookmarkStart w:id="29" w:name="_Toc29871"/>
            <w:bookmarkStart w:id="30" w:name="_Toc609"/>
            <w:bookmarkStart w:id="31" w:name="_Toc24569"/>
            <w:bookmarkStart w:id="32" w:name="_Toc19134"/>
            <w:bookmarkStart w:id="33" w:name="_Toc9231"/>
            <w:r>
              <w:rPr>
                <w:rFonts w:hint="eastAsia" w:ascii="仿宋" w:hAnsi="仿宋" w:eastAsia="仿宋" w:cs="仿宋"/>
                <w:color w:val="auto"/>
                <w:sz w:val="24"/>
                <w:szCs w:val="24"/>
                <w:highlight w:val="none"/>
              </w:rPr>
              <w:t>数量</w:t>
            </w:r>
            <w:bookmarkEnd w:id="29"/>
            <w:bookmarkEnd w:id="30"/>
            <w:bookmarkEnd w:id="31"/>
            <w:bookmarkEnd w:id="32"/>
            <w:bookmarkEnd w:id="33"/>
          </w:p>
        </w:tc>
        <w:tc>
          <w:tcPr>
            <w:tcW w:w="1162" w:type="dxa"/>
            <w:vAlign w:val="center"/>
          </w:tcPr>
          <w:p>
            <w:pPr>
              <w:outlineLvl w:val="9"/>
              <w:rPr>
                <w:rFonts w:hint="eastAsia" w:ascii="仿宋" w:hAnsi="仿宋" w:eastAsia="仿宋" w:cs="仿宋"/>
                <w:color w:val="auto"/>
                <w:sz w:val="24"/>
                <w:szCs w:val="24"/>
                <w:highlight w:val="none"/>
              </w:rPr>
            </w:pPr>
            <w:bookmarkStart w:id="34" w:name="_Toc23932"/>
            <w:bookmarkStart w:id="35" w:name="_Toc29589"/>
            <w:bookmarkStart w:id="36" w:name="_Toc1373"/>
            <w:bookmarkStart w:id="37" w:name="_Toc22269"/>
            <w:bookmarkStart w:id="38" w:name="_Toc5020"/>
            <w:r>
              <w:rPr>
                <w:rFonts w:hint="eastAsia" w:ascii="仿宋" w:hAnsi="仿宋" w:eastAsia="仿宋" w:cs="仿宋"/>
                <w:color w:val="auto"/>
                <w:sz w:val="24"/>
                <w:szCs w:val="24"/>
                <w:highlight w:val="none"/>
              </w:rPr>
              <w:t>单价（元）</w:t>
            </w:r>
            <w:bookmarkEnd w:id="34"/>
            <w:bookmarkEnd w:id="35"/>
            <w:bookmarkEnd w:id="36"/>
            <w:bookmarkEnd w:id="37"/>
            <w:bookmarkEnd w:id="38"/>
          </w:p>
        </w:tc>
        <w:tc>
          <w:tcPr>
            <w:tcW w:w="1601" w:type="dxa"/>
            <w:vAlign w:val="center"/>
          </w:tcPr>
          <w:p>
            <w:pPr>
              <w:ind w:left="236" w:hanging="235" w:hangingChars="98"/>
              <w:outlineLvl w:val="9"/>
              <w:rPr>
                <w:rFonts w:hint="eastAsia" w:ascii="仿宋" w:hAnsi="仿宋" w:eastAsia="仿宋" w:cs="仿宋"/>
                <w:color w:val="auto"/>
                <w:sz w:val="24"/>
                <w:szCs w:val="24"/>
                <w:highlight w:val="none"/>
              </w:rPr>
            </w:pPr>
            <w:bookmarkStart w:id="39" w:name="_Toc23619"/>
            <w:bookmarkStart w:id="40" w:name="_Toc26062"/>
            <w:bookmarkStart w:id="41" w:name="_Toc14510"/>
            <w:bookmarkStart w:id="42" w:name="_Toc32579"/>
            <w:bookmarkStart w:id="43" w:name="_Toc17545"/>
            <w:r>
              <w:rPr>
                <w:rFonts w:hint="eastAsia" w:ascii="仿宋" w:hAnsi="仿宋" w:eastAsia="仿宋" w:cs="仿宋"/>
                <w:color w:val="auto"/>
                <w:sz w:val="24"/>
                <w:szCs w:val="24"/>
                <w:highlight w:val="none"/>
              </w:rPr>
              <w:t>金额 (元)</w:t>
            </w:r>
            <w:bookmarkEnd w:id="39"/>
            <w:bookmarkEnd w:id="40"/>
            <w:bookmarkEnd w:id="41"/>
            <w:bookmarkEnd w:id="42"/>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162" w:type="dxa"/>
          </w:tcPr>
          <w:p>
            <w:pPr>
              <w:outlineLvl w:val="9"/>
              <w:rPr>
                <w:rFonts w:hint="eastAsia" w:ascii="仿宋" w:hAnsi="仿宋" w:eastAsia="仿宋" w:cs="仿宋"/>
                <w:color w:val="auto"/>
                <w:sz w:val="24"/>
                <w:szCs w:val="24"/>
                <w:highlight w:val="none"/>
              </w:rPr>
            </w:pPr>
          </w:p>
        </w:tc>
        <w:tc>
          <w:tcPr>
            <w:tcW w:w="1601"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pPr>
              <w:outlineLvl w:val="9"/>
              <w:rPr>
                <w:rFonts w:hint="eastAsia" w:ascii="仿宋" w:hAnsi="仿宋" w:eastAsia="仿宋" w:cs="仿宋"/>
                <w:color w:val="auto"/>
                <w:sz w:val="24"/>
                <w:szCs w:val="24"/>
                <w:highlight w:val="none"/>
              </w:rPr>
            </w:pPr>
            <w:bookmarkStart w:id="44" w:name="_Toc18746"/>
            <w:bookmarkStart w:id="45" w:name="_Toc16401"/>
            <w:bookmarkStart w:id="46" w:name="_Toc15703"/>
            <w:bookmarkStart w:id="47" w:name="_Toc10934"/>
            <w:bookmarkStart w:id="48" w:name="_Toc25107"/>
            <w:r>
              <w:rPr>
                <w:rFonts w:hint="eastAsia" w:ascii="仿宋" w:hAnsi="仿宋" w:eastAsia="仿宋" w:cs="仿宋"/>
                <w:color w:val="auto"/>
                <w:sz w:val="24"/>
                <w:szCs w:val="24"/>
                <w:highlight w:val="none"/>
              </w:rPr>
              <w:t>合计</w:t>
            </w:r>
            <w:bookmarkEnd w:id="44"/>
            <w:bookmarkEnd w:id="45"/>
            <w:bookmarkEnd w:id="46"/>
            <w:bookmarkEnd w:id="47"/>
            <w:bookmarkEnd w:id="48"/>
          </w:p>
        </w:tc>
        <w:tc>
          <w:tcPr>
            <w:tcW w:w="4931" w:type="dxa"/>
            <w:gridSpan w:val="5"/>
          </w:tcPr>
          <w:p>
            <w:pPr>
              <w:outlineLvl w:val="9"/>
              <w:rPr>
                <w:rFonts w:hint="eastAsia" w:ascii="仿宋" w:hAnsi="仿宋" w:eastAsia="仿宋" w:cs="仿宋"/>
                <w:color w:val="auto"/>
                <w:sz w:val="24"/>
                <w:szCs w:val="24"/>
                <w:highlight w:val="none"/>
              </w:rPr>
            </w:pPr>
            <w:bookmarkStart w:id="49" w:name="_Toc3316"/>
            <w:bookmarkStart w:id="50" w:name="_Toc10002"/>
            <w:bookmarkStart w:id="51" w:name="_Toc18304"/>
            <w:bookmarkStart w:id="52" w:name="_Toc9771"/>
            <w:bookmarkStart w:id="53" w:name="_Toc31431"/>
            <w:r>
              <w:rPr>
                <w:rFonts w:hint="eastAsia" w:ascii="仿宋" w:hAnsi="仿宋" w:eastAsia="仿宋" w:cs="仿宋"/>
                <w:color w:val="auto"/>
                <w:sz w:val="24"/>
                <w:szCs w:val="24"/>
                <w:highlight w:val="none"/>
              </w:rPr>
              <w:t>¥</w:t>
            </w:r>
            <w:bookmarkEnd w:id="49"/>
            <w:bookmarkEnd w:id="50"/>
            <w:bookmarkEnd w:id="51"/>
            <w:bookmarkEnd w:id="52"/>
            <w:bookmarkEnd w:id="53"/>
          </w:p>
        </w:tc>
      </w:tr>
    </w:tbl>
    <w:p>
      <w:pPr>
        <w:pStyle w:val="5"/>
        <w:spacing w:line="360" w:lineRule="auto"/>
        <w:jc w:val="both"/>
        <w:rPr>
          <w:rFonts w:hint="eastAsia" w:ascii="仿宋" w:hAnsi="仿宋" w:eastAsia="仿宋" w:cs="仿宋"/>
          <w:color w:val="auto"/>
          <w:sz w:val="24"/>
          <w:szCs w:val="24"/>
          <w:highlight w:val="none"/>
        </w:rPr>
      </w:pPr>
      <w:bookmarkStart w:id="54" w:name="_Toc14881"/>
      <w:bookmarkStart w:id="55" w:name="_Toc6586"/>
      <w:bookmarkStart w:id="56" w:name="_Toc28512"/>
      <w:r>
        <w:rPr>
          <w:rFonts w:hint="eastAsia" w:ascii="仿宋" w:hAnsi="仿宋" w:eastAsia="仿宋" w:cs="仿宋"/>
          <w:color w:val="auto"/>
          <w:sz w:val="24"/>
          <w:szCs w:val="24"/>
          <w:highlight w:val="none"/>
        </w:rPr>
        <w:t>第二条 合同价款</w:t>
      </w:r>
      <w:bookmarkEnd w:id="54"/>
      <w:bookmarkEnd w:id="55"/>
      <w:bookmarkEnd w:id="56"/>
    </w:p>
    <w:p>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7" w:name="_Toc31924"/>
    </w:p>
    <w:p>
      <w:pPr>
        <w:pStyle w:val="5"/>
        <w:spacing w:line="360" w:lineRule="auto"/>
        <w:ind w:firstLine="241" w:firstLineChars="100"/>
        <w:jc w:val="both"/>
        <w:rPr>
          <w:rFonts w:hint="default" w:eastAsia="仿宋"/>
          <w:lang w:val="en-US" w:eastAsia="zh-CN"/>
        </w:rPr>
      </w:pPr>
      <w:bookmarkStart w:id="58" w:name="_Toc14426"/>
      <w:bookmarkStart w:id="59" w:name="_Toc2721"/>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7"/>
      <w:bookmarkEnd w:id="58"/>
      <w:bookmarkEnd w:id="59"/>
    </w:p>
    <w:p>
      <w:pPr>
        <w:pStyle w:val="12"/>
        <w:numPr>
          <w:ilvl w:val="0"/>
          <w:numId w:val="0"/>
        </w:numPr>
        <w:spacing w:line="360" w:lineRule="auto"/>
        <w:ind w:firstLine="480" w:firstLineChars="200"/>
        <w:outlineLvl w:val="1"/>
        <w:rPr>
          <w:rFonts w:hint="eastAsia" w:ascii="仿宋" w:hAnsi="仿宋" w:eastAsia="仿宋" w:cs="仿宋"/>
          <w:b/>
          <w:color w:val="auto"/>
          <w:highlight w:val="none"/>
          <w:lang w:val="en-US" w:eastAsia="zh-CN"/>
        </w:rPr>
      </w:pPr>
      <w:bookmarkStart w:id="60" w:name="_Toc24977"/>
      <w:bookmarkStart w:id="61" w:name="_Toc7450"/>
      <w:bookmarkStart w:id="62" w:name="_Toc7176"/>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pPr>
        <w:pStyle w:val="12"/>
        <w:numPr>
          <w:ilvl w:val="0"/>
          <w:numId w:val="1"/>
        </w:numPr>
        <w:spacing w:line="360" w:lineRule="auto"/>
        <w:outlineLvl w:val="1"/>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交</w:t>
      </w:r>
      <w:r>
        <w:rPr>
          <w:rFonts w:hint="eastAsia" w:ascii="仿宋" w:hAnsi="仿宋" w:eastAsia="仿宋" w:cs="仿宋"/>
          <w:b/>
          <w:color w:val="auto"/>
          <w:highlight w:val="none"/>
          <w:lang w:val="en-US" w:eastAsia="zh-CN"/>
        </w:rPr>
        <w:t>货期限</w:t>
      </w:r>
      <w:bookmarkEnd w:id="60"/>
      <w:bookmarkEnd w:id="61"/>
      <w:bookmarkEnd w:id="62"/>
    </w:p>
    <w:p>
      <w:pPr>
        <w:pStyle w:val="12"/>
        <w:numPr>
          <w:ilvl w:val="0"/>
          <w:numId w:val="0"/>
        </w:numPr>
        <w:spacing w:line="360" w:lineRule="auto"/>
        <w:outlineLvl w:val="1"/>
        <w:rPr>
          <w:rFonts w:hint="default" w:ascii="仿宋" w:hAnsi="仿宋" w:eastAsia="仿宋" w:cs="仿宋"/>
          <w:b w:val="0"/>
          <w:bCs/>
          <w:color w:val="auto"/>
          <w:highlight w:val="none"/>
          <w:u w:val="none"/>
          <w:lang w:val="en-US" w:eastAsia="zh-CN"/>
        </w:rPr>
      </w:pPr>
      <w:r>
        <w:rPr>
          <w:rFonts w:hint="eastAsia" w:ascii="仿宋" w:hAnsi="仿宋" w:eastAsia="仿宋" w:cs="仿宋"/>
          <w:b w:val="0"/>
          <w:bCs/>
          <w:color w:val="auto"/>
          <w:highlight w:val="non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pPr>
        <w:pStyle w:val="12"/>
        <w:numPr>
          <w:ilvl w:val="0"/>
          <w:numId w:val="2"/>
        </w:numPr>
        <w:spacing w:line="360" w:lineRule="auto"/>
        <w:outlineLvl w:val="1"/>
        <w:rPr>
          <w:rFonts w:hint="default" w:ascii="仿宋" w:hAnsi="仿宋" w:eastAsia="仿宋" w:cs="仿宋"/>
          <w:b/>
          <w:color w:val="auto"/>
          <w:highlight w:val="none"/>
          <w:lang w:val="en-US"/>
        </w:rPr>
      </w:pPr>
      <w:bookmarkStart w:id="63" w:name="_Toc8595"/>
      <w:r>
        <w:rPr>
          <w:rFonts w:hint="eastAsia" w:ascii="仿宋" w:hAnsi="仿宋" w:eastAsia="仿宋" w:cs="仿宋"/>
          <w:b/>
          <w:color w:val="auto"/>
          <w:highlight w:val="none"/>
          <w:lang w:val="en-US" w:eastAsia="zh-CN"/>
        </w:rPr>
        <w:t xml:space="preserve"> </w:t>
      </w:r>
      <w:bookmarkStart w:id="64" w:name="_Toc2774"/>
      <w:bookmarkStart w:id="65" w:name="_Toc18347"/>
      <w:r>
        <w:rPr>
          <w:rFonts w:hint="eastAsia" w:ascii="仿宋" w:hAnsi="仿宋" w:eastAsia="仿宋" w:cs="仿宋"/>
          <w:b/>
          <w:color w:val="auto"/>
          <w:highlight w:val="none"/>
        </w:rPr>
        <w:t>质</w:t>
      </w:r>
      <w:bookmarkEnd w:id="63"/>
      <w:r>
        <w:rPr>
          <w:rFonts w:hint="eastAsia" w:ascii="仿宋" w:hAnsi="仿宋" w:eastAsia="仿宋" w:cs="仿宋"/>
          <w:b/>
          <w:color w:val="auto"/>
          <w:highlight w:val="none"/>
          <w:lang w:val="en-US" w:eastAsia="zh-CN"/>
        </w:rPr>
        <w:t>保</w:t>
      </w:r>
      <w:bookmarkEnd w:id="64"/>
      <w:bookmarkEnd w:id="65"/>
      <w:r>
        <w:rPr>
          <w:rFonts w:hint="eastAsia" w:ascii="仿宋" w:hAnsi="仿宋" w:eastAsia="仿宋" w:cs="仿宋"/>
          <w:b/>
          <w:color w:val="auto"/>
          <w:highlight w:val="none"/>
          <w:lang w:val="en-US" w:eastAsia="zh-CN"/>
        </w:rPr>
        <w:t>保证</w:t>
      </w:r>
    </w:p>
    <w:p>
      <w:pPr>
        <w:pStyle w:val="8"/>
        <w:spacing w:line="360" w:lineRule="auto"/>
        <w:ind w:firstLine="480" w:firstLineChars="200"/>
        <w:rPr>
          <w:rFonts w:ascii="仿宋" w:hAnsi="仿宋" w:eastAsia="仿宋" w:cs="仿宋"/>
          <w:sz w:val="24"/>
        </w:rPr>
      </w:pPr>
      <w:bookmarkStart w:id="66" w:name="_Toc26000"/>
      <w:bookmarkStart w:id="67" w:name="_Toc5147"/>
      <w:bookmarkStart w:id="68" w:name="_Toc23635"/>
      <w:r>
        <w:rPr>
          <w:rFonts w:hint="eastAsia" w:ascii="仿宋" w:hAnsi="仿宋" w:eastAsia="仿宋" w:cs="仿宋"/>
          <w:sz w:val="24"/>
          <w:lang w:val="en-US" w:eastAsia="zh-CN"/>
        </w:rPr>
        <w:t>1.</w:t>
      </w:r>
      <w:r>
        <w:rPr>
          <w:rFonts w:hint="eastAsia" w:ascii="仿宋" w:hAnsi="仿宋" w:eastAsia="仿宋" w:cs="仿宋"/>
          <w:sz w:val="24"/>
        </w:rPr>
        <w:t>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乙方提供的设备及配套产品必须等同于或优于合同技术指标要求，并能按国家标准供应、检测、调试，确保产品技术指标满足使用要求。</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乙方在收到通知后虽答复，但没有弥补缺陷，甲方可采取必要的补救措施，但由此引发的风险和费用将由乙方承担。甲方根据合同规定对乙方行使的其他权力不受影响。</w:t>
      </w:r>
    </w:p>
    <w:p>
      <w:pPr>
        <w:pStyle w:val="8"/>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w:t>
      </w:r>
      <w:r>
        <w:rPr>
          <w:rFonts w:hint="eastAsia" w:ascii="仿宋" w:hAnsi="仿宋" w:eastAsia="仿宋" w:cs="仿宋"/>
          <w:sz w:val="24"/>
        </w:rPr>
        <w:t>质保期为终验合格后</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sz w:val="24"/>
        </w:rPr>
        <w:t>（参数中有具体要求的，按参数要求提供质保）。中标人承诺的质保时间超过招标文件要求的，按其承诺时间质保。</w:t>
      </w: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w:t>
      </w:r>
      <w:r>
        <w:rPr>
          <w:rFonts w:hint="eastAsia" w:ascii="仿宋" w:hAnsi="仿宋" w:eastAsia="仿宋" w:cs="仿宋"/>
          <w:sz w:val="24"/>
        </w:rPr>
        <w:t>中标人承诺的质保期起始时间为终验合格之日。</w:t>
      </w: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rPr>
        <w:t>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12"/>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6"/>
      <w:bookmarkEnd w:id="67"/>
      <w:bookmarkEnd w:id="68"/>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pPr>
        <w:pStyle w:val="12"/>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pPr>
        <w:pStyle w:val="12"/>
        <w:spacing w:line="360" w:lineRule="auto"/>
        <w:outlineLvl w:val="1"/>
        <w:rPr>
          <w:rFonts w:hint="default" w:ascii="仿宋" w:hAnsi="仿宋" w:eastAsia="仿宋" w:cs="仿宋"/>
          <w:b/>
          <w:color w:val="auto"/>
          <w:highlight w:val="none"/>
          <w:lang w:val="en-US" w:eastAsia="zh-CN"/>
        </w:rPr>
      </w:pPr>
      <w:bookmarkStart w:id="69" w:name="_Toc31505"/>
      <w:bookmarkStart w:id="70" w:name="_Toc18410"/>
      <w:bookmarkStart w:id="71" w:name="_Toc31476"/>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9"/>
      <w:bookmarkEnd w:id="70"/>
      <w:bookmarkEnd w:id="71"/>
      <w:r>
        <w:rPr>
          <w:rFonts w:hint="eastAsia" w:ascii="仿宋" w:hAnsi="仿宋" w:eastAsia="仿宋" w:cs="仿宋"/>
          <w:b/>
          <w:color w:val="auto"/>
          <w:highlight w:val="none"/>
          <w:lang w:val="en-US" w:eastAsia="zh-CN"/>
        </w:rPr>
        <w:t>及培训</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3.</w:t>
      </w:r>
      <w:r>
        <w:rPr>
          <w:rFonts w:hint="eastAsia" w:ascii="仿宋" w:hAnsi="仿宋" w:eastAsia="仿宋" w:cs="仿宋"/>
          <w:color w:val="auto"/>
          <w:kern w:val="0"/>
          <w:highlight w:val="none"/>
        </w:rPr>
        <w:t>人员培训：乙方终身免费为甲方培训设备使用人员，培训内容包括：设备操作、维护、简单维修等。</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4.</w:t>
      </w:r>
      <w:r>
        <w:rPr>
          <w:rFonts w:hint="eastAsia" w:ascii="仿宋" w:hAnsi="仿宋" w:eastAsia="仿宋" w:cs="仿宋"/>
          <w:color w:val="auto"/>
          <w:kern w:val="0"/>
          <w:highlight w:val="none"/>
        </w:rPr>
        <w:t>售后服务：质保期内乙方对甲方提出的服务响应不得超出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小时。</w:t>
      </w:r>
    </w:p>
    <w:p>
      <w:pPr>
        <w:pStyle w:val="12"/>
        <w:spacing w:line="360" w:lineRule="auto"/>
        <w:outlineLvl w:val="1"/>
        <w:rPr>
          <w:rFonts w:hint="eastAsia" w:ascii="仿宋" w:hAnsi="仿宋" w:eastAsia="仿宋" w:cs="仿宋"/>
          <w:b/>
          <w:color w:val="auto"/>
          <w:highlight w:val="none"/>
        </w:rPr>
      </w:pPr>
      <w:bookmarkStart w:id="72" w:name="_Toc3711"/>
      <w:bookmarkStart w:id="73" w:name="_Toc28698"/>
      <w:bookmarkStart w:id="74" w:name="_Toc3919"/>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违约责任</w:t>
      </w:r>
      <w:bookmarkEnd w:id="72"/>
      <w:bookmarkEnd w:id="73"/>
      <w:bookmarkEnd w:id="74"/>
    </w:p>
    <w:p>
      <w:pPr>
        <w:pStyle w:val="12"/>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1.甲方违约责任</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（1）甲方无正当理由拒收货物的，甲方应偿付合同总价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（2）甲方逾期支付货款的，除应及时付足货款外，应向乙方每天支付欠款总额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的滞纳金；但累计滞纳金总额不超过欠款总额的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pPr>
        <w:pStyle w:val="12"/>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2.乙方违约责任</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（2）乙方逾期交付货物的，每逾期1天，乙方向甲方偿付逾期交付部分货款总额的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rPr>
        <w:t>的滞纳金。如乙方逾期交付达</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天，甲方有权解除合同，解除合同的通知自到达乙方时生效，乙方应向甲方支付合同总价的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%违约金，违约金不足以弥补甲方损失的，由乙方另行支付；</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%的违约金，并按甲方要求予以免费更换；</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%的违约金，违约金不足以弥补甲方损失的，由乙方另行支付；</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（6）乙方未按本合同的规定和</w:t>
      </w:r>
      <w:r>
        <w:rPr>
          <w:rFonts w:hint="eastAsia" w:ascii="仿宋" w:hAnsi="仿宋" w:eastAsia="仿宋" w:cs="仿宋"/>
          <w:color w:val="auto"/>
          <w:kern w:val="0"/>
          <w:highlight w:val="none"/>
          <w:lang w:val="en-US" w:eastAsia="zh-CN"/>
        </w:rPr>
        <w:t>售后服务方案</w:t>
      </w:r>
      <w:r>
        <w:rPr>
          <w:rFonts w:hint="eastAsia" w:ascii="仿宋" w:hAnsi="仿宋" w:eastAsia="仿宋" w:cs="仿宋"/>
          <w:color w:val="auto"/>
          <w:kern w:val="0"/>
          <w:highlight w:val="none"/>
        </w:rPr>
        <w:t>提供伴随服务/售后服务的，应按合同总价款的</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%向甲方承担违约责任；</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（8）乙方偿付的违约金不足以弥补甲方损失的，还应按甲方损失尚未弥补的部分，支付赔偿金给甲方。</w:t>
      </w:r>
    </w:p>
    <w:p>
      <w:pPr>
        <w:widowControl/>
        <w:spacing w:line="360" w:lineRule="auto"/>
        <w:jc w:val="left"/>
        <w:outlineLvl w:val="1"/>
        <w:rPr>
          <w:rFonts w:hint="eastAsia" w:ascii="仿宋" w:hAnsi="仿宋" w:eastAsia="仿宋" w:cs="仿宋"/>
          <w:color w:val="auto"/>
          <w:kern w:val="0"/>
          <w:sz w:val="24"/>
          <w:szCs w:val="24"/>
          <w:highlight w:val="none"/>
        </w:rPr>
      </w:pPr>
      <w:bookmarkStart w:id="75" w:name="_Toc17126"/>
      <w:bookmarkStart w:id="76" w:name="_Toc13805"/>
      <w:bookmarkStart w:id="77" w:name="_Toc27557"/>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5"/>
      <w:bookmarkEnd w:id="76"/>
      <w:bookmarkEnd w:id="77"/>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pPr>
        <w:widowControl/>
        <w:spacing w:line="360" w:lineRule="auto"/>
        <w:jc w:val="left"/>
        <w:outlineLvl w:val="1"/>
        <w:rPr>
          <w:rFonts w:hint="eastAsia" w:ascii="仿宋" w:hAnsi="仿宋" w:eastAsia="仿宋" w:cs="仿宋"/>
          <w:b/>
          <w:color w:val="auto"/>
          <w:kern w:val="0"/>
          <w:sz w:val="24"/>
          <w:szCs w:val="24"/>
          <w:highlight w:val="none"/>
        </w:rPr>
      </w:pPr>
      <w:bookmarkStart w:id="78" w:name="_Toc29986"/>
      <w:bookmarkStart w:id="79" w:name="_Toc16869"/>
      <w:bookmarkStart w:id="80" w:name="_Toc13338"/>
      <w:r>
        <w:rPr>
          <w:rFonts w:hint="eastAsia" w:ascii="仿宋" w:hAnsi="仿宋" w:eastAsia="仿宋" w:cs="仿宋"/>
          <w:b/>
          <w:color w:val="auto"/>
          <w:kern w:val="0"/>
          <w:sz w:val="24"/>
          <w:szCs w:val="24"/>
          <w:highlight w:val="none"/>
        </w:rPr>
        <w:t>第十条 争议的解决</w:t>
      </w:r>
      <w:bookmarkEnd w:id="78"/>
      <w:bookmarkEnd w:id="79"/>
      <w:bookmarkEnd w:id="80"/>
    </w:p>
    <w:p>
      <w:pPr>
        <w:pStyle w:val="12"/>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1.因货物的质量问题发生争议，由质量技术监督部门或其指定的质量鉴定机构进行质量鉴定。货物符合标准的，鉴定费由甲方承担；货物不符合质量标准的，鉴定费由乙方承担。</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种方式解决争议：</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（1）向甲方所在地有管辖权的人民法院提起诉讼；</w:t>
      </w:r>
    </w:p>
    <w:p>
      <w:pPr>
        <w:pStyle w:val="12"/>
        <w:spacing w:line="360" w:lineRule="auto"/>
        <w:ind w:firstLine="480" w:firstLineChars="200"/>
        <w:rPr>
          <w:rFonts w:hint="eastAsia" w:ascii="仿宋" w:hAnsi="仿宋" w:eastAsia="仿宋" w:cs="仿宋"/>
          <w:color w:val="auto"/>
          <w:kern w:val="0"/>
          <w:highlight w:val="none"/>
          <w:lang w:eastAsia="zh-CN"/>
        </w:rPr>
      </w:pPr>
      <w:r>
        <w:rPr>
          <w:rFonts w:hint="eastAsia" w:ascii="仿宋" w:hAnsi="仿宋" w:eastAsia="仿宋" w:cs="仿宋"/>
          <w:color w:val="auto"/>
          <w:kern w:val="0"/>
          <w:highlight w:val="none"/>
        </w:rPr>
        <w:t>（2）向</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仲裁委员会按其仲裁规则申请仲裁</w:t>
      </w:r>
      <w:r>
        <w:rPr>
          <w:rFonts w:hint="eastAsia" w:ascii="仿宋" w:hAnsi="仿宋" w:eastAsia="仿宋" w:cs="仿宋"/>
          <w:color w:val="auto"/>
          <w:kern w:val="0"/>
          <w:highlight w:val="none"/>
          <w:lang w:eastAsia="zh-CN"/>
        </w:rPr>
        <w:t>；</w:t>
      </w:r>
    </w:p>
    <w:p>
      <w:pPr>
        <w:pStyle w:val="12"/>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3.在诉讼期间，本合同应继续履行。</w:t>
      </w:r>
    </w:p>
    <w:p>
      <w:pPr>
        <w:snapToGrid w:val="0"/>
        <w:spacing w:line="360" w:lineRule="auto"/>
        <w:textAlignment w:val="baseline"/>
        <w:outlineLvl w:val="1"/>
        <w:rPr>
          <w:rFonts w:hint="eastAsia" w:ascii="仿宋" w:hAnsi="仿宋" w:eastAsia="仿宋" w:cs="仿宋"/>
          <w:b/>
          <w:color w:val="auto"/>
          <w:sz w:val="24"/>
          <w:szCs w:val="24"/>
          <w:highlight w:val="none"/>
        </w:rPr>
      </w:pPr>
      <w:bookmarkStart w:id="81" w:name="_Toc6911"/>
      <w:bookmarkStart w:id="82" w:name="_Toc24039"/>
      <w:bookmarkStart w:id="83" w:name="_Toc26051"/>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81"/>
      <w:bookmarkEnd w:id="82"/>
      <w:bookmarkEnd w:id="83"/>
    </w:p>
    <w:p>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pPr>
        <w:snapToGrid w:val="0"/>
        <w:spacing w:line="360" w:lineRule="auto"/>
        <w:outlineLvl w:val="1"/>
        <w:rPr>
          <w:rFonts w:hint="eastAsia" w:ascii="仿宋" w:hAnsi="仿宋" w:eastAsia="仿宋" w:cs="仿宋"/>
          <w:b/>
          <w:color w:val="auto"/>
          <w:kern w:val="0"/>
          <w:sz w:val="24"/>
          <w:szCs w:val="24"/>
          <w:highlight w:val="none"/>
        </w:rPr>
      </w:pPr>
      <w:bookmarkStart w:id="84" w:name="_Toc32342"/>
      <w:bookmarkStart w:id="85" w:name="_Toc13842"/>
      <w:bookmarkStart w:id="86" w:name="_Toc138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4"/>
      <w:bookmarkEnd w:id="85"/>
      <w:bookmarkEnd w:id="86"/>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3.本合同一式___份，具有同等法律效力，甲乙双方各执____份。</w:t>
      </w:r>
    </w:p>
    <w:p>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C5BD059-A1CC-49A9-82DA-4B4F6D8B0F7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3684CA9B-E04D-4D96-86C8-D461010E6E12}"/>
  </w:font>
  <w:font w:name="仿宋">
    <w:panose1 w:val="02010609060101010101"/>
    <w:charset w:val="86"/>
    <w:family w:val="modern"/>
    <w:pitch w:val="default"/>
    <w:sig w:usb0="800002BF" w:usb1="38CF7CFA" w:usb2="00000016" w:usb3="00000000" w:csb0="00040001" w:csb1="00000000"/>
    <w:embedRegular r:id="rId3" w:fontKey="{143B2CF3-C338-4AED-92E8-4C58045CFF1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FC741"/>
    <w:multiLevelType w:val="singleLevel"/>
    <w:tmpl w:val="028FC741"/>
    <w:lvl w:ilvl="0" w:tentative="0">
      <w:start w:val="4"/>
      <w:numFmt w:val="chineseCounting"/>
      <w:suff w:val="space"/>
      <w:lvlText w:val="第%1条"/>
      <w:lvlJc w:val="left"/>
      <w:rPr>
        <w:rFonts w:hint="eastAsia"/>
      </w:rPr>
    </w:lvl>
  </w:abstractNum>
  <w:abstractNum w:abstractNumId="1">
    <w:nsid w:val="23484E31"/>
    <w:multiLevelType w:val="singleLevel"/>
    <w:tmpl w:val="23484E31"/>
    <w:lvl w:ilvl="0" w:tentative="0">
      <w:start w:val="5"/>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38E42B80"/>
    <w:rsid w:val="020E02AA"/>
    <w:rsid w:val="07E51AAD"/>
    <w:rsid w:val="0B1A04DC"/>
    <w:rsid w:val="0C0544CC"/>
    <w:rsid w:val="123F625E"/>
    <w:rsid w:val="17E72CD8"/>
    <w:rsid w:val="180B4E43"/>
    <w:rsid w:val="181A40D7"/>
    <w:rsid w:val="1D3C6D55"/>
    <w:rsid w:val="263C4B36"/>
    <w:rsid w:val="264913D7"/>
    <w:rsid w:val="2A7C59B7"/>
    <w:rsid w:val="321150C9"/>
    <w:rsid w:val="33613CE8"/>
    <w:rsid w:val="33E4755F"/>
    <w:rsid w:val="354F3848"/>
    <w:rsid w:val="38E42B80"/>
    <w:rsid w:val="397078B6"/>
    <w:rsid w:val="3D0A09CF"/>
    <w:rsid w:val="4FB97F09"/>
    <w:rsid w:val="56881917"/>
    <w:rsid w:val="56B31FEC"/>
    <w:rsid w:val="59F42A57"/>
    <w:rsid w:val="5CE31541"/>
    <w:rsid w:val="643B2AF7"/>
    <w:rsid w:val="6BF95CAB"/>
    <w:rsid w:val="70427DDE"/>
    <w:rsid w:val="70695446"/>
    <w:rsid w:val="73920EBF"/>
    <w:rsid w:val="73D828EE"/>
    <w:rsid w:val="759A04FF"/>
    <w:rsid w:val="7A6723E9"/>
    <w:rsid w:val="7A6C1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4">
    <w:name w:val="heading 1"/>
    <w:basedOn w:val="1"/>
    <w:next w:val="1"/>
    <w:autoRedefine/>
    <w:qFormat/>
    <w:uiPriority w:val="0"/>
    <w:pPr>
      <w:jc w:val="center"/>
      <w:outlineLvl w:val="0"/>
    </w:pPr>
    <w:rPr>
      <w:rFonts w:ascii="宋体" w:hAnsi="宋体"/>
      <w:b/>
      <w:sz w:val="36"/>
    </w:rPr>
  </w:style>
  <w:style w:type="paragraph" w:styleId="5">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rPr>
      <w:b/>
      <w:color w:val="000000"/>
      <w:kern w:val="0"/>
      <w:sz w:val="24"/>
      <w:szCs w:val="24"/>
    </w:rPr>
  </w:style>
  <w:style w:type="paragraph" w:styleId="3">
    <w:name w:val="envelope return"/>
    <w:basedOn w:val="1"/>
    <w:autoRedefine/>
    <w:qFormat/>
    <w:uiPriority w:val="0"/>
    <w:pPr>
      <w:snapToGrid w:val="0"/>
    </w:pPr>
    <w:rPr>
      <w:rFonts w:ascii="Arial" w:hAnsi="Arial"/>
    </w:rPr>
  </w:style>
  <w:style w:type="paragraph" w:styleId="6">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7">
    <w:name w:val="Body Text"/>
    <w:basedOn w:val="1"/>
    <w:next w:val="1"/>
    <w:autoRedefine/>
    <w:qFormat/>
    <w:uiPriority w:val="0"/>
    <w:pPr>
      <w:spacing w:after="120"/>
    </w:pPr>
    <w:rPr>
      <w:rFonts w:ascii="Times New Roman" w:hAnsi="Times New Roman"/>
    </w:rPr>
  </w:style>
  <w:style w:type="paragraph" w:styleId="8">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3">
    <w:name w:val="标题 41"/>
    <w:basedOn w:val="1"/>
    <w:autoRedefine/>
    <w:qFormat/>
    <w:uiPriority w:val="1"/>
    <w:pPr>
      <w:ind w:left="1745"/>
      <w:jc w:val="left"/>
      <w:outlineLvl w:val="4"/>
    </w:pPr>
    <w:rPr>
      <w:rFonts w:ascii="宋体" w:hAnsi="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懛鰦</cp:lastModifiedBy>
  <dcterms:modified xsi:type="dcterms:W3CDTF">2025-06-20T07:27:13Z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1CCEC583AA234E7190960739386B8EF1_11</vt:lpwstr>
  </property>
</Properties>
</file>