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473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bCs/>
          <w:i w:val="0"/>
          <w:iCs w:val="0"/>
          <w:caps w:val="0"/>
          <w:color w:val="333333"/>
          <w:spacing w:val="0"/>
          <w:sz w:val="39"/>
          <w:szCs w:val="39"/>
        </w:rPr>
      </w:pPr>
      <w:r>
        <w:rPr>
          <w:rFonts w:hint="eastAsia" w:ascii="宋体" w:hAnsi="宋体" w:eastAsia="宋体" w:cs="宋体"/>
          <w:b/>
          <w:bCs/>
          <w:i w:val="0"/>
          <w:iCs w:val="0"/>
          <w:caps w:val="0"/>
          <w:color w:val="333333"/>
          <w:spacing w:val="0"/>
          <w:sz w:val="39"/>
          <w:szCs w:val="39"/>
          <w:bdr w:val="none" w:color="auto" w:sz="0" w:space="0"/>
          <w:shd w:val="clear" w:fill="FFFFFF"/>
        </w:rPr>
        <w:t>磋商项目技术、服务、商务及其他要求</w:t>
      </w:r>
    </w:p>
    <w:p w14:paraId="393048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bdr w:val="none" w:color="auto" w:sz="0" w:space="0"/>
          <w:shd w:val="clear" w:fill="FFFFFF"/>
        </w:rPr>
        <w:t>（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534A4D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3.1采购项目概况</w:t>
      </w:r>
    </w:p>
    <w:p w14:paraId="13F5A9A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根据区域划分的责任范围，对雁塔区约52个小区的庭院燃气管道更新改造进行可行性研究报告编制；配合并促进采购人完成2026年雁塔区庭院燃气管道老化更新改造目标；各项服务符合国家、省、市（行业）强制性标准及采购人要求的合格标准。</w:t>
      </w:r>
    </w:p>
    <w:p w14:paraId="7FBAC2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3.2服务内容及服务要求</w:t>
      </w:r>
    </w:p>
    <w:p w14:paraId="6F500E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3.2.1服务内容</w:t>
      </w:r>
    </w:p>
    <w:p w14:paraId="732CBE2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2D02AF3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采购包预算金额（元）: 201,100.00</w:t>
      </w:r>
    </w:p>
    <w:p w14:paraId="66201EC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采购包最高限价（元）: 201,100.00</w:t>
      </w:r>
    </w:p>
    <w:p w14:paraId="4DBCE02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供应商报价不允许超过标的金额</w:t>
      </w:r>
    </w:p>
    <w:p w14:paraId="6AC4DFB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（招单价的）供应商报价不允许超过标的单价</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4"/>
        <w:gridCol w:w="3612"/>
        <w:gridCol w:w="481"/>
        <w:gridCol w:w="963"/>
        <w:gridCol w:w="481"/>
        <w:gridCol w:w="481"/>
        <w:gridCol w:w="481"/>
        <w:gridCol w:w="481"/>
        <w:gridCol w:w="481"/>
        <w:gridCol w:w="481"/>
      </w:tblGrid>
      <w:tr w14:paraId="437CDD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5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88CBF53">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序号</w:t>
            </w:r>
          </w:p>
        </w:tc>
        <w:tc>
          <w:tcPr>
            <w:tcW w:w="150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8A2849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标的名称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3DAE08B">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数量</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9DF40B9">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标的金额 （元）</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B44631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计量单位</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9122CA3">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所属行业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F056847">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是否核心产品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6D1B26E">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是否允许进口产品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659367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是否属于节能产品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9853CAA">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是否属于环境标志产品</w:t>
            </w:r>
          </w:p>
        </w:tc>
      </w:tr>
      <w:tr w14:paraId="515C54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3F8AE5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BC42B52">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雁塔区2026年庭院燃气管道老化更新改造项目可行性研究报告编制</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DBF075B">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DBEDD87">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201,100.00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EF13558">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A056B5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其他未列明行业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EB6924A">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DCD296E">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C904505">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A638BDE">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r>
    </w:tbl>
    <w:p w14:paraId="4CF415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3.2.2服务要求</w:t>
      </w:r>
    </w:p>
    <w:p w14:paraId="593415D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1BF5405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标的名称：雁塔区2026年庭院燃气管道老化更新改造项目可行性研究报告编制</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20"/>
        <w:gridCol w:w="1221"/>
        <w:gridCol w:w="6105"/>
      </w:tblGrid>
      <w:tr w14:paraId="5110C6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3A1B61E">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序号</w:t>
            </w:r>
          </w:p>
        </w:tc>
        <w:tc>
          <w:tcPr>
            <w:tcW w:w="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2EBF9D4">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参数性质</w:t>
            </w:r>
          </w:p>
        </w:tc>
        <w:tc>
          <w:tcPr>
            <w:tcW w:w="2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D9A33CC">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技术参数与性能指标</w:t>
            </w:r>
          </w:p>
        </w:tc>
      </w:tr>
      <w:tr w14:paraId="6EA1B0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502A98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B27CF44">
            <w:pP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1FF123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18"/>
                <w:szCs w:val="18"/>
              </w:rPr>
            </w:pPr>
            <w:r>
              <w:rPr>
                <w:rStyle w:val="9"/>
                <w:rFonts w:ascii="微软雅黑" w:hAnsi="微软雅黑" w:eastAsia="微软雅黑" w:cs="微软雅黑"/>
                <w:color w:val="000000"/>
                <w:sz w:val="22"/>
                <w:szCs w:val="22"/>
                <w:bdr w:val="none" w:color="auto" w:sz="0" w:space="0"/>
              </w:rPr>
              <w:t>1.1建设规模及范围：</w:t>
            </w:r>
            <w:r>
              <w:rPr>
                <w:rFonts w:hint="eastAsia" w:ascii="微软雅黑" w:hAnsi="微软雅黑" w:eastAsia="微软雅黑" w:cs="微软雅黑"/>
                <w:color w:val="000000"/>
                <w:sz w:val="22"/>
                <w:szCs w:val="22"/>
                <w:bdr w:val="none" w:color="auto" w:sz="0" w:space="0"/>
              </w:rPr>
              <w:t>本项目建设规模为52个小区燃气管网实施老化更新改造。其中中低压燃气管道庭院埋地燃气管道约20772m、庭院架空燃气管道约34142m、立管约48966m、户内设施约17069户(包括更换镀锌管新型自闭阀、智能物联网表、加装燃气用具连接用不锈钢波纹软管，加装电磁切断阀及燃气泄漏报警器)。</w:t>
            </w:r>
          </w:p>
          <w:p w14:paraId="511429D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Style w:val="9"/>
                <w:rFonts w:hint="eastAsia" w:ascii="微软雅黑" w:hAnsi="微软雅黑" w:eastAsia="微软雅黑" w:cs="微软雅黑"/>
                <w:color w:val="000000"/>
                <w:sz w:val="22"/>
                <w:szCs w:val="22"/>
                <w:bdr w:val="none" w:color="auto" w:sz="0" w:space="0"/>
              </w:rPr>
              <w:t>1.2服务内容(包含但不限于)：</w:t>
            </w:r>
            <w:r>
              <w:rPr>
                <w:rFonts w:hint="eastAsia" w:ascii="微软雅黑" w:hAnsi="微软雅黑" w:eastAsia="微软雅黑" w:cs="微软雅黑"/>
                <w:color w:val="000000"/>
                <w:sz w:val="22"/>
                <w:szCs w:val="22"/>
                <w:bdr w:val="none" w:color="auto" w:sz="0" w:space="0"/>
              </w:rPr>
              <w:t>（1）编制可行性研究报告。</w:t>
            </w:r>
          </w:p>
          <w:p w14:paraId="6E03BC5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（2）根据项目实际情况提出合理化建议。</w:t>
            </w:r>
          </w:p>
          <w:p w14:paraId="400C0A7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（3）项目成果资料的汇编整理及项目过程资料(变更、签证等)收集整理。</w:t>
            </w:r>
          </w:p>
          <w:p w14:paraId="117B56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（4）项目其他有关咨询的服务。</w:t>
            </w:r>
          </w:p>
          <w:p w14:paraId="390B20A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Style w:val="9"/>
                <w:rFonts w:hint="eastAsia" w:ascii="微软雅黑" w:hAnsi="微软雅黑" w:eastAsia="微软雅黑" w:cs="微软雅黑"/>
                <w:color w:val="000000"/>
                <w:sz w:val="22"/>
                <w:szCs w:val="22"/>
                <w:bdr w:val="none" w:color="auto" w:sz="0" w:space="0"/>
              </w:rPr>
              <w:t>1.3技术要求：</w:t>
            </w:r>
            <w:r>
              <w:rPr>
                <w:rFonts w:hint="eastAsia" w:ascii="微软雅黑" w:hAnsi="微软雅黑" w:eastAsia="微软雅黑" w:cs="微软雅黑"/>
                <w:color w:val="000000"/>
                <w:sz w:val="22"/>
                <w:szCs w:val="22"/>
                <w:bdr w:val="none" w:color="auto" w:sz="0" w:space="0"/>
              </w:rPr>
              <w:t>具备开展燃气管道工程可行性研究报告编制的技术力量和经验，采取科学、严谨、针对性强的执行方案，按照国家法律法规的有关规定及操作规程做好项目的实施计划、组织协调、难点、重点把握、质量控制等全方面工作，符合国家有关工程建设标准强制性条文和建设部门关于燃气管道工程可行性研究报告编制现行的标准、规范、规程、定额、办法、示例以及采购人要求。</w:t>
            </w:r>
          </w:p>
          <w:p w14:paraId="17F8019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Style w:val="9"/>
                <w:rFonts w:hint="eastAsia" w:ascii="微软雅黑" w:hAnsi="微软雅黑" w:eastAsia="微软雅黑" w:cs="微软雅黑"/>
                <w:color w:val="000000"/>
                <w:sz w:val="22"/>
                <w:szCs w:val="22"/>
                <w:bdr w:val="none" w:color="auto" w:sz="0" w:space="0"/>
              </w:rPr>
              <w:t>1.4进度要求：</w:t>
            </w:r>
            <w:r>
              <w:rPr>
                <w:rFonts w:hint="eastAsia" w:ascii="微软雅黑" w:hAnsi="微软雅黑" w:eastAsia="微软雅黑" w:cs="微软雅黑"/>
                <w:color w:val="000000"/>
                <w:sz w:val="22"/>
                <w:szCs w:val="22"/>
                <w:bdr w:val="none" w:color="auto" w:sz="0" w:space="0"/>
              </w:rPr>
              <w:t>通过采取组织、技术、经济等控制措施将项目实施进度控制在采购人所要求的合理时间节点内。</w:t>
            </w:r>
          </w:p>
          <w:p w14:paraId="5C81A55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18"/>
                <w:szCs w:val="18"/>
              </w:rPr>
            </w:pPr>
            <w:r>
              <w:rPr>
                <w:rStyle w:val="9"/>
                <w:rFonts w:hint="eastAsia" w:ascii="微软雅黑" w:hAnsi="微软雅黑" w:eastAsia="微软雅黑" w:cs="微软雅黑"/>
                <w:color w:val="000000"/>
                <w:sz w:val="22"/>
                <w:szCs w:val="22"/>
                <w:bdr w:val="none" w:color="auto" w:sz="0" w:space="0"/>
              </w:rPr>
              <w:t>1.5服务要求：</w:t>
            </w:r>
            <w:r>
              <w:rPr>
                <w:rFonts w:hint="eastAsia" w:ascii="微软雅黑" w:hAnsi="微软雅黑" w:eastAsia="微软雅黑" w:cs="微软雅黑"/>
                <w:color w:val="000000"/>
                <w:sz w:val="22"/>
                <w:szCs w:val="22"/>
                <w:bdr w:val="none" w:color="auto" w:sz="0" w:space="0"/>
              </w:rPr>
              <w:t>（1）服务方须指派专属人员与采购人联系服务事宜，服务响应时间应根据采购人实际安排随时调整。</w:t>
            </w:r>
          </w:p>
          <w:p w14:paraId="031A616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left"/>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（2）服务方需根据服务实际情况编制服务方案、管理方案、服务计划、重点难点分析、质量控制等方案措施。</w:t>
            </w:r>
          </w:p>
          <w:p w14:paraId="0EA849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left"/>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3）服务方在本项目人员要求技术水平高、组织能力强、有丰富的实践经验，懂管理、善于协调。服务人员中的组织人员、技术人员、监管人员、辅助人员等要求有服务经验；服务队伍稳定，保证整个项目顺利完成，服务方未经采购人同意，不得擅自更换本项目在响应文件中指定的服务队伍。</w:t>
            </w:r>
          </w:p>
          <w:p w14:paraId="783F1B2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left"/>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（4）服务过程中，严格遵守各种管理规定及规章制度，做到奉公守法、诚实守信、廉洁自律、安全文明；服务过程中如发生工伤及意外事故由服务单位负责。</w:t>
            </w:r>
          </w:p>
          <w:p w14:paraId="0A5AD7B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left"/>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（5）服务方拟投入的服务人员对于在工作中获悉的一切政府工作的信息应严格保守秘密，不得泄露；对于违反者，给采购人单位造成不良社会影响的，或给采购人单位造成损失的，由服务方承担赔偿责任。</w:t>
            </w:r>
          </w:p>
          <w:p w14:paraId="67D7380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left"/>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（6）严格按照国家、陕西省、西安市有关规定及采购人要求进行服务，不得随意更改或者变换服务内容，每项服务内容实施前应事先取得采购人的落实后方可实施。</w:t>
            </w:r>
          </w:p>
          <w:p w14:paraId="321E07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left"/>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（7）配合促进采购人安排的其他相关工作。</w:t>
            </w:r>
          </w:p>
          <w:p w14:paraId="440D40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18"/>
                <w:szCs w:val="18"/>
              </w:rPr>
            </w:pPr>
            <w:r>
              <w:rPr>
                <w:rStyle w:val="9"/>
                <w:rFonts w:hint="eastAsia" w:ascii="微软雅黑" w:hAnsi="微软雅黑" w:eastAsia="微软雅黑" w:cs="微软雅黑"/>
                <w:color w:val="000000"/>
                <w:sz w:val="22"/>
                <w:szCs w:val="22"/>
                <w:bdr w:val="none" w:color="auto" w:sz="0" w:space="0"/>
              </w:rPr>
              <w:t>1.6成果要求：</w:t>
            </w:r>
            <w:r>
              <w:rPr>
                <w:rFonts w:hint="eastAsia" w:ascii="微软雅黑" w:hAnsi="微软雅黑" w:eastAsia="微软雅黑" w:cs="微软雅黑"/>
                <w:color w:val="000000"/>
                <w:sz w:val="22"/>
                <w:szCs w:val="22"/>
                <w:bdr w:val="none" w:color="auto" w:sz="0" w:space="0"/>
              </w:rPr>
              <w:t>（1）成果内容应完整真实、科学严谨、思路清晰、具有代表性，综合考虑庭院燃气管道更新改造的功能和潜力，提出更新实施详细规划和可行性优化方案，符合新形势、新变化、新发展下庭院燃气管道的现状。</w:t>
            </w:r>
          </w:p>
          <w:p w14:paraId="0416468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left"/>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（2）成果文件初稿完成后应按采购人提出的审查意见和修改意见进行修改，直至获得有关主管部门审批通过，本项目所完成的编制成果的所有权、知识产权归采购人。</w:t>
            </w:r>
          </w:p>
          <w:p w14:paraId="00BD646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left"/>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（3）所有提供资料包括：①纸质成果采用A4幅面双面印刷装订，一式三份；②电子成果为与纸质成果相对应的电子文档（pdf格式），以U盘形式提供2份。</w:t>
            </w:r>
          </w:p>
          <w:p w14:paraId="53DAD05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18"/>
                <w:szCs w:val="18"/>
              </w:rPr>
            </w:pPr>
            <w:r>
              <w:rPr>
                <w:rStyle w:val="9"/>
                <w:rFonts w:hint="eastAsia" w:ascii="微软雅黑" w:hAnsi="微软雅黑" w:eastAsia="微软雅黑" w:cs="微软雅黑"/>
                <w:color w:val="000000"/>
                <w:sz w:val="22"/>
                <w:szCs w:val="22"/>
                <w:bdr w:val="none" w:color="auto" w:sz="0" w:space="0"/>
              </w:rPr>
              <w:t>1.7服务标准：</w:t>
            </w:r>
            <w:r>
              <w:rPr>
                <w:rFonts w:hint="eastAsia" w:ascii="微软雅黑" w:hAnsi="微软雅黑" w:eastAsia="微软雅黑" w:cs="微软雅黑"/>
                <w:color w:val="000000"/>
                <w:sz w:val="22"/>
                <w:szCs w:val="22"/>
                <w:bdr w:val="none" w:color="auto" w:sz="0" w:space="0"/>
              </w:rPr>
              <w:t>（1）各项服务符合国家、省、市（行业）强制性标准及采购人要求的合格标准。</w:t>
            </w:r>
          </w:p>
          <w:p w14:paraId="5A1AD73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left"/>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2）服务、产品（如有）执行的标准、规范：必须执行国家、行业强制性标准；没有国家、行业强制性标准的按①国家标准、规范→②行业标准、规范→③地方标准、规范→④团体标准、规范→⑤企业标准、规范类推顺序执行；凡涉及的相关规范，国家有最新标准的以最新标准为准，所有标准哪个标准高执行哪个标准。</w:t>
            </w:r>
          </w:p>
        </w:tc>
      </w:tr>
    </w:tbl>
    <w:p w14:paraId="093E31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3.2.3人员配置要求</w:t>
      </w:r>
    </w:p>
    <w:p w14:paraId="5ABF5CC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6FE2DC3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服务方按项目服务要求及特性，自行组织实施与管理，建立以负责人为核心的项目团队，相关人员经过严格培训，具有相关工作经验，能够胜任项目工作，保证项目顺利实施。</w:t>
      </w:r>
    </w:p>
    <w:p w14:paraId="27D071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3.2.4设施设备要求</w:t>
      </w:r>
    </w:p>
    <w:p w14:paraId="3D52B26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62168F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服务方根据项目采购项目特性及要求，自行配置投入履行合同所必需的各类设施设备（不限于专业设备、辅助设备、工具、软件等），保证项目顺利实施。</w:t>
      </w:r>
    </w:p>
    <w:p w14:paraId="09762E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3.2.5其他要求</w:t>
      </w:r>
    </w:p>
    <w:p w14:paraId="22EED3D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21FA3DC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本项目标的所属行业为： 其他未列明行业 （从业人员300人以下的为中小微型企业。其中，从业人员100人及以上的为中型企业；从业人员10人及以上的为小型企业；从业人员10人以下的为微型企业）。</w:t>
      </w:r>
    </w:p>
    <w:p w14:paraId="24BC6E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3.3商务要求</w:t>
      </w:r>
    </w:p>
    <w:p w14:paraId="6CF5E22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3.3.1服务期限</w:t>
      </w:r>
    </w:p>
    <w:p w14:paraId="727BAD6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3856048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自合同签订生效之日起15日历天</w:t>
      </w:r>
    </w:p>
    <w:p w14:paraId="402427C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3.3.2服务地点</w:t>
      </w:r>
    </w:p>
    <w:p w14:paraId="1644153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769EE04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按采购人指定地点</w:t>
      </w:r>
    </w:p>
    <w:p w14:paraId="202EF54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3.3.3考核（验收）标准和方法</w:t>
      </w:r>
    </w:p>
    <w:p w14:paraId="61C1D36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2A38185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现行的国家标准或国家行政部门颁布的法律法规、规章制度等，是项目验收的重要依据，采购单位根据有关规范、规定及项目要求对服务进行检查或考核，服务方须接受采购人的各类考核或检查；若验收不通过或服务质量不符合采购要求，服务方应在一定期限内以采购人要求的标准进行整改或进一步完善，并再次进行考核或检查，若服务方在接受检查整改后最终仍未按要求提供符合要求的服务，采购人有权按违约予以撤项，由此产生的一切责任和费用均由服务方承担，具体按照合同相关条款执行</w:t>
      </w:r>
    </w:p>
    <w:p w14:paraId="7C47B9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3.3.4支付方式</w:t>
      </w:r>
    </w:p>
    <w:p w14:paraId="50B923B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721508A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分期付款</w:t>
      </w:r>
    </w:p>
    <w:p w14:paraId="2752AC3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3.3.5支付约定</w:t>
      </w:r>
    </w:p>
    <w:p w14:paraId="6CF2178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 付款条件说明： 成果文件提交 ，达到付款条件起 7 日内，支付合同总金额的 60.00%。</w:t>
      </w:r>
    </w:p>
    <w:p w14:paraId="47F8928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 付款条件说明： 成果文件获得有关主管部门审查批复 ，达到付款条件起 30 日内，支付合同总金额的 40.00%。</w:t>
      </w:r>
    </w:p>
    <w:p w14:paraId="2D79919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3.3.6违约责任及解决争议的方法</w:t>
      </w:r>
    </w:p>
    <w:p w14:paraId="0DADE40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58C2792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详见合同条款</w:t>
      </w:r>
    </w:p>
    <w:p w14:paraId="71B943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3.4其他要求</w:t>
      </w:r>
    </w:p>
    <w:p w14:paraId="3CDE91D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一、供应商的磋商报价是供应商响应磋商项目要求的全部工作内容的价格体现，包括供应商完成本项目所需的直接费用、间接费、利润、税金及其它相关的一切费用，包括但不限于：编制费、人工费、设备使用费、资料费、管理费、验收费、利润、税金及不可预见费等全部费用；在提供服务的过程中的任何遗漏，均由成交供应商免费提供，采购人将不再支付任何费用。 二、磋商有效期 1.出现特殊情况需要延长磋商有效期的，采购代理机构或采购人可于磋商有效期满之前，以书面形式通知所有供应商延长磋商有效期。 2.在磋商有效期内，供应商撤销响应文件的，应承担磋商文件和法律规定的责任。 3.成交供应商的磋商有效期自动延长至合同终止为止。 三、合格供应商少于3家的处理 1.评审过程中，若出现合格供应商只有2家时，符合《政府采购竞争性磋商采购方式管理暂行办法》第3条第4项情形的，或者本项目为政府购买服务指导性目录中的，可以继续进行；只有1家时，采购人应依法重新组织采购活动。 2.评审过程中，除符合第1条条款规定情形外，若出现合格供应商少于3家时，采购人应依法重新组织采购活动。 四、分公司独立参与磋商时，不能使用总公司的资质或业绩；总公司授权分公司或分支机构参与磋商，可以使用总公司的资质或业绩。总公司单独参与磋商时，可以使用分公司的业绩，在相关资质证书的管理要求和适用范围内可以使用分公司资质。 五、文件中签名是指：手写签名或加盖签名章（含电子），盖章是指加盖单位章（含电子）。 六、恶意质疑、投诉的法律后果 1.对捏造事实、提供虚假材料进行质疑、投诉的行为将予以严肃处理： 《政府采购质疑和投诉办法》（财政部令第94号）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 2.对捏造事实诬告陷害他人、诽谤他人的法律适用： （1）《中华人民共和国刑法》第243条【诬告陷害罪】捏造事实诬告陷害他人，意图使他人受到刑事追究，情节严重的，处三年以下有期徒刑、拘役或者管制；造成严重后果的，处三年以上十年以下有期徒刑。 （2）《中华人民共和国刑法》第246条【侮辱罪、诽谤罪】以暴力或者其他方法公然侮辱他人或者捏造事实诽谤他人，情节严重的，处三年以下有期徒刑、拘役、管制或者剥夺政治权利。 七、参与本项目的供应商应通过陕西省政府采购综合管理平台的项目电子化交易系统在线实施报名、获取采购文件、响应、报价等操作，供应商无需现场提供纸质响应文件。但在中标（成交）后，中标（成交）供应商在领取中标（成交）通知书时需提供纸质响应文件正本一套、副本一套用于备案，纸质响应文件应通过专用制作软件直接打印，确保与项目电子化交易系统中的电子响应文件保持一致，不允许修改和补充。中标（成交）通知书领取地址：西安市雁塔区雁翔路111号赛格·中京坊6幢1（公寓A1）单元2层10201室招标一部。</w:t>
      </w:r>
    </w:p>
    <w:p w14:paraId="036B336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B3069"/>
    <w:rsid w:val="33EB3069"/>
    <w:rsid w:val="3B6E19B6"/>
    <w:rsid w:val="41B06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szCs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null3"/>
    <w:hidden/>
    <w:qFormat/>
    <w:uiPriority w:val="0"/>
    <w:rPr>
      <w:rFonts w:hint="eastAsia" w:asciiTheme="minorHAnsi" w:hAnsiTheme="minorHAnsi" w:eastAsiaTheme="minorEastAsia" w:cstheme="minorBidi"/>
      <w:lang w:val="en-US" w:eastAsia="zh-Hans"/>
    </w:rPr>
  </w:style>
  <w:style w:type="paragraph" w:customStyle="1" w:styleId="11">
    <w:name w:val="*正文"/>
    <w:basedOn w:val="5"/>
    <w:qFormat/>
    <w:uiPriority w:val="0"/>
    <w:pPr>
      <w:spacing w:line="360" w:lineRule="auto"/>
      <w:ind w:firstLine="482"/>
    </w:pPr>
    <w:rPr>
      <w:rFonts w:ascii="宋体" w:hAnsi="宋体"/>
      <w:color w:val="00000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2613</Words>
  <Characters>2734</Characters>
  <Lines>0</Lines>
  <Paragraphs>0</Paragraphs>
  <TotalTime>1</TotalTime>
  <ScaleCrop>false</ScaleCrop>
  <LinksUpToDate>false</LinksUpToDate>
  <CharactersWithSpaces>2737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2025-08-28T08:31:00Z</dcterms:created>
  <dc:creator>杜航</dc:creator>
  <cp:lastModifiedBy>杜航</cp:lastModifiedBy>
  <dcterms:modified xsi:type="dcterms:W3CDTF">2025-11-26T12:23:48Z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1DD13CF905BD4ADA92FE547FA088C76E_13</vt:lpwstr>
  </property>
  <property fmtid="{D5CDD505-2E9C-101B-9397-08002B2CF9AE}" pid="4" name="KSOTemplateDocerSaveRecord">
    <vt:lpwstr>eyJoZGlkIjoiNGVjNGI1ZWQxMDUyODY5ZDAxOTAyNjljNjE1NWUwNGQiLCJ1c2VySWQiOiIzMDgwODY2MDYifQ==</vt:lpwstr>
  </property>
</Properties>
</file>