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2B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711B61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72309A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13C130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根据区域划分的责任范围，对雁塔区约31个小区的庭院供热管道更新改造进行初步设计；配合并促进采购人完成2026年雁塔区庭院供热管道老化更新改造目标；各项服务符合国家、省、市（行业）强制性标准及采购人要求的合格标准。</w:t>
      </w:r>
    </w:p>
    <w:p w14:paraId="6662E8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61C713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584212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4240F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1,182,500.00</w:t>
      </w:r>
    </w:p>
    <w:p w14:paraId="06B648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1,182,500.00</w:t>
      </w:r>
    </w:p>
    <w:p w14:paraId="0E5B60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07FB30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9"/>
        <w:gridCol w:w="3587"/>
        <w:gridCol w:w="481"/>
        <w:gridCol w:w="963"/>
        <w:gridCol w:w="481"/>
        <w:gridCol w:w="481"/>
        <w:gridCol w:w="481"/>
        <w:gridCol w:w="481"/>
        <w:gridCol w:w="481"/>
        <w:gridCol w:w="481"/>
      </w:tblGrid>
      <w:tr w14:paraId="55908E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05233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16A91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6150F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BB831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C38E4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FB332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FADC6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30CE9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F223A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4421C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0B167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62C0D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913BF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雁塔区2026年庭院供热管道老化更新改造项目初步设计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295A3D">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FF1025">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1,182,500.00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EBE17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81CA7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0626B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6325E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4974E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508FC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5BDCBA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307417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8FE64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标的名称：雁塔区2026年庭院供热管道老化更新改造项目初步设计</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263E6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2A7D1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EE65F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EBF0A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620EB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E1B1F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B3BA62">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B01D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ascii="微软雅黑" w:hAnsi="微软雅黑" w:eastAsia="微软雅黑" w:cs="微软雅黑"/>
                <w:color w:val="000000"/>
                <w:sz w:val="22"/>
                <w:szCs w:val="22"/>
                <w:bdr w:val="none" w:color="auto" w:sz="0" w:space="0"/>
              </w:rPr>
              <w:t>1.1建设规模及范围：</w:t>
            </w:r>
            <w:r>
              <w:rPr>
                <w:rFonts w:hint="eastAsia" w:ascii="微软雅黑" w:hAnsi="微软雅黑" w:eastAsia="微软雅黑" w:cs="微软雅黑"/>
                <w:color w:val="000000"/>
                <w:sz w:val="22"/>
                <w:szCs w:val="22"/>
                <w:bdr w:val="none" w:color="auto" w:sz="0" w:space="0"/>
              </w:rPr>
              <w:t>本项目建设规模为31个小区热力管道实施老化更新改造。包括庭院的庭院内热力管道(约91.332公里)供热一次管网、二次管网、楼栋立管(约92.887公里)、配套设施设备、阀门、仪器仪表、管材管件及检查井等附属设施的改造和更换。</w:t>
            </w:r>
          </w:p>
          <w:p w14:paraId="31EB92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1.2设计内容（包含但不限于）：</w:t>
            </w:r>
            <w:r>
              <w:rPr>
                <w:rFonts w:hint="eastAsia" w:ascii="微软雅黑" w:hAnsi="微软雅黑" w:eastAsia="微软雅黑" w:cs="微软雅黑"/>
                <w:color w:val="000000"/>
                <w:sz w:val="22"/>
                <w:szCs w:val="22"/>
                <w:bdr w:val="none" w:color="auto" w:sz="0" w:space="0"/>
              </w:rPr>
              <w:t>（1）本项目的文本说明。</w:t>
            </w:r>
          </w:p>
          <w:p w14:paraId="555590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（2）初步设计方案图。</w:t>
            </w:r>
          </w:p>
          <w:p w14:paraId="1FABD9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（3）本项目工程投资概算。</w:t>
            </w:r>
          </w:p>
          <w:p w14:paraId="23867C1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（4）项目成果资料的汇编整理及项目过程资料(变更、签证等)收集整理。</w:t>
            </w:r>
          </w:p>
          <w:p w14:paraId="26DFB8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（5）项目其他初步设计有关咨询的服务。</w:t>
            </w:r>
          </w:p>
          <w:p w14:paraId="1CDB91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1.3技术要求：</w:t>
            </w:r>
            <w:r>
              <w:rPr>
                <w:rFonts w:hint="eastAsia" w:ascii="微软雅黑" w:hAnsi="微软雅黑" w:eastAsia="微软雅黑" w:cs="微软雅黑"/>
                <w:color w:val="000000"/>
                <w:sz w:val="22"/>
                <w:szCs w:val="22"/>
                <w:bdr w:val="none" w:color="auto" w:sz="0" w:space="0"/>
              </w:rPr>
              <w:t>技术符合国家有关工程建设标准强制性条文和建设部门关于供热管道工程初步设计现行的标准、规范、规程、定额、办法、示例以及陕西省关于供热管道初步设计方面的文件、规定，设计依据不限于：</w:t>
            </w:r>
          </w:p>
          <w:p w14:paraId="4FC798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（1）《建筑设计防火规范》GB50016-2014（2018 年版）；</w:t>
            </w:r>
          </w:p>
          <w:p w14:paraId="072CF9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（2）《聚乙烯供热管道工程技术标准》CJJ63-2018；</w:t>
            </w:r>
          </w:p>
          <w:p w14:paraId="1DBEEB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（3）《聚乙烯供热管道工程技术标准》CJJ63-2018；</w:t>
            </w:r>
          </w:p>
          <w:p w14:paraId="0120F6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（4）《城镇供热管网设计规范》(CJJ 34-2010)；</w:t>
            </w:r>
          </w:p>
          <w:p w14:paraId="61FF09A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（5）《工业设备及管道绝热工程设计规范》GB50264-2013；</w:t>
            </w:r>
          </w:p>
          <w:p w14:paraId="0EA2FE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（6）《城镇供热管网工程施工及验收规范》CJJ28-2014；</w:t>
            </w:r>
          </w:p>
          <w:p w14:paraId="08042B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（7）《高密度聚乙烯外护管硬质聚氨酯泡沫塑料预制直埋保温管及管件》GB/T 29047-2012；</w:t>
            </w:r>
          </w:p>
          <w:p w14:paraId="59F500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（8）《耐热聚乙烯（PERT-II）型低温直埋复合供热管道应用技术规程》DBJ61/T153-2019；</w:t>
            </w:r>
          </w:p>
          <w:p w14:paraId="64098DB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（9）本项目前期可行性研究报告及相关批复文件。</w:t>
            </w:r>
          </w:p>
          <w:p w14:paraId="4AA27C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服务方具备开展供热管道工程初步设计的技术力量和经验，采取科学、严谨、针对性强的执行方案，按照国家法律法规的有关规定及操作规程做好项目的实施计划、组织协调、难点、重点把握、质量控制等全方面工作。</w:t>
            </w:r>
          </w:p>
          <w:p w14:paraId="57231A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1.4设计原则及要求：</w:t>
            </w:r>
            <w:r>
              <w:rPr>
                <w:rFonts w:hint="eastAsia" w:ascii="微软雅黑" w:hAnsi="微软雅黑" w:eastAsia="微软雅黑" w:cs="微软雅黑"/>
                <w:color w:val="000000"/>
                <w:sz w:val="22"/>
                <w:szCs w:val="22"/>
                <w:bdr w:val="none" w:color="auto" w:sz="0" w:space="0"/>
              </w:rPr>
              <w:t>坚持维修为主、改造为辅，做到技术合理、经济合算、运行可靠，按不低于我市基础设施的平均水平实施维修改造，保证维修改造后的设备设施符合现行标准、正常运行。</w:t>
            </w:r>
          </w:p>
          <w:p w14:paraId="30865F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1.5进度要求：</w:t>
            </w:r>
            <w:r>
              <w:rPr>
                <w:rFonts w:hint="eastAsia" w:ascii="微软雅黑" w:hAnsi="微软雅黑" w:eastAsia="微软雅黑" w:cs="微软雅黑"/>
                <w:color w:val="000000"/>
                <w:sz w:val="22"/>
                <w:szCs w:val="22"/>
                <w:bdr w:val="none" w:color="auto" w:sz="0" w:space="0"/>
              </w:rPr>
              <w:t>通过采取组织、技术、经济等控制措施将项目实施进度控制在采购人所要求的合理时间节点内。</w:t>
            </w:r>
          </w:p>
          <w:p w14:paraId="38D20D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1.6成果要求：</w:t>
            </w:r>
            <w:r>
              <w:rPr>
                <w:rFonts w:hint="eastAsia" w:ascii="微软雅黑" w:hAnsi="微软雅黑" w:eastAsia="微软雅黑" w:cs="微软雅黑"/>
                <w:color w:val="000000"/>
                <w:sz w:val="22"/>
                <w:szCs w:val="22"/>
                <w:bdr w:val="none" w:color="auto" w:sz="0" w:space="0"/>
              </w:rPr>
              <w:t>（1）成果内容应完整真实、科学严谨、思路清晰、具有代表性，综合考虑庭院供热管道更新改造的功能和潜力，提出更新实施详细规划和可行性优化方案，符合新形势、新变化、新发展下庭院供热管道的现状。</w:t>
            </w:r>
          </w:p>
          <w:p w14:paraId="67C34E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成果文件包括：初步设计说明、初步设计方案图、工程投资概算等，所有设计成果初稿完成后应按采购人提出的审查意见和修改意见进行修改，直至获得有关主管部门审批通过，本项目所完成的设计成果的所有权、知识产权归采购人。</w:t>
            </w:r>
          </w:p>
          <w:p w14:paraId="331D9C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（3）所有提供资料包括：电子版2份（整套文本及图纸采用JPG或者PDF格式），文本成册4份。</w:t>
            </w:r>
          </w:p>
          <w:p w14:paraId="5DC6AE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1.7服务要求：</w:t>
            </w:r>
            <w:r>
              <w:rPr>
                <w:rFonts w:hint="eastAsia" w:ascii="微软雅黑" w:hAnsi="微软雅黑" w:eastAsia="微软雅黑" w:cs="微软雅黑"/>
                <w:color w:val="000000"/>
                <w:sz w:val="22"/>
                <w:szCs w:val="22"/>
                <w:bdr w:val="none" w:color="auto" w:sz="0" w:space="0"/>
              </w:rPr>
              <w:t>（1）服务方须指派专属人员与采购人联系服务事宜，服务响应时间应根据采购人实际安排随时调整。</w:t>
            </w:r>
          </w:p>
          <w:p w14:paraId="708819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（2）服务方需根据服务实际情况编制服务方案、管理方案、服务计划、重点难点分析、质量控制等方案措施。</w:t>
            </w:r>
          </w:p>
          <w:p w14:paraId="7BD21E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服务方在本项目人员要求技术水平高、组织能力强、有丰富的实践经验，懂管理、善于协调。服务人员中的组织人员、技术人员、监管人员、辅助人员等要求有服务经验；服务队伍稳定，保证整个项目顺利完成，服务方未经采购人同意，不得擅自更换本项目在响应文件中指定的服务队伍。</w:t>
            </w:r>
          </w:p>
          <w:p w14:paraId="5E37DB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（4）服务过程中，严格遵守各种管理规定及规章制度，做到奉公守法、诚实守信、廉洁自律、安全文明；服务过程中如发生工伤及意外事故由服务单位负责。</w:t>
            </w:r>
          </w:p>
          <w:p w14:paraId="03C5EB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（5）服务方拟投入的服务人员对于在工作中获悉的一切政府工作的信息应严格保守秘密，不得泄露；对于违反者，给采购人单位造成不良社会影响的，或给采购人单位造成损失的，由服务方承担赔偿责任。</w:t>
            </w:r>
          </w:p>
          <w:p w14:paraId="4D639B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（6）严格按照国家、陕西省、西安市有关规定及采购人要求进行服务，不得随意更改或者变换服务内容，每项服务内容在实施前应事先取得采购人的落实后方可实施。</w:t>
            </w:r>
          </w:p>
          <w:p w14:paraId="6EAB75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（7）配合促进采购人安排的其他相关工作。</w:t>
            </w:r>
          </w:p>
          <w:p w14:paraId="4CA2E0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1.8服务标准：</w:t>
            </w:r>
            <w:r>
              <w:rPr>
                <w:rFonts w:hint="eastAsia" w:ascii="微软雅黑" w:hAnsi="微软雅黑" w:eastAsia="微软雅黑" w:cs="微软雅黑"/>
                <w:color w:val="000000"/>
                <w:sz w:val="22"/>
                <w:szCs w:val="22"/>
                <w:bdr w:val="none" w:color="auto" w:sz="0" w:space="0"/>
              </w:rPr>
              <w:t>（1）各项服务符合国家、省、市（行业）强制性标准及采购人要求的合格标准。</w:t>
            </w:r>
          </w:p>
          <w:p w14:paraId="50F493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58CE7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006C04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7A30F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服务方按项目服务要求及特性，自行组织实施与管理，建立以负责人为核心的项目团队，相关人员经过严格培训，具有相关工作经验，能够胜任项目工作，保证项目顺利实施。</w:t>
      </w:r>
    </w:p>
    <w:p w14:paraId="3224CA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6CEC10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C231A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服务方根据项目采购项目特性及要求，自行配置投入履行合同所必需的各类设施设备（不限于专业设备、辅助设备、工具、软件等），保证项目顺利实施。</w:t>
      </w:r>
    </w:p>
    <w:p w14:paraId="5CFCB0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0A5298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74376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本项目标的所属行业为： 其他未列明行业 （从业人员300人以下的为中小微型企业。其中，从业人员100人及以上的为中型企业；从业人员10人及以上的为小型企业；从业人员10人以下的为微型企业）。</w:t>
      </w:r>
    </w:p>
    <w:p w14:paraId="2FB1C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53C2DD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08811F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6F1D5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自合同签订生效之日起20日历天</w:t>
      </w:r>
    </w:p>
    <w:p w14:paraId="3ADC61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43CC75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64F02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46325F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522E8F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940A2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重要依据，采购单位根据有关规范、规定及项目要求对服务进行检查或考核，服务方须接受采购人的各类考核或检查；若验收不通过或服务质量不符合采购要求，服务方应在一定期限内以采购人要求的标准进行整改或进一步完善，并再次进行考核或检查，若服务方在接受检查整改后最终仍未按要求提供符合要求的服务，采购人有权按违约予以撤项，由此产生的一切责任和费用均由服务方承担，具体按照合同相关条款执行</w:t>
      </w:r>
    </w:p>
    <w:p w14:paraId="655E53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0DA800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0AB3A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分期付款</w:t>
      </w:r>
    </w:p>
    <w:p w14:paraId="68D879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0DBCAB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服务方提供的初步设计成果经专家、采购人评审后，最终确认使用该设计成果 ，达到付款条件起 7 日内，支付合同总金额的 60.00%。</w:t>
      </w:r>
    </w:p>
    <w:p w14:paraId="638315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工程竣工验收完成 ，达到付款条件起 30 日内，支付合同总金额的 40.00%。</w:t>
      </w:r>
    </w:p>
    <w:p w14:paraId="6EDB47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731F5F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51AA5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详见合同条款</w:t>
      </w:r>
    </w:p>
    <w:p w14:paraId="5461D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6DB7A2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供应商的磋商报价是供应商响应磋商项目要求的全部工作内容的价格体现，包括供应商完成本项目所需的直接费用、间接费、利润、税金及其它相关的一切费用，包括但不限于：设计费、人工费、设备使用费、资料费、管理费、验收费、利润、税金及不可预见费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10201室招标一部。</w:t>
      </w:r>
    </w:p>
    <w:p w14:paraId="036B33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B3069"/>
    <w:rsid w:val="33EB3069"/>
    <w:rsid w:val="3B6E19B6"/>
    <w:rsid w:val="6D05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正文"/>
    <w:basedOn w:val="5"/>
    <w:qFormat/>
    <w:uiPriority w:val="0"/>
    <w:pPr>
      <w:spacing w:line="360" w:lineRule="auto"/>
      <w:ind w:firstLine="482"/>
    </w:pPr>
    <w:rPr>
      <w:rFonts w:ascii="宋体" w:hAnsi="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2613</Words>
  <Characters>2734</Characters>
  <Lines>0</Lines>
  <Paragraphs>0</Paragraphs>
  <TotalTime>1</TotalTime>
  <ScaleCrop>false</ScaleCrop>
  <LinksUpToDate>false</LinksUpToDate>
  <CharactersWithSpaces>2737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2025-08-28T08:31:00Z</dcterms:created>
  <dc:creator>杜航</dc:creator>
  <cp:lastModifiedBy>杜航</cp:lastModifiedBy>
  <dcterms:modified xsi:type="dcterms:W3CDTF">2025-11-26T12:30:56Z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1DD13CF905BD4ADA92FE547FA088C76E_13</vt:lpwstr>
  </property>
  <property fmtid="{D5CDD505-2E9C-101B-9397-08002B2CF9AE}" pid="4" name="KSOTemplateDocerSaveRecord">
    <vt:lpwstr>eyJoZGlkIjoiNGVjNGI1ZWQxMDUyODY5ZDAxOTAyNjljNjE1NWUwNGQiLCJ1c2VySWQiOiIzMDgwODY2MDYifQ==</vt:lpwstr>
  </property>
</Properties>
</file>