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D6C3">
      <w:pPr>
        <w:wordWrap/>
        <w:rPr>
          <w:rFonts w:hint="eastAsia" w:ascii="黑体" w:hAnsi="黑体" w:eastAsia="黑体" w:cs="黑体"/>
          <w:highlight w:val="yellow"/>
          <w:lang w:val="en-US"/>
        </w:rPr>
      </w:pPr>
      <w:r>
        <w:rPr>
          <w:rFonts w:hint="eastAsia" w:ascii="黑体" w:hAnsi="黑体" w:eastAsia="黑体" w:cs="黑体"/>
          <w:b/>
          <w:sz w:val="32"/>
          <w:szCs w:val="32"/>
          <w:highlight w:val="none"/>
        </w:rPr>
        <w:drawing>
          <wp:anchor distT="0" distB="0" distL="114300" distR="114300" simplePos="0" relativeHeight="251662336" behindDoc="1" locked="0" layoutInCell="1" allowOverlap="1">
            <wp:simplePos x="0" y="0"/>
            <wp:positionH relativeFrom="column">
              <wp:posOffset>5060950</wp:posOffset>
            </wp:positionH>
            <wp:positionV relativeFrom="paragraph">
              <wp:posOffset>-22860</wp:posOffset>
            </wp:positionV>
            <wp:extent cx="924560" cy="924560"/>
            <wp:effectExtent l="0" t="0" r="8890" b="8890"/>
            <wp:wrapTight wrapText="bothSides">
              <wp:wrapPolygon>
                <wp:start x="0" y="0"/>
                <wp:lineTo x="0" y="21363"/>
                <wp:lineTo x="21363" y="21363"/>
                <wp:lineTo x="21363" y="0"/>
                <wp:lineTo x="0" y="0"/>
              </wp:wrapPolygon>
            </wp:wrapTight>
            <wp:docPr id="18" name="图片 18" descr="ccd5466f42950f5e2203851c1b4e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cd5466f42950f5e2203851c1b4eb49"/>
                    <pic:cNvPicPr>
                      <a:picLocks noChangeAspect="1"/>
                    </pic:cNvPicPr>
                  </pic:nvPicPr>
                  <pic:blipFill>
                    <a:blip r:embed="rId11"/>
                    <a:stretch>
                      <a:fillRect/>
                    </a:stretch>
                  </pic:blipFill>
                  <pic:spPr>
                    <a:xfrm>
                      <a:off x="0" y="0"/>
                      <a:ext cx="924560" cy="924560"/>
                    </a:xfrm>
                    <a:prstGeom prst="rect">
                      <a:avLst/>
                    </a:prstGeom>
                  </pic:spPr>
                </pic:pic>
              </a:graphicData>
            </a:graphic>
          </wp:anchor>
        </w:drawing>
      </w:r>
    </w:p>
    <w:p w14:paraId="405EFE9B">
      <w:pPr>
        <w:wordWrap/>
        <w:rPr>
          <w:rFonts w:hint="eastAsia" w:ascii="黑体" w:hAnsi="黑体" w:eastAsia="黑体" w:cs="黑体"/>
          <w:highlight w:val="none"/>
        </w:rPr>
      </w:pPr>
    </w:p>
    <w:p w14:paraId="74D8DBC2">
      <w:pPr>
        <w:wordWrap/>
        <w:rPr>
          <w:rFonts w:hint="eastAsia"/>
        </w:rPr>
      </w:pPr>
    </w:p>
    <w:p w14:paraId="52594B9D">
      <w:pPr>
        <w:wordWrap/>
        <w:rPr>
          <w:rFonts w:hint="eastAsia"/>
        </w:rPr>
      </w:pPr>
    </w:p>
    <w:p w14:paraId="2255E8B1">
      <w:pPr>
        <w:keepNext w:val="0"/>
        <w:keepLines w:val="0"/>
        <w:pageBreakBefore w:val="0"/>
        <w:widowControl w:val="0"/>
        <w:kinsoku/>
        <w:wordWrap/>
        <w:overflowPunct/>
        <w:topLinePunct w:val="0"/>
        <w:autoSpaceDE/>
        <w:autoSpaceDN/>
        <w:bidi w:val="0"/>
        <w:adjustRightInd/>
        <w:snapToGrid/>
        <w:spacing w:before="143" w:beforeLines="50" w:after="430" w:afterLines="150"/>
        <w:jc w:val="center"/>
        <w:textAlignment w:val="auto"/>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陕西省生态环境执法装备和用电监控统筹管控能力建设项目安全检测服务（二次）</w:t>
      </w:r>
    </w:p>
    <w:p w14:paraId="3F1D92AB">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val="en-US" w:eastAsia="zh-CN"/>
        </w:rPr>
        <w:t>项目编号：</w:t>
      </w:r>
      <w:r>
        <w:rPr>
          <w:rFonts w:hint="eastAsia" w:ascii="黑体" w:hAnsi="黑体" w:eastAsia="黑体" w:cs="黑体"/>
          <w:b/>
          <w:sz w:val="28"/>
          <w:szCs w:val="28"/>
          <w:highlight w:val="none"/>
          <w:lang w:eastAsia="zh-CN"/>
        </w:rPr>
        <w:t>ZBY2025102-02</w:t>
      </w:r>
    </w:p>
    <w:p w14:paraId="09F03696">
      <w:pPr>
        <w:pStyle w:val="19"/>
        <w:wordWrap/>
        <w:ind w:left="0" w:leftChars="0" w:firstLine="0" w:firstLineChars="0"/>
        <w:rPr>
          <w:rFonts w:hint="eastAsia" w:ascii="黑体" w:hAnsi="黑体" w:eastAsia="黑体" w:cs="黑体"/>
          <w:highlight w:val="none"/>
        </w:rPr>
      </w:pPr>
    </w:p>
    <w:p w14:paraId="4FA837A0">
      <w:pPr>
        <w:pStyle w:val="9"/>
        <w:wordWrap/>
        <w:rPr>
          <w:rFonts w:hint="eastAsia" w:ascii="黑体" w:hAnsi="黑体" w:eastAsia="黑体" w:cs="黑体"/>
          <w:lang w:val="en-US" w:eastAsia="zh-CN"/>
        </w:rPr>
      </w:pPr>
      <w:r>
        <w:rPr>
          <w:rFonts w:hint="eastAsia" w:ascii="黑体" w:hAnsi="黑体" w:eastAsia="黑体" w:cs="黑体"/>
          <w:lang w:val="en-US" w:eastAsia="zh-CN"/>
        </w:rPr>
        <w:t xml:space="preserve"> </w:t>
      </w:r>
    </w:p>
    <w:p w14:paraId="34C2022C">
      <w:pPr>
        <w:wordWrap/>
        <w:rPr>
          <w:rFonts w:hint="eastAsia" w:ascii="黑体" w:hAnsi="黑体" w:eastAsia="黑体" w:cs="黑体"/>
          <w:lang w:val="en-US" w:eastAsia="zh-CN"/>
        </w:rPr>
      </w:pPr>
    </w:p>
    <w:p w14:paraId="574D4DDC">
      <w:pPr>
        <w:wordWrap/>
        <w:rPr>
          <w:rFonts w:hint="eastAsia" w:ascii="黑体" w:hAnsi="黑体" w:eastAsia="黑体" w:cs="黑体"/>
          <w:highlight w:val="none"/>
        </w:rPr>
      </w:pPr>
    </w:p>
    <w:p w14:paraId="1B6C4E95">
      <w:pPr>
        <w:widowControl/>
        <w:wordWrap/>
        <w:autoSpaceDE w:val="0"/>
        <w:autoSpaceDN w:val="0"/>
        <w:spacing w:line="360" w:lineRule="auto"/>
        <w:jc w:val="center"/>
        <w:textAlignment w:val="bottom"/>
        <w:outlineLvl w:val="1"/>
        <w:rPr>
          <w:rFonts w:hint="eastAsia" w:ascii="黑体" w:hAnsi="黑体" w:eastAsia="黑体" w:cs="黑体"/>
          <w:b/>
          <w:sz w:val="72"/>
          <w:szCs w:val="72"/>
          <w:highlight w:val="none"/>
        </w:rPr>
      </w:pPr>
      <w:bookmarkStart w:id="0" w:name="_Toc8376"/>
      <w:bookmarkStart w:id="1" w:name="_Toc13620"/>
      <w:bookmarkStart w:id="2" w:name="_Toc17475"/>
      <w:bookmarkStart w:id="3" w:name="_Toc26061"/>
      <w:bookmarkStart w:id="4" w:name="_Toc9952"/>
      <w:bookmarkStart w:id="5" w:name="_Toc21576"/>
      <w:bookmarkStart w:id="6" w:name="_Toc25691"/>
      <w:r>
        <w:rPr>
          <w:rFonts w:hint="eastAsia" w:ascii="黑体" w:hAnsi="黑体" w:eastAsia="黑体" w:cs="黑体"/>
          <w:b/>
          <w:sz w:val="72"/>
          <w:szCs w:val="72"/>
          <w:highlight w:val="none"/>
        </w:rPr>
        <w:t>竞争性磋商文件</w:t>
      </w:r>
      <w:bookmarkEnd w:id="0"/>
      <w:bookmarkEnd w:id="1"/>
      <w:bookmarkEnd w:id="2"/>
      <w:bookmarkEnd w:id="3"/>
      <w:bookmarkEnd w:id="4"/>
      <w:bookmarkEnd w:id="5"/>
      <w:bookmarkEnd w:id="6"/>
    </w:p>
    <w:p w14:paraId="574C006D">
      <w:pPr>
        <w:widowControl/>
        <w:wordWrap/>
        <w:autoSpaceDE w:val="0"/>
        <w:autoSpaceDN w:val="0"/>
        <w:spacing w:line="360" w:lineRule="auto"/>
        <w:textAlignment w:val="bottom"/>
        <w:rPr>
          <w:rFonts w:hint="eastAsia" w:ascii="黑体" w:hAnsi="黑体" w:eastAsia="黑体" w:cs="黑体"/>
          <w:b/>
          <w:sz w:val="32"/>
          <w:szCs w:val="32"/>
          <w:highlight w:val="none"/>
        </w:rPr>
      </w:pPr>
    </w:p>
    <w:p w14:paraId="1867FD4F">
      <w:pPr>
        <w:pStyle w:val="9"/>
        <w:wordWrap/>
        <w:rPr>
          <w:rFonts w:hint="eastAsia" w:ascii="黑体" w:hAnsi="黑体" w:eastAsia="黑体" w:cs="黑体"/>
        </w:rPr>
      </w:pPr>
    </w:p>
    <w:p w14:paraId="1B72FCB0">
      <w:pPr>
        <w:keepNext/>
        <w:keepLines w:val="0"/>
        <w:pageBreakBefore w:val="0"/>
        <w:widowControl/>
        <w:numPr>
          <w:ilvl w:val="3"/>
          <w:numId w:val="0"/>
        </w:numPr>
        <w:tabs>
          <w:tab w:val="left" w:pos="864"/>
        </w:tabs>
        <w:kinsoku/>
        <w:wordWrap/>
        <w:overflowPunct/>
        <w:topLinePunct w:val="0"/>
        <w:autoSpaceDE/>
        <w:autoSpaceDN/>
        <w:bidi w:val="0"/>
        <w:adjustRightInd/>
        <w:snapToGrid/>
        <w:ind w:left="1259" w:leftChars="0"/>
        <w:textAlignment w:val="auto"/>
        <w:outlineLvl w:val="9"/>
        <w:rPr>
          <w:rFonts w:hint="eastAsia" w:ascii="黑体" w:hAnsi="黑体" w:eastAsia="黑体" w:cs="黑体"/>
        </w:rPr>
      </w:pPr>
    </w:p>
    <w:p w14:paraId="2D71F08B">
      <w:pPr>
        <w:wordWrap/>
        <w:spacing w:line="360" w:lineRule="auto"/>
        <w:ind w:left="480" w:leftChars="200" w:firstLine="1405" w:firstLineChars="500"/>
        <w:jc w:val="left"/>
        <w:rPr>
          <w:rFonts w:hint="eastAsia" w:ascii="黑体" w:hAnsi="黑体" w:eastAsia="黑体" w:cs="黑体"/>
          <w:b/>
          <w:bCs w:val="0"/>
          <w:sz w:val="28"/>
          <w:szCs w:val="28"/>
          <w:highlight w:val="none"/>
          <w:lang w:eastAsia="zh-CN"/>
        </w:rPr>
      </w:pPr>
      <w:r>
        <w:rPr>
          <w:rFonts w:hint="eastAsia" w:ascii="黑体" w:hAnsi="黑体" w:eastAsia="黑体" w:cs="黑体"/>
          <w:b/>
          <w:bCs w:val="0"/>
          <w:sz w:val="28"/>
          <w:szCs w:val="28"/>
          <w:highlight w:val="none"/>
          <w:lang w:eastAsia="zh-CN"/>
        </w:rPr>
        <w:t xml:space="preserve">采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 xml:space="preserve"> 购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人：陕西省生态环境执法总队</w:t>
      </w:r>
    </w:p>
    <w:p w14:paraId="561E67CC">
      <w:pPr>
        <w:wordWrap/>
        <w:spacing w:line="360" w:lineRule="auto"/>
        <w:ind w:left="480" w:leftChars="200" w:firstLine="1405" w:firstLineChars="500"/>
        <w:jc w:val="left"/>
        <w:rPr>
          <w:rFonts w:hint="eastAsia" w:ascii="黑体" w:hAnsi="黑体" w:eastAsia="黑体" w:cs="黑体"/>
          <w:b/>
          <w:bCs w:val="0"/>
          <w:sz w:val="32"/>
          <w:szCs w:val="32"/>
          <w:highlight w:val="none"/>
          <w:lang w:eastAsia="zh-CN"/>
        </w:rPr>
      </w:pPr>
      <w:r>
        <w:rPr>
          <w:rFonts w:hint="eastAsia" w:ascii="黑体" w:hAnsi="黑体" w:eastAsia="黑体" w:cs="黑体"/>
          <w:b/>
          <w:bCs w:val="0"/>
          <w:sz w:val="28"/>
          <w:szCs w:val="28"/>
          <w:highlight w:val="none"/>
          <w:lang w:eastAsia="zh-CN"/>
        </w:rPr>
        <w:t>采购代理机构：西安中保研招标有限公司</w:t>
      </w:r>
    </w:p>
    <w:p w14:paraId="6497AD21">
      <w:pPr>
        <w:wordWrap/>
        <w:spacing w:line="360" w:lineRule="exact"/>
        <w:jc w:val="center"/>
        <w:rPr>
          <w:rFonts w:hint="eastAsia" w:ascii="黑体" w:hAnsi="黑体" w:eastAsia="黑体" w:cs="黑体"/>
          <w:b/>
          <w:sz w:val="32"/>
          <w:szCs w:val="32"/>
          <w:highlight w:val="none"/>
        </w:rPr>
      </w:pPr>
    </w:p>
    <w:p w14:paraId="4DA879C8">
      <w:pPr>
        <w:wordWrap/>
        <w:spacing w:line="360" w:lineRule="auto"/>
        <w:ind w:firstLine="3654" w:firstLineChars="1300"/>
        <w:jc w:val="both"/>
        <w:rPr>
          <w:rFonts w:hint="default" w:ascii="黑体" w:hAnsi="黑体" w:eastAsia="黑体" w:cs="黑体"/>
          <w:b/>
          <w:sz w:val="28"/>
          <w:szCs w:val="28"/>
          <w:highlight w:val="none"/>
          <w:lang w:val="en-US" w:eastAsia="zh-CN"/>
        </w:rPr>
        <w:sectPr>
          <w:footerReference r:id="rId4" w:type="default"/>
          <w:headerReference r:id="rId3" w:type="even"/>
          <w:footerReference r:id="rId5" w:type="even"/>
          <w:pgSz w:w="11906" w:h="16838"/>
          <w:pgMar w:top="1247" w:right="1133" w:bottom="1247" w:left="1474" w:header="851" w:footer="992" w:gutter="0"/>
          <w:pgBorders>
            <w:top w:val="none" w:sz="0" w:space="0"/>
            <w:left w:val="none" w:sz="0" w:space="0"/>
            <w:bottom w:val="none" w:sz="0" w:space="0"/>
            <w:right w:val="none" w:sz="0" w:space="0"/>
          </w:pgBorders>
          <w:pgNumType w:fmt="decimal" w:start="1"/>
          <w:cols w:space="720" w:num="1"/>
          <w:titlePg/>
          <w:docGrid w:type="lines" w:linePitch="286" w:charSpace="0"/>
        </w:sectPr>
      </w:pPr>
      <w:r>
        <w:rPr>
          <w:rFonts w:hint="eastAsia" w:ascii="黑体" w:hAnsi="黑体" w:eastAsia="黑体" w:cs="黑体"/>
          <w:b/>
          <w:sz w:val="28"/>
          <w:szCs w:val="28"/>
          <w:highlight w:val="none"/>
          <w:lang w:val="en-US" w:eastAsia="zh-CN"/>
        </w:rPr>
        <w:t>2025</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lang w:val="en-US" w:eastAsia="zh-CN"/>
        </w:rPr>
        <w:t>11月</w:t>
      </w:r>
    </w:p>
    <w:p w14:paraId="48DC67C3">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line="360" w:lineRule="auto"/>
        <w:textAlignment w:val="auto"/>
        <w:outlineLvl w:val="9"/>
      </w:pPr>
      <w:bookmarkStart w:id="7" w:name="_Toc738"/>
      <w:bookmarkStart w:id="8" w:name="_Toc21268"/>
      <w:bookmarkStart w:id="9" w:name="_Toc504605084"/>
      <w:bookmarkStart w:id="10" w:name="_Toc10563629"/>
      <w:bookmarkStart w:id="11" w:name="_Toc10177"/>
      <w:bookmarkStart w:id="12" w:name="_Toc511316278"/>
      <w:bookmarkStart w:id="13" w:name="_Toc10621831"/>
      <w:bookmarkStart w:id="14" w:name="_Toc25152"/>
      <w:bookmarkStart w:id="15" w:name="_Toc10563088"/>
      <w:bookmarkStart w:id="16" w:name="_Toc12377613"/>
      <w:r>
        <w:rPr>
          <w:rFonts w:hint="eastAsia" w:ascii="黑体" w:hAnsi="黑体" w:eastAsia="黑体" w:cs="黑体"/>
          <w:b/>
          <w:bCs/>
          <w:color w:val="000000" w:themeColor="text1"/>
          <w:sz w:val="28"/>
          <w:szCs w:val="28"/>
          <w:highlight w:val="none"/>
          <w:lang w:val="en-US" w:eastAsia="zh-CN"/>
          <w14:textFill>
            <w14:solidFill>
              <w14:schemeClr w14:val="tx1"/>
            </w14:solidFill>
          </w14:textFill>
        </w:rPr>
        <w:t>目 录</w:t>
      </w:r>
      <w:bookmarkEnd w:id="7"/>
      <w:bookmarkEnd w:id="8"/>
      <w:r>
        <w:rPr>
          <w:rFonts w:hint="eastAsia"/>
        </w:rPr>
        <w:fldChar w:fldCharType="begin"/>
      </w:r>
      <w:r>
        <w:rPr>
          <w:rFonts w:hint="eastAsia"/>
        </w:rPr>
        <w:instrText xml:space="preserve">TOC \o "1-2" \h \u </w:instrText>
      </w:r>
      <w:r>
        <w:rPr>
          <w:rFonts w:hint="eastAsia"/>
        </w:rPr>
        <w:fldChar w:fldCharType="separate"/>
      </w:r>
    </w:p>
    <w:p w14:paraId="783BAFEE">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_Toc10145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竞争性磋商公告</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_Toc10145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4E5F4BDA">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_Toc9696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供应商须知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_Toc9696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B290A0">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_Toc3550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供应商须知前附表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_Toc3550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37049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_Toc15588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供应商须知正文</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_Toc15588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- 11 -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3E036950">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_Toc3390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采购需求</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_Toc3390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- 20 -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54A7F52D">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_Toc12756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第四章 资格审查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_Toc12756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- 29 -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2BE0E99F">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_Toc19578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第五章 磋商过程中可实质性变动的内容</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_Toc19578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640C70DC">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_Toc27466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第六章 磋商办法</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_Toc27466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7BC1ECE6">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_Toc3714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符合性审查标准见下表：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_Toc3714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- 33 -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641CE6F">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_Toc15167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七</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拟签订的合同文本</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_Toc15167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- 43 -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2B25AE">
      <w:pPr>
        <w:pStyle w:val="16"/>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_Toc4578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八</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应提交的有关格式范例</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_Toc4578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- 47 -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70613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_Toc3658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一、响应函</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_Toc3658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- 48 -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2FC69C7">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_Toc17230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二、报价一览表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_Toc17230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- 51 -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864E514">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_Toc25596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三、资格证明文件目录</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_Toc25596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3DEE20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_Toc18294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基本资格条件</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_Toc18294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82F87BD">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_Toc32363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本项目的特定资格要求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_Toc32363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- 55 -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263027BD">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_Toc24462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落实政府采购政策需满足的资格要求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_Toc24462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- 57 -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39DA649">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_Toc27537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四、评分细则相应的商务技术资料</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_Toc27537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C9C6986">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_Toc12109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五、商务技术偏离表</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_Toc12109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- 68 -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3B60A492">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_Toc3155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六、政府采购供应商廉洁自律承诺书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_Toc3155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- 69 -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5B7BE9F8">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_Toc8181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七、保证金汇款声明函</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_Toc8181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- 71 -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D0A8AD2">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_Toc15583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八、成交服务费承诺书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_Toc15583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- 72 -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BE78CE5">
      <w:pPr>
        <w:wordWrap/>
        <w:rPr>
          <w:rFonts w:hint="eastAsia"/>
        </w:rPr>
      </w:pPr>
      <w:r>
        <w:rPr>
          <w:rFonts w:hint="eastAsia"/>
        </w:rPr>
        <w:fldChar w:fldCharType="end"/>
      </w:r>
    </w:p>
    <w:p w14:paraId="2057CAB1">
      <w:pPr>
        <w:wordWrap/>
        <w:rPr>
          <w:rFonts w:hint="eastAsia" w:ascii="黑体" w:hAnsi="黑体" w:eastAsia="黑体" w:cs="黑体"/>
          <w:bCs w:val="0"/>
          <w:color w:val="000000" w:themeColor="text1"/>
          <w:szCs w:val="21"/>
          <w:highlight w:val="none"/>
          <w14:textFill>
            <w14:solidFill>
              <w14:schemeClr w14:val="tx1"/>
            </w14:solidFill>
          </w14:textFill>
        </w:rPr>
      </w:pPr>
      <w:r>
        <w:rPr>
          <w:rFonts w:hint="eastAsia" w:ascii="黑体" w:hAnsi="黑体" w:eastAsia="黑体" w:cs="黑体"/>
          <w:bCs w:val="0"/>
          <w:color w:val="000000" w:themeColor="text1"/>
          <w:szCs w:val="21"/>
          <w:highlight w:val="none"/>
          <w14:textFill>
            <w14:solidFill>
              <w14:schemeClr w14:val="tx1"/>
            </w14:solidFill>
          </w14:textFill>
        </w:rPr>
        <w:br w:type="page"/>
      </w:r>
    </w:p>
    <w:p w14:paraId="594A5047">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highlight w:val="none"/>
        </w:rPr>
      </w:pPr>
      <w:bookmarkStart w:id="17" w:name="_Toc10145"/>
      <w:bookmarkStart w:id="18" w:name="_Toc30676"/>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一</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竞争性磋商公告</w:t>
      </w:r>
      <w:bookmarkEnd w:id="17"/>
      <w:bookmarkEnd w:id="18"/>
    </w:p>
    <w:p w14:paraId="2E19984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none"/>
        </w:rPr>
      </w:pPr>
      <w:r>
        <w:rPr>
          <w:rFonts w:hint="eastAsia" w:ascii="黑体" w:hAnsi="黑体" w:eastAsia="黑体" w:cs="黑体"/>
          <w:i w:val="0"/>
          <w:iCs w:val="0"/>
          <w:sz w:val="19"/>
          <w:szCs w:val="19"/>
          <w:highlight w:val="none"/>
          <w:u w:val="none"/>
        </w:rPr>
        <w:t>项目概况</w:t>
      </w:r>
    </w:p>
    <w:p w14:paraId="1C0802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single"/>
        </w:rPr>
      </w:pPr>
      <w:r>
        <w:rPr>
          <w:rFonts w:hint="eastAsia" w:ascii="黑体" w:hAnsi="黑体" w:eastAsia="黑体" w:cs="黑体"/>
          <w:i w:val="0"/>
          <w:iCs w:val="0"/>
          <w:sz w:val="19"/>
          <w:szCs w:val="19"/>
          <w:highlight w:val="none"/>
          <w:u w:val="single"/>
          <w:lang w:eastAsia="zh-CN"/>
        </w:rPr>
        <w:t>陕西省生态环境执法装备和用电监控统筹管控能力建设项目安全检测服务（二次）</w:t>
      </w:r>
      <w:r>
        <w:rPr>
          <w:rFonts w:hint="eastAsia" w:ascii="黑体" w:hAnsi="黑体" w:eastAsia="黑体" w:cs="黑体"/>
          <w:i w:val="0"/>
          <w:iCs w:val="0"/>
          <w:sz w:val="19"/>
          <w:szCs w:val="19"/>
          <w:highlight w:val="none"/>
          <w:u w:val="single"/>
          <w:lang w:val="en-US" w:eastAsia="zh-CN"/>
        </w:rPr>
        <w:t xml:space="preserve"> </w:t>
      </w:r>
      <w:r>
        <w:rPr>
          <w:rFonts w:hint="eastAsia" w:ascii="黑体" w:hAnsi="黑体" w:eastAsia="黑体" w:cs="黑体"/>
          <w:i w:val="0"/>
          <w:iCs w:val="0"/>
          <w:sz w:val="19"/>
          <w:szCs w:val="19"/>
          <w:highlight w:val="none"/>
          <w:u w:val="none"/>
        </w:rPr>
        <w:t>的潜在供应商应在</w:t>
      </w:r>
      <w:r>
        <w:rPr>
          <w:rFonts w:hint="eastAsia" w:ascii="黑体" w:hAnsi="黑体" w:eastAsia="黑体" w:cs="黑体"/>
          <w:i w:val="0"/>
          <w:iCs w:val="0"/>
          <w:sz w:val="19"/>
          <w:szCs w:val="19"/>
          <w:highlight w:val="none"/>
          <w:u w:val="single"/>
        </w:rPr>
        <w:t>中保研招标电子交易系统</w:t>
      </w:r>
      <w:r>
        <w:rPr>
          <w:rFonts w:hint="eastAsia" w:ascii="黑体" w:hAnsi="黑体" w:eastAsia="黑体" w:cs="黑体"/>
          <w:i w:val="0"/>
          <w:iCs w:val="0"/>
          <w:sz w:val="19"/>
          <w:szCs w:val="19"/>
          <w:highlight w:val="none"/>
          <w:u w:val="none"/>
        </w:rPr>
        <w:t>获取采购文件，</w:t>
      </w:r>
      <w:r>
        <w:rPr>
          <w:rFonts w:hint="eastAsia" w:ascii="黑体" w:hAnsi="黑体" w:eastAsia="黑体" w:cs="黑体"/>
          <w:sz w:val="19"/>
          <w:szCs w:val="19"/>
          <w:highlight w:val="none"/>
        </w:rPr>
        <w:t>并于</w:t>
      </w:r>
      <w:r>
        <w:rPr>
          <w:rFonts w:hint="eastAsia" w:ascii="黑体" w:hAnsi="黑体" w:eastAsia="黑体" w:cs="黑体"/>
          <w:sz w:val="19"/>
          <w:szCs w:val="19"/>
          <w:highlight w:val="none"/>
          <w:u w:val="single"/>
          <w:lang w:eastAsia="zh-CN"/>
        </w:rPr>
        <w:t xml:space="preserve">2025年11月26日 </w:t>
      </w:r>
      <w:r>
        <w:rPr>
          <w:rFonts w:hint="eastAsia" w:ascii="黑体" w:hAnsi="黑体" w:eastAsia="黑体" w:cs="黑体"/>
          <w:sz w:val="19"/>
          <w:szCs w:val="19"/>
          <w:highlight w:val="none"/>
          <w:u w:val="single"/>
          <w:lang w:val="en-US" w:eastAsia="zh-CN"/>
        </w:rPr>
        <w:t>09</w:t>
      </w:r>
      <w:r>
        <w:rPr>
          <w:rFonts w:hint="eastAsia" w:ascii="黑体" w:hAnsi="黑体" w:eastAsia="黑体" w:cs="黑体"/>
          <w:sz w:val="19"/>
          <w:szCs w:val="19"/>
          <w:highlight w:val="none"/>
          <w:u w:val="single"/>
          <w:lang w:eastAsia="zh-CN"/>
        </w:rPr>
        <w:t>时30分（北京时间）</w:t>
      </w:r>
      <w:r>
        <w:rPr>
          <w:rFonts w:hint="eastAsia" w:ascii="黑体" w:hAnsi="黑体" w:eastAsia="黑体" w:cs="黑体"/>
          <w:sz w:val="19"/>
          <w:szCs w:val="19"/>
          <w:highlight w:val="none"/>
        </w:rPr>
        <w:t>前提交响应文件</w:t>
      </w:r>
      <w:r>
        <w:rPr>
          <w:rFonts w:hint="eastAsia" w:ascii="黑体" w:hAnsi="黑体" w:eastAsia="黑体" w:cs="黑体"/>
          <w:i w:val="0"/>
          <w:iCs w:val="0"/>
          <w:sz w:val="19"/>
          <w:szCs w:val="19"/>
          <w:highlight w:val="none"/>
          <w:u w:val="none"/>
        </w:rPr>
        <w:t>。</w:t>
      </w:r>
    </w:p>
    <w:p w14:paraId="4221E834">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一、项目基本情况</w:t>
      </w:r>
    </w:p>
    <w:p w14:paraId="1478251F">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项目编号：ZBY2025102-02</w:t>
      </w:r>
    </w:p>
    <w:p w14:paraId="57E472B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项目名称：陕西省生态环境执法装备和用电监控统筹管控能力建设项目安全检测服务（二次）</w:t>
      </w:r>
    </w:p>
    <w:p w14:paraId="6EF5438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采购方式：竞争性磋商</w:t>
      </w:r>
    </w:p>
    <w:p w14:paraId="0E3ACFB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预算金额：8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p w14:paraId="460B122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采购需求：</w:t>
      </w:r>
    </w:p>
    <w:p w14:paraId="4B59B663">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合同包1(陕西省生态环境执法装备和用电监控统筹管控能力建设项目安全检测服务（二次）):</w:t>
      </w:r>
    </w:p>
    <w:p w14:paraId="2A371AE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合同包预算金额：8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p w14:paraId="535431FD">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合同包最高限价：8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20"/>
        <w:gridCol w:w="1716"/>
        <w:gridCol w:w="1418"/>
        <w:gridCol w:w="2219"/>
        <w:gridCol w:w="1500"/>
      </w:tblGrid>
      <w:tr w14:paraId="11C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35" w:type="dxa"/>
          </w:tcPr>
          <w:p w14:paraId="1BB6C96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品目号</w:t>
            </w:r>
          </w:p>
        </w:tc>
        <w:tc>
          <w:tcPr>
            <w:tcW w:w="1420" w:type="dxa"/>
          </w:tcPr>
          <w:p w14:paraId="55C124FD">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品目名称</w:t>
            </w:r>
          </w:p>
        </w:tc>
        <w:tc>
          <w:tcPr>
            <w:tcW w:w="1716" w:type="dxa"/>
          </w:tcPr>
          <w:p w14:paraId="74B6AC8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采购标的</w:t>
            </w:r>
          </w:p>
        </w:tc>
        <w:tc>
          <w:tcPr>
            <w:tcW w:w="1418" w:type="dxa"/>
          </w:tcPr>
          <w:p w14:paraId="0C07ED8E">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数量（单位）</w:t>
            </w:r>
          </w:p>
        </w:tc>
        <w:tc>
          <w:tcPr>
            <w:tcW w:w="2219" w:type="dxa"/>
          </w:tcPr>
          <w:p w14:paraId="74905E91">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技术规格、参数及要求</w:t>
            </w:r>
          </w:p>
        </w:tc>
        <w:tc>
          <w:tcPr>
            <w:tcW w:w="1500" w:type="dxa"/>
          </w:tcPr>
          <w:p w14:paraId="3336EE5B">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品目预算(元)</w:t>
            </w:r>
          </w:p>
        </w:tc>
      </w:tr>
      <w:tr w14:paraId="04C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04C28590">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1-1</w:t>
            </w:r>
          </w:p>
        </w:tc>
        <w:tc>
          <w:tcPr>
            <w:tcW w:w="1420" w:type="dxa"/>
          </w:tcPr>
          <w:p w14:paraId="3CBFAA9C">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测试评估认证服务</w:t>
            </w:r>
          </w:p>
        </w:tc>
        <w:tc>
          <w:tcPr>
            <w:tcW w:w="1716" w:type="dxa"/>
          </w:tcPr>
          <w:p w14:paraId="64160D17">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陕西省生态环境执法装备和用电监控统筹管控能力建设项目安全检测服务</w:t>
            </w:r>
          </w:p>
        </w:tc>
        <w:tc>
          <w:tcPr>
            <w:tcW w:w="1418" w:type="dxa"/>
          </w:tcPr>
          <w:p w14:paraId="4E52A735">
            <w:pPr>
              <w:keepNext w:val="0"/>
              <w:keepLines w:val="0"/>
              <w:pageBreakBefore w:val="0"/>
              <w:widowControl w:val="0"/>
              <w:kinsoku/>
              <w:wordWrap/>
              <w:overflowPunct/>
              <w:topLinePunct w:val="0"/>
              <w:autoSpaceDE/>
              <w:autoSpaceDN/>
              <w:bidi w:val="0"/>
              <w:snapToGrid/>
              <w:spacing w:before="86" w:beforeLines="20" w:line="480" w:lineRule="exact"/>
              <w:jc w:val="center"/>
              <w:textAlignment w:val="auto"/>
              <w:rPr>
                <w:rFonts w:hint="default" w:ascii="黑体" w:hAnsi="黑体" w:eastAsia="黑体" w:cs="黑体"/>
                <w:sz w:val="19"/>
                <w:szCs w:val="19"/>
                <w:highlight w:val="none"/>
                <w:vertAlign w:val="baseline"/>
                <w:lang w:val="en-US" w:eastAsia="zh-CN"/>
              </w:rPr>
            </w:pPr>
            <w:r>
              <w:rPr>
                <w:rFonts w:hint="eastAsia" w:ascii="黑体" w:hAnsi="黑体" w:eastAsia="黑体" w:cs="黑体"/>
                <w:sz w:val="19"/>
                <w:szCs w:val="19"/>
                <w:highlight w:val="none"/>
                <w:vertAlign w:val="baseline"/>
                <w:lang w:val="en-US" w:eastAsia="zh-CN"/>
              </w:rPr>
              <w:t>1项</w:t>
            </w:r>
          </w:p>
        </w:tc>
        <w:tc>
          <w:tcPr>
            <w:tcW w:w="2219" w:type="dxa"/>
          </w:tcPr>
          <w:p w14:paraId="5FC6580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详见采购文件</w:t>
            </w:r>
          </w:p>
        </w:tc>
        <w:tc>
          <w:tcPr>
            <w:tcW w:w="1500" w:type="dxa"/>
          </w:tcPr>
          <w:p w14:paraId="22699863">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lang w:eastAsia="zh-CN"/>
              </w:rPr>
              <w:t>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tc>
      </w:tr>
    </w:tbl>
    <w:p w14:paraId="52D62814">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本合同包</w:t>
      </w:r>
      <w:r>
        <w:rPr>
          <w:rFonts w:hint="eastAsia" w:ascii="黑体" w:hAnsi="黑体" w:eastAsia="黑体" w:cs="黑体"/>
          <w:sz w:val="19"/>
          <w:szCs w:val="19"/>
          <w:highlight w:val="none"/>
          <w:lang w:val="en-US" w:eastAsia="zh-CN"/>
        </w:rPr>
        <w:t>不</w:t>
      </w:r>
      <w:r>
        <w:rPr>
          <w:rFonts w:hint="eastAsia" w:ascii="黑体" w:hAnsi="黑体" w:eastAsia="黑体" w:cs="黑体"/>
          <w:sz w:val="19"/>
          <w:szCs w:val="19"/>
          <w:highlight w:val="none"/>
          <w:lang w:eastAsia="zh-CN"/>
        </w:rPr>
        <w:t>接受联合体投标。</w:t>
      </w:r>
    </w:p>
    <w:p w14:paraId="33E6A97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合同履行期限：</w:t>
      </w:r>
      <w:r>
        <w:rPr>
          <w:rFonts w:hint="eastAsia" w:ascii="黑体" w:hAnsi="黑体" w:eastAsia="黑体" w:cs="黑体"/>
          <w:color w:val="000000"/>
          <w:sz w:val="19"/>
          <w:szCs w:val="19"/>
          <w:highlight w:val="none"/>
          <w:lang w:val="en-US" w:eastAsia="zh-CN"/>
        </w:rPr>
        <w:t>供应商履行完毕合同所约定的全部内容，并提交相应成果后，服务期终止</w:t>
      </w:r>
      <w:r>
        <w:rPr>
          <w:rFonts w:hint="eastAsia" w:ascii="黑体" w:hAnsi="黑体" w:eastAsia="黑体" w:cs="黑体"/>
          <w:sz w:val="19"/>
          <w:szCs w:val="19"/>
          <w:highlight w:val="none"/>
          <w:lang w:val="en-US" w:eastAsia="zh-CN"/>
        </w:rPr>
        <w:t xml:space="preserve">。 </w:t>
      </w:r>
    </w:p>
    <w:p w14:paraId="07E69233">
      <w:pPr>
        <w:pStyle w:val="8"/>
        <w:keepNext w:val="0"/>
        <w:keepLines w:val="0"/>
        <w:pageBreakBefore w:val="0"/>
        <w:widowControl w:val="0"/>
        <w:numPr>
          <w:ilvl w:val="0"/>
          <w:numId w:val="0"/>
        </w:numPr>
        <w:kinsoku/>
        <w:wordWrap/>
        <w:overflowPunct/>
        <w:topLinePunct w:val="0"/>
        <w:autoSpaceDE/>
        <w:autoSpaceDN/>
        <w:bidi w:val="0"/>
        <w:adjustRightInd w:val="0"/>
        <w:snapToGrid/>
        <w:spacing w:before="86" w:beforeLines="20" w:line="480" w:lineRule="exact"/>
        <w:ind w:left="95" w:leftChars="0" w:firstLine="0" w:firstLineChars="0"/>
        <w:jc w:val="both"/>
        <w:textAlignment w:val="auto"/>
        <w:rPr>
          <w:rFonts w:hint="eastAsia" w:ascii="黑体" w:hAnsi="黑体" w:eastAsia="黑体" w:cs="黑体"/>
          <w:b/>
          <w:bCs/>
          <w:sz w:val="19"/>
          <w:szCs w:val="19"/>
          <w:highlight w:val="none"/>
        </w:rPr>
      </w:pPr>
      <w:r>
        <w:rPr>
          <w:rFonts w:hint="eastAsia" w:ascii="黑体" w:hAnsi="黑体" w:eastAsia="黑体" w:cs="黑体"/>
          <w:b/>
          <w:bCs/>
          <w:kern w:val="2"/>
          <w:sz w:val="19"/>
          <w:szCs w:val="19"/>
          <w:lang w:val="en-US" w:eastAsia="zh-CN" w:bidi="ar-SA"/>
        </w:rPr>
        <w:t>二、</w:t>
      </w:r>
      <w:r>
        <w:rPr>
          <w:rFonts w:hint="eastAsia" w:ascii="黑体" w:hAnsi="黑体" w:eastAsia="黑体" w:cs="黑体"/>
          <w:b/>
          <w:bCs/>
          <w:sz w:val="19"/>
          <w:szCs w:val="19"/>
          <w:highlight w:val="none"/>
        </w:rPr>
        <w:t>申请人的资格要求：</w:t>
      </w:r>
    </w:p>
    <w:p w14:paraId="261B5810">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1、基本资格条件：满足《中华人民共和国政府采购法》第二十二条规定</w:t>
      </w:r>
      <w:r>
        <w:rPr>
          <w:rFonts w:hint="eastAsia" w:ascii="黑体" w:hAnsi="黑体" w:eastAsia="黑体" w:cs="黑体"/>
          <w:sz w:val="19"/>
          <w:szCs w:val="19"/>
          <w:highlight w:val="none"/>
          <w:lang w:eastAsia="zh-CN"/>
        </w:rPr>
        <w:t>。</w:t>
      </w:r>
    </w:p>
    <w:p w14:paraId="030751A6">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2、落实政府采购政策需满足的资格要求：</w:t>
      </w:r>
    </w:p>
    <w:p w14:paraId="1AF326E7">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yellow"/>
        </w:rPr>
      </w:pPr>
      <w:r>
        <w:rPr>
          <w:rFonts w:hint="eastAsia" w:ascii="黑体" w:hAnsi="黑体" w:eastAsia="黑体" w:cs="黑体"/>
          <w:sz w:val="19"/>
          <w:szCs w:val="19"/>
          <w:highlight w:val="none"/>
        </w:rPr>
        <w:t>（1）</w:t>
      </w:r>
      <w:r>
        <w:rPr>
          <w:rFonts w:hint="eastAsia" w:ascii="黑体" w:hAnsi="黑体" w:eastAsia="黑体" w:cs="黑体"/>
          <w:b/>
          <w:bCs/>
          <w:sz w:val="19"/>
          <w:szCs w:val="19"/>
          <w:highlight w:val="none"/>
        </w:rPr>
        <w:t>本项目专门面向中小企业采购</w:t>
      </w:r>
      <w:r>
        <w:rPr>
          <w:rFonts w:hint="eastAsia" w:ascii="黑体" w:hAnsi="黑体" w:eastAsia="黑体" w:cs="黑体"/>
          <w:sz w:val="19"/>
          <w:szCs w:val="19"/>
          <w:highlight w:val="none"/>
        </w:rPr>
        <w:t>，服务全部由符合政策要求的中小企业承接。中小企业参加政府采购活动，应当出具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p>
    <w:p w14:paraId="661D0FA1">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）本项目</w:t>
      </w:r>
      <w:r>
        <w:rPr>
          <w:rFonts w:hint="eastAsia" w:ascii="黑体" w:hAnsi="黑体" w:eastAsia="黑体" w:cs="黑体"/>
          <w:sz w:val="19"/>
          <w:szCs w:val="19"/>
          <w:highlight w:val="none"/>
          <w:lang w:val="en-US" w:eastAsia="zh-CN"/>
        </w:rPr>
        <w:t>将</w:t>
      </w:r>
      <w:r>
        <w:rPr>
          <w:rFonts w:hint="eastAsia" w:ascii="黑体" w:hAnsi="黑体" w:eastAsia="黑体" w:cs="黑体"/>
          <w:sz w:val="19"/>
          <w:szCs w:val="19"/>
          <w:highlight w:val="none"/>
          <w:lang w:eastAsia="zh-CN"/>
        </w:rPr>
        <w:t>严格落实政府采购的相关政策，具体包括但不限于：强制或优先采购节能产品及环境标志产品、支持绿色发展、鼓励科技创新、促进中小企业发展、</w:t>
      </w:r>
      <w:r>
        <w:rPr>
          <w:rFonts w:hint="eastAsia" w:ascii="黑体" w:hAnsi="黑体" w:eastAsia="黑体" w:cs="黑体"/>
          <w:sz w:val="19"/>
          <w:szCs w:val="19"/>
          <w:highlight w:val="none"/>
          <w:lang w:val="en-US" w:eastAsia="zh-CN"/>
        </w:rPr>
        <w:t>促进</w:t>
      </w:r>
      <w:r>
        <w:rPr>
          <w:rFonts w:hint="eastAsia" w:ascii="黑体" w:hAnsi="黑体" w:eastAsia="黑体" w:cs="黑体"/>
          <w:sz w:val="19"/>
          <w:szCs w:val="19"/>
          <w:highlight w:val="none"/>
          <w:lang w:eastAsia="zh-CN"/>
        </w:rPr>
        <w:t>残疾人就业、支持监狱和戒毒企业、扶持不发达地区及少数民族地区发展、乡村振兴等</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lang w:eastAsia="zh-CN"/>
        </w:rPr>
        <w:t>。若有最新政策颁布实施，以已生效的最新政策为准，具体内容详见</w:t>
      </w:r>
      <w:r>
        <w:rPr>
          <w:rFonts w:hint="eastAsia" w:ascii="黑体" w:hAnsi="黑体" w:eastAsia="黑体" w:cs="黑体"/>
          <w:sz w:val="19"/>
          <w:szCs w:val="19"/>
          <w:highlight w:val="none"/>
          <w:lang w:val="en-US" w:eastAsia="zh-CN"/>
        </w:rPr>
        <w:t>竞争性磋商</w:t>
      </w:r>
      <w:r>
        <w:rPr>
          <w:rFonts w:hint="eastAsia" w:ascii="黑体" w:hAnsi="黑体" w:eastAsia="黑体" w:cs="黑体"/>
          <w:sz w:val="19"/>
          <w:szCs w:val="19"/>
          <w:highlight w:val="none"/>
          <w:lang w:eastAsia="zh-CN"/>
        </w:rPr>
        <w:t>文件。</w:t>
      </w:r>
    </w:p>
    <w:p w14:paraId="6F08D826">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3、本项目的特定资格要求：</w:t>
      </w:r>
    </w:p>
    <w:p w14:paraId="1FCCBE6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p w14:paraId="30506D40">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特定资格：</w:t>
      </w:r>
      <w:r>
        <w:rPr>
          <w:rFonts w:hint="eastAsia" w:ascii="黑体" w:hAnsi="黑体" w:eastAsia="黑体" w:cs="黑体"/>
          <w:kern w:val="2"/>
          <w:sz w:val="19"/>
          <w:szCs w:val="19"/>
          <w:highlight w:val="none"/>
          <w:lang w:val="en-US" w:eastAsia="zh-CN" w:bidi="ar-SA"/>
        </w:rPr>
        <w:t xml:space="preserve">供应商须具备有效的《网络安全服务认证证书等级保护测评服务认证》； </w:t>
      </w:r>
    </w:p>
    <w:p w14:paraId="1241EAE3">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三、获取采购文件</w:t>
      </w:r>
    </w:p>
    <w:p w14:paraId="03BD96E9">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时间：</w:t>
      </w:r>
      <w:r>
        <w:rPr>
          <w:rFonts w:hint="eastAsia" w:ascii="黑体" w:hAnsi="黑体" w:eastAsia="黑体" w:cs="黑体"/>
          <w:sz w:val="19"/>
          <w:szCs w:val="19"/>
          <w:highlight w:val="none"/>
          <w:lang w:eastAsia="zh-CN"/>
        </w:rPr>
        <w:t>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w:t>
      </w:r>
      <w:r>
        <w:rPr>
          <w:rFonts w:hint="eastAsia" w:ascii="黑体" w:hAnsi="黑体" w:eastAsia="黑体" w:cs="黑体"/>
          <w:sz w:val="19"/>
          <w:szCs w:val="19"/>
          <w:highlight w:val="none"/>
          <w:lang w:val="en-US" w:eastAsia="zh-CN"/>
        </w:rPr>
        <w:t>11</w:t>
      </w:r>
      <w:r>
        <w:rPr>
          <w:rFonts w:hint="eastAsia" w:ascii="黑体" w:hAnsi="黑体" w:eastAsia="黑体" w:cs="黑体"/>
          <w:sz w:val="19"/>
          <w:szCs w:val="19"/>
          <w:highlight w:val="none"/>
          <w:lang w:eastAsia="zh-CN"/>
        </w:rPr>
        <w:t>月</w:t>
      </w:r>
      <w:r>
        <w:rPr>
          <w:rFonts w:hint="eastAsia" w:ascii="黑体" w:hAnsi="黑体" w:eastAsia="黑体" w:cs="黑体"/>
          <w:sz w:val="19"/>
          <w:szCs w:val="19"/>
          <w:highlight w:val="none"/>
          <w:lang w:val="en-US" w:eastAsia="zh-CN"/>
        </w:rPr>
        <w:t>14</w:t>
      </w:r>
      <w:r>
        <w:rPr>
          <w:rFonts w:hint="eastAsia" w:ascii="黑体" w:hAnsi="黑体" w:eastAsia="黑体" w:cs="黑体"/>
          <w:sz w:val="19"/>
          <w:szCs w:val="19"/>
          <w:highlight w:val="none"/>
          <w:lang w:eastAsia="zh-CN"/>
        </w:rPr>
        <w:t>日至202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年11月</w:t>
      </w:r>
      <w:r>
        <w:rPr>
          <w:rFonts w:hint="eastAsia" w:ascii="黑体" w:hAnsi="黑体" w:eastAsia="黑体" w:cs="黑体"/>
          <w:sz w:val="19"/>
          <w:szCs w:val="19"/>
          <w:highlight w:val="none"/>
          <w:lang w:val="en-US" w:eastAsia="zh-CN"/>
        </w:rPr>
        <w:t>21</w:t>
      </w:r>
      <w:r>
        <w:rPr>
          <w:rFonts w:hint="eastAsia" w:ascii="黑体" w:hAnsi="黑体" w:eastAsia="黑体" w:cs="黑体"/>
          <w:sz w:val="19"/>
          <w:szCs w:val="19"/>
          <w:highlight w:val="none"/>
          <w:lang w:eastAsia="zh-CN"/>
        </w:rPr>
        <w:t>日</w:t>
      </w:r>
      <w:r>
        <w:rPr>
          <w:rFonts w:hint="eastAsia" w:ascii="黑体" w:hAnsi="黑体" w:eastAsia="黑体" w:cs="黑体"/>
          <w:sz w:val="19"/>
          <w:szCs w:val="19"/>
          <w:highlight w:val="none"/>
        </w:rPr>
        <w:t>，每天上午08:00至12:00，下午13:00至17:00。（北京时间</w:t>
      </w:r>
      <w:r>
        <w:rPr>
          <w:rFonts w:hint="eastAsia" w:ascii="黑体" w:hAnsi="黑体" w:eastAsia="黑体" w:cs="黑体"/>
          <w:sz w:val="19"/>
          <w:szCs w:val="19"/>
          <w:highlight w:val="none"/>
          <w:lang w:eastAsia="zh-CN"/>
        </w:rPr>
        <w:t>）；</w:t>
      </w:r>
    </w:p>
    <w:p w14:paraId="787686D9">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途径：中保研招标电子交易系统。</w:t>
      </w:r>
    </w:p>
    <w:p w14:paraId="0E05AFBD">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方式：在线获取</w:t>
      </w:r>
    </w:p>
    <w:p w14:paraId="19199B84">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售价： 500元</w:t>
      </w:r>
      <w:r>
        <w:rPr>
          <w:rFonts w:hint="eastAsia" w:ascii="黑体" w:hAnsi="黑体" w:eastAsia="黑体" w:cs="黑体"/>
          <w:sz w:val="19"/>
          <w:szCs w:val="19"/>
          <w:highlight w:val="none"/>
          <w:lang w:val="en-US" w:eastAsia="zh-CN"/>
        </w:rPr>
        <w:t xml:space="preserve"> </w:t>
      </w:r>
    </w:p>
    <w:p w14:paraId="4AC61C4E">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四、响应文件提交</w:t>
      </w:r>
    </w:p>
    <w:p w14:paraId="3BF19CB9">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截止时间：</w:t>
      </w:r>
      <w:r>
        <w:rPr>
          <w:rFonts w:hint="eastAsia" w:ascii="黑体" w:hAnsi="黑体" w:eastAsia="黑体" w:cs="黑体"/>
          <w:sz w:val="19"/>
          <w:szCs w:val="19"/>
          <w:highlight w:val="none"/>
          <w:lang w:eastAsia="zh-CN"/>
        </w:rPr>
        <w:t>2025年11月26日</w:t>
      </w:r>
      <w:r>
        <w:rPr>
          <w:rFonts w:hint="eastAsia" w:ascii="黑体" w:hAnsi="黑体" w:eastAsia="黑体" w:cs="黑体"/>
          <w:sz w:val="19"/>
          <w:szCs w:val="19"/>
          <w:highlight w:val="none"/>
        </w:rPr>
        <w:t xml:space="preserve"> 09时30分</w:t>
      </w:r>
      <w:r>
        <w:rPr>
          <w:rFonts w:hint="eastAsia" w:ascii="黑体" w:hAnsi="黑体" w:eastAsia="黑体" w:cs="黑体"/>
          <w:sz w:val="19"/>
          <w:szCs w:val="19"/>
          <w:highlight w:val="none"/>
          <w:lang w:eastAsia="zh-CN"/>
        </w:rPr>
        <w:t>（北京时间）</w:t>
      </w:r>
      <w:r>
        <w:rPr>
          <w:rFonts w:hint="eastAsia" w:ascii="黑体" w:hAnsi="黑体" w:eastAsia="黑体" w:cs="黑体"/>
          <w:sz w:val="19"/>
          <w:szCs w:val="19"/>
          <w:highlight w:val="none"/>
        </w:rPr>
        <w:t>；</w:t>
      </w:r>
    </w:p>
    <w:p w14:paraId="062394E8">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33F65AB4">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lang w:val="en-US" w:eastAsia="zh-CN"/>
        </w:rPr>
        <w:t>五、</w:t>
      </w:r>
      <w:r>
        <w:rPr>
          <w:rFonts w:hint="eastAsia" w:ascii="黑体" w:hAnsi="黑体" w:eastAsia="黑体" w:cs="黑体"/>
          <w:b/>
          <w:bCs/>
          <w:sz w:val="19"/>
          <w:szCs w:val="19"/>
          <w:highlight w:val="none"/>
        </w:rPr>
        <w:t>开启</w:t>
      </w:r>
    </w:p>
    <w:p w14:paraId="374FD16D">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时    间：</w:t>
      </w:r>
      <w:r>
        <w:rPr>
          <w:rFonts w:hint="eastAsia" w:ascii="黑体" w:hAnsi="黑体" w:eastAsia="黑体" w:cs="黑体"/>
          <w:sz w:val="19"/>
          <w:szCs w:val="19"/>
          <w:highlight w:val="none"/>
          <w:lang w:eastAsia="zh-CN"/>
        </w:rPr>
        <w:t>2025年11月26日 09时30分（北京时间）</w:t>
      </w:r>
      <w:r>
        <w:rPr>
          <w:rFonts w:hint="eastAsia" w:ascii="黑体" w:hAnsi="黑体" w:eastAsia="黑体" w:cs="黑体"/>
          <w:sz w:val="19"/>
          <w:szCs w:val="19"/>
          <w:highlight w:val="none"/>
        </w:rPr>
        <w:t>；</w:t>
      </w:r>
    </w:p>
    <w:p w14:paraId="3A0D7B6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32FB866E">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六、公告期限</w:t>
      </w:r>
    </w:p>
    <w:p w14:paraId="0823F2C8">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自本公告发布之日起3个工作日。</w:t>
      </w:r>
    </w:p>
    <w:p w14:paraId="6A272F94">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七、其他补充事宜</w:t>
      </w:r>
    </w:p>
    <w:p w14:paraId="290E46E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1.公告发布媒体：陕西省政府采购网（https://www.ccgp-shaanxi.gov.cn/）。</w:t>
      </w:r>
    </w:p>
    <w:p w14:paraId="13FB81B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cs="黑体" w:eastAsiaTheme="minorEastAsia"/>
          <w:b/>
          <w:bCs/>
          <w:sz w:val="19"/>
          <w:szCs w:val="19"/>
          <w:highlight w:val="none"/>
          <w:lang w:eastAsia="zh-CN"/>
        </w:rPr>
      </w:pP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w:t>
      </w:r>
      <w:r>
        <w:rPr>
          <w:rFonts w:hint="eastAsia" w:ascii="黑体" w:hAnsi="黑体" w:eastAsia="黑体" w:cs="黑体"/>
          <w:color w:val="auto"/>
          <w:sz w:val="19"/>
          <w:szCs w:val="19"/>
          <w:highlight w:val="none"/>
        </w:rPr>
        <w:t>获取方式：采购文件的获取一律采用线上方式，获取采购文件须提供</w:t>
      </w:r>
      <w:r>
        <w:rPr>
          <w:rFonts w:hint="eastAsia" w:ascii="黑体" w:hAnsi="黑体" w:eastAsia="黑体" w:cs="黑体"/>
          <w:color w:val="000000"/>
          <w:sz w:val="19"/>
          <w:szCs w:val="19"/>
          <w:highlight w:val="none"/>
        </w:rPr>
        <w:t>授权委托书（格式参考附件，并加盖公章）</w:t>
      </w:r>
      <w:r>
        <w:rPr>
          <w:rFonts w:hint="eastAsia" w:ascii="黑体" w:hAnsi="黑体" w:eastAsia="黑体" w:cs="黑体"/>
          <w:color w:val="auto"/>
          <w:sz w:val="19"/>
          <w:szCs w:val="19"/>
          <w:highlight w:val="none"/>
        </w:rPr>
        <w:t>。请潜在供应商按以下流程自助获取：</w:t>
      </w:r>
      <w:r>
        <w:rPr>
          <w:rFonts w:hint="eastAsia" w:ascii="黑体" w:hAnsi="黑体" w:eastAsia="黑体" w:cs="黑体"/>
          <w:b/>
          <w:bCs/>
          <w:color w:val="auto"/>
          <w:sz w:val="19"/>
          <w:szCs w:val="19"/>
          <w:highlight w:val="none"/>
        </w:rPr>
        <w:t>①请搜索并关注“中保研招标电子交易系统”微信公众号，主界面点击“我要投标”，</w:t>
      </w:r>
      <w:r>
        <w:rPr>
          <w:rFonts w:hint="eastAsia" w:ascii="黑体" w:hAnsi="黑体" w:eastAsia="黑体" w:cs="黑体"/>
          <w:b/>
          <w:bCs/>
          <w:color w:val="auto"/>
          <w:sz w:val="19"/>
          <w:szCs w:val="19"/>
          <w:highlight w:val="none"/>
          <w:lang w:val="en-US" w:eastAsia="zh-CN"/>
        </w:rPr>
        <w:t>提交</w:t>
      </w:r>
      <w:r>
        <w:rPr>
          <w:rFonts w:hint="eastAsia" w:ascii="黑体" w:hAnsi="黑体" w:eastAsia="黑体" w:cs="黑体"/>
          <w:b/>
          <w:bCs/>
          <w:color w:val="auto"/>
          <w:sz w:val="19"/>
          <w:szCs w:val="19"/>
          <w:highlight w:val="none"/>
        </w:rPr>
        <w:t>“项目登记”并获取文件密码。②点击“文件下载”，经复核通过后获取采购文件。③</w:t>
      </w:r>
      <w:r>
        <w:rPr>
          <w:rFonts w:hint="eastAsia" w:ascii="黑体" w:hAnsi="黑体" w:eastAsia="黑体" w:cs="黑体"/>
          <w:b/>
          <w:bCs/>
          <w:color w:val="auto"/>
          <w:sz w:val="19"/>
          <w:szCs w:val="19"/>
          <w:highlight w:val="none"/>
          <w:lang w:eastAsia="zh-CN"/>
        </w:rPr>
        <w:t>响应截止</w:t>
      </w:r>
      <w:r>
        <w:rPr>
          <w:rFonts w:hint="eastAsia" w:ascii="黑体" w:hAnsi="黑体" w:eastAsia="黑体" w:cs="黑体"/>
          <w:b/>
          <w:bCs/>
          <w:color w:val="auto"/>
          <w:sz w:val="19"/>
          <w:szCs w:val="19"/>
          <w:highlight w:val="none"/>
        </w:rPr>
        <w:t>前，请潜在供应商将已上传</w:t>
      </w:r>
      <w:r>
        <w:rPr>
          <w:rFonts w:hint="eastAsia" w:ascii="黑体" w:hAnsi="黑体" w:eastAsia="黑体" w:cs="黑体"/>
          <w:b/>
          <w:bCs/>
          <w:color w:val="auto"/>
          <w:sz w:val="19"/>
          <w:szCs w:val="19"/>
          <w:highlight w:val="none"/>
          <w:lang w:val="en-US" w:eastAsia="zh-CN"/>
        </w:rPr>
        <w:t>至系统</w:t>
      </w:r>
      <w:r>
        <w:rPr>
          <w:rFonts w:hint="eastAsia" w:ascii="黑体" w:hAnsi="黑体" w:eastAsia="黑体" w:cs="黑体"/>
          <w:b/>
          <w:bCs/>
          <w:color w:val="auto"/>
          <w:sz w:val="19"/>
          <w:szCs w:val="19"/>
          <w:highlight w:val="none"/>
        </w:rPr>
        <w:t>的盖章</w:t>
      </w:r>
      <w:r>
        <w:rPr>
          <w:rFonts w:hint="eastAsia" w:ascii="黑体" w:hAnsi="黑体" w:eastAsia="黑体" w:cs="黑体"/>
          <w:b/>
          <w:bCs/>
          <w:color w:val="auto"/>
          <w:sz w:val="19"/>
          <w:szCs w:val="19"/>
          <w:highlight w:val="none"/>
          <w:lang w:val="en-US" w:eastAsia="zh-CN"/>
        </w:rPr>
        <w:t>版纸质原件</w:t>
      </w:r>
      <w:r>
        <w:rPr>
          <w:rFonts w:hint="eastAsia" w:ascii="黑体" w:hAnsi="黑体" w:eastAsia="黑体" w:cs="黑体"/>
          <w:b/>
          <w:bCs/>
          <w:color w:val="auto"/>
          <w:sz w:val="19"/>
          <w:szCs w:val="19"/>
          <w:highlight w:val="none"/>
        </w:rPr>
        <w:t>快递或现场递交至采购代理机构。未在规定时间内按要求获取采购文件的供应商</w:t>
      </w:r>
      <w:r>
        <w:rPr>
          <w:rFonts w:hint="eastAsia" w:ascii="黑体" w:hAnsi="黑体" w:eastAsia="黑体" w:cs="黑体"/>
          <w:b/>
          <w:bCs/>
          <w:color w:val="auto"/>
          <w:sz w:val="19"/>
          <w:szCs w:val="19"/>
          <w:highlight w:val="none"/>
          <w:lang w:eastAsia="zh-CN"/>
        </w:rPr>
        <w:t>，</w:t>
      </w:r>
      <w:r>
        <w:rPr>
          <w:rFonts w:hint="eastAsia" w:ascii="黑体" w:hAnsi="黑体" w:eastAsia="黑体" w:cs="黑体"/>
          <w:b/>
          <w:bCs/>
          <w:color w:val="auto"/>
          <w:sz w:val="19"/>
          <w:szCs w:val="19"/>
          <w:highlight w:val="none"/>
          <w:lang w:val="en-US" w:eastAsia="zh-CN"/>
        </w:rPr>
        <w:t>响应文件</w:t>
      </w:r>
      <w:r>
        <w:rPr>
          <w:rFonts w:hint="eastAsia" w:ascii="黑体" w:hAnsi="黑体" w:eastAsia="黑体" w:cs="黑体"/>
          <w:b/>
          <w:bCs/>
          <w:color w:val="auto"/>
          <w:sz w:val="19"/>
          <w:szCs w:val="19"/>
          <w:highlight w:val="none"/>
        </w:rPr>
        <w:t>将被拒绝。④需要发票的，点击“开票申请”，我们会在项目成交结果发布后</w:t>
      </w:r>
      <w:r>
        <w:rPr>
          <w:rFonts w:hint="eastAsia" w:ascii="黑体" w:hAnsi="黑体" w:eastAsia="黑体" w:cs="黑体"/>
          <w:b/>
          <w:bCs/>
          <w:color w:val="auto"/>
          <w:sz w:val="19"/>
          <w:szCs w:val="19"/>
          <w:highlight w:val="none"/>
          <w:lang w:val="en-US" w:eastAsia="zh-CN"/>
        </w:rPr>
        <w:t>5</w:t>
      </w:r>
      <w:r>
        <w:rPr>
          <w:rFonts w:hint="eastAsia" w:ascii="黑体" w:hAnsi="黑体" w:eastAsia="黑体" w:cs="黑体"/>
          <w:b/>
          <w:bCs/>
          <w:color w:val="auto"/>
          <w:sz w:val="19"/>
          <w:szCs w:val="19"/>
          <w:highlight w:val="none"/>
        </w:rPr>
        <w:t>个工作日内统一开票，并发送</w:t>
      </w:r>
      <w:r>
        <w:rPr>
          <w:rFonts w:hint="eastAsia" w:ascii="黑体" w:hAnsi="黑体" w:eastAsia="黑体" w:cs="黑体"/>
          <w:b/>
          <w:bCs/>
          <w:color w:val="auto"/>
          <w:sz w:val="19"/>
          <w:szCs w:val="19"/>
          <w:highlight w:val="none"/>
          <w:lang w:val="en-US" w:eastAsia="zh-CN"/>
        </w:rPr>
        <w:t>至</w:t>
      </w:r>
      <w:r>
        <w:rPr>
          <w:rFonts w:hint="eastAsia" w:ascii="黑体" w:hAnsi="黑体" w:eastAsia="黑体" w:cs="黑体"/>
          <w:b/>
          <w:bCs/>
          <w:color w:val="auto"/>
          <w:sz w:val="19"/>
          <w:szCs w:val="19"/>
          <w:highlight w:val="none"/>
        </w:rPr>
        <w:t>电子邮箱。</w:t>
      </w:r>
      <w:r>
        <w:rPr>
          <w:rFonts w:hint="eastAsia" w:ascii="黑体" w:hAnsi="黑体" w:eastAsia="黑体" w:cs="黑体"/>
          <w:b/>
          <w:bCs/>
          <w:color w:val="auto"/>
          <w:sz w:val="19"/>
          <w:szCs w:val="19"/>
          <w:highlight w:val="none"/>
          <w:lang w:val="en-US" w:eastAsia="zh-CN"/>
        </w:rPr>
        <w:t>供应商如需纸质版采购文件，可直接联系工程师获取</w:t>
      </w:r>
      <w:r>
        <w:rPr>
          <w:rFonts w:hint="eastAsia"/>
          <w:lang w:eastAsia="zh-CN"/>
        </w:rPr>
        <w:t>。</w:t>
      </w:r>
    </w:p>
    <w:p w14:paraId="2C5743F8">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3.采购代理机构收款账户如下：</w:t>
      </w:r>
    </w:p>
    <w:p w14:paraId="382D0756">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开户名称：西安中保研招标有限公司；</w:t>
      </w:r>
    </w:p>
    <w:p w14:paraId="2BEA04BC">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开户银行：中国建设银行西安电子城支行；</w:t>
      </w:r>
    </w:p>
    <w:p w14:paraId="2B408CCA">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银行账号：6105 0192 3800 0951 6518。</w:t>
      </w:r>
    </w:p>
    <w:p w14:paraId="1B618E4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4.请供应商务必按照《陕西省财政厅关于政府采购投标人注册登记有关事项的通知》要求，通过陕西省政府采购网（http://www.ccgp-shaanxi.gov.cn/）进行陕</w:t>
      </w:r>
      <w:r>
        <w:rPr>
          <w:rFonts w:hint="eastAsia" w:ascii="黑体" w:hAnsi="黑体" w:eastAsia="黑体" w:cs="黑体"/>
          <w:sz w:val="19"/>
          <w:szCs w:val="19"/>
          <w:highlight w:val="none"/>
        </w:rPr>
        <w:t>西政府采购统一身份认证注册登记。</w:t>
      </w:r>
    </w:p>
    <w:p w14:paraId="5831E315">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八、对本次招标提出询问，请按以下方式联系。</w:t>
      </w:r>
    </w:p>
    <w:p w14:paraId="1EC56A3C">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 采购人信息</w:t>
      </w:r>
    </w:p>
    <w:p w14:paraId="30381F9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陕西省生态环境执法总队</w:t>
      </w:r>
    </w:p>
    <w:p w14:paraId="34E18088">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地   址：</w:t>
      </w:r>
      <w:r>
        <w:rPr>
          <w:rFonts w:hint="eastAsia" w:ascii="黑体" w:hAnsi="黑体" w:eastAsia="黑体" w:cs="黑体"/>
          <w:sz w:val="19"/>
          <w:szCs w:val="19"/>
          <w:highlight w:val="none"/>
          <w:lang w:eastAsia="zh-CN"/>
        </w:rPr>
        <w:t>陕西省西安市西影路106号陕西环保综合办公大楼</w:t>
      </w:r>
    </w:p>
    <w:p w14:paraId="3247F785">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联系人：</w:t>
      </w:r>
      <w:r>
        <w:rPr>
          <w:rFonts w:hint="eastAsia" w:ascii="黑体" w:hAnsi="黑体" w:eastAsia="黑体" w:cs="黑体"/>
          <w:sz w:val="19"/>
          <w:szCs w:val="19"/>
          <w:highlight w:val="none"/>
          <w:lang w:val="en-US" w:eastAsia="zh-CN"/>
        </w:rPr>
        <w:t>陈老师</w:t>
      </w:r>
    </w:p>
    <w:p w14:paraId="4549E3D7">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联系方式：</w:t>
      </w:r>
      <w:r>
        <w:rPr>
          <w:rFonts w:hint="eastAsia" w:ascii="黑体" w:hAnsi="黑体" w:eastAsia="黑体" w:cs="黑体"/>
          <w:sz w:val="19"/>
          <w:szCs w:val="19"/>
          <w:highlight w:val="none"/>
          <w:lang w:eastAsia="zh-CN"/>
        </w:rPr>
        <w:t>029-85429258</w:t>
      </w:r>
    </w:p>
    <w:p w14:paraId="782A8581">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2、采购代理机构信息  </w:t>
      </w:r>
    </w:p>
    <w:p w14:paraId="504A8F1A">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西安中保研招标有限公司</w:t>
      </w:r>
    </w:p>
    <w:p w14:paraId="53614754">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址：陕西省西安市新城区金花新都汇写字楼A座7楼</w:t>
      </w:r>
    </w:p>
    <w:p w14:paraId="10C46DED">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联系方式：xa@zbyan.cn　</w:t>
      </w:r>
    </w:p>
    <w:p w14:paraId="552FE34F">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3、项目联系方式</w:t>
      </w:r>
    </w:p>
    <w:p w14:paraId="6A11FC7B">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 xml:space="preserve">项目联系人： </w:t>
      </w:r>
      <w:r>
        <w:rPr>
          <w:rFonts w:hint="eastAsia" w:ascii="黑体" w:hAnsi="黑体" w:eastAsia="黑体" w:cs="黑体"/>
          <w:sz w:val="19"/>
          <w:szCs w:val="19"/>
          <w:highlight w:val="none"/>
          <w:lang w:eastAsia="zh-CN"/>
        </w:rPr>
        <w:t>李创、朱小翠、孙桐</w:t>
      </w:r>
    </w:p>
    <w:p w14:paraId="63A35C8E">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电　话：</w:t>
      </w:r>
      <w:r>
        <w:rPr>
          <w:rFonts w:hint="eastAsia" w:ascii="黑体" w:hAnsi="黑体" w:eastAsia="黑体" w:cs="黑体"/>
          <w:sz w:val="19"/>
          <w:szCs w:val="19"/>
          <w:highlight w:val="none"/>
          <w:lang w:eastAsia="zh-CN"/>
        </w:rPr>
        <w:t>13772150019</w:t>
      </w:r>
    </w:p>
    <w:bookmarkEnd w:id="9"/>
    <w:bookmarkEnd w:id="10"/>
    <w:bookmarkEnd w:id="11"/>
    <w:bookmarkEnd w:id="12"/>
    <w:bookmarkEnd w:id="13"/>
    <w:bookmarkEnd w:id="14"/>
    <w:bookmarkEnd w:id="15"/>
    <w:bookmarkEnd w:id="16"/>
    <w:p w14:paraId="5DB6F4EA">
      <w:pPr>
        <w:wordWrap/>
        <w:rPr>
          <w:rFonts w:hint="eastAsia" w:ascii="黑体" w:hAnsi="黑体" w:eastAsia="黑体" w:cs="黑体"/>
          <w:b/>
          <w:color w:val="000000" w:themeColor="text1"/>
          <w:sz w:val="21"/>
          <w:szCs w:val="21"/>
          <w:lang w:val="en-US" w:eastAsia="zh-CN"/>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425" w:num="1"/>
          <w:docGrid w:type="lines" w:linePitch="423" w:charSpace="0"/>
        </w:sectPr>
      </w:pPr>
    </w:p>
    <w:p w14:paraId="29B004EF">
      <w:pPr>
        <w:pStyle w:val="2"/>
        <w:wordWrap/>
        <w:bidi w:val="0"/>
        <w:rPr>
          <w:rFonts w:hint="eastAsia" w:ascii="黑体" w:hAnsi="黑体" w:eastAsia="黑体" w:cs="黑体"/>
          <w:b/>
          <w:bCs/>
          <w:color w:val="000000" w:themeColor="text1"/>
          <w:sz w:val="28"/>
          <w:szCs w:val="28"/>
          <w14:textFill>
            <w14:solidFill>
              <w14:schemeClr w14:val="tx1"/>
            </w14:solidFill>
          </w14:textFill>
        </w:rPr>
      </w:pPr>
      <w:bookmarkStart w:id="19" w:name="_Toc4129"/>
      <w:bookmarkStart w:id="20" w:name="_Toc9696"/>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二</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供应商须知</w:t>
      </w:r>
      <w:bookmarkEnd w:id="19"/>
      <w:bookmarkEnd w:id="20"/>
    </w:p>
    <w:p w14:paraId="0BDA361F">
      <w:pPr>
        <w:keepNext w:val="0"/>
        <w:keepLines w:val="0"/>
        <w:pageBreakBefore w:val="0"/>
        <w:widowControl w:val="0"/>
        <w:kinsoku/>
        <w:wordWrap/>
        <w:overflowPunct/>
        <w:topLinePunct w:val="0"/>
        <w:autoSpaceDE/>
        <w:autoSpaceDN/>
        <w:bidi w:val="0"/>
        <w:adjustRightInd w:val="0"/>
        <w:snapToGrid w:val="0"/>
        <w:spacing w:before="86" w:beforeLines="20" w:after="213" w:afterLines="50" w:line="480" w:lineRule="exact"/>
        <w:ind w:firstLine="381" w:firstLineChars="200"/>
        <w:textAlignment w:val="auto"/>
        <w:rPr>
          <w:rFonts w:hint="eastAsia" w:ascii="黑体" w:hAnsi="黑体" w:eastAsia="黑体" w:cs="黑体"/>
          <w:b w:val="0"/>
          <w:bCs w:val="0"/>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bCs/>
          <w:sz w:val="19"/>
          <w:szCs w:val="19"/>
        </w:rPr>
        <w:t>磋商文件中带有★号标识内容（包括本级及其下级编号中所有内容）条款为实质性条款，若有缺失或无效，响应无效</w:t>
      </w:r>
      <w:r>
        <w:rPr>
          <w:rFonts w:hint="eastAsia" w:ascii="黑体" w:hAnsi="黑体" w:eastAsia="黑体" w:cs="黑体"/>
          <w:b w:val="0"/>
          <w:bCs w:val="0"/>
          <w:sz w:val="19"/>
          <w:szCs w:val="19"/>
        </w:rPr>
        <w:t>。带“▲”号条款为允许负偏离的参数需求，若未响应或者不满足，将在综合评审中予以扣分处理。</w:t>
      </w:r>
      <w:r>
        <w:rPr>
          <w:rFonts w:hint="eastAsia" w:ascii="黑体" w:hAnsi="黑体" w:eastAsia="黑体" w:cs="黑体"/>
          <w:b w:val="0"/>
          <w:bCs w:val="0"/>
          <w:sz w:val="19"/>
          <w:szCs w:val="19"/>
          <w:lang w:eastAsia="zh-CN"/>
        </w:rPr>
        <w:t>“</w:t>
      </w:r>
      <w:r>
        <w:rPr>
          <w:rFonts w:hint="eastAsia" w:ascii="黑体" w:hAnsi="黑体" w:eastAsia="黑体" w:cs="黑体"/>
          <w:b w:val="0"/>
          <w:bCs w:val="0"/>
          <w:color w:val="000000" w:themeColor="text1"/>
          <w:kern w:val="2"/>
          <w:sz w:val="19"/>
          <w:szCs w:val="19"/>
          <w:highlight w:val="none"/>
          <w14:textFill>
            <w14:solidFill>
              <w14:schemeClr w14:val="tx1"/>
            </w14:solidFill>
          </w14:textFill>
        </w:rPr>
        <w:sym w:font="Wingdings" w:char="00FE"/>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系指适用本项目的要求，</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系指不适用本项目的要求。</w:t>
      </w:r>
    </w:p>
    <w:p w14:paraId="6A80FEEE">
      <w:pPr>
        <w:pStyle w:val="25"/>
        <w:keepNext w:val="0"/>
        <w:keepLines w:val="0"/>
        <w:pageBreakBefore w:val="0"/>
        <w:widowControl/>
        <w:kinsoku/>
        <w:wordWrap/>
        <w:overflowPunct/>
        <w:topLinePunct w:val="0"/>
        <w:autoSpaceDE/>
        <w:autoSpaceDN/>
        <w:bidi w:val="0"/>
        <w:adjustRightInd/>
        <w:snapToGrid/>
        <w:spacing w:after="213" w:afterLines="50"/>
        <w:jc w:val="center"/>
        <w:textAlignment w:val="auto"/>
        <w:outlineLvl w:val="1"/>
        <w:rPr>
          <w:rFonts w:hint="eastAsia" w:ascii="黑体" w:hAnsi="黑体" w:eastAsia="黑体" w:cs="黑体"/>
          <w:b/>
          <w:color w:val="000000" w:themeColor="text1"/>
          <w:sz w:val="28"/>
          <w14:textFill>
            <w14:solidFill>
              <w14:schemeClr w14:val="tx1"/>
            </w14:solidFill>
          </w14:textFill>
        </w:rPr>
      </w:pPr>
      <w:bookmarkStart w:id="21" w:name="_Toc3550"/>
      <w:bookmarkStart w:id="22" w:name="_Toc29313"/>
      <w:r>
        <w:rPr>
          <w:rFonts w:hint="eastAsia" w:ascii="黑体" w:hAnsi="黑体" w:eastAsia="黑体" w:cs="黑体"/>
          <w:b/>
          <w:color w:val="000000" w:themeColor="text1"/>
          <w:sz w:val="28"/>
          <w:szCs w:val="28"/>
          <w14:textFill>
            <w14:solidFill>
              <w14:schemeClr w14:val="tx1"/>
            </w14:solidFill>
          </w14:textFill>
        </w:rPr>
        <w:t>供应商须知前附表</w:t>
      </w:r>
      <w:bookmarkEnd w:id="21"/>
      <w:bookmarkEnd w:id="22"/>
    </w:p>
    <w:tbl>
      <w:tblPr>
        <w:tblStyle w:val="20"/>
        <w:tblW w:w="95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478"/>
        <w:gridCol w:w="6368"/>
      </w:tblGrid>
      <w:tr w14:paraId="0B9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noWrap w:val="0"/>
            <w:vAlign w:val="center"/>
          </w:tcPr>
          <w:p w14:paraId="130FFF0E">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序号</w:t>
            </w:r>
          </w:p>
        </w:tc>
        <w:tc>
          <w:tcPr>
            <w:tcW w:w="2478" w:type="dxa"/>
            <w:noWrap w:val="0"/>
            <w:vAlign w:val="center"/>
          </w:tcPr>
          <w:p w14:paraId="5B21B5A4">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w:t>
            </w:r>
          </w:p>
        </w:tc>
        <w:tc>
          <w:tcPr>
            <w:tcW w:w="6368" w:type="dxa"/>
            <w:noWrap w:val="0"/>
            <w:vAlign w:val="center"/>
          </w:tcPr>
          <w:p w14:paraId="601239A0">
            <w:pPr>
              <w:pStyle w:val="13"/>
              <w:wordWrap/>
              <w:spacing w:line="480" w:lineRule="exact"/>
              <w:jc w:val="lef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具体内容和要求</w:t>
            </w:r>
          </w:p>
        </w:tc>
      </w:tr>
      <w:tr w14:paraId="44F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2" w:type="dxa"/>
            <w:vMerge w:val="restart"/>
            <w:noWrap w:val="0"/>
            <w:vAlign w:val="center"/>
          </w:tcPr>
          <w:p w14:paraId="15CDD553">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78" w:type="dxa"/>
            <w:noWrap w:val="0"/>
            <w:vAlign w:val="center"/>
          </w:tcPr>
          <w:p w14:paraId="07B0EE5F">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采购项目</w:t>
            </w:r>
          </w:p>
        </w:tc>
        <w:tc>
          <w:tcPr>
            <w:tcW w:w="6368" w:type="dxa"/>
            <w:noWrap w:val="0"/>
            <w:vAlign w:val="center"/>
          </w:tcPr>
          <w:p w14:paraId="46D7CD48">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陕西省生态环境执法装备和用电监控统筹管控能力建设项目安全检测服务（二次）</w:t>
            </w:r>
          </w:p>
        </w:tc>
      </w:tr>
      <w:tr w14:paraId="5E9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2" w:type="dxa"/>
            <w:vMerge w:val="continue"/>
            <w:noWrap w:val="0"/>
            <w:vAlign w:val="center"/>
          </w:tcPr>
          <w:p w14:paraId="500C978E">
            <w:pPr>
              <w:pStyle w:val="13"/>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79739F5">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采购预算</w:t>
            </w:r>
          </w:p>
        </w:tc>
        <w:tc>
          <w:tcPr>
            <w:tcW w:w="6368" w:type="dxa"/>
            <w:noWrap w:val="0"/>
            <w:vAlign w:val="center"/>
          </w:tcPr>
          <w:p w14:paraId="6E55331D">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80000元</w:t>
            </w:r>
          </w:p>
        </w:tc>
      </w:tr>
      <w:tr w14:paraId="288B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noWrap w:val="0"/>
            <w:vAlign w:val="center"/>
          </w:tcPr>
          <w:p w14:paraId="009D5B03">
            <w:pPr>
              <w:pStyle w:val="13"/>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138DAF">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最高限价</w:t>
            </w:r>
          </w:p>
        </w:tc>
        <w:tc>
          <w:tcPr>
            <w:tcW w:w="6368" w:type="dxa"/>
            <w:noWrap w:val="0"/>
            <w:vAlign w:val="center"/>
          </w:tcPr>
          <w:p w14:paraId="188AE8F8">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80000元</w:t>
            </w:r>
          </w:p>
          <w:p w14:paraId="3CD43341">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★供应商应有明确报价，超过最高限价或者无报价响应的，响应无效。</w:t>
            </w:r>
          </w:p>
        </w:tc>
      </w:tr>
      <w:tr w14:paraId="52D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Merge w:val="continue"/>
            <w:noWrap w:val="0"/>
            <w:vAlign w:val="center"/>
          </w:tcPr>
          <w:p w14:paraId="243405BF">
            <w:pPr>
              <w:pStyle w:val="13"/>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restart"/>
            <w:noWrap w:val="0"/>
            <w:vAlign w:val="center"/>
          </w:tcPr>
          <w:p w14:paraId="53780CAF">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采购资金的支付方式、时间、条件</w:t>
            </w:r>
          </w:p>
        </w:tc>
        <w:tc>
          <w:tcPr>
            <w:tcW w:w="6368" w:type="dxa"/>
            <w:noWrap w:val="0"/>
            <w:vAlign w:val="center"/>
          </w:tcPr>
          <w:p w14:paraId="067079D1">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详见采购需求</w:t>
            </w:r>
          </w:p>
        </w:tc>
      </w:tr>
      <w:tr w14:paraId="490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noWrap w:val="0"/>
            <w:vAlign w:val="center"/>
          </w:tcPr>
          <w:p w14:paraId="1B341746">
            <w:pPr>
              <w:pStyle w:val="13"/>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continue"/>
            <w:noWrap w:val="0"/>
            <w:vAlign w:val="center"/>
          </w:tcPr>
          <w:p w14:paraId="37B58B3D">
            <w:pPr>
              <w:pStyle w:val="13"/>
              <w:spacing w:line="480" w:lineRule="exact"/>
              <w:rPr>
                <w:rFonts w:hint="eastAsia" w:ascii="黑体" w:hAnsi="黑体" w:eastAsia="黑体" w:cs="黑体"/>
                <w:color w:val="auto"/>
                <w:kern w:val="2"/>
                <w:sz w:val="19"/>
                <w:szCs w:val="19"/>
                <w:highlight w:val="none"/>
                <w:lang w:val="en-US" w:eastAsia="zh-CN"/>
              </w:rPr>
            </w:pPr>
          </w:p>
        </w:tc>
        <w:tc>
          <w:tcPr>
            <w:tcW w:w="6368" w:type="dxa"/>
            <w:noWrap w:val="0"/>
            <w:vAlign w:val="center"/>
          </w:tcPr>
          <w:p w14:paraId="565C8DD9">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如成交单位为中小企业，资金支付等事项按照《保障中小企业款项支付条例》（国务院令第 802 号）要求执行。</w:t>
            </w:r>
          </w:p>
        </w:tc>
      </w:tr>
      <w:tr w14:paraId="7F2C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72" w:type="dxa"/>
            <w:vMerge w:val="continue"/>
            <w:noWrap w:val="0"/>
            <w:vAlign w:val="center"/>
          </w:tcPr>
          <w:p w14:paraId="1C5848A8">
            <w:pPr>
              <w:pStyle w:val="13"/>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5A4153">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信息发布媒体</w:t>
            </w:r>
          </w:p>
        </w:tc>
        <w:tc>
          <w:tcPr>
            <w:tcW w:w="6368" w:type="dxa"/>
            <w:noWrap w:val="0"/>
            <w:vAlign w:val="center"/>
          </w:tcPr>
          <w:p w14:paraId="4736E90C">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陕西省政府采购网（http://www.ccgp-shaanxi.gov.cn）</w:t>
            </w:r>
          </w:p>
        </w:tc>
      </w:tr>
      <w:tr w14:paraId="20B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2" w:type="dxa"/>
            <w:noWrap w:val="0"/>
            <w:vAlign w:val="center"/>
          </w:tcPr>
          <w:p w14:paraId="7BBD5B23">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w:t>
            </w:r>
          </w:p>
        </w:tc>
        <w:tc>
          <w:tcPr>
            <w:tcW w:w="2478" w:type="dxa"/>
            <w:noWrap w:val="0"/>
            <w:vAlign w:val="center"/>
          </w:tcPr>
          <w:p w14:paraId="06A2D70D">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采购人</w:t>
            </w:r>
          </w:p>
        </w:tc>
        <w:tc>
          <w:tcPr>
            <w:tcW w:w="6368" w:type="dxa"/>
            <w:noWrap w:val="0"/>
            <w:vAlign w:val="center"/>
          </w:tcPr>
          <w:p w14:paraId="02F88153">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名称：陕西省生态环境执法总队</w:t>
            </w:r>
          </w:p>
          <w:p w14:paraId="4A279F5A">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地址：陕西省西安市西影路106号陕西环保综合办公大楼　　</w:t>
            </w:r>
          </w:p>
          <w:p w14:paraId="0712233D">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联系人：陈老师　　</w:t>
            </w:r>
          </w:p>
          <w:p w14:paraId="159F667D">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电话：029-85429258</w:t>
            </w:r>
          </w:p>
        </w:tc>
      </w:tr>
      <w:tr w14:paraId="6BE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672" w:type="dxa"/>
            <w:noWrap w:val="0"/>
            <w:vAlign w:val="center"/>
          </w:tcPr>
          <w:p w14:paraId="4B2A04EE">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3</w:t>
            </w:r>
          </w:p>
        </w:tc>
        <w:tc>
          <w:tcPr>
            <w:tcW w:w="2478" w:type="dxa"/>
            <w:noWrap w:val="0"/>
            <w:vAlign w:val="center"/>
          </w:tcPr>
          <w:p w14:paraId="5E4AD87A">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采购代理机构</w:t>
            </w:r>
          </w:p>
        </w:tc>
        <w:tc>
          <w:tcPr>
            <w:tcW w:w="6368" w:type="dxa"/>
            <w:noWrap w:val="0"/>
            <w:vAlign w:val="center"/>
          </w:tcPr>
          <w:p w14:paraId="452C4AE0">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名称：西安中保研招标有限公司</w:t>
            </w:r>
          </w:p>
          <w:p w14:paraId="6AEE306D">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地址：陕西省西安市新城区金花新都汇写字楼A座7楼</w:t>
            </w:r>
          </w:p>
          <w:p w14:paraId="51871C3B">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 李创、朱小翠、孙桐</w:t>
            </w:r>
          </w:p>
          <w:p w14:paraId="1F7285E2">
            <w:pPr>
              <w:pStyle w:val="13"/>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电话：13772150019</w:t>
            </w:r>
          </w:p>
        </w:tc>
      </w:tr>
      <w:tr w14:paraId="03B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2" w:type="dxa"/>
            <w:noWrap w:val="0"/>
            <w:vAlign w:val="center"/>
          </w:tcPr>
          <w:p w14:paraId="21717FC1">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w:t>
            </w:r>
          </w:p>
        </w:tc>
        <w:tc>
          <w:tcPr>
            <w:tcW w:w="2478" w:type="dxa"/>
            <w:noWrap w:val="0"/>
            <w:vAlign w:val="center"/>
          </w:tcPr>
          <w:p w14:paraId="795DA951">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项目属性与核心产品</w:t>
            </w:r>
          </w:p>
        </w:tc>
        <w:tc>
          <w:tcPr>
            <w:tcW w:w="6368" w:type="dxa"/>
            <w:noWrap w:val="0"/>
            <w:vAlign w:val="center"/>
          </w:tcPr>
          <w:p w14:paraId="586C3EA0">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sym w:font="Wingdings" w:char="00FE"/>
            </w:r>
            <w:r>
              <w:rPr>
                <w:rFonts w:hint="eastAsia" w:ascii="黑体" w:hAnsi="黑体" w:eastAsia="黑体" w:cs="黑体"/>
                <w:color w:val="auto"/>
                <w:sz w:val="19"/>
                <w:szCs w:val="19"/>
                <w:highlight w:val="none"/>
                <w:lang w:val="en-US" w:eastAsia="zh-CN"/>
              </w:rPr>
              <w:t>服</w:t>
            </w:r>
            <w:r>
              <w:rPr>
                <w:rFonts w:hint="eastAsia" w:ascii="黑体" w:hAnsi="黑体" w:eastAsia="黑体" w:cs="黑体"/>
                <w:color w:val="auto"/>
                <w:kern w:val="2"/>
                <w:sz w:val="19"/>
                <w:szCs w:val="19"/>
                <w:highlight w:val="none"/>
                <w:lang w:val="en-US" w:eastAsia="zh-CN"/>
              </w:rPr>
              <w:t>务类</w:t>
            </w:r>
          </w:p>
          <w:p w14:paraId="3CBD6B60">
            <w:pPr>
              <w:pStyle w:val="13"/>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货物类，单一产品或核心产品为：</w:t>
            </w:r>
            <w:r>
              <w:rPr>
                <w:rFonts w:hint="eastAsia" w:ascii="黑体" w:hAnsi="黑体" w:eastAsia="黑体" w:cs="黑体"/>
                <w:color w:val="auto"/>
                <w:sz w:val="19"/>
                <w:szCs w:val="19"/>
                <w:highlight w:val="none"/>
                <w:u w:val="none"/>
                <w:lang w:val="en-US" w:eastAsia="zh-CN"/>
              </w:rPr>
              <w:t xml:space="preserve">   </w:t>
            </w:r>
            <w:r>
              <w:rPr>
                <w:rFonts w:hint="eastAsia" w:ascii="黑体" w:hAnsi="黑体" w:eastAsia="黑体" w:cs="黑体"/>
                <w:i w:val="0"/>
                <w:iCs w:val="0"/>
                <w:color w:val="auto"/>
                <w:sz w:val="19"/>
                <w:szCs w:val="19"/>
                <w:highlight w:val="none"/>
                <w:u w:val="none"/>
                <w:lang w:val="en-US" w:eastAsia="zh-CN"/>
              </w:rPr>
              <w:t xml:space="preserve">             </w:t>
            </w:r>
          </w:p>
        </w:tc>
      </w:tr>
      <w:tr w14:paraId="208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72" w:type="dxa"/>
            <w:shd w:val="clear" w:color="auto" w:fill="auto"/>
            <w:noWrap w:val="0"/>
            <w:vAlign w:val="center"/>
          </w:tcPr>
          <w:p w14:paraId="29F22727">
            <w:pPr>
              <w:wordWrap/>
              <w:spacing w:line="360" w:lineRule="auto"/>
              <w:jc w:val="center"/>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5</w:t>
            </w:r>
          </w:p>
        </w:tc>
        <w:tc>
          <w:tcPr>
            <w:tcW w:w="2478" w:type="dxa"/>
            <w:shd w:val="clear" w:color="auto" w:fill="auto"/>
            <w:noWrap w:val="0"/>
            <w:vAlign w:val="center"/>
          </w:tcPr>
          <w:p w14:paraId="427BB933">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是否为专门面向中小</w:t>
            </w:r>
          </w:p>
          <w:p w14:paraId="3A65E2A5">
            <w:pPr>
              <w:wordWrap/>
              <w:spacing w:line="360" w:lineRule="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企业采购</w:t>
            </w:r>
          </w:p>
        </w:tc>
        <w:tc>
          <w:tcPr>
            <w:tcW w:w="6368" w:type="dxa"/>
            <w:shd w:val="clear" w:color="auto" w:fill="auto"/>
            <w:noWrap w:val="0"/>
            <w:vAlign w:val="center"/>
          </w:tcPr>
          <w:p w14:paraId="2AA338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0"/>
                <w:sz w:val="19"/>
                <w:szCs w:val="19"/>
                <w:highlight w:val="none"/>
                <w:lang w:eastAsia="zh-CN"/>
              </w:rPr>
            </w:pPr>
            <w:r>
              <w:rPr>
                <w:rFonts w:hint="eastAsia" w:ascii="黑体" w:hAnsi="黑体" w:eastAsia="黑体" w:cs="黑体"/>
                <w:kern w:val="0"/>
                <w:sz w:val="19"/>
                <w:szCs w:val="19"/>
                <w:highlight w:val="none"/>
              </w:rPr>
              <w:sym w:font="Wingdings" w:char="00FE"/>
            </w:r>
            <w:r>
              <w:rPr>
                <w:rFonts w:hint="eastAsia" w:ascii="黑体" w:hAnsi="黑体" w:eastAsia="黑体" w:cs="黑体"/>
                <w:kern w:val="0"/>
                <w:sz w:val="19"/>
                <w:szCs w:val="19"/>
                <w:highlight w:val="none"/>
              </w:rPr>
              <w:t>专门面向中小企业采购项目</w:t>
            </w:r>
            <w:r>
              <w:rPr>
                <w:rFonts w:hint="eastAsia" w:ascii="黑体" w:hAnsi="黑体" w:eastAsia="黑体" w:cs="黑体"/>
                <w:kern w:val="0"/>
                <w:sz w:val="19"/>
                <w:szCs w:val="19"/>
                <w:highlight w:val="none"/>
                <w:lang w:eastAsia="zh-CN"/>
              </w:rPr>
              <w:t>。专门面向中小企业采购的项目或者采购包，中小企业不再执行价格评审优惠扶持政策。</w:t>
            </w:r>
          </w:p>
          <w:p w14:paraId="4079A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0"/>
                <w:sz w:val="19"/>
                <w:szCs w:val="19"/>
                <w:highlight w:val="none"/>
              </w:rPr>
              <w:sym w:font="Wingdings" w:char="00A8"/>
            </w:r>
            <w:r>
              <w:rPr>
                <w:rFonts w:hint="eastAsia" w:ascii="黑体" w:hAnsi="黑体" w:eastAsia="黑体" w:cs="黑体"/>
                <w:kern w:val="0"/>
                <w:sz w:val="19"/>
                <w:szCs w:val="19"/>
                <w:highlight w:val="none"/>
              </w:rPr>
              <w:t>非专门面向中小企业采购项目，</w:t>
            </w:r>
            <w:r>
              <w:rPr>
                <w:rFonts w:hint="eastAsia" w:ascii="黑体" w:hAnsi="黑体" w:eastAsia="黑体" w:cs="黑体"/>
                <w:kern w:val="0"/>
                <w:sz w:val="19"/>
                <w:szCs w:val="19"/>
                <w:highlight w:val="none"/>
                <w:lang w:val="en-US" w:eastAsia="zh-CN"/>
              </w:rPr>
              <w:t>落实政策</w:t>
            </w:r>
            <w:r>
              <w:rPr>
                <w:rFonts w:hint="eastAsia" w:ascii="黑体" w:hAnsi="黑体" w:eastAsia="黑体" w:cs="黑体"/>
                <w:kern w:val="0"/>
                <w:sz w:val="19"/>
                <w:szCs w:val="19"/>
                <w:highlight w:val="none"/>
              </w:rPr>
              <w:t>详见第</w:t>
            </w:r>
            <w:r>
              <w:rPr>
                <w:rFonts w:hint="eastAsia" w:ascii="黑体" w:hAnsi="黑体" w:eastAsia="黑体" w:cs="黑体"/>
                <w:kern w:val="0"/>
                <w:sz w:val="19"/>
                <w:szCs w:val="19"/>
                <w:highlight w:val="none"/>
                <w:lang w:val="en-US" w:eastAsia="zh-CN"/>
              </w:rPr>
              <w:t>六</w:t>
            </w:r>
            <w:r>
              <w:rPr>
                <w:rFonts w:hint="eastAsia" w:ascii="黑体" w:hAnsi="黑体" w:eastAsia="黑体" w:cs="黑体"/>
                <w:kern w:val="0"/>
                <w:sz w:val="19"/>
                <w:szCs w:val="19"/>
                <w:highlight w:val="none"/>
              </w:rPr>
              <w:t>章</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办法</w:t>
            </w:r>
            <w:r>
              <w:rPr>
                <w:rFonts w:hint="eastAsia" w:ascii="黑体" w:hAnsi="黑体" w:eastAsia="黑体" w:cs="黑体"/>
                <w:kern w:val="0"/>
                <w:sz w:val="19"/>
                <w:szCs w:val="19"/>
                <w:highlight w:val="none"/>
                <w:lang w:eastAsia="zh-CN"/>
              </w:rPr>
              <w:t>。</w:t>
            </w:r>
          </w:p>
        </w:tc>
      </w:tr>
      <w:tr w14:paraId="4F2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672" w:type="dxa"/>
            <w:noWrap w:val="0"/>
            <w:vAlign w:val="center"/>
          </w:tcPr>
          <w:p w14:paraId="0AAC306E">
            <w:pPr>
              <w:wordWrap/>
              <w:spacing w:line="360" w:lineRule="auto"/>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6</w:t>
            </w:r>
          </w:p>
        </w:tc>
        <w:tc>
          <w:tcPr>
            <w:tcW w:w="2478" w:type="dxa"/>
            <w:noWrap w:val="0"/>
            <w:vAlign w:val="center"/>
          </w:tcPr>
          <w:p w14:paraId="481F750D">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采购项目对应的中小企业划分标准所属行业</w:t>
            </w:r>
          </w:p>
        </w:tc>
        <w:tc>
          <w:tcPr>
            <w:tcW w:w="6368" w:type="dxa"/>
            <w:noWrap w:val="0"/>
            <w:vAlign w:val="center"/>
          </w:tcPr>
          <w:p w14:paraId="74E844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color w:val="auto"/>
                <w:sz w:val="19"/>
                <w:szCs w:val="19"/>
                <w:highlight w:val="none"/>
                <w:u w:val="single"/>
                <w:lang w:val="en-US" w:eastAsia="zh-CN"/>
              </w:rPr>
            </w:pPr>
            <w:r>
              <w:rPr>
                <w:rFonts w:hint="eastAsia" w:ascii="黑体" w:hAnsi="黑体" w:eastAsia="黑体" w:cs="黑体"/>
                <w:b/>
                <w:bCs/>
                <w:color w:val="auto"/>
                <w:sz w:val="19"/>
                <w:szCs w:val="19"/>
                <w:highlight w:val="none"/>
                <w:u w:val="single"/>
                <w:lang w:val="en-US" w:eastAsia="zh-CN"/>
              </w:rPr>
              <w:t>所属行业：软件和信息技术服务业。</w:t>
            </w:r>
          </w:p>
          <w:p w14:paraId="63195B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rPr>
            </w:pPr>
            <w:r>
              <w:rPr>
                <w:rFonts w:hint="eastAsia" w:ascii="黑体" w:hAnsi="黑体" w:eastAsia="黑体" w:cs="黑体"/>
                <w:b w:val="0"/>
                <w:bCs w:val="0"/>
                <w:color w:val="auto"/>
                <w:sz w:val="19"/>
                <w:szCs w:val="19"/>
                <w:highlight w:val="none"/>
                <w:u w:val="non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黑体" w:hAnsi="黑体" w:eastAsia="黑体" w:cs="黑体"/>
                <w:b w:val="0"/>
                <w:bCs w:val="0"/>
                <w:sz w:val="19"/>
                <w:szCs w:val="19"/>
                <w:highlight w:val="none"/>
                <w:u w:val="none"/>
                <w:lang w:val="en-US" w:eastAsia="zh-CN"/>
              </w:rPr>
              <w:t xml:space="preserve"> </w:t>
            </w:r>
          </w:p>
        </w:tc>
      </w:tr>
      <w:tr w14:paraId="3C0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2" w:type="dxa"/>
            <w:noWrap w:val="0"/>
            <w:vAlign w:val="center"/>
          </w:tcPr>
          <w:p w14:paraId="1F3CE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7</w:t>
            </w:r>
          </w:p>
        </w:tc>
        <w:tc>
          <w:tcPr>
            <w:tcW w:w="2478" w:type="dxa"/>
            <w:noWrap w:val="0"/>
            <w:vAlign w:val="center"/>
          </w:tcPr>
          <w:p w14:paraId="22D1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是否允许联合体参加政府采购活动</w:t>
            </w:r>
          </w:p>
        </w:tc>
        <w:tc>
          <w:tcPr>
            <w:tcW w:w="6368" w:type="dxa"/>
            <w:noWrap w:val="0"/>
            <w:vAlign w:val="center"/>
          </w:tcPr>
          <w:p w14:paraId="2FDCE372">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lang w:val="en-US" w:eastAsia="zh-CN"/>
              </w:rPr>
              <w:t>是，</w:t>
            </w:r>
            <w:r>
              <w:rPr>
                <w:rFonts w:hint="eastAsia" w:ascii="黑体" w:hAnsi="黑体" w:eastAsia="黑体" w:cs="黑体"/>
                <w:color w:val="auto"/>
                <w:kern w:val="2"/>
                <w:sz w:val="19"/>
                <w:szCs w:val="19"/>
                <w:highlight w:val="none"/>
              </w:rPr>
              <w:t>如接受联合体，需符合以下要求：</w:t>
            </w:r>
          </w:p>
          <w:p w14:paraId="37A22E55">
            <w:pPr>
              <w:pStyle w:val="13"/>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两个以上供应商可以组成一个联合体，以一个投标人的身份参加投标。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3C3B0337">
            <w:pPr>
              <w:pStyle w:val="13"/>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7D486B54">
            <w:pPr>
              <w:pStyle w:val="13"/>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val="en-US" w:eastAsia="zh-CN"/>
              </w:rPr>
              <w:t>3、联合体投标的，联合体中有一方或者联合体成员根据分工按招标文件第六章评审方法及标准提供证明文件的，视为符合了相关要求。</w:t>
            </w:r>
          </w:p>
          <w:p w14:paraId="3361AB45">
            <w:pPr>
              <w:pStyle w:val="13"/>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val="en-US" w:eastAsia="zh-CN"/>
              </w:rPr>
              <w:t>4</w:t>
            </w:r>
            <w:r>
              <w:rPr>
                <w:rFonts w:hint="eastAsia" w:ascii="黑体" w:hAnsi="黑体" w:eastAsia="黑体" w:cs="黑体"/>
                <w:color w:val="auto"/>
                <w:kern w:val="2"/>
                <w:sz w:val="19"/>
                <w:szCs w:val="19"/>
                <w:highlight w:val="none"/>
              </w:rPr>
              <w:t>、联合体各</w:t>
            </w:r>
            <w:r>
              <w:rPr>
                <w:rFonts w:hint="eastAsia" w:ascii="黑体" w:hAnsi="黑体" w:eastAsia="黑体" w:cs="黑体"/>
                <w:color w:val="auto"/>
                <w:kern w:val="2"/>
                <w:sz w:val="19"/>
                <w:szCs w:val="19"/>
                <w:highlight w:val="none"/>
                <w:lang w:val="en-US" w:eastAsia="zh-CN"/>
              </w:rPr>
              <w:t>成员</w:t>
            </w:r>
            <w:r>
              <w:rPr>
                <w:rFonts w:hint="eastAsia" w:ascii="黑体" w:hAnsi="黑体" w:eastAsia="黑体" w:cs="黑体"/>
                <w:color w:val="auto"/>
                <w:kern w:val="2"/>
                <w:sz w:val="19"/>
                <w:szCs w:val="19"/>
                <w:highlight w:val="none"/>
              </w:rPr>
              <w:t>方应当共同与采购人签订采购合同，就采购合同约定的事项对采购人承担连带责任。</w:t>
            </w:r>
          </w:p>
          <w:p w14:paraId="4ADFD0D7">
            <w:pPr>
              <w:pStyle w:val="13"/>
              <w:widowControl w:val="0"/>
              <w:wordWrap/>
              <w:spacing w:before="0" w:beforeAutospacing="0" w:after="0" w:afterAutospacing="0" w:line="480" w:lineRule="exact"/>
              <w:rPr>
                <w:rFonts w:hint="eastAsia"/>
                <w:highlight w:val="none"/>
              </w:rPr>
            </w:pPr>
            <w:r>
              <w:rPr>
                <w:rFonts w:hint="eastAsia" w:ascii="黑体" w:hAnsi="黑体" w:eastAsia="黑体" w:cs="黑体"/>
                <w:sz w:val="19"/>
                <w:szCs w:val="19"/>
                <w:highlight w:val="none"/>
                <w:lang w:val="en-US" w:eastAsia="zh-CN"/>
              </w:rPr>
              <w:sym w:font="Wingdings" w:char="00FE"/>
            </w:r>
            <w:r>
              <w:rPr>
                <w:rFonts w:hint="eastAsia" w:ascii="黑体" w:hAnsi="黑体" w:eastAsia="黑体" w:cs="黑体"/>
                <w:sz w:val="19"/>
                <w:szCs w:val="19"/>
                <w:highlight w:val="none"/>
                <w:lang w:val="en-US" w:eastAsia="zh-CN"/>
              </w:rPr>
              <w:t>否</w:t>
            </w:r>
          </w:p>
        </w:tc>
      </w:tr>
      <w:tr w14:paraId="724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2" w:type="dxa"/>
            <w:noWrap w:val="0"/>
            <w:vAlign w:val="center"/>
          </w:tcPr>
          <w:p w14:paraId="49318741">
            <w:pPr>
              <w:pStyle w:val="13"/>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w:t>
            </w:r>
          </w:p>
        </w:tc>
        <w:tc>
          <w:tcPr>
            <w:tcW w:w="2478" w:type="dxa"/>
            <w:noWrap w:val="0"/>
            <w:vAlign w:val="center"/>
          </w:tcPr>
          <w:p w14:paraId="4B4D0A6F">
            <w:pPr>
              <w:wordWrap/>
              <w:snapToGrid w:val="0"/>
              <w:spacing w:line="36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是否同意分包</w:t>
            </w:r>
          </w:p>
        </w:tc>
        <w:tc>
          <w:tcPr>
            <w:tcW w:w="6368" w:type="dxa"/>
            <w:noWrap w:val="0"/>
            <w:vAlign w:val="center"/>
          </w:tcPr>
          <w:p w14:paraId="0C17082E">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同意将非主体、非关键性的</w:t>
            </w:r>
            <w:r>
              <w:rPr>
                <w:rFonts w:hint="eastAsia" w:ascii="黑体" w:hAnsi="黑体" w:eastAsia="黑体" w:cs="黑体"/>
                <w:color w:val="auto"/>
                <w:kern w:val="2"/>
                <w:sz w:val="19"/>
                <w:szCs w:val="19"/>
                <w:highlight w:val="none"/>
                <w:u w:val="single"/>
                <w:lang w:val="en-US" w:eastAsia="zh-CN"/>
              </w:rPr>
              <w:t xml:space="preserve">         </w:t>
            </w:r>
            <w:r>
              <w:rPr>
                <w:rFonts w:hint="eastAsia" w:ascii="黑体" w:hAnsi="黑体" w:eastAsia="黑体" w:cs="黑体"/>
                <w:color w:val="auto"/>
                <w:kern w:val="2"/>
                <w:sz w:val="19"/>
                <w:szCs w:val="19"/>
                <w:highlight w:val="none"/>
                <w:lang w:val="en-US" w:eastAsia="zh-CN"/>
              </w:rPr>
              <w:t>工作分包</w:t>
            </w:r>
          </w:p>
          <w:p w14:paraId="6C8F24F0">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不同意分包</w:t>
            </w:r>
          </w:p>
        </w:tc>
      </w:tr>
      <w:tr w14:paraId="26A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2" w:type="dxa"/>
            <w:noWrap w:val="0"/>
            <w:vAlign w:val="center"/>
          </w:tcPr>
          <w:p w14:paraId="59D9A502">
            <w:pPr>
              <w:wordWrap/>
              <w:spacing w:line="360" w:lineRule="auto"/>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9</w:t>
            </w:r>
          </w:p>
        </w:tc>
        <w:tc>
          <w:tcPr>
            <w:tcW w:w="2478" w:type="dxa"/>
            <w:noWrap w:val="0"/>
            <w:vAlign w:val="center"/>
          </w:tcPr>
          <w:p w14:paraId="25A740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进口产品</w:t>
            </w:r>
          </w:p>
        </w:tc>
        <w:tc>
          <w:tcPr>
            <w:tcW w:w="6368" w:type="dxa"/>
            <w:noWrap w:val="0"/>
            <w:vAlign w:val="center"/>
          </w:tcPr>
          <w:p w14:paraId="54C3699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本项目不允许采购进口产品。</w:t>
            </w:r>
          </w:p>
          <w:p w14:paraId="1B29748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允许采购进口产品，进口产品是指通过中国海关报关验放进入中国境内且产自境外的产品；但如果因信息不对称等原因，仍有满足需求的国内产品要求参与采购竞争的，将按照公平竞争原则实施采购。</w:t>
            </w:r>
          </w:p>
          <w:p w14:paraId="4808EEE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本项目不涉及进口产品。</w:t>
            </w:r>
          </w:p>
        </w:tc>
      </w:tr>
      <w:tr w14:paraId="3A6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72" w:type="dxa"/>
            <w:shd w:val="clear" w:color="auto" w:fill="auto"/>
            <w:noWrap w:val="0"/>
            <w:vAlign w:val="center"/>
          </w:tcPr>
          <w:p w14:paraId="494B26B0">
            <w:pPr>
              <w:wordWrap/>
              <w:spacing w:line="360" w:lineRule="auto"/>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10</w:t>
            </w:r>
          </w:p>
        </w:tc>
        <w:tc>
          <w:tcPr>
            <w:tcW w:w="2478" w:type="dxa"/>
            <w:shd w:val="clear" w:color="auto" w:fill="auto"/>
            <w:noWrap w:val="0"/>
            <w:vAlign w:val="center"/>
          </w:tcPr>
          <w:p w14:paraId="3E097A48">
            <w:pPr>
              <w:wordWrap/>
              <w:spacing w:line="360" w:lineRule="auto"/>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和地点</w:t>
            </w:r>
          </w:p>
        </w:tc>
        <w:tc>
          <w:tcPr>
            <w:tcW w:w="6368" w:type="dxa"/>
            <w:shd w:val="clear" w:color="auto" w:fill="auto"/>
            <w:noWrap w:val="0"/>
            <w:vAlign w:val="center"/>
          </w:tcPr>
          <w:p w14:paraId="1C75BF06">
            <w:pPr>
              <w:keepNext w:val="0"/>
              <w:keepLines w:val="0"/>
              <w:pageBreakBefore w:val="0"/>
              <w:kinsoku/>
              <w:wordWrap/>
              <w:overflowPunct/>
              <w:topLinePunct w:val="0"/>
              <w:bidi w:val="0"/>
              <w:adjustRightInd w:val="0"/>
              <w:snapToGrid w:val="0"/>
              <w:spacing w:before="86" w:beforeLines="20" w:line="480" w:lineRule="exac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w:t>
            </w:r>
            <w:r>
              <w:rPr>
                <w:rFonts w:hint="eastAsia" w:ascii="黑体" w:hAnsi="黑体" w:eastAsia="黑体" w:cs="黑体"/>
                <w:color w:val="000000"/>
                <w:sz w:val="19"/>
                <w:szCs w:val="19"/>
                <w:highlight w:val="none"/>
                <w:lang w:val="en-US" w:eastAsia="zh-CN"/>
              </w:rPr>
              <w:t>供应商履行完毕合同所约定的全部内容，并提交相应成果后，服务期终止</w:t>
            </w:r>
            <w:r>
              <w:rPr>
                <w:rFonts w:hint="eastAsia" w:ascii="黑体" w:hAnsi="黑体" w:eastAsia="黑体" w:cs="黑体"/>
                <w:color w:val="000000"/>
                <w:sz w:val="19"/>
                <w:szCs w:val="19"/>
                <w:highlight w:val="none"/>
                <w:lang w:eastAsia="zh-CN"/>
              </w:rPr>
              <w:t>。</w:t>
            </w:r>
          </w:p>
          <w:p w14:paraId="5A206CAB">
            <w:pPr>
              <w:pStyle w:val="13"/>
              <w:widowControl w:val="0"/>
              <w:wordWrap/>
              <w:spacing w:before="0" w:beforeAutospacing="0" w:after="0" w:afterAutospacing="0" w:line="480" w:lineRule="exact"/>
              <w:rPr>
                <w:rFonts w:hint="eastAsia" w:ascii="黑体" w:hAnsi="黑体" w:eastAsia="黑体" w:cs="黑体"/>
                <w:color w:val="auto"/>
                <w:kern w:val="0"/>
                <w:sz w:val="19"/>
                <w:szCs w:val="19"/>
                <w:highlight w:val="none"/>
                <w:lang w:val="en-US" w:eastAsia="zh-CN" w:bidi="ar-SA"/>
              </w:rPr>
            </w:pPr>
            <w:r>
              <w:rPr>
                <w:rFonts w:hint="eastAsia" w:ascii="黑体" w:hAnsi="黑体" w:eastAsia="黑体" w:cs="黑体"/>
                <w:sz w:val="19"/>
                <w:szCs w:val="19"/>
                <w:highlight w:val="none"/>
                <w:lang w:val="en-US" w:eastAsia="zh-CN"/>
              </w:rPr>
              <w:t>服务</w:t>
            </w:r>
            <w:r>
              <w:rPr>
                <w:rFonts w:hint="eastAsia" w:ascii="黑体" w:hAnsi="黑体" w:eastAsia="黑体" w:cs="黑体"/>
                <w:sz w:val="19"/>
                <w:szCs w:val="19"/>
                <w:highlight w:val="none"/>
                <w:lang w:eastAsia="zh-CN"/>
              </w:rPr>
              <w:t>地点</w:t>
            </w:r>
            <w:r>
              <w:rPr>
                <w:rFonts w:hint="eastAsia" w:ascii="黑体" w:hAnsi="黑体" w:eastAsia="黑体" w:cs="黑体"/>
                <w:sz w:val="19"/>
                <w:szCs w:val="19"/>
                <w:highlight w:val="none"/>
              </w:rPr>
              <w:t>：采购人指定地点</w:t>
            </w:r>
            <w:r>
              <w:rPr>
                <w:rFonts w:hint="eastAsia" w:ascii="黑体" w:hAnsi="黑体" w:eastAsia="黑体" w:cs="黑体"/>
                <w:sz w:val="19"/>
                <w:szCs w:val="19"/>
                <w:highlight w:val="none"/>
                <w:lang w:eastAsia="zh-CN"/>
              </w:rPr>
              <w:t>。</w:t>
            </w:r>
          </w:p>
        </w:tc>
      </w:tr>
      <w:tr w14:paraId="6FE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72" w:type="dxa"/>
            <w:noWrap w:val="0"/>
            <w:vAlign w:val="center"/>
          </w:tcPr>
          <w:p w14:paraId="032A078E">
            <w:pPr>
              <w:pStyle w:val="13"/>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11</w:t>
            </w:r>
          </w:p>
        </w:tc>
        <w:tc>
          <w:tcPr>
            <w:tcW w:w="2478" w:type="dxa"/>
            <w:noWrap w:val="0"/>
            <w:vAlign w:val="center"/>
          </w:tcPr>
          <w:p w14:paraId="087BD997">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现场考察、磋商前答疑会</w:t>
            </w:r>
          </w:p>
        </w:tc>
        <w:tc>
          <w:tcPr>
            <w:tcW w:w="6368" w:type="dxa"/>
            <w:noWrap w:val="0"/>
            <w:vAlign w:val="center"/>
          </w:tcPr>
          <w:p w14:paraId="076CBDE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不组织</w:t>
            </w:r>
          </w:p>
          <w:p w14:paraId="34C5675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组织，磋商文件提供期限截止后以书面形式通知。</w:t>
            </w:r>
          </w:p>
          <w:p w14:paraId="34A1AF4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sz w:val="19"/>
                <w:szCs w:val="19"/>
                <w:highlight w:val="none"/>
                <w:lang w:val="en-US" w:eastAsia="zh-CN"/>
              </w:rPr>
              <w:t>组织，时间：</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,地点：</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p w14:paraId="7A09D99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联系人：</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，联系方式：</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tc>
      </w:tr>
      <w:tr w14:paraId="2A9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72" w:type="dxa"/>
            <w:shd w:val="clear" w:color="auto" w:fill="auto"/>
            <w:noWrap w:val="0"/>
            <w:vAlign w:val="center"/>
          </w:tcPr>
          <w:p w14:paraId="4244915E">
            <w:pPr>
              <w:pStyle w:val="13"/>
              <w:wordWrap/>
              <w:spacing w:line="480" w:lineRule="exact"/>
              <w:jc w:val="center"/>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12</w:t>
            </w:r>
          </w:p>
        </w:tc>
        <w:tc>
          <w:tcPr>
            <w:tcW w:w="2478" w:type="dxa"/>
            <w:shd w:val="clear" w:color="auto" w:fill="auto"/>
            <w:noWrap w:val="0"/>
            <w:vAlign w:val="center"/>
          </w:tcPr>
          <w:p w14:paraId="4A301D6D">
            <w:pPr>
              <w:pStyle w:val="13"/>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磋商保证金</w:t>
            </w:r>
          </w:p>
        </w:tc>
        <w:tc>
          <w:tcPr>
            <w:tcW w:w="6368" w:type="dxa"/>
            <w:shd w:val="clear" w:color="auto" w:fill="auto"/>
            <w:noWrap w:val="0"/>
            <w:vAlign w:val="center"/>
          </w:tcPr>
          <w:p w14:paraId="1591CB7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sz w:val="19"/>
                <w:szCs w:val="19"/>
                <w:highlight w:val="none"/>
              </w:rPr>
              <w:t>不要求提供</w:t>
            </w:r>
          </w:p>
          <w:p w14:paraId="0DECEE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要求提供</w:t>
            </w:r>
          </w:p>
          <w:p w14:paraId="41ACE28B">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本项目的保证金为人民币：</w:t>
            </w:r>
            <w:r>
              <w:rPr>
                <w:rFonts w:hint="eastAsia" w:ascii="黑体" w:hAnsi="黑体" w:eastAsia="黑体" w:cs="黑体"/>
                <w:bCs/>
                <w:sz w:val="19"/>
                <w:szCs w:val="19"/>
                <w:highlight w:val="none"/>
                <w:u w:val="single"/>
              </w:rPr>
              <w:t xml:space="preserve"> </w:t>
            </w:r>
            <w:r>
              <w:rPr>
                <w:rFonts w:hint="eastAsia" w:ascii="黑体" w:hAnsi="黑体" w:eastAsia="黑体" w:cs="黑体"/>
                <w:bCs/>
                <w:sz w:val="19"/>
                <w:szCs w:val="19"/>
                <w:highlight w:val="none"/>
                <w:u w:val="single"/>
                <w:lang w:val="en-US" w:eastAsia="zh-CN"/>
              </w:rPr>
              <w:t>1000</w:t>
            </w:r>
            <w:r>
              <w:rPr>
                <w:rFonts w:hint="eastAsia" w:ascii="黑体" w:hAnsi="黑体" w:eastAsia="黑体" w:cs="黑体"/>
                <w:bCs/>
                <w:sz w:val="19"/>
                <w:szCs w:val="19"/>
                <w:highlight w:val="none"/>
                <w:u w:val="single"/>
              </w:rPr>
              <w:t xml:space="preserve"> </w:t>
            </w:r>
            <w:r>
              <w:rPr>
                <w:rFonts w:hint="eastAsia" w:ascii="黑体" w:hAnsi="黑体" w:eastAsia="黑体" w:cs="黑体"/>
                <w:sz w:val="19"/>
                <w:szCs w:val="19"/>
                <w:highlight w:val="none"/>
              </w:rPr>
              <w:t>元；</w:t>
            </w:r>
          </w:p>
          <w:p w14:paraId="6BB4C6D7">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none"/>
                <w:lang w:val="en-US" w:eastAsia="zh-CN"/>
              </w:rPr>
              <w:t>如同时参与多个标包，分别递交。</w:t>
            </w:r>
          </w:p>
          <w:p w14:paraId="35F090F7">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、磋商保证金到账时间：响应文件提交截止时间前</w:t>
            </w:r>
            <w:r>
              <w:rPr>
                <w:rFonts w:hint="eastAsia" w:ascii="黑体" w:hAnsi="黑体" w:eastAsia="黑体" w:cs="黑体"/>
                <w:sz w:val="19"/>
                <w:szCs w:val="19"/>
                <w:highlight w:val="none"/>
                <w:lang w:eastAsia="zh-CN"/>
              </w:rPr>
              <w:t>。</w:t>
            </w:r>
          </w:p>
          <w:p w14:paraId="63EA60C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4</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保证金</w:t>
            </w:r>
            <w:r>
              <w:rPr>
                <w:rFonts w:hint="eastAsia" w:ascii="黑体" w:hAnsi="黑体" w:eastAsia="黑体" w:cs="黑体"/>
                <w:sz w:val="19"/>
                <w:szCs w:val="19"/>
                <w:highlight w:val="none"/>
              </w:rPr>
              <w:t>收款</w:t>
            </w:r>
            <w:r>
              <w:rPr>
                <w:rFonts w:hint="eastAsia" w:ascii="黑体" w:hAnsi="黑体" w:eastAsia="黑体" w:cs="黑体"/>
                <w:sz w:val="19"/>
                <w:szCs w:val="19"/>
                <w:highlight w:val="none"/>
                <w:lang w:val="en-US" w:eastAsia="zh-CN"/>
              </w:rPr>
              <w:t>账号</w:t>
            </w:r>
          </w:p>
          <w:p w14:paraId="1488E2B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户名：</w:t>
            </w:r>
            <w:r>
              <w:rPr>
                <w:rFonts w:hint="eastAsia" w:ascii="黑体" w:hAnsi="黑体" w:eastAsia="黑体" w:cs="黑体"/>
                <w:sz w:val="19"/>
                <w:szCs w:val="19"/>
                <w:highlight w:val="none"/>
                <w:lang w:eastAsia="zh-CN"/>
              </w:rPr>
              <w:t>西安中保研招标有限公司</w:t>
            </w:r>
          </w:p>
          <w:p w14:paraId="6F2CA38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开户银行：中国建设银行西安电子城支行</w:t>
            </w:r>
          </w:p>
          <w:p w14:paraId="36DE16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银行账号：6105 0192 3800 0951 6518</w:t>
            </w:r>
          </w:p>
          <w:p w14:paraId="15F37B0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rPr>
              <w:t>、须在支付凭据附言栏写明项目编号、标包号及用途（保证金）</w:t>
            </w:r>
            <w:r>
              <w:rPr>
                <w:rFonts w:hint="eastAsia" w:ascii="黑体" w:hAnsi="黑体" w:eastAsia="黑体" w:cs="黑体"/>
                <w:sz w:val="19"/>
                <w:szCs w:val="19"/>
                <w:highlight w:val="none"/>
                <w:lang w:eastAsia="zh-CN"/>
              </w:rPr>
              <w:t>。</w:t>
            </w:r>
          </w:p>
          <w:p w14:paraId="329B61F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、保证金应当采用</w:t>
            </w:r>
            <w:r>
              <w:rPr>
                <w:rFonts w:hint="eastAsia" w:ascii="黑体" w:hAnsi="黑体" w:eastAsia="黑体" w:cs="黑体"/>
                <w:sz w:val="19"/>
                <w:szCs w:val="19"/>
                <w:highlight w:val="none"/>
                <w:lang w:val="en-US" w:eastAsia="zh-CN"/>
              </w:rPr>
              <w:t>对公转账、</w:t>
            </w:r>
            <w:r>
              <w:rPr>
                <w:rFonts w:hint="eastAsia" w:ascii="黑体" w:hAnsi="黑体" w:eastAsia="黑体" w:cs="黑体"/>
                <w:sz w:val="19"/>
                <w:szCs w:val="19"/>
                <w:highlight w:val="none"/>
              </w:rPr>
              <w:t>支票、汇票、本票或者金融机构、担保机构出具的保函等非现金形式交纳。</w:t>
            </w:r>
          </w:p>
        </w:tc>
      </w:tr>
      <w:tr w14:paraId="1A1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72" w:type="dxa"/>
            <w:noWrap w:val="0"/>
            <w:vAlign w:val="center"/>
          </w:tcPr>
          <w:p w14:paraId="133A927B">
            <w:pPr>
              <w:pStyle w:val="13"/>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13</w:t>
            </w:r>
          </w:p>
        </w:tc>
        <w:tc>
          <w:tcPr>
            <w:tcW w:w="2478" w:type="dxa"/>
            <w:noWrap w:val="0"/>
            <w:vAlign w:val="center"/>
          </w:tcPr>
          <w:p w14:paraId="605724EA">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响应文件份数</w:t>
            </w:r>
          </w:p>
        </w:tc>
        <w:tc>
          <w:tcPr>
            <w:tcW w:w="6368" w:type="dxa"/>
            <w:noWrap w:val="0"/>
            <w:vAlign w:val="center"/>
          </w:tcPr>
          <w:p w14:paraId="0B5FFE0E">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eastAsia="zh-CN" w:bidi="ar"/>
              </w:rPr>
              <w:t>★正本：壹份（同时提供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eastAsia="zh-CN" w:bidi="ar"/>
              </w:rPr>
              <w:t>）。</w:t>
            </w:r>
          </w:p>
          <w:p w14:paraId="030586DA">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副本：贰份（副本可以是正本签字盖章版的复印件）</w:t>
            </w:r>
            <w:r>
              <w:rPr>
                <w:rFonts w:hint="eastAsia" w:ascii="黑体" w:hAnsi="黑体" w:eastAsia="黑体" w:cs="黑体"/>
                <w:kern w:val="0"/>
                <w:sz w:val="19"/>
                <w:szCs w:val="19"/>
                <w:highlight w:val="none"/>
                <w:lang w:eastAsia="zh-CN" w:bidi="ar"/>
              </w:rPr>
              <w:t>。</w:t>
            </w:r>
          </w:p>
          <w:p w14:paraId="1C6AE8D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bidi="ar"/>
              </w:rPr>
              <w:t>3、U盘电子文件：壹份 (包含：</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PDF（</w:t>
            </w:r>
            <w:r>
              <w:rPr>
                <w:rFonts w:hint="eastAsia" w:ascii="黑体" w:hAnsi="黑体" w:eastAsia="黑体" w:cs="黑体"/>
                <w:kern w:val="0"/>
                <w:sz w:val="19"/>
                <w:szCs w:val="19"/>
                <w:highlight w:val="none"/>
                <w:lang w:eastAsia="zh-CN" w:bidi="ar"/>
              </w:rPr>
              <w:t>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bidi="ar"/>
              </w:rPr>
              <w:t>；</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Word）</w:t>
            </w:r>
            <w:r>
              <w:rPr>
                <w:rFonts w:hint="eastAsia" w:ascii="黑体" w:hAnsi="黑体" w:eastAsia="黑体" w:cs="黑体"/>
                <w:kern w:val="0"/>
                <w:sz w:val="19"/>
                <w:szCs w:val="19"/>
                <w:highlight w:val="none"/>
                <w:lang w:eastAsia="zh-CN" w:bidi="ar"/>
              </w:rPr>
              <w:t>。</w:t>
            </w:r>
          </w:p>
          <w:p w14:paraId="54C5E09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0"/>
                <w:sz w:val="19"/>
                <w:szCs w:val="19"/>
                <w:highlight w:val="none"/>
                <w:lang w:bidi="ar"/>
              </w:rPr>
              <w:t>4、</w:t>
            </w:r>
            <w:r>
              <w:rPr>
                <w:rFonts w:hint="eastAsia" w:ascii="黑体" w:hAnsi="黑体" w:eastAsia="黑体" w:cs="黑体"/>
                <w:color w:val="auto"/>
                <w:kern w:val="0"/>
                <w:sz w:val="19"/>
                <w:szCs w:val="19"/>
                <w:highlight w:val="none"/>
                <w:lang w:val="en-US" w:eastAsia="zh-CN" w:bidi="ar"/>
              </w:rPr>
              <w:t>单独提供法定代表人证明书（法定代表人本人参加）或法定代表人授权委托书，在</w:t>
            </w:r>
            <w:r>
              <w:rPr>
                <w:rFonts w:hint="eastAsia" w:ascii="黑体" w:hAnsi="黑体" w:eastAsia="黑体" w:cs="黑体"/>
                <w:color w:val="auto"/>
                <w:kern w:val="0"/>
                <w:sz w:val="19"/>
                <w:szCs w:val="19"/>
                <w:highlight w:val="none"/>
                <w:lang w:bidi="ar"/>
              </w:rPr>
              <w:t>现场提交响应文件前核验。</w:t>
            </w:r>
          </w:p>
        </w:tc>
      </w:tr>
      <w:tr w14:paraId="70A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672" w:type="dxa"/>
            <w:noWrap w:val="0"/>
            <w:vAlign w:val="center"/>
          </w:tcPr>
          <w:p w14:paraId="524A2F5D">
            <w:pPr>
              <w:pStyle w:val="13"/>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14</w:t>
            </w:r>
          </w:p>
        </w:tc>
        <w:tc>
          <w:tcPr>
            <w:tcW w:w="2478" w:type="dxa"/>
            <w:noWrap w:val="0"/>
            <w:vAlign w:val="center"/>
          </w:tcPr>
          <w:p w14:paraId="38B7DB69">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响应文件封套上应载明的信息</w:t>
            </w:r>
          </w:p>
        </w:tc>
        <w:tc>
          <w:tcPr>
            <w:tcW w:w="6368" w:type="dxa"/>
            <w:noWrap w:val="0"/>
            <w:vAlign w:val="center"/>
          </w:tcPr>
          <w:p w14:paraId="7FE46CC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val="en-US" w:eastAsia="zh-CN" w:bidi="ar"/>
              </w:rPr>
              <w:t>项目名称：</w:t>
            </w:r>
          </w:p>
          <w:p w14:paraId="3C09BD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 xml:space="preserve">项目编号：  </w:t>
            </w:r>
          </w:p>
          <w:p w14:paraId="7FDE04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val="en-US" w:eastAsia="zh-CN" w:bidi="ar"/>
              </w:rPr>
              <w:t>标包编号：（如有）</w:t>
            </w:r>
            <w:r>
              <w:rPr>
                <w:rFonts w:hint="eastAsia" w:ascii="黑体" w:hAnsi="黑体" w:eastAsia="黑体" w:cs="黑体"/>
                <w:kern w:val="0"/>
                <w:sz w:val="19"/>
                <w:szCs w:val="19"/>
                <w:highlight w:val="none"/>
                <w:lang w:bidi="ar"/>
              </w:rPr>
              <w:t xml:space="preserve"> </w:t>
            </w:r>
          </w:p>
          <w:p w14:paraId="497DBDA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响应文件（正本及电子文档/副本）</w:t>
            </w:r>
          </w:p>
          <w:p w14:paraId="0A2D0D9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______年____月____日____时____分前不得拆封</w:t>
            </w:r>
          </w:p>
          <w:p w14:paraId="2718111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供应商名称：____________________</w:t>
            </w:r>
          </w:p>
        </w:tc>
      </w:tr>
      <w:tr w14:paraId="311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shd w:val="clear" w:color="auto" w:fill="auto"/>
            <w:noWrap w:val="0"/>
            <w:vAlign w:val="center"/>
          </w:tcPr>
          <w:p w14:paraId="77E3ED5B">
            <w:pPr>
              <w:pStyle w:val="13"/>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15</w:t>
            </w:r>
          </w:p>
        </w:tc>
        <w:tc>
          <w:tcPr>
            <w:tcW w:w="2478" w:type="dxa"/>
            <w:shd w:val="clear" w:color="auto" w:fill="auto"/>
            <w:noWrap w:val="0"/>
            <w:vAlign w:val="center"/>
          </w:tcPr>
          <w:p w14:paraId="6D030B3A">
            <w:pPr>
              <w:pStyle w:val="13"/>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响应文件提交截止时间、地点</w:t>
            </w:r>
          </w:p>
        </w:tc>
        <w:tc>
          <w:tcPr>
            <w:tcW w:w="6368" w:type="dxa"/>
            <w:shd w:val="clear" w:color="auto" w:fill="auto"/>
            <w:noWrap w:val="0"/>
            <w:vAlign w:val="center"/>
          </w:tcPr>
          <w:p w14:paraId="4850C82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时间：2025年11月26日 09时30分</w:t>
            </w:r>
          </w:p>
          <w:p w14:paraId="6A3F067E">
            <w:pPr>
              <w:pStyle w:val="13"/>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地点：陕西省西安市新城区金花新都汇写字楼A座7楼会议室十</w:t>
            </w:r>
          </w:p>
        </w:tc>
      </w:tr>
      <w:tr w14:paraId="050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672" w:type="dxa"/>
            <w:noWrap w:val="0"/>
            <w:vAlign w:val="center"/>
          </w:tcPr>
          <w:p w14:paraId="675C1526">
            <w:pPr>
              <w:pStyle w:val="13"/>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16</w:t>
            </w:r>
          </w:p>
        </w:tc>
        <w:tc>
          <w:tcPr>
            <w:tcW w:w="2478" w:type="dxa"/>
            <w:noWrap w:val="0"/>
            <w:vAlign w:val="center"/>
          </w:tcPr>
          <w:p w14:paraId="355F60CE">
            <w:pPr>
              <w:wordWrap/>
              <w:spacing w:line="480" w:lineRule="exact"/>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如发生此列情况之一，供应商的响应将被拒绝</w:t>
            </w:r>
          </w:p>
        </w:tc>
        <w:tc>
          <w:tcPr>
            <w:tcW w:w="6368" w:type="dxa"/>
            <w:noWrap w:val="0"/>
            <w:vAlign w:val="center"/>
          </w:tcPr>
          <w:p w14:paraId="5543EC64">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（1）未按规定获取磋商文件的；</w:t>
            </w:r>
          </w:p>
          <w:p w14:paraId="6E03E312">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（2）供应商名称与获取磋商文件登记时不一致的；</w:t>
            </w:r>
          </w:p>
          <w:p w14:paraId="5484E835">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（3）未在响应截止时间前提交的响应文件；</w:t>
            </w:r>
          </w:p>
          <w:p w14:paraId="4B60A3A6">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（4）未按本须知的规定进行编制、密封和标记的。</w:t>
            </w:r>
          </w:p>
        </w:tc>
      </w:tr>
      <w:tr w14:paraId="37E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shd w:val="clear" w:color="auto" w:fill="auto"/>
            <w:noWrap w:val="0"/>
            <w:vAlign w:val="center"/>
          </w:tcPr>
          <w:p w14:paraId="0DD1C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17</w:t>
            </w:r>
          </w:p>
        </w:tc>
        <w:tc>
          <w:tcPr>
            <w:tcW w:w="2478" w:type="dxa"/>
            <w:shd w:val="clear" w:color="auto" w:fill="auto"/>
            <w:noWrap w:val="0"/>
            <w:vAlign w:val="center"/>
          </w:tcPr>
          <w:p w14:paraId="51E22D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响应有效期</w:t>
            </w:r>
          </w:p>
        </w:tc>
        <w:tc>
          <w:tcPr>
            <w:tcW w:w="6368" w:type="dxa"/>
            <w:shd w:val="clear" w:color="auto" w:fill="auto"/>
            <w:noWrap w:val="0"/>
            <w:vAlign w:val="center"/>
          </w:tcPr>
          <w:p w14:paraId="35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响应文件提交截止之日起90日历日</w:t>
            </w:r>
            <w:r>
              <w:rPr>
                <w:rFonts w:hint="eastAsia" w:ascii="黑体" w:hAnsi="黑体" w:eastAsia="黑体" w:cs="黑体"/>
                <w:sz w:val="19"/>
                <w:szCs w:val="19"/>
                <w:highlight w:val="none"/>
                <w:lang w:eastAsia="zh-CN"/>
              </w:rPr>
              <w:t>。</w:t>
            </w:r>
          </w:p>
        </w:tc>
      </w:tr>
      <w:tr w14:paraId="020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noWrap w:val="0"/>
            <w:vAlign w:val="center"/>
          </w:tcPr>
          <w:p w14:paraId="26C7FC40">
            <w:pPr>
              <w:pStyle w:val="13"/>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18</w:t>
            </w:r>
          </w:p>
        </w:tc>
        <w:tc>
          <w:tcPr>
            <w:tcW w:w="2478" w:type="dxa"/>
            <w:noWrap w:val="0"/>
            <w:vAlign w:val="center"/>
          </w:tcPr>
          <w:p w14:paraId="0F9EF97E">
            <w:pPr>
              <w:pStyle w:val="13"/>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评审办法</w:t>
            </w:r>
          </w:p>
        </w:tc>
        <w:tc>
          <w:tcPr>
            <w:tcW w:w="6368" w:type="dxa"/>
            <w:noWrap w:val="0"/>
            <w:vAlign w:val="center"/>
          </w:tcPr>
          <w:p w14:paraId="01BCAAC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综合评分法　</w:t>
            </w:r>
          </w:p>
        </w:tc>
      </w:tr>
      <w:tr w14:paraId="636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72" w:type="dxa"/>
            <w:noWrap w:val="0"/>
            <w:vAlign w:val="center"/>
          </w:tcPr>
          <w:p w14:paraId="050D582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19</w:t>
            </w:r>
          </w:p>
        </w:tc>
        <w:tc>
          <w:tcPr>
            <w:tcW w:w="2478" w:type="dxa"/>
            <w:noWrap w:val="0"/>
            <w:vAlign w:val="center"/>
          </w:tcPr>
          <w:p w14:paraId="6C0FADD0">
            <w:pPr>
              <w:pStyle w:val="1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履约保证金</w:t>
            </w:r>
          </w:p>
        </w:tc>
        <w:tc>
          <w:tcPr>
            <w:tcW w:w="6368" w:type="dxa"/>
            <w:noWrap w:val="0"/>
            <w:vAlign w:val="center"/>
          </w:tcPr>
          <w:p w14:paraId="553A3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不要求提供</w:t>
            </w:r>
            <w:r>
              <w:rPr>
                <w:rFonts w:hint="eastAsia" w:ascii="黑体" w:hAnsi="黑体" w:eastAsia="黑体" w:cs="黑体"/>
                <w:sz w:val="19"/>
                <w:szCs w:val="19"/>
                <w:highlight w:val="none"/>
                <w:lang w:eastAsia="zh-CN"/>
              </w:rPr>
              <w:t>。</w:t>
            </w:r>
          </w:p>
          <w:p w14:paraId="564E51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rPr>
              <w:t>要求提供，本采购项目履约保证金为合同金额的</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p>
        </w:tc>
      </w:tr>
      <w:tr w14:paraId="0A4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72" w:type="dxa"/>
            <w:noWrap w:val="0"/>
            <w:vAlign w:val="center"/>
          </w:tcPr>
          <w:p w14:paraId="0D97569B">
            <w:pPr>
              <w:pStyle w:val="13"/>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w:t>
            </w:r>
          </w:p>
        </w:tc>
        <w:tc>
          <w:tcPr>
            <w:tcW w:w="2478" w:type="dxa"/>
            <w:noWrap w:val="0"/>
            <w:vAlign w:val="center"/>
          </w:tcPr>
          <w:p w14:paraId="06D4A341">
            <w:pPr>
              <w:widowControl/>
              <w:wordWrap/>
              <w:spacing w:line="480" w:lineRule="exact"/>
              <w:jc w:val="left"/>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采购代理机构代理费用的收取标准和方式</w:t>
            </w:r>
          </w:p>
        </w:tc>
        <w:tc>
          <w:tcPr>
            <w:tcW w:w="6368" w:type="dxa"/>
            <w:noWrap w:val="0"/>
            <w:vAlign w:val="center"/>
          </w:tcPr>
          <w:p w14:paraId="3B3049D5">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1.本项目招标代理服务费由成交人支付。</w:t>
            </w:r>
          </w:p>
          <w:p w14:paraId="23E8A8D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2.成交人领取成交通知书时，按以下标准一次性向采购代理机构支付服务费。</w:t>
            </w:r>
          </w:p>
          <w:p w14:paraId="5FE99F07">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（1）本项目按</w:t>
            </w:r>
            <w:r>
              <w:rPr>
                <w:rFonts w:hint="eastAsia" w:ascii="黑体" w:hAnsi="黑体" w:eastAsia="黑体" w:cs="黑体"/>
                <w:sz w:val="19"/>
                <w:szCs w:val="19"/>
                <w:highlight w:val="none"/>
                <w:lang w:val="en-US" w:eastAsia="zh-CN"/>
              </w:rPr>
              <w:t>成交</w:t>
            </w:r>
            <w:r>
              <w:rPr>
                <w:rFonts w:hint="eastAsia" w:ascii="黑体" w:hAnsi="黑体" w:eastAsia="黑体" w:cs="黑体"/>
                <w:sz w:val="19"/>
                <w:szCs w:val="19"/>
                <w:highlight w:val="none"/>
              </w:rPr>
              <w:t>金额作为收费的计算基数；</w:t>
            </w:r>
          </w:p>
          <w:p w14:paraId="5BB7FDC7">
            <w:pPr>
              <w:widowControl/>
              <w:wordWrap/>
              <w:spacing w:line="480" w:lineRule="exact"/>
              <w:jc w:val="lef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（2）招标代理服务费的收取参见国家计委颁布的《招标代理服务收费管理暂行办法》（计价格[2002]1980号）和（发改办价格[2003]857号）收费标准</w:t>
            </w:r>
            <w:r>
              <w:rPr>
                <w:rFonts w:hint="eastAsia" w:ascii="黑体" w:hAnsi="黑体" w:eastAsia="黑体" w:cs="黑体"/>
                <w:sz w:val="19"/>
                <w:szCs w:val="19"/>
                <w:highlight w:val="none"/>
                <w:lang w:val="en-US" w:eastAsia="zh-CN"/>
              </w:rPr>
              <w:t>收取</w:t>
            </w:r>
            <w:r>
              <w:rPr>
                <w:rFonts w:hint="eastAsia" w:ascii="黑体" w:hAnsi="黑体" w:eastAsia="黑体" w:cs="黑体"/>
                <w:sz w:val="19"/>
                <w:szCs w:val="19"/>
                <w:highlight w:val="none"/>
              </w:rPr>
              <w:t>，不足</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000元按</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000元计取</w:t>
            </w:r>
            <w:r>
              <w:rPr>
                <w:rFonts w:hint="eastAsia" w:ascii="黑体" w:hAnsi="黑体" w:eastAsia="黑体" w:cs="黑体"/>
                <w:sz w:val="19"/>
                <w:szCs w:val="19"/>
                <w:highlight w:val="none"/>
                <w:lang w:eastAsia="zh-CN"/>
              </w:rPr>
              <w:t>。</w:t>
            </w:r>
          </w:p>
        </w:tc>
      </w:tr>
    </w:tbl>
    <w:p w14:paraId="20DFA672">
      <w:pPr>
        <w:pStyle w:val="25"/>
        <w:pageBreakBefore w:val="0"/>
        <w:kinsoku/>
        <w:wordWrap/>
        <w:overflowPunct/>
        <w:topLinePunct w:val="0"/>
        <w:bidi w:val="0"/>
        <w:outlineLvl w:val="9"/>
        <w:rPr>
          <w:rFonts w:hint="eastAsia" w:ascii="黑体" w:hAnsi="黑体" w:eastAsia="黑体" w:cs="黑体"/>
          <w:b/>
          <w:color w:val="000000" w:themeColor="text1"/>
          <w:sz w:val="28"/>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5065E1B6">
      <w:pPr>
        <w:pStyle w:val="25"/>
        <w:keepNext w:val="0"/>
        <w:keepLines w:val="0"/>
        <w:pageBreakBefore w:val="0"/>
        <w:widowControl/>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黑体"/>
          <w:b/>
          <w:color w:val="auto"/>
          <w:sz w:val="28"/>
          <w:szCs w:val="28"/>
          <w:highlight w:val="none"/>
        </w:rPr>
      </w:pPr>
      <w:bookmarkStart w:id="23" w:name="_Toc15588"/>
      <w:bookmarkStart w:id="24" w:name="_Toc18198"/>
      <w:bookmarkStart w:id="25" w:name="_Toc11534"/>
      <w:r>
        <w:rPr>
          <w:rFonts w:hint="eastAsia" w:ascii="黑体" w:hAnsi="黑体" w:eastAsia="黑体" w:cs="黑体"/>
          <w:b/>
          <w:color w:val="auto"/>
          <w:sz w:val="28"/>
          <w:szCs w:val="28"/>
          <w:highlight w:val="none"/>
        </w:rPr>
        <w:t>供应商须知正文</w:t>
      </w:r>
      <w:bookmarkEnd w:id="23"/>
      <w:bookmarkEnd w:id="24"/>
    </w:p>
    <w:p w14:paraId="5D685B50">
      <w:pPr>
        <w:keepNext w:val="0"/>
        <w:keepLines w:val="0"/>
        <w:pageBreakBefore w:val="0"/>
        <w:widowControl w:val="0"/>
        <w:numPr>
          <w:ilvl w:val="1"/>
          <w:numId w:val="0"/>
        </w:numPr>
        <w:tabs>
          <w:tab w:val="left" w:pos="576"/>
        </w:tabs>
        <w:kinsoku/>
        <w:wordWrap/>
        <w:overflowPunct/>
        <w:topLinePunct w:val="0"/>
        <w:autoSpaceDE/>
        <w:autoSpaceDN/>
        <w:bidi w:val="0"/>
        <w:adjustRightInd w:val="0"/>
        <w:snapToGrid w:val="0"/>
        <w:spacing w:before="213" w:beforeLines="50" w:after="157" w:afterLines="50" w:line="480" w:lineRule="exact"/>
        <w:jc w:val="center"/>
        <w:textAlignment w:val="auto"/>
        <w:rPr>
          <w:rFonts w:hint="eastAsia" w:ascii="黑体" w:hAnsi="黑体" w:eastAsia="黑体" w:cs="黑体"/>
          <w:sz w:val="28"/>
          <w:szCs w:val="28"/>
        </w:rPr>
      </w:pPr>
      <w:bookmarkStart w:id="26" w:name="_Toc22449"/>
      <w:bookmarkStart w:id="27" w:name="_Toc21567"/>
      <w:bookmarkStart w:id="28" w:name="_Toc14655"/>
      <w:r>
        <w:rPr>
          <w:rFonts w:hint="eastAsia" w:ascii="黑体" w:hAnsi="黑体" w:eastAsia="黑体" w:cs="黑体"/>
          <w:b/>
          <w:bCs/>
          <w:sz w:val="28"/>
          <w:szCs w:val="28"/>
          <w:highlight w:val="none"/>
        </w:rPr>
        <w:t>（一）总则</w:t>
      </w:r>
      <w:bookmarkEnd w:id="26"/>
      <w:bookmarkEnd w:id="27"/>
      <w:bookmarkEnd w:id="28"/>
    </w:p>
    <w:p w14:paraId="21669C53">
      <w:pPr>
        <w:keepNext w:val="0"/>
        <w:keepLines w:val="0"/>
        <w:pageBreakBefore w:val="0"/>
        <w:widowControl w:val="0"/>
        <w:numPr>
          <w:ilvl w:val="0"/>
          <w:numId w:val="4"/>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适用范围</w:t>
      </w:r>
    </w:p>
    <w:p w14:paraId="04040B0C">
      <w:pPr>
        <w:keepNext w:val="0"/>
        <w:keepLines w:val="0"/>
        <w:pageBreakBefore w:val="0"/>
        <w:widowControl w:val="0"/>
        <w:numPr>
          <w:ilvl w:val="1"/>
          <w:numId w:val="0"/>
        </w:numPr>
        <w:kinsoku/>
        <w:wordWrap/>
        <w:overflowPunct/>
        <w:topLinePunct w:val="0"/>
        <w:autoSpaceDE/>
        <w:autoSpaceDN/>
        <w:bidi w:val="0"/>
        <w:adjustRightInd/>
        <w:spacing w:before="86" w:beforeLines="20" w:line="480" w:lineRule="exact"/>
        <w:ind w:left="567" w:leftChars="0" w:hanging="567" w:firstLineChars="0"/>
        <w:jc w:val="left"/>
        <w:textAlignment w:val="auto"/>
        <w:rPr>
          <w:rFonts w:hint="eastAsia" w:ascii="黑体" w:hAnsi="黑体" w:eastAsia="黑体" w:cs="黑体"/>
          <w:sz w:val="19"/>
          <w:szCs w:val="19"/>
          <w:lang w:val="en-US" w:eastAsia="zh-CN"/>
        </w:rPr>
      </w:pPr>
      <w:r>
        <w:rPr>
          <w:rFonts w:hint="default" w:ascii="黑体" w:hAnsi="黑体" w:eastAsia="黑体" w:cs="黑体"/>
          <w:b w:val="0"/>
          <w:bCs w:val="0"/>
          <w:kern w:val="2"/>
          <w:sz w:val="19"/>
          <w:szCs w:val="19"/>
          <w:lang w:val="en-US" w:eastAsia="zh-CN" w:bidi="ar-SA"/>
        </w:rPr>
        <w:t>1.1.</w:t>
      </w:r>
      <w:r>
        <w:rPr>
          <w:rFonts w:hint="eastAsia" w:ascii="黑体" w:hAnsi="黑体" w:eastAsia="黑体" w:cs="黑体"/>
          <w:b w:val="0"/>
          <w:bCs w:val="0"/>
          <w:sz w:val="19"/>
          <w:szCs w:val="19"/>
        </w:rPr>
        <w:t>本须知和前附表不一致的，以供应商须知前附表为准。</w:t>
      </w:r>
      <w:r>
        <w:rPr>
          <w:rFonts w:hint="eastAsia" w:ascii="黑体" w:hAnsi="黑体" w:eastAsia="黑体" w:cs="黑体"/>
          <w:b w:val="0"/>
          <w:bCs w:val="0"/>
          <w:sz w:val="19"/>
          <w:szCs w:val="19"/>
          <w:lang w:val="en-US" w:eastAsia="zh-CN"/>
        </w:rPr>
        <w:t>若供应商须知正文与国家或地方最新采购政策有冲突，</w:t>
      </w:r>
    </w:p>
    <w:p w14:paraId="31C87FD1">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lang w:val="en-US" w:eastAsia="zh-CN"/>
        </w:rPr>
        <w:t>以最新政策为准。</w:t>
      </w:r>
    </w:p>
    <w:p w14:paraId="4E162C29">
      <w:pPr>
        <w:keepNext w:val="0"/>
        <w:keepLines w:val="0"/>
        <w:pageBreakBefore w:val="0"/>
        <w:widowControl w:val="0"/>
        <w:numPr>
          <w:ilvl w:val="1"/>
          <w:numId w:val="0"/>
        </w:numPr>
        <w:kinsoku/>
        <w:wordWrap/>
        <w:overflowPunct/>
        <w:topLinePunct w:val="0"/>
        <w:autoSpaceDE/>
        <w:autoSpaceDN/>
        <w:bidi w:val="0"/>
        <w:adjustRightInd/>
        <w:spacing w:before="86" w:beforeLines="20" w:line="480" w:lineRule="exact"/>
        <w:ind w:left="567" w:leftChars="0" w:hanging="567" w:firstLineChars="0"/>
        <w:jc w:val="left"/>
        <w:textAlignment w:val="auto"/>
        <w:rPr>
          <w:rFonts w:hint="eastAsia" w:ascii="黑体" w:hAnsi="黑体" w:eastAsia="黑体" w:cs="黑体"/>
          <w:sz w:val="19"/>
          <w:szCs w:val="19"/>
          <w:lang w:val="en-US" w:eastAsia="zh-CN"/>
        </w:rPr>
      </w:pPr>
      <w:r>
        <w:rPr>
          <w:rFonts w:hint="default" w:ascii="黑体" w:hAnsi="黑体" w:eastAsia="黑体" w:cs="黑体"/>
          <w:b w:val="0"/>
          <w:bCs w:val="0"/>
          <w:kern w:val="2"/>
          <w:sz w:val="19"/>
          <w:szCs w:val="19"/>
          <w:lang w:val="en-US" w:eastAsia="zh-CN" w:bidi="ar-SA"/>
        </w:rPr>
        <w:t>1.2.</w:t>
      </w:r>
      <w:r>
        <w:rPr>
          <w:rFonts w:hint="eastAsia" w:ascii="黑体" w:hAnsi="黑体" w:eastAsia="黑体" w:cs="黑体"/>
          <w:sz w:val="19"/>
          <w:szCs w:val="19"/>
          <w:lang w:val="en-US" w:eastAsia="zh-CN"/>
        </w:rPr>
        <w:t>本磋商文件由采购人和采购代理机构享有。对磋商文件中供应商参加本次政府采购活动应当具备的条件、采</w:t>
      </w:r>
    </w:p>
    <w:p w14:paraId="74B735F2">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购需求、评审细则及标准等文件所有内容由采购代理机构统一负责解释。</w:t>
      </w:r>
    </w:p>
    <w:p w14:paraId="44D5B95F">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有关定义</w:t>
      </w:r>
    </w:p>
    <w:p w14:paraId="26163F4E">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“采购人”是指依法进行政府采购的各级国家机关、事业单位、团体组织。本项目的采购人详见竞争性磋商</w:t>
      </w:r>
    </w:p>
    <w:p w14:paraId="588AA164">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公告。</w:t>
      </w:r>
    </w:p>
    <w:p w14:paraId="565E235A">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“供应商”是指在按照竞争性磋商公告规定获取磋商文件，拟参加响应和向采购人提供货物、工程或服务的</w:t>
      </w:r>
    </w:p>
    <w:p w14:paraId="36F0112A">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法人、其他组织或自然人。</w:t>
      </w:r>
      <w:r>
        <w:rPr>
          <w:rFonts w:hint="eastAsia" w:ascii="黑体" w:hAnsi="黑体" w:eastAsia="黑体" w:cs="黑体"/>
          <w:sz w:val="19"/>
          <w:szCs w:val="19"/>
        </w:rPr>
        <w:t>本项目的</w:t>
      </w:r>
      <w:r>
        <w:rPr>
          <w:rFonts w:hint="eastAsia" w:ascii="黑体" w:hAnsi="黑体" w:eastAsia="黑体" w:cs="黑体"/>
          <w:sz w:val="19"/>
          <w:szCs w:val="19"/>
          <w:lang w:val="en-US" w:eastAsia="zh-CN"/>
        </w:rPr>
        <w:t>供应商</w:t>
      </w:r>
      <w:r>
        <w:rPr>
          <w:rFonts w:hint="eastAsia" w:ascii="黑体" w:hAnsi="黑体" w:eastAsia="黑体" w:cs="黑体"/>
          <w:sz w:val="19"/>
          <w:szCs w:val="19"/>
        </w:rPr>
        <w:t>须满足以下条件：</w:t>
      </w:r>
    </w:p>
    <w:p w14:paraId="35E1EFCD">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满足《中华人民共和国政府采购法》第二十二条规定及</w:t>
      </w:r>
      <w:r>
        <w:rPr>
          <w:rFonts w:hint="eastAsia" w:ascii="黑体" w:hAnsi="黑体" w:eastAsia="黑体" w:cs="黑体"/>
          <w:sz w:val="19"/>
          <w:szCs w:val="19"/>
          <w:lang w:val="en-US" w:eastAsia="zh-CN"/>
        </w:rPr>
        <w:t>采购项目</w:t>
      </w:r>
      <w:r>
        <w:rPr>
          <w:rFonts w:hint="eastAsia" w:ascii="黑体" w:hAnsi="黑体" w:eastAsia="黑体" w:cs="黑体"/>
          <w:sz w:val="19"/>
          <w:szCs w:val="19"/>
        </w:rPr>
        <w:t>特定资格要求。</w:t>
      </w:r>
    </w:p>
    <w:p w14:paraId="195FE779">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银行、保险、石油石化、电力、电信等有行业特殊情况的，允许以分支机构名义参加</w:t>
      </w:r>
      <w:r>
        <w:rPr>
          <w:rFonts w:hint="eastAsia" w:ascii="黑体" w:hAnsi="黑体" w:eastAsia="黑体" w:cs="黑体"/>
          <w:sz w:val="19"/>
          <w:szCs w:val="19"/>
          <w:lang w:val="en-US" w:eastAsia="zh-CN"/>
        </w:rPr>
        <w:t>响应</w:t>
      </w:r>
      <w:r>
        <w:rPr>
          <w:rFonts w:hint="eastAsia" w:ascii="黑体" w:hAnsi="黑体" w:eastAsia="黑体" w:cs="黑体"/>
          <w:sz w:val="19"/>
          <w:szCs w:val="19"/>
        </w:rPr>
        <w:t>，</w:t>
      </w:r>
      <w:r>
        <w:rPr>
          <w:rFonts w:hint="eastAsia" w:ascii="黑体" w:hAnsi="黑体" w:eastAsia="黑体" w:cs="黑体"/>
          <w:sz w:val="19"/>
          <w:szCs w:val="19"/>
          <w:lang w:val="en-US" w:eastAsia="zh-CN"/>
        </w:rPr>
        <w:t>磋商</w:t>
      </w:r>
      <w:r>
        <w:rPr>
          <w:rFonts w:hint="eastAsia" w:ascii="黑体" w:hAnsi="黑体" w:eastAsia="黑体" w:cs="黑体"/>
          <w:sz w:val="19"/>
          <w:szCs w:val="19"/>
        </w:rPr>
        <w:t>文件中涉及</w:t>
      </w:r>
    </w:p>
    <w:p w14:paraId="538E0D13">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的“法定代表人”在前述特殊行业中即对应为“负责人”。</w:t>
      </w:r>
    </w:p>
    <w:p w14:paraId="6F416615">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“采购代理机构”是指政府采购集中采购机构和从事政府采购代理业务的社会中介机构。本项目的采购代理</w:t>
      </w:r>
    </w:p>
    <w:p w14:paraId="41E6AEC8">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机构详见竞争性磋商公告。</w:t>
      </w:r>
    </w:p>
    <w:p w14:paraId="48F18E68">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参加响应费用</w:t>
      </w:r>
    </w:p>
    <w:p w14:paraId="2BA5F584">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供应商应自行承担参加竞争性磋商采购活动的全部费用。</w:t>
      </w:r>
    </w:p>
    <w:p w14:paraId="5267E6F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磋商文件</w:t>
      </w:r>
    </w:p>
    <w:p w14:paraId="3D816F3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磋商文件的构成</w:t>
      </w:r>
    </w:p>
    <w:p w14:paraId="67CD7B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磋商文件是供应商准备响应文件和参加响应的依据，同时也是评审的重要依据。磋商文件用以阐明磋商项目</w:t>
      </w:r>
    </w:p>
    <w:p w14:paraId="2968EB7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所需的资质、技术、服务及报价等要求、磋商程序、有关规定和注意事项以及合同草案条款等。本磋商文件包括以下内容：</w:t>
      </w:r>
    </w:p>
    <w:p w14:paraId="5E91B47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）竞争性磋商</w:t>
      </w:r>
      <w:r>
        <w:rPr>
          <w:rFonts w:hint="eastAsia" w:ascii="黑体" w:hAnsi="黑体" w:eastAsia="黑体" w:cs="黑体"/>
          <w:color w:val="000000" w:themeColor="text1"/>
          <w:sz w:val="19"/>
          <w:szCs w:val="19"/>
          <w:lang w:val="en-US" w:eastAsia="zh-CN"/>
          <w14:textFill>
            <w14:solidFill>
              <w14:schemeClr w14:val="tx1"/>
            </w14:solidFill>
          </w14:textFill>
        </w:rPr>
        <w:t>公告</w:t>
      </w:r>
      <w:r>
        <w:rPr>
          <w:rFonts w:hint="eastAsia" w:ascii="黑体" w:hAnsi="黑体" w:eastAsia="黑体" w:cs="黑体"/>
          <w:color w:val="000000" w:themeColor="text1"/>
          <w:sz w:val="19"/>
          <w:szCs w:val="19"/>
          <w14:textFill>
            <w14:solidFill>
              <w14:schemeClr w14:val="tx1"/>
            </w14:solidFill>
          </w14:textFill>
        </w:rPr>
        <w:t>；</w:t>
      </w:r>
    </w:p>
    <w:p w14:paraId="262691E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）供应商须知；</w:t>
      </w:r>
    </w:p>
    <w:p w14:paraId="569FFF5B">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w:t>
      </w:r>
    </w:p>
    <w:p w14:paraId="73D0C0F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）资格审查；</w:t>
      </w:r>
    </w:p>
    <w:p w14:paraId="0B66F95A">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）磋商过程中可实质性变动的内容；</w:t>
      </w:r>
    </w:p>
    <w:p w14:paraId="38E37CF3">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）磋商办法；</w:t>
      </w:r>
    </w:p>
    <w:p w14:paraId="30BDDF85">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拟签订采购合同文本</w:t>
      </w:r>
      <w:r>
        <w:rPr>
          <w:rFonts w:hint="eastAsia" w:ascii="黑体" w:hAnsi="黑体" w:eastAsia="黑体" w:cs="黑体"/>
          <w:color w:val="000000" w:themeColor="text1"/>
          <w:sz w:val="19"/>
          <w:szCs w:val="19"/>
          <w14:textFill>
            <w14:solidFill>
              <w14:schemeClr w14:val="tx1"/>
            </w14:solidFill>
          </w14:textFill>
        </w:rPr>
        <w:t>；</w:t>
      </w:r>
    </w:p>
    <w:p w14:paraId="0D4234B4">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应提交的有关格式范例</w:t>
      </w:r>
      <w:r>
        <w:rPr>
          <w:rFonts w:hint="eastAsia" w:ascii="黑体" w:hAnsi="黑体" w:eastAsia="黑体" w:cs="黑体"/>
          <w:color w:val="000000" w:themeColor="text1"/>
          <w:sz w:val="19"/>
          <w:szCs w:val="19"/>
          <w14:textFill>
            <w14:solidFill>
              <w14:schemeClr w14:val="tx1"/>
            </w14:solidFill>
          </w14:textFill>
        </w:rPr>
        <w:t>。</w:t>
      </w:r>
    </w:p>
    <w:p w14:paraId="5A6CE75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供应商应认真阅读和充分理解磋商文件中所有的事项、格式条款和规范要求。供应商没有对磋商文件全面作</w:t>
      </w:r>
    </w:p>
    <w:p w14:paraId="7399640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出实质性响应所产生的风险由供应商承担。</w:t>
      </w:r>
    </w:p>
    <w:p w14:paraId="2100EA3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磋商文件的澄清和修改</w:t>
      </w:r>
    </w:p>
    <w:p w14:paraId="4F01424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在提交首次响应文件截止时间前，采购人或者</w:t>
      </w: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代理机构可以对已发出的磋商文件进行必要的澄清或者修</w:t>
      </w:r>
    </w:p>
    <w:p w14:paraId="1DCEBA4E">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改。</w:t>
      </w:r>
    </w:p>
    <w:p w14:paraId="52175F8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代理机构对磋商文件进行澄清或修改的，将同时通过书面方式通知已获取磋商文件的潜在供应商。依法</w:t>
      </w:r>
    </w:p>
    <w:p w14:paraId="52B9284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应当公告的，将按规定公告，同时视情况延长响应截止时间。澄清或者修改的内容为磋商文件的组成部分，供应商应及时关注本项目更正公告信息，按更正后公告要求进行响应。供应商应依据更正后的磋商文件编制响应文件。若供应商未按前述要求进行响应的，自行承担不利后果。</w:t>
      </w:r>
    </w:p>
    <w:p w14:paraId="1F6126E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响应文件的语言</w:t>
      </w:r>
    </w:p>
    <w:p w14:paraId="144655D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供应商提交的响应文件以及供应商与磋商小组在磋商过程中的所有来往书面文件均须使用中文。响应文件中</w:t>
      </w:r>
    </w:p>
    <w:p w14:paraId="185C31C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如附有外文资料，主要部分要对应翻译成中文并附在相关外文资料后面</w:t>
      </w:r>
      <w:r>
        <w:rPr>
          <w:rFonts w:hint="eastAsia" w:ascii="黑体" w:hAnsi="黑体" w:eastAsia="黑体" w:cs="黑体"/>
          <w:sz w:val="19"/>
          <w:szCs w:val="19"/>
          <w:lang w:eastAsia="zh-CN"/>
        </w:rPr>
        <w:t>，</w:t>
      </w:r>
      <w:r>
        <w:rPr>
          <w:rFonts w:hint="eastAsia" w:ascii="黑体" w:hAnsi="黑体" w:eastAsia="黑体" w:cs="黑体"/>
          <w:sz w:val="19"/>
          <w:szCs w:val="19"/>
        </w:rPr>
        <w:t>未翻译的外文资料，磋商小组将其视为无效材料。</w:t>
      </w:r>
    </w:p>
    <w:p w14:paraId="4E5D76D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翻译的中文资料与外文资料如果出现差异和矛盾时，以中文为准。</w:t>
      </w:r>
    </w:p>
    <w:p w14:paraId="380A571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如因未翻译而造成对供应商的不利后果，由供应商承担。</w:t>
      </w:r>
    </w:p>
    <w:p w14:paraId="7E32CDB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计量单位</w:t>
      </w:r>
    </w:p>
    <w:p w14:paraId="4D9B8D1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除磋商文件中另有规定外，本项目均采用国家法定的计量单位。</w:t>
      </w:r>
    </w:p>
    <w:p w14:paraId="4118DE7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响应货币</w:t>
      </w:r>
    </w:p>
    <w:p w14:paraId="201762D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本次项目均以人民币报价。</w:t>
      </w:r>
    </w:p>
    <w:p w14:paraId="3B4EF5C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知识产权</w:t>
      </w:r>
    </w:p>
    <w:p w14:paraId="2019FE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供应商应保证在本项目中使用的任何技术、产品和服务（包括部分使用），不会产生因第三方提出侵犯其专</w:t>
      </w:r>
    </w:p>
    <w:p w14:paraId="14EC138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利权、商标权或其它知识产权而引起的法律和经济纠纷，如存在前述情形，由供应商承担所有相关责任。采购人享有本项目实施过程中产生的知识成果及知识产权。</w:t>
      </w:r>
    </w:p>
    <w:p w14:paraId="351FDA4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供应商将在采购项目实施过程中采用自有或者第三方知识成果的，使用该知识成果后，供应商需提供开发接</w:t>
      </w:r>
    </w:p>
    <w:p w14:paraId="58DA782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口和开发手册等技术资料，并承诺提供无限期支持，采购人享有使用权（含采购人委托第三方在该项目后续开发的使用权）。</w:t>
      </w:r>
    </w:p>
    <w:p w14:paraId="6DDA2CF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如采用供应商所不拥有的知识产权，则在报价中必须包括合法使用该知识产权的相关费用。</w:t>
      </w:r>
    </w:p>
    <w:p w14:paraId="61C9993D">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响应文件</w:t>
      </w:r>
    </w:p>
    <w:p w14:paraId="78AC342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响应文件的组成</w:t>
      </w:r>
    </w:p>
    <w:p w14:paraId="72DF09D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 xml:space="preserve">响应函； </w:t>
      </w:r>
    </w:p>
    <w:p w14:paraId="45CBD9B9">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报价一览表；</w:t>
      </w:r>
    </w:p>
    <w:p w14:paraId="00978B6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资格证明文件；</w:t>
      </w:r>
    </w:p>
    <w:p w14:paraId="5D23F4C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落实政府采购政策需满足的资格要求；</w:t>
      </w:r>
    </w:p>
    <w:p w14:paraId="667E752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评分细则相应的商务技术资料；</w:t>
      </w:r>
    </w:p>
    <w:p w14:paraId="6EA47AF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商务技术偏离表；</w:t>
      </w:r>
    </w:p>
    <w:p w14:paraId="1443424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政府采购供应商廉洁自律承诺书；</w:t>
      </w:r>
    </w:p>
    <w:p w14:paraId="547FD33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供应商认为需要提交的其他资料（如有）。</w:t>
      </w:r>
    </w:p>
    <w:p w14:paraId="596115D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响应文件格式</w:t>
      </w:r>
    </w:p>
    <w:p w14:paraId="1717CA3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供应商应按照磋商文件第</w:t>
      </w:r>
      <w:r>
        <w:rPr>
          <w:rFonts w:hint="eastAsia" w:ascii="黑体" w:hAnsi="黑体" w:eastAsia="黑体" w:cs="黑体"/>
          <w:sz w:val="19"/>
          <w:szCs w:val="19"/>
          <w:lang w:val="en-US" w:eastAsia="zh-CN"/>
        </w:rPr>
        <w:t>八</w:t>
      </w:r>
      <w:r>
        <w:rPr>
          <w:rFonts w:hint="eastAsia" w:ascii="黑体" w:hAnsi="黑体" w:eastAsia="黑体" w:cs="黑体"/>
          <w:sz w:val="19"/>
          <w:szCs w:val="19"/>
        </w:rPr>
        <w:t>章中提供的“应提交的有关格式范例”填写相关内容。对于没有格式要求的响应</w:t>
      </w:r>
    </w:p>
    <w:p w14:paraId="37D49A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文件由供应商自行编写。</w:t>
      </w:r>
    </w:p>
    <w:p w14:paraId="6215E264">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响应报价</w:t>
      </w:r>
    </w:p>
    <w:p w14:paraId="3A75890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供应商的报价是供应商响应磋商项目要求的全部工作内容的价格体现，包括供应商完成本项目和后续服务的</w:t>
      </w:r>
    </w:p>
    <w:p w14:paraId="042FBFB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所有费用。</w:t>
      </w:r>
    </w:p>
    <w:p w14:paraId="1257C84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响应文件报价出现前后不一致的，按照磋商文件第六章磋商办法规定予以修正，修正后的报价经供应商确认，</w:t>
      </w:r>
    </w:p>
    <w:p w14:paraId="446A2F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并加盖单位公章或授权代表签字，供应商逾时确认的，其响应无效。</w:t>
      </w:r>
    </w:p>
    <w:p w14:paraId="5EAA8F6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★响应有效期</w:t>
      </w:r>
    </w:p>
    <w:p w14:paraId="7AF757A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响应有效期详见第二章“供应商须知前附表”，响应文件未明确响应有效期或者响应有效期小于“供应商须</w:t>
      </w:r>
    </w:p>
    <w:p w14:paraId="7513A2C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知前附表”中响应有效期要求的，其响应文件按无效处理。</w:t>
      </w:r>
    </w:p>
    <w:p w14:paraId="05D8B88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响应文件的签署及盖章</w:t>
      </w:r>
    </w:p>
    <w:p w14:paraId="1E925AF2">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供应商应按照“供应商须知前附表”规定提交响应文件。纸质文件的正本与副本均双面打印，并独立装订成册，建议在书脊上写明项目名称。</w:t>
      </w:r>
    </w:p>
    <w:p w14:paraId="112F8246">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正本和副本的封面应注明 “正本”或 “副本”的字样</w:t>
      </w:r>
      <w:r>
        <w:rPr>
          <w:rFonts w:hint="eastAsia" w:ascii="黑体" w:hAnsi="黑体" w:eastAsia="黑体" w:cs="黑体"/>
          <w:sz w:val="20"/>
          <w:szCs w:val="20"/>
          <w:lang w:val="en-US" w:eastAsia="zh-CN"/>
        </w:rPr>
        <w:t>，纸质</w:t>
      </w:r>
      <w:r>
        <w:rPr>
          <w:rFonts w:hint="eastAsia" w:ascii="黑体" w:hAnsi="黑体" w:eastAsia="黑体" w:cs="黑体"/>
          <w:sz w:val="19"/>
          <w:szCs w:val="19"/>
          <w:highlight w:val="none"/>
          <w:lang w:val="en-US" w:eastAsia="zh-CN"/>
        </w:rPr>
        <w:t xml:space="preserve">响应文件的副本可采用正本签字盖章版的复印件。当正本和副本、电子版不一致时，以正本纸质版为准。 </w:t>
      </w:r>
    </w:p>
    <w:p w14:paraId="692853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电子档一份建议是U盘存放，并保证评标时能正常读取。</w:t>
      </w:r>
    </w:p>
    <w:p w14:paraId="7E4D149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不同包件的响应文件须独立编制并胶装成册后，独立封装提交。响应文件正本和副本应当用不褪色的材料打</w:t>
      </w:r>
    </w:p>
    <w:p w14:paraId="72848B1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印或书写，并按磋商文件要求签字或盖章。响应文件中的任何加行、涂改、增删，须加盖单位公章或授权代表签字确认。否则，将导致响应文件无效。</w:t>
      </w:r>
    </w:p>
    <w:p w14:paraId="34B8503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在磋商过程中，供应商按磋商文件规定和磋商小组要求重新提交的响应文件和最后报价，应打印或用不褪色</w:t>
      </w:r>
    </w:p>
    <w:p w14:paraId="4AE7049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墨水书写，并由法定代表人或授权代表签字，或加盖单位公章。否则，将导致响应文件无效。</w:t>
      </w:r>
    </w:p>
    <w:p w14:paraId="007B1CF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响应文件的密封和标记</w:t>
      </w:r>
    </w:p>
    <w:p w14:paraId="71D5B378">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highlight w:val="none"/>
          <w:lang w:val="en-US" w:eastAsia="zh-CN"/>
        </w:rPr>
        <w:t>响应文件按正本</w:t>
      </w:r>
      <w:r>
        <w:rPr>
          <w:rFonts w:hint="eastAsia" w:ascii="黑体" w:hAnsi="黑体" w:eastAsia="黑体" w:cs="黑体"/>
          <w:b/>
          <w:bCs/>
          <w:sz w:val="19"/>
          <w:szCs w:val="19"/>
          <w:highlight w:val="none"/>
          <w:lang w:val="en-US" w:eastAsia="zh-CN"/>
        </w:rPr>
        <w:t>（包括电子文档U盘，无需单独密封，与正本一同封装）</w:t>
      </w:r>
      <w:r>
        <w:rPr>
          <w:rFonts w:hint="eastAsia" w:ascii="黑体" w:hAnsi="黑体" w:eastAsia="黑体" w:cs="黑体"/>
          <w:sz w:val="19"/>
          <w:szCs w:val="19"/>
          <w:highlight w:val="none"/>
          <w:lang w:val="en-US" w:eastAsia="zh-CN"/>
        </w:rPr>
        <w:t>和副本分别包装，注明</w:t>
      </w:r>
      <w:r>
        <w:rPr>
          <w:rFonts w:hint="eastAsia" w:ascii="黑体" w:hAnsi="黑体" w:eastAsia="黑体" w:cs="黑体"/>
          <w:b/>
          <w:bCs/>
          <w:sz w:val="19"/>
          <w:szCs w:val="19"/>
          <w:highlight w:val="none"/>
          <w:lang w:val="en-US" w:eastAsia="zh-CN"/>
        </w:rPr>
        <w:t>正本及电子文档”或 “副本”</w:t>
      </w:r>
      <w:r>
        <w:rPr>
          <w:rFonts w:hint="eastAsia" w:ascii="黑体" w:hAnsi="黑体" w:eastAsia="黑体" w:cs="黑体"/>
          <w:sz w:val="19"/>
          <w:szCs w:val="19"/>
          <w:highlight w:val="none"/>
          <w:lang w:val="en-US" w:eastAsia="zh-CN"/>
        </w:rPr>
        <w:t>，加</w:t>
      </w:r>
      <w:r>
        <w:rPr>
          <w:rFonts w:hint="eastAsia" w:ascii="黑体" w:hAnsi="黑体" w:eastAsia="黑体" w:cs="黑体"/>
          <w:sz w:val="19"/>
          <w:szCs w:val="19"/>
          <w:lang w:val="en-US" w:eastAsia="zh-CN"/>
        </w:rPr>
        <w:t>贴封条，并在封套的封口处加盖单位公章。封套或外包装上应载明的内容见</w:t>
      </w:r>
      <w:r>
        <w:rPr>
          <w:rFonts w:hint="eastAsia" w:ascii="黑体" w:hAnsi="黑体" w:eastAsia="黑体" w:cs="黑体"/>
          <w:sz w:val="19"/>
          <w:szCs w:val="19"/>
          <w:u w:val="single"/>
          <w:lang w:val="en-US" w:eastAsia="zh-CN"/>
        </w:rPr>
        <w:t>供应商须知前附表</w:t>
      </w:r>
      <w:r>
        <w:rPr>
          <w:rFonts w:hint="eastAsia" w:ascii="黑体" w:hAnsi="黑体" w:eastAsia="黑体" w:cs="黑体"/>
          <w:sz w:val="19"/>
          <w:szCs w:val="19"/>
          <w:lang w:val="en-US" w:eastAsia="zh-CN"/>
        </w:rPr>
        <w:t xml:space="preserve">。 </w:t>
      </w:r>
    </w:p>
    <w:p w14:paraId="235990C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响应文件的提交</w:t>
      </w:r>
    </w:p>
    <w:p w14:paraId="07893AF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供应商应按竞争性磋商公告的规定递交响应文件。</w:t>
      </w:r>
    </w:p>
    <w:p w14:paraId="59A2FD6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供应商应充分考虑影响响应文件提交的各种因素，确保在提交首次响应文件截止时间前完成提交。在提交首</w:t>
      </w:r>
    </w:p>
    <w:p w14:paraId="483D9B2F">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次响应文件截止时间后，采购代理机构不再接受供应商提交响应文件。</w:t>
      </w:r>
    </w:p>
    <w:p w14:paraId="747BB713">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响应文件的补充、修改</w:t>
      </w:r>
    </w:p>
    <w:p w14:paraId="4EDFE98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响应文件提交截止时间前，供应商可以补充、修改或者撤回已成功提交的响应文件；对响应文件进行补充、</w:t>
      </w:r>
    </w:p>
    <w:p w14:paraId="4967DF1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修改的，应当先行撤回已提交的响应文件，补充、修改后重新提交。</w:t>
      </w:r>
    </w:p>
    <w:p w14:paraId="5E9117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供应商响应文件撤回后，视为未提交过响应文件。</w:t>
      </w:r>
    </w:p>
    <w:p w14:paraId="218D96C9">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开启、资格审查、磋商和确定成交供应商</w:t>
      </w:r>
    </w:p>
    <w:p w14:paraId="2CA7795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磋商开启程序</w:t>
      </w:r>
    </w:p>
    <w:p w14:paraId="1F987E1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本项目为竞争性磋商采购项目。开启时间为响应文件提交截止时间。按要求成功提交响应文件的供应</w:t>
      </w:r>
    </w:p>
    <w:p w14:paraId="684750D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商不足3家的，不予开启，采购人或采购代理机构将终止采购活动。</w:t>
      </w:r>
    </w:p>
    <w:p w14:paraId="463B99D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开启响应文件过程中，供应商对开启过程和开启记录有疑义，以及认为采购人或采购代理机构相关工</w:t>
      </w:r>
    </w:p>
    <w:p w14:paraId="3B0518E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作人员有需要回避的情形的，应及时向工作人员提出询问或者回避申请。采购人或采购代理机构对供应商提出的询问或者回避申请应当及时处理。</w:t>
      </w:r>
    </w:p>
    <w:p w14:paraId="2BBD5F5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查询及使用信用记录</w:t>
      </w:r>
    </w:p>
    <w:p w14:paraId="5FD764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开启结束后，采购人或采购代理机构根据《关于在政府采购活动中查询及使用信用记录有关问题的通</w:t>
      </w:r>
    </w:p>
    <w:p w14:paraId="5F9B98B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知》（财库〔2016〕125号）的要求，通过“信用中国”网站（www.creditchina.gov.cn）、“中国政府采购网”网站（www.ccgp.gov.cn）等渠道，查询供应商在响应文件提交截止时间前的信用记录，并编制</w:t>
      </w:r>
      <w:r>
        <w:rPr>
          <w:rFonts w:hint="eastAsia" w:ascii="黑体" w:hAnsi="黑体" w:eastAsia="黑体" w:cs="黑体"/>
          <w:sz w:val="20"/>
          <w:szCs w:val="20"/>
          <w:highlight w:val="none"/>
          <w:lang w:val="en-US" w:eastAsia="zh-CN"/>
        </w:rPr>
        <w:t>《信用信息查询记录报告》作为证据留存与其他采购文件一并保存。供应商不良信用记录以采购人或采购代理机构现场查询结果为准。</w:t>
      </w:r>
      <w:r>
        <w:rPr>
          <w:rFonts w:hint="eastAsia" w:ascii="黑体" w:hAnsi="黑体" w:eastAsia="黑体" w:cs="黑体"/>
          <w:sz w:val="19"/>
          <w:szCs w:val="19"/>
          <w:lang w:val="en-US" w:eastAsia="zh-CN"/>
        </w:rPr>
        <w:t>拒绝列入失信被执行人名单、重大税收违法案件当事人名单、政府采购严重违法失信行为记录名单中的供应商参加本项目的采购活动。</w:t>
      </w:r>
    </w:p>
    <w:p w14:paraId="38ED1D1F">
      <w:pPr>
        <w:keepNext w:val="0"/>
        <w:keepLines w:val="0"/>
        <w:pageBreakBefore w:val="0"/>
        <w:widowControl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供应商自行提供的与网站信息不一致的其他证明材料亦不作为资格审查依据。在本磋商文件规定的查询时</w:t>
      </w:r>
    </w:p>
    <w:p w14:paraId="52A78703">
      <w:pPr>
        <w:keepNext w:val="0"/>
        <w:keepLines w:val="0"/>
        <w:pageBreakBefore w:val="0"/>
        <w:widowControl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间之外，网站信息发生的任何变更均不作为资格审查依据。</w:t>
      </w:r>
    </w:p>
    <w:p w14:paraId="7D538534">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603CE401">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资格审查</w:t>
      </w:r>
    </w:p>
    <w:p w14:paraId="07A53DB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详见磋商文件第四章。</w:t>
      </w:r>
    </w:p>
    <w:p w14:paraId="1254A92C">
      <w:pPr>
        <w:keepNext w:val="0"/>
        <w:keepLines w:val="0"/>
        <w:pageBreakBefore w:val="0"/>
        <w:numPr>
          <w:ilvl w:val="0"/>
          <w:numId w:val="4"/>
        </w:numPr>
        <w:kinsoku/>
        <w:wordWrap/>
        <w:overflowPunct/>
        <w:topLinePunct w:val="0"/>
        <w:bidi w:val="0"/>
        <w:spacing w:before="86" w:beforeLines="20" w:line="480" w:lineRule="exact"/>
        <w:textAlignment w:val="auto"/>
        <w:rPr>
          <w:rFonts w:hint="default" w:ascii="黑体" w:hAnsi="黑体" w:eastAsia="黑体" w:cs="黑体"/>
          <w:b/>
          <w:sz w:val="20"/>
          <w:szCs w:val="20"/>
          <w:lang w:val="en-US" w:eastAsia="zh-CN"/>
        </w:rPr>
      </w:pPr>
      <w:r>
        <w:rPr>
          <w:rFonts w:hint="eastAsia" w:ascii="黑体" w:hAnsi="黑体" w:eastAsia="黑体" w:cs="黑体"/>
          <w:b/>
          <w:sz w:val="20"/>
          <w:szCs w:val="20"/>
          <w:lang w:val="en-US" w:eastAsia="zh-CN"/>
        </w:rPr>
        <w:t>符合性审查</w:t>
      </w:r>
    </w:p>
    <w:p w14:paraId="18953C8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default" w:ascii="黑体" w:hAnsi="黑体" w:eastAsia="黑体" w:cs="黑体"/>
          <w:b/>
          <w:sz w:val="20"/>
          <w:szCs w:val="20"/>
          <w:lang w:val="en-US" w:eastAsia="zh-CN"/>
        </w:rPr>
      </w:pPr>
      <w:r>
        <w:rPr>
          <w:rFonts w:hint="eastAsia" w:ascii="黑体" w:hAnsi="黑体" w:eastAsia="黑体" w:cs="黑体"/>
          <w:sz w:val="20"/>
          <w:szCs w:val="20"/>
          <w:lang w:val="en-US" w:eastAsia="zh-CN"/>
        </w:rPr>
        <w:t>详见磋商文件第六章。</w:t>
      </w:r>
    </w:p>
    <w:p w14:paraId="7FF0DAEE">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w:t>
      </w:r>
    </w:p>
    <w:p w14:paraId="595703F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详见磋商文件第六章。</w:t>
      </w:r>
    </w:p>
    <w:p w14:paraId="64D5078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成交通知书</w:t>
      </w:r>
    </w:p>
    <w:p w14:paraId="6764170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采</w:t>
      </w:r>
      <w:r>
        <w:rPr>
          <w:rFonts w:hint="eastAsia" w:ascii="黑体" w:hAnsi="黑体" w:eastAsia="黑体" w:cs="黑体"/>
          <w:sz w:val="20"/>
          <w:szCs w:val="20"/>
          <w:highlight w:val="none"/>
          <w:lang w:val="en-US" w:eastAsia="zh-CN"/>
        </w:rPr>
        <w:t>购人或者磋商小组确认成交供应商后，在“</w:t>
      </w:r>
      <w:r>
        <w:rPr>
          <w:rFonts w:hint="eastAsia" w:ascii="黑体" w:hAnsi="黑体" w:eastAsia="黑体" w:cs="黑体"/>
          <w:sz w:val="20"/>
          <w:szCs w:val="20"/>
          <w:highlight w:val="none"/>
          <w:u w:val="single"/>
          <w:lang w:val="en-US" w:eastAsia="zh-CN"/>
        </w:rPr>
        <w:t>供应商须知前附表</w:t>
      </w:r>
      <w:r>
        <w:rPr>
          <w:rFonts w:hint="eastAsia" w:ascii="黑体" w:hAnsi="黑体" w:eastAsia="黑体" w:cs="黑体"/>
          <w:sz w:val="20"/>
          <w:szCs w:val="20"/>
          <w:highlight w:val="none"/>
          <w:lang w:val="en-US" w:eastAsia="zh-CN"/>
        </w:rPr>
        <w:t>”规定的采购公告媒体发布成交结果，</w:t>
      </w:r>
    </w:p>
    <w:p w14:paraId="4697B4E0">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同时向成交供应商发出成交通知书。</w:t>
      </w:r>
    </w:p>
    <w:p w14:paraId="1B86C79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成交通知书是采购人和成交供应商签订政府采购合同的依据，是合同的有效组成部分。如果出现政府</w:t>
      </w:r>
    </w:p>
    <w:p w14:paraId="1ECBE6E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采购法律法规、规章制度规定的成交无效情形的，将以公告形式宣布发出的成交通知书无效，成交通知书将自动失效，并依法重新确定成交供应商或者重新开展采购活动。</w:t>
      </w:r>
    </w:p>
    <w:p w14:paraId="0DCF9A8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 xml:space="preserve"> 成交通知书对采购人和成交供应商均具有法律效力。</w:t>
      </w:r>
    </w:p>
    <w:p w14:paraId="2AF285D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磋商保证金</w:t>
      </w:r>
    </w:p>
    <w:p w14:paraId="00FB4763">
      <w:pPr>
        <w:keepNext w:val="0"/>
        <w:keepLines w:val="0"/>
        <w:pageBreakBefore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b/>
          <w:sz w:val="19"/>
          <w:szCs w:val="19"/>
          <w:lang w:val="en-US" w:eastAsia="zh-CN"/>
        </w:rPr>
        <w:t>★</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规定项目要交纳磋商保证金的，供应商应以银行转账、支票、汇票、本票或金融机构、担保机构出具的保函等非现金形式，在响应截止时间前，向采购代理机构提交。</w:t>
      </w:r>
    </w:p>
    <w:p w14:paraId="20F74F9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采购人或者采购代理机构应当在采购活动结束后及时退还供应商的磋商保证金，但因供应商自身原因</w:t>
      </w:r>
    </w:p>
    <w:p w14:paraId="05849C4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导致无法及时退还的除外。未成交供应商的磋商保证金应当在成交通知书发出后5个工作日内退还，成交供应商的磋商保证金应当在采购合同签订后5个工作日内退还。</w:t>
      </w:r>
    </w:p>
    <w:p w14:paraId="46AE22C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有下列情形之一的，磋商保证金不予退还：</w:t>
      </w:r>
    </w:p>
    <w:p w14:paraId="02E9678F">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（1）供应商在提交响应文件截止时间后撤回响应文件的；</w:t>
      </w:r>
    </w:p>
    <w:p w14:paraId="3F33E259">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（2）供应商在响应文件中提供虚假材料的；</w:t>
      </w:r>
    </w:p>
    <w:p w14:paraId="0EDACDA3">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（3）除因不可抗力或磋商文件认可的情形以外，成交供应商不与采购人签订合同的；</w:t>
      </w:r>
    </w:p>
    <w:p w14:paraId="37B0997C">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（4）供应商与采购人、其他供应商或者采购代理机构恶意串通的；</w:t>
      </w:r>
    </w:p>
    <w:p w14:paraId="05284BDA">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（5）磋商文件规定的其他情形。</w:t>
      </w:r>
    </w:p>
    <w:p w14:paraId="1CAE4FD1">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签订及履行合同和验收</w:t>
      </w:r>
    </w:p>
    <w:p w14:paraId="31F4D33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签订合同</w:t>
      </w:r>
    </w:p>
    <w:p w14:paraId="16693D8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highlight w:val="none"/>
          <w:lang w:val="en-US" w:eastAsia="zh-CN"/>
        </w:rPr>
        <w:t>人应在成交通知书发出之日起三十日内与成交供应商签订采购合同。</w:t>
      </w:r>
    </w:p>
    <w:p w14:paraId="5270BA1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采购人和成交供应商签订的采购合同不得对磋商文件确定的事项以及成交供应商的响应文件作实质性修改。</w:t>
      </w:r>
    </w:p>
    <w:p w14:paraId="5E5AF77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合同分包和转包</w:t>
      </w:r>
    </w:p>
    <w:p w14:paraId="115CD93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合同分包</w:t>
      </w:r>
    </w:p>
    <w:p w14:paraId="7D70D4CE">
      <w:pPr>
        <w:keepNext w:val="0"/>
        <w:keepLines w:val="0"/>
        <w:pageBreakBefore w:val="0"/>
        <w:widowControl w:val="0"/>
        <w:numPr>
          <w:ilvl w:val="0"/>
          <w:numId w:val="0"/>
        </w:numPr>
        <w:kinsoku/>
        <w:wordWrap/>
        <w:overflowPunct/>
        <w:topLinePunct w:val="0"/>
        <w:autoSpaceDE w:val="0"/>
        <w:autoSpaceDN w:val="0"/>
        <w:bidi w:val="0"/>
        <w:adjustRightInd w:val="0"/>
        <w:spacing w:before="86" w:beforeLines="20" w:line="480" w:lineRule="exact"/>
        <w:jc w:val="left"/>
        <w:textAlignment w:val="auto"/>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是否允许分包详见</w:t>
      </w:r>
      <w:r>
        <w:rPr>
          <w:rFonts w:hint="eastAsia" w:ascii="黑体" w:hAnsi="黑体" w:eastAsia="黑体" w:cs="黑体"/>
          <w:color w:val="000000" w:themeColor="text1"/>
          <w:sz w:val="19"/>
          <w:szCs w:val="19"/>
          <w:u w:val="single"/>
          <w:lang w:val="en-US" w:eastAsia="zh-CN"/>
          <w14:textFill>
            <w14:solidFill>
              <w14:schemeClr w14:val="tx1"/>
            </w14:solidFill>
          </w14:textFill>
        </w:rPr>
        <w:t>供应商须知前附表</w:t>
      </w:r>
      <w:r>
        <w:rPr>
          <w:rFonts w:hint="eastAsia" w:ascii="黑体" w:hAnsi="黑体" w:eastAsia="黑体" w:cs="黑体"/>
          <w:color w:val="000000" w:themeColor="text1"/>
          <w:sz w:val="19"/>
          <w:szCs w:val="19"/>
          <w:lang w:val="en-US" w:eastAsia="zh-CN"/>
          <w14:textFill>
            <w14:solidFill>
              <w14:schemeClr w14:val="tx1"/>
            </w14:solidFill>
          </w14:textFill>
        </w:rPr>
        <w:t>。</w:t>
      </w:r>
    </w:p>
    <w:p w14:paraId="5B563EA2">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47E11513">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分包履行合同的部分应当为采购项目的非主体、非关键性工作，不属于成交供应商的主要合同义务。</w:t>
      </w:r>
    </w:p>
    <w:p w14:paraId="4DE47AC2">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采购合同实行分包履行的，成交供应商就采购项目和分包项目向采购人负责，分包供应商就分包项目承担责任。履行分包项目事项应当具备法定资质规定要求的，分包供应商应当具备相应资质。</w:t>
      </w:r>
    </w:p>
    <w:p w14:paraId="4BD39C13">
      <w:pPr>
        <w:pStyle w:val="25"/>
        <w:keepNext w:val="0"/>
        <w:keepLines w:val="0"/>
        <w:pageBreakBefore w:val="0"/>
        <w:widowControl/>
        <w:numPr>
          <w:ilvl w:val="0"/>
          <w:numId w:val="0"/>
        </w:numPr>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中小企业依据《政府采购促进中小企业发展管理办法》（财库〔2020〕46号）规定的政策获取政府采购合同后，小型、微型企业不得将合同分包或转包给大型、中型企业，中型企业不得将合同分包或转包给大型企业。</w:t>
      </w:r>
    </w:p>
    <w:p w14:paraId="3DA0ABB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合同转包</w:t>
      </w:r>
    </w:p>
    <w:p w14:paraId="277B1633">
      <w:pPr>
        <w:pStyle w:val="25"/>
        <w:keepNext w:val="0"/>
        <w:keepLines w:val="0"/>
        <w:pageBreakBefore w:val="0"/>
        <w:widowControl/>
        <w:numPr>
          <w:ilvl w:val="0"/>
          <w:numId w:val="7"/>
        </w:numPr>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2932B1F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）成交供应商转包的，视同拒绝履行政府采购合同，将依法追究法律责任。</w:t>
      </w:r>
    </w:p>
    <w:p w14:paraId="0A543C49">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合同公告</w:t>
      </w:r>
    </w:p>
    <w:p w14:paraId="617FD4BD">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采购人应当自政府采购合同签订（双方当事人均已完成盖章）之日起2个工作日内，</w:t>
      </w:r>
      <w:r>
        <w:rPr>
          <w:rFonts w:hint="eastAsia" w:ascii="黑体" w:hAnsi="黑体" w:eastAsia="黑体" w:cs="黑体"/>
          <w:color w:val="000000" w:themeColor="text1"/>
          <w:sz w:val="19"/>
          <w:szCs w:val="19"/>
          <w:lang w:val="en-US" w:eastAsia="zh-CN"/>
          <w14:textFill>
            <w14:solidFill>
              <w14:schemeClr w14:val="tx1"/>
            </w14:solidFill>
          </w14:textFill>
        </w:rPr>
        <w:t>按相关规定公告</w:t>
      </w:r>
      <w:r>
        <w:rPr>
          <w:rFonts w:hint="eastAsia" w:ascii="黑体" w:hAnsi="黑体" w:eastAsia="黑体" w:cs="黑体"/>
          <w:color w:val="000000" w:themeColor="text1"/>
          <w:sz w:val="19"/>
          <w:szCs w:val="19"/>
          <w14:textFill>
            <w14:solidFill>
              <w14:schemeClr w14:val="tx1"/>
            </w14:solidFill>
          </w14:textFill>
        </w:rPr>
        <w:t>本项目采购合同，但合同中涉及国家秘密、商业秘密的内容除外。</w:t>
      </w:r>
    </w:p>
    <w:p w14:paraId="77D9432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合同备案</w:t>
      </w:r>
    </w:p>
    <w:p w14:paraId="2D38FC0A">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采购人自行按相关规定进行执行</w:t>
      </w:r>
      <w:r>
        <w:rPr>
          <w:rFonts w:hint="eastAsia" w:ascii="黑体" w:hAnsi="黑体" w:eastAsia="黑体" w:cs="黑体"/>
          <w:color w:val="000000" w:themeColor="text1"/>
          <w:sz w:val="19"/>
          <w:szCs w:val="19"/>
          <w14:textFill>
            <w14:solidFill>
              <w14:schemeClr w14:val="tx1"/>
            </w14:solidFill>
          </w14:textFill>
        </w:rPr>
        <w:t>。</w:t>
      </w:r>
    </w:p>
    <w:p w14:paraId="72A2522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采购人增加合同标的的权利</w:t>
      </w:r>
    </w:p>
    <w:p w14:paraId="7586F783">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894E12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履行合同</w:t>
      </w:r>
    </w:p>
    <w:p w14:paraId="5EA5D181">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）合同一经签订，双方应严格履行合同规定的义务。</w:t>
      </w:r>
    </w:p>
    <w:p w14:paraId="2BB4888B">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）在合同履行过程中，如发生合同纠纷，合同双方应按照《中华人民共和国民法典》规定及合同条款约定进行处理。</w:t>
      </w:r>
    </w:p>
    <w:p w14:paraId="60E0340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履约验收方案</w:t>
      </w:r>
    </w:p>
    <w:p w14:paraId="2FE404F9">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根据磋商文件要求及合同约定执行。</w:t>
      </w:r>
    </w:p>
    <w:p w14:paraId="13F11B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资金支付</w:t>
      </w:r>
    </w:p>
    <w:p w14:paraId="3E920E45">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采购人按财政部门的相关规定及采购合同的约定进行支付。</w:t>
      </w:r>
    </w:p>
    <w:p w14:paraId="300619D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纪律要求</w:t>
      </w:r>
    </w:p>
    <w:p w14:paraId="63BB6E8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磋商活动纪律要求</w:t>
      </w:r>
    </w:p>
    <w:p w14:paraId="6A70B05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合同一经签订，双方应严格履行合同规定的义务。采购人、采购代理机构应保证磋商活动在严格保密的情况</w:t>
      </w:r>
    </w:p>
    <w:p w14:paraId="337A45F3">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下进行。采购人、采购代理机构、供应商和磋商小组成员应当严格遵守政府采购法律法规规章制度和本项目磋商文件以及采购代理机构现场管理规定，接受采购人委派的监督人员的监督，任何单位和个人不得非法干预和影响磋商过程和结果。</w:t>
      </w:r>
    </w:p>
    <w:p w14:paraId="37BB925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对各供应商的商业秘密，磋商小组成员应予以保密，不得泄露给其他供应商。</w:t>
      </w:r>
    </w:p>
    <w:p w14:paraId="1C38738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磋商活动纪律要求</w:t>
      </w:r>
    </w:p>
    <w:p w14:paraId="1FFB3D8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供应商参加响应不得有下列</w:t>
      </w:r>
      <w:r>
        <w:rPr>
          <w:rFonts w:hint="eastAsia" w:ascii="黑体" w:hAnsi="黑体" w:eastAsia="黑体" w:cs="黑体"/>
          <w:color w:val="000000" w:themeColor="text1"/>
          <w:sz w:val="19"/>
          <w:szCs w:val="19"/>
          <w:highlight w:val="none"/>
          <w14:textFill>
            <w14:solidFill>
              <w14:schemeClr w14:val="tx1"/>
            </w14:solidFill>
          </w14:textFill>
        </w:rPr>
        <w:t>情形：有</w:t>
      </w:r>
      <w:r>
        <w:rPr>
          <w:rFonts w:hint="eastAsia" w:ascii="黑体" w:hAnsi="黑体" w:eastAsia="黑体" w:cs="黑体"/>
          <w:color w:val="000000" w:themeColor="text1"/>
          <w:sz w:val="19"/>
          <w:szCs w:val="19"/>
          <w14:textFill>
            <w14:solidFill>
              <w14:schemeClr w14:val="tx1"/>
            </w14:solidFill>
          </w14:textFill>
        </w:rPr>
        <w:t>下列情形之一的，视为供应商串通响应：</w:t>
      </w:r>
    </w:p>
    <w:p w14:paraId="58ECC06F">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）不同供应商的响应文件由同一单位或者个人编制；</w:t>
      </w:r>
    </w:p>
    <w:p w14:paraId="2AFE2442">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）不同供应商委托同一单位或者个人办理磋商事宜；</w:t>
      </w:r>
    </w:p>
    <w:p w14:paraId="70F55B31">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）不同供应商的响应文件载明的项目管理成员或者联系人员为同一人；</w:t>
      </w:r>
    </w:p>
    <w:p w14:paraId="2842B68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）不同供应商的响应文件异常一致或者响应报价呈规律性差异；</w:t>
      </w:r>
    </w:p>
    <w:p w14:paraId="03870E4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）不同供应商的响应文件相互混装。</w:t>
      </w:r>
    </w:p>
    <w:p w14:paraId="5A7B3D1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2、提供虚假材料谋取成交；</w:t>
      </w:r>
    </w:p>
    <w:p w14:paraId="5D67CB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3、采取不正当手段诋毁、排挤其他供应商；</w:t>
      </w:r>
    </w:p>
    <w:p w14:paraId="670A2F24">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4、成交后无正当理由拒不与采购人签订政府采购合同；</w:t>
      </w:r>
    </w:p>
    <w:p w14:paraId="3B3F2E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5、未按照磋商文件确定的事项签订政府采购合同；</w:t>
      </w:r>
    </w:p>
    <w:p w14:paraId="5729E869">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6、将政府采购合同转包或者违规分包；</w:t>
      </w:r>
    </w:p>
    <w:p w14:paraId="70A93AE3">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7、擅自变更、中止或者终止政府采购合同；</w:t>
      </w:r>
    </w:p>
    <w:p w14:paraId="2D8563B0">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8、拒绝有关部门的监督检查或者向监督检查部门提供虚假情况；</w:t>
      </w:r>
    </w:p>
    <w:p w14:paraId="6BA2CDC1">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9、法律法规规定的其他禁止情形。</w:t>
      </w:r>
    </w:p>
    <w:p w14:paraId="70803A7B">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供应商有上述情形的，按照规定追究法律责任，具有前述一至</w:t>
      </w:r>
      <w:r>
        <w:rPr>
          <w:rFonts w:hint="eastAsia" w:ascii="黑体" w:hAnsi="黑体" w:eastAsia="黑体" w:cs="黑体"/>
          <w:color w:val="000000" w:themeColor="text1"/>
          <w:sz w:val="19"/>
          <w:szCs w:val="19"/>
          <w:lang w:val="en-US" w:eastAsia="zh-CN"/>
          <w14:textFill>
            <w14:solidFill>
              <w14:schemeClr w14:val="tx1"/>
            </w14:solidFill>
          </w14:textFill>
        </w:rPr>
        <w:t>九</w:t>
      </w:r>
      <w:r>
        <w:rPr>
          <w:rFonts w:hint="eastAsia" w:ascii="黑体" w:hAnsi="黑体" w:eastAsia="黑体" w:cs="黑体"/>
          <w:color w:val="000000" w:themeColor="text1"/>
          <w:sz w:val="19"/>
          <w:szCs w:val="19"/>
          <w14:textFill>
            <w14:solidFill>
              <w14:schemeClr w14:val="tx1"/>
            </w14:solidFill>
          </w14:textFill>
        </w:rPr>
        <w:t>条情形之一的，其响应文件无效，或取消被确认为成交供应商的资格或认定成交无效。</w:t>
      </w:r>
    </w:p>
    <w:p w14:paraId="498D33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采购人员及相关人员回避要求</w:t>
      </w:r>
    </w:p>
    <w:p w14:paraId="6771A6D0">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政府采购活动中，采购人员及相关人员与供应商有下列利害关系之一的，应当回避：</w:t>
      </w:r>
    </w:p>
    <w:p w14:paraId="09D59E2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）参加采购活动前3年内与供应商存在劳动关系；</w:t>
      </w:r>
    </w:p>
    <w:p w14:paraId="74299402">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）参加采购活动前3年内担任供应商的董事、监事；</w:t>
      </w:r>
    </w:p>
    <w:p w14:paraId="6CA1CCC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）参加采购活动前3年内是供应商的控股股东或者实际控制人；</w:t>
      </w:r>
    </w:p>
    <w:p w14:paraId="78E93A65">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）与供应商的法定代表人或者负责人有夫妻、直系血亲、三代以内旁系血亲或者近姻亲关系；</w:t>
      </w:r>
    </w:p>
    <w:p w14:paraId="5C993D5F">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）与供应商有其他可能影响政府采购活动公平、公正进行的关系。</w:t>
      </w:r>
    </w:p>
    <w:p w14:paraId="797001D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供应商认为采购人员及相关人员与其他供应商有利害关系的，可以向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书面提出回避申请，并说明理由。</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将及时询问被申请回避人员，有利害关系的被申请回避人员应当回避。</w:t>
      </w:r>
    </w:p>
    <w:p w14:paraId="46607130">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询问、质疑和投诉</w:t>
      </w:r>
    </w:p>
    <w:p w14:paraId="7A76A3EC">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询问、质疑和投诉</w:t>
      </w:r>
    </w:p>
    <w:p w14:paraId="4025FE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询问、质疑、投诉的接收和处理严格按照《中华人民共和国政府采购法》《中华人民共和国政府采购法实施</w:t>
      </w:r>
    </w:p>
    <w:p w14:paraId="0D5D16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条例》《政府采购质疑和投诉办法》等规定办理。</w:t>
      </w:r>
    </w:p>
    <w:p w14:paraId="75A86C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lang w:val="en-US" w:eastAsia="zh-CN"/>
        </w:rPr>
        <w:t>供应商询问、质疑的答复主体：</w:t>
      </w:r>
      <w:r>
        <w:rPr>
          <w:rFonts w:hint="eastAsia" w:ascii="黑体" w:hAnsi="黑体" w:eastAsia="黑体" w:cs="黑体"/>
          <w:color w:val="000000" w:themeColor="text1"/>
          <w:sz w:val="19"/>
          <w:szCs w:val="19"/>
          <w14:textFill>
            <w14:solidFill>
              <w14:schemeClr w14:val="tx1"/>
            </w14:solidFill>
          </w14:textFill>
        </w:rPr>
        <w:t>供应商对采购文件中采购需求的询问、质疑由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负责答复；供应</w:t>
      </w:r>
    </w:p>
    <w:p w14:paraId="3479BC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商对采购过程、采购结果的询问、质疑由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w:t>
      </w:r>
    </w:p>
    <w:p w14:paraId="401EFE5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供应商提出的询问，应当明确询问事项，如以书面形式提出的，应由供应商法定代表人或授权代表签字并加</w:t>
      </w:r>
    </w:p>
    <w:p w14:paraId="2069AFA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盖公章。为提高采购效率，降低社会成本，鼓励询问主体对于不损害国家及社会利益或自身合法权益的问题或情形采用询问方式处理解决（包含但不限于文字错误、标点符号、不影响响应文件的编制的情形）。</w:t>
      </w:r>
    </w:p>
    <w:p w14:paraId="4AE3FA46">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供应商认为磋商文件、采购过程、成交结果使自己的权益受到损害的，可以在知道或者应知其权益受到损害之日起7个工作日内，以书面形式向采购代理机构提出质疑。</w:t>
      </w:r>
    </w:p>
    <w:p w14:paraId="5D5A30E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质疑供应商应按照财政部门制定的《政府采购质疑函范本》格式（详见中国政府采购网）和《政府采购质疑</w:t>
      </w:r>
    </w:p>
    <w:p w14:paraId="73F4EB0B">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和投诉办法》的要求，在法定质疑期内以纸质形式提出质疑，针对同一采购程序环节的质疑应一次性提出。</w:t>
      </w:r>
    </w:p>
    <w:p w14:paraId="0E3EE8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超出法定质疑期的、重复提出的、分次提出的或内容、形式不符合《政府采购质疑和投诉办法》的，质疑供</w:t>
      </w:r>
    </w:p>
    <w:p w14:paraId="0E7135A9">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应商将依法承担不利后果。</w:t>
      </w:r>
    </w:p>
    <w:p w14:paraId="339A303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接收质疑函方式：书面形式。</w:t>
      </w:r>
    </w:p>
    <w:p w14:paraId="45B6F84B">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答复主体：</w:t>
      </w:r>
      <w:r>
        <w:rPr>
          <w:rFonts w:hint="eastAsia" w:ascii="黑体" w:hAnsi="黑体" w:eastAsia="黑体" w:cs="黑体"/>
          <w:color w:val="000000" w:themeColor="text1"/>
          <w:sz w:val="19"/>
          <w:szCs w:val="19"/>
          <w:lang w:val="en-US" w:eastAsia="zh-CN"/>
          <w14:textFill>
            <w14:solidFill>
              <w14:schemeClr w14:val="tx1"/>
            </w14:solidFill>
          </w14:textFill>
        </w:rPr>
        <w:t>西安中保研招标有限公司</w:t>
      </w:r>
    </w:p>
    <w:p w14:paraId="33829CF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联系人：</w:t>
      </w:r>
      <w:r>
        <w:rPr>
          <w:rFonts w:hint="eastAsia" w:ascii="黑体" w:hAnsi="黑体" w:eastAsia="黑体" w:cs="黑体"/>
          <w:color w:val="000000" w:themeColor="text1"/>
          <w:sz w:val="19"/>
          <w:szCs w:val="19"/>
          <w:lang w:val="en-US" w:eastAsia="zh-CN"/>
          <w14:textFill>
            <w14:solidFill>
              <w14:schemeClr w14:val="tx1"/>
            </w14:solidFill>
          </w14:textFill>
        </w:rPr>
        <w:t>文件复核办公室</w:t>
      </w:r>
    </w:p>
    <w:p w14:paraId="06CF3EC9">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联系电话：</w:t>
      </w:r>
      <w:r>
        <w:rPr>
          <w:rFonts w:hint="eastAsia" w:ascii="黑体" w:hAnsi="黑体" w:eastAsia="黑体" w:cs="黑体"/>
          <w:color w:val="000000" w:themeColor="text1"/>
          <w:sz w:val="19"/>
          <w:szCs w:val="19"/>
          <w:lang w:eastAsia="zh-CN"/>
          <w14:textFill>
            <w14:solidFill>
              <w14:schemeClr w14:val="tx1"/>
            </w14:solidFill>
          </w14:textFill>
        </w:rPr>
        <w:t>13772150019</w:t>
      </w:r>
    </w:p>
    <w:p w14:paraId="36DED00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地址：</w:t>
      </w:r>
      <w:r>
        <w:rPr>
          <w:rFonts w:hint="eastAsia" w:ascii="黑体" w:hAnsi="黑体" w:eastAsia="黑体" w:cs="黑体"/>
          <w:color w:val="000000" w:themeColor="text1"/>
          <w:sz w:val="19"/>
          <w:szCs w:val="19"/>
          <w:lang w:eastAsia="zh-CN"/>
          <w14:textFill>
            <w14:solidFill>
              <w14:schemeClr w14:val="tx1"/>
            </w14:solidFill>
          </w14:textFill>
        </w:rPr>
        <w:t>陕西省西安市新城区金花新都汇写字楼A座7楼</w:t>
      </w:r>
    </w:p>
    <w:p w14:paraId="08D81766">
      <w:pPr>
        <w:pStyle w:val="25"/>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2259DCC1">
      <w:pPr>
        <w:pStyle w:val="2"/>
        <w:wordWrap/>
        <w:bidi w:val="0"/>
        <w:rPr>
          <w:rFonts w:hint="default" w:ascii="黑体" w:hAnsi="黑体" w:eastAsia="黑体" w:cs="黑体"/>
          <w:color w:val="auto"/>
          <w:sz w:val="28"/>
          <w:szCs w:val="28"/>
          <w:highlight w:val="none"/>
          <w:lang w:val="en-US" w:eastAsia="zh-CN"/>
        </w:rPr>
      </w:pPr>
      <w:bookmarkStart w:id="29" w:name="_Toc3390"/>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采购需求</w:t>
      </w:r>
      <w:bookmarkEnd w:id="25"/>
      <w:bookmarkEnd w:id="29"/>
    </w:p>
    <w:p w14:paraId="598AABE6">
      <w:pPr>
        <w:pStyle w:val="3"/>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val="zh-CN" w:eastAsia="zh-CN"/>
        </w:rPr>
      </w:pPr>
      <w:bookmarkStart w:id="30" w:name="_Toc18356"/>
      <w:r>
        <w:rPr>
          <w:rFonts w:hint="eastAsia" w:ascii="黑体" w:hAnsi="黑体" w:eastAsia="黑体" w:cs="黑体"/>
          <w:b/>
          <w:color w:val="000000"/>
          <w:sz w:val="19"/>
          <w:szCs w:val="19"/>
          <w:highlight w:val="none"/>
          <w:lang w:eastAsia="zh-CN"/>
        </w:rPr>
        <w:t xml:space="preserve">3.1 </w:t>
      </w:r>
      <w:r>
        <w:rPr>
          <w:rFonts w:hint="eastAsia" w:ascii="黑体" w:hAnsi="黑体" w:eastAsia="黑体" w:cs="黑体"/>
          <w:b/>
          <w:color w:val="000000"/>
          <w:sz w:val="19"/>
          <w:szCs w:val="19"/>
          <w:highlight w:val="none"/>
          <w:lang w:val="zh-CN" w:eastAsia="zh-CN"/>
        </w:rPr>
        <w:t>采购项目概况</w:t>
      </w:r>
      <w:bookmarkEnd w:id="30"/>
    </w:p>
    <w:p w14:paraId="65B4B0FC">
      <w:pPr>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default" w:ascii="黑体" w:hAnsi="黑体" w:eastAsia="黑体" w:cs="黑体"/>
          <w:color w:val="000000" w:themeColor="text1"/>
          <w:sz w:val="19"/>
          <w:szCs w:val="19"/>
          <w:lang w:val="en-US" w:eastAsia="zh-Hans"/>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对陕西省生态环境执法总队关于陕西省生态环境执法装备和用电监控统筹管控系统实施网络安全等级保护测评、系统上线前的安全检测和安全巡检工作，找出信息系统存在的安全漏洞及安全隐患，为后续建设和整改工作提供建议和决策依据，进一步提高信息系统整体安全防护水平，服务标准满足国家及行业验收标准。 具体服务内容如下</w:t>
      </w:r>
      <w:r>
        <w:rPr>
          <w:rFonts w:hint="eastAsia" w:ascii="黑体" w:hAnsi="黑体" w:eastAsia="黑体" w:cs="黑体"/>
          <w:color w:val="000000" w:themeColor="text1"/>
          <w:sz w:val="19"/>
          <w:szCs w:val="19"/>
          <w:lang w:val="en-US" w:eastAsia="zh-Hans"/>
          <w14:textFill>
            <w14:solidFill>
              <w14:schemeClr w14:val="tx1"/>
            </w14:solidFill>
          </w14:textFill>
        </w:rPr>
        <w:t>。</w:t>
      </w:r>
    </w:p>
    <w:p w14:paraId="37E8D6E0">
      <w:pPr>
        <w:pStyle w:val="3"/>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eastAsia="zh-CN"/>
        </w:rPr>
      </w:pPr>
      <w:bookmarkStart w:id="31" w:name="_Toc11692"/>
      <w:bookmarkStart w:id="32" w:name="_Toc7692"/>
      <w:bookmarkStart w:id="33" w:name="_Toc17080"/>
      <w:r>
        <w:rPr>
          <w:rFonts w:hint="eastAsia" w:ascii="黑体" w:hAnsi="黑体" w:eastAsia="黑体" w:cs="黑体"/>
          <w:b/>
          <w:color w:val="000000"/>
          <w:sz w:val="19"/>
          <w:szCs w:val="19"/>
          <w:highlight w:val="none"/>
          <w:lang w:eastAsia="zh-CN"/>
        </w:rPr>
        <w:t>3.2服务内容及服务要求</w:t>
      </w:r>
      <w:bookmarkEnd w:id="31"/>
      <w:bookmarkEnd w:id="32"/>
      <w:bookmarkEnd w:id="33"/>
    </w:p>
    <w:p w14:paraId="259364D7">
      <w:pPr>
        <w:pStyle w:val="4"/>
        <w:numPr>
          <w:ilvl w:val="2"/>
          <w:numId w:val="0"/>
        </w:numPr>
        <w:wordWrap/>
        <w:bidi w:val="0"/>
        <w:ind w:leftChars="0"/>
        <w:rPr>
          <w:rFonts w:hint="eastAsia" w:ascii="黑体" w:hAnsi="黑体" w:eastAsia="黑体" w:cs="黑体"/>
          <w:b/>
          <w:color w:val="000000"/>
          <w:sz w:val="19"/>
          <w:szCs w:val="19"/>
          <w:highlight w:val="none"/>
          <w:lang w:val="zh-CN" w:eastAsia="zh-CN"/>
        </w:rPr>
      </w:pPr>
      <w:r>
        <w:rPr>
          <w:rFonts w:hint="eastAsia" w:ascii="黑体" w:hAnsi="黑体" w:eastAsia="黑体" w:cs="黑体"/>
          <w:b/>
          <w:color w:val="000000"/>
          <w:sz w:val="19"/>
          <w:szCs w:val="19"/>
          <w:highlight w:val="none"/>
          <w:lang w:val="en-US" w:eastAsia="zh-CN"/>
        </w:rPr>
        <w:t xml:space="preserve">3.2.1 </w:t>
      </w:r>
      <w:r>
        <w:rPr>
          <w:rFonts w:hint="eastAsia" w:ascii="黑体" w:hAnsi="黑体" w:eastAsia="黑体" w:cs="黑体"/>
          <w:b/>
          <w:color w:val="000000"/>
          <w:sz w:val="19"/>
          <w:szCs w:val="19"/>
          <w:highlight w:val="none"/>
          <w:lang w:val="zh-CN" w:eastAsia="zh-CN"/>
        </w:rPr>
        <w:t>服务内容</w:t>
      </w:r>
    </w:p>
    <w:tbl>
      <w:tblPr>
        <w:tblStyle w:val="20"/>
        <w:tblW w:w="94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8"/>
        <w:gridCol w:w="3451"/>
        <w:gridCol w:w="800"/>
        <w:gridCol w:w="1600"/>
        <w:gridCol w:w="990"/>
        <w:gridCol w:w="1914"/>
      </w:tblGrid>
      <w:tr w14:paraId="59965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678" w:type="dxa"/>
          </w:tcPr>
          <w:p w14:paraId="4FDC2511">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序号</w:t>
            </w:r>
          </w:p>
        </w:tc>
        <w:tc>
          <w:tcPr>
            <w:tcW w:w="3451" w:type="dxa"/>
          </w:tcPr>
          <w:p w14:paraId="687C8C73">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标的名称</w:t>
            </w:r>
          </w:p>
        </w:tc>
        <w:tc>
          <w:tcPr>
            <w:tcW w:w="800" w:type="dxa"/>
          </w:tcPr>
          <w:p w14:paraId="2399CBA9">
            <w:pPr>
              <w:pStyle w:val="25"/>
              <w:wordWrap/>
              <w:spacing w:line="480" w:lineRule="exact"/>
              <w:jc w:val="center"/>
              <w:rPr>
                <w:rFonts w:hint="default" w:ascii="黑体" w:hAnsi="黑体" w:eastAsia="黑体" w:cs="黑体"/>
                <w:sz w:val="19"/>
                <w:szCs w:val="19"/>
                <w:highlight w:val="none"/>
                <w:lang w:eastAsia="zh-CN"/>
              </w:rPr>
            </w:pPr>
            <w:r>
              <w:rPr>
                <w:rFonts w:ascii="黑体" w:hAnsi="黑体" w:eastAsia="黑体" w:cs="黑体"/>
                <w:sz w:val="19"/>
                <w:szCs w:val="19"/>
                <w:highlight w:val="none"/>
              </w:rPr>
              <w:t>数量</w:t>
            </w:r>
          </w:p>
        </w:tc>
        <w:tc>
          <w:tcPr>
            <w:tcW w:w="1600" w:type="dxa"/>
          </w:tcPr>
          <w:p w14:paraId="38371D3F">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标的金额（元）</w:t>
            </w:r>
          </w:p>
        </w:tc>
        <w:tc>
          <w:tcPr>
            <w:tcW w:w="990" w:type="dxa"/>
          </w:tcPr>
          <w:p w14:paraId="29D49140">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计量单位</w:t>
            </w:r>
          </w:p>
        </w:tc>
        <w:tc>
          <w:tcPr>
            <w:tcW w:w="1914" w:type="dxa"/>
          </w:tcPr>
          <w:p w14:paraId="05EA622F">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所属行业</w:t>
            </w:r>
          </w:p>
        </w:tc>
      </w:tr>
      <w:tr w14:paraId="0BCE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678" w:type="dxa"/>
          </w:tcPr>
          <w:p w14:paraId="0A4EDE5D">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1</w:t>
            </w:r>
          </w:p>
        </w:tc>
        <w:tc>
          <w:tcPr>
            <w:tcW w:w="3451" w:type="dxa"/>
          </w:tcPr>
          <w:p w14:paraId="4989C90C">
            <w:pPr>
              <w:pStyle w:val="25"/>
              <w:wordWrap/>
              <w:spacing w:line="480" w:lineRule="exact"/>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陕西省生态环境执法装备和用电监控统筹管控能力建设项目安全检测服务（二次）</w:t>
            </w:r>
          </w:p>
        </w:tc>
        <w:tc>
          <w:tcPr>
            <w:tcW w:w="800" w:type="dxa"/>
          </w:tcPr>
          <w:p w14:paraId="5E8B759A">
            <w:pPr>
              <w:pStyle w:val="25"/>
              <w:wordWrap/>
              <w:spacing w:line="480" w:lineRule="exact"/>
              <w:jc w:val="center"/>
              <w:rPr>
                <w:rFonts w:hint="default"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1</w:t>
            </w:r>
          </w:p>
        </w:tc>
        <w:tc>
          <w:tcPr>
            <w:tcW w:w="1600" w:type="dxa"/>
          </w:tcPr>
          <w:p w14:paraId="32DE7869">
            <w:pPr>
              <w:pStyle w:val="25"/>
              <w:wordWrap/>
              <w:spacing w:line="480" w:lineRule="exact"/>
              <w:jc w:val="center"/>
              <w:rPr>
                <w:rFonts w:hint="default" w:ascii="黑体" w:hAnsi="黑体" w:eastAsia="黑体" w:cs="黑体"/>
                <w:sz w:val="19"/>
                <w:szCs w:val="19"/>
                <w:highlight w:val="none"/>
              </w:rPr>
            </w:pPr>
            <w:r>
              <w:rPr>
                <w:rFonts w:hint="eastAsia" w:ascii="黑体" w:hAnsi="黑体" w:eastAsia="黑体" w:cs="黑体"/>
                <w:sz w:val="19"/>
                <w:szCs w:val="19"/>
                <w:highlight w:val="none"/>
                <w:lang w:eastAsia="zh-CN"/>
              </w:rPr>
              <w:t>80,000.00</w:t>
            </w:r>
            <w:r>
              <w:rPr>
                <w:rFonts w:hint="default" w:ascii="黑体" w:hAnsi="黑体" w:eastAsia="黑体" w:cs="黑体"/>
                <w:sz w:val="19"/>
                <w:szCs w:val="19"/>
                <w:highlight w:val="none"/>
              </w:rPr>
              <w:t>元</w:t>
            </w:r>
          </w:p>
        </w:tc>
        <w:tc>
          <w:tcPr>
            <w:tcW w:w="990" w:type="dxa"/>
          </w:tcPr>
          <w:p w14:paraId="6CA9490A">
            <w:pPr>
              <w:pStyle w:val="25"/>
              <w:wordWrap/>
              <w:spacing w:line="480" w:lineRule="exact"/>
              <w:jc w:val="center"/>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项</w:t>
            </w:r>
          </w:p>
        </w:tc>
        <w:tc>
          <w:tcPr>
            <w:tcW w:w="1914" w:type="dxa"/>
          </w:tcPr>
          <w:p w14:paraId="07809558">
            <w:pPr>
              <w:pStyle w:val="25"/>
              <w:wordWrap/>
              <w:spacing w:line="480" w:lineRule="exact"/>
              <w:jc w:val="center"/>
              <w:rPr>
                <w:rFonts w:hint="default" w:ascii="黑体" w:hAnsi="黑体" w:eastAsia="黑体" w:cs="黑体"/>
                <w:sz w:val="19"/>
                <w:szCs w:val="19"/>
                <w:highlight w:val="none"/>
                <w:lang w:eastAsia="zh-CN"/>
              </w:rPr>
            </w:pPr>
            <w:r>
              <w:rPr>
                <w:rFonts w:hint="default" w:ascii="黑体" w:hAnsi="黑体" w:eastAsia="黑体" w:cs="黑体"/>
                <w:sz w:val="19"/>
                <w:szCs w:val="19"/>
                <w:highlight w:val="none"/>
                <w:lang w:eastAsia="zh-CN"/>
              </w:rPr>
              <w:t xml:space="preserve">软件和信息技术服务业  </w:t>
            </w:r>
          </w:p>
        </w:tc>
      </w:tr>
    </w:tbl>
    <w:p w14:paraId="781B726A">
      <w:pPr>
        <w:pStyle w:val="25"/>
        <w:keepNext w:val="0"/>
        <w:keepLines w:val="0"/>
        <w:pageBreakBefore w:val="0"/>
        <w:kinsoku/>
        <w:wordWrap/>
        <w:overflowPunct/>
        <w:topLinePunct w:val="0"/>
        <w:autoSpaceDE/>
        <w:autoSpaceDN/>
        <w:bidi w:val="0"/>
        <w:spacing w:before="58" w:beforeLines="20" w:line="480" w:lineRule="exact"/>
        <w:outlineLvl w:val="2"/>
        <w:rPr>
          <w:rFonts w:hint="eastAsia"/>
          <w:sz w:val="19"/>
          <w:szCs w:val="19"/>
          <w:highlight w:val="none"/>
          <w:lang w:val="zh-CN" w:eastAsia="zh-CN"/>
        </w:rPr>
      </w:pPr>
      <w:r>
        <w:rPr>
          <w:rFonts w:hint="eastAsia" w:ascii="黑体" w:hAnsi="黑体" w:eastAsia="黑体" w:cs="黑体"/>
          <w:b/>
          <w:color w:val="000000"/>
          <w:sz w:val="19"/>
          <w:szCs w:val="19"/>
          <w:highlight w:val="none"/>
          <w:lang w:val="en-US" w:eastAsia="zh-CN"/>
        </w:rPr>
        <w:t>3.2.2 技术</w:t>
      </w:r>
      <w:r>
        <w:rPr>
          <w:rFonts w:hint="eastAsia" w:ascii="黑体" w:hAnsi="黑体" w:eastAsia="黑体" w:cs="黑体"/>
          <w:b/>
          <w:color w:val="000000"/>
          <w:sz w:val="19"/>
          <w:szCs w:val="19"/>
          <w:highlight w:val="none"/>
          <w:lang w:val="zh-CN" w:eastAsia="zh-CN"/>
        </w:rPr>
        <w:t>要求</w:t>
      </w:r>
    </w:p>
    <w:p w14:paraId="00E2956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380" w:right="0" w:hanging="380" w:hanging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（一）技术依据标准：</w:t>
      </w:r>
      <w:r>
        <w:rPr>
          <w:rStyle w:val="23"/>
          <w:rFonts w:hint="eastAsia" w:ascii="黑体" w:hAnsi="黑体" w:eastAsia="黑体" w:cs="黑体"/>
          <w:b w:val="0"/>
          <w:bCs/>
          <w:color w:val="000000"/>
          <w:kern w:val="0"/>
          <w:sz w:val="19"/>
          <w:szCs w:val="19"/>
          <w:shd w:val="clear" w:color="auto" w:fill="FFFFFF"/>
          <w:lang w:val="en-US" w:eastAsia="zh-CN"/>
        </w:rPr>
        <w:br w:type="textWrapping"/>
      </w:r>
      <w:r>
        <w:rPr>
          <w:rStyle w:val="23"/>
          <w:rFonts w:hint="eastAsia" w:ascii="黑体" w:hAnsi="黑体" w:eastAsia="黑体" w:cs="黑体"/>
          <w:b w:val="0"/>
          <w:bCs/>
          <w:color w:val="000000"/>
          <w:kern w:val="0"/>
          <w:sz w:val="19"/>
          <w:szCs w:val="19"/>
          <w:shd w:val="clear" w:color="auto" w:fill="FFFFFF"/>
          <w:lang w:val="en-US" w:eastAsia="zh-CN"/>
        </w:rPr>
        <w:t>GB 17859—1999 《计算机信息系统 安全保护等级划分准则》</w:t>
      </w:r>
    </w:p>
    <w:p w14:paraId="15BEF20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GB/T 22240—2019 《信息安全技术 网络安全等级保护定级指南》</w:t>
      </w:r>
    </w:p>
    <w:p w14:paraId="4CC4323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GB/T 22239—2019 《信息安全技术 网络安全等级保护基本要求》</w:t>
      </w:r>
    </w:p>
    <w:p w14:paraId="4BFB5CC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GB/T 28448—2019 《信息安全技术 网络安全等级保护测评要求》</w:t>
      </w:r>
    </w:p>
    <w:p w14:paraId="74A8B53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GB/T 28449—2018 《信息安全技术 网络安全等级保护测评过程指南》</w:t>
      </w:r>
    </w:p>
    <w:p w14:paraId="587F3E0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GB/T 20984—2022 《信息安全技术 信息安全风险评估方法》</w:t>
      </w:r>
    </w:p>
    <w:p w14:paraId="2CCA47C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公网安【2025】2391号 《网络安全等级保护测评高风险判定实施指引（试行）》</w:t>
      </w:r>
    </w:p>
    <w:p w14:paraId="27FCD27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right="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（二）实施原则要求：</w:t>
      </w:r>
    </w:p>
    <w:p w14:paraId="6D8B49B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1.规范性原则：成交供应商工作中的过程和文档，具有很好的规范性，可以便于项目的跟踪和控制；</w:t>
      </w:r>
    </w:p>
    <w:p w14:paraId="3D8F57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2.整体性原则：测评和分析的范围和内容应当整体全面，包括安全涉及的各个层面，避免由于遗漏造成未来的安全隐患；</w:t>
      </w:r>
    </w:p>
    <w:p w14:paraId="7AB1215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3.最小影响原则：测评工作应尽可能小的影响系统和网络的正常运行，不能对现网的运行和业务的正常提供产生显著影响(包括系统性能明显下降、网络拥塞、服务中断，如无法避免出现这些情况应在应答书上详细描述)；</w:t>
      </w:r>
    </w:p>
    <w:p w14:paraId="41F904D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 w:beforeLines="20" w:beforeAutospacing="0" w:after="0" w:afterAutospacing="0" w:line="480" w:lineRule="exact"/>
        <w:ind w:left="0" w:right="0" w:firstLine="380" w:firstLineChars="200"/>
        <w:jc w:val="left"/>
        <w:textAlignment w:val="baseline"/>
        <w:rPr>
          <w:rStyle w:val="23"/>
          <w:rFonts w:hint="eastAsia" w:ascii="黑体" w:hAnsi="黑体" w:eastAsia="黑体" w:cs="黑体"/>
          <w:b w:val="0"/>
          <w:bCs/>
          <w:color w:val="000000"/>
          <w:kern w:val="0"/>
          <w:sz w:val="19"/>
          <w:szCs w:val="19"/>
          <w:shd w:val="clear" w:color="auto" w:fill="FFFFFF"/>
          <w:lang w:val="en-US" w:eastAsia="zh-CN"/>
        </w:rPr>
      </w:pPr>
      <w:r>
        <w:rPr>
          <w:rStyle w:val="23"/>
          <w:rFonts w:hint="eastAsia" w:ascii="黑体" w:hAnsi="黑体" w:eastAsia="黑体" w:cs="黑体"/>
          <w:b w:val="0"/>
          <w:bCs/>
          <w:color w:val="000000"/>
          <w:kern w:val="0"/>
          <w:sz w:val="19"/>
          <w:szCs w:val="19"/>
          <w:shd w:val="clear" w:color="auto" w:fill="FFFFFF"/>
          <w:lang w:val="en-US" w:eastAsia="zh-CN"/>
        </w:rPr>
        <w:t>4.保密原则：对测评的过程数据和结果数据严格保密，未经授权不得泄露给任何单位和个人，不得利用此数据进行任何侵害采购人网络的行为，否则采购人有权追究责任。</w:t>
      </w:r>
      <w:r>
        <w:rPr>
          <w:rStyle w:val="23"/>
          <w:rFonts w:hint="eastAsia" w:ascii="黑体" w:hAnsi="黑体" w:eastAsia="黑体" w:cs="黑体"/>
          <w:b w:val="0"/>
          <w:bCs/>
          <w:color w:val="000000"/>
          <w:kern w:val="0"/>
          <w:sz w:val="19"/>
          <w:szCs w:val="19"/>
          <w:shd w:val="clear" w:color="auto" w:fill="FFFFFF"/>
          <w:lang w:val="en-US" w:eastAsia="zh-CN"/>
        </w:rPr>
        <w:br w:type="textWrapping"/>
      </w:r>
      <w:r>
        <w:rPr>
          <w:rStyle w:val="23"/>
          <w:rFonts w:hint="eastAsia" w:ascii="黑体" w:hAnsi="黑体" w:eastAsia="黑体" w:cs="黑体"/>
          <w:b w:val="0"/>
          <w:bCs/>
          <w:color w:val="000000"/>
          <w:kern w:val="0"/>
          <w:sz w:val="19"/>
          <w:szCs w:val="19"/>
          <w:shd w:val="clear" w:color="auto" w:fill="FFFFFF"/>
          <w:lang w:val="en-US" w:eastAsia="zh-CN"/>
        </w:rPr>
        <w:t>（三）工作内容</w:t>
      </w:r>
    </w:p>
    <w:p w14:paraId="48F67E32">
      <w:pPr>
        <w:pStyle w:val="18"/>
        <w:spacing w:before="48" w:beforeLines="20" w:beforeAutospacing="0" w:after="0" w:afterAutospacing="0" w:line="480" w:lineRule="exact"/>
        <w:ind w:firstLine="380" w:firstLineChars="200"/>
        <w:textAlignment w:val="baseline"/>
        <w:rPr>
          <w:rStyle w:val="23"/>
          <w:rFonts w:ascii="黑体" w:hAnsi="黑体" w:eastAsia="黑体" w:cs="黑体"/>
          <w:b w:val="0"/>
          <w:bCs/>
          <w:color w:val="000000"/>
          <w:sz w:val="19"/>
          <w:szCs w:val="19"/>
          <w:shd w:val="clear" w:color="auto" w:fill="FFFFFF"/>
        </w:rPr>
      </w:pPr>
      <w:r>
        <w:rPr>
          <w:rStyle w:val="23"/>
          <w:rFonts w:hint="eastAsia" w:ascii="黑体" w:hAnsi="黑体" w:eastAsia="黑体" w:cs="黑体"/>
          <w:b w:val="0"/>
          <w:bCs/>
          <w:color w:val="000000"/>
          <w:sz w:val="19"/>
          <w:szCs w:val="19"/>
          <w:shd w:val="clear" w:color="auto" w:fill="FFFFFF"/>
        </w:rPr>
        <w:t>1.系统上线前的安全检测：</w:t>
      </w:r>
    </w:p>
    <w:p w14:paraId="0083297D">
      <w:pPr>
        <w:pStyle w:val="18"/>
        <w:spacing w:before="48" w:beforeLines="20" w:beforeAutospacing="0" w:after="0" w:afterAutospacing="0" w:line="480" w:lineRule="exact"/>
        <w:ind w:firstLine="380" w:firstLineChars="200"/>
        <w:textAlignment w:val="baseline"/>
        <w:rPr>
          <w:rStyle w:val="23"/>
          <w:rFonts w:ascii="黑体" w:hAnsi="黑体" w:eastAsia="黑体" w:cs="黑体"/>
          <w:b w:val="0"/>
          <w:bCs/>
          <w:color w:val="000000"/>
          <w:sz w:val="19"/>
          <w:szCs w:val="19"/>
          <w:shd w:val="clear" w:color="auto" w:fill="FFFFFF"/>
        </w:rPr>
      </w:pPr>
      <w:r>
        <w:rPr>
          <w:rStyle w:val="23"/>
          <w:rFonts w:hint="eastAsia" w:ascii="黑体" w:hAnsi="黑体" w:eastAsia="黑体" w:cs="黑体"/>
          <w:b w:val="0"/>
          <w:bCs/>
          <w:color w:val="000000"/>
          <w:sz w:val="19"/>
          <w:szCs w:val="19"/>
          <w:shd w:val="clear" w:color="auto" w:fill="FFFFFF"/>
        </w:rPr>
        <w:t>系统上线前安全检测是为确保信息系统在正式投入运行之前获得充分的安全保障。内容包括安全漏洞扫描、安全配置核查和渗透性测试等内容。这些服务能够有效地检测信息系统各层面隐藏的安全漏洞，并可以判断信息系统是否符合上线运行的条件，从而保障信息系统的安全运行。</w:t>
      </w:r>
    </w:p>
    <w:p w14:paraId="2FCE3BD0">
      <w:p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Fonts w:hint="eastAsia" w:ascii="黑体" w:hAnsi="黑体" w:eastAsia="黑体" w:cs="黑体"/>
          <w:bCs/>
          <w:color w:val="000000"/>
          <w:kern w:val="0"/>
          <w:sz w:val="19"/>
          <w:szCs w:val="19"/>
          <w:shd w:val="clear" w:color="auto" w:fill="FFFFFF"/>
        </w:rPr>
        <w:t>2.</w:t>
      </w:r>
      <w:r>
        <w:rPr>
          <w:rStyle w:val="23"/>
          <w:rFonts w:hint="eastAsia" w:ascii="黑体" w:hAnsi="黑体" w:eastAsia="黑体" w:cs="黑体"/>
          <w:b w:val="0"/>
          <w:bCs/>
          <w:color w:val="000000"/>
          <w:kern w:val="0"/>
          <w:sz w:val="19"/>
          <w:szCs w:val="19"/>
          <w:shd w:val="clear" w:color="auto" w:fill="FFFFFF"/>
        </w:rPr>
        <w:t>网络安全等级</w:t>
      </w:r>
      <w:r>
        <w:rPr>
          <w:rStyle w:val="23"/>
          <w:rFonts w:hint="eastAsia" w:ascii="黑体" w:hAnsi="黑体" w:eastAsia="黑体" w:cs="黑体"/>
          <w:b w:val="0"/>
          <w:bCs/>
          <w:color w:val="000000"/>
          <w:kern w:val="0"/>
          <w:sz w:val="19"/>
          <w:szCs w:val="19"/>
          <w:highlight w:val="none"/>
          <w:shd w:val="clear" w:color="auto" w:fill="FFFFFF"/>
        </w:rPr>
        <w:t>保护测评（三级）：</w:t>
      </w:r>
    </w:p>
    <w:p w14:paraId="7C152341">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定级备案：协助整理信息系统备案资料并提交网安部门，取得《信息系统等级保护备案证明》。</w:t>
      </w:r>
    </w:p>
    <w:p w14:paraId="640B752E">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系统调研：在系统相关人员的协助下，对信息系统进行调研和梳理，了解系统当前信息系统资产现状。</w:t>
      </w:r>
    </w:p>
    <w:p w14:paraId="1757A583">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现场测评：根据国家等级测评的相关标准及已编制的相关等级保护测评指导书对信息系统中的相关资产进行测评项的检查、记录检查结果。</w:t>
      </w:r>
    </w:p>
    <w:p w14:paraId="207D7805">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分析整改：根据前述工作内容，分析信息系统安全情况与等级保护基本要求的差距，提供差异化测评服务，并进行风险分析，可根据现场情况出具科学合理的整改建议及整改方案，配合采购单位完成安全整改工作。</w:t>
      </w:r>
    </w:p>
    <w:p w14:paraId="2DEFC0BE">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结论报告：根据前述工作内容，分析当前信息系统安全保护能力是否符合相应等级的安全要求，针对整改项进行再次测评,提供安全等级符合性测评服务，出具相关系统测评报告。</w:t>
      </w:r>
    </w:p>
    <w:p w14:paraId="54EA57C3">
      <w:pPr>
        <w:numPr>
          <w:ilvl w:val="0"/>
          <w:numId w:val="8"/>
        </w:num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Style w:val="23"/>
          <w:rFonts w:hint="eastAsia" w:ascii="黑体" w:hAnsi="黑体" w:eastAsia="黑体" w:cs="黑体"/>
          <w:b w:val="0"/>
          <w:bCs/>
          <w:color w:val="000000"/>
          <w:kern w:val="0"/>
          <w:sz w:val="19"/>
          <w:szCs w:val="19"/>
          <w:shd w:val="clear" w:color="auto" w:fill="FFFFFF"/>
        </w:rPr>
        <w:t>配合验收：整理项目过程中所有相关的过程文档，提交系统相关人员。</w:t>
      </w:r>
    </w:p>
    <w:p w14:paraId="7D378B48">
      <w:pPr>
        <w:adjustRightInd w:val="0"/>
        <w:snapToGrid w:val="0"/>
        <w:spacing w:before="48" w:beforeLines="20" w:line="480" w:lineRule="exact"/>
        <w:ind w:firstLine="380" w:firstLineChars="200"/>
        <w:rPr>
          <w:rStyle w:val="23"/>
          <w:rFonts w:ascii="黑体" w:hAnsi="黑体" w:eastAsia="黑体" w:cs="黑体"/>
          <w:b w:val="0"/>
          <w:bCs/>
          <w:color w:val="000000"/>
          <w:kern w:val="0"/>
          <w:sz w:val="19"/>
          <w:szCs w:val="19"/>
          <w:shd w:val="clear" w:color="auto" w:fill="FFFFFF"/>
        </w:rPr>
      </w:pPr>
      <w:r>
        <w:rPr>
          <w:rFonts w:hint="eastAsia" w:ascii="黑体" w:hAnsi="黑体" w:eastAsia="黑体" w:cs="黑体"/>
          <w:bCs/>
          <w:color w:val="000000"/>
          <w:kern w:val="0"/>
          <w:sz w:val="19"/>
          <w:szCs w:val="19"/>
          <w:shd w:val="clear" w:color="auto" w:fill="FFFFFF"/>
        </w:rPr>
        <w:t>3.</w:t>
      </w:r>
      <w:r>
        <w:rPr>
          <w:rStyle w:val="23"/>
          <w:rFonts w:hint="eastAsia" w:ascii="黑体" w:hAnsi="黑体" w:eastAsia="黑体" w:cs="黑体"/>
          <w:b w:val="0"/>
          <w:bCs/>
          <w:color w:val="000000"/>
          <w:kern w:val="0"/>
          <w:sz w:val="19"/>
          <w:szCs w:val="19"/>
          <w:shd w:val="clear" w:color="auto" w:fill="FFFFFF"/>
          <w:lang w:val="en-US" w:eastAsia="zh-CN"/>
        </w:rPr>
        <w:t>安全巡检</w:t>
      </w:r>
      <w:r>
        <w:rPr>
          <w:rStyle w:val="23"/>
          <w:rFonts w:hint="eastAsia" w:ascii="黑体" w:hAnsi="黑体" w:eastAsia="黑体" w:cs="黑体"/>
          <w:b w:val="0"/>
          <w:bCs/>
          <w:color w:val="000000"/>
          <w:kern w:val="0"/>
          <w:sz w:val="19"/>
          <w:szCs w:val="19"/>
          <w:shd w:val="clear" w:color="auto" w:fill="FFFFFF"/>
        </w:rPr>
        <w:t>：</w:t>
      </w:r>
    </w:p>
    <w:p w14:paraId="411D9FF3">
      <w:pPr>
        <w:adjustRightInd w:val="0"/>
        <w:snapToGrid w:val="0"/>
        <w:spacing w:before="48" w:beforeLines="20" w:line="480" w:lineRule="exact"/>
        <w:ind w:firstLine="380" w:firstLineChars="200"/>
        <w:rPr>
          <w:rStyle w:val="23"/>
          <w:rFonts w:hint="eastAsia" w:ascii="黑体" w:hAnsi="黑体" w:eastAsia="黑体" w:cs="黑体"/>
          <w:b w:val="0"/>
          <w:bCs/>
          <w:color w:val="000000"/>
          <w:kern w:val="0"/>
          <w:sz w:val="19"/>
          <w:szCs w:val="19"/>
          <w:shd w:val="clear" w:color="auto" w:fill="FFFFFF"/>
          <w:lang w:val="en-US" w:eastAsia="zh-CN" w:bidi="ar-SA"/>
        </w:rPr>
      </w:pPr>
      <w:r>
        <w:rPr>
          <w:rStyle w:val="23"/>
          <w:rFonts w:hint="eastAsia" w:ascii="黑体" w:hAnsi="黑体" w:eastAsia="黑体" w:cs="黑体"/>
          <w:b w:val="0"/>
          <w:bCs/>
          <w:color w:val="000000"/>
          <w:kern w:val="0"/>
          <w:sz w:val="19"/>
          <w:szCs w:val="19"/>
          <w:shd w:val="clear" w:color="auto" w:fill="FFFFFF"/>
          <w:lang w:val="en-US" w:eastAsia="zh-CN"/>
        </w:rPr>
        <w:t>通过</w:t>
      </w:r>
      <w:r>
        <w:rPr>
          <w:rStyle w:val="23"/>
          <w:rFonts w:hint="eastAsia" w:ascii="黑体" w:hAnsi="黑体" w:eastAsia="黑体" w:cs="黑体"/>
          <w:b w:val="0"/>
          <w:bCs/>
          <w:color w:val="000000"/>
          <w:kern w:val="0"/>
          <w:sz w:val="19"/>
          <w:szCs w:val="19"/>
          <w:shd w:val="clear" w:color="auto" w:fill="FFFFFF"/>
        </w:rPr>
        <w:t>安全巡检服务</w:t>
      </w:r>
      <w:r>
        <w:rPr>
          <w:rStyle w:val="23"/>
          <w:rFonts w:hint="eastAsia" w:ascii="黑体" w:hAnsi="黑体" w:eastAsia="黑体" w:cs="黑体"/>
          <w:b w:val="0"/>
          <w:bCs/>
          <w:color w:val="000000"/>
          <w:kern w:val="0"/>
          <w:sz w:val="19"/>
          <w:szCs w:val="19"/>
          <w:shd w:val="clear" w:color="auto" w:fill="FFFFFF"/>
          <w:lang w:val="en-US" w:eastAsia="zh-CN"/>
        </w:rPr>
        <w:t>对</w:t>
      </w:r>
      <w:r>
        <w:rPr>
          <w:rStyle w:val="23"/>
          <w:rFonts w:hint="eastAsia" w:ascii="黑体" w:hAnsi="黑体" w:eastAsia="黑体" w:cs="黑体"/>
          <w:b w:val="0"/>
          <w:bCs/>
          <w:color w:val="000000"/>
          <w:kern w:val="0"/>
          <w:sz w:val="19"/>
          <w:szCs w:val="19"/>
          <w:shd w:val="clear" w:color="auto" w:fill="FFFFFF"/>
        </w:rPr>
        <w:t>运行的</w:t>
      </w:r>
      <w:r>
        <w:rPr>
          <w:rStyle w:val="23"/>
          <w:rFonts w:hint="eastAsia" w:ascii="黑体" w:hAnsi="黑体" w:eastAsia="黑体" w:cs="黑体"/>
          <w:b w:val="0"/>
          <w:bCs/>
          <w:color w:val="000000"/>
          <w:kern w:val="0"/>
          <w:sz w:val="19"/>
          <w:szCs w:val="19"/>
          <w:shd w:val="clear" w:color="auto" w:fill="FFFFFF"/>
          <w:lang w:eastAsia="zh-CN"/>
        </w:rPr>
        <w:t>陕西省生态环境执法装备和用电监控统筹管控系统</w:t>
      </w:r>
      <w:r>
        <w:rPr>
          <w:rStyle w:val="23"/>
          <w:rFonts w:hint="eastAsia" w:ascii="黑体" w:hAnsi="黑体" w:eastAsia="黑体" w:cs="黑体"/>
          <w:b w:val="0"/>
          <w:bCs/>
          <w:color w:val="000000"/>
          <w:kern w:val="0"/>
          <w:sz w:val="19"/>
          <w:szCs w:val="19"/>
          <w:shd w:val="clear" w:color="auto" w:fill="FFFFFF"/>
        </w:rPr>
        <w:t>所涉及的机房环境、网络设备、安全设备、存储设备、应用系统等定期进行专项安全巡检，巡检结束后参考现场机房、信息系统的等级分类和标准，对检查的结果进行分析汇总，形成《安全巡检报告》。</w:t>
      </w:r>
    </w:p>
    <w:p w14:paraId="600CECE5">
      <w:pPr>
        <w:keepNext w:val="0"/>
        <w:keepLines w:val="0"/>
        <w:pageBreakBefore w:val="0"/>
        <w:widowControl w:val="0"/>
        <w:kinsoku/>
        <w:wordWrap/>
        <w:overflowPunct/>
        <w:topLinePunct w:val="0"/>
        <w:autoSpaceDE/>
        <w:autoSpaceDN/>
        <w:bidi w:val="0"/>
        <w:spacing w:line="480" w:lineRule="exact"/>
        <w:textAlignment w:val="auto"/>
        <w:rPr>
          <w:rStyle w:val="23"/>
          <w:rFonts w:hint="eastAsia" w:ascii="黑体" w:hAnsi="黑体" w:eastAsia="黑体" w:cs="黑体"/>
          <w:b w:val="0"/>
          <w:bCs/>
          <w:color w:val="000000"/>
          <w:kern w:val="0"/>
          <w:sz w:val="19"/>
          <w:szCs w:val="19"/>
          <w:shd w:val="clear" w:color="auto" w:fill="FFFFFF"/>
          <w:lang w:val="en-US" w:eastAsia="zh-CN" w:bidi="ar-SA"/>
        </w:rPr>
      </w:pPr>
      <w:r>
        <w:rPr>
          <w:rStyle w:val="23"/>
          <w:rFonts w:hint="eastAsia" w:ascii="黑体" w:hAnsi="黑体" w:eastAsia="黑体" w:cs="黑体"/>
          <w:b w:val="0"/>
          <w:bCs/>
          <w:color w:val="000000"/>
          <w:kern w:val="0"/>
          <w:sz w:val="19"/>
          <w:szCs w:val="19"/>
          <w:shd w:val="clear" w:color="auto" w:fill="FFFFFF"/>
          <w:lang w:val="en-US" w:eastAsia="zh-CN" w:bidi="ar-SA"/>
        </w:rPr>
        <w:t>（四）测评指标</w:t>
      </w:r>
    </w:p>
    <w:p w14:paraId="335BE5F5">
      <w:pPr>
        <w:keepNext w:val="0"/>
        <w:keepLines w:val="0"/>
        <w:pageBreakBefore w:val="0"/>
        <w:widowControl w:val="0"/>
        <w:kinsoku/>
        <w:wordWrap/>
        <w:overflowPunct/>
        <w:topLinePunct w:val="0"/>
        <w:autoSpaceDE/>
        <w:autoSpaceDN/>
        <w:bidi w:val="0"/>
        <w:spacing w:line="480" w:lineRule="exact"/>
        <w:textAlignment w:val="auto"/>
        <w:rPr>
          <w:rFonts w:hint="eastAsia" w:ascii="黑体" w:hAnsi="黑体" w:eastAsia="黑体" w:cs="黑体"/>
          <w:color w:val="000000"/>
          <w:kern w:val="0"/>
          <w:sz w:val="19"/>
          <w:szCs w:val="19"/>
          <w:lang w:val="en-US" w:eastAsia="zh-CN"/>
        </w:rPr>
      </w:pPr>
      <w:r>
        <w:rPr>
          <w:rFonts w:hint="eastAsia" w:ascii="黑体" w:hAnsi="黑体" w:eastAsia="黑体" w:cs="黑体"/>
          <w:color w:val="000000"/>
          <w:kern w:val="0"/>
          <w:sz w:val="19"/>
          <w:szCs w:val="19"/>
          <w:lang w:val="en-US" w:eastAsia="zh-CN"/>
        </w:rPr>
        <w:t>1.网络安全等级保护测评指标：</w:t>
      </w:r>
    </w:p>
    <w:tbl>
      <w:tblPr>
        <w:tblStyle w:val="20"/>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4524"/>
        <w:gridCol w:w="1617"/>
      </w:tblGrid>
      <w:tr w14:paraId="1098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3015" w:type="dxa"/>
            <w:shd w:val="clear" w:color="auto" w:fill="auto"/>
            <w:tcMar>
              <w:top w:w="15" w:type="dxa"/>
              <w:bottom w:w="15" w:type="dxa"/>
            </w:tcMar>
            <w:vAlign w:val="center"/>
          </w:tcPr>
          <w:p w14:paraId="141F4DB4">
            <w:pPr>
              <w:spacing w:line="480" w:lineRule="exact"/>
              <w:jc w:val="center"/>
              <w:rPr>
                <w:rFonts w:ascii="黑体" w:hAnsi="黑体" w:eastAsia="黑体" w:cs="黑体"/>
                <w:sz w:val="19"/>
                <w:szCs w:val="19"/>
              </w:rPr>
            </w:pPr>
            <w:r>
              <w:rPr>
                <w:rFonts w:hint="eastAsia" w:ascii="黑体" w:hAnsi="黑体" w:eastAsia="黑体" w:cs="黑体"/>
                <w:b/>
                <w:sz w:val="19"/>
                <w:szCs w:val="19"/>
              </w:rPr>
              <w:t>安全类</w:t>
            </w:r>
          </w:p>
        </w:tc>
        <w:tc>
          <w:tcPr>
            <w:tcW w:w="4525" w:type="dxa"/>
            <w:shd w:val="clear" w:color="auto" w:fill="auto"/>
            <w:tcMar>
              <w:top w:w="15" w:type="dxa"/>
              <w:bottom w:w="15" w:type="dxa"/>
            </w:tcMar>
            <w:vAlign w:val="center"/>
          </w:tcPr>
          <w:p w14:paraId="3251B8C4">
            <w:pPr>
              <w:spacing w:line="480" w:lineRule="exact"/>
              <w:jc w:val="center"/>
              <w:rPr>
                <w:rFonts w:ascii="黑体" w:hAnsi="黑体" w:eastAsia="黑体" w:cs="黑体"/>
                <w:sz w:val="19"/>
                <w:szCs w:val="19"/>
              </w:rPr>
            </w:pPr>
            <w:r>
              <w:rPr>
                <w:rFonts w:hint="eastAsia" w:ascii="黑体" w:hAnsi="黑体" w:eastAsia="黑体" w:cs="黑体"/>
                <w:b/>
                <w:sz w:val="19"/>
                <w:szCs w:val="19"/>
              </w:rPr>
              <w:t>控制点</w:t>
            </w:r>
          </w:p>
        </w:tc>
        <w:tc>
          <w:tcPr>
            <w:tcW w:w="883" w:type="pct"/>
            <w:shd w:val="clear" w:color="auto" w:fill="auto"/>
            <w:tcMar>
              <w:top w:w="15" w:type="dxa"/>
              <w:bottom w:w="15" w:type="dxa"/>
            </w:tcMar>
            <w:vAlign w:val="center"/>
          </w:tcPr>
          <w:p w14:paraId="655F8EB2">
            <w:pPr>
              <w:spacing w:line="480" w:lineRule="exact"/>
              <w:jc w:val="center"/>
              <w:rPr>
                <w:rFonts w:ascii="黑体" w:hAnsi="黑体" w:eastAsia="黑体" w:cs="黑体"/>
                <w:sz w:val="19"/>
                <w:szCs w:val="19"/>
              </w:rPr>
            </w:pPr>
            <w:r>
              <w:rPr>
                <w:rFonts w:hint="eastAsia" w:ascii="黑体" w:hAnsi="黑体" w:eastAsia="黑体" w:cs="黑体"/>
                <w:b/>
                <w:sz w:val="19"/>
                <w:szCs w:val="19"/>
              </w:rPr>
              <w:t>测评项数</w:t>
            </w:r>
          </w:p>
        </w:tc>
      </w:tr>
      <w:tr w14:paraId="2BD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53C6B543">
            <w:pPr>
              <w:spacing w:line="480" w:lineRule="exact"/>
              <w:jc w:val="center"/>
              <w:rPr>
                <w:rFonts w:ascii="黑体" w:hAnsi="黑体" w:eastAsia="黑体" w:cs="黑体"/>
                <w:sz w:val="19"/>
                <w:szCs w:val="19"/>
              </w:rPr>
            </w:pPr>
            <w:r>
              <w:rPr>
                <w:rFonts w:hint="eastAsia" w:ascii="黑体" w:hAnsi="黑体" w:eastAsia="黑体" w:cs="黑体"/>
                <w:sz w:val="19"/>
                <w:szCs w:val="19"/>
              </w:rPr>
              <w:t>安全物理环境</w:t>
            </w:r>
          </w:p>
        </w:tc>
        <w:tc>
          <w:tcPr>
            <w:tcW w:w="4525" w:type="dxa"/>
            <w:shd w:val="clear" w:color="auto" w:fill="auto"/>
            <w:tcMar>
              <w:top w:w="100" w:type="dxa"/>
              <w:bottom w:w="100" w:type="dxa"/>
            </w:tcMar>
            <w:vAlign w:val="center"/>
          </w:tcPr>
          <w:p w14:paraId="5C1479FA">
            <w:pPr>
              <w:spacing w:line="480" w:lineRule="exact"/>
              <w:jc w:val="center"/>
              <w:rPr>
                <w:rFonts w:ascii="黑体" w:hAnsi="黑体" w:eastAsia="黑体" w:cs="黑体"/>
                <w:sz w:val="19"/>
                <w:szCs w:val="19"/>
              </w:rPr>
            </w:pPr>
            <w:r>
              <w:rPr>
                <w:rFonts w:hint="eastAsia" w:ascii="黑体" w:hAnsi="黑体" w:eastAsia="黑体" w:cs="黑体"/>
                <w:sz w:val="19"/>
                <w:szCs w:val="19"/>
              </w:rPr>
              <w:t>物理位置选择</w:t>
            </w:r>
          </w:p>
        </w:tc>
        <w:tc>
          <w:tcPr>
            <w:tcW w:w="883" w:type="pct"/>
            <w:shd w:val="clear" w:color="auto" w:fill="auto"/>
            <w:tcMar>
              <w:top w:w="100" w:type="dxa"/>
              <w:bottom w:w="100" w:type="dxa"/>
            </w:tcMar>
            <w:vAlign w:val="center"/>
          </w:tcPr>
          <w:p w14:paraId="5B4124CF">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6BA2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5ABBAD31">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EC5BA77">
            <w:pPr>
              <w:spacing w:line="480" w:lineRule="exact"/>
              <w:jc w:val="center"/>
              <w:rPr>
                <w:rFonts w:ascii="黑体" w:hAnsi="黑体" w:eastAsia="黑体" w:cs="黑体"/>
                <w:sz w:val="19"/>
                <w:szCs w:val="19"/>
              </w:rPr>
            </w:pPr>
            <w:r>
              <w:rPr>
                <w:rFonts w:hint="eastAsia" w:ascii="黑体" w:hAnsi="黑体" w:eastAsia="黑体" w:cs="黑体"/>
                <w:sz w:val="19"/>
                <w:szCs w:val="19"/>
              </w:rPr>
              <w:t>物理访问控制</w:t>
            </w:r>
          </w:p>
        </w:tc>
        <w:tc>
          <w:tcPr>
            <w:tcW w:w="883" w:type="pct"/>
            <w:shd w:val="clear" w:color="auto" w:fill="auto"/>
            <w:tcMar>
              <w:top w:w="100" w:type="dxa"/>
              <w:bottom w:w="100" w:type="dxa"/>
            </w:tcMar>
            <w:vAlign w:val="center"/>
          </w:tcPr>
          <w:p w14:paraId="532BC735">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6EFB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9F74273">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B7B7088">
            <w:pPr>
              <w:spacing w:line="480" w:lineRule="exact"/>
              <w:jc w:val="center"/>
              <w:rPr>
                <w:rFonts w:ascii="黑体" w:hAnsi="黑体" w:eastAsia="黑体" w:cs="黑体"/>
                <w:sz w:val="19"/>
                <w:szCs w:val="19"/>
              </w:rPr>
            </w:pPr>
            <w:r>
              <w:rPr>
                <w:rFonts w:hint="eastAsia" w:ascii="黑体" w:hAnsi="黑体" w:eastAsia="黑体" w:cs="黑体"/>
                <w:sz w:val="19"/>
                <w:szCs w:val="19"/>
              </w:rPr>
              <w:t>防盗窃和防破坏</w:t>
            </w:r>
          </w:p>
        </w:tc>
        <w:tc>
          <w:tcPr>
            <w:tcW w:w="883" w:type="pct"/>
            <w:shd w:val="clear" w:color="auto" w:fill="auto"/>
            <w:tcMar>
              <w:top w:w="100" w:type="dxa"/>
              <w:bottom w:w="100" w:type="dxa"/>
            </w:tcMar>
            <w:vAlign w:val="center"/>
          </w:tcPr>
          <w:p w14:paraId="0154BE5A">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2884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FDE2EA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2A00F49">
            <w:pPr>
              <w:spacing w:line="480" w:lineRule="exact"/>
              <w:jc w:val="center"/>
              <w:rPr>
                <w:rFonts w:ascii="黑体" w:hAnsi="黑体" w:eastAsia="黑体" w:cs="黑体"/>
                <w:sz w:val="19"/>
                <w:szCs w:val="19"/>
              </w:rPr>
            </w:pPr>
            <w:r>
              <w:rPr>
                <w:rFonts w:hint="eastAsia" w:ascii="黑体" w:hAnsi="黑体" w:eastAsia="黑体" w:cs="黑体"/>
                <w:sz w:val="19"/>
                <w:szCs w:val="19"/>
              </w:rPr>
              <w:t>防雷击</w:t>
            </w:r>
          </w:p>
        </w:tc>
        <w:tc>
          <w:tcPr>
            <w:tcW w:w="883" w:type="pct"/>
            <w:shd w:val="clear" w:color="auto" w:fill="auto"/>
            <w:tcMar>
              <w:top w:w="100" w:type="dxa"/>
              <w:bottom w:w="100" w:type="dxa"/>
            </w:tcMar>
            <w:vAlign w:val="center"/>
          </w:tcPr>
          <w:p w14:paraId="7F259423">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0473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14458C8">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F131DBC">
            <w:pPr>
              <w:spacing w:line="480" w:lineRule="exact"/>
              <w:jc w:val="center"/>
              <w:rPr>
                <w:rFonts w:ascii="黑体" w:hAnsi="黑体" w:eastAsia="黑体" w:cs="黑体"/>
                <w:sz w:val="19"/>
                <w:szCs w:val="19"/>
              </w:rPr>
            </w:pPr>
            <w:r>
              <w:rPr>
                <w:rFonts w:hint="eastAsia" w:ascii="黑体" w:hAnsi="黑体" w:eastAsia="黑体" w:cs="黑体"/>
                <w:sz w:val="19"/>
                <w:szCs w:val="19"/>
              </w:rPr>
              <w:t>防火</w:t>
            </w:r>
          </w:p>
        </w:tc>
        <w:tc>
          <w:tcPr>
            <w:tcW w:w="883" w:type="pct"/>
            <w:shd w:val="clear" w:color="auto" w:fill="auto"/>
            <w:tcMar>
              <w:top w:w="100" w:type="dxa"/>
              <w:bottom w:w="100" w:type="dxa"/>
            </w:tcMar>
            <w:vAlign w:val="center"/>
          </w:tcPr>
          <w:p w14:paraId="123E085D">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2241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05D1FF3">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74C8EA70">
            <w:pPr>
              <w:spacing w:line="480" w:lineRule="exact"/>
              <w:jc w:val="center"/>
              <w:rPr>
                <w:rFonts w:ascii="黑体" w:hAnsi="黑体" w:eastAsia="黑体" w:cs="黑体"/>
                <w:sz w:val="19"/>
                <w:szCs w:val="19"/>
              </w:rPr>
            </w:pPr>
            <w:r>
              <w:rPr>
                <w:rFonts w:hint="eastAsia" w:ascii="黑体" w:hAnsi="黑体" w:eastAsia="黑体" w:cs="黑体"/>
                <w:sz w:val="19"/>
                <w:szCs w:val="19"/>
              </w:rPr>
              <w:t>防水和防潮</w:t>
            </w:r>
          </w:p>
        </w:tc>
        <w:tc>
          <w:tcPr>
            <w:tcW w:w="883" w:type="pct"/>
            <w:shd w:val="clear" w:color="auto" w:fill="auto"/>
            <w:tcMar>
              <w:top w:w="100" w:type="dxa"/>
              <w:bottom w:w="100" w:type="dxa"/>
            </w:tcMar>
            <w:vAlign w:val="center"/>
          </w:tcPr>
          <w:p w14:paraId="6701FF39">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771A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6A45F6D">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D948DA8">
            <w:pPr>
              <w:spacing w:line="480" w:lineRule="exact"/>
              <w:jc w:val="center"/>
              <w:rPr>
                <w:rFonts w:ascii="黑体" w:hAnsi="黑体" w:eastAsia="黑体" w:cs="黑体"/>
                <w:sz w:val="19"/>
                <w:szCs w:val="19"/>
              </w:rPr>
            </w:pPr>
            <w:r>
              <w:rPr>
                <w:rFonts w:hint="eastAsia" w:ascii="黑体" w:hAnsi="黑体" w:eastAsia="黑体" w:cs="黑体"/>
                <w:sz w:val="19"/>
                <w:szCs w:val="19"/>
              </w:rPr>
              <w:t>防静电</w:t>
            </w:r>
          </w:p>
        </w:tc>
        <w:tc>
          <w:tcPr>
            <w:tcW w:w="883" w:type="pct"/>
            <w:shd w:val="clear" w:color="auto" w:fill="auto"/>
            <w:tcMar>
              <w:top w:w="100" w:type="dxa"/>
              <w:bottom w:w="100" w:type="dxa"/>
            </w:tcMar>
            <w:vAlign w:val="center"/>
          </w:tcPr>
          <w:p w14:paraId="594F7590">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0303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D41B106">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AA83075">
            <w:pPr>
              <w:spacing w:line="480" w:lineRule="exact"/>
              <w:jc w:val="center"/>
              <w:rPr>
                <w:rFonts w:ascii="黑体" w:hAnsi="黑体" w:eastAsia="黑体" w:cs="黑体"/>
                <w:sz w:val="19"/>
                <w:szCs w:val="19"/>
              </w:rPr>
            </w:pPr>
            <w:r>
              <w:rPr>
                <w:rFonts w:hint="eastAsia" w:ascii="黑体" w:hAnsi="黑体" w:eastAsia="黑体" w:cs="黑体"/>
                <w:sz w:val="19"/>
                <w:szCs w:val="19"/>
              </w:rPr>
              <w:t>温湿度控制</w:t>
            </w:r>
          </w:p>
        </w:tc>
        <w:tc>
          <w:tcPr>
            <w:tcW w:w="883" w:type="pct"/>
            <w:shd w:val="clear" w:color="auto" w:fill="auto"/>
            <w:tcMar>
              <w:top w:w="100" w:type="dxa"/>
              <w:bottom w:w="100" w:type="dxa"/>
            </w:tcMar>
            <w:vAlign w:val="center"/>
          </w:tcPr>
          <w:p w14:paraId="60402772">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75E5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43E156C">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86535D2">
            <w:pPr>
              <w:spacing w:line="480" w:lineRule="exact"/>
              <w:jc w:val="center"/>
              <w:rPr>
                <w:rFonts w:ascii="黑体" w:hAnsi="黑体" w:eastAsia="黑体" w:cs="黑体"/>
                <w:sz w:val="19"/>
                <w:szCs w:val="19"/>
              </w:rPr>
            </w:pPr>
            <w:r>
              <w:rPr>
                <w:rFonts w:hint="eastAsia" w:ascii="黑体" w:hAnsi="黑体" w:eastAsia="黑体" w:cs="黑体"/>
                <w:sz w:val="19"/>
                <w:szCs w:val="19"/>
              </w:rPr>
              <w:t>电力供应</w:t>
            </w:r>
          </w:p>
        </w:tc>
        <w:tc>
          <w:tcPr>
            <w:tcW w:w="883" w:type="pct"/>
            <w:shd w:val="clear" w:color="auto" w:fill="auto"/>
            <w:tcMar>
              <w:top w:w="100" w:type="dxa"/>
              <w:bottom w:w="100" w:type="dxa"/>
            </w:tcMar>
            <w:vAlign w:val="center"/>
          </w:tcPr>
          <w:p w14:paraId="4558CEAC">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6729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54BBF56E">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846820D">
            <w:pPr>
              <w:spacing w:line="480" w:lineRule="exact"/>
              <w:jc w:val="center"/>
              <w:rPr>
                <w:rFonts w:ascii="黑体" w:hAnsi="黑体" w:eastAsia="黑体" w:cs="黑体"/>
                <w:sz w:val="19"/>
                <w:szCs w:val="19"/>
              </w:rPr>
            </w:pPr>
            <w:r>
              <w:rPr>
                <w:rFonts w:hint="eastAsia" w:ascii="黑体" w:hAnsi="黑体" w:eastAsia="黑体" w:cs="黑体"/>
                <w:sz w:val="19"/>
                <w:szCs w:val="19"/>
              </w:rPr>
              <w:t>电磁防护</w:t>
            </w:r>
          </w:p>
        </w:tc>
        <w:tc>
          <w:tcPr>
            <w:tcW w:w="883" w:type="pct"/>
            <w:shd w:val="clear" w:color="auto" w:fill="auto"/>
            <w:tcMar>
              <w:top w:w="100" w:type="dxa"/>
              <w:bottom w:w="100" w:type="dxa"/>
            </w:tcMar>
            <w:vAlign w:val="center"/>
          </w:tcPr>
          <w:p w14:paraId="3625336A">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3F4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270A3E3C">
            <w:pPr>
              <w:spacing w:line="480" w:lineRule="exact"/>
              <w:jc w:val="center"/>
              <w:rPr>
                <w:rFonts w:ascii="黑体" w:hAnsi="黑体" w:eastAsia="黑体" w:cs="黑体"/>
                <w:sz w:val="19"/>
                <w:szCs w:val="19"/>
              </w:rPr>
            </w:pPr>
            <w:r>
              <w:rPr>
                <w:rFonts w:hint="eastAsia" w:ascii="黑体" w:hAnsi="黑体" w:eastAsia="黑体" w:cs="黑体"/>
                <w:sz w:val="19"/>
                <w:szCs w:val="19"/>
              </w:rPr>
              <w:t>安全通信网络</w:t>
            </w:r>
          </w:p>
        </w:tc>
        <w:tc>
          <w:tcPr>
            <w:tcW w:w="4525" w:type="dxa"/>
            <w:shd w:val="clear" w:color="auto" w:fill="auto"/>
            <w:tcMar>
              <w:top w:w="100" w:type="dxa"/>
              <w:bottom w:w="100" w:type="dxa"/>
            </w:tcMar>
            <w:vAlign w:val="center"/>
          </w:tcPr>
          <w:p w14:paraId="44B86B43">
            <w:pPr>
              <w:spacing w:line="480" w:lineRule="exact"/>
              <w:jc w:val="center"/>
              <w:rPr>
                <w:rFonts w:ascii="黑体" w:hAnsi="黑体" w:eastAsia="黑体" w:cs="黑体"/>
                <w:sz w:val="19"/>
                <w:szCs w:val="19"/>
              </w:rPr>
            </w:pPr>
            <w:r>
              <w:rPr>
                <w:rFonts w:hint="eastAsia" w:ascii="黑体" w:hAnsi="黑体" w:eastAsia="黑体" w:cs="黑体"/>
                <w:sz w:val="19"/>
                <w:szCs w:val="19"/>
              </w:rPr>
              <w:t>网络架构</w:t>
            </w:r>
          </w:p>
        </w:tc>
        <w:tc>
          <w:tcPr>
            <w:tcW w:w="883" w:type="pct"/>
            <w:shd w:val="clear" w:color="auto" w:fill="auto"/>
            <w:tcMar>
              <w:top w:w="100" w:type="dxa"/>
              <w:bottom w:w="100" w:type="dxa"/>
            </w:tcMar>
            <w:vAlign w:val="center"/>
          </w:tcPr>
          <w:p w14:paraId="4CF4ECAF">
            <w:pPr>
              <w:spacing w:line="480" w:lineRule="exact"/>
              <w:jc w:val="center"/>
              <w:rPr>
                <w:rFonts w:ascii="黑体" w:hAnsi="黑体" w:eastAsia="黑体" w:cs="黑体"/>
                <w:sz w:val="19"/>
                <w:szCs w:val="19"/>
              </w:rPr>
            </w:pPr>
            <w:r>
              <w:rPr>
                <w:rFonts w:hint="eastAsia" w:ascii="黑体" w:hAnsi="黑体" w:eastAsia="黑体" w:cs="黑体"/>
                <w:sz w:val="19"/>
                <w:szCs w:val="19"/>
              </w:rPr>
              <w:t>5</w:t>
            </w:r>
          </w:p>
        </w:tc>
      </w:tr>
      <w:tr w14:paraId="3476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2A89CC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73199F7">
            <w:pPr>
              <w:spacing w:line="480" w:lineRule="exact"/>
              <w:jc w:val="center"/>
              <w:rPr>
                <w:rFonts w:ascii="黑体" w:hAnsi="黑体" w:eastAsia="黑体" w:cs="黑体"/>
                <w:sz w:val="19"/>
                <w:szCs w:val="19"/>
              </w:rPr>
            </w:pPr>
            <w:r>
              <w:rPr>
                <w:rFonts w:hint="eastAsia" w:ascii="黑体" w:hAnsi="黑体" w:eastAsia="黑体" w:cs="黑体"/>
                <w:sz w:val="19"/>
                <w:szCs w:val="19"/>
              </w:rPr>
              <w:t>通信传输</w:t>
            </w:r>
          </w:p>
        </w:tc>
        <w:tc>
          <w:tcPr>
            <w:tcW w:w="883" w:type="pct"/>
            <w:shd w:val="clear" w:color="auto" w:fill="auto"/>
            <w:tcMar>
              <w:top w:w="100" w:type="dxa"/>
              <w:bottom w:w="100" w:type="dxa"/>
            </w:tcMar>
            <w:vAlign w:val="center"/>
          </w:tcPr>
          <w:p w14:paraId="4FC1945C">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6570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DB24995">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5476E97">
            <w:pPr>
              <w:spacing w:line="480" w:lineRule="exact"/>
              <w:jc w:val="center"/>
              <w:rPr>
                <w:rFonts w:ascii="黑体" w:hAnsi="黑体" w:eastAsia="黑体" w:cs="黑体"/>
                <w:sz w:val="19"/>
                <w:szCs w:val="19"/>
              </w:rPr>
            </w:pPr>
            <w:r>
              <w:rPr>
                <w:rFonts w:hint="eastAsia" w:ascii="黑体" w:hAnsi="黑体" w:eastAsia="黑体" w:cs="黑体"/>
                <w:sz w:val="19"/>
                <w:szCs w:val="19"/>
              </w:rPr>
              <w:t>可信验证</w:t>
            </w:r>
          </w:p>
        </w:tc>
        <w:tc>
          <w:tcPr>
            <w:tcW w:w="883" w:type="pct"/>
            <w:shd w:val="clear" w:color="auto" w:fill="auto"/>
            <w:tcMar>
              <w:top w:w="100" w:type="dxa"/>
              <w:bottom w:w="100" w:type="dxa"/>
            </w:tcMar>
            <w:vAlign w:val="center"/>
          </w:tcPr>
          <w:p w14:paraId="01203866">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49CF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4044332C">
            <w:pPr>
              <w:spacing w:line="480" w:lineRule="exact"/>
              <w:jc w:val="center"/>
              <w:rPr>
                <w:rFonts w:ascii="黑体" w:hAnsi="黑体" w:eastAsia="黑体" w:cs="黑体"/>
                <w:sz w:val="19"/>
                <w:szCs w:val="19"/>
              </w:rPr>
            </w:pPr>
            <w:r>
              <w:rPr>
                <w:rFonts w:hint="eastAsia" w:ascii="黑体" w:hAnsi="黑体" w:eastAsia="黑体" w:cs="黑体"/>
                <w:sz w:val="19"/>
                <w:szCs w:val="19"/>
              </w:rPr>
              <w:t>安全区域边界</w:t>
            </w:r>
          </w:p>
        </w:tc>
        <w:tc>
          <w:tcPr>
            <w:tcW w:w="4525" w:type="dxa"/>
            <w:shd w:val="clear" w:color="auto" w:fill="auto"/>
            <w:tcMar>
              <w:top w:w="100" w:type="dxa"/>
              <w:bottom w:w="100" w:type="dxa"/>
            </w:tcMar>
            <w:vAlign w:val="center"/>
          </w:tcPr>
          <w:p w14:paraId="3C64D021">
            <w:pPr>
              <w:spacing w:line="480" w:lineRule="exact"/>
              <w:jc w:val="center"/>
              <w:rPr>
                <w:rFonts w:ascii="黑体" w:hAnsi="黑体" w:eastAsia="黑体" w:cs="黑体"/>
                <w:sz w:val="19"/>
                <w:szCs w:val="19"/>
              </w:rPr>
            </w:pPr>
            <w:r>
              <w:rPr>
                <w:rFonts w:hint="eastAsia" w:ascii="黑体" w:hAnsi="黑体" w:eastAsia="黑体" w:cs="黑体"/>
                <w:sz w:val="19"/>
                <w:szCs w:val="19"/>
              </w:rPr>
              <w:t>边界防护</w:t>
            </w:r>
          </w:p>
        </w:tc>
        <w:tc>
          <w:tcPr>
            <w:tcW w:w="883" w:type="pct"/>
            <w:shd w:val="clear" w:color="auto" w:fill="auto"/>
            <w:tcMar>
              <w:top w:w="100" w:type="dxa"/>
              <w:bottom w:w="100" w:type="dxa"/>
            </w:tcMar>
            <w:vAlign w:val="center"/>
          </w:tcPr>
          <w:p w14:paraId="3677CE75">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4585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6E1893B8">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74BB414A">
            <w:pPr>
              <w:spacing w:line="480" w:lineRule="exact"/>
              <w:jc w:val="center"/>
              <w:rPr>
                <w:rFonts w:ascii="黑体" w:hAnsi="黑体" w:eastAsia="黑体" w:cs="黑体"/>
                <w:sz w:val="19"/>
                <w:szCs w:val="19"/>
              </w:rPr>
            </w:pPr>
            <w:r>
              <w:rPr>
                <w:rFonts w:hint="eastAsia" w:ascii="黑体" w:hAnsi="黑体" w:eastAsia="黑体" w:cs="黑体"/>
                <w:sz w:val="19"/>
                <w:szCs w:val="19"/>
              </w:rPr>
              <w:t>访问控制</w:t>
            </w:r>
          </w:p>
        </w:tc>
        <w:tc>
          <w:tcPr>
            <w:tcW w:w="883" w:type="pct"/>
            <w:shd w:val="clear" w:color="auto" w:fill="auto"/>
            <w:tcMar>
              <w:top w:w="100" w:type="dxa"/>
              <w:bottom w:w="100" w:type="dxa"/>
            </w:tcMar>
            <w:vAlign w:val="center"/>
          </w:tcPr>
          <w:p w14:paraId="2F03F376">
            <w:pPr>
              <w:spacing w:line="480" w:lineRule="exact"/>
              <w:jc w:val="center"/>
              <w:rPr>
                <w:rFonts w:ascii="黑体" w:hAnsi="黑体" w:eastAsia="黑体" w:cs="黑体"/>
                <w:sz w:val="19"/>
                <w:szCs w:val="19"/>
              </w:rPr>
            </w:pPr>
            <w:r>
              <w:rPr>
                <w:rFonts w:hint="eastAsia" w:ascii="黑体" w:hAnsi="黑体" w:eastAsia="黑体" w:cs="黑体"/>
                <w:sz w:val="19"/>
                <w:szCs w:val="19"/>
              </w:rPr>
              <w:t>5</w:t>
            </w:r>
          </w:p>
        </w:tc>
      </w:tr>
      <w:tr w14:paraId="007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ABDF63E">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9A33B60">
            <w:pPr>
              <w:spacing w:line="480" w:lineRule="exact"/>
              <w:jc w:val="center"/>
              <w:rPr>
                <w:rFonts w:ascii="黑体" w:hAnsi="黑体" w:eastAsia="黑体" w:cs="黑体"/>
                <w:sz w:val="19"/>
                <w:szCs w:val="19"/>
              </w:rPr>
            </w:pPr>
            <w:r>
              <w:rPr>
                <w:rFonts w:hint="eastAsia" w:ascii="黑体" w:hAnsi="黑体" w:eastAsia="黑体" w:cs="黑体"/>
                <w:sz w:val="19"/>
                <w:szCs w:val="19"/>
              </w:rPr>
              <w:t>入侵防范</w:t>
            </w:r>
          </w:p>
        </w:tc>
        <w:tc>
          <w:tcPr>
            <w:tcW w:w="883" w:type="pct"/>
            <w:shd w:val="clear" w:color="auto" w:fill="auto"/>
            <w:tcMar>
              <w:top w:w="100" w:type="dxa"/>
              <w:bottom w:w="100" w:type="dxa"/>
            </w:tcMar>
            <w:vAlign w:val="center"/>
          </w:tcPr>
          <w:p w14:paraId="26D2B6EF">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67DB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9E03AF6">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4808328">
            <w:pPr>
              <w:spacing w:line="480" w:lineRule="exact"/>
              <w:jc w:val="center"/>
              <w:rPr>
                <w:rFonts w:ascii="黑体" w:hAnsi="黑体" w:eastAsia="黑体" w:cs="黑体"/>
                <w:sz w:val="19"/>
                <w:szCs w:val="19"/>
              </w:rPr>
            </w:pPr>
            <w:r>
              <w:rPr>
                <w:rFonts w:hint="eastAsia" w:ascii="黑体" w:hAnsi="黑体" w:eastAsia="黑体" w:cs="黑体"/>
                <w:sz w:val="19"/>
                <w:szCs w:val="19"/>
              </w:rPr>
              <w:t>恶意代码和垃圾邮件防范</w:t>
            </w:r>
          </w:p>
        </w:tc>
        <w:tc>
          <w:tcPr>
            <w:tcW w:w="883" w:type="pct"/>
            <w:shd w:val="clear" w:color="auto" w:fill="auto"/>
            <w:tcMar>
              <w:top w:w="100" w:type="dxa"/>
              <w:bottom w:w="100" w:type="dxa"/>
            </w:tcMar>
            <w:vAlign w:val="center"/>
          </w:tcPr>
          <w:p w14:paraId="6F28B0B9">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5631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C36D1DA">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54E10EB">
            <w:pPr>
              <w:spacing w:line="480" w:lineRule="exact"/>
              <w:jc w:val="center"/>
              <w:rPr>
                <w:rFonts w:ascii="黑体" w:hAnsi="黑体" w:eastAsia="黑体" w:cs="黑体"/>
                <w:sz w:val="19"/>
                <w:szCs w:val="19"/>
              </w:rPr>
            </w:pPr>
            <w:r>
              <w:rPr>
                <w:rFonts w:hint="eastAsia" w:ascii="黑体" w:hAnsi="黑体" w:eastAsia="黑体" w:cs="黑体"/>
                <w:sz w:val="19"/>
                <w:szCs w:val="19"/>
              </w:rPr>
              <w:t>安全审计</w:t>
            </w:r>
          </w:p>
        </w:tc>
        <w:tc>
          <w:tcPr>
            <w:tcW w:w="883" w:type="pct"/>
            <w:shd w:val="clear" w:color="auto" w:fill="auto"/>
            <w:tcMar>
              <w:top w:w="100" w:type="dxa"/>
              <w:bottom w:w="100" w:type="dxa"/>
            </w:tcMar>
            <w:vAlign w:val="center"/>
          </w:tcPr>
          <w:p w14:paraId="6A65C6E8">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093E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2FC6C45">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8CC4421">
            <w:pPr>
              <w:spacing w:line="480" w:lineRule="exact"/>
              <w:jc w:val="center"/>
              <w:rPr>
                <w:rFonts w:ascii="黑体" w:hAnsi="黑体" w:eastAsia="黑体" w:cs="黑体"/>
                <w:sz w:val="19"/>
                <w:szCs w:val="19"/>
              </w:rPr>
            </w:pPr>
            <w:r>
              <w:rPr>
                <w:rFonts w:hint="eastAsia" w:ascii="黑体" w:hAnsi="黑体" w:eastAsia="黑体" w:cs="黑体"/>
                <w:sz w:val="19"/>
                <w:szCs w:val="19"/>
              </w:rPr>
              <w:t>可信验证</w:t>
            </w:r>
          </w:p>
        </w:tc>
        <w:tc>
          <w:tcPr>
            <w:tcW w:w="883" w:type="pct"/>
            <w:shd w:val="clear" w:color="auto" w:fill="auto"/>
            <w:tcMar>
              <w:top w:w="100" w:type="dxa"/>
              <w:bottom w:w="100" w:type="dxa"/>
            </w:tcMar>
            <w:vAlign w:val="center"/>
          </w:tcPr>
          <w:p w14:paraId="3426023E">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515C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6BA34FC1">
            <w:pPr>
              <w:spacing w:line="480" w:lineRule="exact"/>
              <w:jc w:val="center"/>
              <w:rPr>
                <w:rFonts w:ascii="黑体" w:hAnsi="黑体" w:eastAsia="黑体" w:cs="黑体"/>
                <w:sz w:val="19"/>
                <w:szCs w:val="19"/>
              </w:rPr>
            </w:pPr>
            <w:r>
              <w:rPr>
                <w:rFonts w:hint="eastAsia" w:ascii="黑体" w:hAnsi="黑体" w:eastAsia="黑体" w:cs="黑体"/>
                <w:sz w:val="19"/>
                <w:szCs w:val="19"/>
              </w:rPr>
              <w:t>安全计算环境</w:t>
            </w:r>
          </w:p>
        </w:tc>
        <w:tc>
          <w:tcPr>
            <w:tcW w:w="4525" w:type="dxa"/>
            <w:shd w:val="clear" w:color="auto" w:fill="auto"/>
            <w:tcMar>
              <w:top w:w="100" w:type="dxa"/>
              <w:bottom w:w="100" w:type="dxa"/>
            </w:tcMar>
            <w:vAlign w:val="center"/>
          </w:tcPr>
          <w:p w14:paraId="5E9AF0AE">
            <w:pPr>
              <w:spacing w:line="480" w:lineRule="exact"/>
              <w:jc w:val="center"/>
              <w:rPr>
                <w:rFonts w:ascii="黑体" w:hAnsi="黑体" w:eastAsia="黑体" w:cs="黑体"/>
                <w:sz w:val="19"/>
                <w:szCs w:val="19"/>
              </w:rPr>
            </w:pPr>
            <w:r>
              <w:rPr>
                <w:rFonts w:hint="eastAsia" w:ascii="黑体" w:hAnsi="黑体" w:eastAsia="黑体" w:cs="黑体"/>
                <w:sz w:val="19"/>
                <w:szCs w:val="19"/>
              </w:rPr>
              <w:t>身份鉴别</w:t>
            </w:r>
          </w:p>
        </w:tc>
        <w:tc>
          <w:tcPr>
            <w:tcW w:w="883" w:type="pct"/>
            <w:shd w:val="clear" w:color="auto" w:fill="auto"/>
            <w:tcMar>
              <w:top w:w="100" w:type="dxa"/>
              <w:bottom w:w="100" w:type="dxa"/>
            </w:tcMar>
            <w:vAlign w:val="center"/>
          </w:tcPr>
          <w:p w14:paraId="1F5BF66B">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05E8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3D1C27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834BAAE">
            <w:pPr>
              <w:spacing w:line="480" w:lineRule="exact"/>
              <w:jc w:val="center"/>
              <w:rPr>
                <w:rFonts w:ascii="黑体" w:hAnsi="黑体" w:eastAsia="黑体" w:cs="黑体"/>
                <w:sz w:val="19"/>
                <w:szCs w:val="19"/>
              </w:rPr>
            </w:pPr>
            <w:r>
              <w:rPr>
                <w:rFonts w:hint="eastAsia" w:ascii="黑体" w:hAnsi="黑体" w:eastAsia="黑体" w:cs="黑体"/>
                <w:sz w:val="19"/>
                <w:szCs w:val="19"/>
              </w:rPr>
              <w:t>访问控制</w:t>
            </w:r>
          </w:p>
        </w:tc>
        <w:tc>
          <w:tcPr>
            <w:tcW w:w="883" w:type="pct"/>
            <w:shd w:val="clear" w:color="auto" w:fill="auto"/>
            <w:tcMar>
              <w:top w:w="100" w:type="dxa"/>
              <w:bottom w:w="100" w:type="dxa"/>
            </w:tcMar>
            <w:vAlign w:val="center"/>
          </w:tcPr>
          <w:p w14:paraId="46542DF9">
            <w:pPr>
              <w:spacing w:line="480" w:lineRule="exact"/>
              <w:jc w:val="center"/>
              <w:rPr>
                <w:rFonts w:ascii="黑体" w:hAnsi="黑体" w:eastAsia="黑体" w:cs="黑体"/>
                <w:sz w:val="19"/>
                <w:szCs w:val="19"/>
              </w:rPr>
            </w:pPr>
            <w:r>
              <w:rPr>
                <w:rFonts w:hint="eastAsia" w:ascii="黑体" w:hAnsi="黑体" w:eastAsia="黑体" w:cs="黑体"/>
                <w:sz w:val="19"/>
                <w:szCs w:val="19"/>
              </w:rPr>
              <w:t>7</w:t>
            </w:r>
          </w:p>
        </w:tc>
      </w:tr>
      <w:tr w14:paraId="1E96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5805199">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3133BC9">
            <w:pPr>
              <w:spacing w:line="480" w:lineRule="exact"/>
              <w:jc w:val="center"/>
              <w:rPr>
                <w:rFonts w:ascii="黑体" w:hAnsi="黑体" w:eastAsia="黑体" w:cs="黑体"/>
                <w:sz w:val="19"/>
                <w:szCs w:val="19"/>
              </w:rPr>
            </w:pPr>
            <w:r>
              <w:rPr>
                <w:rFonts w:hint="eastAsia" w:ascii="黑体" w:hAnsi="黑体" w:eastAsia="黑体" w:cs="黑体"/>
                <w:sz w:val="19"/>
                <w:szCs w:val="19"/>
              </w:rPr>
              <w:t>安全审计</w:t>
            </w:r>
          </w:p>
        </w:tc>
        <w:tc>
          <w:tcPr>
            <w:tcW w:w="883" w:type="pct"/>
            <w:shd w:val="clear" w:color="auto" w:fill="auto"/>
            <w:tcMar>
              <w:top w:w="100" w:type="dxa"/>
              <w:bottom w:w="100" w:type="dxa"/>
            </w:tcMar>
            <w:vAlign w:val="center"/>
          </w:tcPr>
          <w:p w14:paraId="72842C19">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488C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DF0FE58">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389126D">
            <w:pPr>
              <w:spacing w:line="480" w:lineRule="exact"/>
              <w:jc w:val="center"/>
              <w:rPr>
                <w:rFonts w:ascii="黑体" w:hAnsi="黑体" w:eastAsia="黑体" w:cs="黑体"/>
                <w:sz w:val="19"/>
                <w:szCs w:val="19"/>
              </w:rPr>
            </w:pPr>
            <w:r>
              <w:rPr>
                <w:rFonts w:hint="eastAsia" w:ascii="黑体" w:hAnsi="黑体" w:eastAsia="黑体" w:cs="黑体"/>
                <w:sz w:val="19"/>
                <w:szCs w:val="19"/>
              </w:rPr>
              <w:t>入侵防范</w:t>
            </w:r>
          </w:p>
        </w:tc>
        <w:tc>
          <w:tcPr>
            <w:tcW w:w="883" w:type="pct"/>
            <w:shd w:val="clear" w:color="auto" w:fill="auto"/>
            <w:tcMar>
              <w:top w:w="100" w:type="dxa"/>
              <w:bottom w:w="100" w:type="dxa"/>
            </w:tcMar>
            <w:vAlign w:val="center"/>
          </w:tcPr>
          <w:p w14:paraId="2516122E">
            <w:pPr>
              <w:spacing w:line="480" w:lineRule="exact"/>
              <w:jc w:val="center"/>
              <w:rPr>
                <w:rFonts w:ascii="黑体" w:hAnsi="黑体" w:eastAsia="黑体" w:cs="黑体"/>
                <w:sz w:val="19"/>
                <w:szCs w:val="19"/>
              </w:rPr>
            </w:pPr>
            <w:r>
              <w:rPr>
                <w:rFonts w:hint="eastAsia" w:ascii="黑体" w:hAnsi="黑体" w:eastAsia="黑体" w:cs="黑体"/>
                <w:sz w:val="19"/>
                <w:szCs w:val="19"/>
              </w:rPr>
              <w:t>6</w:t>
            </w:r>
          </w:p>
        </w:tc>
      </w:tr>
      <w:tr w14:paraId="520C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64E61514">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A49890F">
            <w:pPr>
              <w:spacing w:line="480" w:lineRule="exact"/>
              <w:jc w:val="center"/>
              <w:rPr>
                <w:rFonts w:ascii="黑体" w:hAnsi="黑体" w:eastAsia="黑体" w:cs="黑体"/>
                <w:sz w:val="19"/>
                <w:szCs w:val="19"/>
              </w:rPr>
            </w:pPr>
            <w:r>
              <w:rPr>
                <w:rFonts w:hint="eastAsia" w:ascii="黑体" w:hAnsi="黑体" w:eastAsia="黑体" w:cs="黑体"/>
                <w:sz w:val="19"/>
                <w:szCs w:val="19"/>
              </w:rPr>
              <w:t>恶意代码防范</w:t>
            </w:r>
          </w:p>
        </w:tc>
        <w:tc>
          <w:tcPr>
            <w:tcW w:w="883" w:type="pct"/>
            <w:shd w:val="clear" w:color="auto" w:fill="auto"/>
            <w:tcMar>
              <w:top w:w="100" w:type="dxa"/>
              <w:bottom w:w="100" w:type="dxa"/>
            </w:tcMar>
            <w:vAlign w:val="center"/>
          </w:tcPr>
          <w:p w14:paraId="2351C254">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618A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3406EC9">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5CDF02D">
            <w:pPr>
              <w:spacing w:line="480" w:lineRule="exact"/>
              <w:jc w:val="center"/>
              <w:rPr>
                <w:rFonts w:ascii="黑体" w:hAnsi="黑体" w:eastAsia="黑体" w:cs="黑体"/>
                <w:sz w:val="19"/>
                <w:szCs w:val="19"/>
              </w:rPr>
            </w:pPr>
            <w:r>
              <w:rPr>
                <w:rFonts w:hint="eastAsia" w:ascii="黑体" w:hAnsi="黑体" w:eastAsia="黑体" w:cs="黑体"/>
                <w:sz w:val="19"/>
                <w:szCs w:val="19"/>
              </w:rPr>
              <w:t>可信验证</w:t>
            </w:r>
          </w:p>
        </w:tc>
        <w:tc>
          <w:tcPr>
            <w:tcW w:w="883" w:type="pct"/>
            <w:shd w:val="clear" w:color="auto" w:fill="auto"/>
            <w:tcMar>
              <w:top w:w="100" w:type="dxa"/>
              <w:bottom w:w="100" w:type="dxa"/>
            </w:tcMar>
            <w:vAlign w:val="center"/>
          </w:tcPr>
          <w:p w14:paraId="7F89D43D">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57F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206A1CC">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C34B5C8">
            <w:pPr>
              <w:spacing w:line="480" w:lineRule="exact"/>
              <w:jc w:val="center"/>
              <w:rPr>
                <w:rFonts w:ascii="黑体" w:hAnsi="黑体" w:eastAsia="黑体" w:cs="黑体"/>
                <w:sz w:val="19"/>
                <w:szCs w:val="19"/>
              </w:rPr>
            </w:pPr>
            <w:r>
              <w:rPr>
                <w:rFonts w:hint="eastAsia" w:ascii="黑体" w:hAnsi="黑体" w:eastAsia="黑体" w:cs="黑体"/>
                <w:sz w:val="19"/>
                <w:szCs w:val="19"/>
              </w:rPr>
              <w:t>数据完整性</w:t>
            </w:r>
          </w:p>
        </w:tc>
        <w:tc>
          <w:tcPr>
            <w:tcW w:w="883" w:type="pct"/>
            <w:shd w:val="clear" w:color="auto" w:fill="auto"/>
            <w:tcMar>
              <w:top w:w="100" w:type="dxa"/>
              <w:bottom w:w="100" w:type="dxa"/>
            </w:tcMar>
            <w:vAlign w:val="center"/>
          </w:tcPr>
          <w:p w14:paraId="26A7464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103B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4F75812">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BA34979">
            <w:pPr>
              <w:spacing w:line="480" w:lineRule="exact"/>
              <w:jc w:val="center"/>
              <w:rPr>
                <w:rFonts w:ascii="黑体" w:hAnsi="黑体" w:eastAsia="黑体" w:cs="黑体"/>
                <w:sz w:val="19"/>
                <w:szCs w:val="19"/>
              </w:rPr>
            </w:pPr>
            <w:r>
              <w:rPr>
                <w:rFonts w:hint="eastAsia" w:ascii="黑体" w:hAnsi="黑体" w:eastAsia="黑体" w:cs="黑体"/>
                <w:sz w:val="19"/>
                <w:szCs w:val="19"/>
              </w:rPr>
              <w:t>数据保密性</w:t>
            </w:r>
          </w:p>
        </w:tc>
        <w:tc>
          <w:tcPr>
            <w:tcW w:w="883" w:type="pct"/>
            <w:shd w:val="clear" w:color="auto" w:fill="auto"/>
            <w:tcMar>
              <w:top w:w="100" w:type="dxa"/>
              <w:bottom w:w="100" w:type="dxa"/>
            </w:tcMar>
            <w:vAlign w:val="center"/>
          </w:tcPr>
          <w:p w14:paraId="6B09D95F">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0120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69ECE16C">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D206A10">
            <w:pPr>
              <w:spacing w:line="480" w:lineRule="exact"/>
              <w:jc w:val="center"/>
              <w:rPr>
                <w:rFonts w:ascii="黑体" w:hAnsi="黑体" w:eastAsia="黑体" w:cs="黑体"/>
                <w:sz w:val="19"/>
                <w:szCs w:val="19"/>
              </w:rPr>
            </w:pPr>
            <w:r>
              <w:rPr>
                <w:rFonts w:hint="eastAsia" w:ascii="黑体" w:hAnsi="黑体" w:eastAsia="黑体" w:cs="黑体"/>
                <w:sz w:val="19"/>
                <w:szCs w:val="19"/>
              </w:rPr>
              <w:t>数据备份恢复</w:t>
            </w:r>
          </w:p>
        </w:tc>
        <w:tc>
          <w:tcPr>
            <w:tcW w:w="883" w:type="pct"/>
            <w:shd w:val="clear" w:color="auto" w:fill="auto"/>
            <w:tcMar>
              <w:top w:w="100" w:type="dxa"/>
              <w:bottom w:w="100" w:type="dxa"/>
            </w:tcMar>
            <w:vAlign w:val="center"/>
          </w:tcPr>
          <w:p w14:paraId="277C6DB2">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60BE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E515F79">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A448960">
            <w:pPr>
              <w:spacing w:line="480" w:lineRule="exact"/>
              <w:jc w:val="center"/>
              <w:rPr>
                <w:rFonts w:ascii="黑体" w:hAnsi="黑体" w:eastAsia="黑体" w:cs="黑体"/>
                <w:sz w:val="19"/>
                <w:szCs w:val="19"/>
              </w:rPr>
            </w:pPr>
            <w:r>
              <w:rPr>
                <w:rFonts w:hint="eastAsia" w:ascii="黑体" w:hAnsi="黑体" w:eastAsia="黑体" w:cs="黑体"/>
                <w:sz w:val="19"/>
                <w:szCs w:val="19"/>
              </w:rPr>
              <w:t>剩余信息保护</w:t>
            </w:r>
          </w:p>
        </w:tc>
        <w:tc>
          <w:tcPr>
            <w:tcW w:w="883" w:type="pct"/>
            <w:shd w:val="clear" w:color="auto" w:fill="auto"/>
            <w:tcMar>
              <w:top w:w="100" w:type="dxa"/>
              <w:bottom w:w="100" w:type="dxa"/>
            </w:tcMar>
            <w:vAlign w:val="center"/>
          </w:tcPr>
          <w:p w14:paraId="2092C2A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1D3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7BD1207">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02974FA">
            <w:pPr>
              <w:spacing w:line="480" w:lineRule="exact"/>
              <w:jc w:val="center"/>
              <w:rPr>
                <w:rFonts w:ascii="黑体" w:hAnsi="黑体" w:eastAsia="黑体" w:cs="黑体"/>
                <w:sz w:val="19"/>
                <w:szCs w:val="19"/>
              </w:rPr>
            </w:pPr>
            <w:r>
              <w:rPr>
                <w:rFonts w:hint="eastAsia" w:ascii="黑体" w:hAnsi="黑体" w:eastAsia="黑体" w:cs="黑体"/>
                <w:sz w:val="19"/>
                <w:szCs w:val="19"/>
              </w:rPr>
              <w:t>个人信息保护</w:t>
            </w:r>
          </w:p>
        </w:tc>
        <w:tc>
          <w:tcPr>
            <w:tcW w:w="883" w:type="pct"/>
            <w:shd w:val="clear" w:color="auto" w:fill="auto"/>
            <w:tcMar>
              <w:top w:w="100" w:type="dxa"/>
              <w:bottom w:w="100" w:type="dxa"/>
            </w:tcMar>
            <w:vAlign w:val="center"/>
          </w:tcPr>
          <w:p w14:paraId="7FA23C58">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20A4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6DB4F40E">
            <w:pPr>
              <w:spacing w:line="480" w:lineRule="exact"/>
              <w:jc w:val="center"/>
              <w:rPr>
                <w:rFonts w:ascii="黑体" w:hAnsi="黑体" w:eastAsia="黑体" w:cs="黑体"/>
                <w:sz w:val="19"/>
                <w:szCs w:val="19"/>
              </w:rPr>
            </w:pPr>
            <w:r>
              <w:rPr>
                <w:rFonts w:hint="eastAsia" w:ascii="黑体" w:hAnsi="黑体" w:eastAsia="黑体" w:cs="黑体"/>
                <w:sz w:val="19"/>
                <w:szCs w:val="19"/>
              </w:rPr>
              <w:t>安全管理中心</w:t>
            </w:r>
          </w:p>
        </w:tc>
        <w:tc>
          <w:tcPr>
            <w:tcW w:w="4525" w:type="dxa"/>
            <w:shd w:val="clear" w:color="auto" w:fill="auto"/>
            <w:tcMar>
              <w:top w:w="100" w:type="dxa"/>
              <w:bottom w:w="100" w:type="dxa"/>
            </w:tcMar>
            <w:vAlign w:val="center"/>
          </w:tcPr>
          <w:p w14:paraId="4CFD4267">
            <w:pPr>
              <w:spacing w:line="480" w:lineRule="exact"/>
              <w:jc w:val="center"/>
              <w:rPr>
                <w:rFonts w:ascii="黑体" w:hAnsi="黑体" w:eastAsia="黑体" w:cs="黑体"/>
                <w:sz w:val="19"/>
                <w:szCs w:val="19"/>
              </w:rPr>
            </w:pPr>
            <w:r>
              <w:rPr>
                <w:rFonts w:hint="eastAsia" w:ascii="黑体" w:hAnsi="黑体" w:eastAsia="黑体" w:cs="黑体"/>
                <w:sz w:val="19"/>
                <w:szCs w:val="19"/>
              </w:rPr>
              <w:t>系统管理</w:t>
            </w:r>
          </w:p>
        </w:tc>
        <w:tc>
          <w:tcPr>
            <w:tcW w:w="883" w:type="pct"/>
            <w:shd w:val="clear" w:color="auto" w:fill="auto"/>
            <w:tcMar>
              <w:top w:w="100" w:type="dxa"/>
              <w:bottom w:w="100" w:type="dxa"/>
            </w:tcMar>
            <w:vAlign w:val="center"/>
          </w:tcPr>
          <w:p w14:paraId="7E008887">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06EE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7008E40">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F0C7A26">
            <w:pPr>
              <w:spacing w:line="480" w:lineRule="exact"/>
              <w:jc w:val="center"/>
              <w:rPr>
                <w:rFonts w:ascii="黑体" w:hAnsi="黑体" w:eastAsia="黑体" w:cs="黑体"/>
                <w:sz w:val="19"/>
                <w:szCs w:val="19"/>
              </w:rPr>
            </w:pPr>
            <w:r>
              <w:rPr>
                <w:rFonts w:hint="eastAsia" w:ascii="黑体" w:hAnsi="黑体" w:eastAsia="黑体" w:cs="黑体"/>
                <w:sz w:val="19"/>
                <w:szCs w:val="19"/>
              </w:rPr>
              <w:t>审计管理</w:t>
            </w:r>
          </w:p>
        </w:tc>
        <w:tc>
          <w:tcPr>
            <w:tcW w:w="883" w:type="pct"/>
            <w:shd w:val="clear" w:color="auto" w:fill="auto"/>
            <w:tcMar>
              <w:top w:w="100" w:type="dxa"/>
              <w:bottom w:w="100" w:type="dxa"/>
            </w:tcMar>
            <w:vAlign w:val="center"/>
          </w:tcPr>
          <w:p w14:paraId="78331927">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2C1F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1DFBAE9">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84479E2">
            <w:pPr>
              <w:spacing w:line="480" w:lineRule="exact"/>
              <w:jc w:val="center"/>
              <w:rPr>
                <w:rFonts w:ascii="黑体" w:hAnsi="黑体" w:eastAsia="黑体" w:cs="黑体"/>
                <w:sz w:val="19"/>
                <w:szCs w:val="19"/>
              </w:rPr>
            </w:pPr>
            <w:r>
              <w:rPr>
                <w:rFonts w:hint="eastAsia" w:ascii="黑体" w:hAnsi="黑体" w:eastAsia="黑体" w:cs="黑体"/>
                <w:sz w:val="19"/>
                <w:szCs w:val="19"/>
              </w:rPr>
              <w:t>安全管理</w:t>
            </w:r>
          </w:p>
        </w:tc>
        <w:tc>
          <w:tcPr>
            <w:tcW w:w="883" w:type="pct"/>
            <w:shd w:val="clear" w:color="auto" w:fill="auto"/>
            <w:tcMar>
              <w:top w:w="100" w:type="dxa"/>
              <w:bottom w:w="100" w:type="dxa"/>
            </w:tcMar>
            <w:vAlign w:val="center"/>
          </w:tcPr>
          <w:p w14:paraId="631060D8">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76E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3F611A8">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1552F6B">
            <w:pPr>
              <w:spacing w:line="480" w:lineRule="exact"/>
              <w:jc w:val="center"/>
              <w:rPr>
                <w:rFonts w:ascii="黑体" w:hAnsi="黑体" w:eastAsia="黑体" w:cs="黑体"/>
                <w:sz w:val="19"/>
                <w:szCs w:val="19"/>
              </w:rPr>
            </w:pPr>
            <w:r>
              <w:rPr>
                <w:rFonts w:hint="eastAsia" w:ascii="黑体" w:hAnsi="黑体" w:eastAsia="黑体" w:cs="黑体"/>
                <w:sz w:val="19"/>
                <w:szCs w:val="19"/>
              </w:rPr>
              <w:t>集中管控</w:t>
            </w:r>
          </w:p>
        </w:tc>
        <w:tc>
          <w:tcPr>
            <w:tcW w:w="883" w:type="pct"/>
            <w:shd w:val="clear" w:color="auto" w:fill="auto"/>
            <w:tcMar>
              <w:top w:w="100" w:type="dxa"/>
              <w:bottom w:w="100" w:type="dxa"/>
            </w:tcMar>
            <w:vAlign w:val="center"/>
          </w:tcPr>
          <w:p w14:paraId="51FAB84A">
            <w:pPr>
              <w:spacing w:line="480" w:lineRule="exact"/>
              <w:jc w:val="center"/>
              <w:rPr>
                <w:rFonts w:ascii="黑体" w:hAnsi="黑体" w:eastAsia="黑体" w:cs="黑体"/>
                <w:sz w:val="19"/>
                <w:szCs w:val="19"/>
              </w:rPr>
            </w:pPr>
            <w:r>
              <w:rPr>
                <w:rFonts w:hint="eastAsia" w:ascii="黑体" w:hAnsi="黑体" w:eastAsia="黑体" w:cs="黑体"/>
                <w:sz w:val="19"/>
                <w:szCs w:val="19"/>
              </w:rPr>
              <w:t>6</w:t>
            </w:r>
          </w:p>
        </w:tc>
      </w:tr>
      <w:tr w14:paraId="0C42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0DFDF4AF">
            <w:pPr>
              <w:spacing w:line="480" w:lineRule="exact"/>
              <w:jc w:val="center"/>
              <w:rPr>
                <w:rFonts w:ascii="黑体" w:hAnsi="黑体" w:eastAsia="黑体" w:cs="黑体"/>
                <w:sz w:val="19"/>
                <w:szCs w:val="19"/>
              </w:rPr>
            </w:pPr>
            <w:r>
              <w:rPr>
                <w:rFonts w:hint="eastAsia" w:ascii="黑体" w:hAnsi="黑体" w:eastAsia="黑体" w:cs="黑体"/>
                <w:sz w:val="19"/>
                <w:szCs w:val="19"/>
              </w:rPr>
              <w:t>安全管理制度</w:t>
            </w:r>
          </w:p>
        </w:tc>
        <w:tc>
          <w:tcPr>
            <w:tcW w:w="4525" w:type="dxa"/>
            <w:shd w:val="clear" w:color="auto" w:fill="auto"/>
            <w:tcMar>
              <w:top w:w="100" w:type="dxa"/>
              <w:bottom w:w="100" w:type="dxa"/>
            </w:tcMar>
            <w:vAlign w:val="center"/>
          </w:tcPr>
          <w:p w14:paraId="74330D6E">
            <w:pPr>
              <w:spacing w:line="480" w:lineRule="exact"/>
              <w:jc w:val="center"/>
              <w:rPr>
                <w:rFonts w:ascii="黑体" w:hAnsi="黑体" w:eastAsia="黑体" w:cs="黑体"/>
                <w:sz w:val="19"/>
                <w:szCs w:val="19"/>
              </w:rPr>
            </w:pPr>
            <w:r>
              <w:rPr>
                <w:rFonts w:hint="eastAsia" w:ascii="黑体" w:hAnsi="黑体" w:eastAsia="黑体" w:cs="黑体"/>
                <w:sz w:val="19"/>
                <w:szCs w:val="19"/>
              </w:rPr>
              <w:t>安全策略</w:t>
            </w:r>
          </w:p>
        </w:tc>
        <w:tc>
          <w:tcPr>
            <w:tcW w:w="883" w:type="pct"/>
            <w:shd w:val="clear" w:color="auto" w:fill="auto"/>
            <w:tcMar>
              <w:top w:w="100" w:type="dxa"/>
              <w:bottom w:w="100" w:type="dxa"/>
            </w:tcMar>
            <w:vAlign w:val="center"/>
          </w:tcPr>
          <w:p w14:paraId="2D19135F">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0B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9AA6E1D">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3314ABB">
            <w:pPr>
              <w:spacing w:line="480" w:lineRule="exact"/>
              <w:jc w:val="center"/>
              <w:rPr>
                <w:rFonts w:ascii="黑体" w:hAnsi="黑体" w:eastAsia="黑体" w:cs="黑体"/>
                <w:sz w:val="19"/>
                <w:szCs w:val="19"/>
              </w:rPr>
            </w:pPr>
            <w:r>
              <w:rPr>
                <w:rFonts w:hint="eastAsia" w:ascii="黑体" w:hAnsi="黑体" w:eastAsia="黑体" w:cs="黑体"/>
                <w:sz w:val="19"/>
                <w:szCs w:val="19"/>
              </w:rPr>
              <w:t>管理制度</w:t>
            </w:r>
          </w:p>
        </w:tc>
        <w:tc>
          <w:tcPr>
            <w:tcW w:w="883" w:type="pct"/>
            <w:shd w:val="clear" w:color="auto" w:fill="auto"/>
            <w:tcMar>
              <w:top w:w="100" w:type="dxa"/>
              <w:bottom w:w="100" w:type="dxa"/>
            </w:tcMar>
            <w:vAlign w:val="center"/>
          </w:tcPr>
          <w:p w14:paraId="36B4BD2A">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6ADC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C05A6BF">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18FBEF1">
            <w:pPr>
              <w:spacing w:line="480" w:lineRule="exact"/>
              <w:jc w:val="center"/>
              <w:rPr>
                <w:rFonts w:ascii="黑体" w:hAnsi="黑体" w:eastAsia="黑体" w:cs="黑体"/>
                <w:sz w:val="19"/>
                <w:szCs w:val="19"/>
              </w:rPr>
            </w:pPr>
            <w:r>
              <w:rPr>
                <w:rFonts w:hint="eastAsia" w:ascii="黑体" w:hAnsi="黑体" w:eastAsia="黑体" w:cs="黑体"/>
                <w:sz w:val="19"/>
                <w:szCs w:val="19"/>
              </w:rPr>
              <w:t>制定和发布</w:t>
            </w:r>
          </w:p>
        </w:tc>
        <w:tc>
          <w:tcPr>
            <w:tcW w:w="883" w:type="pct"/>
            <w:shd w:val="clear" w:color="auto" w:fill="auto"/>
            <w:tcMar>
              <w:top w:w="100" w:type="dxa"/>
              <w:bottom w:w="100" w:type="dxa"/>
            </w:tcMar>
            <w:vAlign w:val="center"/>
          </w:tcPr>
          <w:p w14:paraId="42BE2D7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614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561860B9">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F296923">
            <w:pPr>
              <w:spacing w:line="480" w:lineRule="exact"/>
              <w:jc w:val="center"/>
              <w:rPr>
                <w:rFonts w:ascii="黑体" w:hAnsi="黑体" w:eastAsia="黑体" w:cs="黑体"/>
                <w:sz w:val="19"/>
                <w:szCs w:val="19"/>
              </w:rPr>
            </w:pPr>
            <w:r>
              <w:rPr>
                <w:rFonts w:hint="eastAsia" w:ascii="黑体" w:hAnsi="黑体" w:eastAsia="黑体" w:cs="黑体"/>
                <w:sz w:val="19"/>
                <w:szCs w:val="19"/>
              </w:rPr>
              <w:t>评审和修订</w:t>
            </w:r>
          </w:p>
        </w:tc>
        <w:tc>
          <w:tcPr>
            <w:tcW w:w="883" w:type="pct"/>
            <w:shd w:val="clear" w:color="auto" w:fill="auto"/>
            <w:tcMar>
              <w:top w:w="100" w:type="dxa"/>
              <w:bottom w:w="100" w:type="dxa"/>
            </w:tcMar>
            <w:vAlign w:val="center"/>
          </w:tcPr>
          <w:p w14:paraId="046099C1">
            <w:pPr>
              <w:spacing w:line="480" w:lineRule="exact"/>
              <w:jc w:val="center"/>
              <w:rPr>
                <w:rFonts w:ascii="黑体" w:hAnsi="黑体" w:eastAsia="黑体" w:cs="黑体"/>
                <w:sz w:val="19"/>
                <w:szCs w:val="19"/>
              </w:rPr>
            </w:pPr>
            <w:r>
              <w:rPr>
                <w:rFonts w:hint="eastAsia" w:ascii="黑体" w:hAnsi="黑体" w:eastAsia="黑体" w:cs="黑体"/>
                <w:sz w:val="19"/>
                <w:szCs w:val="19"/>
              </w:rPr>
              <w:t>1</w:t>
            </w:r>
          </w:p>
        </w:tc>
      </w:tr>
      <w:tr w14:paraId="6CE5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12F4AD7D">
            <w:pPr>
              <w:spacing w:line="480" w:lineRule="exact"/>
              <w:jc w:val="center"/>
              <w:rPr>
                <w:rFonts w:ascii="黑体" w:hAnsi="黑体" w:eastAsia="黑体" w:cs="黑体"/>
                <w:sz w:val="19"/>
                <w:szCs w:val="19"/>
              </w:rPr>
            </w:pPr>
            <w:r>
              <w:rPr>
                <w:rFonts w:hint="eastAsia" w:ascii="黑体" w:hAnsi="黑体" w:eastAsia="黑体" w:cs="黑体"/>
                <w:sz w:val="19"/>
                <w:szCs w:val="19"/>
              </w:rPr>
              <w:t>安全管理机构</w:t>
            </w:r>
          </w:p>
        </w:tc>
        <w:tc>
          <w:tcPr>
            <w:tcW w:w="4525" w:type="dxa"/>
            <w:shd w:val="clear" w:color="auto" w:fill="auto"/>
            <w:tcMar>
              <w:top w:w="100" w:type="dxa"/>
              <w:bottom w:w="100" w:type="dxa"/>
            </w:tcMar>
            <w:vAlign w:val="center"/>
          </w:tcPr>
          <w:p w14:paraId="207CB98C">
            <w:pPr>
              <w:spacing w:line="480" w:lineRule="exact"/>
              <w:jc w:val="center"/>
              <w:rPr>
                <w:rFonts w:ascii="黑体" w:hAnsi="黑体" w:eastAsia="黑体" w:cs="黑体"/>
                <w:sz w:val="19"/>
                <w:szCs w:val="19"/>
              </w:rPr>
            </w:pPr>
            <w:r>
              <w:rPr>
                <w:rFonts w:hint="eastAsia" w:ascii="黑体" w:hAnsi="黑体" w:eastAsia="黑体" w:cs="黑体"/>
                <w:sz w:val="19"/>
                <w:szCs w:val="19"/>
              </w:rPr>
              <w:t>岗位设置</w:t>
            </w:r>
          </w:p>
        </w:tc>
        <w:tc>
          <w:tcPr>
            <w:tcW w:w="883" w:type="pct"/>
            <w:shd w:val="clear" w:color="auto" w:fill="auto"/>
            <w:tcMar>
              <w:top w:w="100" w:type="dxa"/>
              <w:bottom w:w="100" w:type="dxa"/>
            </w:tcMar>
            <w:vAlign w:val="center"/>
          </w:tcPr>
          <w:p w14:paraId="0AD3D18C">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4A5B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7FA2A9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000FFC2D">
            <w:pPr>
              <w:spacing w:line="480" w:lineRule="exact"/>
              <w:jc w:val="center"/>
              <w:rPr>
                <w:rFonts w:ascii="黑体" w:hAnsi="黑体" w:eastAsia="黑体" w:cs="黑体"/>
                <w:sz w:val="19"/>
                <w:szCs w:val="19"/>
              </w:rPr>
            </w:pPr>
            <w:r>
              <w:rPr>
                <w:rFonts w:hint="eastAsia" w:ascii="黑体" w:hAnsi="黑体" w:eastAsia="黑体" w:cs="黑体"/>
                <w:sz w:val="19"/>
                <w:szCs w:val="19"/>
              </w:rPr>
              <w:t>人员配备</w:t>
            </w:r>
          </w:p>
        </w:tc>
        <w:tc>
          <w:tcPr>
            <w:tcW w:w="883" w:type="pct"/>
            <w:shd w:val="clear" w:color="auto" w:fill="auto"/>
            <w:tcMar>
              <w:top w:w="100" w:type="dxa"/>
              <w:bottom w:w="100" w:type="dxa"/>
            </w:tcMar>
            <w:vAlign w:val="center"/>
          </w:tcPr>
          <w:p w14:paraId="77CB6F6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4800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54FEAAEF">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555A011">
            <w:pPr>
              <w:spacing w:line="480" w:lineRule="exact"/>
              <w:jc w:val="center"/>
              <w:rPr>
                <w:rFonts w:ascii="黑体" w:hAnsi="黑体" w:eastAsia="黑体" w:cs="黑体"/>
                <w:sz w:val="19"/>
                <w:szCs w:val="19"/>
              </w:rPr>
            </w:pPr>
            <w:r>
              <w:rPr>
                <w:rFonts w:hint="eastAsia" w:ascii="黑体" w:hAnsi="黑体" w:eastAsia="黑体" w:cs="黑体"/>
                <w:sz w:val="19"/>
                <w:szCs w:val="19"/>
              </w:rPr>
              <w:t>授权和审批</w:t>
            </w:r>
          </w:p>
        </w:tc>
        <w:tc>
          <w:tcPr>
            <w:tcW w:w="883" w:type="pct"/>
            <w:shd w:val="clear" w:color="auto" w:fill="auto"/>
            <w:tcMar>
              <w:top w:w="100" w:type="dxa"/>
              <w:bottom w:w="100" w:type="dxa"/>
            </w:tcMar>
            <w:vAlign w:val="center"/>
          </w:tcPr>
          <w:p w14:paraId="3A9B49CB">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1509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9ED71A7">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E439729">
            <w:pPr>
              <w:spacing w:line="480" w:lineRule="exact"/>
              <w:jc w:val="center"/>
              <w:rPr>
                <w:rFonts w:ascii="黑体" w:hAnsi="黑体" w:eastAsia="黑体" w:cs="黑体"/>
                <w:sz w:val="19"/>
                <w:szCs w:val="19"/>
              </w:rPr>
            </w:pPr>
            <w:r>
              <w:rPr>
                <w:rFonts w:hint="eastAsia" w:ascii="黑体" w:hAnsi="黑体" w:eastAsia="黑体" w:cs="黑体"/>
                <w:sz w:val="19"/>
                <w:szCs w:val="19"/>
              </w:rPr>
              <w:t>沟通和合作</w:t>
            </w:r>
          </w:p>
        </w:tc>
        <w:tc>
          <w:tcPr>
            <w:tcW w:w="883" w:type="pct"/>
            <w:shd w:val="clear" w:color="auto" w:fill="auto"/>
            <w:tcMar>
              <w:top w:w="100" w:type="dxa"/>
              <w:bottom w:w="100" w:type="dxa"/>
            </w:tcMar>
            <w:vAlign w:val="center"/>
          </w:tcPr>
          <w:p w14:paraId="36922439">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546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C5C4FA7">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C2C116E">
            <w:pPr>
              <w:spacing w:line="480" w:lineRule="exact"/>
              <w:jc w:val="center"/>
              <w:rPr>
                <w:rFonts w:ascii="黑体" w:hAnsi="黑体" w:eastAsia="黑体" w:cs="黑体"/>
                <w:sz w:val="19"/>
                <w:szCs w:val="19"/>
              </w:rPr>
            </w:pPr>
            <w:r>
              <w:rPr>
                <w:rFonts w:hint="eastAsia" w:ascii="黑体" w:hAnsi="黑体" w:eastAsia="黑体" w:cs="黑体"/>
                <w:sz w:val="19"/>
                <w:szCs w:val="19"/>
              </w:rPr>
              <w:t>审核和检查</w:t>
            </w:r>
          </w:p>
        </w:tc>
        <w:tc>
          <w:tcPr>
            <w:tcW w:w="883" w:type="pct"/>
            <w:shd w:val="clear" w:color="auto" w:fill="auto"/>
            <w:tcMar>
              <w:top w:w="100" w:type="dxa"/>
              <w:bottom w:w="100" w:type="dxa"/>
            </w:tcMar>
            <w:vAlign w:val="center"/>
          </w:tcPr>
          <w:p w14:paraId="3E045E42">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2F59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4D633AD7">
            <w:pPr>
              <w:spacing w:line="480" w:lineRule="exact"/>
              <w:jc w:val="center"/>
              <w:rPr>
                <w:rFonts w:ascii="黑体" w:hAnsi="黑体" w:eastAsia="黑体" w:cs="黑体"/>
                <w:sz w:val="19"/>
                <w:szCs w:val="19"/>
              </w:rPr>
            </w:pPr>
            <w:r>
              <w:rPr>
                <w:rFonts w:hint="eastAsia" w:ascii="黑体" w:hAnsi="黑体" w:eastAsia="黑体" w:cs="黑体"/>
                <w:sz w:val="19"/>
                <w:szCs w:val="19"/>
              </w:rPr>
              <w:t>安全管理人员</w:t>
            </w:r>
          </w:p>
        </w:tc>
        <w:tc>
          <w:tcPr>
            <w:tcW w:w="4525" w:type="dxa"/>
            <w:shd w:val="clear" w:color="auto" w:fill="auto"/>
            <w:tcMar>
              <w:top w:w="100" w:type="dxa"/>
              <w:bottom w:w="100" w:type="dxa"/>
            </w:tcMar>
            <w:vAlign w:val="center"/>
          </w:tcPr>
          <w:p w14:paraId="3B90C4CD">
            <w:pPr>
              <w:spacing w:line="480" w:lineRule="exact"/>
              <w:jc w:val="center"/>
              <w:rPr>
                <w:rFonts w:ascii="黑体" w:hAnsi="黑体" w:eastAsia="黑体" w:cs="黑体"/>
                <w:sz w:val="19"/>
                <w:szCs w:val="19"/>
              </w:rPr>
            </w:pPr>
            <w:r>
              <w:rPr>
                <w:rFonts w:hint="eastAsia" w:ascii="黑体" w:hAnsi="黑体" w:eastAsia="黑体" w:cs="黑体"/>
                <w:sz w:val="19"/>
                <w:szCs w:val="19"/>
              </w:rPr>
              <w:t>人员录用</w:t>
            </w:r>
          </w:p>
        </w:tc>
        <w:tc>
          <w:tcPr>
            <w:tcW w:w="883" w:type="pct"/>
            <w:shd w:val="clear" w:color="auto" w:fill="auto"/>
            <w:tcMar>
              <w:top w:w="100" w:type="dxa"/>
              <w:bottom w:w="100" w:type="dxa"/>
            </w:tcMar>
            <w:vAlign w:val="center"/>
          </w:tcPr>
          <w:p w14:paraId="1A130602">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44BC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FD88F7E">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6D80197">
            <w:pPr>
              <w:spacing w:line="480" w:lineRule="exact"/>
              <w:jc w:val="center"/>
              <w:rPr>
                <w:rFonts w:ascii="黑体" w:hAnsi="黑体" w:eastAsia="黑体" w:cs="黑体"/>
                <w:sz w:val="19"/>
                <w:szCs w:val="19"/>
              </w:rPr>
            </w:pPr>
            <w:r>
              <w:rPr>
                <w:rFonts w:hint="eastAsia" w:ascii="黑体" w:hAnsi="黑体" w:eastAsia="黑体" w:cs="黑体"/>
                <w:sz w:val="19"/>
                <w:szCs w:val="19"/>
              </w:rPr>
              <w:t>人员离岗</w:t>
            </w:r>
          </w:p>
        </w:tc>
        <w:tc>
          <w:tcPr>
            <w:tcW w:w="883" w:type="pct"/>
            <w:shd w:val="clear" w:color="auto" w:fill="auto"/>
            <w:tcMar>
              <w:top w:w="100" w:type="dxa"/>
              <w:bottom w:w="100" w:type="dxa"/>
            </w:tcMar>
            <w:vAlign w:val="center"/>
          </w:tcPr>
          <w:p w14:paraId="0F32E9C2">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2422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AC9E363">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7CE92E45">
            <w:pPr>
              <w:spacing w:line="480" w:lineRule="exact"/>
              <w:jc w:val="center"/>
              <w:rPr>
                <w:rFonts w:ascii="黑体" w:hAnsi="黑体" w:eastAsia="黑体" w:cs="黑体"/>
                <w:sz w:val="19"/>
                <w:szCs w:val="19"/>
              </w:rPr>
            </w:pPr>
            <w:r>
              <w:rPr>
                <w:rFonts w:hint="eastAsia" w:ascii="黑体" w:hAnsi="黑体" w:eastAsia="黑体" w:cs="黑体"/>
                <w:sz w:val="19"/>
                <w:szCs w:val="19"/>
              </w:rPr>
              <w:t>安全意识教育和培训</w:t>
            </w:r>
          </w:p>
        </w:tc>
        <w:tc>
          <w:tcPr>
            <w:tcW w:w="883" w:type="pct"/>
            <w:shd w:val="clear" w:color="auto" w:fill="auto"/>
            <w:tcMar>
              <w:top w:w="100" w:type="dxa"/>
              <w:bottom w:w="100" w:type="dxa"/>
            </w:tcMar>
            <w:vAlign w:val="center"/>
          </w:tcPr>
          <w:p w14:paraId="36B30D1F">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7D76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DEC9894">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D19933B">
            <w:pPr>
              <w:spacing w:line="480" w:lineRule="exact"/>
              <w:jc w:val="center"/>
              <w:rPr>
                <w:rFonts w:ascii="黑体" w:hAnsi="黑体" w:eastAsia="黑体" w:cs="黑体"/>
                <w:sz w:val="19"/>
                <w:szCs w:val="19"/>
              </w:rPr>
            </w:pPr>
            <w:r>
              <w:rPr>
                <w:rFonts w:hint="eastAsia" w:ascii="黑体" w:hAnsi="黑体" w:eastAsia="黑体" w:cs="黑体"/>
                <w:sz w:val="19"/>
                <w:szCs w:val="19"/>
              </w:rPr>
              <w:t>外部人员访问管理</w:t>
            </w:r>
          </w:p>
        </w:tc>
        <w:tc>
          <w:tcPr>
            <w:tcW w:w="883" w:type="pct"/>
            <w:shd w:val="clear" w:color="auto" w:fill="auto"/>
            <w:tcMar>
              <w:top w:w="100" w:type="dxa"/>
              <w:bottom w:w="100" w:type="dxa"/>
            </w:tcMar>
            <w:vAlign w:val="center"/>
          </w:tcPr>
          <w:p w14:paraId="62D705A4">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0E75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41B3EEA6">
            <w:pPr>
              <w:spacing w:line="480" w:lineRule="exact"/>
              <w:jc w:val="center"/>
              <w:rPr>
                <w:rFonts w:ascii="黑体" w:hAnsi="黑体" w:eastAsia="黑体" w:cs="黑体"/>
                <w:sz w:val="19"/>
                <w:szCs w:val="19"/>
              </w:rPr>
            </w:pPr>
            <w:r>
              <w:rPr>
                <w:rFonts w:hint="eastAsia" w:ascii="黑体" w:hAnsi="黑体" w:eastAsia="黑体" w:cs="黑体"/>
                <w:sz w:val="19"/>
                <w:szCs w:val="19"/>
              </w:rPr>
              <w:t>安全建设管理</w:t>
            </w:r>
          </w:p>
        </w:tc>
        <w:tc>
          <w:tcPr>
            <w:tcW w:w="4525" w:type="dxa"/>
            <w:shd w:val="clear" w:color="auto" w:fill="auto"/>
            <w:tcMar>
              <w:top w:w="100" w:type="dxa"/>
              <w:bottom w:w="100" w:type="dxa"/>
            </w:tcMar>
            <w:vAlign w:val="center"/>
          </w:tcPr>
          <w:p w14:paraId="4A99B6AF">
            <w:pPr>
              <w:spacing w:line="480" w:lineRule="exact"/>
              <w:jc w:val="center"/>
              <w:rPr>
                <w:rFonts w:ascii="黑体" w:hAnsi="黑体" w:eastAsia="黑体" w:cs="黑体"/>
                <w:sz w:val="19"/>
                <w:szCs w:val="19"/>
              </w:rPr>
            </w:pPr>
            <w:r>
              <w:rPr>
                <w:rFonts w:hint="eastAsia" w:ascii="黑体" w:hAnsi="黑体" w:eastAsia="黑体" w:cs="黑体"/>
                <w:sz w:val="19"/>
                <w:szCs w:val="19"/>
              </w:rPr>
              <w:t>定级和备案</w:t>
            </w:r>
          </w:p>
        </w:tc>
        <w:tc>
          <w:tcPr>
            <w:tcW w:w="883" w:type="pct"/>
            <w:shd w:val="clear" w:color="auto" w:fill="auto"/>
            <w:tcMar>
              <w:top w:w="100" w:type="dxa"/>
              <w:bottom w:w="100" w:type="dxa"/>
            </w:tcMar>
            <w:vAlign w:val="center"/>
          </w:tcPr>
          <w:p w14:paraId="71015A5C">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393F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56A1C33D">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7429D957">
            <w:pPr>
              <w:spacing w:line="480" w:lineRule="exact"/>
              <w:jc w:val="center"/>
              <w:rPr>
                <w:rFonts w:ascii="黑体" w:hAnsi="黑体" w:eastAsia="黑体" w:cs="黑体"/>
                <w:sz w:val="19"/>
                <w:szCs w:val="19"/>
              </w:rPr>
            </w:pPr>
            <w:r>
              <w:rPr>
                <w:rFonts w:hint="eastAsia" w:ascii="黑体" w:hAnsi="黑体" w:eastAsia="黑体" w:cs="黑体"/>
                <w:sz w:val="19"/>
                <w:szCs w:val="19"/>
              </w:rPr>
              <w:t>安全方案设计</w:t>
            </w:r>
          </w:p>
        </w:tc>
        <w:tc>
          <w:tcPr>
            <w:tcW w:w="883" w:type="pct"/>
            <w:shd w:val="clear" w:color="auto" w:fill="auto"/>
            <w:tcMar>
              <w:top w:w="100" w:type="dxa"/>
              <w:bottom w:w="100" w:type="dxa"/>
            </w:tcMar>
            <w:vAlign w:val="center"/>
          </w:tcPr>
          <w:p w14:paraId="429F2903">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18DB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7848C1A">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8F32119">
            <w:pPr>
              <w:spacing w:line="480" w:lineRule="exact"/>
              <w:jc w:val="center"/>
              <w:rPr>
                <w:rFonts w:ascii="黑体" w:hAnsi="黑体" w:eastAsia="黑体" w:cs="黑体"/>
                <w:sz w:val="19"/>
                <w:szCs w:val="19"/>
              </w:rPr>
            </w:pPr>
            <w:r>
              <w:rPr>
                <w:rFonts w:hint="eastAsia" w:ascii="黑体" w:hAnsi="黑体" w:eastAsia="黑体" w:cs="黑体"/>
                <w:sz w:val="19"/>
                <w:szCs w:val="19"/>
              </w:rPr>
              <w:t>产品采购和使用</w:t>
            </w:r>
          </w:p>
        </w:tc>
        <w:tc>
          <w:tcPr>
            <w:tcW w:w="883" w:type="pct"/>
            <w:shd w:val="clear" w:color="auto" w:fill="auto"/>
            <w:tcMar>
              <w:top w:w="100" w:type="dxa"/>
              <w:bottom w:w="100" w:type="dxa"/>
            </w:tcMar>
            <w:vAlign w:val="center"/>
          </w:tcPr>
          <w:p w14:paraId="5F840996">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0D2E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4DADAA6">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EF8B81B">
            <w:pPr>
              <w:spacing w:line="480" w:lineRule="exact"/>
              <w:jc w:val="center"/>
              <w:rPr>
                <w:rFonts w:ascii="黑体" w:hAnsi="黑体" w:eastAsia="黑体" w:cs="黑体"/>
                <w:sz w:val="19"/>
                <w:szCs w:val="19"/>
              </w:rPr>
            </w:pPr>
            <w:r>
              <w:rPr>
                <w:rFonts w:hint="eastAsia" w:ascii="黑体" w:hAnsi="黑体" w:eastAsia="黑体" w:cs="黑体"/>
                <w:sz w:val="19"/>
                <w:szCs w:val="19"/>
              </w:rPr>
              <w:t>自行软件开发</w:t>
            </w:r>
          </w:p>
        </w:tc>
        <w:tc>
          <w:tcPr>
            <w:tcW w:w="883" w:type="pct"/>
            <w:shd w:val="clear" w:color="auto" w:fill="auto"/>
            <w:tcMar>
              <w:top w:w="100" w:type="dxa"/>
              <w:bottom w:w="100" w:type="dxa"/>
            </w:tcMar>
            <w:vAlign w:val="center"/>
          </w:tcPr>
          <w:p w14:paraId="609A9DC8">
            <w:pPr>
              <w:spacing w:line="480" w:lineRule="exact"/>
              <w:jc w:val="center"/>
              <w:rPr>
                <w:rFonts w:ascii="黑体" w:hAnsi="黑体" w:eastAsia="黑体" w:cs="黑体"/>
                <w:sz w:val="19"/>
                <w:szCs w:val="19"/>
              </w:rPr>
            </w:pPr>
            <w:r>
              <w:rPr>
                <w:rFonts w:hint="eastAsia" w:ascii="黑体" w:hAnsi="黑体" w:eastAsia="黑体" w:cs="黑体"/>
                <w:sz w:val="19"/>
                <w:szCs w:val="19"/>
              </w:rPr>
              <w:t>7</w:t>
            </w:r>
          </w:p>
        </w:tc>
      </w:tr>
      <w:tr w14:paraId="31BA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6306216A">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4124401">
            <w:pPr>
              <w:spacing w:line="480" w:lineRule="exact"/>
              <w:jc w:val="center"/>
              <w:rPr>
                <w:rFonts w:ascii="黑体" w:hAnsi="黑体" w:eastAsia="黑体" w:cs="黑体"/>
                <w:sz w:val="19"/>
                <w:szCs w:val="19"/>
              </w:rPr>
            </w:pPr>
            <w:r>
              <w:rPr>
                <w:rFonts w:hint="eastAsia" w:ascii="黑体" w:hAnsi="黑体" w:eastAsia="黑体" w:cs="黑体"/>
                <w:sz w:val="19"/>
                <w:szCs w:val="19"/>
              </w:rPr>
              <w:t>外包软件开发</w:t>
            </w:r>
          </w:p>
        </w:tc>
        <w:tc>
          <w:tcPr>
            <w:tcW w:w="883" w:type="pct"/>
            <w:shd w:val="clear" w:color="auto" w:fill="auto"/>
            <w:tcMar>
              <w:top w:w="100" w:type="dxa"/>
              <w:bottom w:w="100" w:type="dxa"/>
            </w:tcMar>
            <w:vAlign w:val="center"/>
          </w:tcPr>
          <w:p w14:paraId="19E25920">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7A5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220D1635">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CB0890D">
            <w:pPr>
              <w:spacing w:line="480" w:lineRule="exact"/>
              <w:jc w:val="center"/>
              <w:rPr>
                <w:rFonts w:ascii="黑体" w:hAnsi="黑体" w:eastAsia="黑体" w:cs="黑体"/>
                <w:sz w:val="19"/>
                <w:szCs w:val="19"/>
              </w:rPr>
            </w:pPr>
            <w:r>
              <w:rPr>
                <w:rFonts w:hint="eastAsia" w:ascii="黑体" w:hAnsi="黑体" w:eastAsia="黑体" w:cs="黑体"/>
                <w:sz w:val="19"/>
                <w:szCs w:val="19"/>
              </w:rPr>
              <w:t>工程实施</w:t>
            </w:r>
          </w:p>
        </w:tc>
        <w:tc>
          <w:tcPr>
            <w:tcW w:w="883" w:type="pct"/>
            <w:shd w:val="clear" w:color="auto" w:fill="auto"/>
            <w:tcMar>
              <w:top w:w="100" w:type="dxa"/>
              <w:bottom w:w="100" w:type="dxa"/>
            </w:tcMar>
            <w:vAlign w:val="center"/>
          </w:tcPr>
          <w:p w14:paraId="302EA4D7">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728F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FA23F71">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9243438">
            <w:pPr>
              <w:spacing w:line="480" w:lineRule="exact"/>
              <w:jc w:val="center"/>
              <w:rPr>
                <w:rFonts w:ascii="黑体" w:hAnsi="黑体" w:eastAsia="黑体" w:cs="黑体"/>
                <w:sz w:val="19"/>
                <w:szCs w:val="19"/>
              </w:rPr>
            </w:pPr>
            <w:r>
              <w:rPr>
                <w:rFonts w:hint="eastAsia" w:ascii="黑体" w:hAnsi="黑体" w:eastAsia="黑体" w:cs="黑体"/>
                <w:sz w:val="19"/>
                <w:szCs w:val="19"/>
              </w:rPr>
              <w:t>测试验收</w:t>
            </w:r>
          </w:p>
        </w:tc>
        <w:tc>
          <w:tcPr>
            <w:tcW w:w="883" w:type="pct"/>
            <w:shd w:val="clear" w:color="auto" w:fill="auto"/>
            <w:tcMar>
              <w:top w:w="100" w:type="dxa"/>
              <w:bottom w:w="100" w:type="dxa"/>
            </w:tcMar>
            <w:vAlign w:val="center"/>
          </w:tcPr>
          <w:p w14:paraId="53961DB0">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491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4D40964A">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9E41EFB">
            <w:pPr>
              <w:spacing w:line="480" w:lineRule="exact"/>
              <w:jc w:val="center"/>
              <w:rPr>
                <w:rFonts w:ascii="黑体" w:hAnsi="黑体" w:eastAsia="黑体" w:cs="黑体"/>
                <w:sz w:val="19"/>
                <w:szCs w:val="19"/>
              </w:rPr>
            </w:pPr>
            <w:r>
              <w:rPr>
                <w:rFonts w:hint="eastAsia" w:ascii="黑体" w:hAnsi="黑体" w:eastAsia="黑体" w:cs="黑体"/>
                <w:sz w:val="19"/>
                <w:szCs w:val="19"/>
              </w:rPr>
              <w:t>系统交付</w:t>
            </w:r>
          </w:p>
        </w:tc>
        <w:tc>
          <w:tcPr>
            <w:tcW w:w="883" w:type="pct"/>
            <w:shd w:val="clear" w:color="auto" w:fill="auto"/>
            <w:tcMar>
              <w:top w:w="100" w:type="dxa"/>
              <w:bottom w:w="100" w:type="dxa"/>
            </w:tcMar>
            <w:vAlign w:val="center"/>
          </w:tcPr>
          <w:p w14:paraId="66DE4D6C">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66B2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4F118C8">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916EDD9">
            <w:pPr>
              <w:spacing w:line="480" w:lineRule="exact"/>
              <w:jc w:val="center"/>
              <w:rPr>
                <w:rFonts w:ascii="黑体" w:hAnsi="黑体" w:eastAsia="黑体" w:cs="黑体"/>
                <w:sz w:val="19"/>
                <w:szCs w:val="19"/>
              </w:rPr>
            </w:pPr>
            <w:r>
              <w:rPr>
                <w:rFonts w:hint="eastAsia" w:ascii="黑体" w:hAnsi="黑体" w:eastAsia="黑体" w:cs="黑体"/>
                <w:sz w:val="19"/>
                <w:szCs w:val="19"/>
              </w:rPr>
              <w:t>等级测评</w:t>
            </w:r>
          </w:p>
        </w:tc>
        <w:tc>
          <w:tcPr>
            <w:tcW w:w="883" w:type="pct"/>
            <w:shd w:val="clear" w:color="auto" w:fill="auto"/>
            <w:tcMar>
              <w:top w:w="100" w:type="dxa"/>
              <w:bottom w:w="100" w:type="dxa"/>
            </w:tcMar>
            <w:vAlign w:val="center"/>
          </w:tcPr>
          <w:p w14:paraId="7F7BA53A">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38A7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55146C5">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C2EE3E3">
            <w:pPr>
              <w:spacing w:line="480" w:lineRule="exact"/>
              <w:jc w:val="center"/>
              <w:rPr>
                <w:rFonts w:ascii="黑体" w:hAnsi="黑体" w:eastAsia="黑体" w:cs="黑体"/>
                <w:sz w:val="19"/>
                <w:szCs w:val="19"/>
              </w:rPr>
            </w:pPr>
            <w:r>
              <w:rPr>
                <w:rFonts w:hint="eastAsia" w:ascii="黑体" w:hAnsi="黑体" w:eastAsia="黑体" w:cs="黑体"/>
                <w:sz w:val="19"/>
                <w:szCs w:val="19"/>
              </w:rPr>
              <w:t>服务供应商选择</w:t>
            </w:r>
          </w:p>
        </w:tc>
        <w:tc>
          <w:tcPr>
            <w:tcW w:w="883" w:type="pct"/>
            <w:shd w:val="clear" w:color="auto" w:fill="auto"/>
            <w:tcMar>
              <w:top w:w="100" w:type="dxa"/>
              <w:bottom w:w="100" w:type="dxa"/>
            </w:tcMar>
            <w:vAlign w:val="center"/>
          </w:tcPr>
          <w:p w14:paraId="2FFC5EDE">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09AA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restart"/>
            <w:shd w:val="clear" w:color="auto" w:fill="auto"/>
            <w:tcMar>
              <w:top w:w="100" w:type="dxa"/>
              <w:bottom w:w="100" w:type="dxa"/>
            </w:tcMar>
            <w:vAlign w:val="center"/>
          </w:tcPr>
          <w:p w14:paraId="31783F6C">
            <w:pPr>
              <w:spacing w:line="480" w:lineRule="exact"/>
              <w:jc w:val="center"/>
              <w:rPr>
                <w:rFonts w:ascii="黑体" w:hAnsi="黑体" w:eastAsia="黑体" w:cs="黑体"/>
                <w:sz w:val="19"/>
                <w:szCs w:val="19"/>
              </w:rPr>
            </w:pPr>
            <w:r>
              <w:rPr>
                <w:rFonts w:hint="eastAsia" w:ascii="黑体" w:hAnsi="黑体" w:eastAsia="黑体" w:cs="黑体"/>
                <w:sz w:val="19"/>
                <w:szCs w:val="19"/>
              </w:rPr>
              <w:t>安全运维管理</w:t>
            </w:r>
          </w:p>
        </w:tc>
        <w:tc>
          <w:tcPr>
            <w:tcW w:w="4525" w:type="dxa"/>
            <w:shd w:val="clear" w:color="auto" w:fill="auto"/>
            <w:tcMar>
              <w:top w:w="100" w:type="dxa"/>
              <w:bottom w:w="100" w:type="dxa"/>
            </w:tcMar>
            <w:vAlign w:val="center"/>
          </w:tcPr>
          <w:p w14:paraId="1BADD644">
            <w:pPr>
              <w:spacing w:line="480" w:lineRule="exact"/>
              <w:jc w:val="center"/>
              <w:rPr>
                <w:rFonts w:ascii="黑体" w:hAnsi="黑体" w:eastAsia="黑体" w:cs="黑体"/>
                <w:sz w:val="19"/>
                <w:szCs w:val="19"/>
              </w:rPr>
            </w:pPr>
            <w:r>
              <w:rPr>
                <w:rFonts w:hint="eastAsia" w:ascii="黑体" w:hAnsi="黑体" w:eastAsia="黑体" w:cs="黑体"/>
                <w:sz w:val="19"/>
                <w:szCs w:val="19"/>
              </w:rPr>
              <w:t>环境管理</w:t>
            </w:r>
          </w:p>
        </w:tc>
        <w:tc>
          <w:tcPr>
            <w:tcW w:w="883" w:type="pct"/>
            <w:shd w:val="clear" w:color="auto" w:fill="auto"/>
            <w:tcMar>
              <w:top w:w="100" w:type="dxa"/>
              <w:bottom w:w="100" w:type="dxa"/>
            </w:tcMar>
            <w:vAlign w:val="center"/>
          </w:tcPr>
          <w:p w14:paraId="3C173C68">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326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64A81C4">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6B8C52E8">
            <w:pPr>
              <w:spacing w:line="480" w:lineRule="exact"/>
              <w:jc w:val="center"/>
              <w:rPr>
                <w:rFonts w:ascii="黑体" w:hAnsi="黑体" w:eastAsia="黑体" w:cs="黑体"/>
                <w:sz w:val="19"/>
                <w:szCs w:val="19"/>
              </w:rPr>
            </w:pPr>
            <w:r>
              <w:rPr>
                <w:rFonts w:hint="eastAsia" w:ascii="黑体" w:hAnsi="黑体" w:eastAsia="黑体" w:cs="黑体"/>
                <w:sz w:val="19"/>
                <w:szCs w:val="19"/>
              </w:rPr>
              <w:t>资产管理</w:t>
            </w:r>
          </w:p>
        </w:tc>
        <w:tc>
          <w:tcPr>
            <w:tcW w:w="883" w:type="pct"/>
            <w:shd w:val="clear" w:color="auto" w:fill="auto"/>
            <w:tcMar>
              <w:top w:w="100" w:type="dxa"/>
              <w:bottom w:w="100" w:type="dxa"/>
            </w:tcMar>
            <w:vAlign w:val="center"/>
          </w:tcPr>
          <w:p w14:paraId="021FE96E">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04F4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72D5800">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12D148C">
            <w:pPr>
              <w:spacing w:line="480" w:lineRule="exact"/>
              <w:jc w:val="center"/>
              <w:rPr>
                <w:rFonts w:ascii="黑体" w:hAnsi="黑体" w:eastAsia="黑体" w:cs="黑体"/>
                <w:sz w:val="19"/>
                <w:szCs w:val="19"/>
              </w:rPr>
            </w:pPr>
            <w:r>
              <w:rPr>
                <w:rFonts w:hint="eastAsia" w:ascii="黑体" w:hAnsi="黑体" w:eastAsia="黑体" w:cs="黑体"/>
                <w:sz w:val="19"/>
                <w:szCs w:val="19"/>
              </w:rPr>
              <w:t>介质管理</w:t>
            </w:r>
          </w:p>
        </w:tc>
        <w:tc>
          <w:tcPr>
            <w:tcW w:w="883" w:type="pct"/>
            <w:shd w:val="clear" w:color="auto" w:fill="auto"/>
            <w:tcMar>
              <w:top w:w="100" w:type="dxa"/>
              <w:bottom w:w="100" w:type="dxa"/>
            </w:tcMar>
            <w:vAlign w:val="center"/>
          </w:tcPr>
          <w:p w14:paraId="30CAEBC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1D2B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680030E">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51A02C8">
            <w:pPr>
              <w:spacing w:line="480" w:lineRule="exact"/>
              <w:jc w:val="center"/>
              <w:rPr>
                <w:rFonts w:ascii="黑体" w:hAnsi="黑体" w:eastAsia="黑体" w:cs="黑体"/>
                <w:sz w:val="19"/>
                <w:szCs w:val="19"/>
              </w:rPr>
            </w:pPr>
            <w:r>
              <w:rPr>
                <w:rFonts w:hint="eastAsia" w:ascii="黑体" w:hAnsi="黑体" w:eastAsia="黑体" w:cs="黑体"/>
                <w:sz w:val="19"/>
                <w:szCs w:val="19"/>
              </w:rPr>
              <w:t>设备维护管理</w:t>
            </w:r>
          </w:p>
        </w:tc>
        <w:tc>
          <w:tcPr>
            <w:tcW w:w="883" w:type="pct"/>
            <w:shd w:val="clear" w:color="auto" w:fill="auto"/>
            <w:tcMar>
              <w:top w:w="100" w:type="dxa"/>
              <w:bottom w:w="100" w:type="dxa"/>
            </w:tcMar>
            <w:vAlign w:val="center"/>
          </w:tcPr>
          <w:p w14:paraId="7D9D4D96">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7E4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0F2068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5DECD519">
            <w:pPr>
              <w:spacing w:line="480" w:lineRule="exact"/>
              <w:jc w:val="center"/>
              <w:rPr>
                <w:rFonts w:ascii="黑体" w:hAnsi="黑体" w:eastAsia="黑体" w:cs="黑体"/>
                <w:sz w:val="19"/>
                <w:szCs w:val="19"/>
              </w:rPr>
            </w:pPr>
            <w:r>
              <w:rPr>
                <w:rFonts w:hint="eastAsia" w:ascii="黑体" w:hAnsi="黑体" w:eastAsia="黑体" w:cs="黑体"/>
                <w:sz w:val="19"/>
                <w:szCs w:val="19"/>
              </w:rPr>
              <w:t>漏洞和风险管理</w:t>
            </w:r>
          </w:p>
        </w:tc>
        <w:tc>
          <w:tcPr>
            <w:tcW w:w="883" w:type="pct"/>
            <w:shd w:val="clear" w:color="auto" w:fill="auto"/>
            <w:tcMar>
              <w:top w:w="100" w:type="dxa"/>
              <w:bottom w:w="100" w:type="dxa"/>
            </w:tcMar>
            <w:vAlign w:val="center"/>
          </w:tcPr>
          <w:p w14:paraId="1BA529E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75D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C3C04E2">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0DFA405">
            <w:pPr>
              <w:spacing w:line="480" w:lineRule="exact"/>
              <w:jc w:val="center"/>
              <w:rPr>
                <w:rFonts w:ascii="黑体" w:hAnsi="黑体" w:eastAsia="黑体" w:cs="黑体"/>
                <w:sz w:val="19"/>
                <w:szCs w:val="19"/>
              </w:rPr>
            </w:pPr>
            <w:r>
              <w:rPr>
                <w:rFonts w:hint="eastAsia" w:ascii="黑体" w:hAnsi="黑体" w:eastAsia="黑体" w:cs="黑体"/>
                <w:sz w:val="19"/>
                <w:szCs w:val="19"/>
              </w:rPr>
              <w:t>网络和系统安全管理</w:t>
            </w:r>
          </w:p>
        </w:tc>
        <w:tc>
          <w:tcPr>
            <w:tcW w:w="883" w:type="pct"/>
            <w:shd w:val="clear" w:color="auto" w:fill="auto"/>
            <w:tcMar>
              <w:top w:w="100" w:type="dxa"/>
              <w:bottom w:w="100" w:type="dxa"/>
            </w:tcMar>
            <w:vAlign w:val="center"/>
          </w:tcPr>
          <w:p w14:paraId="5DD9C12E">
            <w:pPr>
              <w:spacing w:line="480" w:lineRule="exact"/>
              <w:jc w:val="center"/>
              <w:rPr>
                <w:rFonts w:ascii="黑体" w:hAnsi="黑体" w:eastAsia="黑体" w:cs="黑体"/>
                <w:sz w:val="19"/>
                <w:szCs w:val="19"/>
              </w:rPr>
            </w:pPr>
            <w:r>
              <w:rPr>
                <w:rFonts w:hint="eastAsia" w:ascii="黑体" w:hAnsi="黑体" w:eastAsia="黑体" w:cs="黑体"/>
                <w:sz w:val="19"/>
                <w:szCs w:val="19"/>
              </w:rPr>
              <w:t>10</w:t>
            </w:r>
          </w:p>
        </w:tc>
      </w:tr>
      <w:tr w14:paraId="0E2E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BC08CA0">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14DC4F51">
            <w:pPr>
              <w:spacing w:line="480" w:lineRule="exact"/>
              <w:jc w:val="center"/>
              <w:rPr>
                <w:rFonts w:ascii="黑体" w:hAnsi="黑体" w:eastAsia="黑体" w:cs="黑体"/>
                <w:sz w:val="19"/>
                <w:szCs w:val="19"/>
              </w:rPr>
            </w:pPr>
            <w:r>
              <w:rPr>
                <w:rFonts w:hint="eastAsia" w:ascii="黑体" w:hAnsi="黑体" w:eastAsia="黑体" w:cs="黑体"/>
                <w:sz w:val="19"/>
                <w:szCs w:val="19"/>
              </w:rPr>
              <w:t>恶意代码防范管理</w:t>
            </w:r>
          </w:p>
        </w:tc>
        <w:tc>
          <w:tcPr>
            <w:tcW w:w="883" w:type="pct"/>
            <w:shd w:val="clear" w:color="auto" w:fill="auto"/>
            <w:tcMar>
              <w:top w:w="100" w:type="dxa"/>
              <w:bottom w:w="100" w:type="dxa"/>
            </w:tcMar>
            <w:vAlign w:val="center"/>
          </w:tcPr>
          <w:p w14:paraId="4340796C">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577D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31473027">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0719600">
            <w:pPr>
              <w:spacing w:line="480" w:lineRule="exact"/>
              <w:jc w:val="center"/>
              <w:rPr>
                <w:rFonts w:ascii="黑体" w:hAnsi="黑体" w:eastAsia="黑体" w:cs="黑体"/>
                <w:sz w:val="19"/>
                <w:szCs w:val="19"/>
              </w:rPr>
            </w:pPr>
            <w:r>
              <w:rPr>
                <w:rFonts w:hint="eastAsia" w:ascii="黑体" w:hAnsi="黑体" w:eastAsia="黑体" w:cs="黑体"/>
                <w:sz w:val="19"/>
                <w:szCs w:val="19"/>
              </w:rPr>
              <w:t>配置管理</w:t>
            </w:r>
          </w:p>
        </w:tc>
        <w:tc>
          <w:tcPr>
            <w:tcW w:w="883" w:type="pct"/>
            <w:shd w:val="clear" w:color="auto" w:fill="auto"/>
            <w:tcMar>
              <w:top w:w="100" w:type="dxa"/>
              <w:bottom w:w="100" w:type="dxa"/>
            </w:tcMar>
            <w:vAlign w:val="center"/>
          </w:tcPr>
          <w:p w14:paraId="24D998A6">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4944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AAA700D">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4A1015BF">
            <w:pPr>
              <w:spacing w:line="480" w:lineRule="exact"/>
              <w:jc w:val="center"/>
              <w:rPr>
                <w:rFonts w:ascii="黑体" w:hAnsi="黑体" w:eastAsia="黑体" w:cs="黑体"/>
                <w:sz w:val="19"/>
                <w:szCs w:val="19"/>
              </w:rPr>
            </w:pPr>
            <w:r>
              <w:rPr>
                <w:rFonts w:hint="eastAsia" w:ascii="黑体" w:hAnsi="黑体" w:eastAsia="黑体" w:cs="黑体"/>
                <w:sz w:val="19"/>
                <w:szCs w:val="19"/>
              </w:rPr>
              <w:t>密码管理</w:t>
            </w:r>
          </w:p>
        </w:tc>
        <w:tc>
          <w:tcPr>
            <w:tcW w:w="883" w:type="pct"/>
            <w:shd w:val="clear" w:color="auto" w:fill="auto"/>
            <w:tcMar>
              <w:top w:w="100" w:type="dxa"/>
              <w:bottom w:w="100" w:type="dxa"/>
            </w:tcMar>
            <w:vAlign w:val="center"/>
          </w:tcPr>
          <w:p w14:paraId="16ED6570">
            <w:pPr>
              <w:spacing w:line="480" w:lineRule="exact"/>
              <w:jc w:val="center"/>
              <w:rPr>
                <w:rFonts w:ascii="黑体" w:hAnsi="黑体" w:eastAsia="黑体" w:cs="黑体"/>
                <w:sz w:val="19"/>
                <w:szCs w:val="19"/>
              </w:rPr>
            </w:pPr>
            <w:r>
              <w:rPr>
                <w:rFonts w:hint="eastAsia" w:ascii="黑体" w:hAnsi="黑体" w:eastAsia="黑体" w:cs="黑体"/>
                <w:sz w:val="19"/>
                <w:szCs w:val="19"/>
              </w:rPr>
              <w:t>2</w:t>
            </w:r>
          </w:p>
        </w:tc>
      </w:tr>
      <w:tr w14:paraId="43C3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149C7B86">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05BB432">
            <w:pPr>
              <w:spacing w:line="480" w:lineRule="exact"/>
              <w:jc w:val="center"/>
              <w:rPr>
                <w:rFonts w:ascii="黑体" w:hAnsi="黑体" w:eastAsia="黑体" w:cs="黑体"/>
                <w:sz w:val="19"/>
                <w:szCs w:val="19"/>
              </w:rPr>
            </w:pPr>
            <w:r>
              <w:rPr>
                <w:rFonts w:hint="eastAsia" w:ascii="黑体" w:hAnsi="黑体" w:eastAsia="黑体" w:cs="黑体"/>
                <w:sz w:val="19"/>
                <w:szCs w:val="19"/>
              </w:rPr>
              <w:t>变更管理</w:t>
            </w:r>
          </w:p>
        </w:tc>
        <w:tc>
          <w:tcPr>
            <w:tcW w:w="883" w:type="pct"/>
            <w:shd w:val="clear" w:color="auto" w:fill="auto"/>
            <w:tcMar>
              <w:top w:w="100" w:type="dxa"/>
              <w:bottom w:w="100" w:type="dxa"/>
            </w:tcMar>
            <w:vAlign w:val="center"/>
          </w:tcPr>
          <w:p w14:paraId="469147DA">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6822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07CCF651">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A45226F">
            <w:pPr>
              <w:spacing w:line="480" w:lineRule="exact"/>
              <w:jc w:val="center"/>
              <w:rPr>
                <w:rFonts w:ascii="黑体" w:hAnsi="黑体" w:eastAsia="黑体" w:cs="黑体"/>
                <w:sz w:val="19"/>
                <w:szCs w:val="19"/>
              </w:rPr>
            </w:pPr>
            <w:r>
              <w:rPr>
                <w:rFonts w:hint="eastAsia" w:ascii="黑体" w:hAnsi="黑体" w:eastAsia="黑体" w:cs="黑体"/>
                <w:sz w:val="19"/>
                <w:szCs w:val="19"/>
              </w:rPr>
              <w:t>备份与恢复管理</w:t>
            </w:r>
          </w:p>
        </w:tc>
        <w:tc>
          <w:tcPr>
            <w:tcW w:w="883" w:type="pct"/>
            <w:shd w:val="clear" w:color="auto" w:fill="auto"/>
            <w:tcMar>
              <w:top w:w="100" w:type="dxa"/>
              <w:bottom w:w="100" w:type="dxa"/>
            </w:tcMar>
            <w:vAlign w:val="center"/>
          </w:tcPr>
          <w:p w14:paraId="3C29A10D">
            <w:pPr>
              <w:spacing w:line="480" w:lineRule="exact"/>
              <w:jc w:val="center"/>
              <w:rPr>
                <w:rFonts w:ascii="黑体" w:hAnsi="黑体" w:eastAsia="黑体" w:cs="黑体"/>
                <w:sz w:val="19"/>
                <w:szCs w:val="19"/>
              </w:rPr>
            </w:pPr>
            <w:r>
              <w:rPr>
                <w:rFonts w:hint="eastAsia" w:ascii="黑体" w:hAnsi="黑体" w:eastAsia="黑体" w:cs="黑体"/>
                <w:sz w:val="19"/>
                <w:szCs w:val="19"/>
              </w:rPr>
              <w:t>3</w:t>
            </w:r>
          </w:p>
        </w:tc>
      </w:tr>
      <w:tr w14:paraId="3C3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A39A1CF">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F12A104">
            <w:pPr>
              <w:spacing w:line="480" w:lineRule="exact"/>
              <w:jc w:val="center"/>
              <w:rPr>
                <w:rFonts w:ascii="黑体" w:hAnsi="黑体" w:eastAsia="黑体" w:cs="黑体"/>
                <w:sz w:val="19"/>
                <w:szCs w:val="19"/>
              </w:rPr>
            </w:pPr>
            <w:r>
              <w:rPr>
                <w:rFonts w:hint="eastAsia" w:ascii="黑体" w:hAnsi="黑体" w:eastAsia="黑体" w:cs="黑体"/>
                <w:sz w:val="19"/>
                <w:szCs w:val="19"/>
              </w:rPr>
              <w:t>安全事件处置</w:t>
            </w:r>
          </w:p>
        </w:tc>
        <w:tc>
          <w:tcPr>
            <w:tcW w:w="883" w:type="pct"/>
            <w:shd w:val="clear" w:color="auto" w:fill="auto"/>
            <w:tcMar>
              <w:top w:w="100" w:type="dxa"/>
              <w:bottom w:w="100" w:type="dxa"/>
            </w:tcMar>
            <w:vAlign w:val="center"/>
          </w:tcPr>
          <w:p w14:paraId="4E1A3F94">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22A1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A9C178B">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371FA932">
            <w:pPr>
              <w:spacing w:line="480" w:lineRule="exact"/>
              <w:jc w:val="center"/>
              <w:rPr>
                <w:rFonts w:ascii="黑体" w:hAnsi="黑体" w:eastAsia="黑体" w:cs="黑体"/>
                <w:sz w:val="19"/>
                <w:szCs w:val="19"/>
              </w:rPr>
            </w:pPr>
            <w:r>
              <w:rPr>
                <w:rFonts w:hint="eastAsia" w:ascii="黑体" w:hAnsi="黑体" w:eastAsia="黑体" w:cs="黑体"/>
                <w:sz w:val="19"/>
                <w:szCs w:val="19"/>
              </w:rPr>
              <w:t>应急预案管理</w:t>
            </w:r>
          </w:p>
        </w:tc>
        <w:tc>
          <w:tcPr>
            <w:tcW w:w="883" w:type="pct"/>
            <w:shd w:val="clear" w:color="auto" w:fill="auto"/>
            <w:tcMar>
              <w:top w:w="100" w:type="dxa"/>
              <w:bottom w:w="100" w:type="dxa"/>
            </w:tcMar>
            <w:vAlign w:val="center"/>
          </w:tcPr>
          <w:p w14:paraId="4F35AA4C">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5C64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015" w:type="dxa"/>
            <w:vMerge w:val="continue"/>
            <w:shd w:val="clear" w:color="auto" w:fill="auto"/>
            <w:tcMar>
              <w:top w:w="100" w:type="dxa"/>
              <w:bottom w:w="100" w:type="dxa"/>
            </w:tcMar>
            <w:vAlign w:val="center"/>
          </w:tcPr>
          <w:p w14:paraId="735820AF">
            <w:pPr>
              <w:spacing w:line="480" w:lineRule="exact"/>
              <w:jc w:val="center"/>
              <w:rPr>
                <w:rFonts w:ascii="黑体" w:hAnsi="黑体" w:eastAsia="黑体" w:cs="黑体"/>
                <w:sz w:val="19"/>
                <w:szCs w:val="19"/>
              </w:rPr>
            </w:pPr>
          </w:p>
        </w:tc>
        <w:tc>
          <w:tcPr>
            <w:tcW w:w="4525" w:type="dxa"/>
            <w:shd w:val="clear" w:color="auto" w:fill="auto"/>
            <w:tcMar>
              <w:top w:w="100" w:type="dxa"/>
              <w:bottom w:w="100" w:type="dxa"/>
            </w:tcMar>
            <w:vAlign w:val="center"/>
          </w:tcPr>
          <w:p w14:paraId="2BA714E7">
            <w:pPr>
              <w:spacing w:line="480" w:lineRule="exact"/>
              <w:jc w:val="center"/>
              <w:rPr>
                <w:rFonts w:ascii="黑体" w:hAnsi="黑体" w:eastAsia="黑体" w:cs="黑体"/>
                <w:sz w:val="19"/>
                <w:szCs w:val="19"/>
              </w:rPr>
            </w:pPr>
            <w:r>
              <w:rPr>
                <w:rFonts w:hint="eastAsia" w:ascii="黑体" w:hAnsi="黑体" w:eastAsia="黑体" w:cs="黑体"/>
                <w:sz w:val="19"/>
                <w:szCs w:val="19"/>
              </w:rPr>
              <w:t>外包运维管理</w:t>
            </w:r>
          </w:p>
        </w:tc>
        <w:tc>
          <w:tcPr>
            <w:tcW w:w="883" w:type="pct"/>
            <w:shd w:val="clear" w:color="auto" w:fill="auto"/>
            <w:tcMar>
              <w:top w:w="100" w:type="dxa"/>
              <w:bottom w:w="100" w:type="dxa"/>
            </w:tcMar>
            <w:vAlign w:val="center"/>
          </w:tcPr>
          <w:p w14:paraId="020CF4A9">
            <w:pPr>
              <w:spacing w:line="480" w:lineRule="exact"/>
              <w:jc w:val="center"/>
              <w:rPr>
                <w:rFonts w:ascii="黑体" w:hAnsi="黑体" w:eastAsia="黑体" w:cs="黑体"/>
                <w:sz w:val="19"/>
                <w:szCs w:val="19"/>
              </w:rPr>
            </w:pPr>
            <w:r>
              <w:rPr>
                <w:rFonts w:hint="eastAsia" w:ascii="黑体" w:hAnsi="黑体" w:eastAsia="黑体" w:cs="黑体"/>
                <w:sz w:val="19"/>
                <w:szCs w:val="19"/>
              </w:rPr>
              <w:t>4</w:t>
            </w:r>
          </w:p>
        </w:tc>
      </w:tr>
      <w:tr w14:paraId="0A99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540" w:type="dxa"/>
            <w:gridSpan w:val="2"/>
            <w:shd w:val="clear" w:color="auto" w:fill="auto"/>
            <w:tcMar>
              <w:top w:w="15" w:type="dxa"/>
              <w:bottom w:w="15" w:type="dxa"/>
            </w:tcMar>
            <w:vAlign w:val="center"/>
          </w:tcPr>
          <w:p w14:paraId="36714A50">
            <w:pPr>
              <w:spacing w:line="480" w:lineRule="exact"/>
              <w:jc w:val="center"/>
              <w:rPr>
                <w:rFonts w:ascii="黑体" w:hAnsi="黑体" w:eastAsia="黑体" w:cs="黑体"/>
                <w:sz w:val="19"/>
                <w:szCs w:val="19"/>
              </w:rPr>
            </w:pPr>
            <w:r>
              <w:rPr>
                <w:rFonts w:hint="eastAsia" w:ascii="黑体" w:hAnsi="黑体" w:eastAsia="黑体" w:cs="黑体"/>
                <w:sz w:val="19"/>
                <w:szCs w:val="19"/>
              </w:rPr>
              <w:t xml:space="preserve">安全通用要求指标数量统计 </w:t>
            </w:r>
          </w:p>
        </w:tc>
        <w:tc>
          <w:tcPr>
            <w:tcW w:w="883" w:type="pct"/>
            <w:shd w:val="clear" w:color="auto" w:fill="auto"/>
            <w:tcMar>
              <w:top w:w="15" w:type="dxa"/>
              <w:bottom w:w="15" w:type="dxa"/>
            </w:tcMar>
            <w:vAlign w:val="center"/>
          </w:tcPr>
          <w:p w14:paraId="61154717">
            <w:pPr>
              <w:spacing w:line="480" w:lineRule="exact"/>
              <w:jc w:val="center"/>
              <w:rPr>
                <w:rFonts w:ascii="黑体" w:hAnsi="黑体" w:eastAsia="黑体" w:cs="黑体"/>
                <w:sz w:val="19"/>
                <w:szCs w:val="19"/>
              </w:rPr>
            </w:pPr>
            <w:r>
              <w:rPr>
                <w:rFonts w:hint="eastAsia" w:ascii="黑体" w:hAnsi="黑体" w:eastAsia="黑体" w:cs="黑体"/>
                <w:sz w:val="19"/>
                <w:szCs w:val="19"/>
              </w:rPr>
              <w:t>211</w:t>
            </w:r>
          </w:p>
        </w:tc>
      </w:tr>
    </w:tbl>
    <w:p w14:paraId="502D6542">
      <w:pPr>
        <w:rPr>
          <w:rFonts w:hint="eastAsia"/>
          <w:lang w:val="en-US" w:eastAsia="zh-CN"/>
        </w:rPr>
      </w:pPr>
    </w:p>
    <w:p w14:paraId="5E20938F">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default" w:ascii="黑体" w:hAnsi="黑体" w:eastAsia="黑体" w:cs="黑体"/>
          <w:b/>
          <w:bCs/>
          <w:color w:val="auto"/>
          <w:kern w:val="0"/>
          <w:sz w:val="19"/>
          <w:szCs w:val="19"/>
          <w:highlight w:val="none"/>
          <w:lang w:val="en-US" w:eastAsia="zh-CN" w:bidi="ar-SA"/>
        </w:rPr>
      </w:pPr>
      <w:r>
        <w:rPr>
          <w:rFonts w:hint="eastAsia" w:hAnsi="黑体" w:cs="黑体"/>
          <w:bCs/>
          <w:color w:val="auto"/>
          <w:sz w:val="19"/>
          <w:szCs w:val="19"/>
          <w:highlight w:val="none"/>
          <w:lang w:val="en-US" w:eastAsia="zh-CN"/>
        </w:rPr>
        <w:t>3.2.3. 服务质量要求</w:t>
      </w:r>
    </w:p>
    <w:p w14:paraId="37EB2E99">
      <w:pPr>
        <w:spacing w:line="480" w:lineRule="exact"/>
        <w:rPr>
          <w:rFonts w:ascii="黑体" w:hAnsi="黑体" w:eastAsia="黑体" w:cs="黑体"/>
          <w:sz w:val="19"/>
          <w:szCs w:val="19"/>
        </w:rPr>
      </w:pPr>
      <w:r>
        <w:rPr>
          <w:rFonts w:hint="eastAsia" w:ascii="黑体" w:hAnsi="黑体" w:eastAsia="黑体" w:cs="黑体"/>
          <w:sz w:val="19"/>
          <w:szCs w:val="19"/>
        </w:rPr>
        <w:t>1.保密要求</w:t>
      </w:r>
    </w:p>
    <w:p w14:paraId="1EEAE16A">
      <w:pPr>
        <w:spacing w:line="480" w:lineRule="exact"/>
        <w:rPr>
          <w:rFonts w:ascii="黑体" w:hAnsi="黑体" w:eastAsia="黑体" w:cs="黑体"/>
          <w:sz w:val="19"/>
          <w:szCs w:val="19"/>
        </w:rPr>
      </w:pPr>
      <w:r>
        <w:rPr>
          <w:rFonts w:hint="eastAsia" w:ascii="黑体" w:hAnsi="黑体" w:eastAsia="黑体" w:cs="黑体"/>
          <w:sz w:val="19"/>
          <w:szCs w:val="19"/>
        </w:rPr>
        <w:t>（1）供应商应严格遵守采购人有关保密的相关规定，不得泄漏采购人的任</w:t>
      </w:r>
      <w:r>
        <w:rPr>
          <w:rFonts w:hint="eastAsia" w:ascii="黑体" w:hAnsi="黑体" w:eastAsia="黑体" w:cs="黑体"/>
          <w:sz w:val="19"/>
          <w:szCs w:val="19"/>
          <w:highlight w:val="none"/>
        </w:rPr>
        <w:t>何机密，保密期限要求长期；</w:t>
      </w:r>
    </w:p>
    <w:p w14:paraId="7009598E">
      <w:pPr>
        <w:spacing w:line="480" w:lineRule="exact"/>
        <w:rPr>
          <w:rFonts w:ascii="黑体" w:hAnsi="黑体" w:eastAsia="黑体" w:cs="黑体"/>
          <w:sz w:val="19"/>
          <w:szCs w:val="19"/>
        </w:rPr>
      </w:pPr>
      <w:r>
        <w:rPr>
          <w:rFonts w:hint="eastAsia" w:ascii="黑体" w:hAnsi="黑体" w:eastAsia="黑体" w:cs="黑体"/>
          <w:sz w:val="19"/>
          <w:szCs w:val="19"/>
        </w:rPr>
        <w:t>（2）在技术服务期间，供应商对接触到的有关采购人工作活动、商业活动、技术情报和技术资料等文件进行保密。</w:t>
      </w:r>
    </w:p>
    <w:p w14:paraId="3521FDD8">
      <w:pPr>
        <w:spacing w:line="480" w:lineRule="exact"/>
        <w:rPr>
          <w:rFonts w:ascii="黑体" w:hAnsi="黑体" w:eastAsia="黑体" w:cs="黑体"/>
          <w:sz w:val="19"/>
          <w:szCs w:val="19"/>
        </w:rPr>
      </w:pPr>
      <w:r>
        <w:rPr>
          <w:rFonts w:hint="eastAsia" w:ascii="黑体" w:hAnsi="黑体" w:eastAsia="黑体" w:cs="黑体"/>
          <w:sz w:val="19"/>
          <w:szCs w:val="19"/>
        </w:rPr>
        <w:t>2.赔偿承诺与措施</w:t>
      </w:r>
    </w:p>
    <w:p w14:paraId="027B1D04">
      <w:pPr>
        <w:spacing w:line="480" w:lineRule="exact"/>
        <w:rPr>
          <w:rFonts w:ascii="黑体" w:hAnsi="黑体" w:eastAsia="黑体" w:cs="黑体"/>
          <w:sz w:val="19"/>
          <w:szCs w:val="19"/>
        </w:rPr>
      </w:pPr>
      <w:r>
        <w:rPr>
          <w:rFonts w:hint="eastAsia" w:ascii="黑体" w:hAnsi="黑体" w:eastAsia="黑体" w:cs="黑体"/>
          <w:sz w:val="19"/>
          <w:szCs w:val="19"/>
        </w:rPr>
        <w:t>（1）在测评服务期间，如果出现因供应商责任，未能在承诺时间内恢复业务运行，采购人有权请第三方进行解决处理，由此所产生的一切费用由供应商承担。</w:t>
      </w:r>
    </w:p>
    <w:p w14:paraId="1E4752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（2）测评服务期间，供应商不符合或达不到合同中要求的技术服务标准，采购人可以提前终止或解除合同。</w:t>
      </w:r>
    </w:p>
    <w:p w14:paraId="20D086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3.整改咨询服务：</w:t>
      </w:r>
    </w:p>
    <w:p w14:paraId="2E50C034">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测评结束后，供应商需免费提供至少一年整改咨询服务，就本项目成果中的具体内容提供解释，提供信息系统等级保护相关工作的技术支持和咨询服务，以帮助采购人提高安全防护能力。</w:t>
      </w:r>
    </w:p>
    <w:p w14:paraId="499AF0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sz w:val="19"/>
          <w:szCs w:val="19"/>
          <w:highlight w:val="none"/>
          <w:lang w:val="en-US" w:eastAsia="zh-CN"/>
        </w:rPr>
      </w:pPr>
      <w:r>
        <w:rPr>
          <w:rFonts w:hint="eastAsia" w:ascii="黑体" w:hAnsi="黑体" w:eastAsia="黑体" w:cs="黑体"/>
          <w:kern w:val="2"/>
          <w:sz w:val="19"/>
          <w:szCs w:val="19"/>
          <w:highlight w:val="none"/>
          <w:lang w:val="en-US" w:eastAsia="zh-CN" w:bidi="ar-SA"/>
        </w:rPr>
        <w:t>4.</w:t>
      </w:r>
      <w:r>
        <w:rPr>
          <w:rFonts w:hint="eastAsia" w:ascii="黑体" w:hAnsi="黑体" w:eastAsia="黑体" w:cs="黑体"/>
          <w:sz w:val="19"/>
          <w:szCs w:val="19"/>
          <w:highlight w:val="none"/>
          <w:lang w:val="en-US" w:eastAsia="zh-CN"/>
        </w:rPr>
        <w:t>网络与信息安全信息通报服务要求：</w:t>
      </w:r>
    </w:p>
    <w:p w14:paraId="4E738F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供应商需要在测评结束后，提供至少的一年网络信息安全通报服务，要与采购人建立完善的通报和沟通机制，及时按照国家标准提供对应服务。</w:t>
      </w:r>
    </w:p>
    <w:p w14:paraId="48DF8C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5.测评工具配备</w:t>
      </w:r>
    </w:p>
    <w:p w14:paraId="204EC445">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测评过程使用专用测评设备，使用的技术装备、设施应当符合《信息安全等级保护管理办法》对信息安全产品的要求；</w:t>
      </w:r>
    </w:p>
    <w:p w14:paraId="221404C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6.</w:t>
      </w:r>
      <w:r>
        <w:rPr>
          <w:rFonts w:hint="default" w:ascii="黑体" w:hAnsi="黑体" w:eastAsia="黑体" w:cs="黑体"/>
          <w:sz w:val="19"/>
          <w:szCs w:val="19"/>
          <w:highlight w:val="none"/>
          <w:lang w:val="en-US" w:eastAsia="zh-CN"/>
        </w:rPr>
        <w:t>各供应商按需可自行前往项目所在地进行实地踏勘或查看。不论供应商是否踏勘，与本项目实施的所有因素、细节由供应商自行考虑并承担相关不利风险。踏勘过程中所产生的任何费用及安全问题由供应商自行承担。</w:t>
      </w:r>
    </w:p>
    <w:p w14:paraId="626616ED">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3.2.4 交付成果及交付内容</w:t>
      </w:r>
    </w:p>
    <w:p w14:paraId="121195E4">
      <w:pPr>
        <w:keepNext w:val="0"/>
        <w:keepLines w:val="0"/>
        <w:pageBreakBefore w:val="0"/>
        <w:widowControl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在本次安全检测服务中，供应商须协助采购人取得《信息系统安全等级保护备案证明》，并提交的主要成果文档包含如下：</w:t>
      </w:r>
    </w:p>
    <w:p w14:paraId="1F65CA91">
      <w:pPr>
        <w:keepNext w:val="0"/>
        <w:keepLines w:val="0"/>
        <w:pageBreakBefore w:val="0"/>
        <w:widowControl w:val="0"/>
        <w:kinsoku/>
        <w:wordWrap/>
        <w:overflowPunct/>
        <w:topLinePunct w:val="0"/>
        <w:autoSpaceDE/>
        <w:autoSpaceDN/>
        <w:bidi w:val="0"/>
        <w:adjustRightInd/>
        <w:snapToGrid/>
        <w:spacing w:line="480" w:lineRule="exact"/>
        <w:ind w:firstLine="190" w:firstLineChars="1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1.《网络安全等级保护测评报告》；</w:t>
      </w:r>
    </w:p>
    <w:p w14:paraId="6C436B64">
      <w:pPr>
        <w:keepNext w:val="0"/>
        <w:keepLines w:val="0"/>
        <w:pageBreakBefore w:val="0"/>
        <w:widowControl w:val="0"/>
        <w:kinsoku/>
        <w:wordWrap/>
        <w:overflowPunct/>
        <w:topLinePunct w:val="0"/>
        <w:autoSpaceDE/>
        <w:autoSpaceDN/>
        <w:bidi w:val="0"/>
        <w:adjustRightInd/>
        <w:snapToGrid/>
        <w:spacing w:line="480" w:lineRule="exact"/>
        <w:ind w:firstLine="190" w:firstLineChars="1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2.《安全巡检报告》；</w:t>
      </w:r>
    </w:p>
    <w:p w14:paraId="2C2CFC37">
      <w:pPr>
        <w:keepNext w:val="0"/>
        <w:keepLines w:val="0"/>
        <w:pageBreakBefore w:val="0"/>
        <w:widowControl w:val="0"/>
        <w:kinsoku/>
        <w:wordWrap/>
        <w:overflowPunct/>
        <w:topLinePunct w:val="0"/>
        <w:autoSpaceDE/>
        <w:autoSpaceDN/>
        <w:bidi w:val="0"/>
        <w:adjustRightInd/>
        <w:snapToGrid/>
        <w:spacing w:line="480" w:lineRule="exact"/>
        <w:ind w:firstLine="190" w:firstLineChars="1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3.《安全检测报告》；</w:t>
      </w:r>
    </w:p>
    <w:p w14:paraId="5BBCFB05">
      <w:pPr>
        <w:keepNext w:val="0"/>
        <w:keepLines w:val="0"/>
        <w:pageBreakBefore w:val="0"/>
        <w:widowControl w:val="0"/>
        <w:kinsoku/>
        <w:wordWrap/>
        <w:overflowPunct/>
        <w:topLinePunct w:val="0"/>
        <w:autoSpaceDE/>
        <w:autoSpaceDN/>
        <w:bidi w:val="0"/>
        <w:adjustRightInd/>
        <w:snapToGrid/>
        <w:spacing w:line="480" w:lineRule="exact"/>
        <w:ind w:firstLine="190" w:firstLineChars="1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4.《整改建议报告》。</w:t>
      </w:r>
    </w:p>
    <w:p w14:paraId="2C678F38">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3.2.5 人员配置要求</w:t>
      </w:r>
    </w:p>
    <w:p w14:paraId="42E10568">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 xml:space="preserve">1.供应商应提供满足本项目服务需求的人员配置，提供项目组成员名单及相应的资格证书。 </w:t>
      </w:r>
    </w:p>
    <w:p w14:paraId="7BDFEA64">
      <w:pPr>
        <w:pStyle w:val="25"/>
        <w:pageBreakBefore w:val="0"/>
        <w:kinsoku/>
        <w:wordWrap/>
        <w:overflowPunct/>
        <w:topLinePunct w:val="0"/>
        <w:bidi w:val="0"/>
        <w:spacing w:before="89"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2.服务人员在工作期间发生任何经济赔偿、劳动纠纷、法律纠纷、安全事故、疾病等等有关问题均由中标人负责处理并承担相应责任，采购人不承担连带责任。</w:t>
      </w:r>
    </w:p>
    <w:p w14:paraId="2A67C7FF">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3.2.6 设施设备或工具配置要求</w:t>
      </w:r>
    </w:p>
    <w:p w14:paraId="7EA3799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供应商应提供满足本项目服务需求的设施设备或工具配置方案。</w:t>
      </w:r>
    </w:p>
    <w:p w14:paraId="5D47DA07">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ascii="黑体" w:hAnsi="黑体" w:eastAsia="黑体" w:cs="黑体"/>
          <w:color w:val="000000"/>
          <w:sz w:val="19"/>
          <w:szCs w:val="19"/>
          <w:highlight w:val="none"/>
          <w:lang w:eastAsia="zh-CN"/>
        </w:rPr>
      </w:pPr>
      <w:r>
        <w:rPr>
          <w:rFonts w:hint="eastAsia" w:hAnsi="黑体" w:cs="黑体"/>
          <w:bCs/>
          <w:color w:val="auto"/>
          <w:sz w:val="19"/>
          <w:szCs w:val="19"/>
          <w:highlight w:val="none"/>
          <w:lang w:val="en-US" w:eastAsia="zh-CN"/>
        </w:rPr>
        <w:t xml:space="preserve">3.2.7 </w:t>
      </w:r>
      <w:r>
        <w:rPr>
          <w:rFonts w:hint="eastAsia" w:ascii="黑体" w:hAnsi="黑体" w:eastAsia="黑体" w:cs="黑体"/>
          <w:b/>
          <w:color w:val="000000"/>
          <w:sz w:val="19"/>
          <w:szCs w:val="19"/>
          <w:highlight w:val="none"/>
        </w:rPr>
        <w:t>需要由供应商提供的服务方案、解决方案或者组织方案</w:t>
      </w:r>
      <w:r>
        <w:rPr>
          <w:rFonts w:hint="eastAsia" w:ascii="黑体" w:hAnsi="黑体" w:eastAsia="黑体" w:cs="黑体"/>
          <w:b/>
          <w:color w:val="000000"/>
          <w:sz w:val="19"/>
          <w:szCs w:val="19"/>
          <w:highlight w:val="none"/>
          <w:lang w:eastAsia="zh-CN"/>
        </w:rPr>
        <w:t xml:space="preserve"> </w:t>
      </w:r>
    </w:p>
    <w:p w14:paraId="121C099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1、重点难点分析及解决方案</w:t>
      </w:r>
    </w:p>
    <w:p w14:paraId="618CEFB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 xml:space="preserve">供应商应针对本项目实际情况结合过往经验分析并指出项目实施过程中潜在的困难点、风险点，并能够给出妥善的解决方案。  </w:t>
      </w:r>
    </w:p>
    <w:p w14:paraId="0AFD17DD">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2、应急保障组织方案</w:t>
      </w:r>
    </w:p>
    <w:p w14:paraId="0FA5486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供应商应制定合理可行的应急保障组织方案，通过优化组织程序，提高不可预见事件的处理效率、加强控制保障等多种手段，确保项目顺利进行。</w:t>
      </w:r>
    </w:p>
    <w:p w14:paraId="0FB0BC85">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3、增值服务组织方案及合理化建议</w:t>
      </w:r>
    </w:p>
    <w:p w14:paraId="4AD72DF8">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供应商根据自身情况提供组织方案及合理化建议。</w:t>
      </w:r>
    </w:p>
    <w:p w14:paraId="152B571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4、保密措施</w:t>
      </w:r>
    </w:p>
    <w:p w14:paraId="520F2496">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供应商应制定实施过程中的风险防范措施</w:t>
      </w:r>
      <w:r>
        <w:rPr>
          <w:rFonts w:hint="eastAsia" w:ascii="黑体" w:hAnsi="黑体" w:eastAsia="黑体" w:cs="黑体"/>
          <w:sz w:val="19"/>
          <w:szCs w:val="19"/>
          <w:lang w:val="en-US" w:eastAsia="zh-CN"/>
        </w:rPr>
        <w:t>和</w:t>
      </w:r>
      <w:r>
        <w:rPr>
          <w:rFonts w:hint="eastAsia" w:ascii="黑体" w:hAnsi="黑体" w:eastAsia="黑体" w:cs="黑体"/>
          <w:sz w:val="19"/>
          <w:szCs w:val="19"/>
          <w:lang w:eastAsia="zh-CN"/>
        </w:rPr>
        <w:t>保密措施，确保项目团队对项目执行中所获知信息保密。本项目所形成的数据成果归采购人所有。未经采购人同意，供应商不得以商业目的使用该资料或者开发和生产其他产品。</w:t>
      </w:r>
      <w:r>
        <w:rPr>
          <w:rFonts w:hint="eastAsia" w:ascii="黑体" w:hAnsi="黑体" w:eastAsia="黑体" w:cs="黑体"/>
          <w:sz w:val="19"/>
          <w:szCs w:val="19"/>
          <w:lang w:val="en-US" w:eastAsia="zh-CN"/>
        </w:rPr>
        <w:t xml:space="preserve"> </w:t>
      </w:r>
    </w:p>
    <w:p w14:paraId="47BE1653">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5、售后服务和培训服务</w:t>
      </w:r>
    </w:p>
    <w:p w14:paraId="342869DD">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供应商应配套专业培训、技术服务和支持，确保售后服务稳定。</w:t>
      </w:r>
    </w:p>
    <w:p w14:paraId="233B760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6、服务承诺</w:t>
      </w:r>
    </w:p>
    <w:p w14:paraId="17A7822C">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针对本项目服务工作中的常见质量和服务问题进行梳理，供应商可根据自身情况对服务标准、过程管理、质量保证、人员培训、后续服务等方面作出有利于本项目开展的承诺。</w:t>
      </w:r>
    </w:p>
    <w:p w14:paraId="2E9D4BAE">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7、质量保障要求</w:t>
      </w:r>
    </w:p>
    <w:p w14:paraId="31230905">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val="en-US" w:eastAsia="zh-CN"/>
        </w:rPr>
        <w:t>供应商</w:t>
      </w:r>
      <w:r>
        <w:rPr>
          <w:rFonts w:hint="eastAsia" w:ascii="黑体" w:hAnsi="黑体" w:eastAsia="黑体" w:cs="黑体"/>
          <w:sz w:val="19"/>
          <w:szCs w:val="19"/>
          <w:lang w:eastAsia="zh-CN"/>
        </w:rPr>
        <w:t>应建立完善的质量控制体系，确保服务过程和成果符合国家、陕西省及行业相关规定，且内容真实、准确、完整。</w:t>
      </w:r>
      <w:r>
        <w:rPr>
          <w:rFonts w:hint="eastAsia" w:ascii="黑体" w:hAnsi="黑体" w:eastAsia="黑体" w:cs="黑体"/>
          <w:sz w:val="19"/>
          <w:szCs w:val="19"/>
          <w:lang w:val="en-US" w:eastAsia="zh-CN"/>
        </w:rPr>
        <w:t xml:space="preserve">  </w:t>
      </w:r>
    </w:p>
    <w:p w14:paraId="7C8469F4">
      <w:pPr>
        <w:pStyle w:val="25"/>
        <w:keepNext w:val="0"/>
        <w:keepLines w:val="0"/>
        <w:pageBreakBefore w:val="0"/>
        <w:kinsoku/>
        <w:wordWrap/>
        <w:overflowPunct/>
        <w:topLinePunct w:val="0"/>
        <w:bidi w:val="0"/>
        <w:spacing w:before="86" w:beforeLines="20" w:line="480" w:lineRule="exact"/>
        <w:rPr>
          <w:rFonts w:hint="eastAsia" w:ascii="黑体" w:hAnsi="黑体" w:eastAsia="黑体" w:cs="黑体"/>
          <w:sz w:val="19"/>
          <w:szCs w:val="19"/>
          <w:lang w:eastAsia="zh-CN"/>
        </w:rPr>
      </w:pPr>
      <w:r>
        <w:rPr>
          <w:rFonts w:hint="eastAsia" w:ascii="黑体" w:hAnsi="黑体" w:eastAsia="黑体" w:cs="黑体"/>
          <w:b/>
          <w:bCs/>
          <w:sz w:val="19"/>
          <w:szCs w:val="19"/>
          <w:lang w:val="en-US" w:eastAsia="zh-CN"/>
        </w:rPr>
        <w:t>3.3商务要求</w:t>
      </w:r>
    </w:p>
    <w:p w14:paraId="0BEEAE9C">
      <w:pPr>
        <w:pStyle w:val="4"/>
        <w:keepNext w:val="0"/>
        <w:keepLines w:val="0"/>
        <w:pageBreakBefore w:val="0"/>
        <w:numPr>
          <w:ilvl w:val="2"/>
          <w:numId w:val="0"/>
        </w:numPr>
        <w:kinsoku/>
        <w:wordWrap/>
        <w:overflowPunct/>
        <w:topLinePunct w:val="0"/>
        <w:bidi w:val="0"/>
        <w:spacing w:before="86" w:beforeLines="20" w:line="480" w:lineRule="exact"/>
        <w:rPr>
          <w:rFonts w:hAnsi="黑体" w:cs="黑体"/>
          <w:sz w:val="19"/>
          <w:szCs w:val="19"/>
        </w:rPr>
      </w:pPr>
      <w:r>
        <w:rPr>
          <w:rFonts w:hint="eastAsia" w:hAnsi="黑体" w:cs="黑体"/>
          <w:sz w:val="19"/>
          <w:szCs w:val="19"/>
        </w:rPr>
        <w:t>3.3.1 服务期限</w:t>
      </w:r>
    </w:p>
    <w:p w14:paraId="5AFD809F">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color w:val="000000"/>
          <w:sz w:val="19"/>
          <w:szCs w:val="19"/>
          <w:highlight w:val="none"/>
          <w:lang w:val="en-US" w:eastAsia="zh-CN"/>
        </w:rPr>
        <w:t>供应商履行完毕合同所约定的全部内容，并提交相应成果后，服务期终止。</w:t>
      </w:r>
    </w:p>
    <w:p w14:paraId="3DB4C376">
      <w:pPr>
        <w:pStyle w:val="25"/>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rPr>
      </w:pPr>
      <w:r>
        <w:rPr>
          <w:rFonts w:ascii="黑体" w:hAnsi="黑体" w:eastAsia="黑体" w:cs="黑体"/>
          <w:b/>
          <w:sz w:val="19"/>
          <w:szCs w:val="19"/>
        </w:rPr>
        <w:t>3.3.2服务地点</w:t>
      </w:r>
    </w:p>
    <w:p w14:paraId="778BA042">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采购人指定地点。</w:t>
      </w:r>
    </w:p>
    <w:p w14:paraId="68FEC6CC">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3.3.3考核（验收）标准和方法</w:t>
      </w:r>
    </w:p>
    <w:p w14:paraId="6F102A8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highlight w:val="none"/>
        </w:rPr>
      </w:pPr>
      <w:r>
        <w:rPr>
          <w:rFonts w:hint="eastAsia" w:ascii="黑体" w:hAnsi="黑体" w:eastAsia="黑体" w:cs="黑体"/>
          <w:color w:val="000000"/>
          <w:sz w:val="19"/>
          <w:szCs w:val="19"/>
          <w:highlight w:val="none"/>
        </w:rPr>
        <w:t>根据成交人提供</w:t>
      </w:r>
      <w:r>
        <w:rPr>
          <w:rFonts w:hint="eastAsia" w:ascii="黑体" w:hAnsi="黑体" w:eastAsia="黑体" w:cs="黑体"/>
          <w:color w:val="000000"/>
          <w:sz w:val="19"/>
          <w:szCs w:val="19"/>
          <w:highlight w:val="none"/>
          <w:lang w:eastAsia="zh-CN"/>
        </w:rPr>
        <w:t>完成本项目的</w:t>
      </w:r>
      <w:r>
        <w:rPr>
          <w:rFonts w:hint="eastAsia" w:ascii="黑体" w:hAnsi="黑体" w:eastAsia="黑体" w:cs="黑体"/>
          <w:color w:val="000000"/>
          <w:sz w:val="19"/>
          <w:szCs w:val="19"/>
          <w:highlight w:val="none"/>
        </w:rPr>
        <w:t>相关成果资料，由采购人自行组织验收。</w:t>
      </w:r>
      <w:r>
        <w:rPr>
          <w:rFonts w:hint="eastAsia" w:ascii="黑体" w:hAnsi="黑体" w:eastAsia="黑体" w:cs="黑体"/>
          <w:color w:val="000000"/>
          <w:sz w:val="19"/>
          <w:szCs w:val="19"/>
          <w:highlight w:val="none"/>
          <w:lang w:eastAsia="zh-CN"/>
        </w:rPr>
        <w:t>验收标准</w:t>
      </w:r>
      <w:r>
        <w:rPr>
          <w:rFonts w:hint="eastAsia" w:ascii="黑体" w:hAnsi="黑体" w:eastAsia="黑体" w:cs="黑体"/>
          <w:color w:val="000000"/>
          <w:sz w:val="19"/>
          <w:szCs w:val="19"/>
          <w:highlight w:val="none"/>
        </w:rPr>
        <w:t>符合国家相关标准及磋商文件要求。</w:t>
      </w:r>
    </w:p>
    <w:p w14:paraId="59B4A874">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highlight w:val="none"/>
        </w:rPr>
      </w:pPr>
      <w:r>
        <w:rPr>
          <w:rFonts w:hint="eastAsia" w:ascii="黑体" w:hAnsi="黑体" w:eastAsia="黑体" w:cs="黑体"/>
          <w:b/>
          <w:sz w:val="19"/>
          <w:szCs w:val="19"/>
          <w:highlight w:val="none"/>
        </w:rPr>
        <w:t>3.3.4支付方式</w:t>
      </w:r>
    </w:p>
    <w:p w14:paraId="4771C8C0">
      <w:pPr>
        <w:pStyle w:val="8"/>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结算前成交人须开具等额发票给采购人，采购人收到发票后，按照以下付款方式结算，否则导致的付款延误，责任由成交人自行承担。</w:t>
      </w:r>
    </w:p>
    <w:p w14:paraId="0ADABCFF">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lang w:eastAsia="zh-CN"/>
        </w:rPr>
        <w:t>）合同签订后，乙方向甲方开具相应额度增值税发票，达到付款条件起 15 日内，支付合同总金额的 80.00%。</w:t>
      </w:r>
    </w:p>
    <w:p w14:paraId="6DDFBFA0">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）服务任务完成</w:t>
      </w:r>
      <w:r>
        <w:rPr>
          <w:rFonts w:hint="eastAsia" w:ascii="黑体" w:hAnsi="黑体" w:eastAsia="黑体" w:cs="黑体"/>
          <w:sz w:val="19"/>
          <w:szCs w:val="19"/>
          <w:highlight w:val="none"/>
          <w:lang w:val="en-US" w:eastAsia="zh-CN"/>
        </w:rPr>
        <w:t>并通过验收后</w:t>
      </w:r>
      <w:r>
        <w:rPr>
          <w:rFonts w:hint="eastAsia" w:ascii="黑体" w:hAnsi="黑体" w:eastAsia="黑体" w:cs="黑体"/>
          <w:sz w:val="19"/>
          <w:szCs w:val="19"/>
          <w:highlight w:val="none"/>
          <w:lang w:eastAsia="zh-CN"/>
        </w:rPr>
        <w:t>，乙方向甲方提出付款申请，并向甲方开具剩余相应额度的增值税发票，达到付款条件起 15 日内，支付合同总金额的 20.00%。</w:t>
      </w:r>
    </w:p>
    <w:p w14:paraId="1FFEE6B6">
      <w:pPr>
        <w:pStyle w:val="25"/>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lang w:eastAsia="zh-CN"/>
        </w:rPr>
      </w:pPr>
      <w:r>
        <w:rPr>
          <w:rFonts w:ascii="黑体" w:hAnsi="黑体" w:eastAsia="黑体" w:cs="黑体"/>
          <w:b/>
          <w:sz w:val="19"/>
          <w:szCs w:val="19"/>
          <w:lang w:eastAsia="zh-CN"/>
        </w:rPr>
        <w:t>3.3.5违约责任与解决争议的方法</w:t>
      </w:r>
    </w:p>
    <w:p w14:paraId="5E9AE548">
      <w:pPr>
        <w:pStyle w:val="25"/>
        <w:keepNext w:val="0"/>
        <w:keepLines w:val="0"/>
        <w:pageBreakBefore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 xml:space="preserve">根据磋商文件要求、响应文件及合同约定执行。  </w:t>
      </w:r>
      <w:r>
        <w:rPr>
          <w:rFonts w:hint="eastAsia" w:ascii="黑体" w:hAnsi="黑体" w:eastAsia="黑体" w:cs="黑体"/>
          <w:b/>
          <w:color w:val="000000"/>
          <w:sz w:val="19"/>
          <w:szCs w:val="19"/>
          <w:highlight w:val="none"/>
          <w:lang w:val="en-US" w:eastAsia="zh-CN"/>
        </w:rPr>
        <w:br w:type="textWrapping"/>
      </w:r>
      <w:r>
        <w:rPr>
          <w:rFonts w:hint="eastAsia" w:ascii="黑体" w:hAnsi="黑体" w:eastAsia="黑体" w:cs="黑体"/>
          <w:color w:val="000000"/>
          <w:sz w:val="19"/>
          <w:szCs w:val="19"/>
          <w:highlight w:val="none"/>
          <w:lang w:val="en-US" w:eastAsia="zh-CN"/>
        </w:rPr>
        <w:t>3.3.6</w:t>
      </w:r>
      <w:r>
        <w:rPr>
          <w:rFonts w:hint="eastAsia" w:ascii="黑体" w:hAnsi="黑体" w:eastAsia="黑体" w:cs="黑体"/>
          <w:b/>
          <w:bCs/>
          <w:color w:val="000000"/>
          <w:sz w:val="19"/>
          <w:szCs w:val="19"/>
          <w:highlight w:val="none"/>
          <w:lang w:eastAsia="zh-CN"/>
        </w:rPr>
        <w:t>其他要求</w:t>
      </w:r>
    </w:p>
    <w:p w14:paraId="5F09BF83">
      <w:pPr>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无</w:t>
      </w:r>
      <w:r>
        <w:rPr>
          <w:rFonts w:hint="eastAsia" w:ascii="黑体" w:hAnsi="黑体" w:eastAsia="黑体" w:cs="黑体"/>
          <w:color w:val="000000"/>
          <w:sz w:val="19"/>
          <w:szCs w:val="19"/>
          <w:highlight w:val="none"/>
          <w:lang w:eastAsia="zh-CN"/>
        </w:rPr>
        <w:br w:type="page"/>
      </w:r>
    </w:p>
    <w:p w14:paraId="4EAFEFDE">
      <w:pPr>
        <w:pStyle w:val="2"/>
        <w:wordWrap/>
        <w:bidi w:val="0"/>
        <w:rPr>
          <w:rFonts w:hint="eastAsia"/>
        </w:rPr>
      </w:pPr>
      <w:bookmarkStart w:id="34" w:name="_Toc12756"/>
      <w:bookmarkStart w:id="35" w:name="_Toc18892"/>
      <w:r>
        <w:rPr>
          <w:rFonts w:hint="eastAsia"/>
        </w:rPr>
        <w:t>第四章 资格审查</w:t>
      </w:r>
      <w:bookmarkEnd w:id="34"/>
      <w:bookmarkEnd w:id="35"/>
    </w:p>
    <w:p w14:paraId="22451045">
      <w:pPr>
        <w:keepNext w:val="0"/>
        <w:keepLines w:val="0"/>
        <w:pageBreakBefore w:val="0"/>
        <w:widowControl w:val="0"/>
        <w:kinsoku/>
        <w:wordWrap/>
        <w:overflowPunct/>
        <w:topLinePunct w:val="0"/>
        <w:autoSpaceDE/>
        <w:autoSpaceDN/>
        <w:bidi w:val="0"/>
        <w:adjustRightInd/>
        <w:snapToGrid/>
        <w:spacing w:before="86" w:beforeLines="20" w:line="480" w:lineRule="exact"/>
        <w:ind w:firstLine="400" w:firstLineChars="200"/>
        <w:textAlignment w:val="auto"/>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b w:val="0"/>
          <w:bCs w:val="0"/>
          <w:color w:val="auto"/>
          <w:sz w:val="20"/>
          <w:szCs w:val="20"/>
          <w:highlight w:val="none"/>
          <w:lang w:val="en-US" w:eastAsia="zh-CN"/>
        </w:rPr>
        <w:t>资格审查由采购人依据法律法规和磋商文件的规定，对响应文件中的资格证明文件等进行审查，以确定投标人是否具备投标资格，并出具《</w:t>
      </w:r>
      <w:r>
        <w:rPr>
          <w:rFonts w:hint="eastAsia" w:ascii="黑体" w:hAnsi="黑体" w:eastAsia="黑体" w:cs="黑体"/>
          <w:color w:val="000000" w:themeColor="text1"/>
          <w:sz w:val="19"/>
          <w:szCs w:val="19"/>
          <w:highlight w:val="none"/>
          <w:lang w:eastAsia="zh-CN"/>
          <w14:textFill>
            <w14:solidFill>
              <w14:schemeClr w14:val="tx1"/>
            </w14:solidFill>
          </w14:textFill>
        </w:rPr>
        <w:t>资格审查一览表》，</w:t>
      </w:r>
      <w:r>
        <w:rPr>
          <w:rFonts w:hint="eastAsia" w:ascii="黑体" w:hAnsi="黑体" w:eastAsia="黑体" w:cs="黑体"/>
          <w:b w:val="0"/>
          <w:bCs w:val="0"/>
          <w:color w:val="auto"/>
          <w:sz w:val="20"/>
          <w:szCs w:val="20"/>
          <w:highlight w:val="none"/>
          <w:lang w:val="en-US" w:eastAsia="zh-CN"/>
        </w:rPr>
        <w:t>资格审查标准及要求如下：</w:t>
      </w:r>
    </w:p>
    <w:p w14:paraId="3B6F85BB">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一般资格审查：基本资格条件</w:t>
      </w:r>
    </w:p>
    <w:tbl>
      <w:tblPr>
        <w:tblStyle w:val="20"/>
        <w:tblW w:w="95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2633"/>
        <w:gridCol w:w="6210"/>
      </w:tblGrid>
      <w:tr w14:paraId="68A7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trPr>
        <w:tc>
          <w:tcPr>
            <w:tcW w:w="674" w:type="dxa"/>
            <w:vAlign w:val="center"/>
          </w:tcPr>
          <w:p w14:paraId="4F027AA4">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633" w:type="dxa"/>
            <w:vAlign w:val="center"/>
          </w:tcPr>
          <w:p w14:paraId="4D33B9C6">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资格审查要求概况</w:t>
            </w:r>
          </w:p>
        </w:tc>
        <w:tc>
          <w:tcPr>
            <w:tcW w:w="6210" w:type="dxa"/>
            <w:vAlign w:val="center"/>
          </w:tcPr>
          <w:p w14:paraId="2FC3DE14">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评审点具体描述</w:t>
            </w:r>
          </w:p>
        </w:tc>
      </w:tr>
      <w:tr w14:paraId="5506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rPr>
        <w:tc>
          <w:tcPr>
            <w:tcW w:w="674" w:type="dxa"/>
            <w:vAlign w:val="center"/>
          </w:tcPr>
          <w:p w14:paraId="28FF0649">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633" w:type="dxa"/>
            <w:vAlign w:val="center"/>
          </w:tcPr>
          <w:p w14:paraId="6018B62F">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主体资格</w:t>
            </w:r>
          </w:p>
        </w:tc>
        <w:tc>
          <w:tcPr>
            <w:tcW w:w="6210" w:type="dxa"/>
            <w:vAlign w:val="center"/>
          </w:tcPr>
          <w:p w14:paraId="465CB42F">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具有独立承担民事责任能力的法人、其他组织或自然人；提供有效存续的证明文件。</w:t>
            </w:r>
          </w:p>
        </w:tc>
      </w:tr>
      <w:tr w14:paraId="6F14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6" w:hRule="atLeast"/>
        </w:trPr>
        <w:tc>
          <w:tcPr>
            <w:tcW w:w="674" w:type="dxa"/>
            <w:vAlign w:val="center"/>
          </w:tcPr>
          <w:p w14:paraId="04522302">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633" w:type="dxa"/>
            <w:vAlign w:val="center"/>
          </w:tcPr>
          <w:p w14:paraId="30B949E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财务状况报告</w:t>
            </w:r>
          </w:p>
        </w:tc>
        <w:tc>
          <w:tcPr>
            <w:tcW w:w="6210" w:type="dxa"/>
            <w:vAlign w:val="center"/>
          </w:tcPr>
          <w:p w14:paraId="75ABB359">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040054">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注：</w:t>
            </w:r>
            <w:r>
              <w:rPr>
                <w:rFonts w:hint="eastAsia" w:ascii="黑体" w:hAnsi="黑体" w:eastAsia="黑体" w:cs="黑体"/>
                <w:b/>
                <w:bCs/>
                <w:color w:val="000000" w:themeColor="text1"/>
                <w:kern w:val="2"/>
                <w:sz w:val="19"/>
                <w:szCs w:val="19"/>
                <w:highlight w:val="none"/>
                <w:u w:val="single"/>
                <w:lang w:val="en-US" w:eastAsia="zh-CN" w:bidi="ar-SA"/>
                <w14:textFill>
                  <w14:solidFill>
                    <w14:schemeClr w14:val="tx1"/>
                  </w14:solidFill>
                </w14:textFill>
              </w:rPr>
              <w:t>① 根据“财办〔2022〕32号、财会〔2023〕15号”的规定，审计报告应在注册会计师行业统一监管平台（http://acc.mof.gov.cn/）进行自动赋码验证。未赋码的视为不满足本项资格条件要求。② 资信证明不限定采购人或项目名称，包括但不限于本项目。</w:t>
            </w:r>
          </w:p>
        </w:tc>
      </w:tr>
      <w:tr w14:paraId="74C5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trPr>
        <w:tc>
          <w:tcPr>
            <w:tcW w:w="674" w:type="dxa"/>
            <w:vAlign w:val="center"/>
          </w:tcPr>
          <w:p w14:paraId="29E638E4">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633" w:type="dxa"/>
            <w:vAlign w:val="center"/>
          </w:tcPr>
          <w:p w14:paraId="0DB0A7A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税收缴纳证明</w:t>
            </w:r>
          </w:p>
        </w:tc>
        <w:tc>
          <w:tcPr>
            <w:tcW w:w="6210" w:type="dxa"/>
            <w:vAlign w:val="center"/>
          </w:tcPr>
          <w:p w14:paraId="532F1E4C">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tc>
      </w:tr>
      <w:tr w14:paraId="7277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674" w:type="dxa"/>
            <w:vAlign w:val="center"/>
          </w:tcPr>
          <w:p w14:paraId="14A94947">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633" w:type="dxa"/>
            <w:vAlign w:val="center"/>
          </w:tcPr>
          <w:p w14:paraId="6FDD8F4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社会保障资金缴纳证明</w:t>
            </w:r>
          </w:p>
        </w:tc>
        <w:tc>
          <w:tcPr>
            <w:tcW w:w="6210" w:type="dxa"/>
            <w:vAlign w:val="center"/>
          </w:tcPr>
          <w:p w14:paraId="3CF772FF">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tc>
      </w:tr>
      <w:tr w14:paraId="74267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7" w:hRule="atLeast"/>
        </w:trPr>
        <w:tc>
          <w:tcPr>
            <w:tcW w:w="674" w:type="dxa"/>
            <w:vAlign w:val="center"/>
          </w:tcPr>
          <w:p w14:paraId="4631F012">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633" w:type="dxa"/>
            <w:vAlign w:val="center"/>
          </w:tcPr>
          <w:p w14:paraId="21AD8F0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具有履行合同所必需的设备和专业技术能力的承诺函</w:t>
            </w:r>
          </w:p>
        </w:tc>
        <w:tc>
          <w:tcPr>
            <w:tcW w:w="6210" w:type="dxa"/>
            <w:vAlign w:val="center"/>
          </w:tcPr>
          <w:p w14:paraId="3DB7C3E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提供具有履行合同所必需的设备和专业技术能力的承诺函。</w:t>
            </w:r>
          </w:p>
        </w:tc>
      </w:tr>
      <w:tr w14:paraId="0C442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674" w:type="dxa"/>
            <w:vAlign w:val="center"/>
          </w:tcPr>
          <w:p w14:paraId="25997451">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633" w:type="dxa"/>
            <w:vAlign w:val="center"/>
          </w:tcPr>
          <w:p w14:paraId="6761967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信用信息记录查询</w:t>
            </w:r>
          </w:p>
        </w:tc>
        <w:tc>
          <w:tcPr>
            <w:tcW w:w="6210" w:type="dxa"/>
            <w:vAlign w:val="center"/>
          </w:tcPr>
          <w:p w14:paraId="62F6BC1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参加本次政府采购活动前3年内在经营活动中没有重大违纪，以及未被列入“信用中国”（www.creditchina.gov.cn）失信被执行人名单、重大税收违法失信主体和“中国政府采购网”（www.ccgp.gov.cn）政府采购严重违法失信行为记录名单的书面声明。</w:t>
            </w:r>
          </w:p>
        </w:tc>
      </w:tr>
    </w:tbl>
    <w:p w14:paraId="654FFFD8">
      <w:pPr>
        <w:pageBreakBefore w:val="0"/>
        <w:kinsoku/>
        <w:wordWrap/>
        <w:overflowPunct/>
        <w:topLinePunct w:val="0"/>
        <w:bidi w:val="0"/>
        <w:outlineLvl w:val="9"/>
        <w:rPr>
          <w:rFonts w:hint="eastAsia" w:ascii="黑体" w:hAnsi="黑体" w:eastAsia="黑体" w:cs="黑体"/>
          <w:sz w:val="19"/>
          <w:szCs w:val="19"/>
        </w:rPr>
      </w:pPr>
    </w:p>
    <w:p w14:paraId="6D52570E">
      <w:pPr>
        <w:wordWrap/>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14:textFill>
            <w14:solidFill>
              <w14:schemeClr w14:val="tx1"/>
            </w14:solidFill>
          </w14:textFill>
        </w:rPr>
        <w:br w:type="page"/>
      </w:r>
    </w:p>
    <w:p w14:paraId="5CBA04E2">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落实政府采购政策资格审查</w:t>
      </w:r>
    </w:p>
    <w:tbl>
      <w:tblPr>
        <w:tblStyle w:val="20"/>
        <w:tblW w:w="9585" w:type="dxa"/>
        <w:tblInd w:w="-11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5"/>
        <w:gridCol w:w="2829"/>
        <w:gridCol w:w="6111"/>
      </w:tblGrid>
      <w:tr w14:paraId="3C04B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0" w:hRule="atLeast"/>
        </w:trPr>
        <w:tc>
          <w:tcPr>
            <w:tcW w:w="645" w:type="dxa"/>
            <w:vAlign w:val="center"/>
          </w:tcPr>
          <w:p w14:paraId="68910A21">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829" w:type="dxa"/>
            <w:vAlign w:val="center"/>
          </w:tcPr>
          <w:p w14:paraId="2D637F78">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资格审查要求概况</w:t>
            </w:r>
          </w:p>
        </w:tc>
        <w:tc>
          <w:tcPr>
            <w:tcW w:w="6111" w:type="dxa"/>
            <w:vAlign w:val="center"/>
          </w:tcPr>
          <w:p w14:paraId="031484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评审点具体描述</w:t>
            </w:r>
          </w:p>
        </w:tc>
      </w:tr>
      <w:tr w14:paraId="1946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645" w:type="dxa"/>
            <w:vAlign w:val="center"/>
          </w:tcPr>
          <w:p w14:paraId="03387309">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829" w:type="dxa"/>
            <w:vAlign w:val="center"/>
          </w:tcPr>
          <w:p w14:paraId="72CF5BD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本项目专门面向中小企业采购的项目</w:t>
            </w:r>
          </w:p>
        </w:tc>
        <w:tc>
          <w:tcPr>
            <w:tcW w:w="6111" w:type="dxa"/>
            <w:vAlign w:val="center"/>
          </w:tcPr>
          <w:p w14:paraId="3441554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服务全部由符合政策要求的中小企业承接。</w:t>
            </w:r>
            <w:r>
              <w:rPr>
                <w:rFonts w:hint="eastAsia" w:ascii="黑体" w:hAnsi="黑体" w:eastAsia="黑体" w:cs="黑体"/>
                <w:sz w:val="19"/>
                <w:szCs w:val="19"/>
                <w:highlight w:val="none"/>
              </w:rPr>
              <w:t>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r>
              <w:rPr>
                <w:rFonts w:hint="eastAsia" w:ascii="黑体" w:hAnsi="黑体" w:eastAsia="黑体" w:cs="黑体"/>
                <w:sz w:val="19"/>
                <w:szCs w:val="19"/>
                <w:highlight w:val="none"/>
                <w:lang w:eastAsia="zh-CN"/>
              </w:rPr>
              <w:t>。</w:t>
            </w:r>
          </w:p>
        </w:tc>
      </w:tr>
    </w:tbl>
    <w:p w14:paraId="2F803649">
      <w:pPr>
        <w:wordWrap/>
        <w:rPr>
          <w:rFonts w:hint="eastAsia" w:ascii="黑体" w:hAnsi="黑体" w:eastAsia="黑体" w:cs="黑体"/>
          <w:sz w:val="19"/>
          <w:szCs w:val="19"/>
        </w:rPr>
      </w:pPr>
    </w:p>
    <w:p w14:paraId="304BFF54">
      <w:pPr>
        <w:wordWrap/>
        <w:rPr>
          <w:rFonts w:hint="eastAsia" w:ascii="黑体" w:hAnsi="黑体" w:eastAsia="黑体" w:cs="黑体"/>
          <w:sz w:val="19"/>
          <w:szCs w:val="19"/>
        </w:rPr>
      </w:pPr>
    </w:p>
    <w:p w14:paraId="5FAE8547">
      <w:pPr>
        <w:keepNext w:val="0"/>
        <w:keepLines w:val="0"/>
        <w:pageBreakBefore w:val="0"/>
        <w:numPr>
          <w:ilvl w:val="0"/>
          <w:numId w:val="9"/>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特殊资格审查</w:t>
      </w:r>
    </w:p>
    <w:tbl>
      <w:tblPr>
        <w:tblStyle w:val="20"/>
        <w:tblW w:w="9685" w:type="dxa"/>
        <w:tblInd w:w="-1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2681"/>
        <w:gridCol w:w="6340"/>
      </w:tblGrid>
      <w:tr w14:paraId="1951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7" w:hRule="atLeast"/>
        </w:trPr>
        <w:tc>
          <w:tcPr>
            <w:tcW w:w="664" w:type="dxa"/>
            <w:vAlign w:val="center"/>
          </w:tcPr>
          <w:p w14:paraId="7937C307">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序号</w:t>
            </w:r>
          </w:p>
        </w:tc>
        <w:tc>
          <w:tcPr>
            <w:tcW w:w="2681" w:type="dxa"/>
            <w:vAlign w:val="center"/>
          </w:tcPr>
          <w:p w14:paraId="06A45B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资格审查要求概况</w:t>
            </w:r>
          </w:p>
        </w:tc>
        <w:tc>
          <w:tcPr>
            <w:tcW w:w="6340" w:type="dxa"/>
            <w:vAlign w:val="center"/>
          </w:tcPr>
          <w:p w14:paraId="14AC3FA6">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2A90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0" w:hRule="atLeast"/>
        </w:trPr>
        <w:tc>
          <w:tcPr>
            <w:tcW w:w="664" w:type="dxa"/>
            <w:vAlign w:val="center"/>
          </w:tcPr>
          <w:p w14:paraId="1D0F8A6A">
            <w:pPr>
              <w:pStyle w:val="25"/>
              <w:pageBreakBefore w:val="0"/>
              <w:kinsoku/>
              <w:wordWrap/>
              <w:overflowPunct/>
              <w:topLinePunct w:val="0"/>
              <w:bidi w:val="0"/>
              <w:jc w:val="center"/>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1</w:t>
            </w:r>
          </w:p>
        </w:tc>
        <w:tc>
          <w:tcPr>
            <w:tcW w:w="2681" w:type="dxa"/>
            <w:vAlign w:val="center"/>
          </w:tcPr>
          <w:p w14:paraId="79857EBF">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tc>
        <w:tc>
          <w:tcPr>
            <w:tcW w:w="6340" w:type="dxa"/>
            <w:vAlign w:val="center"/>
          </w:tcPr>
          <w:p w14:paraId="5BB099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提供国家企业信用信息公示系统https://shiming.gsxt.gov.cn“股东及出资信息”查询页面截图或承诺函。</w:t>
            </w:r>
          </w:p>
        </w:tc>
      </w:tr>
      <w:tr w14:paraId="03476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49" w:hRule="atLeast"/>
        </w:trPr>
        <w:tc>
          <w:tcPr>
            <w:tcW w:w="664" w:type="dxa"/>
            <w:vAlign w:val="center"/>
          </w:tcPr>
          <w:p w14:paraId="0241DF7E">
            <w:pPr>
              <w:pStyle w:val="25"/>
              <w:pageBreakBefore w:val="0"/>
              <w:kinsoku/>
              <w:wordWrap/>
              <w:overflowPunct/>
              <w:topLinePunct w:val="0"/>
              <w:bidi w:val="0"/>
              <w:jc w:val="center"/>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2</w:t>
            </w:r>
          </w:p>
        </w:tc>
        <w:tc>
          <w:tcPr>
            <w:tcW w:w="2681" w:type="dxa"/>
            <w:vAlign w:val="center"/>
          </w:tcPr>
          <w:p w14:paraId="4D83E9FC">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hint="default"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特定资格</w:t>
            </w:r>
          </w:p>
        </w:tc>
        <w:tc>
          <w:tcPr>
            <w:tcW w:w="6340" w:type="dxa"/>
            <w:vAlign w:val="center"/>
          </w:tcPr>
          <w:p w14:paraId="558D9421">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default" w:ascii="黑体" w:hAnsi="黑体" w:eastAsia="黑体" w:cs="黑体"/>
                <w:b w:val="0"/>
                <w:bCs w:val="0"/>
                <w:color w:val="000000" w:themeColor="text1"/>
                <w:kern w:val="2"/>
                <w:sz w:val="19"/>
                <w:szCs w:val="19"/>
                <w:highlight w:val="yellow"/>
                <w:lang w:val="en-US" w:eastAsia="zh-CN" w:bidi="ar-SA"/>
                <w14:textFill>
                  <w14:solidFill>
                    <w14:schemeClr w14:val="tx1"/>
                  </w14:solidFill>
                </w14:textFill>
              </w:rPr>
            </w:pPr>
            <w:r>
              <w:rPr>
                <w:rFonts w:hint="eastAsia" w:ascii="黑体" w:hAnsi="黑体" w:eastAsia="黑体" w:cs="黑体"/>
                <w:sz w:val="19"/>
                <w:szCs w:val="19"/>
                <w:highlight w:val="none"/>
                <w:lang w:eastAsia="zh-CN"/>
              </w:rPr>
              <w:t>供应商须具备有效的《网络安全服务认证证书等级保护测评服务认证》；</w:t>
            </w:r>
            <w:r>
              <w:rPr>
                <w:rFonts w:hint="eastAsia" w:ascii="黑体" w:hAnsi="黑体" w:eastAsia="黑体" w:cs="黑体"/>
                <w:sz w:val="19"/>
                <w:szCs w:val="19"/>
                <w:highlight w:val="none"/>
                <w:lang w:val="en-US" w:eastAsia="zh-CN"/>
              </w:rPr>
              <w:t xml:space="preserve">  </w:t>
            </w:r>
          </w:p>
        </w:tc>
      </w:tr>
    </w:tbl>
    <w:p w14:paraId="2F63E136">
      <w:pPr>
        <w:pStyle w:val="25"/>
        <w:pageBreakBefore w:val="0"/>
        <w:kinsoku/>
        <w:wordWrap/>
        <w:overflowPunct/>
        <w:topLinePunct w:val="0"/>
        <w:bidi w:val="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p>
    <w:p w14:paraId="14A602AF">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1E52C82">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DB5AE6F">
      <w:pPr>
        <w:pStyle w:val="2"/>
        <w:wordWrap/>
        <w:bidi w:val="0"/>
        <w:rPr>
          <w:rFonts w:hint="eastAsia"/>
        </w:rPr>
        <w:sectPr>
          <w:headerReference r:id="rId7" w:type="default"/>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bookmarkStart w:id="36" w:name="_Toc31245"/>
    </w:p>
    <w:p w14:paraId="14122A48">
      <w:pPr>
        <w:pStyle w:val="2"/>
        <w:keepNext/>
        <w:keepLines w:val="0"/>
        <w:pageBreakBefore w:val="0"/>
        <w:widowControl w:val="0"/>
        <w:kinsoku/>
        <w:wordWrap/>
        <w:overflowPunct/>
        <w:topLinePunct w:val="0"/>
        <w:autoSpaceDE/>
        <w:autoSpaceDN/>
        <w:bidi w:val="0"/>
        <w:adjustRightInd/>
        <w:snapToGrid/>
        <w:spacing w:after="144" w:afterLines="50" w:line="480" w:lineRule="exact"/>
        <w:textAlignment w:val="auto"/>
        <w:rPr>
          <w:rFonts w:hint="eastAsia"/>
        </w:rPr>
      </w:pPr>
      <w:bookmarkStart w:id="37" w:name="_Toc19578"/>
      <w:r>
        <w:rPr>
          <w:rFonts w:hint="eastAsia"/>
        </w:rPr>
        <w:t>第五章 磋商过程中可实质性变动的内容</w:t>
      </w:r>
      <w:bookmarkEnd w:id="36"/>
      <w:bookmarkEnd w:id="37"/>
    </w:p>
    <w:p w14:paraId="45045AA4">
      <w:pPr>
        <w:pStyle w:val="25"/>
        <w:keepNext w:val="0"/>
        <w:keepLines w:val="0"/>
        <w:pageBreakBefore w:val="0"/>
        <w:widowControl/>
        <w:kinsoku/>
        <w:wordWrap/>
        <w:overflowPunct/>
        <w:topLinePunct w:val="0"/>
        <w:autoSpaceDE/>
        <w:autoSpaceDN/>
        <w:bidi w:val="0"/>
        <w:adjustRightInd/>
        <w:snapToGrid/>
        <w:spacing w:line="480" w:lineRule="exact"/>
        <w:ind w:firstLine="48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 xml:space="preserve"> 磋商小组可以根据磋商文件和磋商情况实质性变动第三章“</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”、第</w:t>
      </w:r>
      <w:r>
        <w:rPr>
          <w:rFonts w:hint="eastAsia" w:ascii="黑体" w:hAnsi="黑体" w:eastAsia="黑体" w:cs="黑体"/>
          <w:color w:val="000000" w:themeColor="text1"/>
          <w:sz w:val="19"/>
          <w:szCs w:val="19"/>
          <w:lang w:val="en-US" w:eastAsia="zh-CN"/>
          <w14:textFill>
            <w14:solidFill>
              <w14:schemeClr w14:val="tx1"/>
            </w14:solidFill>
          </w14:textFill>
        </w:rPr>
        <w:t>七</w:t>
      </w:r>
      <w:r>
        <w:rPr>
          <w:rFonts w:hint="eastAsia" w:ascii="黑体" w:hAnsi="黑体" w:eastAsia="黑体" w:cs="黑体"/>
          <w:color w:val="000000" w:themeColor="text1"/>
          <w:sz w:val="19"/>
          <w:szCs w:val="19"/>
          <w14:textFill>
            <w14:solidFill>
              <w14:schemeClr w14:val="tx1"/>
            </w14:solidFill>
          </w14:textFill>
        </w:rPr>
        <w:t>章“拟签订采购合同文本”，但不得变动磋商文件中的其他内容。实质性变动的内容，须经采购人代表确认。</w:t>
      </w:r>
    </w:p>
    <w:p w14:paraId="71E0720A">
      <w:pPr>
        <w:pStyle w:val="25"/>
        <w:keepNext w:val="0"/>
        <w:keepLines w:val="0"/>
        <w:pageBreakBefore w:val="0"/>
        <w:widowControl/>
        <w:kinsoku/>
        <w:wordWrap/>
        <w:overflowPunct/>
        <w:topLinePunct w:val="0"/>
        <w:autoSpaceDE/>
        <w:autoSpaceDN/>
        <w:bidi w:val="0"/>
        <w:adjustRightInd/>
        <w:snapToGrid/>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0C9C9270">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0620C05E">
      <w:pPr>
        <w:pStyle w:val="2"/>
        <w:wordWrap/>
        <w:bidi w:val="0"/>
        <w:rPr>
          <w:rFonts w:hint="eastAsia"/>
        </w:rPr>
      </w:pPr>
      <w:bookmarkStart w:id="38" w:name="_Toc27466"/>
      <w:bookmarkStart w:id="39" w:name="_Toc21196"/>
      <w:r>
        <w:rPr>
          <w:rFonts w:hint="eastAsia"/>
        </w:rPr>
        <w:t>第六章 磋商办法</w:t>
      </w:r>
      <w:bookmarkEnd w:id="38"/>
      <w:bookmarkEnd w:id="39"/>
    </w:p>
    <w:p w14:paraId="14313E0D">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总则</w:t>
      </w:r>
    </w:p>
    <w:p w14:paraId="00599A0E">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根据《中华人民共和国政府采购法》《中华人民共和国政府采购法实施条例》《政府采购竞争性磋商</w:t>
      </w:r>
    </w:p>
    <w:p w14:paraId="79F21D0A">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采购方式管理暂行办法》等法律规章，结合本采购项目特点制定本次竞争性磋商评审方法。</w:t>
      </w:r>
    </w:p>
    <w:p w14:paraId="5D31D13B">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评审工作由采购代理机构组织，具体评审事务由依法组建的磋商小组负责。</w:t>
      </w:r>
    </w:p>
    <w:p w14:paraId="71B0C183">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评审工作应遵循客观、公正、审慎的原则，并以相同的磋商程序和标准对待所有的供应商。</w:t>
      </w:r>
    </w:p>
    <w:p w14:paraId="3A97DDD6">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磋商小组成员、采购人、采购代理机构和供应商应当按照本磋商文件规定开展或者参加评审活动。</w:t>
      </w:r>
    </w:p>
    <w:p w14:paraId="6A745233">
      <w:pPr>
        <w:keepNext w:val="0"/>
        <w:keepLines w:val="0"/>
        <w:pageBreakBefore w:val="0"/>
        <w:widowControl w:val="0"/>
        <w:numPr>
          <w:ilvl w:val="1"/>
          <w:numId w:val="11"/>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评审过程应当独立、保密，任何单位和个人不得非法干预评审活动。供应商非法干预评审活动的，其</w:t>
      </w:r>
    </w:p>
    <w:p w14:paraId="1D9E51F9">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响应文件将作无效处理；采购代理机构、采购人及其工作人员、采购人监督人员非法干预评审活动的，将依法追究其责任。</w:t>
      </w:r>
    </w:p>
    <w:p w14:paraId="67FEF0D7">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磋商小组</w:t>
      </w:r>
    </w:p>
    <w:p w14:paraId="0874E0C9">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按照《政府采购竞争性磋商采购方式管理暂行办法》有关规定依法组建磋商小组，负责本项目评审工作。</w:t>
      </w:r>
    </w:p>
    <w:p w14:paraId="0488BF81">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采购人委派采购人代表参加磋商小组的，要向采购代理机构出具授权函。</w:t>
      </w:r>
    </w:p>
    <w:p w14:paraId="15420EFA">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磋商小组成员获取响应文件后，开展评审活动。出现应当回避的情形时，磋商小组成员应当主动回避；</w:t>
      </w:r>
    </w:p>
    <w:p w14:paraId="718DF23A">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采购代理机构按规定申请补充抽取评审专家；无法及时补充抽取的，采购人或者采购代理机构应当封存供应商响应文件，按规定重新组建磋商小组，解封响应文件后，开展评审活动。</w:t>
      </w:r>
    </w:p>
    <w:p w14:paraId="721B129C">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磋商小组按照磋商文件规定的磋商程序、评分方法和标准进行评审，并独立履行下列职责：</w:t>
      </w:r>
    </w:p>
    <w:p w14:paraId="6AB71036">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）熟悉和理解磋商文件；</w:t>
      </w:r>
    </w:p>
    <w:p w14:paraId="630EA829">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）审查供应商响应文件等是否满足磋商文件要求，并作出评价；</w:t>
      </w:r>
    </w:p>
    <w:p w14:paraId="77B5D495">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）根据需要要求采购组织单位对磋商文件作出解释；根据需要要求供应商对响应文件有关事项作出澄清、说明或者更正；</w:t>
      </w:r>
    </w:p>
    <w:p w14:paraId="52BCF703">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）推荐成交候选供应商，或者受采购人委托确定成交供应商；</w:t>
      </w:r>
    </w:p>
    <w:p w14:paraId="2C01B1B3">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）起草资格审查报告、评审报告并进行签署；</w:t>
      </w:r>
    </w:p>
    <w:p w14:paraId="34356E78">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）向采购组织单位、财政部门或者其他监督部门报告非法干预评审工作的行为；</w:t>
      </w:r>
    </w:p>
    <w:p w14:paraId="05B3B9F8">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）法律、法规和规章规定的其他职责。</w:t>
      </w:r>
    </w:p>
    <w:p w14:paraId="4EF18529">
      <w:pPr>
        <w:wordWrap/>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br w:type="page"/>
      </w:r>
    </w:p>
    <w:p w14:paraId="6BC7F13D">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评审程序</w:t>
      </w:r>
    </w:p>
    <w:p w14:paraId="54DFA0B6">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磋商小组正式评审前，应当对磋商文件进行熟悉和理解，内容主要包括磋商文件中供应商资格条件要求、</w:t>
      </w:r>
    </w:p>
    <w:p w14:paraId="1312C7E6">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采购项目技术、服务和商务要求、磋商办法和标准、政府采购政策要求以及政府采购合同主要条款等。</w:t>
      </w:r>
    </w:p>
    <w:p w14:paraId="57530782">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本磋商文件出现应当停止评审情形的，磋商小组应当向采购组织单位提交相关说明材料，说明停止评审</w:t>
      </w:r>
    </w:p>
    <w:p w14:paraId="065AD3E0">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的情形和具体理由。采购组织单位应当通过书面告知参加采购活动的供应商，并说明具体原因，同时发布公告。采购组织单位认为磋商小组不应当停止评审的，可以书面报告采购项目同级财政部门依法处理，并提供相关证明材料。</w:t>
      </w:r>
    </w:p>
    <w:p w14:paraId="6A632F62">
      <w:pPr>
        <w:keepNext w:val="0"/>
        <w:keepLines w:val="0"/>
        <w:pageBreakBefore w:val="0"/>
        <w:numPr>
          <w:ilvl w:val="1"/>
          <w:numId w:val="10"/>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符合性审查</w:t>
      </w:r>
    </w:p>
    <w:p w14:paraId="132EBF94">
      <w:pPr>
        <w:pStyle w:val="25"/>
        <w:keepNext w:val="0"/>
        <w:keepLines w:val="0"/>
        <w:pageBreakBefore w:val="0"/>
        <w:widowControl/>
        <w:kinsoku/>
        <w:wordWrap/>
        <w:overflowPunct/>
        <w:topLinePunct w:val="0"/>
        <w:autoSpaceDE/>
        <w:autoSpaceDN/>
        <w:bidi w:val="0"/>
        <w:adjustRightInd/>
        <w:snapToGrid/>
        <w:spacing w:before="58" w:beforeLines="20" w:line="480" w:lineRule="exact"/>
        <w:jc w:val="lef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）磋商小组依据本磋商文件的实质性要求，对符合资格的响应文件进行审查，以确定其是否满足本磋商文件的实质性要求。本项目的符合性审查事项必须以本磋商文件的明确规定的实质性要求为依据。</w:t>
      </w:r>
    </w:p>
    <w:p w14:paraId="423A562F">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）在符合性审查过程中，如果出现磋商小组成员意见不一致的情况，按照少数服从多数的原则确定，但不得违背政府采购基本原则和磋商文件规定。</w:t>
      </w:r>
    </w:p>
    <w:p w14:paraId="4020A62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）磋商小组对所有响应文件进行审查后，确定参加磋商的供应商名单。</w:t>
      </w:r>
    </w:p>
    <w:p w14:paraId="2640AFBE">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如发现下列不满足符合性审查标准情况之一的，供应商首次提交的响应文件将被认定为无效响应，磋商小组应当告知有关供应商：未通过符合性审查的供应商不能进入下一阶段评审，其响应将被认定为无效响应；通过符合性审查的供应商数量不足3家的，不得作进一步的比较和评价。</w:t>
      </w:r>
    </w:p>
    <w:p w14:paraId="62F72B47">
      <w:pPr>
        <w:pStyle w:val="25"/>
        <w:keepNext w:val="0"/>
        <w:keepLines w:val="0"/>
        <w:pageBreakBefore w:val="0"/>
        <w:widowControl/>
        <w:kinsoku/>
        <w:wordWrap/>
        <w:overflowPunct/>
        <w:topLinePunct w:val="0"/>
        <w:autoSpaceDE/>
        <w:autoSpaceDN/>
        <w:bidi w:val="0"/>
        <w:adjustRightInd/>
        <w:snapToGrid/>
        <w:spacing w:after="144" w:afterLines="50" w:line="480" w:lineRule="exact"/>
        <w:textAlignment w:val="auto"/>
        <w:outlineLvl w:val="1"/>
        <w:rPr>
          <w:rFonts w:hint="eastAsia" w:ascii="黑体" w:hAnsi="黑体" w:eastAsia="黑体" w:cs="黑体"/>
          <w:color w:val="000000" w:themeColor="text1"/>
          <w:sz w:val="19"/>
          <w:szCs w:val="19"/>
          <w14:textFill>
            <w14:solidFill>
              <w14:schemeClr w14:val="tx1"/>
            </w14:solidFill>
          </w14:textFill>
        </w:rPr>
      </w:pPr>
      <w:bookmarkStart w:id="40" w:name="_Toc3714"/>
      <w:bookmarkStart w:id="41" w:name="_Toc21821"/>
      <w:r>
        <w:rPr>
          <w:rFonts w:hint="eastAsia" w:ascii="黑体" w:hAnsi="黑体" w:eastAsia="黑体" w:cs="黑体"/>
          <w:b/>
          <w:bCs/>
          <w:color w:val="000000" w:themeColor="text1"/>
          <w:sz w:val="19"/>
          <w:szCs w:val="19"/>
          <w14:textFill>
            <w14:solidFill>
              <w14:schemeClr w14:val="tx1"/>
            </w14:solidFill>
          </w14:textFill>
        </w:rPr>
        <w:t>符合性审查标准见下表：</w:t>
      </w:r>
      <w:bookmarkEnd w:id="40"/>
      <w:bookmarkEnd w:id="41"/>
    </w:p>
    <w:tbl>
      <w:tblPr>
        <w:tblStyle w:val="20"/>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2186"/>
        <w:gridCol w:w="6153"/>
      </w:tblGrid>
      <w:tr w14:paraId="53FA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trPr>
        <w:tc>
          <w:tcPr>
            <w:tcW w:w="919" w:type="dxa"/>
            <w:vAlign w:val="center"/>
          </w:tcPr>
          <w:p w14:paraId="62AAD45B">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序号</w:t>
            </w:r>
          </w:p>
        </w:tc>
        <w:tc>
          <w:tcPr>
            <w:tcW w:w="2186" w:type="dxa"/>
            <w:vAlign w:val="center"/>
          </w:tcPr>
          <w:p w14:paraId="5C1A893D">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符合审查要求概况</w:t>
            </w:r>
          </w:p>
        </w:tc>
        <w:tc>
          <w:tcPr>
            <w:tcW w:w="6153" w:type="dxa"/>
            <w:vAlign w:val="center"/>
          </w:tcPr>
          <w:p w14:paraId="66577B3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4386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53" w:hRule="atLeast"/>
        </w:trPr>
        <w:tc>
          <w:tcPr>
            <w:tcW w:w="919" w:type="dxa"/>
            <w:vAlign w:val="center"/>
          </w:tcPr>
          <w:p w14:paraId="007ED62E">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186" w:type="dxa"/>
            <w:vAlign w:val="center"/>
          </w:tcPr>
          <w:p w14:paraId="4221C798">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不正当竞争预防措施（实质性要求）</w:t>
            </w:r>
          </w:p>
        </w:tc>
        <w:tc>
          <w:tcPr>
            <w:tcW w:w="6153" w:type="dxa"/>
            <w:vAlign w:val="center"/>
          </w:tcPr>
          <w:p w14:paraId="507F25C9">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 xml:space="preserve">1.在磋商过程中，磋商小组认为供应商报价明显低于其他有效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0EF1BF0D">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2.供应商提交的相关证明材料，应当加盖公章，在磋商小组要求的时间内提交，否则提交的相关证明材料无效。供应商不能证明其报价合理性的，磋商小组应当将其响应文件作为</w:t>
            </w: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无效处理</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w:t>
            </w:r>
          </w:p>
        </w:tc>
      </w:tr>
      <w:tr w14:paraId="5ED1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7E58D8C">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186" w:type="dxa"/>
            <w:vAlign w:val="center"/>
          </w:tcPr>
          <w:p w14:paraId="092AF931">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保证金</w:t>
            </w:r>
          </w:p>
        </w:tc>
        <w:tc>
          <w:tcPr>
            <w:tcW w:w="6153" w:type="dxa"/>
            <w:vAlign w:val="center"/>
          </w:tcPr>
          <w:p w14:paraId="1A3E5AA3">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w:t>
            </w:r>
            <w:r>
              <w:rPr>
                <w:rFonts w:hint="eastAsia" w:ascii="黑体" w:hAnsi="黑体" w:eastAsia="黑体" w:cs="黑体"/>
                <w:color w:val="000000" w:themeColor="text1"/>
                <w:sz w:val="19"/>
                <w:szCs w:val="19"/>
                <w:highlight w:val="none"/>
                <w:lang w:val="en-US" w:eastAsia="zh-CN"/>
                <w14:textFill>
                  <w14:solidFill>
                    <w14:schemeClr w14:val="tx1"/>
                  </w14:solidFill>
                </w14:textFill>
              </w:rPr>
              <w:t>磋商</w:t>
            </w:r>
            <w:r>
              <w:rPr>
                <w:rFonts w:hint="eastAsia" w:ascii="黑体" w:hAnsi="黑体" w:eastAsia="黑体" w:cs="黑体"/>
                <w:color w:val="000000" w:themeColor="text1"/>
                <w:sz w:val="19"/>
                <w:szCs w:val="19"/>
                <w:highlight w:val="none"/>
                <w14:textFill>
                  <w14:solidFill>
                    <w14:schemeClr w14:val="tx1"/>
                  </w14:solidFill>
                </w14:textFill>
              </w:rPr>
              <w:t>文件的规定缴纳保证金</w:t>
            </w:r>
            <w:r>
              <w:rPr>
                <w:rFonts w:hint="eastAsia" w:ascii="黑体" w:hAnsi="黑体" w:eastAsia="黑体" w:cs="黑体"/>
                <w:color w:val="000000" w:themeColor="text1"/>
                <w:sz w:val="19"/>
                <w:szCs w:val="19"/>
                <w:highlight w:val="none"/>
                <w:lang w:val="en-US" w:eastAsia="zh-CN"/>
                <w14:textFill>
                  <w14:solidFill>
                    <w14:schemeClr w14:val="tx1"/>
                  </w14:solidFill>
                </w14:textFill>
              </w:rPr>
              <w:t>（如有设置）。</w:t>
            </w:r>
          </w:p>
        </w:tc>
      </w:tr>
      <w:tr w14:paraId="1920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6CEBB3C">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186" w:type="dxa"/>
            <w:vAlign w:val="center"/>
          </w:tcPr>
          <w:p w14:paraId="4B636165">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签署、盖章</w:t>
            </w:r>
          </w:p>
        </w:tc>
        <w:tc>
          <w:tcPr>
            <w:tcW w:w="6153" w:type="dxa"/>
            <w:vAlign w:val="center"/>
          </w:tcPr>
          <w:p w14:paraId="4F78E4A9">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按磋商文件要求</w:t>
            </w:r>
            <w:r>
              <w:rPr>
                <w:rFonts w:hint="eastAsia" w:ascii="黑体" w:hAnsi="黑体" w:eastAsia="黑体" w:cs="黑体"/>
                <w:color w:val="000000" w:themeColor="text1"/>
                <w:sz w:val="19"/>
                <w:szCs w:val="19"/>
                <w:highlight w:val="none"/>
                <w:lang w:val="en-US" w:eastAsia="zh-CN"/>
                <w14:textFill>
                  <w14:solidFill>
                    <w14:schemeClr w14:val="tx1"/>
                  </w14:solidFill>
                </w14:textFill>
              </w:rPr>
              <w:t>方式</w:t>
            </w:r>
            <w:r>
              <w:rPr>
                <w:rFonts w:hint="eastAsia" w:ascii="黑体" w:hAnsi="黑体" w:eastAsia="黑体" w:cs="黑体"/>
                <w:color w:val="000000" w:themeColor="text1"/>
                <w:sz w:val="19"/>
                <w:szCs w:val="19"/>
                <w:highlight w:val="none"/>
                <w14:textFill>
                  <w14:solidFill>
                    <w14:schemeClr w14:val="tx1"/>
                  </w14:solidFill>
                </w14:textFill>
              </w:rPr>
              <w:t>签署、盖章</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6F42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23E364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186" w:type="dxa"/>
            <w:vAlign w:val="center"/>
          </w:tcPr>
          <w:p w14:paraId="535D9A66">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有效期</w:t>
            </w:r>
          </w:p>
        </w:tc>
        <w:tc>
          <w:tcPr>
            <w:tcW w:w="6153" w:type="dxa"/>
            <w:vAlign w:val="center"/>
          </w:tcPr>
          <w:p w14:paraId="2C67B990">
            <w:pPr>
              <w:pStyle w:val="25"/>
              <w:pageBreakBefore w:val="0"/>
              <w:kinsoku/>
              <w:wordWrap/>
              <w:overflowPunct/>
              <w:topLinePunct w:val="0"/>
              <w:bidi w:val="0"/>
              <w:jc w:val="left"/>
              <w:outlineLvl w:val="9"/>
              <w:rPr>
                <w:rFonts w:hint="default"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响应有效期满足磋商文件要求。</w:t>
            </w:r>
          </w:p>
        </w:tc>
      </w:tr>
      <w:tr w14:paraId="2FE6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3D5BA24">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186" w:type="dxa"/>
            <w:vAlign w:val="center"/>
          </w:tcPr>
          <w:p w14:paraId="19EE1FB6">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报价</w:t>
            </w:r>
          </w:p>
        </w:tc>
        <w:tc>
          <w:tcPr>
            <w:tcW w:w="6153" w:type="dxa"/>
            <w:vAlign w:val="center"/>
          </w:tcPr>
          <w:p w14:paraId="752E0370">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响应报价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未超过</w:t>
            </w:r>
            <w:r>
              <w:rPr>
                <w:rFonts w:hint="eastAsia" w:ascii="黑体" w:hAnsi="黑体" w:eastAsia="黑体" w:cs="黑体"/>
                <w:color w:val="000000" w:themeColor="text1"/>
                <w:sz w:val="19"/>
                <w:szCs w:val="19"/>
                <w:highlight w:val="none"/>
                <w14:textFill>
                  <w14:solidFill>
                    <w14:schemeClr w14:val="tx1"/>
                  </w14:solidFill>
                </w14:textFill>
              </w:rPr>
              <w:t>磋商文件中规定的预算金额或者最高限价</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2700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9" w:hRule="atLeast"/>
        </w:trPr>
        <w:tc>
          <w:tcPr>
            <w:tcW w:w="919" w:type="dxa"/>
            <w:vAlign w:val="center"/>
          </w:tcPr>
          <w:p w14:paraId="32DAF5D7">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186" w:type="dxa"/>
            <w:vAlign w:val="center"/>
          </w:tcPr>
          <w:p w14:paraId="38F536F2">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实质性条款</w:t>
            </w:r>
          </w:p>
        </w:tc>
        <w:tc>
          <w:tcPr>
            <w:tcW w:w="6153" w:type="dxa"/>
            <w:vAlign w:val="center"/>
          </w:tcPr>
          <w:p w14:paraId="5FDEDD59">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响应文件符合</w:t>
            </w:r>
            <w:r>
              <w:rPr>
                <w:rFonts w:hint="eastAsia" w:ascii="黑体" w:hAnsi="黑体" w:eastAsia="黑体" w:cs="黑体"/>
                <w:color w:val="000000" w:themeColor="text1"/>
                <w:sz w:val="19"/>
                <w:szCs w:val="19"/>
                <w:highlight w:val="none"/>
                <w14:textFill>
                  <w14:solidFill>
                    <w14:schemeClr w14:val="tx1"/>
                  </w14:solidFill>
                </w14:textFill>
              </w:rPr>
              <w:t>磋商文件中标注 “★”的实质性条款要求</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bl>
    <w:p w14:paraId="3FD4AF8E">
      <w:pPr>
        <w:pageBreakBefore w:val="0"/>
        <w:kinsoku/>
        <w:wordWrap/>
        <w:overflowPunct/>
        <w:topLinePunct w:val="0"/>
        <w:bidi w:val="0"/>
        <w:outlineLvl w:val="9"/>
        <w:rPr>
          <w:rFonts w:hint="eastAsia" w:ascii="黑体" w:hAnsi="黑体" w:eastAsia="黑体" w:cs="黑体"/>
          <w:b/>
          <w:color w:val="000000" w:themeColor="text1"/>
          <w:sz w:val="19"/>
          <w:szCs w:val="19"/>
          <w14:textFill>
            <w14:solidFill>
              <w14:schemeClr w14:val="tx1"/>
            </w14:solidFill>
          </w14:textFill>
        </w:rPr>
      </w:pPr>
    </w:p>
    <w:p w14:paraId="1E990C7E">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w:t>
      </w:r>
    </w:p>
    <w:p w14:paraId="0EDAD79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磋商小组按照磋商文件的规定与各供应商分别进行磋商，磋商顺序由磋商小组确定。磋商小组所有成员集中</w:t>
      </w:r>
    </w:p>
    <w:p w14:paraId="60256A85">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与单一供应商对技术、服务、合同条款等内容分别进行一轮或多轮的磋商。</w:t>
      </w:r>
    </w:p>
    <w:p w14:paraId="190AD50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磋商小组可以根据磋商文件和磋商情况实质性变动第三章“采购需求”、第七章“拟签订采购合同文本”，</w:t>
      </w:r>
    </w:p>
    <w:p w14:paraId="4EDF18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但不得变动磋商文件中的其他内容。实质性变动的内容，须经采购人代表确认。</w:t>
      </w:r>
    </w:p>
    <w:p w14:paraId="7D3E7E2D">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对磋商文件作出的实质性变动是磋商文件的有效组成部分，磋商小组应将变动情况同时通知所有参加磋商的</w:t>
      </w:r>
    </w:p>
    <w:p w14:paraId="79AFD1B7">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供应商。磋商过程中，磋商小组可以根据磋商情况调整磋商轮次。</w:t>
      </w:r>
    </w:p>
    <w:p w14:paraId="38AFDE7E">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经最终磋商后，响应文件仍有下列情况之一的，应按照无效响应处理：</w:t>
      </w:r>
    </w:p>
    <w:p w14:paraId="31AA34E1">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响应文件仍不能实质响应磋商文件可实质性变动的实质性要求的；</w:t>
      </w:r>
    </w:p>
    <w:p w14:paraId="631ED2A3">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响应文件中仍有磋商文件规定的其他无效响应情形的。</w:t>
      </w:r>
    </w:p>
    <w:p w14:paraId="2C1249A2">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磋商小组对供应商在磋商、评审过程中的书面交换材料，未按要求加盖公章或签字的，视同未提交。</w:t>
      </w:r>
    </w:p>
    <w:p w14:paraId="6A33CC08">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磋商小组在最终磋商后，对所有响应文件的有效性、完整性和响应程度进行审查后，确定最后报价的供</w:t>
      </w:r>
    </w:p>
    <w:p w14:paraId="6FA42C7A">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应商名单。</w:t>
      </w:r>
    </w:p>
    <w:p w14:paraId="7F96045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磋商过程中，磋商的任何一方不得透露与磋商有关的其他供应商的技术资料、价格和其他信息。</w:t>
      </w:r>
    </w:p>
    <w:p w14:paraId="57D88AA0">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磋商过程中，磋商小组发现或者知晓供应商存在违法行为的，应当评审报告中予以记录，并向本级监督</w:t>
      </w:r>
    </w:p>
    <w:p w14:paraId="12A38D7F">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部门报告，依法应将该供应商响应文件作无效处理的，应当作无效处理。</w:t>
      </w:r>
    </w:p>
    <w:p w14:paraId="57528CD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最后报价</w:t>
      </w:r>
    </w:p>
    <w:p w14:paraId="3A4CDFCB">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方案评审</w:t>
      </w:r>
    </w:p>
    <w:p w14:paraId="757474A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磋商文件不能详细列明采购标的的技术、服务要求，需由供应商提供最终设计方案或解决方案的，磋商</w:t>
      </w:r>
    </w:p>
    <w:p w14:paraId="4EE566DB">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结束后，磋商小组应当按照少数服从多数的原则投票推荐3家实质性响应的供应商的设计方案或解决方案，进入最后报价环节；不足3家的，终止本次采购活动。</w:t>
      </w:r>
    </w:p>
    <w:p w14:paraId="20B96CA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供应商在未提高响应文件中承诺的标准情况下，其最后报价不得高于对该项目之前的报价，否则，磋商</w:t>
      </w:r>
    </w:p>
    <w:p w14:paraId="2EE061E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小组将对其响应文件作无效处理，并书面告知供应商，说明理由。</w:t>
      </w:r>
    </w:p>
    <w:p w14:paraId="22B4DD53">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供应商未按磋商小组要求在规定时间内提交最后报价的，视为其退出磋商。</w:t>
      </w:r>
    </w:p>
    <w:p w14:paraId="71E8726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最后报价一旦提交后，供应商不得以任何理由撤回。</w:t>
      </w:r>
    </w:p>
    <w:p w14:paraId="3AC8275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供应商在响应文件中的分项报价表，按最后报价一览表的降价比例同比下浮。</w:t>
      </w:r>
    </w:p>
    <w:p w14:paraId="3E99DDF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最后报价为有效报价应符合下列条件：</w:t>
      </w:r>
    </w:p>
    <w:p w14:paraId="49EA3DC9">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）供应商所提供的最后报价是在规定的时间内提交。</w:t>
      </w:r>
    </w:p>
    <w:p w14:paraId="26DED102">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）供应商的最后报价应加盖供应商</w:t>
      </w:r>
      <w:r>
        <w:rPr>
          <w:rFonts w:hint="eastAsia" w:ascii="黑体" w:hAnsi="黑体" w:eastAsia="黑体" w:cs="黑体"/>
          <w:color w:val="000000" w:themeColor="text1"/>
          <w:sz w:val="19"/>
          <w:szCs w:val="19"/>
          <w:lang w:val="en-US" w:eastAsia="zh-CN"/>
          <w14:textFill>
            <w14:solidFill>
              <w14:schemeClr w14:val="tx1"/>
            </w14:solidFill>
          </w14:textFill>
        </w:rPr>
        <w:t>公</w:t>
      </w:r>
      <w:r>
        <w:rPr>
          <w:rFonts w:hint="eastAsia" w:ascii="黑体" w:hAnsi="黑体" w:eastAsia="黑体" w:cs="黑体"/>
          <w:color w:val="000000" w:themeColor="text1"/>
          <w:sz w:val="19"/>
          <w:szCs w:val="19"/>
          <w14:textFill>
            <w14:solidFill>
              <w14:schemeClr w14:val="tx1"/>
            </w14:solidFill>
          </w14:textFill>
        </w:rPr>
        <w:t>章</w:t>
      </w:r>
      <w:r>
        <w:rPr>
          <w:rFonts w:hint="eastAsia" w:ascii="黑体" w:hAnsi="黑体" w:eastAsia="黑体" w:cs="黑体"/>
          <w:color w:val="000000" w:themeColor="text1"/>
          <w:sz w:val="19"/>
          <w:szCs w:val="19"/>
          <w:lang w:val="en-US" w:eastAsia="zh-CN"/>
          <w14:textFill>
            <w14:solidFill>
              <w14:schemeClr w14:val="tx1"/>
            </w14:solidFill>
          </w14:textFill>
        </w:rPr>
        <w:t>或授权代表签字</w:t>
      </w:r>
      <w:r>
        <w:rPr>
          <w:rFonts w:hint="eastAsia" w:ascii="黑体" w:hAnsi="黑体" w:eastAsia="黑体" w:cs="黑体"/>
          <w:color w:val="000000" w:themeColor="text1"/>
          <w:sz w:val="19"/>
          <w:szCs w:val="19"/>
          <w14:textFill>
            <w14:solidFill>
              <w14:schemeClr w14:val="tx1"/>
            </w14:solidFill>
          </w14:textFill>
        </w:rPr>
        <w:t>。</w:t>
      </w:r>
    </w:p>
    <w:p w14:paraId="1049495F">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）供应商的最后报价应符合磋商文件的要求。</w:t>
      </w:r>
    </w:p>
    <w:p w14:paraId="6EEAD0C8">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）最后报价唯一，且不高于最高限价。</w:t>
      </w:r>
    </w:p>
    <w:p w14:paraId="21DFA788">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）最后报价出现下列情况的，不需要供应商澄清，按以下原则处理：</w:t>
      </w:r>
    </w:p>
    <w:p w14:paraId="1E59E821">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sz w:val="19"/>
          <w:szCs w:val="19"/>
          <w:lang w:val="en-US" w:eastAsia="zh-CN"/>
        </w:rPr>
        <w:t xml:space="preserve">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a</w:t>
      </w:r>
      <w:r>
        <w:rPr>
          <w:rFonts w:hint="eastAsia" w:ascii="黑体" w:hAnsi="黑体" w:eastAsia="黑体" w:cs="黑体"/>
          <w:color w:val="000000" w:themeColor="text1"/>
          <w:sz w:val="19"/>
          <w:szCs w:val="19"/>
          <w14:textFill>
            <w14:solidFill>
              <w14:schemeClr w14:val="tx1"/>
            </w14:solidFill>
          </w14:textFill>
        </w:rPr>
        <w:t>）报价中的大写金额和小写金额不一致的，以大写金额为准，但大写金额出现文字错误，导致金额无法判断的除外；</w:t>
      </w:r>
    </w:p>
    <w:p w14:paraId="29143011">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b</w:t>
      </w:r>
      <w:r>
        <w:rPr>
          <w:rFonts w:hint="eastAsia" w:ascii="黑体" w:hAnsi="黑体" w:eastAsia="黑体" w:cs="黑体"/>
          <w:color w:val="000000" w:themeColor="text1"/>
          <w:sz w:val="19"/>
          <w:szCs w:val="19"/>
          <w14:textFill>
            <w14:solidFill>
              <w14:schemeClr w14:val="tx1"/>
            </w14:solidFill>
          </w14:textFill>
        </w:rPr>
        <w:t>）单价金额小数点或者百分比有明显错位的，应以总价为准，并修改单价；</w:t>
      </w:r>
    </w:p>
    <w:p w14:paraId="0C89EC35">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c</w:t>
      </w:r>
      <w:r>
        <w:rPr>
          <w:rFonts w:hint="eastAsia" w:ascii="黑体" w:hAnsi="黑体" w:eastAsia="黑体" w:cs="黑体"/>
          <w:color w:val="000000" w:themeColor="text1"/>
          <w:sz w:val="19"/>
          <w:szCs w:val="19"/>
          <w14:textFill>
            <w14:solidFill>
              <w14:schemeClr w14:val="tx1"/>
            </w14:solidFill>
          </w14:textFill>
        </w:rPr>
        <w:t>）总价金额与按单价汇总金额不一致的，以单价汇总金额计算结果为准；</w:t>
      </w:r>
    </w:p>
    <w:p w14:paraId="73557192">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同时出现两种以上不一致的，按照前款规定的顺序修正。修正后的最后报价经加盖供应商</w:t>
      </w:r>
      <w:r>
        <w:rPr>
          <w:rFonts w:hint="eastAsia" w:ascii="黑体" w:hAnsi="黑体" w:eastAsia="黑体" w:cs="黑体"/>
          <w:color w:val="000000" w:themeColor="text1"/>
          <w:sz w:val="19"/>
          <w:szCs w:val="19"/>
          <w:lang w:val="en-US" w:eastAsia="zh-CN"/>
          <w14:textFill>
            <w14:solidFill>
              <w14:schemeClr w14:val="tx1"/>
            </w14:solidFill>
          </w14:textFill>
        </w:rPr>
        <w:t>公章或授权代表签字</w:t>
      </w:r>
      <w:r>
        <w:rPr>
          <w:rFonts w:hint="eastAsia" w:ascii="黑体" w:hAnsi="黑体" w:eastAsia="黑体" w:cs="黑体"/>
          <w:color w:val="000000" w:themeColor="text1"/>
          <w:sz w:val="19"/>
          <w:szCs w:val="19"/>
          <w14:textFill>
            <w14:solidFill>
              <w14:schemeClr w14:val="tx1"/>
            </w14:solidFill>
          </w14:textFill>
        </w:rPr>
        <w:t>后产生约束力，供应商不确认的，其最后报价无效。</w:t>
      </w:r>
    </w:p>
    <w:p w14:paraId="50AF803A">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解释、澄清有关问题</w:t>
      </w:r>
    </w:p>
    <w:p w14:paraId="4615191E">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评审过程中，磋商小组认为磋商文件有关事项表述不明确或需要说明的，可以提请采购代理机构书面解</w:t>
      </w:r>
    </w:p>
    <w:p w14:paraId="0E4E8A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释。采购代理机构的解释不得改变磋商文件的原义或者影响公平、公正，解释事项如果涉及供应商权益的以有利于供应商的原则进行解释。</w:t>
      </w:r>
    </w:p>
    <w:p w14:paraId="5604F003">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对响应文件中含义不明确、同类问题表述不一致或者有明显文字和计算错误的内容，磋商小组应当要求</w:t>
      </w:r>
    </w:p>
    <w:p w14:paraId="65F31A4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527BA388">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供应商的澄清、说明或者更正需法定代表人或授权代表进行签字或盖章，应当不超出响应文件的范围、</w:t>
      </w:r>
    </w:p>
    <w:p w14:paraId="0C09951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不实质性改变响应文件的内容、不影响供应商的公平竞争、不导致响应文件从不响应磋商文件变为响应磋商文件的条件。下列内容不得澄清：</w:t>
      </w:r>
    </w:p>
    <w:p w14:paraId="3063A9D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）供应商响应文件中不响应磋商文件规定的技术参数指标和商务应答；</w:t>
      </w:r>
    </w:p>
    <w:p w14:paraId="15ED35F0">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）供应商响应文件中未提供的证明其是否符合磋商文件资格、符合性规定要求的相关材料。</w:t>
      </w:r>
    </w:p>
    <w:p w14:paraId="76895373">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）供应商响应文件中的材料因印刷、影印等不清晰而难以辨认的。</w:t>
      </w:r>
    </w:p>
    <w:p w14:paraId="23552986">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响应文件报价出现前后不一致的情形，按照本章前述规定予以处理，不需要供应商澄清。</w:t>
      </w:r>
    </w:p>
    <w:p w14:paraId="275EDD1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采购代理机构宣布评审结束之前，供应商应及时响应磋商小组发出的澄清、说明或更正要求。供应商未</w:t>
      </w:r>
    </w:p>
    <w:p w14:paraId="63D079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能及时响应的，自行承担不利后果。</w:t>
      </w:r>
    </w:p>
    <w:p w14:paraId="3B5C192F">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磋商小组应当积极履行澄清、说明或者更正的职责，不得滥用权力。</w:t>
      </w:r>
    </w:p>
    <w:p w14:paraId="67B91D30">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比较与评价</w:t>
      </w:r>
    </w:p>
    <w:p w14:paraId="5689071B">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磋商小组应当按照磋商文件规定的评标细则及标准，对符合性检查合格的响应文件进行商务和技术评估，</w:t>
      </w:r>
    </w:p>
    <w:p w14:paraId="610A560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综合比较和评价。</w:t>
      </w:r>
    </w:p>
    <w:p w14:paraId="38C07F4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需落实的政府采购政策性规定</w:t>
      </w:r>
    </w:p>
    <w:p w14:paraId="52DC83D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对于中小微企业的相关规定</w:t>
      </w:r>
    </w:p>
    <w:p w14:paraId="45A84791">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sz w:val="19"/>
          <w:szCs w:val="19"/>
          <w:highlight w:val="none"/>
          <w:lang w:val="en-US" w:eastAsia="zh-CN"/>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根据《政府采购促进中小企业发展管理办法》（财库〔2020〕46号）、《关于进一步加大政府采购支持中小企业力度的通知》（财库〔2022〕19号），</w:t>
      </w:r>
      <w:r>
        <w:rPr>
          <w:rFonts w:hint="eastAsia" w:ascii="黑体" w:hAnsi="黑体" w:eastAsia="黑体" w:cs="黑体"/>
          <w:sz w:val="19"/>
          <w:szCs w:val="19"/>
          <w:highlight w:val="none"/>
          <w:lang w:val="en-US" w:eastAsia="zh-CN"/>
        </w:rPr>
        <w:t>其相关政策落实如下：</w:t>
      </w:r>
    </w:p>
    <w:p w14:paraId="1F7D1312">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对于非专门面向中小企业的采购项目（详见</w:t>
      </w:r>
      <w:r>
        <w:rPr>
          <w:rFonts w:hint="eastAsia" w:ascii="黑体" w:hAnsi="黑体" w:eastAsia="黑体" w:cs="黑体"/>
          <w:color w:val="000000" w:themeColor="text1"/>
          <w:sz w:val="19"/>
          <w:szCs w:val="19"/>
          <w:highlight w:val="none"/>
          <w:u w:val="single"/>
          <w14:textFill>
            <w14:solidFill>
              <w14:schemeClr w14:val="tx1"/>
            </w14:solidFill>
          </w14:textFill>
        </w:rPr>
        <w:t>供应商须知前附表</w:t>
      </w: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中小企业声明函》（采购人采购的服务有伴随货物时，供应商所投货物为其它企业生产时须提供此声明函，仅作为价格扣除条件）的，对最后报价给予价格扣除，用扣除后的价格参与评审。最后报价扣除比例如下：</w:t>
      </w:r>
    </w:p>
    <w:p w14:paraId="38D6E153">
      <w:pPr>
        <w:pStyle w:val="25"/>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非联合体投标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21B4852E">
      <w:pPr>
        <w:pStyle w:val="25"/>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小型和微型企业最后报价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扣除</w:t>
      </w:r>
      <w:r>
        <w:rPr>
          <w:rFonts w:hint="eastAsia" w:ascii="黑体" w:hAnsi="黑体" w:eastAsia="黑体" w:cs="黑体"/>
          <w:color w:val="000000" w:themeColor="text1"/>
          <w:sz w:val="19"/>
          <w:szCs w:val="19"/>
          <w:highlight w:val="none"/>
          <w:u w:val="single"/>
          <w14:textFill>
            <w14:solidFill>
              <w14:schemeClr w14:val="tx1"/>
            </w14:solidFill>
          </w14:textFill>
        </w:rPr>
        <w:t xml:space="preserve"> 10</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2134D993">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6D84E04A">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 </w:t>
      </w:r>
      <w:r>
        <w:rPr>
          <w:rFonts w:hint="eastAsia" w:ascii="黑体" w:hAnsi="黑体" w:eastAsia="黑体" w:cs="黑体"/>
          <w:color w:val="000000" w:themeColor="text1"/>
          <w:sz w:val="19"/>
          <w:szCs w:val="19"/>
          <w:highlight w:val="none"/>
          <w:u w:val="single"/>
          <w14:textFill>
            <w14:solidFill>
              <w14:schemeClr w14:val="tx1"/>
            </w14:solidFill>
          </w14:textFill>
        </w:rPr>
        <w:t>5%</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5D6D854A">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1744871F">
      <w:pPr>
        <w:keepNext w:val="0"/>
        <w:keepLines w:val="0"/>
        <w:pageBreakBefore w:val="0"/>
        <w:numPr>
          <w:ilvl w:val="1"/>
          <w:numId w:val="10"/>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政府采购支持监狱企业发展有关问题的通知》（财库〔2014〕68号），监狱企业视同小型、微型企业，在满足价格扣除条件且在响应文件中按要求提交了省级以上监狱管理局、戒毒管理局（含新疆生产建设兵团）出具的属于监狱企业的证明文件的，用扣除后的价格参与评审。监狱企业属于小型、微型企业的，不重复享受政策。</w:t>
      </w:r>
    </w:p>
    <w:p w14:paraId="72761823">
      <w:pPr>
        <w:keepNext w:val="0"/>
        <w:keepLines w:val="0"/>
        <w:pageBreakBefore w:val="0"/>
        <w:numPr>
          <w:ilvl w:val="1"/>
          <w:numId w:val="10"/>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促进残疾人就业政府采购政策的通知》（财库〔2017〕141号），残疾人福利性单位视同小型、微型企业，在满足价格扣除条件且在响应文件中提供了《残疾人福利性单位声明函》的，用扣除后的价格参与评审。残疾人福利性单位属于小型、微型企业的，不重复享受政策。</w:t>
      </w:r>
    </w:p>
    <w:p w14:paraId="0B237109">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对于节能产品、环境标志产品的相关规定</w:t>
      </w:r>
    </w:p>
    <w:p w14:paraId="138670CD">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default"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国务院办公厅《关于建立政府强制采购节能产品制度的通知》（国办发〔2007〕51号）、财政部、国家发改委、生态环境部、市场监督管理总局联合印发《关于调整优化节能产品、环境标志产品政府采购执行机制的通知》（财库〔2019〕9号），对节能产品、环境标志产品的政策落实如下：</w:t>
      </w:r>
    </w:p>
    <w:p w14:paraId="17B0E5A5">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采购人采购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r>
        <w:rPr>
          <w:rFonts w:hint="eastAsia" w:ascii="黑体" w:hAnsi="黑体" w:eastAsia="黑体" w:cs="黑体"/>
          <w:sz w:val="19"/>
          <w:szCs w:val="19"/>
          <w:highlight w:val="none"/>
          <w:lang w:val="en-US" w:eastAsia="zh-CN"/>
        </w:rPr>
        <w:t>评审得分相同的，按供应商提供的优先采购产品认证证书数量由多到少顺序排列。</w:t>
      </w:r>
    </w:p>
    <w:p w14:paraId="6F4A7C59">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（2）供应商应同时提供品目清单网络截图，并以明确标注所报产品信息和位置的方式，用以方便评审。</w:t>
      </w:r>
    </w:p>
    <w:p w14:paraId="46D7E105">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（3）认证机构和获证产品信息发布媒体：详见中国政府采购网（www.ccgp.gov.cn）建立的与认证结果信息发布平台的链接。</w:t>
      </w:r>
    </w:p>
    <w:p w14:paraId="4991946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对于聘用建档立卡贫困人员物业公司的相关规定（如有）</w:t>
      </w:r>
    </w:p>
    <w:p w14:paraId="57A27AA5">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在满足价格扣除条件且在响应文件中按要求提交了《聘用建档立卡贫困人员物业公司声明函》的供应商，对最后报价给予价格扣除，用扣除后的价格参与评审。扣除比例为最后报价的  %。</w:t>
      </w:r>
    </w:p>
    <w:p w14:paraId="3D0C500C">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8.6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进一步了解。</w:t>
      </w:r>
    </w:p>
    <w:p w14:paraId="731F2F6D">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8.7本项目严格落实各项政府采购政策，如有颁布最新政策，以最新已生效的政策为准。</w:t>
      </w:r>
    </w:p>
    <w:p w14:paraId="6C064164">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复核</w:t>
      </w:r>
    </w:p>
    <w:p w14:paraId="5CF465BA">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评审结束后，磋商小组应当进行复核，特别要对拟推荐为成交候选供应商的、报价最低的、响应文件被</w:t>
      </w:r>
    </w:p>
    <w:p w14:paraId="360C6C9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认定为无效的进行重点复核。</w:t>
      </w:r>
    </w:p>
    <w:p w14:paraId="6217A7C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评审结果汇总完成后，磋商小组拟出具评审报告前，采购代理机构应当依据有关的法律制度和磋商文件</w:t>
      </w:r>
    </w:p>
    <w:p w14:paraId="1993F9D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对评审结果进行复核，采购代理机构复核过程中，磋商小组成员不得离开评审现场。</w:t>
      </w:r>
    </w:p>
    <w:p w14:paraId="4222DA77">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除资格检查认定错误、分值汇总计算错误、分项评分超出评分标准范围、客观评分不一致、经磋商小组</w:t>
      </w:r>
    </w:p>
    <w:p w14:paraId="14621D2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D1F19D9">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推荐成交候选供应商</w:t>
      </w:r>
    </w:p>
    <w:p w14:paraId="08CAFE9C">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磋商小组应当根据综合评分情况，按照评审得分由高到低顺序推荐3家成交候选供应商，并编写评审报告。</w:t>
      </w:r>
    </w:p>
    <w:p w14:paraId="15A8641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评审得分相同的，按照最后报价由低到高的顺序推荐。评审得分且最后报价相同的，按照技术指标优劣顺序推荐。评审得分且最后报价且技术指标得分均相同的，成交候选供应商并列。</w:t>
      </w:r>
    </w:p>
    <w:p w14:paraId="65D748E7">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编写评审报告</w:t>
      </w:r>
    </w:p>
    <w:p w14:paraId="43CAB8C3">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磋商小组推荐成交候选供应商后，应向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出具</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应当包括以下主要内容：</w:t>
      </w:r>
    </w:p>
    <w:p w14:paraId="0982D6B6">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）邀请供应商参加采购活动的具体方式和相关情况；</w:t>
      </w:r>
    </w:p>
    <w:p w14:paraId="00078D91">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）响应文件开启日期和地点；</w:t>
      </w:r>
    </w:p>
    <w:p w14:paraId="6A17142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）获取磋商文件的供应商名单和磋商小组成员名单；</w:t>
      </w:r>
    </w:p>
    <w:p w14:paraId="022741AA">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）评审情况记录和说明，包括对供应商响应文件审查情况、磋商情况、报价情况等；</w:t>
      </w:r>
    </w:p>
    <w:p w14:paraId="52A66A8E">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）提出的成交候选供应商的排序名单及理由。</w:t>
      </w:r>
    </w:p>
    <w:p w14:paraId="03345B09">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应当由磋商小组全体人员签字认可。磋商小组成员对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有异议的，磋商小组按照少数服从多数的原则推荐成交候选供应商，采购程序继续进行。对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有异议的磋商小组成员，应当在报告上签署不同意见并说明理由，由磋商小组记录相关情况。磋商小组成员拒绝在</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上签字又不书面说明其不同意见和理由的，视为同意</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p>
    <w:p w14:paraId="40E4D82D">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评审争议处理规则</w:t>
      </w:r>
    </w:p>
    <w:p w14:paraId="054CDE34">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在磋商过程中，对于符合性审查、对响应文件作无效响应处理及需要磋商小组共同认定的事项存在争议的，</w:t>
      </w:r>
    </w:p>
    <w:p w14:paraId="08F99D40">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当以少数服从多数的原则作出结论，但不得违背磋商文件规定。持不同意见的磋商小组成员应当在评审报告中签署不同意见及理由，否则视为同意评审报告。持不同意见的磋商小组成员认为认定过程和结果不符合法律法规或者磋商文件规定的，应当及时向采购人或采购代理机构书面反映。采购人或采购代理机构收到书面反映后，应当书面报告采购项目同级财政部门依法处理。</w:t>
      </w:r>
    </w:p>
    <w:p w14:paraId="36430664">
      <w:pPr>
        <w:keepNext w:val="0"/>
        <w:keepLines w:val="0"/>
        <w:pageBreakBefore w:val="0"/>
        <w:widowControl w:val="0"/>
        <w:numPr>
          <w:ilvl w:val="0"/>
          <w:numId w:val="10"/>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评审办法及标准</w:t>
      </w:r>
    </w:p>
    <w:p w14:paraId="7E5EF95D">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磋商小组对通过资格审查和符合性审查的响应文件进行评审，根据磋商文件的要求采用相同的评审程序、评</w:t>
      </w:r>
    </w:p>
    <w:p w14:paraId="0ABA7E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分办法及标准进行评价和比较。</w:t>
      </w:r>
    </w:p>
    <w:p w14:paraId="4BA95C89">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磋商小组成员应依据磋商文件规定的评分标准和方法独立对每个有效响应的文件进行评价、打分，然后汇总</w:t>
      </w:r>
    </w:p>
    <w:p w14:paraId="54DCD9E4">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每个供应商每项评分因素的得分。</w:t>
      </w:r>
    </w:p>
    <w:p w14:paraId="1B5DD471">
      <w:pPr>
        <w:keepNext w:val="0"/>
        <w:keepLines w:val="0"/>
        <w:pageBreakBefore w:val="0"/>
        <w:numPr>
          <w:ilvl w:val="1"/>
          <w:numId w:val="1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评分办法</w:t>
      </w:r>
    </w:p>
    <w:p w14:paraId="01816CB0">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本项目采用综合评分法，是指响应文件满足磋商文件全部实质性要求且按评审因素的量化指标评审得分最高的供应商为成交候选供应商的评审方法。</w:t>
      </w:r>
    </w:p>
    <w:p w14:paraId="49FDF516">
      <w:pPr>
        <w:wordWrap/>
        <w:rPr>
          <w:rFonts w:hint="eastAsia" w:ascii="黑体" w:hAnsi="黑体" w:eastAsia="黑体" w:cs="黑体"/>
        </w:rPr>
      </w:pPr>
    </w:p>
    <w:p w14:paraId="0256228C">
      <w:pPr>
        <w:keepNext w:val="0"/>
        <w:keepLines w:val="0"/>
        <w:pageBreakBefore w:val="0"/>
        <w:numPr>
          <w:ilvl w:val="1"/>
          <w:numId w:val="10"/>
        </w:numPr>
        <w:kinsoku/>
        <w:wordWrap/>
        <w:overflowPunct/>
        <w:topLinePunct w:val="0"/>
        <w:bidi w:val="0"/>
        <w:spacing w:before="86" w:beforeLines="20" w:line="480" w:lineRule="exact"/>
        <w:jc w:val="left"/>
        <w:textAlignment w:val="auto"/>
        <w:outlineLvl w:val="1"/>
        <w:rPr>
          <w:rFonts w:hint="eastAsia" w:ascii="黑体" w:hAnsi="黑体" w:eastAsia="黑体" w:cs="黑体"/>
          <w:b/>
          <w:bCs/>
          <w:sz w:val="20"/>
          <w:szCs w:val="20"/>
          <w:lang w:val="en-US" w:eastAsia="zh-CN"/>
        </w:rPr>
      </w:pPr>
      <w:bookmarkStart w:id="42" w:name="_Toc526"/>
      <w:r>
        <w:rPr>
          <w:rFonts w:hint="eastAsia" w:ascii="黑体" w:hAnsi="黑体" w:eastAsia="黑体" w:cs="黑体"/>
          <w:b/>
          <w:bCs/>
          <w:sz w:val="20"/>
          <w:szCs w:val="20"/>
          <w:lang w:val="en-US" w:eastAsia="zh-CN"/>
        </w:rPr>
        <w:t>评审要素及分值一览表</w:t>
      </w:r>
      <w:bookmarkEnd w:id="42"/>
    </w:p>
    <w:p w14:paraId="0EE3CBA9">
      <w:pPr>
        <w:pageBreakBefore w:val="0"/>
        <w:kinsoku/>
        <w:wordWrap/>
        <w:overflowPunct/>
        <w:topLinePunct w:val="0"/>
        <w:bidi w:val="0"/>
        <w:spacing w:line="360" w:lineRule="auto"/>
        <w:jc w:val="center"/>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（一）价格评分（1</w:t>
      </w:r>
      <w:r>
        <w:rPr>
          <w:rFonts w:hint="eastAsia" w:ascii="黑体" w:hAnsi="黑体" w:eastAsia="黑体" w:cs="黑体"/>
          <w:b/>
          <w:color w:val="000000" w:themeColor="text1"/>
          <w:sz w:val="24"/>
          <w:szCs w:val="24"/>
          <w:highlight w:val="none"/>
          <w:lang w:val="en-US" w:eastAsia="zh-CN"/>
          <w14:textFill>
            <w14:solidFill>
              <w14:schemeClr w14:val="tx1"/>
            </w14:solidFill>
          </w14:textFill>
        </w:rPr>
        <w:t>5</w:t>
      </w:r>
      <w:r>
        <w:rPr>
          <w:rFonts w:hint="eastAsia" w:ascii="黑体" w:hAnsi="黑体" w:eastAsia="黑体" w:cs="黑体"/>
          <w:b/>
          <w:color w:val="000000" w:themeColor="text1"/>
          <w:sz w:val="24"/>
          <w:szCs w:val="24"/>
          <w:highlight w:val="none"/>
          <w14:textFill>
            <w14:solidFill>
              <w14:schemeClr w14:val="tx1"/>
            </w14:solidFill>
          </w14:textFill>
        </w:rPr>
        <w:t>分）</w:t>
      </w:r>
    </w:p>
    <w:tbl>
      <w:tblPr>
        <w:tblStyle w:val="20"/>
        <w:tblW w:w="9578" w:type="dxa"/>
        <w:tblInd w:w="-12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416"/>
        <w:gridCol w:w="1621"/>
        <w:gridCol w:w="5841"/>
      </w:tblGrid>
      <w:tr w14:paraId="4AA50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700" w:type="dxa"/>
            <w:tcBorders>
              <w:top w:val="single" w:color="auto" w:sz="4" w:space="0"/>
            </w:tcBorders>
            <w:vAlign w:val="center"/>
          </w:tcPr>
          <w:p w14:paraId="256F1F5C">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序号</w:t>
            </w:r>
          </w:p>
        </w:tc>
        <w:tc>
          <w:tcPr>
            <w:tcW w:w="1416" w:type="dxa"/>
            <w:tcBorders>
              <w:top w:val="single" w:color="auto" w:sz="4" w:space="0"/>
            </w:tcBorders>
            <w:vAlign w:val="center"/>
          </w:tcPr>
          <w:p w14:paraId="262BB671">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评审因素</w:t>
            </w:r>
          </w:p>
        </w:tc>
        <w:tc>
          <w:tcPr>
            <w:tcW w:w="1621" w:type="dxa"/>
            <w:tcBorders>
              <w:top w:val="single" w:color="auto" w:sz="4" w:space="0"/>
            </w:tcBorders>
            <w:vAlign w:val="center"/>
          </w:tcPr>
          <w:p w14:paraId="18F16B37">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分值权重</w:t>
            </w:r>
          </w:p>
        </w:tc>
        <w:tc>
          <w:tcPr>
            <w:tcW w:w="5841" w:type="dxa"/>
            <w:tcBorders>
              <w:top w:val="single" w:color="auto" w:sz="4" w:space="0"/>
            </w:tcBorders>
            <w:vAlign w:val="center"/>
          </w:tcPr>
          <w:p w14:paraId="4E7C7E2F">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评分说明</w:t>
            </w:r>
          </w:p>
        </w:tc>
      </w:tr>
      <w:tr w14:paraId="317E5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82" w:hRule="atLeast"/>
        </w:trPr>
        <w:tc>
          <w:tcPr>
            <w:tcW w:w="700" w:type="dxa"/>
            <w:tcBorders>
              <w:bottom w:val="single" w:color="auto" w:sz="4" w:space="0"/>
            </w:tcBorders>
            <w:vAlign w:val="center"/>
          </w:tcPr>
          <w:p w14:paraId="3F7643AC">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w:t>
            </w:r>
          </w:p>
        </w:tc>
        <w:tc>
          <w:tcPr>
            <w:tcW w:w="1416" w:type="dxa"/>
            <w:tcBorders>
              <w:bottom w:val="single" w:color="auto" w:sz="4" w:space="0"/>
            </w:tcBorders>
            <w:vAlign w:val="center"/>
          </w:tcPr>
          <w:p w14:paraId="3A2DFEF5">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最后报价</w:t>
            </w:r>
          </w:p>
        </w:tc>
        <w:tc>
          <w:tcPr>
            <w:tcW w:w="1621" w:type="dxa"/>
            <w:tcBorders>
              <w:bottom w:val="single" w:color="auto" w:sz="4" w:space="0"/>
            </w:tcBorders>
            <w:vAlign w:val="center"/>
          </w:tcPr>
          <w:p w14:paraId="092FB366">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15</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w:t>
            </w:r>
          </w:p>
        </w:tc>
        <w:tc>
          <w:tcPr>
            <w:tcW w:w="5841" w:type="dxa"/>
            <w:tcBorders>
              <w:bottom w:val="single" w:color="auto" w:sz="4" w:space="0"/>
            </w:tcBorders>
            <w:vAlign w:val="center"/>
          </w:tcPr>
          <w:p w14:paraId="347C36A1">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1、根据《政府采购竞争性磋商采购方式管理暂行办法》规定，综合评分法中的价格分统一采用低价优先法计算，即满足竞争性磋商文件要求且</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报价最低的报价为基准价，其价格分为满分。</w:t>
            </w:r>
          </w:p>
          <w:p w14:paraId="69AE0E5E">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供应商的报价得分计算公式如下：</w:t>
            </w:r>
          </w:p>
          <w:p w14:paraId="675313D9">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磋商报价得分=(磋商基准价／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报价)×1</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5</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w:t>
            </w:r>
          </w:p>
          <w:p w14:paraId="385F9B41">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CN"/>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2.若落实政府采购政策的，以享受政策调整后的价格参与评审</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w:t>
            </w:r>
          </w:p>
        </w:tc>
      </w:tr>
    </w:tbl>
    <w:p w14:paraId="420952B1">
      <w:pPr>
        <w:keepNext w:val="0"/>
        <w:keepLines w:val="0"/>
        <w:pageBreakBefore w:val="0"/>
        <w:widowControl w:val="0"/>
        <w:numPr>
          <w:ilvl w:val="0"/>
          <w:numId w:val="12"/>
        </w:numPr>
        <w:kinsoku/>
        <w:wordWrap/>
        <w:overflowPunct/>
        <w:topLinePunct w:val="0"/>
        <w:autoSpaceDE/>
        <w:autoSpaceDN/>
        <w:bidi w:val="0"/>
        <w:adjustRightInd/>
        <w:snapToGrid/>
        <w:spacing w:before="313" w:beforeLines="100" w:line="360" w:lineRule="auto"/>
        <w:jc w:val="center"/>
        <w:textAlignment w:val="auto"/>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技术商务评分表（</w:t>
      </w:r>
      <w:r>
        <w:rPr>
          <w:rFonts w:hint="eastAsia" w:ascii="黑体" w:hAnsi="黑体" w:eastAsia="黑体" w:cs="黑体"/>
          <w:b/>
          <w:color w:val="000000" w:themeColor="text1"/>
          <w:sz w:val="24"/>
          <w:szCs w:val="24"/>
          <w:highlight w:val="none"/>
          <w:lang w:val="en-US" w:eastAsia="zh-CN"/>
          <w14:textFill>
            <w14:solidFill>
              <w14:schemeClr w14:val="tx1"/>
            </w14:solidFill>
          </w14:textFill>
        </w:rPr>
        <w:t>85</w:t>
      </w:r>
      <w:r>
        <w:rPr>
          <w:rFonts w:hint="eastAsia" w:ascii="黑体" w:hAnsi="黑体" w:eastAsia="黑体" w:cs="黑体"/>
          <w:b/>
          <w:color w:val="000000" w:themeColor="text1"/>
          <w:sz w:val="24"/>
          <w:szCs w:val="24"/>
          <w:highlight w:val="none"/>
          <w14:textFill>
            <w14:solidFill>
              <w14:schemeClr w14:val="tx1"/>
            </w14:solidFill>
          </w14:textFill>
        </w:rPr>
        <w:t>分）</w:t>
      </w:r>
    </w:p>
    <w:p w14:paraId="3CB5D4E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评分说明：</w:t>
      </w:r>
    </w:p>
    <w:p w14:paraId="7B7FC3D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w:t>
      </w:r>
    </w:p>
    <w:p w14:paraId="34E142AF">
      <w:pPr>
        <w:keepNext w:val="0"/>
        <w:keepLines w:val="0"/>
        <w:pageBreakBefore w:val="0"/>
        <w:widowControl w:val="0"/>
        <w:numPr>
          <w:ilvl w:val="0"/>
          <w:numId w:val="0"/>
        </w:numPr>
        <w:kinsoku/>
        <w:wordWrap/>
        <w:overflowPunct/>
        <w:topLinePunct w:val="0"/>
        <w:autoSpaceDE/>
        <w:autoSpaceDN/>
        <w:bidi w:val="0"/>
        <w:adjustRightInd/>
        <w:snapToGrid/>
        <w:spacing w:before="86" w:beforeLines="20" w:after="220" w:afterLines="5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w:t>
      </w:r>
    </w:p>
    <w:p w14:paraId="4FD8DE50">
      <w:pPr>
        <w:wordWrap/>
        <w:rPr>
          <w:rFonts w:hint="eastAsia"/>
        </w:rPr>
      </w:pPr>
    </w:p>
    <w:tbl>
      <w:tblPr>
        <w:tblStyle w:val="20"/>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36"/>
        <w:gridCol w:w="830"/>
        <w:gridCol w:w="863"/>
        <w:gridCol w:w="5917"/>
      </w:tblGrid>
      <w:tr w14:paraId="1B36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8" w:type="dxa"/>
            <w:vAlign w:val="center"/>
          </w:tcPr>
          <w:p w14:paraId="4D077D2C">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436" w:type="dxa"/>
            <w:vAlign w:val="center"/>
          </w:tcPr>
          <w:p w14:paraId="72621880">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830" w:type="dxa"/>
            <w:vAlign w:val="center"/>
          </w:tcPr>
          <w:p w14:paraId="0D7820C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最小</w:t>
            </w:r>
          </w:p>
          <w:p w14:paraId="5584BDE5">
            <w:pPr>
              <w:wordWrap/>
              <w:adjustRightInd w:val="0"/>
              <w:snapToGrid w:val="0"/>
              <w:jc w:val="center"/>
              <w:rPr>
                <w:rFonts w:hint="eastAsia" w:ascii="黑体" w:hAnsi="黑体" w:eastAsia="黑体" w:cs="黑体"/>
                <w:sz w:val="19"/>
                <w:szCs w:val="19"/>
              </w:rPr>
            </w:pPr>
            <w:r>
              <w:rPr>
                <w:rFonts w:hint="eastAsia" w:ascii="黑体" w:hAnsi="黑体" w:eastAsia="黑体" w:cs="黑体"/>
                <w:b/>
                <w:bCs/>
                <w:sz w:val="19"/>
                <w:szCs w:val="19"/>
              </w:rPr>
              <w:t>分差</w:t>
            </w:r>
          </w:p>
        </w:tc>
        <w:tc>
          <w:tcPr>
            <w:tcW w:w="863" w:type="dxa"/>
            <w:vAlign w:val="center"/>
          </w:tcPr>
          <w:p w14:paraId="7BB38CE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分值</w:t>
            </w:r>
          </w:p>
        </w:tc>
        <w:tc>
          <w:tcPr>
            <w:tcW w:w="5917" w:type="dxa"/>
            <w:vAlign w:val="center"/>
          </w:tcPr>
          <w:p w14:paraId="587C31A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r>
      <w:tr w14:paraId="0DB8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718" w:type="dxa"/>
            <w:vAlign w:val="center"/>
          </w:tcPr>
          <w:p w14:paraId="66A9A214">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436" w:type="dxa"/>
            <w:vAlign w:val="center"/>
          </w:tcPr>
          <w:p w14:paraId="4ECD74D8">
            <w:pPr>
              <w:wordWrap/>
              <w:adjustRightInd w:val="0"/>
              <w:snapToGrid w:val="0"/>
              <w:spacing w:line="360" w:lineRule="atLeast"/>
              <w:ind w:right="-57"/>
              <w:jc w:val="center"/>
              <w:rPr>
                <w:rFonts w:hint="eastAsia" w:ascii="黑体" w:hAnsi="黑体" w:eastAsia="黑体" w:cs="黑体"/>
                <w:sz w:val="19"/>
                <w:szCs w:val="19"/>
              </w:rPr>
            </w:pPr>
            <w:r>
              <w:rPr>
                <w:rFonts w:hint="eastAsia" w:ascii="黑体" w:hAnsi="黑体" w:eastAsia="黑体" w:cs="黑体"/>
                <w:sz w:val="19"/>
                <w:szCs w:val="19"/>
              </w:rPr>
              <w:t>项目需求理解</w:t>
            </w:r>
          </w:p>
        </w:tc>
        <w:tc>
          <w:tcPr>
            <w:tcW w:w="830" w:type="dxa"/>
            <w:vAlign w:val="center"/>
          </w:tcPr>
          <w:p w14:paraId="6601ECF5">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09DE618B">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15分</w:t>
            </w:r>
          </w:p>
        </w:tc>
        <w:tc>
          <w:tcPr>
            <w:tcW w:w="5917" w:type="dxa"/>
            <w:vAlign w:val="center"/>
          </w:tcPr>
          <w:p w14:paraId="0E234669">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供应商</w:t>
            </w:r>
            <w:r>
              <w:rPr>
                <w:rFonts w:hint="eastAsia" w:ascii="黑体" w:hAnsi="黑体" w:eastAsia="黑体" w:cs="黑体"/>
                <w:sz w:val="19"/>
                <w:szCs w:val="19"/>
              </w:rPr>
              <w:t>提供针对</w:t>
            </w:r>
            <w:r>
              <w:rPr>
                <w:rFonts w:hint="eastAsia" w:ascii="黑体" w:hAnsi="黑体" w:eastAsia="黑体" w:cs="黑体"/>
                <w:sz w:val="19"/>
                <w:szCs w:val="19"/>
                <w:lang w:val="en-US" w:eastAsia="zh-CN"/>
              </w:rPr>
              <w:t>本</w:t>
            </w:r>
            <w:r>
              <w:rPr>
                <w:rFonts w:hint="eastAsia" w:ascii="黑体" w:hAnsi="黑体" w:eastAsia="黑体" w:cs="黑体"/>
                <w:sz w:val="19"/>
                <w:szCs w:val="19"/>
              </w:rPr>
              <w:t>项目</w:t>
            </w:r>
            <w:r>
              <w:rPr>
                <w:rFonts w:hint="eastAsia" w:ascii="黑体" w:hAnsi="黑体" w:eastAsia="黑体" w:cs="黑体"/>
                <w:sz w:val="19"/>
                <w:szCs w:val="19"/>
                <w:lang w:val="en-US" w:eastAsia="zh-CN"/>
              </w:rPr>
              <w:t>采购需求的理解</w:t>
            </w:r>
            <w:r>
              <w:rPr>
                <w:rFonts w:hint="eastAsia" w:ascii="黑体" w:hAnsi="黑体" w:eastAsia="黑体" w:cs="黑体"/>
                <w:sz w:val="19"/>
                <w:szCs w:val="19"/>
              </w:rPr>
              <w:t>，至少应包括：</w:t>
            </w:r>
          </w:p>
          <w:p w14:paraId="5939ECC6">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①工作重点；②关键点分析；③工作难点；④服务优势；⑤合理化建议。包含但不限于上述全部内容，且方案详细，清晰有利于项目的得满分。(如有缺陷或不足在此分数基础上进行扣分)，以上5项中：</w:t>
            </w:r>
          </w:p>
          <w:p w14:paraId="0F6AB92F">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4ECF59F1">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03F4493B">
            <w:pPr>
              <w:widowControl/>
              <w:wordWrap/>
              <w:spacing w:line="360" w:lineRule="atLeast"/>
              <w:jc w:val="left"/>
              <w:textAlignment w:val="center"/>
              <w:rPr>
                <w:rFonts w:hint="eastAsia" w:ascii="黑体" w:hAnsi="黑体" w:eastAsia="黑体" w:cs="黑体"/>
                <w:bCs/>
                <w:sz w:val="19"/>
                <w:szCs w:val="19"/>
                <w:lang w:val="zh-CN"/>
              </w:rPr>
            </w:pPr>
            <w:r>
              <w:rPr>
                <w:rFonts w:hint="eastAsia" w:ascii="黑体" w:hAnsi="黑体" w:eastAsia="黑体" w:cs="黑体"/>
                <w:sz w:val="19"/>
                <w:szCs w:val="19"/>
              </w:rPr>
              <w:t>（3）每有1项总体内容完备但存在部分瑕疵之处扣</w:t>
            </w: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r>
      <w:tr w14:paraId="486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8" w:type="dxa"/>
            <w:vAlign w:val="center"/>
          </w:tcPr>
          <w:p w14:paraId="103512E1">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436" w:type="dxa"/>
            <w:vAlign w:val="center"/>
          </w:tcPr>
          <w:p w14:paraId="51F73F3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项目服务方案</w:t>
            </w:r>
          </w:p>
        </w:tc>
        <w:tc>
          <w:tcPr>
            <w:tcW w:w="830" w:type="dxa"/>
            <w:vAlign w:val="center"/>
          </w:tcPr>
          <w:p w14:paraId="7AFD6AF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4294A6B7">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35分</w:t>
            </w:r>
          </w:p>
        </w:tc>
        <w:tc>
          <w:tcPr>
            <w:tcW w:w="5917" w:type="dxa"/>
            <w:vAlign w:val="center"/>
          </w:tcPr>
          <w:p w14:paraId="628259A5">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供应商提供针对项目的服务方案，至少应包括：①安全检测</w:t>
            </w:r>
            <w:r>
              <w:rPr>
                <w:rFonts w:hint="eastAsia" w:ascii="黑体" w:hAnsi="黑体" w:eastAsia="黑体" w:cs="黑体"/>
                <w:sz w:val="19"/>
                <w:szCs w:val="19"/>
                <w:lang w:val="en-US" w:eastAsia="zh-CN"/>
              </w:rPr>
              <w:t>服务方案；</w:t>
            </w:r>
            <w:r>
              <w:rPr>
                <w:rFonts w:hint="eastAsia" w:ascii="黑体" w:hAnsi="黑体" w:eastAsia="黑体" w:cs="黑体"/>
                <w:sz w:val="19"/>
                <w:szCs w:val="19"/>
              </w:rPr>
              <w:t>②等保测评服务内容；③</w:t>
            </w:r>
            <w:r>
              <w:rPr>
                <w:rFonts w:hint="eastAsia" w:ascii="黑体" w:hAnsi="黑体" w:eastAsia="黑体" w:cs="黑体"/>
                <w:sz w:val="19"/>
                <w:szCs w:val="19"/>
                <w:lang w:val="en-US" w:eastAsia="zh-CN"/>
              </w:rPr>
              <w:t>安全巡检方案</w:t>
            </w:r>
            <w:r>
              <w:rPr>
                <w:rFonts w:hint="eastAsia" w:ascii="黑体" w:hAnsi="黑体" w:eastAsia="黑体" w:cs="黑体"/>
                <w:sz w:val="19"/>
                <w:szCs w:val="19"/>
              </w:rPr>
              <w:t>；④项目管理方案</w:t>
            </w:r>
            <w:r>
              <w:rPr>
                <w:rFonts w:hint="eastAsia" w:ascii="黑体" w:hAnsi="黑体" w:eastAsia="黑体" w:cs="黑体"/>
                <w:sz w:val="19"/>
                <w:szCs w:val="19"/>
                <w:lang w:eastAsia="zh-CN"/>
              </w:rPr>
              <w:t>；</w:t>
            </w:r>
            <w:r>
              <w:rPr>
                <w:rFonts w:hint="eastAsia" w:ascii="黑体" w:hAnsi="黑体" w:eastAsia="黑体" w:cs="黑体"/>
                <w:sz w:val="19"/>
                <w:szCs w:val="19"/>
                <w:lang w:val="en-US" w:eastAsia="zh-CN"/>
              </w:rPr>
              <w:t>⑤</w:t>
            </w:r>
            <w:r>
              <w:rPr>
                <w:rFonts w:hint="eastAsia" w:ascii="黑体" w:hAnsi="黑体" w:eastAsia="黑体" w:cs="黑体"/>
                <w:sz w:val="19"/>
                <w:szCs w:val="19"/>
              </w:rPr>
              <w:t>测评工具配备；⑥进度保障措施；⑦应急保障组织方案；包含但不限于上述全部内容，且方案详细，清晰有利于项目的得满分。(如有缺陷或不足在此分数基础上进行扣分)，以上7项中：</w:t>
            </w:r>
          </w:p>
          <w:p w14:paraId="37F182D5">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（1）每有1项缺失或完全无法满足项目需求的扣5分；</w:t>
            </w:r>
          </w:p>
          <w:p w14:paraId="36CA191F">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（2）每有1项中内容存在缺陷或不足扣3分；</w:t>
            </w:r>
          </w:p>
          <w:p w14:paraId="3A36C6D2">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sz w:val="19"/>
                <w:szCs w:val="19"/>
              </w:rPr>
              <w:t>（3）每有 1 项总体内容完备但存在部分瑕疵之处扣1分。</w:t>
            </w:r>
          </w:p>
        </w:tc>
      </w:tr>
      <w:tr w14:paraId="796B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718" w:type="dxa"/>
            <w:vAlign w:val="center"/>
          </w:tcPr>
          <w:p w14:paraId="53D68E3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436" w:type="dxa"/>
            <w:vAlign w:val="center"/>
          </w:tcPr>
          <w:p w14:paraId="263FC8F5">
            <w:pPr>
              <w:pStyle w:val="18"/>
              <w:wordWrap/>
              <w:spacing w:before="0" w:beforeAutospacing="0" w:after="0" w:afterAutospacing="0" w:line="360" w:lineRule="atLeast"/>
              <w:jc w:val="center"/>
              <w:rPr>
                <w:rFonts w:hint="eastAsia" w:ascii="黑体" w:hAnsi="黑体" w:eastAsia="黑体" w:cs="黑体"/>
                <w:sz w:val="19"/>
                <w:szCs w:val="19"/>
              </w:rPr>
            </w:pPr>
            <w:r>
              <w:rPr>
                <w:rFonts w:hint="eastAsia" w:ascii="黑体" w:hAnsi="黑体" w:eastAsia="黑体" w:cs="黑体"/>
                <w:color w:val="auto"/>
                <w:sz w:val="19"/>
                <w:szCs w:val="19"/>
                <w:lang w:bidi="ar"/>
              </w:rPr>
              <w:t>成果质量管理</w:t>
            </w:r>
          </w:p>
        </w:tc>
        <w:tc>
          <w:tcPr>
            <w:tcW w:w="830" w:type="dxa"/>
            <w:vAlign w:val="center"/>
          </w:tcPr>
          <w:p w14:paraId="7CF983F2">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2DFDB219">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9分</w:t>
            </w:r>
          </w:p>
        </w:tc>
        <w:tc>
          <w:tcPr>
            <w:tcW w:w="5917" w:type="dxa"/>
            <w:vAlign w:val="center"/>
          </w:tcPr>
          <w:p w14:paraId="514BC8D7">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提供针对</w:t>
            </w:r>
            <w:r>
              <w:rPr>
                <w:rFonts w:hint="eastAsia" w:ascii="黑体" w:hAnsi="黑体" w:eastAsia="黑体" w:cs="黑体"/>
                <w:kern w:val="0"/>
                <w:sz w:val="19"/>
                <w:szCs w:val="19"/>
                <w:lang w:bidi="ar"/>
              </w:rPr>
              <w:t>项目的成果质量保证措施，</w:t>
            </w:r>
            <w:r>
              <w:rPr>
                <w:rFonts w:hint="eastAsia" w:ascii="黑体" w:hAnsi="黑体" w:eastAsia="黑体" w:cs="黑体"/>
                <w:sz w:val="19"/>
                <w:szCs w:val="19"/>
              </w:rPr>
              <w:t>至少应包括：</w:t>
            </w:r>
            <w:r>
              <w:rPr>
                <w:rFonts w:hint="eastAsia" w:ascii="黑体" w:hAnsi="黑体" w:eastAsia="黑体" w:cs="黑体"/>
                <w:kern w:val="0"/>
                <w:sz w:val="19"/>
                <w:szCs w:val="19"/>
                <w:lang w:bidi="ar"/>
              </w:rPr>
              <w:t>①质量保障措施；②质量检查措施；</w:t>
            </w:r>
            <w:r>
              <w:rPr>
                <w:rFonts w:hint="eastAsia" w:ascii="黑体" w:hAnsi="黑体" w:eastAsia="黑体" w:cs="黑体"/>
                <w:sz w:val="19"/>
                <w:szCs w:val="19"/>
              </w:rPr>
              <w:t>③</w:t>
            </w:r>
            <w:r>
              <w:rPr>
                <w:rFonts w:hint="eastAsia" w:ascii="黑体" w:hAnsi="黑体" w:eastAsia="黑体" w:cs="黑体"/>
                <w:kern w:val="0"/>
                <w:sz w:val="19"/>
                <w:szCs w:val="19"/>
                <w:lang w:bidi="ar"/>
              </w:rPr>
              <w:t>质量管理体系建设及证明文件。</w:t>
            </w:r>
            <w:r>
              <w:rPr>
                <w:rFonts w:hint="eastAsia" w:ascii="黑体" w:hAnsi="黑体" w:eastAsia="黑体" w:cs="黑体"/>
                <w:sz w:val="19"/>
                <w:szCs w:val="19"/>
              </w:rPr>
              <w:t>包含但不限于上述全部内容，且方案详细，清晰有利于项目的得满分。(如有缺陷或不足在此分数基础上进行扣分)，以上3项中：</w:t>
            </w:r>
          </w:p>
          <w:p w14:paraId="7D54F5BC">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1F4ECB7A">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2F68728D">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项总体内容完备但存在部分瑕疵之处扣1分。</w:t>
            </w:r>
          </w:p>
        </w:tc>
      </w:tr>
      <w:tr w14:paraId="7947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718" w:type="dxa"/>
            <w:vAlign w:val="center"/>
          </w:tcPr>
          <w:p w14:paraId="239CDFD7">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4</w:t>
            </w:r>
          </w:p>
        </w:tc>
        <w:tc>
          <w:tcPr>
            <w:tcW w:w="1436" w:type="dxa"/>
            <w:vAlign w:val="center"/>
          </w:tcPr>
          <w:p w14:paraId="6E6CC379">
            <w:pPr>
              <w:pStyle w:val="18"/>
              <w:wordWrap/>
              <w:spacing w:before="0" w:beforeAutospacing="0" w:after="0" w:afterAutospacing="0" w:line="360" w:lineRule="atLeast"/>
              <w:jc w:val="center"/>
              <w:rPr>
                <w:rFonts w:hint="eastAsia" w:ascii="黑体" w:hAnsi="黑体" w:eastAsia="黑体" w:cs="黑体"/>
                <w:color w:val="auto"/>
                <w:sz w:val="19"/>
                <w:szCs w:val="19"/>
                <w:lang w:bidi="ar"/>
              </w:rPr>
            </w:pPr>
            <w:r>
              <w:rPr>
                <w:rFonts w:hint="eastAsia" w:ascii="黑体" w:hAnsi="黑体" w:eastAsia="黑体" w:cs="黑体"/>
                <w:color w:val="auto"/>
                <w:sz w:val="19"/>
                <w:szCs w:val="19"/>
                <w:lang w:bidi="ar"/>
              </w:rPr>
              <w:t>安全保密措施</w:t>
            </w:r>
          </w:p>
        </w:tc>
        <w:tc>
          <w:tcPr>
            <w:tcW w:w="830" w:type="dxa"/>
            <w:vAlign w:val="center"/>
          </w:tcPr>
          <w:p w14:paraId="33F220F6">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6A9903D9">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6分</w:t>
            </w:r>
          </w:p>
        </w:tc>
        <w:tc>
          <w:tcPr>
            <w:tcW w:w="5917" w:type="dxa"/>
            <w:vAlign w:val="center"/>
          </w:tcPr>
          <w:p w14:paraId="773970A4">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提供</w:t>
            </w:r>
            <w:r>
              <w:rPr>
                <w:rFonts w:hint="eastAsia" w:ascii="黑体" w:hAnsi="黑体" w:eastAsia="黑体" w:cs="黑体"/>
                <w:kern w:val="0"/>
                <w:sz w:val="19"/>
                <w:szCs w:val="19"/>
                <w:lang w:bidi="ar"/>
              </w:rPr>
              <w:t>针对本项目制定专项</w:t>
            </w:r>
            <w:r>
              <w:rPr>
                <w:rFonts w:hint="eastAsia" w:ascii="黑体" w:hAnsi="黑体" w:eastAsia="黑体" w:cs="黑体"/>
                <w:sz w:val="19"/>
                <w:szCs w:val="19"/>
              </w:rPr>
              <w:t>保密措施解决方案</w:t>
            </w:r>
            <w:r>
              <w:rPr>
                <w:rFonts w:hint="eastAsia" w:ascii="黑体" w:hAnsi="黑体" w:eastAsia="黑体" w:cs="黑体"/>
                <w:kern w:val="0"/>
                <w:sz w:val="19"/>
                <w:szCs w:val="19"/>
                <w:lang w:bidi="ar"/>
              </w:rPr>
              <w:t>，至少应包括：①项目风险识别与应对措施；②保密承诺。</w:t>
            </w:r>
            <w:r>
              <w:rPr>
                <w:rFonts w:hint="eastAsia" w:ascii="黑体" w:hAnsi="黑体" w:eastAsia="黑体" w:cs="黑体"/>
                <w:kern w:val="0"/>
                <w:sz w:val="19"/>
                <w:szCs w:val="19"/>
                <w:lang w:val="en-US" w:eastAsia="zh-CN" w:bidi="ar"/>
              </w:rPr>
              <w:t xml:space="preserve"> </w:t>
            </w:r>
            <w:r>
              <w:rPr>
                <w:rFonts w:hint="eastAsia" w:ascii="黑体" w:hAnsi="黑体" w:eastAsia="黑体" w:cs="黑体"/>
                <w:sz w:val="19"/>
                <w:szCs w:val="19"/>
              </w:rPr>
              <w:t>包含但不限于上述全部内容，且方案详细，清晰有利于项目的得满分。(如有缺陷或不足在此分数基础上进行扣分)，以上</w:t>
            </w:r>
            <w:r>
              <w:rPr>
                <w:rFonts w:hint="eastAsia" w:ascii="黑体" w:hAnsi="黑体" w:eastAsia="黑体" w:cs="黑体"/>
                <w:sz w:val="19"/>
                <w:szCs w:val="19"/>
                <w:lang w:val="en-US" w:eastAsia="zh-CN"/>
              </w:rPr>
              <w:t>2</w:t>
            </w:r>
            <w:r>
              <w:rPr>
                <w:rFonts w:hint="eastAsia" w:ascii="黑体" w:hAnsi="黑体" w:eastAsia="黑体" w:cs="黑体"/>
                <w:sz w:val="19"/>
                <w:szCs w:val="19"/>
              </w:rPr>
              <w:t>项中：</w:t>
            </w:r>
          </w:p>
          <w:p w14:paraId="6971822A">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7FA3C24C">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1A2E2B53">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项总体内容完备但存在部分瑕疵之处扣1分。</w:t>
            </w:r>
          </w:p>
        </w:tc>
      </w:tr>
      <w:tr w14:paraId="3A8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18" w:type="dxa"/>
            <w:vAlign w:val="center"/>
          </w:tcPr>
          <w:p w14:paraId="1700174F">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5</w:t>
            </w:r>
          </w:p>
        </w:tc>
        <w:tc>
          <w:tcPr>
            <w:tcW w:w="1436" w:type="dxa"/>
            <w:vAlign w:val="center"/>
          </w:tcPr>
          <w:p w14:paraId="69A95AD4">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rPr>
              <w:t>服务承诺</w:t>
            </w:r>
          </w:p>
        </w:tc>
        <w:tc>
          <w:tcPr>
            <w:tcW w:w="830" w:type="dxa"/>
            <w:vAlign w:val="center"/>
          </w:tcPr>
          <w:p w14:paraId="1475F0E2">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685ACD07">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3</w:t>
            </w:r>
            <w:r>
              <w:rPr>
                <w:rFonts w:hint="eastAsia" w:ascii="黑体" w:hAnsi="黑体" w:eastAsia="黑体" w:cs="黑体"/>
                <w:sz w:val="19"/>
                <w:szCs w:val="19"/>
              </w:rPr>
              <w:t>分</w:t>
            </w:r>
          </w:p>
        </w:tc>
        <w:tc>
          <w:tcPr>
            <w:tcW w:w="5917" w:type="dxa"/>
            <w:vAlign w:val="center"/>
          </w:tcPr>
          <w:p w14:paraId="41E01212">
            <w:pPr>
              <w:widowControl/>
              <w:wordWrap/>
              <w:spacing w:line="360" w:lineRule="atLeast"/>
              <w:jc w:val="left"/>
              <w:textAlignment w:val="center"/>
              <w:rPr>
                <w:rFonts w:hint="eastAsia" w:ascii="黑体" w:hAnsi="黑体" w:eastAsia="黑体" w:cs="黑体"/>
                <w:kern w:val="0"/>
                <w:sz w:val="19"/>
                <w:szCs w:val="19"/>
                <w:lang w:eastAsia="zh-CN"/>
              </w:rPr>
            </w:pPr>
            <w:r>
              <w:rPr>
                <w:rFonts w:hint="eastAsia" w:ascii="黑体" w:hAnsi="黑体" w:eastAsia="黑体" w:cs="黑体"/>
                <w:kern w:val="0"/>
                <w:sz w:val="19"/>
                <w:szCs w:val="19"/>
              </w:rPr>
              <w:t>针对本项目服务工作中的常见质量和服务问题进行梳理，供应商可根据自身情况对服务标准、过程管理、质量保证、后续服务等方面作出有利于本项目开展的承诺，每提供1条有效承诺，得1分，满分</w:t>
            </w:r>
            <w:r>
              <w:rPr>
                <w:rFonts w:hint="eastAsia" w:ascii="黑体" w:hAnsi="黑体" w:eastAsia="黑体" w:cs="黑体"/>
                <w:kern w:val="0"/>
                <w:sz w:val="19"/>
                <w:szCs w:val="19"/>
                <w:lang w:val="en-US" w:eastAsia="zh-CN"/>
              </w:rPr>
              <w:t>3</w:t>
            </w:r>
            <w:r>
              <w:rPr>
                <w:rFonts w:hint="eastAsia" w:ascii="黑体" w:hAnsi="黑体" w:eastAsia="黑体" w:cs="黑体"/>
                <w:kern w:val="0"/>
                <w:sz w:val="19"/>
                <w:szCs w:val="19"/>
              </w:rPr>
              <w:t>分</w:t>
            </w:r>
            <w:r>
              <w:rPr>
                <w:rFonts w:hint="eastAsia" w:ascii="黑体" w:hAnsi="黑体" w:eastAsia="黑体" w:cs="黑体"/>
                <w:kern w:val="0"/>
                <w:sz w:val="19"/>
                <w:szCs w:val="19"/>
                <w:lang w:eastAsia="zh-CN"/>
              </w:rPr>
              <w:t>；</w:t>
            </w:r>
          </w:p>
        </w:tc>
      </w:tr>
      <w:tr w14:paraId="13A2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18" w:type="dxa"/>
            <w:vAlign w:val="center"/>
          </w:tcPr>
          <w:p w14:paraId="69B21442">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6</w:t>
            </w:r>
          </w:p>
        </w:tc>
        <w:tc>
          <w:tcPr>
            <w:tcW w:w="1436" w:type="dxa"/>
            <w:vAlign w:val="center"/>
          </w:tcPr>
          <w:p w14:paraId="139D0BB1">
            <w:pPr>
              <w:wordWrap/>
              <w:adjustRightInd w:val="0"/>
              <w:snapToGrid w:val="0"/>
              <w:spacing w:line="360" w:lineRule="atLeast"/>
              <w:ind w:right="-87"/>
              <w:jc w:val="center"/>
              <w:rPr>
                <w:rFonts w:hint="eastAsia" w:ascii="黑体" w:hAnsi="黑体" w:eastAsia="黑体" w:cs="黑体"/>
                <w:kern w:val="0"/>
                <w:sz w:val="19"/>
                <w:szCs w:val="19"/>
              </w:rPr>
            </w:pPr>
            <w:r>
              <w:rPr>
                <w:rFonts w:hint="eastAsia" w:ascii="黑体" w:hAnsi="黑体" w:eastAsia="黑体" w:cs="黑体"/>
                <w:sz w:val="19"/>
                <w:szCs w:val="19"/>
              </w:rPr>
              <w:t>增值服务</w:t>
            </w:r>
          </w:p>
        </w:tc>
        <w:tc>
          <w:tcPr>
            <w:tcW w:w="830" w:type="dxa"/>
            <w:vAlign w:val="center"/>
          </w:tcPr>
          <w:p w14:paraId="38284A46">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0.5</w:t>
            </w:r>
            <w:r>
              <w:rPr>
                <w:rFonts w:hint="eastAsia" w:ascii="黑体" w:hAnsi="黑体" w:eastAsia="黑体" w:cs="黑体"/>
                <w:sz w:val="19"/>
                <w:szCs w:val="19"/>
              </w:rPr>
              <w:t>分</w:t>
            </w:r>
          </w:p>
        </w:tc>
        <w:tc>
          <w:tcPr>
            <w:tcW w:w="863" w:type="dxa"/>
            <w:vAlign w:val="center"/>
          </w:tcPr>
          <w:p w14:paraId="694A3572">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c>
          <w:tcPr>
            <w:tcW w:w="5917" w:type="dxa"/>
            <w:vAlign w:val="center"/>
          </w:tcPr>
          <w:p w14:paraId="1ADC69A9">
            <w:pPr>
              <w:widowControl/>
              <w:wordWrap/>
              <w:spacing w:line="360" w:lineRule="atLeast"/>
              <w:jc w:val="left"/>
              <w:textAlignment w:val="center"/>
              <w:rPr>
                <w:rFonts w:hint="eastAsia" w:ascii="黑体" w:hAnsi="黑体" w:eastAsia="黑体" w:cs="黑体"/>
                <w:b/>
                <w:bCs/>
                <w:kern w:val="0"/>
                <w:sz w:val="19"/>
                <w:szCs w:val="19"/>
              </w:rPr>
            </w:pPr>
            <w:r>
              <w:rPr>
                <w:rFonts w:hint="eastAsia" w:ascii="黑体" w:hAnsi="黑体" w:eastAsia="黑体" w:cs="黑体"/>
                <w:kern w:val="0"/>
                <w:sz w:val="19"/>
                <w:szCs w:val="19"/>
                <w:lang w:bidi="ar"/>
              </w:rPr>
              <w:t>供应商可根据自身情况提供其他利于本项目的增值服务，每提供1条有效增值服务，得</w:t>
            </w:r>
            <w:r>
              <w:rPr>
                <w:rFonts w:hint="eastAsia" w:ascii="黑体" w:hAnsi="黑体" w:eastAsia="黑体" w:cs="黑体"/>
                <w:kern w:val="0"/>
                <w:sz w:val="19"/>
                <w:szCs w:val="19"/>
                <w:lang w:val="en-US" w:eastAsia="zh-CN" w:bidi="ar"/>
              </w:rPr>
              <w:t>0.5</w:t>
            </w:r>
            <w:r>
              <w:rPr>
                <w:rFonts w:hint="eastAsia" w:ascii="黑体" w:hAnsi="黑体" w:eastAsia="黑体" w:cs="黑体"/>
                <w:kern w:val="0"/>
                <w:sz w:val="19"/>
                <w:szCs w:val="19"/>
                <w:lang w:bidi="ar"/>
              </w:rPr>
              <w:t>分，满分</w:t>
            </w:r>
            <w:r>
              <w:rPr>
                <w:rFonts w:hint="eastAsia" w:ascii="黑体" w:hAnsi="黑体" w:eastAsia="黑体" w:cs="黑体"/>
                <w:kern w:val="0"/>
                <w:sz w:val="19"/>
                <w:szCs w:val="19"/>
                <w:lang w:val="en-US" w:eastAsia="zh-CN" w:bidi="ar"/>
              </w:rPr>
              <w:t>1</w:t>
            </w:r>
            <w:r>
              <w:rPr>
                <w:rFonts w:hint="eastAsia" w:ascii="黑体" w:hAnsi="黑体" w:eastAsia="黑体" w:cs="黑体"/>
                <w:kern w:val="0"/>
                <w:sz w:val="19"/>
                <w:szCs w:val="19"/>
                <w:lang w:bidi="ar"/>
              </w:rPr>
              <w:t>分。</w:t>
            </w:r>
          </w:p>
        </w:tc>
      </w:tr>
      <w:tr w14:paraId="3249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18" w:type="dxa"/>
            <w:vAlign w:val="center"/>
          </w:tcPr>
          <w:p w14:paraId="5595949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7</w:t>
            </w:r>
          </w:p>
        </w:tc>
        <w:tc>
          <w:tcPr>
            <w:tcW w:w="1436" w:type="dxa"/>
            <w:vAlign w:val="center"/>
          </w:tcPr>
          <w:p w14:paraId="1E7E586B">
            <w:pPr>
              <w:widowControl/>
              <w:wordWrap/>
              <w:spacing w:line="360" w:lineRule="atLeast"/>
              <w:jc w:val="center"/>
              <w:rPr>
                <w:rFonts w:hint="eastAsia" w:ascii="黑体" w:hAnsi="黑体" w:eastAsia="黑体" w:cs="黑体"/>
                <w:kern w:val="0"/>
                <w:sz w:val="19"/>
                <w:szCs w:val="19"/>
              </w:rPr>
            </w:pPr>
            <w:r>
              <w:rPr>
                <w:rFonts w:hint="eastAsia" w:ascii="黑体" w:hAnsi="黑体" w:eastAsia="黑体" w:cs="黑体"/>
                <w:sz w:val="19"/>
                <w:szCs w:val="19"/>
              </w:rPr>
              <w:t>项目人员</w:t>
            </w:r>
          </w:p>
        </w:tc>
        <w:tc>
          <w:tcPr>
            <w:tcW w:w="830" w:type="dxa"/>
            <w:vAlign w:val="center"/>
          </w:tcPr>
          <w:p w14:paraId="7CEE1E19">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02859CE0">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lang w:val="en-US" w:eastAsia="zh-CN"/>
              </w:rPr>
              <w:t>6</w:t>
            </w:r>
            <w:r>
              <w:rPr>
                <w:rFonts w:hint="eastAsia" w:ascii="黑体" w:hAnsi="黑体" w:eastAsia="黑体" w:cs="黑体"/>
                <w:sz w:val="19"/>
                <w:szCs w:val="19"/>
              </w:rPr>
              <w:t>分</w:t>
            </w:r>
          </w:p>
        </w:tc>
        <w:tc>
          <w:tcPr>
            <w:tcW w:w="5917" w:type="dxa"/>
            <w:vAlign w:val="center"/>
          </w:tcPr>
          <w:p w14:paraId="2809D2BB">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供应商应提供针对本项目</w:t>
            </w:r>
            <w:r>
              <w:rPr>
                <w:rFonts w:hint="eastAsia" w:ascii="黑体" w:hAnsi="黑体" w:eastAsia="黑体" w:cs="黑体"/>
                <w:sz w:val="19"/>
                <w:szCs w:val="19"/>
                <w:lang w:val="en-US" w:eastAsia="zh-CN"/>
              </w:rPr>
              <w:t>拟投入</w:t>
            </w:r>
            <w:r>
              <w:rPr>
                <w:rFonts w:hint="eastAsia" w:ascii="黑体" w:hAnsi="黑体" w:eastAsia="黑体" w:cs="黑体"/>
                <w:sz w:val="19"/>
                <w:szCs w:val="19"/>
              </w:rPr>
              <w:t>团队人员配置清单或人员配置承诺函，其中团队人员：</w:t>
            </w:r>
          </w:p>
          <w:p w14:paraId="5AFD41D0">
            <w:pPr>
              <w:widowControl/>
              <w:numPr>
                <w:ilvl w:val="0"/>
                <w:numId w:val="0"/>
              </w:numPr>
              <w:wordWrap/>
              <w:spacing w:line="360" w:lineRule="atLeast"/>
              <w:jc w:val="left"/>
              <w:rPr>
                <w:rFonts w:hint="eastAsia" w:ascii="黑体" w:hAnsi="黑体" w:eastAsia="黑体" w:cs="黑体"/>
                <w:sz w:val="19"/>
                <w:szCs w:val="19"/>
                <w:lang w:eastAsia="zh-CN"/>
              </w:rPr>
            </w:pPr>
            <w:r>
              <w:rPr>
                <w:rFonts w:hint="eastAsia" w:ascii="黑体" w:hAnsi="黑体" w:eastAsia="黑体" w:cs="黑体"/>
                <w:sz w:val="19"/>
                <w:szCs w:val="19"/>
                <w:lang w:eastAsia="zh-CN"/>
              </w:rPr>
              <w:t>（</w:t>
            </w:r>
            <w:r>
              <w:rPr>
                <w:rFonts w:hint="eastAsia" w:ascii="黑体" w:hAnsi="黑体" w:eastAsia="黑体" w:cs="黑体"/>
                <w:sz w:val="19"/>
                <w:szCs w:val="19"/>
                <w:lang w:val="en-US" w:eastAsia="zh-CN"/>
              </w:rPr>
              <w:t>1</w:t>
            </w:r>
            <w:r>
              <w:rPr>
                <w:rFonts w:hint="eastAsia" w:ascii="黑体" w:hAnsi="黑体" w:eastAsia="黑体" w:cs="黑体"/>
                <w:sz w:val="19"/>
                <w:szCs w:val="19"/>
                <w:lang w:eastAsia="zh-CN"/>
              </w:rPr>
              <w:t>）</w:t>
            </w:r>
            <w:r>
              <w:rPr>
                <w:rFonts w:hint="eastAsia" w:ascii="黑体" w:hAnsi="黑体" w:eastAsia="黑体" w:cs="黑体"/>
                <w:sz w:val="19"/>
                <w:szCs w:val="19"/>
              </w:rPr>
              <w:t>项目</w:t>
            </w:r>
            <w:r>
              <w:rPr>
                <w:rFonts w:hint="eastAsia" w:ascii="黑体" w:hAnsi="黑体" w:eastAsia="黑体" w:cs="黑体"/>
                <w:sz w:val="19"/>
                <w:szCs w:val="19"/>
                <w:lang w:val="en-US" w:eastAsia="zh-CN"/>
              </w:rPr>
              <w:t>负责人</w:t>
            </w:r>
            <w:r>
              <w:rPr>
                <w:rFonts w:hint="eastAsia" w:ascii="黑体" w:hAnsi="黑体" w:eastAsia="黑体" w:cs="黑体"/>
                <w:sz w:val="19"/>
                <w:szCs w:val="19"/>
              </w:rPr>
              <w:t>具备高级网络安全等级测评师证书，得</w:t>
            </w:r>
            <w:r>
              <w:rPr>
                <w:rFonts w:hint="eastAsia" w:ascii="黑体" w:hAnsi="黑体" w:eastAsia="黑体" w:cs="黑体"/>
                <w:sz w:val="19"/>
                <w:szCs w:val="19"/>
                <w:lang w:val="en-US" w:eastAsia="zh-CN"/>
              </w:rPr>
              <w:t>2</w:t>
            </w:r>
            <w:r>
              <w:rPr>
                <w:rFonts w:hint="eastAsia" w:ascii="黑体" w:hAnsi="黑体" w:eastAsia="黑体" w:cs="黑体"/>
                <w:sz w:val="19"/>
                <w:szCs w:val="19"/>
              </w:rPr>
              <w:t>分；</w:t>
            </w:r>
            <w:r>
              <w:rPr>
                <w:rFonts w:hint="eastAsia" w:ascii="黑体" w:hAnsi="黑体" w:eastAsia="黑体" w:cs="黑体"/>
                <w:sz w:val="19"/>
                <w:szCs w:val="19"/>
                <w:lang w:val="en-US" w:eastAsia="zh-CN"/>
              </w:rPr>
              <w:t xml:space="preserve"> </w:t>
            </w:r>
          </w:p>
          <w:p w14:paraId="662B225F">
            <w:pPr>
              <w:widowControl/>
              <w:numPr>
                <w:ilvl w:val="0"/>
                <w:numId w:val="0"/>
              </w:numPr>
              <w:wordWrap/>
              <w:spacing w:line="360" w:lineRule="atLeast"/>
              <w:jc w:val="left"/>
              <w:rPr>
                <w:rFonts w:hint="eastAsia" w:ascii="黑体" w:hAnsi="黑体" w:eastAsia="黑体" w:cs="黑体"/>
                <w:sz w:val="19"/>
                <w:szCs w:val="19"/>
                <w:lang w:eastAsia="zh-CN"/>
              </w:rPr>
            </w:pPr>
            <w:r>
              <w:rPr>
                <w:rFonts w:hint="eastAsia" w:ascii="黑体" w:hAnsi="黑体" w:eastAsia="黑体" w:cs="黑体"/>
                <w:sz w:val="19"/>
                <w:szCs w:val="19"/>
                <w:lang w:eastAsia="zh-CN"/>
              </w:rPr>
              <w:t>（</w:t>
            </w:r>
            <w:r>
              <w:rPr>
                <w:rFonts w:hint="eastAsia" w:ascii="黑体" w:hAnsi="黑体" w:eastAsia="黑体" w:cs="黑体"/>
                <w:sz w:val="19"/>
                <w:szCs w:val="19"/>
                <w:lang w:val="en-US" w:eastAsia="zh-CN"/>
              </w:rPr>
              <w:t>2</w:t>
            </w:r>
            <w:r>
              <w:rPr>
                <w:rFonts w:hint="eastAsia" w:ascii="黑体" w:hAnsi="黑体" w:eastAsia="黑体" w:cs="黑体"/>
                <w:sz w:val="19"/>
                <w:szCs w:val="19"/>
                <w:lang w:eastAsia="zh-CN"/>
              </w:rPr>
              <w:t>）</w:t>
            </w:r>
            <w:r>
              <w:rPr>
                <w:rFonts w:hint="eastAsia" w:ascii="黑体" w:hAnsi="黑体" w:eastAsia="黑体" w:cs="黑体"/>
                <w:sz w:val="19"/>
                <w:szCs w:val="19"/>
                <w:lang w:val="en-US" w:eastAsia="zh-CN"/>
              </w:rPr>
              <w:t>项目组成员具备：</w:t>
            </w:r>
            <w:r>
              <w:rPr>
                <w:rFonts w:hint="eastAsia" w:ascii="黑体" w:hAnsi="黑体" w:eastAsia="黑体" w:cs="黑体"/>
                <w:sz w:val="19"/>
                <w:szCs w:val="19"/>
              </w:rPr>
              <w:t>注册渗透测试工程师证书（CISP-PTE)</w:t>
            </w:r>
            <w:r>
              <w:rPr>
                <w:rFonts w:hint="eastAsia" w:ascii="黑体" w:hAnsi="黑体" w:eastAsia="黑体" w:cs="黑体"/>
                <w:sz w:val="19"/>
                <w:szCs w:val="19"/>
                <w:lang w:val="en-US" w:eastAsia="zh-CN"/>
              </w:rPr>
              <w:t>或者注册信息安全专业人员（CISP）证书；</w:t>
            </w:r>
            <w:r>
              <w:rPr>
                <w:rFonts w:hint="eastAsia" w:ascii="黑体" w:hAnsi="黑体" w:eastAsia="黑体" w:cs="黑体"/>
                <w:sz w:val="19"/>
                <w:szCs w:val="19"/>
              </w:rPr>
              <w:t>每具备一个证书得</w:t>
            </w:r>
            <w:r>
              <w:rPr>
                <w:rFonts w:hint="eastAsia" w:ascii="黑体" w:hAnsi="黑体" w:eastAsia="黑体" w:cs="黑体"/>
                <w:sz w:val="19"/>
                <w:szCs w:val="19"/>
                <w:lang w:val="en-US" w:eastAsia="zh-CN"/>
              </w:rPr>
              <w:t>1</w:t>
            </w:r>
            <w:r>
              <w:rPr>
                <w:rFonts w:hint="eastAsia" w:ascii="黑体" w:hAnsi="黑体" w:eastAsia="黑体" w:cs="黑体"/>
                <w:sz w:val="19"/>
                <w:szCs w:val="19"/>
              </w:rPr>
              <w:t>分，最高得</w:t>
            </w:r>
            <w:r>
              <w:rPr>
                <w:rFonts w:hint="eastAsia" w:ascii="黑体" w:hAnsi="黑体" w:eastAsia="黑体" w:cs="黑体"/>
                <w:sz w:val="19"/>
                <w:szCs w:val="19"/>
                <w:lang w:val="en-US" w:eastAsia="zh-CN"/>
              </w:rPr>
              <w:t>4</w:t>
            </w:r>
            <w:r>
              <w:rPr>
                <w:rFonts w:hint="eastAsia" w:ascii="黑体" w:hAnsi="黑体" w:eastAsia="黑体" w:cs="黑体"/>
                <w:sz w:val="19"/>
                <w:szCs w:val="19"/>
              </w:rPr>
              <w:t>分</w:t>
            </w:r>
            <w:r>
              <w:rPr>
                <w:rFonts w:hint="eastAsia" w:ascii="黑体" w:hAnsi="黑体" w:eastAsia="黑体" w:cs="黑体"/>
                <w:sz w:val="19"/>
                <w:szCs w:val="19"/>
                <w:lang w:eastAsia="zh-CN"/>
              </w:rPr>
              <w:t>。</w:t>
            </w:r>
          </w:p>
          <w:p w14:paraId="77506888">
            <w:pPr>
              <w:widowControl/>
              <w:numPr>
                <w:ilvl w:val="0"/>
                <w:numId w:val="0"/>
              </w:numPr>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注：响应文件应提供上述人员有效</w:t>
            </w:r>
            <w:r>
              <w:rPr>
                <w:rFonts w:hint="eastAsia" w:ascii="黑体" w:hAnsi="黑体" w:eastAsia="黑体" w:cs="黑体"/>
                <w:sz w:val="19"/>
                <w:szCs w:val="19"/>
                <w:lang w:val="en-US" w:eastAsia="zh-CN"/>
              </w:rPr>
              <w:t>资格</w:t>
            </w:r>
            <w:r>
              <w:rPr>
                <w:rFonts w:hint="eastAsia" w:ascii="黑体" w:hAnsi="黑体" w:eastAsia="黑体" w:cs="黑体"/>
                <w:sz w:val="19"/>
                <w:szCs w:val="19"/>
              </w:rPr>
              <w:t>证书复印件、响应截止日前六个月任意一个月任意类别社保缴纳证明文件，未提供或提供不全不得分。</w:t>
            </w:r>
          </w:p>
          <w:p w14:paraId="2E3260C4">
            <w:pPr>
              <w:widowControl/>
              <w:numPr>
                <w:ilvl w:val="0"/>
                <w:numId w:val="0"/>
              </w:numPr>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以上人员不可重复得分，供应商仅提供团队人员配置清单或人员配置承诺函未提供证明材料的，本项最高得1分，满分</w:t>
            </w:r>
            <w:r>
              <w:rPr>
                <w:rFonts w:hint="eastAsia" w:ascii="黑体" w:hAnsi="黑体" w:eastAsia="黑体" w:cs="黑体"/>
                <w:sz w:val="19"/>
                <w:szCs w:val="19"/>
                <w:lang w:val="en-US" w:eastAsia="zh-CN"/>
              </w:rPr>
              <w:t>6</w:t>
            </w:r>
            <w:r>
              <w:rPr>
                <w:rFonts w:hint="eastAsia" w:ascii="黑体" w:hAnsi="黑体" w:eastAsia="黑体" w:cs="黑体"/>
                <w:sz w:val="19"/>
                <w:szCs w:val="19"/>
              </w:rPr>
              <w:t xml:space="preserve">分。 </w:t>
            </w:r>
          </w:p>
          <w:p w14:paraId="647572D2">
            <w:pPr>
              <w:widowControl/>
              <w:numPr>
                <w:ilvl w:val="0"/>
                <w:numId w:val="0"/>
              </w:numPr>
              <w:wordWrap/>
              <w:spacing w:line="360" w:lineRule="atLeast"/>
              <w:jc w:val="left"/>
              <w:rPr>
                <w:rFonts w:hint="eastAsia" w:ascii="黑体" w:hAnsi="黑体" w:eastAsia="黑体" w:cs="黑体"/>
                <w:kern w:val="0"/>
                <w:sz w:val="19"/>
                <w:szCs w:val="19"/>
              </w:rPr>
            </w:pPr>
          </w:p>
        </w:tc>
      </w:tr>
      <w:tr w14:paraId="1B51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718" w:type="dxa"/>
            <w:vAlign w:val="center"/>
          </w:tcPr>
          <w:p w14:paraId="39B26F96">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8</w:t>
            </w:r>
          </w:p>
        </w:tc>
        <w:tc>
          <w:tcPr>
            <w:tcW w:w="1436" w:type="dxa"/>
            <w:vAlign w:val="center"/>
          </w:tcPr>
          <w:p w14:paraId="51C5618A">
            <w:pPr>
              <w:wordWrap/>
              <w:adjustRightInd w:val="0"/>
              <w:snapToGrid w:val="0"/>
              <w:spacing w:line="360" w:lineRule="atLeast"/>
              <w:ind w:right="-87" w:rightChars="0"/>
              <w:jc w:val="center"/>
              <w:rPr>
                <w:rFonts w:hint="eastAsia" w:ascii="黑体" w:hAnsi="黑体" w:eastAsia="黑体" w:cs="黑体"/>
                <w:kern w:val="0"/>
                <w:sz w:val="19"/>
                <w:szCs w:val="19"/>
              </w:rPr>
            </w:pPr>
            <w:r>
              <w:rPr>
                <w:rFonts w:hint="eastAsia" w:ascii="黑体" w:hAnsi="黑体" w:eastAsia="黑体" w:cs="黑体"/>
                <w:sz w:val="19"/>
                <w:szCs w:val="19"/>
              </w:rPr>
              <w:t>项目经验</w:t>
            </w:r>
          </w:p>
        </w:tc>
        <w:tc>
          <w:tcPr>
            <w:tcW w:w="830" w:type="dxa"/>
            <w:vAlign w:val="center"/>
          </w:tcPr>
          <w:p w14:paraId="01B23895">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863" w:type="dxa"/>
            <w:vAlign w:val="center"/>
          </w:tcPr>
          <w:p w14:paraId="34184A4C">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10</w:t>
            </w:r>
            <w:r>
              <w:rPr>
                <w:rFonts w:hint="eastAsia" w:ascii="黑体" w:hAnsi="黑体" w:eastAsia="黑体" w:cs="黑体"/>
                <w:sz w:val="19"/>
                <w:szCs w:val="19"/>
              </w:rPr>
              <w:t>分</w:t>
            </w:r>
          </w:p>
        </w:tc>
        <w:tc>
          <w:tcPr>
            <w:tcW w:w="5917" w:type="dxa"/>
            <w:vAlign w:val="center"/>
          </w:tcPr>
          <w:p w14:paraId="375EAFAB">
            <w:pPr>
              <w:widowControl/>
              <w:wordWrap/>
              <w:spacing w:line="360" w:lineRule="atLeast"/>
              <w:jc w:val="left"/>
              <w:textAlignment w:val="center"/>
              <w:rPr>
                <w:rFonts w:hint="eastAsia" w:ascii="黑体" w:hAnsi="黑体" w:eastAsia="黑体" w:cs="黑体"/>
                <w:kern w:val="0"/>
                <w:sz w:val="19"/>
                <w:szCs w:val="19"/>
                <w:lang w:bidi="ar"/>
              </w:rPr>
            </w:pPr>
            <w:r>
              <w:rPr>
                <w:rFonts w:hint="eastAsia" w:ascii="黑体" w:hAnsi="黑体" w:eastAsia="黑体" w:cs="黑体"/>
                <w:kern w:val="0"/>
                <w:sz w:val="19"/>
                <w:szCs w:val="19"/>
                <w:lang w:bidi="ar"/>
              </w:rPr>
              <w:t>供应商提供202</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年1月1日</w:t>
            </w:r>
            <w:r>
              <w:rPr>
                <w:rFonts w:hint="eastAsia" w:ascii="黑体" w:hAnsi="黑体" w:eastAsia="黑体" w:cs="黑体"/>
                <w:kern w:val="0"/>
                <w:sz w:val="19"/>
                <w:szCs w:val="19"/>
                <w:highlight w:val="none"/>
                <w:lang w:bidi="ar"/>
              </w:rPr>
              <w:t>至</w:t>
            </w:r>
            <w:r>
              <w:rPr>
                <w:rFonts w:hint="eastAsia" w:ascii="黑体" w:hAnsi="黑体" w:eastAsia="黑体" w:cs="黑体"/>
                <w:kern w:val="0"/>
                <w:sz w:val="19"/>
                <w:szCs w:val="19"/>
                <w:highlight w:val="none"/>
                <w:lang w:val="en-US" w:eastAsia="zh-CN" w:bidi="ar"/>
              </w:rPr>
              <w:t>响应</w:t>
            </w:r>
            <w:r>
              <w:rPr>
                <w:rFonts w:hint="eastAsia" w:ascii="黑体" w:hAnsi="黑体" w:eastAsia="黑体" w:cs="黑体"/>
                <w:kern w:val="0"/>
                <w:sz w:val="19"/>
                <w:szCs w:val="19"/>
                <w:highlight w:val="none"/>
                <w:lang w:bidi="ar"/>
              </w:rPr>
              <w:t>截</w:t>
            </w:r>
            <w:r>
              <w:rPr>
                <w:rFonts w:hint="eastAsia" w:ascii="黑体" w:hAnsi="黑体" w:eastAsia="黑体" w:cs="黑体"/>
                <w:kern w:val="0"/>
                <w:sz w:val="19"/>
                <w:szCs w:val="19"/>
                <w:lang w:bidi="ar"/>
              </w:rPr>
              <w:t>止日期承接的类似</w:t>
            </w:r>
            <w:r>
              <w:rPr>
                <w:rFonts w:hint="eastAsia" w:ascii="黑体" w:hAnsi="黑体" w:eastAsia="黑体" w:cs="黑体"/>
                <w:kern w:val="0"/>
                <w:sz w:val="19"/>
                <w:szCs w:val="19"/>
                <w:lang w:val="en-US" w:eastAsia="zh-CN" w:bidi="ar"/>
              </w:rPr>
              <w:t>项目</w:t>
            </w:r>
            <w:r>
              <w:rPr>
                <w:rFonts w:hint="eastAsia" w:ascii="黑体" w:hAnsi="黑体" w:eastAsia="黑体" w:cs="黑体"/>
                <w:kern w:val="0"/>
                <w:sz w:val="19"/>
                <w:szCs w:val="19"/>
                <w:lang w:bidi="ar"/>
              </w:rPr>
              <w:t>业绩，每份合格业绩计</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分，满分</w:t>
            </w:r>
            <w:r>
              <w:rPr>
                <w:rFonts w:hint="eastAsia" w:ascii="黑体" w:hAnsi="黑体" w:eastAsia="黑体" w:cs="黑体"/>
                <w:kern w:val="0"/>
                <w:sz w:val="19"/>
                <w:szCs w:val="19"/>
                <w:lang w:val="en-US" w:eastAsia="zh-CN" w:bidi="ar"/>
              </w:rPr>
              <w:t>10</w:t>
            </w:r>
            <w:r>
              <w:rPr>
                <w:rFonts w:hint="eastAsia" w:ascii="黑体" w:hAnsi="黑体" w:eastAsia="黑体" w:cs="黑体"/>
                <w:kern w:val="0"/>
                <w:sz w:val="19"/>
                <w:szCs w:val="19"/>
                <w:lang w:bidi="ar"/>
              </w:rPr>
              <w:t>分；</w:t>
            </w:r>
          </w:p>
          <w:p w14:paraId="65F81782">
            <w:pPr>
              <w:widowControl/>
              <w:wordWrap/>
              <w:spacing w:line="360" w:lineRule="atLeast"/>
              <w:jc w:val="left"/>
              <w:textAlignment w:val="center"/>
              <w:rPr>
                <w:rFonts w:hint="eastAsia" w:ascii="黑体" w:hAnsi="黑体" w:eastAsia="黑体" w:cs="黑体"/>
                <w:b/>
                <w:bCs/>
                <w:kern w:val="0"/>
                <w:sz w:val="19"/>
                <w:szCs w:val="19"/>
              </w:rPr>
            </w:pPr>
            <w:r>
              <w:rPr>
                <w:rFonts w:hint="eastAsia" w:ascii="黑体" w:hAnsi="黑体" w:eastAsia="黑体" w:cs="黑体"/>
                <w:kern w:val="0"/>
                <w:sz w:val="19"/>
                <w:szCs w:val="19"/>
                <w:lang w:bidi="ar"/>
              </w:rPr>
              <w:t>备注：</w:t>
            </w:r>
            <w:r>
              <w:rPr>
                <w:rFonts w:hint="eastAsia" w:ascii="黑体" w:hAnsi="黑体" w:eastAsia="黑体" w:cs="黑体"/>
                <w:kern w:val="0"/>
                <w:sz w:val="19"/>
                <w:szCs w:val="19"/>
                <w:lang w:val="en-US" w:eastAsia="zh-CN" w:bidi="ar"/>
              </w:rPr>
              <w:t>供应商</w:t>
            </w:r>
            <w:r>
              <w:rPr>
                <w:rFonts w:hint="eastAsia" w:ascii="黑体" w:hAnsi="黑体" w:eastAsia="黑体" w:cs="黑体"/>
                <w:sz w:val="19"/>
                <w:szCs w:val="19"/>
                <w:lang w:val="en-US" w:eastAsia="zh-CN"/>
              </w:rPr>
              <w:t>需提供业绩合同证明材料（至少应包含内容关键页、签订日期与签章页），提供不全或无法辨识的不得分。</w:t>
            </w:r>
          </w:p>
        </w:tc>
      </w:tr>
      <w:tr w14:paraId="494C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154" w:type="dxa"/>
            <w:gridSpan w:val="2"/>
            <w:vAlign w:val="center"/>
          </w:tcPr>
          <w:p w14:paraId="339C26C6">
            <w:pPr>
              <w:wordWrap/>
              <w:adjustRightInd w:val="0"/>
              <w:snapToGrid w:val="0"/>
              <w:jc w:val="center"/>
              <w:rPr>
                <w:rFonts w:hint="eastAsia" w:ascii="黑体" w:hAnsi="黑体" w:eastAsia="黑体" w:cs="黑体"/>
                <w:b/>
                <w:sz w:val="19"/>
                <w:szCs w:val="19"/>
              </w:rPr>
            </w:pPr>
            <w:r>
              <w:rPr>
                <w:rFonts w:hint="eastAsia" w:ascii="黑体" w:hAnsi="黑体" w:eastAsia="黑体" w:cs="黑体"/>
                <w:b/>
                <w:sz w:val="19"/>
                <w:szCs w:val="19"/>
              </w:rPr>
              <w:t>合计</w:t>
            </w:r>
          </w:p>
        </w:tc>
        <w:tc>
          <w:tcPr>
            <w:tcW w:w="830" w:type="dxa"/>
            <w:vAlign w:val="center"/>
          </w:tcPr>
          <w:p w14:paraId="06FB33E7">
            <w:pPr>
              <w:adjustRightInd w:val="0"/>
              <w:snapToGrid w:val="0"/>
              <w:jc w:val="center"/>
              <w:rPr>
                <w:rFonts w:hint="eastAsia" w:ascii="黑体" w:hAnsi="黑体" w:eastAsia="黑体" w:cs="黑体"/>
                <w:b/>
                <w:sz w:val="19"/>
                <w:szCs w:val="19"/>
              </w:rPr>
            </w:pPr>
          </w:p>
        </w:tc>
        <w:tc>
          <w:tcPr>
            <w:tcW w:w="863" w:type="dxa"/>
            <w:vAlign w:val="center"/>
          </w:tcPr>
          <w:p w14:paraId="136B567E">
            <w:pPr>
              <w:wordWrap/>
              <w:adjustRightInd w:val="0"/>
              <w:snapToGrid w:val="0"/>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t>85分</w:t>
            </w:r>
          </w:p>
        </w:tc>
        <w:tc>
          <w:tcPr>
            <w:tcW w:w="5917" w:type="dxa"/>
          </w:tcPr>
          <w:p w14:paraId="0C7EEA6B">
            <w:pPr>
              <w:adjustRightInd w:val="0"/>
              <w:snapToGrid w:val="0"/>
              <w:rPr>
                <w:rFonts w:hint="eastAsia" w:ascii="黑体" w:hAnsi="黑体" w:eastAsia="黑体" w:cs="黑体"/>
                <w:b/>
                <w:sz w:val="19"/>
                <w:szCs w:val="19"/>
                <w:highlight w:val="none"/>
                <w:u w:val="single"/>
              </w:rPr>
            </w:pPr>
          </w:p>
        </w:tc>
      </w:tr>
    </w:tbl>
    <w:p w14:paraId="171C1D36">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default" w:ascii="黑体" w:hAnsi="黑体" w:eastAsia="黑体" w:cs="黑体"/>
          <w:color w:val="000000" w:themeColor="text1"/>
          <w:sz w:val="19"/>
          <w:szCs w:val="19"/>
          <w:u w:val="single"/>
          <w:lang w:val="en-US" w:eastAsia="zh-CN"/>
          <w14:textFill>
            <w14:solidFill>
              <w14:schemeClr w14:val="tx1"/>
            </w14:solidFill>
          </w14:textFill>
        </w:rPr>
      </w:pPr>
      <w:r>
        <w:rPr>
          <w:rFonts w:hint="eastAsia" w:ascii="黑体" w:hAnsi="黑体" w:eastAsia="黑体" w:cs="黑体"/>
          <w:color w:val="000000" w:themeColor="text1"/>
          <w:sz w:val="19"/>
          <w:szCs w:val="19"/>
          <w:u w:val="single"/>
          <w:lang w:val="en-US" w:eastAsia="zh-CN"/>
          <w14:textFill>
            <w14:solidFill>
              <w14:schemeClr w14:val="tx1"/>
            </w14:solidFill>
          </w14:textFill>
        </w:rPr>
        <w:t>注：</w:t>
      </w:r>
      <w:r>
        <w:rPr>
          <w:rFonts w:hint="eastAsia" w:ascii="黑体" w:hAnsi="黑体" w:eastAsia="黑体" w:cs="黑体"/>
          <w:color w:val="000000" w:themeColor="text1"/>
          <w:sz w:val="19"/>
          <w:szCs w:val="19"/>
          <w:u w:val="single"/>
          <w14:textFill>
            <w14:solidFill>
              <w14:schemeClr w14:val="tx1"/>
            </w14:solidFill>
          </w14:textFill>
        </w:rPr>
        <w:t>以上各项评分内容，如供应商未提供相对应内容，磋商小组不受最低评分标准限制，可予以零分计算。</w:t>
      </w:r>
    </w:p>
    <w:p w14:paraId="16BE67A2">
      <w:pPr>
        <w:keepNext w:val="0"/>
        <w:keepLines w:val="0"/>
        <w:pageBreakBefore w:val="0"/>
        <w:widowControl w:val="0"/>
        <w:numPr>
          <w:ilvl w:val="0"/>
          <w:numId w:val="12"/>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总分计算</w:t>
      </w:r>
    </w:p>
    <w:p w14:paraId="5C64BFE4">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eastAsia" w:ascii="黑体" w:hAnsi="黑体" w:eastAsia="黑体" w:cs="黑体"/>
          <w:color w:val="000000" w:themeColor="text1"/>
          <w:sz w:val="19"/>
          <w:szCs w:val="19"/>
          <w:u w:val="none"/>
          <w14:textFill>
            <w14:solidFill>
              <w14:schemeClr w14:val="tx1"/>
            </w14:solidFill>
          </w14:textFill>
        </w:rPr>
      </w:pPr>
      <w:r>
        <w:rPr>
          <w:rFonts w:hint="eastAsia" w:ascii="黑体" w:hAnsi="黑体" w:eastAsia="黑体" w:cs="黑体"/>
          <w:color w:val="000000" w:themeColor="text1"/>
          <w:sz w:val="19"/>
          <w:szCs w:val="19"/>
          <w:u w:val="none"/>
          <w14:textFill>
            <w14:solidFill>
              <w14:schemeClr w14:val="tx1"/>
            </w14:solidFill>
          </w14:textFill>
        </w:rPr>
        <w:t>由磋商小组成员对每一份响应文件进行独立评分，然后取算术平均值（保留小数点两位）。计算每个供应商的实际得分（价格得分+技术商务得分），并按得分高低排出名次。</w:t>
      </w:r>
    </w:p>
    <w:p w14:paraId="0BDD7C3B">
      <w:pPr>
        <w:keepNext w:val="0"/>
        <w:keepLines w:val="0"/>
        <w:pageBreakBefore w:val="0"/>
        <w:widowControl w:val="0"/>
        <w:numPr>
          <w:ilvl w:val="0"/>
          <w:numId w:val="12"/>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评分标准释义</w:t>
      </w:r>
    </w:p>
    <w:p w14:paraId="226DA7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1.内容不足或存在缺陷是指：方案内容不完整或缺少关键要素；对同一问题的阐述前后矛盾；存在逻辑漏洞、科学原理错误或违背常识；不利于实现本项目采购目标等任意一种情形，包括但不限于：</w:t>
      </w:r>
    </w:p>
    <w:p w14:paraId="4C1E86E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关键要素缺失：对项目实施起决定性作用的关键要素有遗漏，致使方案完整性与可操作性严重不足，无法为项目开展提供充分指导，严重影响采购目标实现。</w:t>
      </w:r>
    </w:p>
    <w:p w14:paraId="182EB8F4">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前后表述矛盾：针对关键问题或重要事项，方案不同章节、段落、条款的阐述相互冲突，破坏逻辑连贯性与准确性，严重影响方案可信度与有效性。</w:t>
      </w:r>
    </w:p>
    <w:p w14:paraId="28A5DF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逻辑性、科学性或常识性错误：方案存在明显逻辑推理错误，如前提与结论脱节、论证不合理；涉及专业技术、科学原理、行业常识时，表述与公认标准、理论相悖；或者出现常识性错误，脱离实际，难以付诸实践。</w:t>
      </w:r>
    </w:p>
    <w:p w14:paraId="5AA70AE6">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不利于采购目标实现：方案未围绕本项目采购核心需求响应，在项目范围、质量标准、交付成果等关键方面，与采购预期方向和实际要求偏差过大，无法保障采购目标达成，甚至对项目实施产生负面影响。</w:t>
      </w:r>
    </w:p>
    <w:p w14:paraId="76BB427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包括但不限于：</w:t>
      </w:r>
    </w:p>
    <w:p w14:paraId="52EFDB99">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适配性问题：方案整体框架完整，主要内容可行，有实施基础，但部分细节未结合项目特定环境、资源条件、业务流程等进行针对性设计，实际应用可能出现适配问题，影响项目采购目标实现。</w:t>
      </w:r>
    </w:p>
    <w:p w14:paraId="540F15B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细节错误：方案存在数据精度不准、商务技术方案响应与评分标准未能完全对应、格式不合项目规范、文字表述有歧义或错别字等细节问题。这些虽不改变方案整体方向与可行性，但降低专业性和严谨性，对采购目标实现和高质量实施产生不利影响。</w:t>
      </w:r>
    </w:p>
    <w:p w14:paraId="60822EEA">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终止采购活动</w:t>
      </w:r>
    </w:p>
    <w:p w14:paraId="3F37BA7D">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出现下列情形之一的，采购人或者采购代理机构应当终止竞争性磋商采购活动，发布项目终止公告并</w:t>
      </w:r>
    </w:p>
    <w:p w14:paraId="5E21C98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说明原因，重新开展采购活动：</w:t>
      </w:r>
    </w:p>
    <w:p w14:paraId="7E26F915">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）因情况变化，不再符合规定的竞争性磋商采购方式适用情形的；</w:t>
      </w:r>
    </w:p>
    <w:p w14:paraId="79A645D6">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）出现影响采购公正的违法、违规行为的；</w:t>
      </w:r>
    </w:p>
    <w:p w14:paraId="30905A57">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）除《政府采购竞争性磋商采购方式管理暂行办法》第二十一条第三款规定的情形外，在采购过程中符合要求的供应商或者报价未超过采购预算的供应商不足3家的（财政部另有规定的除外）；</w:t>
      </w:r>
    </w:p>
    <w:p w14:paraId="5EE77A0C">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）法律法规规定的其他情形。</w:t>
      </w:r>
    </w:p>
    <w:p w14:paraId="6391B46B">
      <w:pPr>
        <w:keepNext w:val="0"/>
        <w:keepLines w:val="0"/>
        <w:pageBreakBefore w:val="0"/>
        <w:widowControl w:val="0"/>
        <w:numPr>
          <w:ilvl w:val="0"/>
          <w:numId w:val="10"/>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确定成交供应商</w:t>
      </w:r>
    </w:p>
    <w:p w14:paraId="50BD3E74">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评审结束后，采购代理机构在评审结束之日起2个工作日内将评审报告及有关资料送交采购人。</w:t>
      </w:r>
    </w:p>
    <w:p w14:paraId="3697A9BA">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采购人在收到评审报告后5个工作日内，在评审报告确定的成交候选供应商名单中按顺序确定成交供</w:t>
      </w:r>
    </w:p>
    <w:p w14:paraId="36992F8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应商。成交候选供应商并列的，由采购人采取随机抽取的方式确定成交供应商。</w:t>
      </w:r>
    </w:p>
    <w:p w14:paraId="45ED3125">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采购人逾期未确定成交供应商且不提出异议的，视为确定评审报告提出的排序第一的供应商为成交供</w:t>
      </w:r>
    </w:p>
    <w:p w14:paraId="2395A7A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w:t>
      </w:r>
    </w:p>
    <w:p w14:paraId="3E4536B2">
      <w:pPr>
        <w:keepNext w:val="0"/>
        <w:keepLines w:val="0"/>
        <w:pageBreakBefore w:val="0"/>
        <w:numPr>
          <w:ilvl w:val="1"/>
          <w:numId w:val="1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根据采购人确定的成交供应商，采购代理机构在采购公告媒体上发布成交结果公告，同时向成交供应</w:t>
      </w:r>
    </w:p>
    <w:p w14:paraId="18E08EF2">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商发出成交通知书。</w:t>
      </w:r>
    </w:p>
    <w:p w14:paraId="3202523E">
      <w:pPr>
        <w:pStyle w:val="25"/>
        <w:keepLines w:val="0"/>
        <w:pageBreakBefore w:val="0"/>
        <w:kinsoku/>
        <w:wordWrap/>
        <w:overflowPunct/>
        <w:topLinePunct w:val="0"/>
        <w:autoSpaceDE/>
        <w:autoSpaceDN/>
        <w:bidi w:val="0"/>
        <w:adjustRightInd/>
        <w:snapToGrid/>
        <w:spacing w:line="480" w:lineRule="exact"/>
        <w:outlineLvl w:val="9"/>
        <w:rPr>
          <w:rFonts w:hint="eastAsia" w:ascii="黑体" w:hAnsi="黑体" w:eastAsia="黑体" w:cs="黑体"/>
          <w:sz w:val="21"/>
          <w:szCs w:val="21"/>
        </w:rPr>
      </w:pPr>
    </w:p>
    <w:p w14:paraId="34F59681">
      <w:pPr>
        <w:wordWrap/>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br w:type="page"/>
      </w:r>
    </w:p>
    <w:p w14:paraId="742B77E6">
      <w:pPr>
        <w:keepLines w:val="0"/>
        <w:pageBreakBefore w:val="0"/>
        <w:tabs>
          <w:tab w:val="left" w:pos="360"/>
        </w:tabs>
        <w:kinsoku/>
        <w:wordWrap/>
        <w:overflowPunct/>
        <w:topLinePunct w:val="0"/>
        <w:autoSpaceDE/>
        <w:autoSpaceDN/>
        <w:bidi w:val="0"/>
        <w:adjustRightInd/>
        <w:snapToGrid/>
        <w:spacing w:line="480" w:lineRule="exact"/>
        <w:outlineLvl w:val="9"/>
        <w:rPr>
          <w:rFonts w:hint="eastAsia" w:ascii="黑体" w:hAnsi="黑体" w:eastAsia="黑体" w:cs="黑体"/>
          <w:b/>
          <w:kern w:val="0"/>
          <w:sz w:val="21"/>
          <w:szCs w:val="21"/>
          <w:lang w:val="en-US" w:eastAsia="zh-Hans"/>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1A41F35">
      <w:pPr>
        <w:pStyle w:val="2"/>
        <w:wordWrap/>
        <w:bidi w:val="0"/>
        <w:rPr>
          <w:rFonts w:hint="default" w:ascii="黑体" w:hAnsi="黑体" w:eastAsia="黑体" w:cs="黑体"/>
          <w:color w:val="000000" w:themeColor="text1"/>
          <w:sz w:val="28"/>
          <w:szCs w:val="28"/>
          <w:highlight w:val="none"/>
          <w:lang w:val="en-US" w:eastAsia="zh-CN"/>
          <w14:textFill>
            <w14:solidFill>
              <w14:schemeClr w14:val="tx1"/>
            </w14:solidFill>
          </w14:textFill>
        </w:rPr>
      </w:pPr>
      <w:bookmarkStart w:id="43" w:name="_Toc3152"/>
      <w:bookmarkStart w:id="44" w:name="_Toc15167"/>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拟签订的合同文本</w:t>
      </w:r>
      <w:bookmarkEnd w:id="43"/>
      <w:bookmarkEnd w:id="44"/>
    </w:p>
    <w:p w14:paraId="5953C06A">
      <w:pPr>
        <w:keepNext/>
        <w:keepLines/>
        <w:pageBreakBefore w:val="0"/>
        <w:widowControl w:val="0"/>
        <w:numPr>
          <w:ilvl w:val="1"/>
          <w:numId w:val="0"/>
        </w:numPr>
        <w:tabs>
          <w:tab w:val="left" w:pos="576"/>
        </w:tabs>
        <w:kinsoku/>
        <w:wordWrap/>
        <w:overflowPunct/>
        <w:topLinePunct w:val="0"/>
        <w:autoSpaceDE/>
        <w:autoSpaceDN/>
        <w:bidi w:val="0"/>
        <w:adjustRightInd/>
        <w:snapToGrid/>
        <w:spacing w:before="0" w:line="410" w:lineRule="exact"/>
        <w:jc w:val="both"/>
        <w:textAlignment w:val="auto"/>
        <w:outlineLvl w:val="9"/>
        <w:rPr>
          <w:rFonts w:hint="eastAsia" w:ascii="黑体" w:hAnsi="黑体" w:eastAsia="黑体" w:cs="黑体"/>
          <w:b/>
          <w:color w:val="auto"/>
          <w:sz w:val="28"/>
          <w:szCs w:val="28"/>
          <w:highlight w:val="none"/>
          <w:lang w:val="en-US" w:eastAsia="zh-CN"/>
        </w:rPr>
      </w:pPr>
    </w:p>
    <w:p w14:paraId="5F94CFC9">
      <w:pPr>
        <w:keepNext w:val="0"/>
        <w:keepLines w:val="0"/>
        <w:pageBreakBefore w:val="0"/>
        <w:widowControl w:val="0"/>
        <w:kinsoku/>
        <w:wordWrap/>
        <w:overflowPunct/>
        <w:topLinePunct w:val="0"/>
        <w:autoSpaceDE/>
        <w:autoSpaceDN/>
        <w:bidi w:val="0"/>
        <w:adjustRightInd/>
        <w:snapToGrid/>
        <w:spacing w:before="2" w:line="460" w:lineRule="exact"/>
        <w:jc w:val="center"/>
        <w:textAlignment w:val="auto"/>
        <w:rPr>
          <w:rFonts w:hint="eastAsia" w:ascii="黑体" w:hAnsi="黑体" w:eastAsia="黑体" w:cs="黑体"/>
          <w:b w:val="0"/>
          <w:bCs/>
          <w:color w:val="000000"/>
          <w:sz w:val="19"/>
          <w:szCs w:val="19"/>
          <w:highlight w:val="none"/>
        </w:rPr>
      </w:pPr>
      <w:r>
        <w:rPr>
          <w:rFonts w:hint="eastAsia" w:ascii="黑体" w:hAnsi="黑体" w:eastAsia="黑体" w:cs="黑体"/>
          <w:b w:val="0"/>
          <w:bCs/>
          <w:color w:val="000000"/>
          <w:sz w:val="19"/>
          <w:szCs w:val="19"/>
          <w:highlight w:val="none"/>
        </w:rPr>
        <w:t>（此合同只作为参考，最终签订的合同以采购人确定的合同内容为准）</w:t>
      </w:r>
    </w:p>
    <w:p w14:paraId="35618F2E">
      <w:pPr>
        <w:keepNext w:val="0"/>
        <w:keepLines w:val="0"/>
        <w:pageBreakBefore w:val="0"/>
        <w:widowControl w:val="0"/>
        <w:kinsoku/>
        <w:wordWrap/>
        <w:overflowPunct/>
        <w:topLinePunct w:val="0"/>
        <w:autoSpaceDE/>
        <w:autoSpaceDN/>
        <w:bidi w:val="0"/>
        <w:adjustRightInd/>
        <w:snapToGrid/>
        <w:spacing w:before="4" w:line="480" w:lineRule="exact"/>
        <w:textAlignment w:val="auto"/>
        <w:rPr>
          <w:rFonts w:hint="eastAsia" w:ascii="黑体" w:hAnsi="黑体" w:eastAsia="黑体" w:cs="黑体"/>
          <w:sz w:val="22"/>
          <w:szCs w:val="22"/>
          <w:highlight w:val="none"/>
        </w:rPr>
      </w:pPr>
    </w:p>
    <w:p w14:paraId="60997C12">
      <w:pPr>
        <w:wordWrap/>
        <w:jc w:val="center"/>
        <w:rPr>
          <w:rFonts w:hint="eastAsia" w:ascii="黑体" w:hAnsi="黑体" w:eastAsia="黑体" w:cs="黑体"/>
          <w:b/>
          <w:color w:val="auto"/>
          <w:kern w:val="44"/>
          <w:sz w:val="28"/>
          <w:szCs w:val="28"/>
          <w:highlight w:val="yellow"/>
          <w:lang w:val="en-US" w:eastAsia="zh-CN" w:bidi="ar-SA"/>
        </w:rPr>
      </w:pPr>
    </w:p>
    <w:p w14:paraId="6C63E2ED">
      <w:pPr>
        <w:wordWrap/>
        <w:jc w:val="center"/>
        <w:rPr>
          <w:rFonts w:hint="eastAsia" w:ascii="黑体" w:hAnsi="黑体" w:eastAsia="黑体" w:cs="黑体"/>
          <w:b/>
          <w:color w:val="auto"/>
          <w:kern w:val="44"/>
          <w:sz w:val="28"/>
          <w:szCs w:val="28"/>
          <w:highlight w:val="yellow"/>
          <w:lang w:val="en-US" w:eastAsia="zh-CN" w:bidi="ar-SA"/>
        </w:rPr>
      </w:pPr>
    </w:p>
    <w:p w14:paraId="726AD4EA">
      <w:pPr>
        <w:wordWrap/>
        <w:jc w:val="center"/>
        <w:rPr>
          <w:rFonts w:hint="eastAsia" w:ascii="黑体" w:hAnsi="黑体" w:eastAsia="黑体" w:cs="黑体"/>
          <w:b/>
          <w:color w:val="auto"/>
          <w:kern w:val="44"/>
          <w:sz w:val="28"/>
          <w:szCs w:val="28"/>
          <w:highlight w:val="yellow"/>
          <w:lang w:val="en-US" w:eastAsia="zh-CN" w:bidi="ar-SA"/>
        </w:rPr>
      </w:pPr>
    </w:p>
    <w:p w14:paraId="0D961FA4">
      <w:pPr>
        <w:widowControl/>
        <w:wordWrap/>
        <w:spacing w:line="480" w:lineRule="exact"/>
        <w:jc w:val="center"/>
        <w:textAlignment w:val="baseline"/>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Cs/>
          <w:sz w:val="28"/>
          <w:szCs w:val="28"/>
          <w:highlight w:val="none"/>
        </w:rPr>
        <w:t>_____</w:t>
      </w:r>
      <w:r>
        <w:rPr>
          <w:rFonts w:hint="eastAsia" w:ascii="黑体" w:hAnsi="黑体" w:eastAsia="黑体" w:cs="黑体"/>
          <w:b/>
          <w:bCs w:val="0"/>
          <w:sz w:val="28"/>
          <w:szCs w:val="28"/>
          <w:highlight w:val="none"/>
        </w:rPr>
        <w:t>项目</w:t>
      </w:r>
      <w:r>
        <w:rPr>
          <w:rFonts w:hint="eastAsia" w:ascii="黑体" w:hAnsi="黑体" w:eastAsia="黑体" w:cs="黑体"/>
          <w:b/>
          <w:bCs w:val="0"/>
          <w:color w:val="auto"/>
          <w:kern w:val="44"/>
          <w:sz w:val="28"/>
          <w:szCs w:val="28"/>
          <w:highlight w:val="none"/>
          <w:lang w:val="en-US" w:eastAsia="zh-CN" w:bidi="ar-SA"/>
        </w:rPr>
        <w:t>服务合同</w:t>
      </w:r>
    </w:p>
    <w:p w14:paraId="347996DC">
      <w:pPr>
        <w:pStyle w:val="9"/>
        <w:wordWrap/>
        <w:spacing w:line="243" w:lineRule="auto"/>
        <w:rPr>
          <w:rFonts w:hint="eastAsia" w:ascii="黑体" w:hAnsi="黑体" w:eastAsia="黑体" w:cs="黑体"/>
        </w:rPr>
      </w:pPr>
    </w:p>
    <w:p w14:paraId="4703427A">
      <w:pPr>
        <w:pStyle w:val="9"/>
        <w:wordWrap/>
        <w:spacing w:line="243" w:lineRule="auto"/>
        <w:rPr>
          <w:rFonts w:hint="eastAsia" w:ascii="黑体" w:hAnsi="黑体" w:eastAsia="黑体" w:cs="黑体"/>
        </w:rPr>
      </w:pPr>
    </w:p>
    <w:p w14:paraId="265620D8">
      <w:pPr>
        <w:pStyle w:val="9"/>
        <w:wordWrap/>
        <w:spacing w:line="244" w:lineRule="auto"/>
        <w:rPr>
          <w:rFonts w:hint="eastAsia" w:ascii="黑体" w:hAnsi="黑体" w:eastAsia="黑体" w:cs="黑体"/>
        </w:rPr>
      </w:pPr>
    </w:p>
    <w:p w14:paraId="4FB6F94F">
      <w:pPr>
        <w:pStyle w:val="9"/>
        <w:keepNext w:val="0"/>
        <w:keepLines w:val="0"/>
        <w:pageBreakBefore w:val="0"/>
        <w:wordWrap/>
        <w:overflowPunct/>
        <w:topLinePunct w:val="0"/>
        <w:bidi w:val="0"/>
        <w:spacing w:line="600" w:lineRule="exact"/>
        <w:rPr>
          <w:rFonts w:hint="eastAsia" w:ascii="黑体" w:hAnsi="黑体" w:eastAsia="黑体" w:cs="黑体"/>
          <w:sz w:val="19"/>
          <w:szCs w:val="19"/>
        </w:rPr>
      </w:pPr>
    </w:p>
    <w:p w14:paraId="2539150F">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z w:val="20"/>
          <w:szCs w:val="20"/>
          <w:lang w:eastAsia="zh-CN"/>
        </w:rPr>
      </w:pPr>
      <w:r>
        <w:rPr>
          <w:rFonts w:hint="eastAsia" w:ascii="黑体" w:hAnsi="黑体" w:eastAsia="黑体" w:cs="黑体"/>
          <w:spacing w:val="-9"/>
          <w:sz w:val="20"/>
          <w:szCs w:val="20"/>
        </w:rPr>
        <w:t>采购项目名称：</w:t>
      </w:r>
      <w:r>
        <w:rPr>
          <w:rFonts w:hint="eastAsia" w:ascii="黑体" w:hAnsi="黑体" w:eastAsia="黑体" w:cs="黑体"/>
          <w:spacing w:val="-9"/>
          <w:sz w:val="20"/>
          <w:szCs w:val="20"/>
          <w:lang w:eastAsia="zh-CN"/>
        </w:rPr>
        <w:t>陕西省生态环境执法装备和用电监控统筹管控能力建设项目安全检测服务（二次）</w:t>
      </w:r>
    </w:p>
    <w:p w14:paraId="5A58EC96">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pacing w:val="-9"/>
          <w:sz w:val="20"/>
          <w:szCs w:val="20"/>
          <w:lang w:eastAsia="zh-CN"/>
        </w:rPr>
      </w:pPr>
      <w:r>
        <w:rPr>
          <w:rFonts w:hint="eastAsia" w:ascii="黑体" w:hAnsi="黑体" w:eastAsia="黑体" w:cs="黑体"/>
          <w:spacing w:val="-9"/>
          <w:sz w:val="20"/>
          <w:szCs w:val="20"/>
        </w:rPr>
        <w:t>采购项目编号：</w:t>
      </w:r>
      <w:r>
        <w:rPr>
          <w:rFonts w:hint="eastAsia" w:ascii="黑体" w:hAnsi="黑体" w:eastAsia="黑体" w:cs="黑体"/>
          <w:spacing w:val="-9"/>
          <w:sz w:val="20"/>
          <w:szCs w:val="20"/>
          <w:lang w:eastAsia="zh-CN"/>
        </w:rPr>
        <w:t>ZBY2025102-02</w:t>
      </w:r>
    </w:p>
    <w:p w14:paraId="16696977">
      <w:pPr>
        <w:pStyle w:val="9"/>
        <w:wordWrap/>
        <w:spacing w:line="254" w:lineRule="auto"/>
        <w:rPr>
          <w:rFonts w:hint="eastAsia" w:ascii="黑体" w:hAnsi="黑体" w:eastAsia="黑体" w:cs="黑体"/>
          <w:sz w:val="20"/>
          <w:szCs w:val="20"/>
        </w:rPr>
      </w:pPr>
    </w:p>
    <w:p w14:paraId="40FDFC04">
      <w:pPr>
        <w:pStyle w:val="9"/>
        <w:wordWrap/>
        <w:spacing w:line="254" w:lineRule="auto"/>
        <w:rPr>
          <w:rFonts w:hint="eastAsia" w:ascii="黑体" w:hAnsi="黑体" w:eastAsia="黑体" w:cs="黑体"/>
          <w:sz w:val="20"/>
          <w:szCs w:val="20"/>
        </w:rPr>
      </w:pPr>
    </w:p>
    <w:p w14:paraId="6C3395AC">
      <w:pPr>
        <w:pStyle w:val="9"/>
        <w:wordWrap/>
        <w:spacing w:line="255" w:lineRule="auto"/>
        <w:rPr>
          <w:rFonts w:hint="eastAsia" w:ascii="黑体" w:hAnsi="黑体" w:eastAsia="黑体" w:cs="黑体"/>
          <w:sz w:val="20"/>
          <w:szCs w:val="20"/>
        </w:rPr>
      </w:pPr>
    </w:p>
    <w:p w14:paraId="12942AF2">
      <w:pPr>
        <w:pStyle w:val="9"/>
        <w:wordWrap/>
        <w:rPr>
          <w:rFonts w:hint="eastAsia" w:ascii="黑体" w:hAnsi="黑体" w:eastAsia="黑体" w:cs="黑体"/>
          <w:sz w:val="20"/>
          <w:szCs w:val="20"/>
        </w:rPr>
      </w:pPr>
    </w:p>
    <w:p w14:paraId="59F0FD45">
      <w:pPr>
        <w:wordWrap/>
        <w:rPr>
          <w:rFonts w:hint="eastAsia" w:ascii="黑体" w:hAnsi="黑体" w:eastAsia="黑体" w:cs="黑体"/>
          <w:sz w:val="20"/>
          <w:szCs w:val="20"/>
        </w:rPr>
      </w:pPr>
    </w:p>
    <w:p w14:paraId="74287BFD">
      <w:pPr>
        <w:pStyle w:val="9"/>
        <w:wordWrap/>
        <w:rPr>
          <w:rFonts w:hint="eastAsia" w:ascii="黑体" w:hAnsi="黑体" w:eastAsia="黑体" w:cs="黑体"/>
          <w:sz w:val="20"/>
          <w:szCs w:val="20"/>
        </w:rPr>
      </w:pPr>
    </w:p>
    <w:p w14:paraId="718EF805">
      <w:pPr>
        <w:wordWrap/>
        <w:rPr>
          <w:rFonts w:hint="eastAsia" w:ascii="黑体" w:hAnsi="黑体" w:eastAsia="黑体" w:cs="黑体"/>
          <w:sz w:val="20"/>
          <w:szCs w:val="20"/>
        </w:rPr>
      </w:pPr>
    </w:p>
    <w:p w14:paraId="519B5908">
      <w:pPr>
        <w:pStyle w:val="9"/>
        <w:wordWrap/>
        <w:rPr>
          <w:rFonts w:hint="eastAsia" w:ascii="黑体" w:hAnsi="黑体" w:eastAsia="黑体" w:cs="黑体"/>
          <w:sz w:val="20"/>
          <w:szCs w:val="20"/>
        </w:rPr>
      </w:pPr>
    </w:p>
    <w:p w14:paraId="090C9413">
      <w:pPr>
        <w:pStyle w:val="9"/>
        <w:wordWrap/>
        <w:spacing w:line="255" w:lineRule="auto"/>
        <w:rPr>
          <w:rFonts w:hint="eastAsia" w:ascii="黑体" w:hAnsi="黑体" w:eastAsia="黑体" w:cs="黑体"/>
          <w:sz w:val="20"/>
          <w:szCs w:val="20"/>
        </w:rPr>
      </w:pPr>
    </w:p>
    <w:p w14:paraId="5020AFE5">
      <w:pPr>
        <w:pStyle w:val="9"/>
        <w:wordWrap/>
        <w:spacing w:line="255" w:lineRule="auto"/>
        <w:rPr>
          <w:rFonts w:hint="eastAsia" w:ascii="黑体" w:hAnsi="黑体" w:eastAsia="黑体" w:cs="黑体"/>
          <w:sz w:val="20"/>
          <w:szCs w:val="20"/>
        </w:rPr>
      </w:pPr>
    </w:p>
    <w:p w14:paraId="19E8DC2C">
      <w:pPr>
        <w:wordWrap/>
        <w:spacing w:before="268" w:line="219" w:lineRule="auto"/>
        <w:ind w:left="1324"/>
        <w:rPr>
          <w:rFonts w:hint="eastAsia" w:ascii="黑体" w:hAnsi="黑体" w:eastAsia="黑体" w:cs="黑体"/>
          <w:spacing w:val="-9"/>
          <w:sz w:val="20"/>
          <w:szCs w:val="20"/>
        </w:rPr>
      </w:pPr>
      <w:r>
        <w:rPr>
          <w:rFonts w:hint="eastAsia" w:ascii="黑体" w:hAnsi="黑体" w:eastAsia="黑体" w:cs="黑体"/>
          <w:b/>
          <w:bCs/>
          <w:spacing w:val="-9"/>
          <w:sz w:val="20"/>
          <w:szCs w:val="20"/>
        </w:rPr>
        <w:t>甲方：</w:t>
      </w:r>
      <w:r>
        <w:rPr>
          <w:rFonts w:hint="eastAsia" w:ascii="黑体" w:hAnsi="黑体" w:eastAsia="黑体" w:cs="黑体"/>
          <w:spacing w:val="-9"/>
          <w:sz w:val="20"/>
          <w:szCs w:val="20"/>
        </w:rPr>
        <w:t>陕西省生态环境执法总队</w:t>
      </w:r>
    </w:p>
    <w:p w14:paraId="3C55650D">
      <w:pPr>
        <w:wordWrap/>
        <w:spacing w:before="268" w:line="219" w:lineRule="auto"/>
        <w:ind w:left="1324"/>
        <w:rPr>
          <w:rFonts w:hint="eastAsia" w:ascii="黑体" w:hAnsi="黑体" w:eastAsia="黑体" w:cs="黑体"/>
          <w:b/>
          <w:bCs/>
          <w:sz w:val="20"/>
          <w:szCs w:val="20"/>
        </w:rPr>
      </w:pPr>
      <w:r>
        <w:rPr>
          <w:rFonts w:hint="eastAsia" w:ascii="黑体" w:hAnsi="黑体" w:eastAsia="黑体" w:cs="黑体"/>
          <w:b/>
          <w:bCs/>
          <w:spacing w:val="-8"/>
          <w:sz w:val="20"/>
          <w:szCs w:val="20"/>
        </w:rPr>
        <w:t>乙方：</w:t>
      </w:r>
    </w:p>
    <w:p w14:paraId="1BEA716B">
      <w:pPr>
        <w:wordWrap/>
        <w:spacing w:before="262" w:line="219" w:lineRule="auto"/>
        <w:ind w:left="1324"/>
        <w:rPr>
          <w:rFonts w:hint="eastAsia" w:ascii="黑体" w:hAnsi="黑体" w:eastAsia="黑体" w:cs="黑体"/>
          <w:b/>
          <w:bCs/>
          <w:sz w:val="20"/>
          <w:szCs w:val="20"/>
        </w:rPr>
      </w:pPr>
      <w:r>
        <w:rPr>
          <w:rFonts w:hint="eastAsia" w:ascii="黑体" w:hAnsi="黑体" w:eastAsia="黑体" w:cs="黑体"/>
          <w:b/>
          <w:bCs/>
          <w:spacing w:val="-9"/>
          <w:sz w:val="20"/>
          <w:szCs w:val="20"/>
        </w:rPr>
        <w:t>日期：</w:t>
      </w:r>
    </w:p>
    <w:p w14:paraId="7C4D1AEC">
      <w:pPr>
        <w:wordWrap/>
        <w:spacing w:line="219" w:lineRule="auto"/>
        <w:rPr>
          <w:rFonts w:hint="eastAsia" w:ascii="黑体" w:hAnsi="黑体" w:eastAsia="黑体" w:cs="黑体"/>
          <w:sz w:val="20"/>
          <w:szCs w:val="20"/>
        </w:rPr>
        <w:sectPr>
          <w:footerReference r:id="rId8" w:type="default"/>
          <w:pgSz w:w="11900" w:h="16840"/>
          <w:pgMar w:top="1431" w:right="1785" w:bottom="0" w:left="1785" w:header="0" w:footer="0" w:gutter="0"/>
          <w:pgBorders>
            <w:top w:val="none" w:sz="0" w:space="0"/>
            <w:left w:val="none" w:sz="0" w:space="0"/>
            <w:bottom w:val="none" w:sz="0" w:space="0"/>
            <w:right w:val="none" w:sz="0" w:space="0"/>
          </w:pgBorders>
          <w:pgNumType w:fmt="numberInDash"/>
          <w:cols w:space="720" w:num="1"/>
        </w:sectPr>
      </w:pPr>
    </w:p>
    <w:p w14:paraId="29C66D3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caps w:val="0"/>
          <w:color w:val="000000" w:themeColor="text1"/>
          <w:sz w:val="28"/>
          <w:szCs w:val="28"/>
          <w:highlight w:val="none"/>
          <w14:textFill>
            <w14:solidFill>
              <w14:schemeClr w14:val="tx1"/>
            </w14:solidFill>
          </w14:textFill>
        </w:rPr>
      </w:pPr>
      <w:r>
        <w:rPr>
          <w:rFonts w:hint="eastAsia" w:ascii="黑体" w:hAnsi="黑体" w:eastAsia="黑体" w:cs="黑体"/>
          <w:b/>
          <w:caps w:val="0"/>
          <w:color w:val="000000" w:themeColor="text1"/>
          <w:sz w:val="28"/>
          <w:szCs w:val="28"/>
          <w:highlight w:val="none"/>
          <w:lang w:eastAsia="zh-CN"/>
          <w14:textFill>
            <w14:solidFill>
              <w14:schemeClr w14:val="tx1"/>
            </w14:solidFill>
          </w14:textFill>
        </w:rPr>
        <w:t>服务</w:t>
      </w:r>
      <w:r>
        <w:rPr>
          <w:rFonts w:hint="eastAsia" w:ascii="黑体" w:hAnsi="黑体" w:eastAsia="黑体" w:cs="黑体"/>
          <w:b/>
          <w:caps w:val="0"/>
          <w:color w:val="000000" w:themeColor="text1"/>
          <w:sz w:val="28"/>
          <w:szCs w:val="28"/>
          <w:highlight w:val="none"/>
          <w14:textFill>
            <w14:solidFill>
              <w14:schemeClr w14:val="tx1"/>
            </w14:solidFill>
          </w14:textFill>
        </w:rPr>
        <w:t>合同</w:t>
      </w:r>
    </w:p>
    <w:p w14:paraId="333297C9">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甲方：</w:t>
      </w:r>
      <w:r>
        <w:rPr>
          <w:rFonts w:hint="eastAsia" w:ascii="黑体" w:hAnsi="黑体" w:eastAsia="黑体" w:cs="黑体"/>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3BE393F3">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乙方：</w:t>
      </w:r>
      <w:r>
        <w:rPr>
          <w:rFonts w:hint="eastAsia" w:ascii="黑体" w:hAnsi="黑体" w:eastAsia="黑体" w:cs="黑体"/>
          <w:bCs/>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2BE8F98F">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380" w:firstLineChars="200"/>
        <w:textAlignment w:val="auto"/>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依据</w:t>
      </w:r>
      <w:r>
        <w:rPr>
          <w:rFonts w:hint="eastAsia" w:ascii="黑体" w:hAnsi="黑体" w:eastAsia="黑体" w:cs="黑体"/>
          <w:color w:val="000000" w:themeColor="text1"/>
          <w:sz w:val="19"/>
          <w:szCs w:val="19"/>
          <w:highlight w:val="none"/>
          <w:lang w:eastAsia="zh-CN"/>
          <w14:textFill>
            <w14:solidFill>
              <w14:schemeClr w14:val="tx1"/>
            </w14:solidFill>
          </w14:textFill>
        </w:rPr>
        <w:t>《中华人民共和国政府采购法》、</w:t>
      </w:r>
      <w:r>
        <w:rPr>
          <w:rFonts w:hint="eastAsia" w:ascii="黑体" w:hAnsi="黑体" w:eastAsia="黑体" w:cs="黑体"/>
          <w:color w:val="000000" w:themeColor="text1"/>
          <w:sz w:val="19"/>
          <w:szCs w:val="19"/>
          <w:highlight w:val="none"/>
          <w14:textFill>
            <w14:solidFill>
              <w14:schemeClr w14:val="tx1"/>
            </w14:solidFill>
          </w14:textFill>
        </w:rPr>
        <w:t>《中华人民共和国</w:t>
      </w:r>
      <w:r>
        <w:rPr>
          <w:rFonts w:hint="eastAsia" w:ascii="黑体" w:hAnsi="黑体" w:eastAsia="黑体" w:cs="黑体"/>
          <w:color w:val="000000" w:themeColor="text1"/>
          <w:sz w:val="19"/>
          <w:szCs w:val="19"/>
          <w:highlight w:val="none"/>
          <w:lang w:val="en-US" w:eastAsia="zh-CN"/>
          <w14:textFill>
            <w14:solidFill>
              <w14:schemeClr w14:val="tx1"/>
            </w14:solidFill>
          </w14:textFill>
        </w:rPr>
        <w:t>民法典</w:t>
      </w:r>
      <w:r>
        <w:rPr>
          <w:rFonts w:hint="eastAsia" w:ascii="黑体" w:hAnsi="黑体" w:eastAsia="黑体" w:cs="黑体"/>
          <w:color w:val="000000" w:themeColor="text1"/>
          <w:sz w:val="19"/>
          <w:szCs w:val="19"/>
          <w:highlight w:val="none"/>
          <w14:textFill>
            <w14:solidFill>
              <w14:schemeClr w14:val="tx1"/>
            </w14:solidFill>
          </w14:textFill>
        </w:rPr>
        <w:t>》与项目行业有关的法律法规，以及</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项目名称</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（项目编号：</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标包号：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》，乙方的《</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》及《</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》，甲、乙双方同意签订本合同。详细技术说明及其他有关合同项目的特定信息由合同附件予以说明，合同附件及本项目的《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 xml:space="preserve">》等均为本合同的组成部分。 </w:t>
      </w:r>
    </w:p>
    <w:p w14:paraId="24813BA3">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项目基本情况</w:t>
      </w:r>
    </w:p>
    <w:p w14:paraId="7B535FEA">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0"/>
        <w:textAlignment w:val="auto"/>
        <w:rPr>
          <w:rFonts w:hint="eastAsia" w:ascii="黑体" w:hAnsi="黑体" w:eastAsia="黑体" w:cs="黑体"/>
          <w:b/>
          <w:color w:val="000000" w:themeColor="text1"/>
          <w:sz w:val="19"/>
          <w:szCs w:val="19"/>
          <w:highlight w:val="none"/>
          <w:u w:val="single"/>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33520F25">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pacing w:val="-20"/>
          <w:sz w:val="19"/>
          <w:szCs w:val="19"/>
          <w:highlight w:val="none"/>
          <w:shd w:val="clear" w:color="auto" w:fill="auto"/>
          <w14:textFill>
            <w14:solidFill>
              <w14:schemeClr w14:val="tx1"/>
            </w14:solidFill>
          </w14:textFill>
        </w:rPr>
        <w:t>合同期限</w:t>
      </w:r>
    </w:p>
    <w:p w14:paraId="7DF661CD">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0" w:firstLineChars="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03BF1964">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服务内容与质量标准</w:t>
      </w:r>
    </w:p>
    <w:p w14:paraId="439B2B20">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9E939F">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2.</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79ACE5D6">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3.</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4B92F429">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服务费用及支付方式</w:t>
      </w:r>
    </w:p>
    <w:p w14:paraId="58EA355A">
      <w:pPr>
        <w:keepNext w:val="0"/>
        <w:keepLines w:val="0"/>
        <w:pageBreakBefore w:val="0"/>
        <w:widowControl w:val="0"/>
        <w:numPr>
          <w:ilvl w:val="0"/>
          <w:numId w:val="14"/>
        </w:numPr>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本项目服务费用由以下组成：</w:t>
      </w:r>
    </w:p>
    <w:p w14:paraId="62A645AD">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p>
    <w:p w14:paraId="0CC015A2">
      <w:pPr>
        <w:keepNext w:val="0"/>
        <w:keepLines w:val="0"/>
        <w:pageBreakBefore w:val="0"/>
        <w:widowControl w:val="0"/>
        <w:numPr>
          <w:ilvl w:val="0"/>
          <w:numId w:val="14"/>
        </w:numPr>
        <w:tabs>
          <w:tab w:val="left" w:pos="780"/>
        </w:tabs>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 xml:space="preserve">服务费支付方式： </w:t>
      </w:r>
    </w:p>
    <w:p w14:paraId="36517046">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482" w:hanging="381" w:hangingChars="200"/>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1B619ECB">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0" w:leftChars="0"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kern w:val="2"/>
          <w:sz w:val="19"/>
          <w:szCs w:val="19"/>
          <w:highlight w:val="none"/>
          <w:lang w:val="en-US" w:eastAsia="zh-CN" w:bidi="ar-SA"/>
          <w14:textFill>
            <w14:solidFill>
              <w14:schemeClr w14:val="tx1"/>
            </w14:solidFill>
          </w14:textFill>
        </w:rPr>
        <w:t>若成交人为中小企业，本合同所约定的支付条款将按《保障中小企业款项支付条例》的规定作出相应调整。</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44DD7778">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知识产权</w:t>
      </w:r>
    </w:p>
    <w:p w14:paraId="61115F96">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乙方应保证所提供的服务或其任何一部分均不会侵犯任何第三方的专利权、商标权或著作权。</w:t>
      </w:r>
    </w:p>
    <w:p w14:paraId="29246775">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无产权瑕疵条款</w:t>
      </w:r>
    </w:p>
    <w:p w14:paraId="7E2AA3E2">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2319CCC">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履约保证金</w:t>
      </w:r>
    </w:p>
    <w:p w14:paraId="48B298D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乙方交纳人民币</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Cs/>
          <w:color w:val="000000" w:themeColor="text1"/>
          <w:sz w:val="19"/>
          <w:szCs w:val="19"/>
          <w:highlight w:val="none"/>
          <w:u w:val="none"/>
          <w14:textFill>
            <w14:solidFill>
              <w14:schemeClr w14:val="tx1"/>
            </w14:solidFill>
          </w14:textFill>
        </w:rPr>
        <w:t>元</w:t>
      </w:r>
      <w:r>
        <w:rPr>
          <w:rFonts w:hint="eastAsia" w:ascii="黑体" w:hAnsi="黑体" w:eastAsia="黑体" w:cs="黑体"/>
          <w:bCs/>
          <w:color w:val="000000" w:themeColor="text1"/>
          <w:sz w:val="19"/>
          <w:szCs w:val="19"/>
          <w:highlight w:val="none"/>
          <w14:textFill>
            <w14:solidFill>
              <w14:schemeClr w14:val="tx1"/>
            </w14:solidFill>
          </w14:textFill>
        </w:rPr>
        <w:t>作为本合同的履约保证金。</w:t>
      </w:r>
    </w:p>
    <w:p w14:paraId="592A1B30">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履约保证金作为违约金的一部分及用于补偿甲方因乙方不能履行合同义务而蒙受的损失。</w:t>
      </w:r>
    </w:p>
    <w:p w14:paraId="09CCF82D">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甲方的权利和义务</w:t>
      </w:r>
    </w:p>
    <w:p w14:paraId="254A3387">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甲方有权对合同规定范围内乙方的服务行为进行监督和检查，拥有监管权。有权定期核对乙方提供服务所配备的人员数量。对甲方认为不合理的部分有权下达整改通知书，并要求乙方限期整改。</w:t>
      </w:r>
    </w:p>
    <w:p w14:paraId="008F592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甲方有权依据双方签订的考评办法对乙方提供的服务进行定期考评。当考评结果未达到标准时，有权依据考评办法约定的数额扣除履约保证金。</w:t>
      </w:r>
    </w:p>
    <w:p w14:paraId="2003898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3</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负责检查监督乙方管理工作的实施及制度的执行情况。</w:t>
      </w:r>
    </w:p>
    <w:p w14:paraId="3AE46525">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4</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根据本合同规定，按时向乙方支付应付服务费用。</w:t>
      </w:r>
    </w:p>
    <w:p w14:paraId="207557C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国家法律、法规所规定由甲方承担的其它责任。</w:t>
      </w:r>
    </w:p>
    <w:p w14:paraId="6044A743">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乙方的权利和义务</w:t>
      </w:r>
    </w:p>
    <w:p w14:paraId="5EE32B7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对本合同规定的委托服务范围内的项目享有管理权及服务义务。</w:t>
      </w:r>
    </w:p>
    <w:p w14:paraId="78049D28">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根据本合同的规定向甲方收取相关服务费用，并有权在本项目管理范围内管理及合理使用。</w:t>
      </w:r>
    </w:p>
    <w:p w14:paraId="7D23211E">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及时向甲方通告本项目服务范围内有关服务的重大事项，及时配合处理投诉。</w:t>
      </w:r>
    </w:p>
    <w:p w14:paraId="0011132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接受项目行业管理部门及政府有关部门的指导，接受甲方的监督。</w:t>
      </w:r>
    </w:p>
    <w:p w14:paraId="4604D75A">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国家法律、法规所规定由乙方承担的其它责任。</w:t>
      </w:r>
    </w:p>
    <w:p w14:paraId="0BD6D251">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违约责任</w:t>
      </w:r>
    </w:p>
    <w:p w14:paraId="5D90382F">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甲乙双方必须遵守本合同并执行合同中的各项规定，保证本合同的正常履行。</w:t>
      </w:r>
    </w:p>
    <w:p w14:paraId="19D2CF56">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E407E7A">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不可抗力事件处理</w:t>
      </w:r>
    </w:p>
    <w:p w14:paraId="598880F6">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在合同有效期内，任何一方因不可抗力事件导致不能履行合同，则合同履行期可延长，其延长期与不可抗力影响期相同。</w:t>
      </w:r>
    </w:p>
    <w:p w14:paraId="65E5AE09">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不可抗力事件发生后，应立即通知对方，并寄送有关权威机构出具的证明。</w:t>
      </w:r>
    </w:p>
    <w:p w14:paraId="27904AB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w:t>
      </w:r>
      <w:r>
        <w:rPr>
          <w:rFonts w:hint="eastAsia" w:ascii="黑体" w:hAnsi="黑体" w:eastAsia="黑体" w:cs="黑体"/>
          <w:color w:val="000000" w:themeColor="text1"/>
          <w:sz w:val="19"/>
          <w:szCs w:val="19"/>
          <w:highlight w:val="none"/>
          <w:u w:val="none"/>
          <w14:textFill>
            <w14:solidFill>
              <w14:schemeClr w14:val="tx1"/>
            </w14:solidFill>
          </w14:textFill>
        </w:rPr>
        <w:t>延续</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120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以上，双方应通过友好协商，确定是否继续履行合同。</w:t>
      </w:r>
    </w:p>
    <w:p w14:paraId="31966D38">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解决合同纠纷的方式</w:t>
      </w:r>
    </w:p>
    <w:p w14:paraId="6B90664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在执行本合同中发生的或与本合同有关的争端，双方应通过友好协商解决，经协商</w:t>
      </w:r>
      <w:r>
        <w:rPr>
          <w:rFonts w:hint="eastAsia" w:ascii="黑体" w:hAnsi="黑体" w:eastAsia="黑体" w:cs="黑体"/>
          <w:color w:val="000000" w:themeColor="text1"/>
          <w:sz w:val="19"/>
          <w:szCs w:val="19"/>
          <w:highlight w:val="none"/>
          <w:u w:val="none"/>
          <w14:textFill>
            <w14:solidFill>
              <w14:schemeClr w14:val="tx1"/>
            </w14:solidFill>
          </w14:textFill>
        </w:rPr>
        <w:t>在</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30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内不能达成协议时，应提交</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甲方所在地 </w:t>
      </w:r>
      <w:r>
        <w:rPr>
          <w:rFonts w:hint="eastAsia" w:ascii="黑体" w:hAnsi="黑体" w:eastAsia="黑体" w:cs="黑体"/>
          <w:color w:val="000000" w:themeColor="text1"/>
          <w:sz w:val="19"/>
          <w:szCs w:val="19"/>
          <w:highlight w:val="none"/>
          <w:u w:val="none"/>
          <w14:textFill>
            <w14:solidFill>
              <w14:schemeClr w14:val="tx1"/>
            </w14:solidFill>
          </w14:textFill>
        </w:rPr>
        <w:t>仲裁委员会</w:t>
      </w:r>
      <w:r>
        <w:rPr>
          <w:rFonts w:hint="eastAsia" w:ascii="黑体" w:hAnsi="黑体" w:eastAsia="黑体" w:cs="黑体"/>
          <w:color w:val="000000" w:themeColor="text1"/>
          <w:sz w:val="19"/>
          <w:szCs w:val="19"/>
          <w:highlight w:val="none"/>
          <w:u w:val="none"/>
          <w:lang w:eastAsia="zh-CN"/>
          <w14:textFill>
            <w14:solidFill>
              <w14:schemeClr w14:val="tx1"/>
            </w14:solidFill>
          </w14:textFill>
        </w:rPr>
        <w:t>予以进行</w:t>
      </w:r>
      <w:r>
        <w:rPr>
          <w:rFonts w:hint="eastAsia" w:ascii="黑体" w:hAnsi="黑体" w:eastAsia="黑体" w:cs="黑体"/>
          <w:color w:val="000000" w:themeColor="text1"/>
          <w:sz w:val="19"/>
          <w:szCs w:val="19"/>
          <w:highlight w:val="none"/>
          <w14:textFill>
            <w14:solidFill>
              <w14:schemeClr w14:val="tx1"/>
            </w14:solidFill>
          </w14:textFill>
        </w:rPr>
        <w:t>仲裁。</w:t>
      </w:r>
    </w:p>
    <w:p w14:paraId="7E8A2C9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仲裁裁决应为最终决定，并对双方具有约束力。</w:t>
      </w:r>
    </w:p>
    <w:p w14:paraId="78916030">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除另有裁决外，仲裁费应由败诉方负担。 </w:t>
      </w:r>
    </w:p>
    <w:p w14:paraId="4D6F4E9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在仲裁期间，除正在进行仲裁部分外，合同其他部分继续执行。  </w:t>
      </w:r>
    </w:p>
    <w:p w14:paraId="4B73EC10">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合同生效及其他</w:t>
      </w:r>
    </w:p>
    <w:p w14:paraId="35B72F88">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合同经双方法定代表人或授权委托代理人签字并加盖单位公章后生效。</w:t>
      </w:r>
    </w:p>
    <w:p w14:paraId="7444D156">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合同执行中涉及资金和采购内容修改或补充的，须经双方签订书面补充协议，方可作为主合同不可分割的一部分。</w:t>
      </w:r>
    </w:p>
    <w:p w14:paraId="2A3472F3">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本合同一式</w:t>
      </w:r>
      <w:r>
        <w:rPr>
          <w:rFonts w:hint="eastAsia" w:ascii="黑体" w:hAnsi="黑体" w:eastAsia="黑体" w:cs="黑体"/>
          <w:color w:val="000000" w:themeColor="text1"/>
          <w:sz w:val="19"/>
          <w:szCs w:val="19"/>
          <w:highlight w:val="none"/>
          <w:lang w:eastAsia="zh-CN"/>
          <w14:textFill>
            <w14:solidFill>
              <w14:schemeClr w14:val="tx1"/>
            </w14:solidFill>
          </w14:textFill>
        </w:rPr>
        <w:t>陆</w:t>
      </w:r>
      <w:r>
        <w:rPr>
          <w:rFonts w:hint="eastAsia" w:ascii="黑体" w:hAnsi="黑体" w:eastAsia="黑体" w:cs="黑体"/>
          <w:color w:val="000000" w:themeColor="text1"/>
          <w:sz w:val="19"/>
          <w:szCs w:val="19"/>
          <w:highlight w:val="none"/>
          <w14:textFill>
            <w14:solidFill>
              <w14:schemeClr w14:val="tx1"/>
            </w14:solidFill>
          </w14:textFill>
        </w:rPr>
        <w:t>份，自双方签章之日起起效。甲方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份，采购代理机构</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份，具有同等法律效力。</w:t>
      </w:r>
    </w:p>
    <w:p w14:paraId="158F0962">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附件</w:t>
      </w:r>
    </w:p>
    <w:p w14:paraId="3FC157A5">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p>
    <w:p w14:paraId="4696FBA8">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澄清</w:t>
      </w:r>
      <w:r>
        <w:rPr>
          <w:rFonts w:hint="eastAsia" w:ascii="黑体" w:hAnsi="黑体" w:eastAsia="黑体" w:cs="黑体"/>
          <w:color w:val="000000" w:themeColor="text1"/>
          <w:sz w:val="19"/>
          <w:szCs w:val="19"/>
          <w:highlight w:val="none"/>
          <w:lang w:eastAsia="zh-CN"/>
          <w14:textFill>
            <w14:solidFill>
              <w14:schemeClr w14:val="tx1"/>
            </w14:solidFill>
          </w14:textFill>
        </w:rPr>
        <w:t>（或答疑）</w:t>
      </w:r>
      <w:r>
        <w:rPr>
          <w:rFonts w:hint="eastAsia" w:ascii="黑体" w:hAnsi="黑体" w:eastAsia="黑体" w:cs="黑体"/>
          <w:color w:val="000000" w:themeColor="text1"/>
          <w:sz w:val="19"/>
          <w:szCs w:val="19"/>
          <w:highlight w:val="none"/>
          <w14:textFill>
            <w14:solidFill>
              <w14:schemeClr w14:val="tx1"/>
            </w14:solidFill>
          </w14:textFill>
        </w:rPr>
        <w:t>文件</w:t>
      </w:r>
    </w:p>
    <w:p w14:paraId="10168CE0">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p>
    <w:p w14:paraId="2638E09D">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p>
    <w:p w14:paraId="4E987CC1">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14D6E0D">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C0F9F7C">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p>
    <w:p w14:paraId="24DA49E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p>
    <w:p w14:paraId="446A763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法定代表人（授权代表）：           法定代表人（授权代表）：</w:t>
      </w:r>
    </w:p>
    <w:p w14:paraId="65CEC871">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地    址：                         地    址：</w:t>
      </w:r>
    </w:p>
    <w:p w14:paraId="6148EB9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开户银行：                         开户银行：</w:t>
      </w:r>
    </w:p>
    <w:p w14:paraId="10B09D0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账号：                             账号：</w:t>
      </w:r>
    </w:p>
    <w:p w14:paraId="667F39C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电    话：                         电    话：</w:t>
      </w:r>
    </w:p>
    <w:p w14:paraId="63709505">
      <w:pPr>
        <w:pStyle w:val="13"/>
        <w:keepNext w:val="0"/>
        <w:keepLines w:val="0"/>
        <w:pageBreakBefore w:val="0"/>
        <w:kinsoku/>
        <w:wordWrap/>
        <w:overflowPunct/>
        <w:topLinePunct w:val="0"/>
        <w:autoSpaceDE/>
        <w:autoSpaceDN/>
        <w:bidi w:val="0"/>
        <w:snapToGrid/>
        <w:spacing w:before="58" w:beforeLines="20" w:beforeAutospacing="0" w:after="0" w:afterAutospacing="0" w:line="480" w:lineRule="exact"/>
        <w:ind w:firstLine="380" w:firstLineChars="200"/>
        <w:jc w:val="both"/>
        <w:rPr>
          <w:rFonts w:hint="eastAsia" w:ascii="黑体" w:hAnsi="黑体" w:eastAsia="黑体" w:cs="黑体"/>
          <w:b/>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p>
    <w:p w14:paraId="2FBE9364">
      <w:pPr>
        <w:keepNext w:val="0"/>
        <w:keepLines w:val="0"/>
        <w:pageBreakBefore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签订地点：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0A7C93">
      <w:pPr>
        <w:pStyle w:val="25"/>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themeColor="text1"/>
          <w:sz w:val="19"/>
          <w:szCs w:val="19"/>
          <w14:textFill>
            <w14:solidFill>
              <w14:schemeClr w14:val="tx1"/>
            </w14:solidFill>
          </w14:textFill>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202B3DB0">
      <w:pPr>
        <w:pStyle w:val="2"/>
        <w:wordWrap/>
        <w:bidi w:val="0"/>
        <w:rPr>
          <w:rFonts w:hint="eastAsia" w:ascii="黑体" w:hAnsi="黑体" w:eastAsia="黑体" w:cs="黑体"/>
          <w:sz w:val="28"/>
          <w:szCs w:val="28"/>
          <w:highlight w:val="none"/>
        </w:rPr>
      </w:pPr>
      <w:bookmarkStart w:id="45" w:name="_Toc16024"/>
      <w:bookmarkStart w:id="46" w:name="_Toc4578"/>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八</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应提交的有关格式范例</w:t>
      </w:r>
      <w:bookmarkEnd w:id="45"/>
      <w:bookmarkEnd w:id="46"/>
    </w:p>
    <w:p w14:paraId="0E24F2F2">
      <w:pPr>
        <w:widowControl/>
        <w:wordWrap/>
        <w:autoSpaceDE w:val="0"/>
        <w:autoSpaceDN w:val="0"/>
        <w:spacing w:line="360" w:lineRule="auto"/>
        <w:jc w:val="center"/>
        <w:textAlignment w:val="bottom"/>
        <w:rPr>
          <w:rFonts w:hint="eastAsia" w:ascii="黑体" w:hAnsi="黑体" w:eastAsia="黑体" w:cs="黑体"/>
          <w:b/>
          <w:sz w:val="44"/>
          <w:szCs w:val="44"/>
          <w:highlight w:val="none"/>
        </w:rPr>
      </w:pPr>
    </w:p>
    <w:p w14:paraId="00F4569C">
      <w:pPr>
        <w:widowControl/>
        <w:wordWrap/>
        <w:autoSpaceDE w:val="0"/>
        <w:autoSpaceDN w:val="0"/>
        <w:spacing w:line="360" w:lineRule="auto"/>
        <w:jc w:val="center"/>
        <w:textAlignment w:val="bottom"/>
        <w:rPr>
          <w:rFonts w:hint="eastAsia" w:ascii="黑体" w:hAnsi="黑体" w:eastAsia="黑体" w:cs="黑体"/>
          <w:b/>
          <w:sz w:val="28"/>
          <w:szCs w:val="28"/>
          <w:highlight w:val="none"/>
        </w:rPr>
      </w:pPr>
      <w:r>
        <w:rPr>
          <w:rFonts w:hint="eastAsia" w:ascii="黑体" w:hAnsi="黑体" w:eastAsia="黑体" w:cs="黑体"/>
          <w:b/>
          <w:sz w:val="36"/>
          <w:szCs w:val="36"/>
          <w:highlight w:val="none"/>
        </w:rPr>
        <w:t>（封面格式）</w:t>
      </w:r>
      <w:r>
        <w:rPr>
          <w:rFonts w:hint="eastAsia" w:ascii="黑体" w:hAnsi="黑体" w:eastAsia="黑体" w:cs="黑体"/>
          <w:b/>
          <w:sz w:val="28"/>
          <w:szCs w:val="28"/>
          <w:highlight w:val="none"/>
        </w:rPr>
        <w:t xml:space="preserve"> </w:t>
      </w:r>
    </w:p>
    <w:p w14:paraId="15FD3A8C">
      <w:pPr>
        <w:wordWrap/>
        <w:jc w:val="right"/>
        <w:rPr>
          <w:rFonts w:hint="eastAsia" w:ascii="黑体" w:hAnsi="黑体" w:eastAsia="黑体" w:cs="黑体"/>
          <w:b/>
          <w:sz w:val="28"/>
          <w:szCs w:val="28"/>
          <w:highlight w:val="none"/>
        </w:rPr>
      </w:pPr>
      <w:r>
        <w:rPr>
          <w:rFonts w:hint="eastAsia" w:ascii="黑体" w:hAnsi="黑体" w:eastAsia="黑体" w:cs="黑体"/>
          <w:b/>
          <w:kern w:val="0"/>
          <w:sz w:val="28"/>
          <w:szCs w:val="28"/>
          <w:highlight w:val="none"/>
          <w:bdr w:val="single" w:color="auto" w:sz="4" w:space="0"/>
        </w:rPr>
        <w:t>正/副本</w:t>
      </w:r>
    </w:p>
    <w:p w14:paraId="5946F7CF">
      <w:pPr>
        <w:pStyle w:val="9"/>
        <w:wordWrap/>
        <w:rPr>
          <w:rFonts w:hint="eastAsia" w:ascii="黑体" w:hAnsi="黑体" w:eastAsia="黑体" w:cs="黑体"/>
          <w:highlight w:val="none"/>
        </w:rPr>
      </w:pPr>
    </w:p>
    <w:p w14:paraId="1CBB6A45">
      <w:pPr>
        <w:widowControl/>
        <w:wordWrap/>
        <w:autoSpaceDE w:val="0"/>
        <w:autoSpaceDN w:val="0"/>
        <w:spacing w:line="360" w:lineRule="auto"/>
        <w:jc w:val="center"/>
        <w:textAlignment w:val="bottom"/>
        <w:rPr>
          <w:rFonts w:hint="eastAsia" w:ascii="黑体" w:hAnsi="黑体" w:eastAsia="黑体" w:cs="黑体"/>
          <w:b/>
          <w:sz w:val="28"/>
          <w:szCs w:val="28"/>
          <w:highlight w:val="none"/>
        </w:rPr>
      </w:pPr>
    </w:p>
    <w:p w14:paraId="105C4343">
      <w:pPr>
        <w:wordWrap/>
        <w:spacing w:line="360" w:lineRule="auto"/>
        <w:rPr>
          <w:rFonts w:hint="eastAsia" w:ascii="黑体" w:hAnsi="黑体" w:eastAsia="黑体" w:cs="黑体"/>
          <w:b/>
          <w:sz w:val="48"/>
          <w:szCs w:val="48"/>
          <w:highlight w:val="none"/>
        </w:rPr>
      </w:pPr>
    </w:p>
    <w:p w14:paraId="25BA6C7F">
      <w:pPr>
        <w:keepNext w:val="0"/>
        <w:keepLines w:val="0"/>
        <w:pageBreakBefore w:val="0"/>
        <w:widowControl w:val="0"/>
        <w:kinsoku/>
        <w:wordWrap/>
        <w:overflowPunct/>
        <w:topLinePunct w:val="0"/>
        <w:autoSpaceDE/>
        <w:autoSpaceDN/>
        <w:bidi w:val="0"/>
        <w:adjustRightInd/>
        <w:snapToGrid/>
        <w:spacing w:before="143" w:beforeLines="50" w:after="287" w:afterLines="10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陕西省生态环境执法装备和用电监控统筹管控能力建设项目安全检测服务（二次）</w:t>
      </w:r>
    </w:p>
    <w:p w14:paraId="7609EC48">
      <w:pPr>
        <w:wordWrap/>
        <w:jc w:val="center"/>
        <w:rPr>
          <w:rFonts w:hint="eastAsia" w:ascii="黑体" w:hAnsi="黑体" w:eastAsia="黑体" w:cs="黑体"/>
          <w:b/>
          <w:sz w:val="52"/>
          <w:szCs w:val="52"/>
          <w:highlight w:val="none"/>
        </w:rPr>
      </w:pPr>
    </w:p>
    <w:p w14:paraId="6C743592">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项目编号：ZBY2025102-02</w:t>
      </w:r>
    </w:p>
    <w:p w14:paraId="25D3710B">
      <w:pPr>
        <w:wordWrap/>
        <w:jc w:val="center"/>
        <w:rPr>
          <w:rFonts w:hint="eastAsia" w:ascii="黑体" w:hAnsi="黑体" w:eastAsia="黑体" w:cs="黑体"/>
          <w:b/>
          <w:sz w:val="28"/>
          <w:szCs w:val="28"/>
          <w:highlight w:val="yellow"/>
          <w:lang w:val="en-US" w:eastAsia="zh-CN"/>
        </w:rPr>
      </w:pPr>
    </w:p>
    <w:p w14:paraId="2BEB5968">
      <w:pPr>
        <w:widowControl/>
        <w:wordWrap/>
        <w:autoSpaceDE w:val="0"/>
        <w:autoSpaceDN w:val="0"/>
        <w:spacing w:line="360" w:lineRule="auto"/>
        <w:textAlignment w:val="bottom"/>
        <w:rPr>
          <w:rFonts w:hint="eastAsia" w:ascii="黑体" w:hAnsi="黑体" w:eastAsia="黑体" w:cs="黑体"/>
          <w:sz w:val="44"/>
          <w:highlight w:val="none"/>
        </w:rPr>
      </w:pPr>
    </w:p>
    <w:p w14:paraId="08A06398">
      <w:pPr>
        <w:pStyle w:val="7"/>
        <w:wordWrap/>
        <w:rPr>
          <w:rFonts w:hint="eastAsia" w:ascii="黑体" w:hAnsi="黑体" w:eastAsia="黑体" w:cs="黑体"/>
          <w:highlight w:val="none"/>
        </w:rPr>
      </w:pPr>
    </w:p>
    <w:p w14:paraId="26927D1F">
      <w:pPr>
        <w:keepNext w:val="0"/>
        <w:keepLines w:val="0"/>
        <w:pageBreakBefore w:val="0"/>
        <w:widowControl/>
        <w:kinsoku/>
        <w:wordWrap/>
        <w:overflowPunct/>
        <w:topLinePunct w:val="0"/>
        <w:autoSpaceDE w:val="0"/>
        <w:autoSpaceDN w:val="0"/>
        <w:bidi w:val="0"/>
        <w:adjustRightInd/>
        <w:snapToGrid/>
        <w:spacing w:line="360" w:lineRule="auto"/>
        <w:jc w:val="center"/>
        <w:textAlignment w:val="bottom"/>
        <w:outlineLvl w:val="9"/>
        <w:rPr>
          <w:rFonts w:hint="eastAsia" w:ascii="黑体" w:hAnsi="黑体" w:eastAsia="黑体" w:cs="黑体"/>
          <w:b/>
          <w:sz w:val="72"/>
          <w:szCs w:val="72"/>
          <w:highlight w:val="none"/>
        </w:rPr>
      </w:pPr>
      <w:r>
        <w:rPr>
          <w:rFonts w:hint="eastAsia" w:ascii="黑体" w:hAnsi="黑体" w:eastAsia="黑体" w:cs="黑体"/>
          <w:b/>
          <w:sz w:val="72"/>
          <w:szCs w:val="72"/>
          <w:highlight w:val="none"/>
        </w:rPr>
        <w:t>响应文件</w:t>
      </w:r>
    </w:p>
    <w:p w14:paraId="2C908E3A">
      <w:pPr>
        <w:pStyle w:val="28"/>
        <w:wordWrap/>
        <w:spacing w:before="48"/>
        <w:rPr>
          <w:rFonts w:hint="eastAsia" w:ascii="黑体" w:hAnsi="黑体" w:eastAsia="黑体" w:cs="黑体"/>
          <w:b/>
          <w:sz w:val="32"/>
          <w:szCs w:val="32"/>
          <w:highlight w:val="none"/>
        </w:rPr>
      </w:pPr>
    </w:p>
    <w:p w14:paraId="23448045">
      <w:pPr>
        <w:pStyle w:val="28"/>
        <w:wordWrap/>
        <w:spacing w:before="48"/>
        <w:rPr>
          <w:rFonts w:hint="eastAsia" w:ascii="黑体" w:hAnsi="黑体" w:eastAsia="黑体" w:cs="黑体"/>
          <w:b/>
          <w:sz w:val="32"/>
          <w:szCs w:val="32"/>
          <w:highlight w:val="none"/>
        </w:rPr>
      </w:pPr>
    </w:p>
    <w:p w14:paraId="4C6FE299">
      <w:pPr>
        <w:wordWrap/>
        <w:spacing w:line="360" w:lineRule="auto"/>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（盖章）</w:t>
      </w:r>
    </w:p>
    <w:p w14:paraId="394B7C20">
      <w:pPr>
        <w:wordWrap/>
        <w:jc w:val="center"/>
        <w:rPr>
          <w:rFonts w:hint="eastAsia" w:ascii="黑体" w:hAnsi="黑体" w:eastAsia="黑体" w:cs="黑体"/>
          <w:b/>
          <w:sz w:val="28"/>
          <w:szCs w:val="28"/>
          <w:highlight w:val="none"/>
        </w:rPr>
      </w:pPr>
    </w:p>
    <w:p w14:paraId="2D97FEF8">
      <w:pPr>
        <w:wordWrap/>
        <w:jc w:val="center"/>
        <w:rPr>
          <w:rFonts w:hint="eastAsia" w:ascii="黑体" w:hAnsi="黑体" w:eastAsia="黑体" w:cs="黑体"/>
          <w:b/>
          <w:sz w:val="28"/>
          <w:szCs w:val="28"/>
          <w:highlight w:val="none"/>
          <w:u w:val="single"/>
        </w:rPr>
      </w:pPr>
    </w:p>
    <w:p w14:paraId="13114115">
      <w:pPr>
        <w:wordWrap/>
        <w:jc w:val="center"/>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月</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日</w:t>
      </w:r>
    </w:p>
    <w:p w14:paraId="7AD1C600">
      <w:pPr>
        <w:pStyle w:val="3"/>
        <w:numPr>
          <w:ilvl w:val="1"/>
          <w:numId w:val="0"/>
        </w:numPr>
        <w:wordWrap/>
        <w:spacing w:line="410" w:lineRule="exact"/>
        <w:jc w:val="center"/>
        <w:rPr>
          <w:rFonts w:hint="eastAsia" w:ascii="宋体" w:hAnsi="宋体" w:eastAsia="宋体" w:cs="宋体"/>
          <w:bCs w:val="0"/>
          <w:sz w:val="28"/>
          <w:szCs w:val="28"/>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13D4BCE">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0"/>
        <w:jc w:val="center"/>
        <w:textAlignment w:val="baseline"/>
        <w:outlineLvl w:val="1"/>
        <w:rPr>
          <w:rFonts w:hint="eastAsia" w:ascii="黑体" w:hAnsi="黑体" w:eastAsia="黑体" w:cs="黑体"/>
          <w:b/>
          <w:color w:val="auto"/>
          <w:sz w:val="28"/>
          <w:szCs w:val="28"/>
          <w:highlight w:val="none"/>
          <w:lang w:val="en-US" w:eastAsia="zh-CN"/>
        </w:rPr>
      </w:pPr>
      <w:bookmarkStart w:id="47" w:name="_Toc3658"/>
      <w:bookmarkStart w:id="48" w:name="_Toc10540"/>
      <w:r>
        <w:rPr>
          <w:rFonts w:hint="eastAsia" w:ascii="黑体" w:hAnsi="黑体" w:eastAsia="黑体" w:cs="黑体"/>
          <w:b/>
          <w:color w:val="auto"/>
          <w:sz w:val="28"/>
          <w:szCs w:val="28"/>
          <w:highlight w:val="none"/>
          <w:lang w:val="en-US" w:eastAsia="zh-CN"/>
        </w:rPr>
        <w:t>一、响应函</w:t>
      </w:r>
      <w:bookmarkEnd w:id="47"/>
      <w:bookmarkEnd w:id="48"/>
    </w:p>
    <w:p w14:paraId="6436CA3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u w:val="single"/>
        </w:rPr>
        <w:t>（采购人）：</w:t>
      </w:r>
    </w:p>
    <w:p w14:paraId="62D4639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根据贵方</w:t>
      </w:r>
      <w:r>
        <w:rPr>
          <w:rFonts w:hint="eastAsia" w:ascii="黑体" w:hAnsi="黑体" w:eastAsia="黑体" w:cs="黑体"/>
          <w:sz w:val="19"/>
          <w:szCs w:val="19"/>
          <w:highlight w:val="none"/>
          <w:u w:val="single"/>
        </w:rPr>
        <w:t xml:space="preserve">   (项目名称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项目的采购公告</w:t>
      </w:r>
      <w:r>
        <w:rPr>
          <w:rFonts w:hint="eastAsia" w:ascii="黑体" w:hAnsi="黑体" w:eastAsia="黑体" w:cs="黑体"/>
          <w:sz w:val="19"/>
          <w:szCs w:val="19"/>
          <w:highlight w:val="none"/>
          <w:u w:val="none"/>
          <w:lang w:eastAsia="zh-CN"/>
        </w:rPr>
        <w:t>，</w:t>
      </w:r>
      <w:r>
        <w:rPr>
          <w:rFonts w:hint="eastAsia" w:ascii="黑体" w:hAnsi="黑体" w:eastAsia="黑体" w:cs="黑体"/>
          <w:sz w:val="19"/>
          <w:szCs w:val="19"/>
          <w:highlight w:val="none"/>
        </w:rPr>
        <w:t>签字代表</w:t>
      </w:r>
      <w:r>
        <w:rPr>
          <w:rFonts w:hint="eastAsia" w:ascii="黑体" w:hAnsi="黑体" w:eastAsia="黑体" w:cs="黑体"/>
          <w:sz w:val="19"/>
          <w:szCs w:val="19"/>
          <w:highlight w:val="none"/>
          <w:u w:val="single"/>
        </w:rPr>
        <w:t xml:space="preserve">  (姓名、职务)</w:t>
      </w:r>
      <w:r>
        <w:rPr>
          <w:rFonts w:hint="eastAsia" w:ascii="黑体" w:hAnsi="黑体" w:eastAsia="黑体" w:cs="黑体"/>
          <w:sz w:val="19"/>
          <w:szCs w:val="19"/>
          <w:highlight w:val="none"/>
        </w:rPr>
        <w:t>经正式授权并代表供应商</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（名称）</w:t>
      </w:r>
      <w:r>
        <w:rPr>
          <w:rFonts w:hint="eastAsia" w:ascii="黑体" w:hAnsi="黑体" w:eastAsia="黑体" w:cs="黑体"/>
          <w:sz w:val="19"/>
          <w:szCs w:val="19"/>
          <w:highlight w:val="none"/>
        </w:rPr>
        <w:t>提交下述文件正本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份、副本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份及电子文档</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w:t>
      </w:r>
      <w:r>
        <w:rPr>
          <w:rFonts w:hint="eastAsia" w:ascii="黑体" w:hAnsi="黑体" w:eastAsia="黑体" w:cs="黑体"/>
          <w:sz w:val="19"/>
          <w:szCs w:val="19"/>
          <w:highlight w:val="none"/>
          <w:lang w:eastAsia="zh-CN"/>
        </w:rPr>
        <w:t>。</w:t>
      </w:r>
    </w:p>
    <w:p w14:paraId="6329CA52">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据此，签字代表宣布同意如下：</w:t>
      </w:r>
    </w:p>
    <w:p w14:paraId="4B60463F">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我单位的首次报价详见响应文件《报价一览表》。</w:t>
      </w:r>
    </w:p>
    <w:p w14:paraId="769C3850">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我单位承诺，本响应文件有效期自提交截止之日起</w:t>
      </w:r>
      <w:r>
        <w:rPr>
          <w:rFonts w:hint="eastAsia" w:ascii="黑体" w:hAnsi="黑体" w:eastAsia="黑体" w:cs="黑体"/>
          <w:sz w:val="19"/>
          <w:szCs w:val="19"/>
          <w:highlight w:val="none"/>
          <w:u w:val="single"/>
          <w:lang w:eastAsia="zh-CN"/>
        </w:rPr>
        <w:t xml:space="preserve"> 90 </w:t>
      </w:r>
      <w:r>
        <w:rPr>
          <w:rFonts w:hint="eastAsia" w:ascii="黑体" w:hAnsi="黑体" w:eastAsia="黑体" w:cs="黑体"/>
          <w:sz w:val="19"/>
          <w:szCs w:val="19"/>
          <w:highlight w:val="none"/>
          <w:lang w:eastAsia="zh-CN"/>
        </w:rPr>
        <w:t>日历日，期间对我单位具有约束力；若成交，约束力自</w:t>
      </w:r>
    </w:p>
    <w:p w14:paraId="0EFE3F17">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动延长至合同执行完毕之日止。</w:t>
      </w:r>
    </w:p>
    <w:p w14:paraId="0897E2A4">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我单位已详细审查全部磋商文件，包括所有补充通知（如果有的话），完全理解并同意放弃对这方面有不明、</w:t>
      </w:r>
    </w:p>
    <w:p w14:paraId="5A595742">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误解的权利，对磋商文件的合理性、合法性不再有异议。</w:t>
      </w:r>
    </w:p>
    <w:p w14:paraId="1FA2A6B4">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按照贵方可能的要求，提供与响应有关的一切数据或资料，我们完全理解最低响应报价不作为成交的唯</w:t>
      </w:r>
    </w:p>
    <w:p w14:paraId="0EEE00C3">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一条件，且尊重评审结论和定标结果。</w:t>
      </w:r>
    </w:p>
    <w:p w14:paraId="2909CCEE">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我方不是为本项目提供整体设计、规范编制或者项目管理、监理、检测等服务的供应商，我方不是采购</w:t>
      </w:r>
    </w:p>
    <w:p w14:paraId="15319F8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代理机构的附属机构。</w:t>
      </w:r>
    </w:p>
    <w:p w14:paraId="2F8143E3">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在领取成交通知书的同时按磋商文件规定的形式，向采购代理机构一次性支付采购代理服务费。</w:t>
      </w:r>
    </w:p>
    <w:p w14:paraId="20087A78">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按照磋商文件的规定履行合同责任和义务。</w:t>
      </w:r>
    </w:p>
    <w:p w14:paraId="2283E232">
      <w:pPr>
        <w:keepNext w:val="0"/>
        <w:keepLines w:val="0"/>
        <w:pageBreakBefore w:val="0"/>
        <w:widowControl w:val="0"/>
        <w:numPr>
          <w:ilvl w:val="0"/>
          <w:numId w:val="15"/>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我方完全响应</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中</w:t>
      </w:r>
      <w:r>
        <w:rPr>
          <w:rFonts w:hint="eastAsia" w:ascii="黑体" w:hAnsi="黑体" w:eastAsia="黑体" w:cs="黑体"/>
          <w:b w:val="0"/>
          <w:bCs/>
          <w:sz w:val="19"/>
          <w:szCs w:val="19"/>
          <w:highlight w:val="none"/>
          <w:lang w:val="en-US" w:eastAsia="zh-CN"/>
        </w:rPr>
        <w:t>关于本项目联合体和分包要求的规定。</w:t>
      </w:r>
    </w:p>
    <w:p w14:paraId="62037E69">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after="144" w:afterLines="50" w:line="460" w:lineRule="exact"/>
        <w:jc w:val="left"/>
        <w:textAlignment w:val="auto"/>
        <w:rPr>
          <w:rFonts w:hint="eastAsia" w:ascii="黑体" w:hAnsi="黑体" w:eastAsia="黑体" w:cs="黑体"/>
          <w:sz w:val="19"/>
          <w:szCs w:val="19"/>
          <w:highlight w:val="none"/>
        </w:rPr>
      </w:pPr>
      <w:r>
        <w:rPr>
          <w:rFonts w:hint="eastAsia" w:ascii="黑体" w:hAnsi="黑体" w:eastAsia="黑体" w:cs="黑体"/>
          <w:b w:val="0"/>
          <w:bCs/>
          <w:sz w:val="19"/>
          <w:szCs w:val="19"/>
          <w:lang w:val="en-US" w:eastAsia="zh-CN"/>
        </w:rPr>
        <w:t>根据磋商文件规定，以上承诺事项如需提供相关证明材料的，以响应文件中提供的证明材料为准。本函发出后，即对我单位产生约束力，我单位保证严格遵守本响应函的各项承诺，并对本次提交的响应文件全部内容真实性负责。</w:t>
      </w:r>
    </w:p>
    <w:p w14:paraId="252346C1">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与本项目有关的一切正式往来通讯请寄：</w:t>
      </w:r>
    </w:p>
    <w:p w14:paraId="221BA18C">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供应商名称(公章)：____________</w:t>
      </w:r>
    </w:p>
    <w:p w14:paraId="4A7BBC7F">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统一社会信用代码：____________</w:t>
      </w:r>
    </w:p>
    <w:p w14:paraId="590D5066">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地址：____________</w:t>
      </w:r>
    </w:p>
    <w:p w14:paraId="40E94DD4">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联系电话：____________</w:t>
      </w:r>
    </w:p>
    <w:p w14:paraId="7CA4FF2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法定代表人或授权代表(签字或盖章)：____________</w:t>
      </w:r>
    </w:p>
    <w:p w14:paraId="1EB705B9">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t>日期：______年____月____日</w:t>
      </w:r>
    </w:p>
    <w:p w14:paraId="19C4B8AC">
      <w:pPr>
        <w:pStyle w:val="13"/>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附：1－1：法定代表人证明书</w:t>
      </w:r>
    </w:p>
    <w:p w14:paraId="0C07D050">
      <w:pPr>
        <w:pStyle w:val="13"/>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sz w:val="19"/>
          <w:szCs w:val="19"/>
          <w:highlight w:val="none"/>
          <w:lang w:eastAsia="zh-CN"/>
        </w:rPr>
        <w:sectPr>
          <w:footerReference r:id="rId9" w:type="default"/>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黑体" w:hAnsi="黑体" w:eastAsia="黑体" w:cs="黑体"/>
          <w:color w:val="auto"/>
          <w:kern w:val="2"/>
          <w:sz w:val="19"/>
          <w:szCs w:val="19"/>
          <w:highlight w:val="none"/>
        </w:rPr>
        <w:t>1－2：法定代表人授权书</w:t>
      </w:r>
      <w:r>
        <w:rPr>
          <w:rFonts w:hint="eastAsia" w:ascii="黑体" w:hAnsi="黑体" w:eastAsia="黑体" w:cs="黑体"/>
          <w:color w:val="auto"/>
          <w:kern w:val="2"/>
          <w:sz w:val="19"/>
          <w:szCs w:val="19"/>
          <w:highlight w:val="none"/>
          <w:lang w:eastAsia="zh-CN"/>
        </w:rPr>
        <w:t>（</w:t>
      </w:r>
      <w:r>
        <w:rPr>
          <w:rFonts w:hint="eastAsia" w:ascii="黑体" w:hAnsi="黑体" w:eastAsia="黑体" w:cs="黑体"/>
          <w:color w:val="auto"/>
          <w:kern w:val="2"/>
          <w:sz w:val="19"/>
          <w:szCs w:val="19"/>
          <w:highlight w:val="none"/>
          <w:lang w:val="en-US" w:eastAsia="zh-CN"/>
        </w:rPr>
        <w:t>法定代表人本人亲自参加可不提供</w:t>
      </w:r>
      <w:r>
        <w:rPr>
          <w:rFonts w:hint="eastAsia" w:ascii="黑体" w:hAnsi="黑体" w:eastAsia="黑体" w:cs="黑体"/>
          <w:color w:val="auto"/>
          <w:kern w:val="2"/>
          <w:sz w:val="19"/>
          <w:szCs w:val="19"/>
          <w:highlight w:val="none"/>
          <w:lang w:eastAsia="zh-CN"/>
        </w:rPr>
        <w:t>）</w:t>
      </w:r>
    </w:p>
    <w:p w14:paraId="7DF7D74A">
      <w:pPr>
        <w:pStyle w:val="13"/>
        <w:keepNext w:val="0"/>
        <w:keepLines w:val="0"/>
        <w:pageBreakBefore w:val="0"/>
        <w:widowControl/>
        <w:kinsoku/>
        <w:wordWrap/>
        <w:overflowPunct/>
        <w:topLinePunct w:val="0"/>
        <w:autoSpaceDE/>
        <w:autoSpaceDN/>
        <w:bidi w:val="0"/>
        <w:adjustRightInd/>
        <w:snapToGrid/>
        <w:spacing w:line="360" w:lineRule="exact"/>
        <w:textAlignment w:val="auto"/>
        <w:outlineLvl w:val="2"/>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sz w:val="19"/>
          <w:szCs w:val="19"/>
          <w:highlight w:val="none"/>
        </w:rPr>
        <w:t>1-1：法定代表人</w:t>
      </w:r>
      <w:r>
        <w:rPr>
          <w:rFonts w:hint="eastAsia" w:ascii="黑体" w:hAnsi="黑体" w:eastAsia="黑体" w:cs="黑体"/>
          <w:b w:val="0"/>
          <w:bCs w:val="0"/>
          <w:color w:val="auto"/>
          <w:sz w:val="19"/>
          <w:szCs w:val="19"/>
          <w:highlight w:val="none"/>
          <w:lang w:val="en-US" w:eastAsia="zh-CN"/>
        </w:rPr>
        <w:t>证明</w:t>
      </w:r>
      <w:r>
        <w:rPr>
          <w:rFonts w:hint="eastAsia" w:ascii="黑体" w:hAnsi="黑体" w:eastAsia="黑体" w:cs="黑体"/>
          <w:b w:val="0"/>
          <w:bCs w:val="0"/>
          <w:color w:val="auto"/>
          <w:sz w:val="19"/>
          <w:szCs w:val="19"/>
          <w:highlight w:val="none"/>
        </w:rPr>
        <w:t>书</w:t>
      </w:r>
    </w:p>
    <w:p w14:paraId="6044A6DC">
      <w:pPr>
        <w:tabs>
          <w:tab w:val="left" w:pos="210"/>
        </w:tabs>
        <w:wordWrap/>
        <w:spacing w:line="32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法定代表人证明书</w:t>
      </w:r>
    </w:p>
    <w:tbl>
      <w:tblPr>
        <w:tblStyle w:val="20"/>
        <w:tblpPr w:leftFromText="180" w:rightFromText="180" w:vertAnchor="text" w:horzAnchor="page" w:tblpX="1492" w:tblpY="305"/>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08"/>
        <w:gridCol w:w="1526"/>
        <w:gridCol w:w="2062"/>
        <w:gridCol w:w="1956"/>
      </w:tblGrid>
      <w:tr w14:paraId="7B82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000" w:type="dxa"/>
            <w:gridSpan w:val="5"/>
            <w:noWrap w:val="0"/>
            <w:vAlign w:val="center"/>
          </w:tcPr>
          <w:p w14:paraId="33824B7A">
            <w:pPr>
              <w:tabs>
                <w:tab w:val="left" w:pos="210"/>
              </w:tabs>
              <w:wordWrap/>
              <w:spacing w:line="320" w:lineRule="exact"/>
              <w:rPr>
                <w:rFonts w:hint="eastAsia" w:ascii="黑体" w:hAnsi="黑体" w:eastAsia="黑体" w:cs="黑体"/>
                <w:kern w:val="0"/>
                <w:sz w:val="19"/>
                <w:szCs w:val="19"/>
                <w:highlight w:val="none"/>
                <w:lang w:val="en-US" w:eastAsia="zh-CN"/>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6BD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43877C81">
            <w:pPr>
              <w:tabs>
                <w:tab w:val="left" w:pos="210"/>
              </w:tabs>
              <w:wordWrap/>
              <w:spacing w:line="320" w:lineRule="exact"/>
              <w:jc w:val="center"/>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企业信息</w:t>
            </w:r>
          </w:p>
        </w:tc>
        <w:tc>
          <w:tcPr>
            <w:tcW w:w="987" w:type="dxa"/>
            <w:noWrap w:val="0"/>
            <w:vAlign w:val="center"/>
          </w:tcPr>
          <w:p w14:paraId="27ABD134">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企业名称</w:t>
            </w:r>
          </w:p>
        </w:tc>
        <w:tc>
          <w:tcPr>
            <w:tcW w:w="3024" w:type="dxa"/>
            <w:gridSpan w:val="3"/>
            <w:noWrap w:val="0"/>
            <w:vAlign w:val="center"/>
          </w:tcPr>
          <w:p w14:paraId="5154B389">
            <w:pPr>
              <w:tabs>
                <w:tab w:val="left" w:pos="210"/>
              </w:tabs>
              <w:spacing w:line="320" w:lineRule="exact"/>
              <w:jc w:val="center"/>
              <w:rPr>
                <w:rFonts w:hint="eastAsia" w:ascii="黑体" w:hAnsi="黑体" w:eastAsia="黑体" w:cs="黑体"/>
                <w:kern w:val="0"/>
                <w:sz w:val="19"/>
                <w:szCs w:val="19"/>
                <w:highlight w:val="none"/>
              </w:rPr>
            </w:pPr>
          </w:p>
        </w:tc>
      </w:tr>
      <w:tr w14:paraId="3929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221A7128">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8B4D519">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法定地址</w:t>
            </w:r>
          </w:p>
        </w:tc>
        <w:tc>
          <w:tcPr>
            <w:tcW w:w="3024" w:type="dxa"/>
            <w:gridSpan w:val="3"/>
            <w:noWrap w:val="0"/>
            <w:vAlign w:val="center"/>
          </w:tcPr>
          <w:p w14:paraId="3D6219D8">
            <w:pPr>
              <w:tabs>
                <w:tab w:val="left" w:pos="210"/>
              </w:tabs>
              <w:spacing w:line="320" w:lineRule="exact"/>
              <w:jc w:val="center"/>
              <w:rPr>
                <w:rFonts w:hint="eastAsia" w:ascii="黑体" w:hAnsi="黑体" w:eastAsia="黑体" w:cs="黑体"/>
                <w:kern w:val="0"/>
                <w:sz w:val="19"/>
                <w:szCs w:val="19"/>
                <w:highlight w:val="none"/>
              </w:rPr>
            </w:pPr>
          </w:p>
        </w:tc>
      </w:tr>
      <w:tr w14:paraId="452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87" w:type="dxa"/>
            <w:vMerge w:val="continue"/>
            <w:noWrap w:val="0"/>
            <w:vAlign w:val="center"/>
          </w:tcPr>
          <w:p w14:paraId="4FA57C61">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AE9D6B">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统一社会信用代码</w:t>
            </w:r>
          </w:p>
        </w:tc>
        <w:tc>
          <w:tcPr>
            <w:tcW w:w="3024" w:type="dxa"/>
            <w:gridSpan w:val="3"/>
            <w:noWrap w:val="0"/>
            <w:vAlign w:val="center"/>
          </w:tcPr>
          <w:p w14:paraId="26A91860">
            <w:pPr>
              <w:tabs>
                <w:tab w:val="left" w:pos="210"/>
              </w:tabs>
              <w:spacing w:line="320" w:lineRule="exact"/>
              <w:jc w:val="center"/>
              <w:rPr>
                <w:rFonts w:hint="eastAsia" w:ascii="黑体" w:hAnsi="黑体" w:eastAsia="黑体" w:cs="黑体"/>
                <w:kern w:val="0"/>
                <w:sz w:val="19"/>
                <w:szCs w:val="19"/>
                <w:highlight w:val="none"/>
              </w:rPr>
            </w:pPr>
          </w:p>
        </w:tc>
      </w:tr>
      <w:tr w14:paraId="6E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87" w:type="dxa"/>
            <w:vMerge w:val="restart"/>
            <w:noWrap w:val="0"/>
            <w:vAlign w:val="center"/>
          </w:tcPr>
          <w:p w14:paraId="05FCC8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w:t>
            </w:r>
          </w:p>
        </w:tc>
        <w:tc>
          <w:tcPr>
            <w:tcW w:w="987" w:type="dxa"/>
            <w:noWrap w:val="0"/>
            <w:vAlign w:val="center"/>
          </w:tcPr>
          <w:p w14:paraId="3D728F77">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姓名</w:t>
            </w:r>
          </w:p>
        </w:tc>
        <w:tc>
          <w:tcPr>
            <w:tcW w:w="832" w:type="dxa"/>
            <w:noWrap w:val="0"/>
            <w:vAlign w:val="center"/>
          </w:tcPr>
          <w:p w14:paraId="66E6B661">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054C40FD">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性别</w:t>
            </w:r>
          </w:p>
        </w:tc>
        <w:tc>
          <w:tcPr>
            <w:tcW w:w="1064" w:type="dxa"/>
            <w:noWrap w:val="0"/>
            <w:vAlign w:val="center"/>
          </w:tcPr>
          <w:p w14:paraId="7B54D22A">
            <w:pPr>
              <w:tabs>
                <w:tab w:val="left" w:pos="210"/>
              </w:tabs>
              <w:spacing w:line="320" w:lineRule="exact"/>
              <w:jc w:val="center"/>
              <w:rPr>
                <w:rFonts w:hint="eastAsia" w:ascii="黑体" w:hAnsi="黑体" w:eastAsia="黑体" w:cs="黑体"/>
                <w:kern w:val="0"/>
                <w:sz w:val="19"/>
                <w:szCs w:val="19"/>
                <w:highlight w:val="none"/>
              </w:rPr>
            </w:pPr>
          </w:p>
        </w:tc>
      </w:tr>
      <w:tr w14:paraId="649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33D7AEDB">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9AC2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职务</w:t>
            </w:r>
          </w:p>
        </w:tc>
        <w:tc>
          <w:tcPr>
            <w:tcW w:w="832" w:type="dxa"/>
            <w:noWrap w:val="0"/>
            <w:vAlign w:val="center"/>
          </w:tcPr>
          <w:p w14:paraId="2D8A0DF9">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5DA14C7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联系电话</w:t>
            </w:r>
          </w:p>
        </w:tc>
        <w:tc>
          <w:tcPr>
            <w:tcW w:w="1064" w:type="dxa"/>
            <w:noWrap w:val="0"/>
            <w:vAlign w:val="center"/>
          </w:tcPr>
          <w:p w14:paraId="0A5305C9">
            <w:pPr>
              <w:tabs>
                <w:tab w:val="left" w:pos="210"/>
              </w:tabs>
              <w:spacing w:line="320" w:lineRule="exact"/>
              <w:jc w:val="center"/>
              <w:rPr>
                <w:rFonts w:hint="eastAsia" w:ascii="黑体" w:hAnsi="黑体" w:eastAsia="黑体" w:cs="黑体"/>
                <w:kern w:val="0"/>
                <w:sz w:val="19"/>
                <w:szCs w:val="19"/>
                <w:highlight w:val="none"/>
              </w:rPr>
            </w:pPr>
          </w:p>
        </w:tc>
      </w:tr>
      <w:tr w14:paraId="2A9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87" w:type="dxa"/>
            <w:vMerge w:val="restart"/>
            <w:noWrap w:val="0"/>
            <w:vAlign w:val="center"/>
          </w:tcPr>
          <w:p w14:paraId="52411A6A">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法定代表人身份证</w:t>
            </w:r>
          </w:p>
        </w:tc>
        <w:tc>
          <w:tcPr>
            <w:tcW w:w="1820" w:type="dxa"/>
            <w:gridSpan w:val="2"/>
            <w:vMerge w:val="restart"/>
            <w:noWrap w:val="0"/>
            <w:vAlign w:val="center"/>
          </w:tcPr>
          <w:p w14:paraId="54AC072E">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center"/>
          </w:tcPr>
          <w:p w14:paraId="65BD105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法定代表人（签字或盖章）</w:t>
            </w:r>
          </w:p>
        </w:tc>
      </w:tr>
      <w:tr w14:paraId="0CA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987" w:type="dxa"/>
            <w:vMerge w:val="continue"/>
            <w:noWrap w:val="0"/>
            <w:vAlign w:val="center"/>
          </w:tcPr>
          <w:p w14:paraId="61350111">
            <w:pPr>
              <w:tabs>
                <w:tab w:val="left" w:pos="210"/>
              </w:tabs>
              <w:spacing w:line="320" w:lineRule="exact"/>
              <w:jc w:val="center"/>
              <w:rPr>
                <w:rFonts w:hint="eastAsia" w:ascii="黑体" w:hAnsi="黑体" w:eastAsia="黑体" w:cs="黑体"/>
                <w:kern w:val="0"/>
                <w:sz w:val="19"/>
                <w:szCs w:val="19"/>
                <w:highlight w:val="none"/>
              </w:rPr>
            </w:pPr>
          </w:p>
        </w:tc>
        <w:tc>
          <w:tcPr>
            <w:tcW w:w="1820" w:type="dxa"/>
            <w:gridSpan w:val="2"/>
            <w:vMerge w:val="continue"/>
            <w:noWrap w:val="0"/>
            <w:vAlign w:val="center"/>
          </w:tcPr>
          <w:p w14:paraId="01482BA9">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bottom"/>
          </w:tcPr>
          <w:p w14:paraId="09E5A14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w:t>
            </w:r>
            <w:r>
              <w:rPr>
                <w:rFonts w:hint="eastAsia" w:ascii="黑体" w:hAnsi="黑体" w:eastAsia="黑体" w:cs="黑体"/>
                <w:kern w:val="0"/>
                <w:sz w:val="19"/>
                <w:szCs w:val="19"/>
                <w:highlight w:val="none"/>
                <w:lang w:val="en-US" w:eastAsia="zh-CN"/>
              </w:rPr>
              <w:t>单位</w:t>
            </w:r>
            <w:r>
              <w:rPr>
                <w:rFonts w:hint="eastAsia" w:ascii="黑体" w:hAnsi="黑体" w:eastAsia="黑体" w:cs="黑体"/>
                <w:kern w:val="0"/>
                <w:sz w:val="19"/>
                <w:szCs w:val="19"/>
                <w:highlight w:val="none"/>
              </w:rPr>
              <w:t>公章）</w:t>
            </w:r>
          </w:p>
          <w:p w14:paraId="663EBBF8">
            <w:pPr>
              <w:tabs>
                <w:tab w:val="left" w:pos="210"/>
              </w:tabs>
              <w:spacing w:line="320" w:lineRule="exact"/>
              <w:jc w:val="center"/>
              <w:rPr>
                <w:rFonts w:hint="eastAsia" w:ascii="黑体" w:hAnsi="黑体" w:eastAsia="黑体" w:cs="黑体"/>
                <w:kern w:val="0"/>
                <w:sz w:val="19"/>
                <w:szCs w:val="19"/>
                <w:highlight w:val="none"/>
              </w:rPr>
            </w:pPr>
          </w:p>
          <w:p w14:paraId="390433B6">
            <w:pPr>
              <w:tabs>
                <w:tab w:val="left" w:pos="210"/>
              </w:tabs>
              <w:spacing w:line="320" w:lineRule="exact"/>
              <w:jc w:val="center"/>
              <w:rPr>
                <w:rFonts w:hint="eastAsia" w:ascii="黑体" w:hAnsi="黑体" w:eastAsia="黑体" w:cs="黑体"/>
                <w:kern w:val="0"/>
                <w:sz w:val="19"/>
                <w:szCs w:val="19"/>
                <w:highlight w:val="none"/>
              </w:rPr>
            </w:pPr>
          </w:p>
          <w:p w14:paraId="2F9F4986">
            <w:pPr>
              <w:tabs>
                <w:tab w:val="left" w:pos="210"/>
              </w:tabs>
              <w:spacing w:line="320" w:lineRule="exact"/>
              <w:jc w:val="center"/>
              <w:rPr>
                <w:rFonts w:hint="eastAsia" w:ascii="黑体" w:hAnsi="黑体" w:eastAsia="黑体" w:cs="黑体"/>
                <w:kern w:val="0"/>
                <w:sz w:val="19"/>
                <w:szCs w:val="19"/>
                <w:highlight w:val="none"/>
              </w:rPr>
            </w:pPr>
          </w:p>
          <w:p w14:paraId="0A75C20B">
            <w:pPr>
              <w:tabs>
                <w:tab w:val="left" w:pos="210"/>
              </w:tabs>
              <w:wordWrap/>
              <w:spacing w:line="320" w:lineRule="exact"/>
              <w:jc w:val="righ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 xml:space="preserve">年  月  日 </w:t>
            </w:r>
          </w:p>
        </w:tc>
      </w:tr>
    </w:tbl>
    <w:p w14:paraId="4E98BF4A">
      <w:pPr>
        <w:tabs>
          <w:tab w:val="left" w:pos="210"/>
        </w:tabs>
        <w:wordWrap/>
        <w:spacing w:line="320" w:lineRule="exact"/>
        <w:jc w:val="center"/>
        <w:rPr>
          <w:rFonts w:hint="eastAsia" w:ascii="黑体" w:hAnsi="黑体" w:eastAsia="黑体" w:cs="黑体"/>
          <w:b/>
          <w:kern w:val="0"/>
          <w:sz w:val="19"/>
          <w:szCs w:val="19"/>
          <w:highlight w:val="none"/>
        </w:rPr>
      </w:pPr>
    </w:p>
    <w:p w14:paraId="67DEA548">
      <w:pPr>
        <w:wordWrap/>
        <w:rPr>
          <w:rFonts w:hint="eastAsia" w:ascii="宋体" w:hAnsi="宋体" w:eastAsia="宋体" w:cs="宋体"/>
          <w:b/>
          <w:bCs/>
          <w:kern w:val="0"/>
          <w:sz w:val="19"/>
          <w:szCs w:val="19"/>
          <w:highlight w:val="none"/>
        </w:rPr>
      </w:pPr>
    </w:p>
    <w:p w14:paraId="30228F37">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28171B58">
      <w:pPr>
        <w:pStyle w:val="13"/>
        <w:wordWrap/>
        <w:jc w:val="both"/>
        <w:outlineLvl w:val="2"/>
        <w:rPr>
          <w:rFonts w:hint="eastAsia" w:ascii="黑体" w:hAnsi="黑体" w:eastAsia="黑体" w:cs="黑体"/>
          <w:b w:val="0"/>
          <w:bCs w:val="0"/>
          <w:sz w:val="19"/>
          <w:szCs w:val="19"/>
          <w:highlight w:val="none"/>
        </w:rPr>
      </w:pPr>
      <w:r>
        <w:rPr>
          <w:rFonts w:hint="eastAsia" w:ascii="黑体" w:hAnsi="黑体" w:eastAsia="黑体" w:cs="黑体"/>
          <w:b w:val="0"/>
          <w:bCs w:val="0"/>
          <w:color w:val="auto"/>
          <w:sz w:val="19"/>
          <w:szCs w:val="19"/>
          <w:highlight w:val="none"/>
        </w:rPr>
        <w:t>1-2：法定代表人授权委托书</w:t>
      </w:r>
    </w:p>
    <w:p w14:paraId="62581D03">
      <w:pPr>
        <w:keepNext w:val="0"/>
        <w:keepLines w:val="0"/>
        <w:pageBreakBefore w:val="0"/>
        <w:widowControl w:val="0"/>
        <w:tabs>
          <w:tab w:val="left" w:pos="210"/>
        </w:tabs>
        <w:kinsoku/>
        <w:wordWrap/>
        <w:overflowPunct/>
        <w:topLinePunct w:val="0"/>
        <w:autoSpaceDE/>
        <w:autoSpaceDN/>
        <w:bidi w:val="0"/>
        <w:adjustRightInd/>
        <w:snapToGrid/>
        <w:spacing w:after="425" w:afterLines="100" w:line="32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法定代表人授权委托书</w:t>
      </w:r>
    </w:p>
    <w:p w14:paraId="6AC4E1B1">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单位名称：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none"/>
        </w:rPr>
        <w:t xml:space="preserve">                    </w:t>
      </w:r>
      <w:r>
        <w:rPr>
          <w:rFonts w:hint="eastAsia" w:ascii="黑体" w:hAnsi="黑体" w:eastAsia="黑体" w:cs="黑体"/>
          <w:sz w:val="19"/>
          <w:szCs w:val="19"/>
          <w:highlight w:val="none"/>
        </w:rPr>
        <w:t xml:space="preserve">  </w:t>
      </w:r>
    </w:p>
    <w:p w14:paraId="7584D91D">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法定代表人姓名：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 xml:space="preserve">身份证号码： </w:t>
      </w:r>
      <w:r>
        <w:rPr>
          <w:rFonts w:hint="eastAsia" w:ascii="黑体" w:hAnsi="黑体" w:eastAsia="黑体" w:cs="黑体"/>
          <w:sz w:val="19"/>
          <w:szCs w:val="19"/>
          <w:highlight w:val="none"/>
          <w:u w:val="single"/>
        </w:rPr>
        <w:t xml:space="preserve">               </w:t>
      </w:r>
    </w:p>
    <w:p w14:paraId="5DA04959">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lang w:eastAsia="zh-CN"/>
        </w:rPr>
        <w:t>授权代表</w:t>
      </w:r>
      <w:r>
        <w:rPr>
          <w:rFonts w:hint="eastAsia" w:ascii="黑体" w:hAnsi="黑体" w:eastAsia="黑体" w:cs="黑体"/>
          <w:sz w:val="19"/>
          <w:szCs w:val="19"/>
          <w:highlight w:val="none"/>
        </w:rPr>
        <w:t>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身份证号码：</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p>
    <w:p w14:paraId="2A214CFA">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现委托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就</w:t>
      </w:r>
      <w:r>
        <w:rPr>
          <w:rFonts w:hint="eastAsia" w:ascii="黑体" w:hAnsi="黑体" w:eastAsia="黑体" w:cs="黑体"/>
          <w:sz w:val="19"/>
          <w:szCs w:val="19"/>
          <w:highlight w:val="none"/>
          <w:u w:val="single"/>
        </w:rPr>
        <w:t>（项目名称、项目编号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rPr>
        <w:t>）</w:t>
      </w:r>
      <w:r>
        <w:rPr>
          <w:rFonts w:hint="eastAsia" w:ascii="黑体" w:hAnsi="黑体" w:eastAsia="黑体" w:cs="黑体"/>
          <w:sz w:val="19"/>
          <w:szCs w:val="19"/>
          <w:highlight w:val="none"/>
        </w:rPr>
        <w:t>政府采购活动，以我单位名义处理一切与之有关的事务。</w:t>
      </w:r>
    </w:p>
    <w:p w14:paraId="4E5558D6">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本授权书自盖章之日起生效</w:t>
      </w:r>
      <w:r>
        <w:rPr>
          <w:rFonts w:hint="eastAsia" w:ascii="黑体" w:hAnsi="黑体" w:eastAsia="黑体" w:cs="黑体"/>
          <w:b/>
          <w:sz w:val="19"/>
          <w:szCs w:val="19"/>
          <w:highlight w:val="none"/>
        </w:rPr>
        <w:t>，无转委托，</w:t>
      </w:r>
      <w:r>
        <w:rPr>
          <w:rFonts w:hint="eastAsia" w:ascii="黑体" w:hAnsi="黑体" w:eastAsia="黑体" w:cs="黑体"/>
          <w:sz w:val="19"/>
          <w:szCs w:val="19"/>
          <w:highlight w:val="none"/>
        </w:rPr>
        <w:t>特此声明。</w:t>
      </w:r>
    </w:p>
    <w:p w14:paraId="03B684E2">
      <w:pPr>
        <w:wordWrap/>
        <w:rPr>
          <w:rFonts w:hint="eastAsia" w:ascii="黑体" w:hAnsi="黑体" w:eastAsia="黑体" w:cs="黑体"/>
          <w:sz w:val="19"/>
          <w:szCs w:val="19"/>
          <w:highlight w:val="none"/>
        </w:rPr>
      </w:pPr>
    </w:p>
    <w:tbl>
      <w:tblPr>
        <w:tblStyle w:val="20"/>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1"/>
        <w:gridCol w:w="4505"/>
      </w:tblGrid>
      <w:tr w14:paraId="210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01" w:type="dxa"/>
            <w:noWrap w:val="0"/>
            <w:vAlign w:val="center"/>
          </w:tcPr>
          <w:p w14:paraId="1CED1261">
            <w:pPr>
              <w:pStyle w:val="13"/>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法定代表人身份证（正反面）</w:t>
            </w:r>
          </w:p>
        </w:tc>
        <w:tc>
          <w:tcPr>
            <w:tcW w:w="4505" w:type="dxa"/>
            <w:noWrap w:val="0"/>
            <w:vAlign w:val="center"/>
          </w:tcPr>
          <w:p w14:paraId="4ED1B569">
            <w:pPr>
              <w:pStyle w:val="13"/>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授权代表身份证（正反面）</w:t>
            </w:r>
          </w:p>
        </w:tc>
      </w:tr>
      <w:tr w14:paraId="6D5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401" w:type="dxa"/>
            <w:noWrap w:val="0"/>
            <w:vAlign w:val="center"/>
          </w:tcPr>
          <w:p w14:paraId="2544631A">
            <w:pPr>
              <w:pStyle w:val="13"/>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法定代表人身份证正反面</w:t>
            </w:r>
          </w:p>
          <w:p w14:paraId="0F7192CE">
            <w:pPr>
              <w:pStyle w:val="13"/>
              <w:spacing w:line="500" w:lineRule="exact"/>
              <w:jc w:val="center"/>
              <w:rPr>
                <w:rFonts w:hint="eastAsia" w:ascii="黑体" w:hAnsi="黑体" w:eastAsia="黑体" w:cs="黑体"/>
                <w:color w:val="auto"/>
                <w:sz w:val="19"/>
                <w:szCs w:val="19"/>
                <w:highlight w:val="none"/>
                <w:shd w:val="pct10" w:color="auto" w:fill="FFFFFF"/>
                <w:lang w:val="en-US" w:eastAsia="zh-CN"/>
              </w:rPr>
            </w:pPr>
          </w:p>
        </w:tc>
        <w:tc>
          <w:tcPr>
            <w:tcW w:w="4505" w:type="dxa"/>
            <w:noWrap w:val="0"/>
            <w:vAlign w:val="center"/>
          </w:tcPr>
          <w:p w14:paraId="02101C2B">
            <w:pPr>
              <w:pStyle w:val="13"/>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授权代表身份证正反面</w:t>
            </w:r>
          </w:p>
          <w:p w14:paraId="17B07FC3">
            <w:pPr>
              <w:pStyle w:val="13"/>
              <w:spacing w:line="500" w:lineRule="exact"/>
              <w:jc w:val="both"/>
              <w:rPr>
                <w:rFonts w:hint="eastAsia" w:ascii="黑体" w:hAnsi="黑体" w:eastAsia="黑体" w:cs="黑体"/>
                <w:color w:val="auto"/>
                <w:sz w:val="19"/>
                <w:szCs w:val="19"/>
                <w:highlight w:val="none"/>
                <w:shd w:val="pct10" w:color="auto" w:fill="FFFFFF"/>
                <w:lang w:val="en-US" w:eastAsia="zh-CN"/>
              </w:rPr>
            </w:pPr>
          </w:p>
        </w:tc>
      </w:tr>
    </w:tbl>
    <w:p w14:paraId="06E5CF38">
      <w:pPr>
        <w:wordWrap/>
        <w:rPr>
          <w:rFonts w:hint="eastAsia" w:ascii="黑体" w:hAnsi="黑体" w:eastAsia="黑体" w:cs="黑体"/>
          <w:sz w:val="19"/>
          <w:szCs w:val="19"/>
          <w:highlight w:val="none"/>
        </w:rPr>
      </w:pPr>
    </w:p>
    <w:p w14:paraId="04301914">
      <w:pPr>
        <w:pStyle w:val="13"/>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★授权代表须提供磋商前三个月任意一个月任意险种社保缴纳证明文件。</w:t>
      </w:r>
    </w:p>
    <w:p w14:paraId="78FDD4CF">
      <w:pPr>
        <w:wordWrap/>
        <w:rPr>
          <w:rFonts w:hint="eastAsia" w:ascii="黑体" w:hAnsi="黑体" w:eastAsia="黑体" w:cs="黑体"/>
          <w:sz w:val="19"/>
          <w:szCs w:val="19"/>
          <w:highlight w:val="none"/>
        </w:rPr>
      </w:pPr>
    </w:p>
    <w:p w14:paraId="17ACCD28">
      <w:pPr>
        <w:pStyle w:val="13"/>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供应商名称(公章)： ______             </w:t>
      </w:r>
    </w:p>
    <w:p w14:paraId="777D12DA">
      <w:pPr>
        <w:pStyle w:val="13"/>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法定代表人（签字或盖章）：______               </w:t>
      </w:r>
    </w:p>
    <w:p w14:paraId="564C7C71">
      <w:pPr>
        <w:pStyle w:val="13"/>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eastAsia="zh-CN"/>
        </w:rPr>
        <w:t>授权代表</w:t>
      </w:r>
      <w:r>
        <w:rPr>
          <w:rFonts w:hint="eastAsia" w:ascii="黑体" w:hAnsi="黑体" w:eastAsia="黑体" w:cs="黑体"/>
          <w:color w:val="auto"/>
          <w:kern w:val="2"/>
          <w:sz w:val="19"/>
          <w:szCs w:val="19"/>
          <w:highlight w:val="none"/>
        </w:rPr>
        <w:t xml:space="preserve">（签字或盖章）： ______        </w:t>
      </w:r>
    </w:p>
    <w:p w14:paraId="368239C7">
      <w:pPr>
        <w:pStyle w:val="13"/>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7F7B1B9">
      <w:pPr>
        <w:pStyle w:val="13"/>
        <w:widowControl w:val="0"/>
        <w:wordWrap/>
        <w:spacing w:before="0" w:beforeAutospacing="0" w:after="0" w:afterAutospacing="0" w:line="360" w:lineRule="auto"/>
        <w:ind w:firstLine="480" w:firstLineChars="200"/>
        <w:rPr>
          <w:rFonts w:hint="eastAsia" w:ascii="宋体" w:hAnsi="宋体" w:eastAsia="宋体" w:cs="宋体"/>
          <w:color w:val="auto"/>
          <w:kern w:val="2"/>
          <w:sz w:val="19"/>
          <w:szCs w:val="19"/>
          <w:highlight w:val="none"/>
        </w:rPr>
      </w:pPr>
      <w:r>
        <w:rPr>
          <w:rFonts w:hint="eastAsia" w:ascii="宋体" w:hAnsi="宋体" w:eastAsia="宋体" w:cs="宋体"/>
          <w:szCs w:val="21"/>
          <w:highlight w:val="none"/>
        </w:rPr>
        <w:br w:type="page"/>
      </w:r>
    </w:p>
    <w:p w14:paraId="483CC494">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3C936867">
      <w:pPr>
        <w:pStyle w:val="3"/>
        <w:keepNext/>
        <w:keepLines w:val="0"/>
        <w:pageBreakBefore w:val="0"/>
        <w:widowControl w:val="0"/>
        <w:numPr>
          <w:ilvl w:val="0"/>
          <w:numId w:val="0"/>
        </w:numPr>
        <w:tabs>
          <w:tab w:val="left" w:pos="360"/>
          <w:tab w:val="clear" w:pos="576"/>
        </w:tabs>
        <w:kinsoku/>
        <w:wordWrap/>
        <w:overflowPunct/>
        <w:topLinePunct w:val="0"/>
        <w:autoSpaceDE/>
        <w:autoSpaceDN/>
        <w:bidi w:val="0"/>
        <w:adjustRightInd/>
        <w:snapToGrid/>
        <w:spacing w:before="0" w:after="287" w:afterLines="100" w:line="480" w:lineRule="exact"/>
        <w:ind w:leftChars="0"/>
        <w:jc w:val="center"/>
        <w:textAlignment w:val="auto"/>
        <w:outlineLvl w:val="1"/>
        <w:rPr>
          <w:rFonts w:hint="eastAsia" w:ascii="黑体" w:hAnsi="黑体" w:eastAsia="黑体" w:cs="黑体"/>
          <w:b/>
          <w:color w:val="auto"/>
          <w:sz w:val="28"/>
          <w:szCs w:val="28"/>
          <w:highlight w:val="none"/>
          <w:lang w:val="en-US" w:eastAsia="zh-CN"/>
        </w:rPr>
      </w:pPr>
      <w:bookmarkStart w:id="49" w:name="_Toc3418"/>
      <w:bookmarkStart w:id="50" w:name="_Toc17230"/>
      <w:r>
        <w:rPr>
          <w:rFonts w:hint="eastAsia" w:ascii="黑体" w:hAnsi="黑体" w:eastAsia="黑体" w:cs="黑体"/>
          <w:b/>
          <w:color w:val="auto"/>
          <w:sz w:val="28"/>
          <w:szCs w:val="28"/>
          <w:highlight w:val="none"/>
          <w:lang w:val="en-US" w:eastAsia="zh-CN"/>
        </w:rPr>
        <w:t>二、报价一览表</w:t>
      </w:r>
      <w:bookmarkEnd w:id="49"/>
      <w:bookmarkEnd w:id="50"/>
    </w:p>
    <w:tbl>
      <w:tblPr>
        <w:tblStyle w:val="20"/>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27"/>
        <w:gridCol w:w="6564"/>
      </w:tblGrid>
      <w:tr w14:paraId="3E6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05B2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项目名称</w:t>
            </w:r>
          </w:p>
        </w:tc>
        <w:tc>
          <w:tcPr>
            <w:tcW w:w="6564" w:type="dxa"/>
            <w:noWrap w:val="0"/>
            <w:vAlign w:val="top"/>
          </w:tcPr>
          <w:p w14:paraId="3E04A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018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474B0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项目编号</w:t>
            </w:r>
          </w:p>
        </w:tc>
        <w:tc>
          <w:tcPr>
            <w:tcW w:w="6564" w:type="dxa"/>
            <w:noWrap w:val="0"/>
            <w:vAlign w:val="top"/>
          </w:tcPr>
          <w:p w14:paraId="7A7DA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5E0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20DF6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标包号</w:t>
            </w:r>
          </w:p>
        </w:tc>
        <w:tc>
          <w:tcPr>
            <w:tcW w:w="6564" w:type="dxa"/>
            <w:noWrap w:val="0"/>
            <w:vAlign w:val="center"/>
          </w:tcPr>
          <w:p w14:paraId="1E126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未设置</w:t>
            </w:r>
          </w:p>
        </w:tc>
      </w:tr>
      <w:tr w14:paraId="1A6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42" w:type="dxa"/>
            <w:vMerge w:val="restart"/>
            <w:noWrap w:val="0"/>
            <w:vAlign w:val="center"/>
          </w:tcPr>
          <w:p w14:paraId="7EE28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eastAsia="zh-CN"/>
              </w:rPr>
            </w:pPr>
            <w:r>
              <w:rPr>
                <w:rFonts w:hint="eastAsia" w:ascii="黑体" w:hAnsi="黑体" w:eastAsia="黑体" w:cs="黑体"/>
                <w:bCs/>
                <w:sz w:val="19"/>
                <w:szCs w:val="19"/>
                <w:highlight w:val="none"/>
                <w:lang w:val="en-US" w:eastAsia="zh-CN"/>
              </w:rPr>
              <w:t>1</w:t>
            </w:r>
          </w:p>
        </w:tc>
        <w:tc>
          <w:tcPr>
            <w:tcW w:w="1827" w:type="dxa"/>
            <w:noWrap w:val="0"/>
            <w:vAlign w:val="center"/>
          </w:tcPr>
          <w:p w14:paraId="58E8A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总报价（小写）</w:t>
            </w:r>
          </w:p>
        </w:tc>
        <w:tc>
          <w:tcPr>
            <w:tcW w:w="6564" w:type="dxa"/>
            <w:noWrap w:val="0"/>
            <w:vAlign w:val="center"/>
          </w:tcPr>
          <w:p w14:paraId="19B7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2C4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2" w:type="dxa"/>
            <w:vMerge w:val="continue"/>
            <w:noWrap w:val="0"/>
            <w:vAlign w:val="center"/>
          </w:tcPr>
          <w:p w14:paraId="46E5E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c>
          <w:tcPr>
            <w:tcW w:w="1827" w:type="dxa"/>
            <w:noWrap w:val="0"/>
            <w:vAlign w:val="center"/>
          </w:tcPr>
          <w:p w14:paraId="161D7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总报价（大写）</w:t>
            </w:r>
          </w:p>
        </w:tc>
        <w:tc>
          <w:tcPr>
            <w:tcW w:w="6564" w:type="dxa"/>
            <w:noWrap w:val="0"/>
            <w:vAlign w:val="center"/>
          </w:tcPr>
          <w:p w14:paraId="28047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465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42" w:type="dxa"/>
            <w:noWrap w:val="0"/>
            <w:vAlign w:val="center"/>
          </w:tcPr>
          <w:p w14:paraId="67745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2</w:t>
            </w:r>
          </w:p>
        </w:tc>
        <w:tc>
          <w:tcPr>
            <w:tcW w:w="1827" w:type="dxa"/>
            <w:noWrap w:val="0"/>
            <w:vAlign w:val="center"/>
          </w:tcPr>
          <w:p w14:paraId="40658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bCs/>
                <w:kern w:val="2"/>
                <w:sz w:val="19"/>
                <w:szCs w:val="19"/>
                <w:highlight w:val="none"/>
                <w:lang w:val="en-US" w:eastAsia="zh-CN" w:bidi="ar-SA"/>
              </w:rPr>
              <w:t>服务期限</w:t>
            </w:r>
          </w:p>
        </w:tc>
        <w:tc>
          <w:tcPr>
            <w:tcW w:w="6564" w:type="dxa"/>
            <w:noWrap w:val="0"/>
            <w:vAlign w:val="center"/>
          </w:tcPr>
          <w:p w14:paraId="124C7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color w:val="000000"/>
                <w:sz w:val="19"/>
                <w:szCs w:val="19"/>
                <w:highlight w:val="none"/>
                <w:lang w:val="en-US" w:eastAsia="zh-CN"/>
              </w:rPr>
              <w:t>供应商履行完毕合同所约定的全部内容，并提交相应成果后，服务期终止</w:t>
            </w:r>
            <w:r>
              <w:rPr>
                <w:rFonts w:hint="eastAsia" w:ascii="黑体" w:hAnsi="黑体" w:eastAsia="黑体" w:cs="黑体"/>
                <w:bCs/>
                <w:kern w:val="2"/>
                <w:sz w:val="19"/>
                <w:szCs w:val="19"/>
                <w:highlight w:val="none"/>
                <w:lang w:val="en-US" w:eastAsia="zh-CN" w:bidi="ar-SA"/>
              </w:rPr>
              <w:t>。</w:t>
            </w:r>
          </w:p>
        </w:tc>
      </w:tr>
    </w:tbl>
    <w:p w14:paraId="5BE8D6D8">
      <w:pPr>
        <w:pStyle w:val="18"/>
        <w:wordWrap/>
        <w:spacing w:before="0" w:beforeAutospacing="0" w:after="0" w:afterAutospacing="0" w:line="360" w:lineRule="auto"/>
        <w:ind w:firstLine="190" w:firstLineChars="100"/>
        <w:rPr>
          <w:rFonts w:hint="eastAsia" w:ascii="黑体" w:hAnsi="黑体" w:eastAsia="黑体" w:cs="黑体"/>
          <w:bCs/>
          <w:color w:val="auto"/>
          <w:sz w:val="19"/>
          <w:szCs w:val="19"/>
          <w:highlight w:val="none"/>
        </w:rPr>
      </w:pPr>
    </w:p>
    <w:p w14:paraId="2B842576">
      <w:pPr>
        <w:pStyle w:val="18"/>
        <w:keepNext w:val="0"/>
        <w:keepLines w:val="0"/>
        <w:pageBreakBefore w:val="0"/>
        <w:kinsoku/>
        <w:wordWrap/>
        <w:overflowPunct/>
        <w:topLinePunct w:val="0"/>
        <w:autoSpaceDE/>
        <w:autoSpaceDN/>
        <w:bidi w:val="0"/>
        <w:adjustRightInd/>
        <w:snapToGrid/>
        <w:spacing w:before="58" w:beforeLines="20" w:beforeAutospacing="0" w:after="0" w:afterAutospacing="0" w:line="480" w:lineRule="exact"/>
        <w:ind w:firstLine="190" w:firstLineChars="100"/>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注：</w:t>
      </w:r>
    </w:p>
    <w:p w14:paraId="433E47F2">
      <w:pPr>
        <w:pStyle w:val="13"/>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1、供应商需按本表格式填写，不得自行更改。</w:t>
      </w:r>
    </w:p>
    <w:p w14:paraId="7BEF705D">
      <w:pPr>
        <w:pStyle w:val="13"/>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本表默认货币单位为人民币：元。有关本项目实施所涉及的一切费用（包括但不限于税金、投标费用、招标代理服务费及服务合同包含的所有风险、责任等各项应有费用）均计入报价。采购人将以合同形式有偿取得货物或服务，不接受供应商给予的赠品、回扣或者与采购无关的其他商品、服务，不得出现“0元”“免费赠送”等形式的无偿报价，否则视为响应文件含有采购人不能接受的附加条件的，投标无效。</w:t>
      </w:r>
    </w:p>
    <w:p w14:paraId="4E46C153">
      <w:pPr>
        <w:pStyle w:val="13"/>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3、符合</w:t>
      </w:r>
      <w:r>
        <w:rPr>
          <w:rFonts w:hint="eastAsia" w:ascii="黑体" w:hAnsi="黑体" w:eastAsia="黑体" w:cs="黑体"/>
          <w:color w:val="auto"/>
          <w:kern w:val="2"/>
          <w:sz w:val="19"/>
          <w:szCs w:val="19"/>
          <w:highlight w:val="none"/>
          <w:lang w:eastAsia="zh-CN"/>
        </w:rPr>
        <w:t>磋商文件</w:t>
      </w:r>
      <w:r>
        <w:rPr>
          <w:rFonts w:hint="eastAsia" w:ascii="黑体" w:hAnsi="黑体" w:eastAsia="黑体" w:cs="黑体"/>
          <w:color w:val="auto"/>
          <w:kern w:val="2"/>
          <w:sz w:val="19"/>
          <w:szCs w:val="19"/>
          <w:highlight w:val="none"/>
        </w:rPr>
        <w:t>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6ADFC40">
      <w:pPr>
        <w:wordWrap/>
        <w:rPr>
          <w:rFonts w:hint="eastAsia" w:ascii="黑体" w:hAnsi="黑体" w:eastAsia="黑体" w:cs="黑体"/>
          <w:sz w:val="19"/>
          <w:szCs w:val="19"/>
          <w:highlight w:val="none"/>
        </w:rPr>
      </w:pPr>
    </w:p>
    <w:p w14:paraId="5B340BC9">
      <w:pPr>
        <w:pStyle w:val="9"/>
        <w:wordWrap/>
        <w:rPr>
          <w:rFonts w:hint="eastAsia" w:ascii="黑体" w:hAnsi="黑体" w:eastAsia="黑体" w:cs="黑体"/>
          <w:sz w:val="19"/>
          <w:szCs w:val="19"/>
          <w:highlight w:val="none"/>
        </w:rPr>
      </w:pPr>
    </w:p>
    <w:p w14:paraId="71AFED94">
      <w:pPr>
        <w:wordWrap/>
        <w:rPr>
          <w:rFonts w:hint="eastAsia" w:ascii="黑体" w:hAnsi="黑体" w:eastAsia="黑体" w:cs="黑体"/>
          <w:sz w:val="19"/>
          <w:szCs w:val="19"/>
          <w:highlight w:val="none"/>
        </w:rPr>
      </w:pPr>
    </w:p>
    <w:p w14:paraId="06425C02">
      <w:pPr>
        <w:wordWrap/>
        <w:rPr>
          <w:rFonts w:hint="eastAsia" w:ascii="黑体" w:hAnsi="黑体" w:eastAsia="黑体" w:cs="黑体"/>
          <w:sz w:val="19"/>
          <w:szCs w:val="19"/>
          <w:highlight w:val="none"/>
        </w:rPr>
      </w:pPr>
    </w:p>
    <w:p w14:paraId="6D22A616">
      <w:pPr>
        <w:pStyle w:val="13"/>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7765010">
      <w:pPr>
        <w:pStyle w:val="13"/>
        <w:wordWrap/>
        <w:spacing w:beforeAutospacing="0" w:afterAutospacing="0" w:line="360" w:lineRule="auto"/>
        <w:ind w:firstLine="380" w:firstLineChars="200"/>
        <w:rPr>
          <w:rFonts w:hint="eastAsia" w:ascii="黑体" w:hAnsi="黑体" w:eastAsia="黑体" w:cs="黑体"/>
          <w:b/>
          <w:bCs/>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51AFA301">
      <w:pPr>
        <w:pStyle w:val="13"/>
        <w:wordWrap/>
        <w:spacing w:beforeAutospacing="0" w:afterAutospacing="0" w:line="360" w:lineRule="auto"/>
        <w:ind w:firstLine="380" w:firstLineChars="200"/>
        <w:rPr>
          <w:rFonts w:hint="eastAsia" w:ascii="黑体" w:hAnsi="黑体" w:eastAsia="黑体" w:cs="黑体"/>
          <w:color w:val="auto"/>
          <w:sz w:val="19"/>
          <w:szCs w:val="19"/>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黑体" w:hAnsi="黑体" w:eastAsia="黑体" w:cs="黑体"/>
          <w:color w:val="auto"/>
          <w:sz w:val="19"/>
          <w:szCs w:val="19"/>
          <w:highlight w:val="none"/>
        </w:rPr>
        <w:t>日期：______年____月____日</w:t>
      </w:r>
    </w:p>
    <w:p w14:paraId="3E0A049F">
      <w:pPr>
        <w:wordWrap/>
        <w:rPr>
          <w:rFonts w:hint="eastAsia" w:ascii="黑体" w:hAnsi="黑体" w:eastAsia="黑体" w:cs="黑体"/>
          <w:sz w:val="19"/>
          <w:szCs w:val="19"/>
          <w:highlight w:val="none"/>
        </w:rPr>
      </w:pPr>
    </w:p>
    <w:p w14:paraId="20CFD746">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分项价格表（格式可自拟）</w:t>
      </w:r>
    </w:p>
    <w:p w14:paraId="11662A9F">
      <w:pPr>
        <w:pStyle w:val="13"/>
        <w:wordWrap/>
        <w:ind w:firstLine="380" w:firstLineChars="200"/>
        <w:rPr>
          <w:rFonts w:hint="eastAsia" w:ascii="黑体" w:hAnsi="黑体" w:eastAsia="黑体" w:cs="黑体"/>
          <w:color w:val="auto"/>
          <w:sz w:val="19"/>
          <w:szCs w:val="19"/>
          <w:highlight w:val="none"/>
        </w:rPr>
      </w:pPr>
    </w:p>
    <w:p w14:paraId="1996CC0E">
      <w:pPr>
        <w:pStyle w:val="13"/>
        <w:wordWrap/>
        <w:ind w:firstLine="285" w:firstLineChars="15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项目名称：____________________</w:t>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项目编号：</w:t>
      </w:r>
      <w:r>
        <w:rPr>
          <w:rFonts w:hint="eastAsia" w:ascii="黑体" w:hAnsi="黑体" w:eastAsia="黑体" w:cs="黑体"/>
          <w:sz w:val="19"/>
          <w:szCs w:val="19"/>
          <w:highlight w:val="none"/>
        </w:rPr>
        <w:t>__________</w:t>
      </w:r>
    </w:p>
    <w:p w14:paraId="4C0891DF">
      <w:pPr>
        <w:pStyle w:val="18"/>
        <w:wordWrap/>
        <w:spacing w:before="0" w:beforeAutospacing="0" w:after="0" w:afterAutospacing="0" w:line="360" w:lineRule="auto"/>
        <w:jc w:val="center"/>
        <w:rPr>
          <w:rFonts w:hint="eastAsia" w:ascii="黑体" w:hAnsi="黑体" w:eastAsia="黑体" w:cs="黑体"/>
          <w:color w:val="auto"/>
          <w:sz w:val="19"/>
          <w:szCs w:val="19"/>
          <w:highlight w:val="none"/>
        </w:rPr>
      </w:pPr>
      <w:r>
        <w:rPr>
          <w:rFonts w:hint="eastAsia" w:ascii="黑体" w:hAnsi="黑体" w:eastAsia="黑体" w:cs="黑体"/>
          <w:bCs/>
          <w:color w:val="auto"/>
          <w:sz w:val="19"/>
          <w:szCs w:val="19"/>
          <w:highlight w:val="none"/>
          <w:lang w:val="en-US" w:eastAsia="zh-CN"/>
        </w:rPr>
        <w:t xml:space="preserve">                                               </w:t>
      </w:r>
    </w:p>
    <w:tbl>
      <w:tblPr>
        <w:tblStyle w:val="2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05"/>
        <w:gridCol w:w="2008"/>
        <w:gridCol w:w="3584"/>
      </w:tblGrid>
      <w:tr w14:paraId="388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00" w:type="dxa"/>
            <w:vAlign w:val="center"/>
          </w:tcPr>
          <w:p w14:paraId="03BA98D2">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序号</w:t>
            </w:r>
          </w:p>
        </w:tc>
        <w:tc>
          <w:tcPr>
            <w:tcW w:w="2005" w:type="dxa"/>
            <w:vAlign w:val="center"/>
          </w:tcPr>
          <w:p w14:paraId="0307CC49">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服务内容</w:t>
            </w:r>
          </w:p>
        </w:tc>
        <w:tc>
          <w:tcPr>
            <w:tcW w:w="2008" w:type="dxa"/>
            <w:vAlign w:val="center"/>
          </w:tcPr>
          <w:p w14:paraId="23437730">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报价（元）</w:t>
            </w:r>
          </w:p>
        </w:tc>
        <w:tc>
          <w:tcPr>
            <w:tcW w:w="3584" w:type="dxa"/>
            <w:vAlign w:val="center"/>
          </w:tcPr>
          <w:p w14:paraId="6BCD2567">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备注</w:t>
            </w:r>
          </w:p>
          <w:p w14:paraId="79EC2895">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(依据、收费标准等</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没有填写：无</w:t>
            </w:r>
            <w:r>
              <w:rPr>
                <w:rFonts w:hint="eastAsia" w:ascii="黑体" w:hAnsi="黑体" w:eastAsia="黑体" w:cs="黑体"/>
                <w:color w:val="auto"/>
                <w:sz w:val="19"/>
                <w:szCs w:val="19"/>
                <w:highlight w:val="none"/>
              </w:rPr>
              <w:t>)</w:t>
            </w:r>
          </w:p>
        </w:tc>
      </w:tr>
      <w:tr w14:paraId="439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3FF2B127">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1</w:t>
            </w:r>
          </w:p>
        </w:tc>
        <w:tc>
          <w:tcPr>
            <w:tcW w:w="2005" w:type="dxa"/>
            <w:vAlign w:val="center"/>
          </w:tcPr>
          <w:p w14:paraId="7E9ED2C7">
            <w:pPr>
              <w:pStyle w:val="13"/>
              <w:jc w:val="center"/>
              <w:rPr>
                <w:rFonts w:hint="eastAsia" w:ascii="黑体" w:hAnsi="黑体" w:eastAsia="黑体" w:cs="黑体"/>
                <w:color w:val="auto"/>
                <w:sz w:val="19"/>
                <w:szCs w:val="19"/>
                <w:highlight w:val="none"/>
              </w:rPr>
            </w:pPr>
          </w:p>
        </w:tc>
        <w:tc>
          <w:tcPr>
            <w:tcW w:w="2008" w:type="dxa"/>
            <w:vAlign w:val="center"/>
          </w:tcPr>
          <w:p w14:paraId="02F32578">
            <w:pPr>
              <w:pStyle w:val="13"/>
              <w:jc w:val="center"/>
              <w:rPr>
                <w:rFonts w:hint="eastAsia" w:ascii="黑体" w:hAnsi="黑体" w:eastAsia="黑体" w:cs="黑体"/>
                <w:color w:val="auto"/>
                <w:sz w:val="19"/>
                <w:szCs w:val="19"/>
                <w:highlight w:val="none"/>
              </w:rPr>
            </w:pPr>
          </w:p>
        </w:tc>
        <w:tc>
          <w:tcPr>
            <w:tcW w:w="3584" w:type="dxa"/>
            <w:vAlign w:val="center"/>
          </w:tcPr>
          <w:p w14:paraId="067F7FC6">
            <w:pPr>
              <w:pStyle w:val="13"/>
              <w:jc w:val="center"/>
              <w:rPr>
                <w:rFonts w:hint="eastAsia" w:ascii="黑体" w:hAnsi="黑体" w:eastAsia="黑体" w:cs="黑体"/>
                <w:color w:val="auto"/>
                <w:sz w:val="19"/>
                <w:szCs w:val="19"/>
                <w:highlight w:val="none"/>
              </w:rPr>
            </w:pPr>
          </w:p>
        </w:tc>
      </w:tr>
      <w:tr w14:paraId="158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593FAF5F">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p>
        </w:tc>
        <w:tc>
          <w:tcPr>
            <w:tcW w:w="2005" w:type="dxa"/>
            <w:vAlign w:val="center"/>
          </w:tcPr>
          <w:p w14:paraId="08960310">
            <w:pPr>
              <w:pStyle w:val="13"/>
              <w:jc w:val="center"/>
              <w:rPr>
                <w:rFonts w:hint="eastAsia" w:ascii="黑体" w:hAnsi="黑体" w:eastAsia="黑体" w:cs="黑体"/>
                <w:color w:val="auto"/>
                <w:sz w:val="19"/>
                <w:szCs w:val="19"/>
                <w:highlight w:val="none"/>
              </w:rPr>
            </w:pPr>
          </w:p>
        </w:tc>
        <w:tc>
          <w:tcPr>
            <w:tcW w:w="2008" w:type="dxa"/>
            <w:vAlign w:val="center"/>
          </w:tcPr>
          <w:p w14:paraId="2480E454">
            <w:pPr>
              <w:pStyle w:val="13"/>
              <w:jc w:val="center"/>
              <w:rPr>
                <w:rFonts w:hint="eastAsia" w:ascii="黑体" w:hAnsi="黑体" w:eastAsia="黑体" w:cs="黑体"/>
                <w:color w:val="auto"/>
                <w:sz w:val="19"/>
                <w:szCs w:val="19"/>
                <w:highlight w:val="none"/>
              </w:rPr>
            </w:pPr>
          </w:p>
        </w:tc>
        <w:tc>
          <w:tcPr>
            <w:tcW w:w="3584" w:type="dxa"/>
            <w:vAlign w:val="center"/>
          </w:tcPr>
          <w:p w14:paraId="3D878944">
            <w:pPr>
              <w:pStyle w:val="13"/>
              <w:jc w:val="center"/>
              <w:rPr>
                <w:rFonts w:hint="eastAsia" w:ascii="黑体" w:hAnsi="黑体" w:eastAsia="黑体" w:cs="黑体"/>
                <w:color w:val="auto"/>
                <w:sz w:val="19"/>
                <w:szCs w:val="19"/>
                <w:highlight w:val="none"/>
              </w:rPr>
            </w:pPr>
          </w:p>
        </w:tc>
      </w:tr>
      <w:tr w14:paraId="4CB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395B385">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3</w:t>
            </w:r>
          </w:p>
        </w:tc>
        <w:tc>
          <w:tcPr>
            <w:tcW w:w="2005" w:type="dxa"/>
            <w:vAlign w:val="center"/>
          </w:tcPr>
          <w:p w14:paraId="52FA59F4">
            <w:pPr>
              <w:pStyle w:val="13"/>
              <w:jc w:val="center"/>
              <w:rPr>
                <w:rFonts w:hint="eastAsia" w:ascii="黑体" w:hAnsi="黑体" w:eastAsia="黑体" w:cs="黑体"/>
                <w:color w:val="auto"/>
                <w:sz w:val="19"/>
                <w:szCs w:val="19"/>
                <w:highlight w:val="none"/>
              </w:rPr>
            </w:pPr>
          </w:p>
        </w:tc>
        <w:tc>
          <w:tcPr>
            <w:tcW w:w="2008" w:type="dxa"/>
            <w:vAlign w:val="center"/>
          </w:tcPr>
          <w:p w14:paraId="6B9FAFF7">
            <w:pPr>
              <w:pStyle w:val="13"/>
              <w:jc w:val="center"/>
              <w:rPr>
                <w:rFonts w:hint="eastAsia" w:ascii="黑体" w:hAnsi="黑体" w:eastAsia="黑体" w:cs="黑体"/>
                <w:color w:val="auto"/>
                <w:sz w:val="19"/>
                <w:szCs w:val="19"/>
                <w:highlight w:val="none"/>
              </w:rPr>
            </w:pPr>
          </w:p>
        </w:tc>
        <w:tc>
          <w:tcPr>
            <w:tcW w:w="3584" w:type="dxa"/>
            <w:vAlign w:val="center"/>
          </w:tcPr>
          <w:p w14:paraId="3B846465">
            <w:pPr>
              <w:pStyle w:val="13"/>
              <w:jc w:val="center"/>
              <w:rPr>
                <w:rFonts w:hint="eastAsia" w:ascii="黑体" w:hAnsi="黑体" w:eastAsia="黑体" w:cs="黑体"/>
                <w:color w:val="auto"/>
                <w:sz w:val="19"/>
                <w:szCs w:val="19"/>
                <w:highlight w:val="none"/>
              </w:rPr>
            </w:pPr>
          </w:p>
        </w:tc>
      </w:tr>
      <w:tr w14:paraId="48E4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029D845F">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w:t>
            </w:r>
          </w:p>
        </w:tc>
        <w:tc>
          <w:tcPr>
            <w:tcW w:w="2005" w:type="dxa"/>
            <w:vAlign w:val="center"/>
          </w:tcPr>
          <w:p w14:paraId="43DACC78">
            <w:pPr>
              <w:pStyle w:val="13"/>
              <w:jc w:val="center"/>
              <w:rPr>
                <w:rFonts w:hint="eastAsia" w:ascii="黑体" w:hAnsi="黑体" w:eastAsia="黑体" w:cs="黑体"/>
                <w:color w:val="auto"/>
                <w:sz w:val="19"/>
                <w:szCs w:val="19"/>
                <w:highlight w:val="none"/>
              </w:rPr>
            </w:pPr>
          </w:p>
        </w:tc>
        <w:tc>
          <w:tcPr>
            <w:tcW w:w="2008" w:type="dxa"/>
            <w:vAlign w:val="center"/>
          </w:tcPr>
          <w:p w14:paraId="26230620">
            <w:pPr>
              <w:pStyle w:val="13"/>
              <w:jc w:val="center"/>
              <w:rPr>
                <w:rFonts w:hint="eastAsia" w:ascii="黑体" w:hAnsi="黑体" w:eastAsia="黑体" w:cs="黑体"/>
                <w:color w:val="auto"/>
                <w:sz w:val="19"/>
                <w:szCs w:val="19"/>
                <w:highlight w:val="none"/>
              </w:rPr>
            </w:pPr>
          </w:p>
        </w:tc>
        <w:tc>
          <w:tcPr>
            <w:tcW w:w="3584" w:type="dxa"/>
            <w:vAlign w:val="center"/>
          </w:tcPr>
          <w:p w14:paraId="1078CD6B">
            <w:pPr>
              <w:pStyle w:val="13"/>
              <w:jc w:val="center"/>
              <w:rPr>
                <w:rFonts w:hint="eastAsia" w:ascii="黑体" w:hAnsi="黑体" w:eastAsia="黑体" w:cs="黑体"/>
                <w:color w:val="auto"/>
                <w:sz w:val="19"/>
                <w:szCs w:val="19"/>
                <w:highlight w:val="none"/>
              </w:rPr>
            </w:pPr>
          </w:p>
        </w:tc>
      </w:tr>
      <w:tr w14:paraId="5B2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193FAC14">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5</w:t>
            </w:r>
          </w:p>
        </w:tc>
        <w:tc>
          <w:tcPr>
            <w:tcW w:w="2005" w:type="dxa"/>
            <w:vAlign w:val="center"/>
          </w:tcPr>
          <w:p w14:paraId="6B749CDD">
            <w:pPr>
              <w:pStyle w:val="13"/>
              <w:jc w:val="center"/>
              <w:rPr>
                <w:rFonts w:hint="eastAsia" w:ascii="黑体" w:hAnsi="黑体" w:eastAsia="黑体" w:cs="黑体"/>
                <w:color w:val="auto"/>
                <w:sz w:val="19"/>
                <w:szCs w:val="19"/>
                <w:highlight w:val="none"/>
              </w:rPr>
            </w:pPr>
          </w:p>
        </w:tc>
        <w:tc>
          <w:tcPr>
            <w:tcW w:w="2008" w:type="dxa"/>
            <w:vAlign w:val="center"/>
          </w:tcPr>
          <w:p w14:paraId="0F411C05">
            <w:pPr>
              <w:pStyle w:val="13"/>
              <w:jc w:val="center"/>
              <w:rPr>
                <w:rFonts w:hint="eastAsia" w:ascii="黑体" w:hAnsi="黑体" w:eastAsia="黑体" w:cs="黑体"/>
                <w:color w:val="auto"/>
                <w:sz w:val="19"/>
                <w:szCs w:val="19"/>
                <w:highlight w:val="none"/>
              </w:rPr>
            </w:pPr>
          </w:p>
        </w:tc>
        <w:tc>
          <w:tcPr>
            <w:tcW w:w="3584" w:type="dxa"/>
            <w:vAlign w:val="center"/>
          </w:tcPr>
          <w:p w14:paraId="621577D7">
            <w:pPr>
              <w:pStyle w:val="13"/>
              <w:jc w:val="center"/>
              <w:rPr>
                <w:rFonts w:hint="eastAsia" w:ascii="黑体" w:hAnsi="黑体" w:eastAsia="黑体" w:cs="黑体"/>
                <w:color w:val="auto"/>
                <w:sz w:val="19"/>
                <w:szCs w:val="19"/>
                <w:highlight w:val="none"/>
              </w:rPr>
            </w:pPr>
          </w:p>
        </w:tc>
      </w:tr>
      <w:tr w14:paraId="3B4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56E21FA">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6</w:t>
            </w:r>
          </w:p>
        </w:tc>
        <w:tc>
          <w:tcPr>
            <w:tcW w:w="2005" w:type="dxa"/>
            <w:vAlign w:val="center"/>
          </w:tcPr>
          <w:p w14:paraId="13910222">
            <w:pPr>
              <w:pStyle w:val="13"/>
              <w:jc w:val="center"/>
              <w:rPr>
                <w:rFonts w:hint="eastAsia" w:ascii="黑体" w:hAnsi="黑体" w:eastAsia="黑体" w:cs="黑体"/>
                <w:color w:val="auto"/>
                <w:sz w:val="19"/>
                <w:szCs w:val="19"/>
                <w:highlight w:val="none"/>
              </w:rPr>
            </w:pPr>
          </w:p>
        </w:tc>
        <w:tc>
          <w:tcPr>
            <w:tcW w:w="2008" w:type="dxa"/>
            <w:vAlign w:val="center"/>
          </w:tcPr>
          <w:p w14:paraId="7A434E11">
            <w:pPr>
              <w:pStyle w:val="13"/>
              <w:jc w:val="center"/>
              <w:rPr>
                <w:rFonts w:hint="eastAsia" w:ascii="黑体" w:hAnsi="黑体" w:eastAsia="黑体" w:cs="黑体"/>
                <w:color w:val="auto"/>
                <w:sz w:val="19"/>
                <w:szCs w:val="19"/>
                <w:highlight w:val="none"/>
              </w:rPr>
            </w:pPr>
          </w:p>
        </w:tc>
        <w:tc>
          <w:tcPr>
            <w:tcW w:w="3584" w:type="dxa"/>
            <w:vAlign w:val="center"/>
          </w:tcPr>
          <w:p w14:paraId="30955B18">
            <w:pPr>
              <w:pStyle w:val="13"/>
              <w:jc w:val="center"/>
              <w:rPr>
                <w:rFonts w:hint="eastAsia" w:ascii="黑体" w:hAnsi="黑体" w:eastAsia="黑体" w:cs="黑体"/>
                <w:color w:val="auto"/>
                <w:sz w:val="19"/>
                <w:szCs w:val="19"/>
                <w:highlight w:val="none"/>
              </w:rPr>
            </w:pPr>
          </w:p>
        </w:tc>
      </w:tr>
      <w:tr w14:paraId="5A41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769BBF27">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7</w:t>
            </w:r>
          </w:p>
        </w:tc>
        <w:tc>
          <w:tcPr>
            <w:tcW w:w="2005" w:type="dxa"/>
            <w:vAlign w:val="center"/>
          </w:tcPr>
          <w:p w14:paraId="24DC6684">
            <w:pPr>
              <w:pStyle w:val="13"/>
              <w:jc w:val="center"/>
              <w:rPr>
                <w:rFonts w:hint="eastAsia" w:ascii="黑体" w:hAnsi="黑体" w:eastAsia="黑体" w:cs="黑体"/>
                <w:color w:val="auto"/>
                <w:sz w:val="19"/>
                <w:szCs w:val="19"/>
                <w:highlight w:val="none"/>
              </w:rPr>
            </w:pPr>
          </w:p>
        </w:tc>
        <w:tc>
          <w:tcPr>
            <w:tcW w:w="2008" w:type="dxa"/>
            <w:vAlign w:val="center"/>
          </w:tcPr>
          <w:p w14:paraId="766BB113">
            <w:pPr>
              <w:pStyle w:val="13"/>
              <w:jc w:val="center"/>
              <w:rPr>
                <w:rFonts w:hint="eastAsia" w:ascii="黑体" w:hAnsi="黑体" w:eastAsia="黑体" w:cs="黑体"/>
                <w:color w:val="auto"/>
                <w:sz w:val="19"/>
                <w:szCs w:val="19"/>
                <w:highlight w:val="none"/>
              </w:rPr>
            </w:pPr>
          </w:p>
        </w:tc>
        <w:tc>
          <w:tcPr>
            <w:tcW w:w="3584" w:type="dxa"/>
            <w:vAlign w:val="center"/>
          </w:tcPr>
          <w:p w14:paraId="401A3982">
            <w:pPr>
              <w:pStyle w:val="13"/>
              <w:jc w:val="center"/>
              <w:rPr>
                <w:rFonts w:hint="eastAsia" w:ascii="黑体" w:hAnsi="黑体" w:eastAsia="黑体" w:cs="黑体"/>
                <w:color w:val="auto"/>
                <w:sz w:val="19"/>
                <w:szCs w:val="19"/>
                <w:highlight w:val="none"/>
              </w:rPr>
            </w:pPr>
          </w:p>
        </w:tc>
      </w:tr>
      <w:tr w14:paraId="42C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vAlign w:val="center"/>
          </w:tcPr>
          <w:p w14:paraId="3E269717">
            <w:pPr>
              <w:pStyle w:val="13"/>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8</w:t>
            </w:r>
          </w:p>
        </w:tc>
        <w:tc>
          <w:tcPr>
            <w:tcW w:w="2005" w:type="dxa"/>
            <w:vAlign w:val="center"/>
          </w:tcPr>
          <w:p w14:paraId="5C73A361">
            <w:pPr>
              <w:pStyle w:val="13"/>
              <w:jc w:val="center"/>
              <w:rPr>
                <w:rFonts w:hint="eastAsia" w:ascii="黑体" w:hAnsi="黑体" w:eastAsia="黑体" w:cs="黑体"/>
                <w:color w:val="auto"/>
                <w:sz w:val="19"/>
                <w:szCs w:val="19"/>
                <w:highlight w:val="none"/>
              </w:rPr>
            </w:pPr>
          </w:p>
        </w:tc>
        <w:tc>
          <w:tcPr>
            <w:tcW w:w="2008" w:type="dxa"/>
            <w:vAlign w:val="center"/>
          </w:tcPr>
          <w:p w14:paraId="6698A40F">
            <w:pPr>
              <w:pStyle w:val="13"/>
              <w:jc w:val="center"/>
              <w:rPr>
                <w:rFonts w:hint="eastAsia" w:ascii="黑体" w:hAnsi="黑体" w:eastAsia="黑体" w:cs="黑体"/>
                <w:color w:val="auto"/>
                <w:sz w:val="19"/>
                <w:szCs w:val="19"/>
                <w:highlight w:val="none"/>
              </w:rPr>
            </w:pPr>
          </w:p>
        </w:tc>
        <w:tc>
          <w:tcPr>
            <w:tcW w:w="3584" w:type="dxa"/>
            <w:vAlign w:val="center"/>
          </w:tcPr>
          <w:p w14:paraId="15DEFA98">
            <w:pPr>
              <w:pStyle w:val="13"/>
              <w:jc w:val="center"/>
              <w:rPr>
                <w:rFonts w:hint="eastAsia" w:ascii="黑体" w:hAnsi="黑体" w:eastAsia="黑体" w:cs="黑体"/>
                <w:color w:val="auto"/>
                <w:sz w:val="19"/>
                <w:szCs w:val="19"/>
                <w:highlight w:val="none"/>
              </w:rPr>
            </w:pPr>
          </w:p>
        </w:tc>
      </w:tr>
      <w:tr w14:paraId="6C5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205" w:type="dxa"/>
            <w:gridSpan w:val="2"/>
            <w:vAlign w:val="center"/>
          </w:tcPr>
          <w:p w14:paraId="2F1CBF61">
            <w:pPr>
              <w:pStyle w:val="13"/>
              <w:wordWrap/>
              <w:jc w:val="center"/>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合计金额</w:t>
            </w:r>
          </w:p>
        </w:tc>
        <w:tc>
          <w:tcPr>
            <w:tcW w:w="5592" w:type="dxa"/>
            <w:gridSpan w:val="2"/>
            <w:vAlign w:val="center"/>
          </w:tcPr>
          <w:p w14:paraId="569E872E">
            <w:pPr>
              <w:pStyle w:val="13"/>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小写：</w:t>
            </w:r>
          </w:p>
          <w:p w14:paraId="20122CF0">
            <w:pPr>
              <w:pStyle w:val="13"/>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大写：</w:t>
            </w:r>
          </w:p>
        </w:tc>
      </w:tr>
    </w:tbl>
    <w:p w14:paraId="34297039">
      <w:pPr>
        <w:pStyle w:val="13"/>
        <w:wordWrap/>
        <w:ind w:firstLine="380" w:firstLineChars="200"/>
        <w:rPr>
          <w:rFonts w:hint="eastAsia" w:ascii="黑体" w:hAnsi="黑体" w:eastAsia="黑体" w:cs="黑体"/>
          <w:color w:val="auto"/>
          <w:sz w:val="19"/>
          <w:szCs w:val="19"/>
          <w:highlight w:val="none"/>
        </w:rPr>
      </w:pPr>
    </w:p>
    <w:p w14:paraId="49D7B322">
      <w:pPr>
        <w:pStyle w:val="13"/>
        <w:wordWrap/>
        <w:rPr>
          <w:rFonts w:hint="eastAsia" w:ascii="黑体" w:hAnsi="黑体" w:eastAsia="黑体" w:cs="黑体"/>
          <w:color w:val="auto"/>
          <w:sz w:val="19"/>
          <w:szCs w:val="19"/>
          <w:highlight w:val="none"/>
        </w:rPr>
      </w:pPr>
    </w:p>
    <w:p w14:paraId="4F09F4F9">
      <w:pPr>
        <w:pStyle w:val="13"/>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5AC7BF55">
      <w:pPr>
        <w:pStyle w:val="13"/>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86FA459">
      <w:pPr>
        <w:pStyle w:val="13"/>
        <w:wordWrap/>
        <w:spacing w:beforeAutospacing="0" w:afterAutospacing="0" w:line="360" w:lineRule="auto"/>
        <w:ind w:firstLine="380" w:firstLineChars="200"/>
        <w:rPr>
          <w:rFonts w:hint="eastAsia" w:ascii="宋体" w:hAnsi="宋体" w:eastAsia="宋体" w:cs="宋体"/>
          <w:color w:val="auto"/>
          <w:sz w:val="19"/>
          <w:szCs w:val="19"/>
          <w:highlight w:val="none"/>
        </w:rPr>
      </w:pPr>
      <w:r>
        <w:rPr>
          <w:rFonts w:hint="eastAsia" w:ascii="黑体" w:hAnsi="黑体" w:eastAsia="黑体" w:cs="黑体"/>
          <w:color w:val="auto"/>
          <w:sz w:val="19"/>
          <w:szCs w:val="19"/>
          <w:highlight w:val="none"/>
        </w:rPr>
        <w:t>日期：______年____月____日</w:t>
      </w:r>
    </w:p>
    <w:p w14:paraId="6C6770A2">
      <w:pPr>
        <w:pStyle w:val="13"/>
        <w:wordWrap/>
        <w:spacing w:line="360" w:lineRule="auto"/>
        <w:jc w:val="center"/>
        <w:outlineLvl w:val="1"/>
        <w:rPr>
          <w:rFonts w:hint="eastAsia" w:ascii="宋体" w:hAnsi="宋体" w:eastAsia="宋体" w:cs="宋体"/>
          <w:b/>
          <w:color w:val="auto"/>
          <w:sz w:val="19"/>
          <w:szCs w:val="19"/>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E7D44AF">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13" w:afterLines="50" w:line="480" w:lineRule="exact"/>
        <w:ind w:leftChars="0"/>
        <w:jc w:val="center"/>
        <w:textAlignment w:val="baseline"/>
        <w:outlineLvl w:val="1"/>
        <w:rPr>
          <w:rFonts w:hint="default" w:ascii="黑体" w:hAnsi="黑体" w:eastAsia="黑体" w:cs="黑体"/>
          <w:b/>
          <w:color w:val="auto"/>
          <w:sz w:val="28"/>
          <w:szCs w:val="28"/>
          <w:highlight w:val="none"/>
          <w:lang w:val="en-US" w:eastAsia="zh-CN"/>
        </w:rPr>
      </w:pPr>
      <w:bookmarkStart w:id="51" w:name="_Toc15487"/>
      <w:bookmarkStart w:id="52" w:name="_Toc25596"/>
      <w:r>
        <w:rPr>
          <w:rFonts w:hint="eastAsia" w:ascii="黑体" w:hAnsi="黑体" w:eastAsia="黑体" w:cs="黑体"/>
          <w:b/>
          <w:color w:val="auto"/>
          <w:sz w:val="28"/>
          <w:szCs w:val="28"/>
          <w:highlight w:val="none"/>
          <w:lang w:val="en-US" w:eastAsia="zh-CN"/>
        </w:rPr>
        <w:t>三、资格证明文件目录</w:t>
      </w:r>
      <w:bookmarkEnd w:id="51"/>
      <w:bookmarkEnd w:id="52"/>
    </w:p>
    <w:p w14:paraId="741CAA80">
      <w:pPr>
        <w:keepNext/>
        <w:keepLines/>
        <w:pageBreakBefore w:val="0"/>
        <w:widowControl w:val="0"/>
        <w:kinsoku/>
        <w:wordWrap/>
        <w:overflowPunct/>
        <w:topLinePunct w:val="0"/>
        <w:autoSpaceDE/>
        <w:autoSpaceDN/>
        <w:bidi w:val="0"/>
        <w:adjustRightInd/>
        <w:snapToGrid/>
        <w:spacing w:after="213" w:afterLines="50" w:line="480" w:lineRule="exact"/>
        <w:jc w:val="center"/>
        <w:textAlignment w:val="auto"/>
        <w:outlineLvl w:val="1"/>
        <w:rPr>
          <w:rFonts w:hint="eastAsia" w:ascii="黑体" w:hAnsi="黑体" w:eastAsia="黑体" w:cs="黑体"/>
          <w:color w:val="auto"/>
          <w:sz w:val="28"/>
          <w:szCs w:val="28"/>
          <w:highlight w:val="none"/>
        </w:rPr>
      </w:pPr>
      <w:bookmarkStart w:id="53" w:name="_Toc18294"/>
      <w:bookmarkStart w:id="54" w:name="_Toc1460"/>
      <w:r>
        <w:rPr>
          <w:rFonts w:hint="eastAsia" w:ascii="黑体" w:hAnsi="黑体" w:eastAsia="黑体" w:cs="黑体"/>
          <w:b/>
          <w:sz w:val="28"/>
          <w:szCs w:val="28"/>
          <w:highlight w:val="none"/>
          <w:lang w:val="en-US" w:eastAsia="zh-CN"/>
        </w:rPr>
        <w:t>（一）</w:t>
      </w:r>
      <w:r>
        <w:rPr>
          <w:rFonts w:hint="eastAsia" w:ascii="黑体" w:hAnsi="黑体" w:eastAsia="黑体" w:cs="黑体"/>
          <w:b/>
          <w:sz w:val="28"/>
          <w:szCs w:val="28"/>
          <w:highlight w:val="none"/>
        </w:rPr>
        <w:t>基本资格条件</w:t>
      </w:r>
      <w:bookmarkEnd w:id="53"/>
      <w:bookmarkEnd w:id="54"/>
    </w:p>
    <w:p w14:paraId="55E617F0">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1、基本资格条件：符合《中华人民共和国政府采购法》第二十二条的规定；</w:t>
      </w:r>
    </w:p>
    <w:p w14:paraId="001E0D29">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（1）主体资格：具有独立承担民事责任能力的法人、其他组织或自然人；提供有效存续的证明文件。</w:t>
      </w:r>
    </w:p>
    <w:p w14:paraId="284508B5">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color w:val="auto"/>
          <w:kern w:val="2"/>
          <w:sz w:val="19"/>
          <w:szCs w:val="19"/>
          <w:highlight w:val="none"/>
          <w:lang w:val="en-US" w:eastAsia="zh-CN" w:bidi="ar-SA"/>
        </w:rPr>
        <w:t>（2）财务状况报告：</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24A7C8">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（3）税收缴纳证明：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p w14:paraId="42C82C0C">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（4）社会保障资金缴纳证明：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p w14:paraId="0EA9E598">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lang w:val="en-US" w:eastAsia="zh-CN" w:bidi="ar-SA"/>
        </w:rPr>
        <w:t>（5）</w:t>
      </w:r>
      <w:r>
        <w:rPr>
          <w:rFonts w:hint="eastAsia" w:ascii="黑体" w:hAnsi="黑体" w:eastAsia="黑体" w:cs="黑体"/>
          <w:color w:val="auto"/>
          <w:kern w:val="2"/>
          <w:sz w:val="19"/>
          <w:szCs w:val="19"/>
          <w:highlight w:val="none"/>
        </w:rPr>
        <w:t>具有履行合同所必需的设备和专业技术能力的承诺函</w:t>
      </w:r>
      <w:r>
        <w:rPr>
          <w:rFonts w:hint="eastAsia" w:ascii="黑体" w:hAnsi="黑体" w:eastAsia="黑体" w:cs="黑体"/>
          <w:color w:val="auto"/>
          <w:kern w:val="2"/>
          <w:sz w:val="19"/>
          <w:szCs w:val="19"/>
          <w:highlight w:val="none"/>
          <w:lang w:eastAsia="zh-CN"/>
        </w:rPr>
        <w:t>；</w:t>
      </w:r>
    </w:p>
    <w:p w14:paraId="5F8586FD">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（采购人名称）  </w:t>
      </w:r>
      <w:r>
        <w:rPr>
          <w:rFonts w:hint="eastAsia" w:ascii="黑体" w:hAnsi="黑体" w:eastAsia="黑体" w:cs="黑体"/>
          <w:spacing w:val="4"/>
          <w:sz w:val="19"/>
          <w:szCs w:val="19"/>
          <w:highlight w:val="none"/>
        </w:rPr>
        <w:t>：</w:t>
      </w:r>
    </w:p>
    <w:p w14:paraId="50BBB93F">
      <w:pPr>
        <w:keepNext w:val="0"/>
        <w:keepLines w:val="0"/>
        <w:pageBreakBefore w:val="0"/>
        <w:kinsoku/>
        <w:wordWrap/>
        <w:overflowPunct/>
        <w:topLinePunct w:val="0"/>
        <w:autoSpaceDE/>
        <w:autoSpaceDN/>
        <w:bidi w:val="0"/>
        <w:adjustRightInd/>
        <w:snapToGrid/>
        <w:spacing w:before="86" w:beforeLines="20" w:beforeAutospacing="0" w:after="120" w:afterLines="50" w:line="480" w:lineRule="exact"/>
        <w:ind w:firstLine="396" w:firstLineChars="200"/>
        <w:textAlignment w:val="auto"/>
        <w:rPr>
          <w:rFonts w:hint="eastAsia" w:ascii="黑体" w:hAnsi="黑体" w:eastAsia="黑体" w:cs="黑体"/>
          <w:color w:val="auto"/>
          <w:spacing w:val="4"/>
          <w:sz w:val="19"/>
          <w:szCs w:val="19"/>
          <w:highlight w:val="none"/>
          <w:lang w:eastAsia="zh-CN"/>
        </w:rPr>
      </w:pPr>
      <w:r>
        <w:rPr>
          <w:rFonts w:hint="eastAsia" w:ascii="黑体" w:hAnsi="黑体" w:eastAsia="黑体" w:cs="黑体"/>
          <w:color w:val="auto"/>
          <w:spacing w:val="4"/>
          <w:sz w:val="19"/>
          <w:szCs w:val="19"/>
          <w:highlight w:val="none"/>
          <w:u w:val="single"/>
        </w:rPr>
        <w:t>（供应商名称）</w:t>
      </w:r>
      <w:r>
        <w:rPr>
          <w:rFonts w:hint="eastAsia" w:ascii="黑体" w:hAnsi="黑体" w:eastAsia="黑体" w:cs="黑体"/>
          <w:color w:val="auto"/>
          <w:spacing w:val="4"/>
          <w:sz w:val="19"/>
          <w:szCs w:val="19"/>
          <w:highlight w:val="none"/>
        </w:rPr>
        <w:t>于</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年</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月</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日在中华人民共和国境内</w:t>
      </w:r>
      <w:r>
        <w:rPr>
          <w:rFonts w:hint="eastAsia" w:ascii="黑体" w:hAnsi="黑体" w:eastAsia="黑体" w:cs="黑体"/>
          <w:color w:val="auto"/>
          <w:spacing w:val="4"/>
          <w:sz w:val="19"/>
          <w:szCs w:val="19"/>
          <w:highlight w:val="none"/>
          <w:u w:val="single"/>
        </w:rPr>
        <w:t>（详细注册地址）</w:t>
      </w:r>
      <w:r>
        <w:rPr>
          <w:rFonts w:hint="eastAsia" w:ascii="黑体" w:hAnsi="黑体" w:eastAsia="黑体" w:cs="黑体"/>
          <w:color w:val="auto"/>
          <w:spacing w:val="4"/>
          <w:sz w:val="19"/>
          <w:szCs w:val="19"/>
          <w:highlight w:val="none"/>
        </w:rPr>
        <w:t>合法注册并经营，公司主营业务为（）。本公司郑重承诺：</w:t>
      </w:r>
      <w:r>
        <w:rPr>
          <w:rFonts w:hint="eastAsia" w:ascii="黑体" w:hAnsi="黑体" w:eastAsia="黑体" w:cs="黑体"/>
          <w:b w:val="0"/>
          <w:bCs/>
          <w:color w:val="auto"/>
          <w:spacing w:val="4"/>
          <w:sz w:val="19"/>
          <w:szCs w:val="19"/>
          <w:highlight w:val="none"/>
        </w:rPr>
        <w:t>现有营业（生产经营）面积和员工数量满足本项目需求，</w:t>
      </w:r>
      <w:r>
        <w:rPr>
          <w:rFonts w:hint="eastAsia" w:ascii="黑体" w:hAnsi="黑体" w:eastAsia="黑体" w:cs="黑体"/>
          <w:color w:val="auto"/>
          <w:spacing w:val="4"/>
          <w:sz w:val="19"/>
          <w:szCs w:val="19"/>
          <w:highlight w:val="none"/>
        </w:rPr>
        <w:t>具有履行本合同所必需的设备和专业技术能力</w:t>
      </w:r>
      <w:r>
        <w:rPr>
          <w:rFonts w:hint="eastAsia" w:ascii="黑体" w:hAnsi="黑体" w:eastAsia="黑体" w:cs="黑体"/>
          <w:color w:val="auto"/>
          <w:spacing w:val="4"/>
          <w:sz w:val="19"/>
          <w:szCs w:val="19"/>
          <w:highlight w:val="none"/>
          <w:lang w:eastAsia="zh-CN"/>
        </w:rPr>
        <w:t>；</w:t>
      </w:r>
    </w:p>
    <w:p w14:paraId="43B0A597">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z w:val="19"/>
          <w:szCs w:val="19"/>
          <w:highlight w:val="none"/>
        </w:rPr>
      </w:pPr>
    </w:p>
    <w:p w14:paraId="5BDA6BBF">
      <w:pPr>
        <w:wordWrap/>
        <w:spacing w:line="400" w:lineRule="exact"/>
        <w:rPr>
          <w:rFonts w:hint="eastAsia" w:ascii="黑体" w:hAnsi="黑体" w:eastAsia="黑体" w:cs="黑体"/>
          <w:sz w:val="19"/>
          <w:szCs w:val="19"/>
          <w:highlight w:val="none"/>
        </w:rPr>
      </w:pPr>
    </w:p>
    <w:p w14:paraId="7BD77D09">
      <w:pPr>
        <w:pStyle w:val="13"/>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供应商名称(盖公章)：____________</w:t>
      </w:r>
    </w:p>
    <w:p w14:paraId="32124464">
      <w:pPr>
        <w:pStyle w:val="13"/>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(签字或盖章)：____________</w:t>
      </w:r>
    </w:p>
    <w:p w14:paraId="1769923E">
      <w:pPr>
        <w:pStyle w:val="13"/>
        <w:wordWrap/>
        <w:spacing w:line="400" w:lineRule="exact"/>
        <w:ind w:firstLine="380" w:firstLineChars="200"/>
        <w:rPr>
          <w:rFonts w:hint="eastAsia" w:ascii="黑体" w:hAnsi="黑体" w:eastAsia="黑体" w:cs="黑体"/>
          <w:color w:val="auto"/>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color w:val="auto"/>
          <w:sz w:val="19"/>
          <w:szCs w:val="19"/>
          <w:highlight w:val="none"/>
        </w:rPr>
        <w:t>日期：______年____月____日</w:t>
      </w:r>
    </w:p>
    <w:p w14:paraId="225E9CB0">
      <w:pPr>
        <w:pStyle w:val="13"/>
        <w:keepNext w:val="0"/>
        <w:keepLines w:val="0"/>
        <w:pageBreakBefore w:val="0"/>
        <w:widowControl/>
        <w:numPr>
          <w:ilvl w:val="0"/>
          <w:numId w:val="16"/>
        </w:numPr>
        <w:kinsoku/>
        <w:wordWrap/>
        <w:overflowPunct/>
        <w:topLinePunct w:val="0"/>
        <w:autoSpaceDE/>
        <w:autoSpaceDN/>
        <w:bidi w:val="0"/>
        <w:adjustRightInd/>
        <w:snapToGrid/>
        <w:spacing w:before="4" w:beforeAutospacing="0" w:line="480" w:lineRule="exact"/>
        <w:textAlignment w:val="auto"/>
        <w:outlineLvl w:val="2"/>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rPr>
        <w:t>参加本次政府采购活动前3年内在经营活动中没有重大违纪，以及未被列入“信用中国”（www.creditchina.gov.cn）失信被执行人名单、</w:t>
      </w:r>
      <w:r>
        <w:rPr>
          <w:rFonts w:hint="eastAsia" w:ascii="黑体" w:hAnsi="黑体" w:eastAsia="黑体" w:cs="黑体"/>
          <w:color w:val="auto"/>
          <w:kern w:val="2"/>
          <w:sz w:val="19"/>
          <w:szCs w:val="19"/>
          <w:highlight w:val="none"/>
          <w:lang w:eastAsia="zh-CN"/>
        </w:rPr>
        <w:t>重大税收违法失信主体</w:t>
      </w:r>
      <w:r>
        <w:rPr>
          <w:rFonts w:hint="eastAsia" w:ascii="黑体" w:hAnsi="黑体" w:eastAsia="黑体" w:cs="黑体"/>
          <w:color w:val="auto"/>
          <w:kern w:val="2"/>
          <w:sz w:val="19"/>
          <w:szCs w:val="19"/>
          <w:highlight w:val="none"/>
        </w:rPr>
        <w:t>和“中国政府采购网”（www.ccgp.gov.cn）政府采购严重违法失信行为记录名单的书面声明</w:t>
      </w:r>
      <w:r>
        <w:rPr>
          <w:rFonts w:hint="eastAsia" w:ascii="黑体" w:hAnsi="黑体" w:eastAsia="黑体" w:cs="黑体"/>
          <w:color w:val="auto"/>
          <w:kern w:val="2"/>
          <w:sz w:val="19"/>
          <w:szCs w:val="19"/>
          <w:highlight w:val="none"/>
          <w:lang w:eastAsia="zh-CN"/>
        </w:rPr>
        <w:t>。</w:t>
      </w:r>
    </w:p>
    <w:p w14:paraId="5559892F">
      <w:pPr>
        <w:pStyle w:val="13"/>
        <w:keepNext w:val="0"/>
        <w:keepLines w:val="0"/>
        <w:pageBreakBefore w:val="0"/>
        <w:kinsoku/>
        <w:wordWrap/>
        <w:overflowPunct/>
        <w:topLinePunct w:val="0"/>
        <w:autoSpaceDE/>
        <w:autoSpaceDN/>
        <w:bidi w:val="0"/>
        <w:adjustRightInd/>
        <w:spacing w:line="480" w:lineRule="exact"/>
        <w:ind w:firstLine="482" w:firstLineChars="200"/>
        <w:jc w:val="center"/>
        <w:textAlignment w:val="auto"/>
        <w:rPr>
          <w:rFonts w:hint="eastAsia" w:ascii="黑体" w:hAnsi="黑体" w:eastAsia="黑体" w:cs="黑体"/>
          <w:b/>
          <w:bCs w:val="0"/>
          <w:color w:val="auto"/>
          <w:kern w:val="2"/>
          <w:sz w:val="24"/>
          <w:szCs w:val="24"/>
          <w:highlight w:val="none"/>
          <w:lang w:eastAsia="zh-CN"/>
        </w:rPr>
      </w:pPr>
      <w:r>
        <w:rPr>
          <w:rFonts w:hint="eastAsia" w:ascii="黑体" w:hAnsi="黑体" w:eastAsia="黑体" w:cs="黑体"/>
          <w:b/>
          <w:bCs w:val="0"/>
          <w:color w:val="auto"/>
          <w:kern w:val="2"/>
          <w:sz w:val="24"/>
          <w:szCs w:val="24"/>
          <w:highlight w:val="none"/>
          <w:lang w:val="en-US" w:eastAsia="zh-CN"/>
        </w:rPr>
        <w:t>信用记录查询书面声明</w:t>
      </w:r>
    </w:p>
    <w:p w14:paraId="02651DC9">
      <w:pPr>
        <w:pStyle w:val="18"/>
        <w:keepNext w:val="0"/>
        <w:keepLines w:val="0"/>
        <w:pageBreakBefore w:val="0"/>
        <w:kinsoku/>
        <w:wordWrap/>
        <w:overflowPunct/>
        <w:topLinePunct w:val="0"/>
        <w:autoSpaceDE/>
        <w:autoSpaceDN/>
        <w:bidi w:val="0"/>
        <w:adjustRightInd/>
        <w:snapToGrid/>
        <w:spacing w:before="4" w:beforeAutospacing="0" w:after="0" w:afterAutospacing="0" w:line="48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sz w:val="19"/>
          <w:szCs w:val="19"/>
          <w:highlight w:val="none"/>
          <w:u w:val="single"/>
        </w:rPr>
        <w:t xml:space="preserve"> （采购人）</w:t>
      </w:r>
      <w:r>
        <w:rPr>
          <w:rFonts w:hint="eastAsia" w:ascii="黑体" w:hAnsi="黑体" w:eastAsia="黑体" w:cs="黑体"/>
          <w:color w:val="auto"/>
          <w:sz w:val="19"/>
          <w:szCs w:val="19"/>
          <w:highlight w:val="none"/>
          <w:u w:val="single"/>
          <w:lang w:eastAsia="zh-CN"/>
        </w:rPr>
        <w:t>：</w:t>
      </w:r>
      <w:r>
        <w:rPr>
          <w:rFonts w:hint="eastAsia" w:ascii="黑体" w:hAnsi="黑体" w:eastAsia="黑体" w:cs="黑体"/>
          <w:color w:val="auto"/>
          <w:sz w:val="19"/>
          <w:szCs w:val="19"/>
          <w:highlight w:val="none"/>
          <w:u w:val="single"/>
        </w:rPr>
        <w:t xml:space="preserve">       </w:t>
      </w:r>
    </w:p>
    <w:p w14:paraId="31D42076">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rPr>
        <w:t>我单位已按照</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文件规定进行了信用</w:t>
      </w:r>
      <w:r>
        <w:rPr>
          <w:rFonts w:hint="eastAsia" w:ascii="黑体" w:hAnsi="黑体" w:eastAsia="黑体" w:cs="黑体"/>
          <w:kern w:val="0"/>
          <w:sz w:val="19"/>
          <w:szCs w:val="19"/>
          <w:highlight w:val="none"/>
          <w:lang w:val="en-US" w:eastAsia="zh-CN"/>
        </w:rPr>
        <w:t>查询自查确认（查询路径</w:t>
      </w:r>
      <w:r>
        <w:rPr>
          <w:rFonts w:hint="eastAsia" w:ascii="黑体" w:hAnsi="黑体" w:eastAsia="黑体" w:cs="黑体"/>
          <w:sz w:val="19"/>
          <w:szCs w:val="19"/>
        </w:rPr>
        <w:t>①</w:t>
      </w:r>
      <w:r>
        <w:rPr>
          <w:rFonts w:hint="eastAsia" w:ascii="黑体" w:hAnsi="黑体" w:eastAsia="黑体" w:cs="黑体"/>
          <w:kern w:val="0"/>
          <w:sz w:val="19"/>
          <w:szCs w:val="19"/>
          <w:highlight w:val="none"/>
          <w:lang w:val="en-US" w:eastAsia="zh-CN"/>
        </w:rPr>
        <w:t>www.creditchina.gov.cn信用公示</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失信被执行人或重大税收违法失信主体；</w:t>
      </w:r>
      <w:r>
        <w:rPr>
          <w:rFonts w:hint="eastAsia" w:ascii="黑体" w:hAnsi="黑体" w:eastAsia="黑体" w:cs="黑体"/>
          <w:sz w:val="19"/>
          <w:szCs w:val="19"/>
        </w:rPr>
        <w:t>②</w:t>
      </w:r>
      <w:r>
        <w:rPr>
          <w:rFonts w:hint="eastAsia" w:ascii="黑体" w:hAnsi="黑体" w:eastAsia="黑体" w:cs="黑体"/>
          <w:kern w:val="0"/>
          <w:sz w:val="19"/>
          <w:szCs w:val="19"/>
          <w:highlight w:val="none"/>
          <w:lang w:val="en-US" w:eastAsia="zh-CN"/>
        </w:rPr>
        <w:t>www.ccgp.gov.cn</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首页</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政府采购严重违法失信行为记录名单）</w:t>
      </w:r>
    </w:p>
    <w:p w14:paraId="523327A2">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我公司承诺在参加本项目政府采购活动前三年内，在经营活动中没有重大违法记录，遵守国家其他有关的法律、法规和管理办法。</w:t>
      </w:r>
    </w:p>
    <w:p w14:paraId="102F2191">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合同签订前，若我单位具有不良信用记录情形，贵方可取消我单位成交资格或者不授予合同，所有责任由我单位自行承担。同时，我单位愿意无条件接受监管部门的调查处理。</w:t>
      </w:r>
    </w:p>
    <w:p w14:paraId="3110034A">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黑体" w:hAnsi="黑体" w:eastAsia="黑体" w:cs="黑体"/>
          <w:sz w:val="19"/>
          <w:szCs w:val="19"/>
          <w:highlight w:val="none"/>
        </w:rPr>
      </w:pPr>
    </w:p>
    <w:p w14:paraId="0EDAAB4E">
      <w:pPr>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特此声明。</w:t>
      </w:r>
    </w:p>
    <w:p w14:paraId="533E19C9">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rPr>
      </w:pPr>
    </w:p>
    <w:p w14:paraId="7C8DA2BA">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（注：重大违法记录是指供应商因违法经营受到刑事处罚或者责令停产停业、吊销许可证或者执照、较大数额罚款等行政处罚。</w:t>
      </w:r>
    </w:p>
    <w:p w14:paraId="0E0FB4CB">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供应商在参加政府采购活动前3年内因违法经营被禁止在一定期限内参加政府采购活动，期限届满的，可以参加政府采购活动。）</w:t>
      </w:r>
    </w:p>
    <w:p w14:paraId="78D84A3B">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p>
    <w:p w14:paraId="02540263">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192F0519">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606510B">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EB89AF3">
      <w:pPr>
        <w:wordWrap/>
        <w:rPr>
          <w:rFonts w:hint="eastAsia"/>
        </w:rPr>
      </w:pPr>
    </w:p>
    <w:p w14:paraId="49687189">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074980A1">
      <w:pPr>
        <w:keepNext/>
        <w:keepLines/>
        <w:wordWrap/>
        <w:spacing w:line="400" w:lineRule="exact"/>
        <w:jc w:val="center"/>
        <w:outlineLvl w:val="1"/>
        <w:rPr>
          <w:rFonts w:hint="eastAsia" w:ascii="黑体" w:hAnsi="黑体" w:eastAsia="黑体" w:cs="黑体"/>
          <w:b/>
          <w:sz w:val="28"/>
          <w:szCs w:val="28"/>
          <w:highlight w:val="none"/>
        </w:rPr>
      </w:pPr>
      <w:bookmarkStart w:id="55" w:name="_Toc32363"/>
      <w:bookmarkStart w:id="56" w:name="_Toc10521"/>
      <w:r>
        <w:rPr>
          <w:rFonts w:hint="eastAsia" w:ascii="黑体" w:hAnsi="黑体" w:eastAsia="黑体" w:cs="黑体"/>
          <w:b/>
          <w:sz w:val="28"/>
          <w:szCs w:val="28"/>
          <w:highlight w:val="none"/>
          <w:lang w:val="en-US" w:eastAsia="zh-CN"/>
        </w:rPr>
        <w:t>（二）</w:t>
      </w:r>
      <w:r>
        <w:rPr>
          <w:rFonts w:hint="eastAsia" w:ascii="黑体" w:hAnsi="黑体" w:eastAsia="黑体" w:cs="黑体"/>
          <w:b/>
          <w:sz w:val="28"/>
          <w:szCs w:val="28"/>
          <w:highlight w:val="none"/>
        </w:rPr>
        <w:t>本项目的特定资格要求</w:t>
      </w:r>
      <w:bookmarkEnd w:id="55"/>
      <w:bookmarkEnd w:id="56"/>
    </w:p>
    <w:p w14:paraId="6F0ED4E6">
      <w:pPr>
        <w:wordWrap/>
        <w:spacing w:line="360" w:lineRule="auto"/>
        <w:jc w:val="both"/>
        <w:rPr>
          <w:rFonts w:hint="eastAsia" w:ascii="宋体" w:hAnsi="宋体" w:eastAsia="宋体" w:cs="宋体"/>
          <w:sz w:val="19"/>
          <w:szCs w:val="19"/>
          <w:highlight w:val="none"/>
        </w:rPr>
      </w:pPr>
    </w:p>
    <w:p w14:paraId="569EBAE0">
      <w:pPr>
        <w:keepNext w:val="0"/>
        <w:keepLines w:val="0"/>
        <w:pageBreakBefore w:val="0"/>
        <w:widowControl w:val="0"/>
        <w:kinsoku/>
        <w:wordWrap/>
        <w:overflowPunct/>
        <w:topLinePunct w:val="0"/>
        <w:autoSpaceDE/>
        <w:autoSpaceDN/>
        <w:bidi w:val="0"/>
        <w:snapToGrid/>
        <w:spacing w:after="360" w:afterLines="150" w:line="480" w:lineRule="exact"/>
        <w:jc w:val="center"/>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（根据竞争性磋商公告本项目的特定资格要求提供相应的材料；未要求的，无需提供）</w:t>
      </w:r>
    </w:p>
    <w:p w14:paraId="26ACF53E">
      <w:pPr>
        <w:pStyle w:val="8"/>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outlineLvl w:val="2"/>
        <w:rPr>
          <w:rFonts w:hint="eastAsia"/>
          <w:sz w:val="19"/>
          <w:szCs w:val="19"/>
          <w:lang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val="en-US" w:eastAsia="zh-CN"/>
        </w:rPr>
        <w:t>提供国家企业信用信息公示系统https://shiming.gsxt.gov.cn/“股东及出资信息”查询页面截图或</w:t>
      </w:r>
      <w:r>
        <w:rPr>
          <w:rFonts w:hint="eastAsia" w:ascii="黑体" w:hAnsi="黑体" w:eastAsia="黑体" w:cs="黑体"/>
          <w:sz w:val="19"/>
          <w:szCs w:val="19"/>
          <w:highlight w:val="none"/>
          <w:lang w:eastAsia="zh-CN"/>
        </w:rPr>
        <w:t>承诺函）；</w:t>
      </w:r>
    </w:p>
    <w:p w14:paraId="40BA17FC">
      <w:pPr>
        <w:pStyle w:val="13"/>
        <w:keepNext w:val="0"/>
        <w:keepLines w:val="0"/>
        <w:pageBreakBefore w:val="0"/>
        <w:widowControl/>
        <w:kinsoku/>
        <w:wordWrap/>
        <w:overflowPunct/>
        <w:topLinePunct w:val="0"/>
        <w:autoSpaceDE/>
        <w:autoSpaceDN/>
        <w:bidi w:val="0"/>
        <w:adjustRightInd/>
        <w:snapToGrid/>
        <w:spacing w:after="0" w:afterAutospacing="0" w:line="480" w:lineRule="exact"/>
        <w:ind w:firstLine="482" w:firstLineChars="200"/>
        <w:jc w:val="center"/>
        <w:textAlignment w:val="auto"/>
        <w:rPr>
          <w:rFonts w:hint="default"/>
          <w:highlight w:val="none"/>
          <w:lang w:val="en-US" w:eastAsia="zh-CN"/>
        </w:rPr>
      </w:pPr>
      <w:r>
        <w:rPr>
          <w:rFonts w:hint="eastAsia" w:ascii="黑体" w:hAnsi="黑体" w:eastAsia="黑体" w:cs="黑体"/>
          <w:b/>
          <w:bCs w:val="0"/>
          <w:color w:val="auto"/>
          <w:kern w:val="2"/>
          <w:sz w:val="24"/>
          <w:szCs w:val="24"/>
          <w:highlight w:val="none"/>
          <w:lang w:val="en-US" w:eastAsia="zh-CN"/>
        </w:rPr>
        <w:t>承诺函</w:t>
      </w:r>
    </w:p>
    <w:p w14:paraId="5D5DF799">
      <w:pPr>
        <w:wordWrap/>
        <w:spacing w:line="360" w:lineRule="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  ：</w:t>
      </w:r>
    </w:p>
    <w:p w14:paraId="0E80782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我公司已自查，在参加本项目政府采购活动中未违反《中华人民共和国政府采购法实施条例》第十八条 “单位负责人为同一人或者存在直接控股、管理关系的不同投标人，不得参加同一合同项下的政府采购活动。为采购项目提供整体设计、规范编制或者项目管理、监理、检测等服务的投标人，不得再参加该采购项目的其他采购活动。”并作如下说明和承诺：</w:t>
      </w:r>
    </w:p>
    <w:p w14:paraId="37BB1898">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一、</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在本项目</w:t>
      </w:r>
      <w:r>
        <w:rPr>
          <w:rFonts w:hint="eastAsia" w:ascii="黑体" w:hAnsi="黑体" w:eastAsia="黑体" w:cs="黑体"/>
          <w:kern w:val="2"/>
          <w:sz w:val="19"/>
          <w:szCs w:val="19"/>
          <w:highlight w:val="none"/>
          <w:lang w:val="en-US" w:eastAsia="zh-CN" w:bidi="ar-SA"/>
        </w:rPr>
        <w:t>响应</w:t>
      </w:r>
      <w:r>
        <w:rPr>
          <w:rFonts w:hint="eastAsia" w:ascii="黑体" w:hAnsi="黑体" w:eastAsia="黑体" w:cs="黑体"/>
          <w:kern w:val="2"/>
          <w:sz w:val="19"/>
          <w:szCs w:val="19"/>
          <w:highlight w:val="none"/>
          <w:lang w:val="zh-CN" w:eastAsia="zh-CN" w:bidi="ar-SA"/>
        </w:rPr>
        <w:t>中不存在与其他</w:t>
      </w:r>
      <w:r>
        <w:rPr>
          <w:rFonts w:hint="eastAsia" w:ascii="黑体" w:hAnsi="黑体" w:eastAsia="黑体" w:cs="黑体"/>
          <w:kern w:val="2"/>
          <w:sz w:val="19"/>
          <w:szCs w:val="19"/>
          <w:highlight w:val="none"/>
          <w:lang w:val="en-US" w:eastAsia="zh-CN" w:bidi="ar-SA"/>
        </w:rPr>
        <w:t>供应商</w:t>
      </w:r>
      <w:r>
        <w:rPr>
          <w:rFonts w:hint="eastAsia" w:ascii="黑体" w:hAnsi="黑体" w:eastAsia="黑体" w:cs="黑体"/>
          <w:kern w:val="2"/>
          <w:sz w:val="19"/>
          <w:szCs w:val="19"/>
          <w:highlight w:val="none"/>
          <w:lang w:val="zh-CN" w:eastAsia="zh-CN" w:bidi="ar-SA"/>
        </w:rPr>
        <w:t>单位负责人为同一人或者存在直接控股、管理关系。</w:t>
      </w:r>
    </w:p>
    <w:p w14:paraId="1B04641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57" w:name="_Toc22599"/>
      <w:bookmarkStart w:id="58" w:name="_Toc18739"/>
      <w:bookmarkStart w:id="59" w:name="_Toc17511_WPSOffice_Level2"/>
      <w:r>
        <w:rPr>
          <w:rFonts w:hint="eastAsia" w:ascii="黑体" w:hAnsi="黑体" w:eastAsia="黑体" w:cs="黑体"/>
          <w:kern w:val="2"/>
          <w:sz w:val="19"/>
          <w:szCs w:val="19"/>
          <w:highlight w:val="none"/>
          <w:lang w:val="en-US" w:eastAsia="zh-CN" w:bidi="ar-SA"/>
        </w:rPr>
        <w:t>1、</w:t>
      </w:r>
      <w:r>
        <w:rPr>
          <w:rFonts w:hint="eastAsia" w:ascii="黑体" w:hAnsi="黑体" w:eastAsia="黑体" w:cs="黑体"/>
          <w:kern w:val="2"/>
          <w:sz w:val="19"/>
          <w:szCs w:val="19"/>
          <w:highlight w:val="none"/>
          <w:lang w:val="zh-CN" w:eastAsia="zh-CN" w:bidi="ar-SA"/>
        </w:rPr>
        <w:t>股权关系说明</w:t>
      </w:r>
      <w:bookmarkEnd w:id="57"/>
      <w:bookmarkEnd w:id="58"/>
      <w:bookmarkEnd w:id="59"/>
    </w:p>
    <w:p w14:paraId="04142645">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与我单位的法定代表人（单位负责人）为同一人的企业如下：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E3A9234">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我单位的控股股东如下：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BCD20A0">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我单位直接控股的企业如下：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3064360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60" w:name="_Toc23849"/>
      <w:bookmarkStart w:id="61" w:name="_Toc31324"/>
      <w:bookmarkStart w:id="62" w:name="_Toc4942_WPSOffice_Level2"/>
      <w:r>
        <w:rPr>
          <w:rFonts w:hint="eastAsia" w:ascii="黑体" w:hAnsi="黑体" w:eastAsia="黑体" w:cs="黑体"/>
          <w:kern w:val="2"/>
          <w:sz w:val="19"/>
          <w:szCs w:val="19"/>
          <w:highlight w:val="none"/>
          <w:lang w:val="en-US" w:eastAsia="zh-CN" w:bidi="ar-SA"/>
        </w:rPr>
        <w:t>2、</w:t>
      </w:r>
      <w:r>
        <w:rPr>
          <w:rFonts w:hint="eastAsia" w:ascii="黑体" w:hAnsi="黑体" w:eastAsia="黑体" w:cs="黑体"/>
          <w:kern w:val="2"/>
          <w:sz w:val="19"/>
          <w:szCs w:val="19"/>
          <w:highlight w:val="none"/>
          <w:lang w:val="zh-CN" w:eastAsia="zh-CN" w:bidi="ar-SA"/>
        </w:rPr>
        <w:t>管理关系说明</w:t>
      </w:r>
      <w:bookmarkEnd w:id="60"/>
      <w:bookmarkEnd w:id="61"/>
      <w:bookmarkEnd w:id="62"/>
    </w:p>
    <w:p w14:paraId="0D43DEC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与我单位存在管理、被管理关系的单位名称如下：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02C9B5F6">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二、我单位</w:t>
      </w:r>
      <w:r>
        <w:rPr>
          <w:rFonts w:hint="eastAsia" w:ascii="黑体" w:hAnsi="黑体" w:eastAsia="黑体" w:cs="黑体"/>
          <w:kern w:val="2"/>
          <w:sz w:val="19"/>
          <w:szCs w:val="19"/>
          <w:highlight w:val="none"/>
          <w:u w:val="single"/>
          <w:lang w:val="en-US" w:eastAsia="zh-CN" w:bidi="ar-SA"/>
        </w:rPr>
        <w:t xml:space="preserve"> 不属于 </w:t>
      </w:r>
      <w:r>
        <w:rPr>
          <w:rFonts w:hint="eastAsia" w:ascii="黑体" w:hAnsi="黑体" w:eastAsia="黑体" w:cs="黑体"/>
          <w:kern w:val="2"/>
          <w:sz w:val="19"/>
          <w:szCs w:val="19"/>
          <w:highlight w:val="none"/>
          <w:lang w:val="en-US" w:eastAsia="zh-CN" w:bidi="ar-SA"/>
        </w:rPr>
        <w:t>为本项目提供整体设计、规范编制或者项目管理、监理、检测等服务的供应商。</w:t>
      </w:r>
    </w:p>
    <w:p w14:paraId="0F26845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三、</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与采购人不存在利害关系及其他可能影响招标公正性的情形。我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承诺以上</w:t>
      </w:r>
      <w:r>
        <w:rPr>
          <w:rFonts w:hint="eastAsia" w:ascii="黑体" w:hAnsi="黑体" w:eastAsia="黑体" w:cs="黑体"/>
          <w:kern w:val="2"/>
          <w:sz w:val="19"/>
          <w:szCs w:val="19"/>
          <w:highlight w:val="none"/>
          <w:lang w:val="en-US" w:eastAsia="zh-CN" w:bidi="ar-SA"/>
        </w:rPr>
        <w:t>内容</w:t>
      </w:r>
      <w:r>
        <w:rPr>
          <w:rFonts w:hint="eastAsia" w:ascii="黑体" w:hAnsi="黑体" w:eastAsia="黑体" w:cs="黑体"/>
          <w:kern w:val="2"/>
          <w:sz w:val="19"/>
          <w:szCs w:val="19"/>
          <w:highlight w:val="none"/>
          <w:lang w:val="zh-CN" w:eastAsia="zh-CN" w:bidi="ar-SA"/>
        </w:rPr>
        <w:t>真实有效，无虚假内容或隐瞒。</w:t>
      </w:r>
    </w:p>
    <w:p w14:paraId="16F73C6A">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3DBBA24">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65D2A679">
      <w:pPr>
        <w:pStyle w:val="13"/>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61F81F4E">
      <w:pPr>
        <w:keepNext w:val="0"/>
        <w:keepLines w:val="0"/>
        <w:pageBreakBefore w:val="0"/>
        <w:widowControl w:val="0"/>
        <w:kinsoku/>
        <w:wordWrap/>
        <w:overflowPunct/>
        <w:topLinePunct w:val="0"/>
        <w:autoSpaceDE/>
        <w:autoSpaceDN/>
        <w:bidi w:val="0"/>
        <w:snapToGrid/>
        <w:spacing w:before="86" w:beforeLines="20" w:line="480" w:lineRule="exact"/>
        <w:ind w:left="379" w:leftChars="158" w:firstLine="0" w:firstLineChars="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2、特定资格：供应商须具备有效的《网络安全服务认证证书等级保护测评服务认证</w:t>
      </w:r>
      <w:bookmarkStart w:id="89" w:name="_GoBack"/>
      <w:bookmarkEnd w:id="89"/>
      <w:r>
        <w:rPr>
          <w:rFonts w:hint="eastAsia" w:ascii="黑体" w:hAnsi="黑体" w:eastAsia="黑体" w:cs="黑体"/>
          <w:sz w:val="19"/>
          <w:szCs w:val="19"/>
          <w:highlight w:val="none"/>
          <w:lang w:val="en-US" w:eastAsia="zh-CN"/>
        </w:rPr>
        <w:t>》；</w:t>
      </w:r>
    </w:p>
    <w:p w14:paraId="45EE7024">
      <w:pPr>
        <w:wordWrap/>
        <w:ind w:firstLine="380" w:firstLineChars="200"/>
        <w:rPr>
          <w:rFonts w:hint="eastAsia" w:ascii="黑体" w:hAnsi="黑体" w:eastAsia="黑体" w:cs="黑体"/>
          <w:sz w:val="19"/>
          <w:szCs w:val="19"/>
          <w:highlight w:val="yellow"/>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3AB8805">
      <w:pPr>
        <w:wordWrap/>
        <w:snapToGrid w:val="0"/>
        <w:spacing w:line="360" w:lineRule="auto"/>
        <w:ind w:right="480"/>
        <w:jc w:val="center"/>
        <w:outlineLvl w:val="1"/>
        <w:rPr>
          <w:rFonts w:hint="eastAsia" w:ascii="黑体" w:hAnsi="黑体" w:eastAsia="黑体" w:cs="黑体"/>
          <w:sz w:val="28"/>
          <w:szCs w:val="28"/>
          <w:highlight w:val="none"/>
        </w:rPr>
      </w:pPr>
      <w:bookmarkStart w:id="63" w:name="_Toc24462"/>
      <w:bookmarkStart w:id="64" w:name="_Toc30990"/>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rPr>
        <w:t>落实政府采购政策需满足的资格要求</w:t>
      </w:r>
      <w:bookmarkEnd w:id="63"/>
      <w:bookmarkEnd w:id="64"/>
    </w:p>
    <w:p w14:paraId="04E7BD2A">
      <w:pPr>
        <w:keepNext w:val="0"/>
        <w:keepLines w:val="0"/>
        <w:pageBreakBefore w:val="0"/>
        <w:widowControl w:val="0"/>
        <w:kinsoku/>
        <w:wordWrap/>
        <w:overflowPunct/>
        <w:topLinePunct w:val="0"/>
        <w:autoSpaceDE/>
        <w:autoSpaceDN/>
        <w:bidi w:val="0"/>
        <w:adjustRightInd/>
        <w:snapToGrid/>
        <w:spacing w:before="86" w:beforeLines="20" w:after="213" w:afterLines="50" w:line="50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（根据竞争性磋商公告落实政府采购政策需满足的资格要求</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选择提供相应的材料</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未要求的，无需提供）</w:t>
      </w:r>
      <w:r>
        <w:rPr>
          <w:rFonts w:hint="eastAsia" w:ascii="黑体" w:hAnsi="黑体" w:eastAsia="黑体" w:cs="黑体"/>
          <w:sz w:val="19"/>
          <w:szCs w:val="19"/>
          <w:highlight w:val="none"/>
          <w:lang w:val="en-US" w:eastAsia="zh-CN"/>
        </w:rPr>
        <w:t xml:space="preserve"> </w:t>
      </w:r>
    </w:p>
    <w:p w14:paraId="4AD54B82">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1、专门面向中小企业，服务全部由符合政策要求的中小企业承接的，</w:t>
      </w:r>
      <w:r>
        <w:rPr>
          <w:rFonts w:hint="eastAsia" w:ascii="黑体" w:hAnsi="黑体" w:eastAsia="黑体" w:cs="黑体"/>
          <w:sz w:val="19"/>
          <w:szCs w:val="19"/>
          <w:highlight w:val="none"/>
          <w:lang w:val="en-US" w:eastAsia="zh-CN"/>
        </w:rPr>
        <w:t>应当出具政策规定的《中小企业声明函》（</w:t>
      </w: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w:t>
      </w:r>
      <w:r>
        <w:rPr>
          <w:rFonts w:hint="eastAsia" w:ascii="黑体" w:hAnsi="黑体" w:eastAsia="黑体" w:cs="黑体"/>
          <w:sz w:val="19"/>
          <w:szCs w:val="19"/>
          <w:highlight w:val="none"/>
          <w:lang w:val="en-US" w:eastAsia="zh-CN"/>
        </w:rPr>
        <w:t>）</w:t>
      </w:r>
    </w:p>
    <w:p w14:paraId="32D26274">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2、要求以联合体形式参加的，提供联合协议（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-4）和中小企业声明函，联合协议中中小企业合同金额应当达到竞争性磋商公告载明的比例；如果供应商本身提供所有标的均由中小企业制造或承接的，视同符合了资格条件，无需再与其他中小企业组成联合体参加政府采购活动，无需提供联合协议。</w:t>
      </w:r>
    </w:p>
    <w:p w14:paraId="380EA10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3、要求合同分包的，提供分包意向协议(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-5)和中小企业声明函，分包意向协议中中小企业合同金额应当达到竞争性磋商公告载明的比例；如果供应商本身提供所有标的均由中小企业制造或承接，视同符合了资格条件，无需再向中小企业分包，无需提供分包意向协议。</w:t>
      </w:r>
    </w:p>
    <w:p w14:paraId="1DB227B9">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64C9A841">
      <w:pPr>
        <w:pStyle w:val="4"/>
        <w:keepNext w:val="0"/>
        <w:keepLines w:val="0"/>
        <w:pageBreakBefore w:val="0"/>
        <w:widowControl w:val="0"/>
        <w:numPr>
          <w:ilvl w:val="1"/>
          <w:numId w:val="0"/>
        </w:numPr>
        <w:tabs>
          <w:tab w:val="left" w:pos="576"/>
          <w:tab w:val="clear" w:pos="709"/>
        </w:tabs>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kern w:val="2"/>
          <w:sz w:val="19"/>
          <w:szCs w:val="19"/>
          <w:highlight w:val="none"/>
          <w:lang w:eastAsia="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-3-1：中小企业声明函</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rPr>
        <w:t>如不涉及，无须填写，删除本页</w:t>
      </w:r>
      <w:r>
        <w:rPr>
          <w:rFonts w:hint="eastAsia" w:ascii="黑体" w:hAnsi="黑体" w:eastAsia="黑体" w:cs="黑体"/>
          <w:b w:val="0"/>
          <w:bCs w:val="0"/>
          <w:color w:val="auto"/>
          <w:kern w:val="2"/>
          <w:sz w:val="19"/>
          <w:szCs w:val="19"/>
          <w:highlight w:val="none"/>
          <w:lang w:eastAsia="zh-CN"/>
        </w:rPr>
        <w:t>）</w:t>
      </w:r>
    </w:p>
    <w:p w14:paraId="07695437">
      <w:pPr>
        <w:wordWrap/>
        <w:rPr>
          <w:rFonts w:hint="eastAsia" w:ascii="黑体" w:hAnsi="黑体" w:eastAsia="黑体" w:cs="黑体"/>
          <w:b w:val="0"/>
          <w:bCs w:val="0"/>
          <w:color w:val="auto"/>
          <w:kern w:val="2"/>
          <w:sz w:val="19"/>
          <w:szCs w:val="19"/>
          <w:highlight w:val="none"/>
          <w:lang w:eastAsia="zh-CN"/>
        </w:rPr>
      </w:pPr>
    </w:p>
    <w:p w14:paraId="5C10A73E">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中小企业声明函</w:t>
      </w:r>
    </w:p>
    <w:p w14:paraId="5BE1766C">
      <w:pPr>
        <w:keepNext w:val="0"/>
        <w:keepLines w:val="0"/>
        <w:pageBreakBefore w:val="0"/>
        <w:widowControl w:val="0"/>
        <w:kinsoku/>
        <w:wordWrap/>
        <w:overflowPunct/>
        <w:topLinePunct w:val="0"/>
        <w:autoSpaceDE/>
        <w:autoSpaceDN/>
        <w:bidi w:val="0"/>
        <w:adjustRightInd/>
        <w:snapToGrid/>
        <w:spacing w:before="86" w:beforeLines="20" w:line="500" w:lineRule="exact"/>
        <w:ind w:firstLine="285" w:firstLineChars="15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本公司（联合体）郑重声明，根据《政府采购促进中小企业发展管理办法》（财库﹝2020﹞46 号）的规定，本公司（联合体）参加</w:t>
      </w:r>
      <w:r>
        <w:rPr>
          <w:rFonts w:hint="eastAsia" w:ascii="黑体" w:hAnsi="黑体" w:eastAsia="黑体" w:cs="黑体"/>
          <w:sz w:val="19"/>
          <w:szCs w:val="19"/>
          <w:highlight w:val="none"/>
          <w:u w:val="single"/>
        </w:rPr>
        <w:t xml:space="preserve"> （单位名称） 陕西省生态环境执法总队</w:t>
      </w:r>
      <w:r>
        <w:rPr>
          <w:rFonts w:hint="eastAsia" w:ascii="黑体" w:hAnsi="黑体" w:eastAsia="黑体" w:cs="黑体"/>
          <w:sz w:val="19"/>
          <w:szCs w:val="19"/>
          <w:highlight w:val="none"/>
        </w:rPr>
        <w:t>的</w:t>
      </w:r>
      <w:r>
        <w:rPr>
          <w:rFonts w:hint="eastAsia" w:ascii="黑体" w:hAnsi="黑体" w:eastAsia="黑体" w:cs="黑体"/>
          <w:sz w:val="19"/>
          <w:szCs w:val="19"/>
          <w:highlight w:val="none"/>
          <w:u w:val="single"/>
        </w:rPr>
        <w:t xml:space="preserve"> （项目名称）</w:t>
      </w:r>
      <w:r>
        <w:rPr>
          <w:rFonts w:hint="eastAsia" w:ascii="黑体" w:hAnsi="黑体" w:eastAsia="黑体" w:cs="黑体"/>
          <w:sz w:val="19"/>
          <w:szCs w:val="19"/>
          <w:highlight w:val="none"/>
          <w:u w:val="single"/>
          <w:lang w:eastAsia="zh-CN"/>
        </w:rPr>
        <w:t>陕西省生态环境执法装备和用电监控统筹管控能力建设项目安全检测服务（二次）</w:t>
      </w:r>
      <w:r>
        <w:rPr>
          <w:rFonts w:hint="eastAsia" w:ascii="黑体" w:hAnsi="黑体" w:eastAsia="黑体" w:cs="黑体"/>
          <w:sz w:val="19"/>
          <w:szCs w:val="19"/>
          <w:highlight w:val="none"/>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85722F8">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标的名称、标包号：/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 xml:space="preserve">，属于 </w:t>
      </w:r>
      <w:r>
        <w:rPr>
          <w:rFonts w:hint="eastAsia" w:ascii="黑体" w:hAnsi="黑体" w:eastAsia="黑体" w:cs="黑体"/>
          <w:sz w:val="19"/>
          <w:szCs w:val="19"/>
          <w:highlight w:val="none"/>
          <w:u w:val="single"/>
        </w:rPr>
        <w:t>（采购文件中明确的所属行业）</w:t>
      </w:r>
      <w:r>
        <w:rPr>
          <w:rFonts w:hint="eastAsia" w:ascii="黑体" w:hAnsi="黑体" w:eastAsia="黑体" w:cs="黑体"/>
          <w:sz w:val="19"/>
          <w:szCs w:val="19"/>
          <w:highlight w:val="none"/>
        </w:rPr>
        <w:t xml:space="preserve">；承建（承接）企业为 </w:t>
      </w:r>
      <w:r>
        <w:rPr>
          <w:rFonts w:hint="eastAsia" w:ascii="黑体" w:hAnsi="黑体" w:eastAsia="黑体" w:cs="黑体"/>
          <w:sz w:val="19"/>
          <w:szCs w:val="19"/>
          <w:highlight w:val="none"/>
          <w:u w:val="single"/>
        </w:rPr>
        <w:t>（企业名称）</w:t>
      </w:r>
      <w:r>
        <w:rPr>
          <w:rFonts w:hint="eastAsia" w:ascii="黑体" w:hAnsi="黑体" w:eastAsia="黑体" w:cs="黑体"/>
          <w:sz w:val="19"/>
          <w:szCs w:val="19"/>
          <w:highlight w:val="none"/>
        </w:rPr>
        <w:t xml:space="preserve"> ，从业人员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人，营业收入为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万元，资产总额为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万元属于</w:t>
      </w:r>
      <w:r>
        <w:rPr>
          <w:rFonts w:hint="eastAsia" w:ascii="黑体" w:hAnsi="黑体" w:eastAsia="黑体" w:cs="黑体"/>
          <w:sz w:val="19"/>
          <w:szCs w:val="19"/>
          <w:highlight w:val="none"/>
          <w:u w:val="single"/>
        </w:rPr>
        <w:t xml:space="preserve"> （中型企业、小型企业、微型企业） </w:t>
      </w:r>
      <w:r>
        <w:rPr>
          <w:rFonts w:hint="eastAsia" w:ascii="黑体" w:hAnsi="黑体" w:eastAsia="黑体" w:cs="黑体"/>
          <w:sz w:val="19"/>
          <w:szCs w:val="19"/>
          <w:highlight w:val="none"/>
        </w:rPr>
        <w:t>；</w:t>
      </w:r>
    </w:p>
    <w:p w14:paraId="6EADD188">
      <w:pPr>
        <w:keepNext w:val="0"/>
        <w:keepLines w:val="0"/>
        <w:pageBreakBefore w:val="0"/>
        <w:widowControl w:val="0"/>
        <w:kinsoku/>
        <w:wordWrap/>
        <w:overflowPunct/>
        <w:topLinePunct w:val="0"/>
        <w:autoSpaceDE/>
        <w:autoSpaceDN/>
        <w:bidi w:val="0"/>
        <w:adjustRightInd/>
        <w:snapToGrid/>
        <w:spacing w:before="86" w:beforeLines="20" w:line="500" w:lineRule="exact"/>
        <w:ind w:firstLine="381" w:firstLineChars="20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以上企业，不属于大企业的分支机构，不存在控股股东为大企业的情形，也不存在与大企业的负责人为同一人的情形。</w:t>
      </w:r>
    </w:p>
    <w:p w14:paraId="74C9EF3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本企业对上述声明内容的真实性负责。如有虚假，将依法承担相应责任。</w:t>
      </w:r>
    </w:p>
    <w:p w14:paraId="1F0933A1">
      <w:pPr>
        <w:pStyle w:val="9"/>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rPr>
      </w:pPr>
    </w:p>
    <w:p w14:paraId="1AA7A1F9">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7E4B1988">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w:t>
      </w:r>
      <w:r>
        <w:rPr>
          <w:rFonts w:hint="eastAsia" w:ascii="黑体" w:hAnsi="黑体" w:eastAsia="黑体" w:cs="黑体"/>
          <w:color w:val="auto"/>
          <w:kern w:val="2"/>
          <w:sz w:val="19"/>
          <w:szCs w:val="19"/>
          <w:highlight w:val="none"/>
          <w:lang w:val="en-US" w:eastAsia="zh-CN"/>
        </w:rPr>
        <w:t>授权代表</w:t>
      </w:r>
      <w:r>
        <w:rPr>
          <w:rFonts w:hint="eastAsia" w:ascii="黑体" w:hAnsi="黑体" w:eastAsia="黑体" w:cs="黑体"/>
          <w:color w:val="auto"/>
          <w:kern w:val="2"/>
          <w:sz w:val="19"/>
          <w:szCs w:val="19"/>
          <w:highlight w:val="none"/>
        </w:rPr>
        <w:t>(签字或盖章)：____________</w:t>
      </w:r>
    </w:p>
    <w:p w14:paraId="3D366C8F">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25422F8">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highlight w:val="none"/>
        </w:rPr>
      </w:pPr>
    </w:p>
    <w:p w14:paraId="26DABE9C">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从业人员、营业收入、资产总额填报上一年度数据，无上一年度数据的新成立企业可不填报。</w:t>
      </w:r>
    </w:p>
    <w:p w14:paraId="7E3E7708">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注：符合《关于促进残疾人就业政府采购政策的通知》（财库〔2017〕141号）规定的条件并提供《残疾人福利性单位声明函》（</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2-2）的残疾人福利性单位视同小型、微型企业；根据《关于政府采购支持监狱企业发展有关问题的通知》（财库[2014]68号）的规定，供应商提供由省级以上监狱管理局、戒毒管理局（含新疆生产建设兵团）出具的属于监狱企业证明文件的（</w:t>
      </w:r>
      <w:r>
        <w:rPr>
          <w:rFonts w:hint="eastAsia" w:ascii="黑体" w:hAnsi="黑体" w:eastAsia="黑体" w:cs="黑体"/>
          <w:sz w:val="19"/>
          <w:szCs w:val="19"/>
          <w:highlight w:val="none"/>
          <w:lang w:val="en-US" w:eastAsia="zh-CN"/>
        </w:rPr>
        <w:t>3-3</w:t>
      </w:r>
      <w:r>
        <w:rPr>
          <w:rFonts w:hint="eastAsia" w:ascii="黑体" w:hAnsi="黑体" w:eastAsia="黑体" w:cs="黑体"/>
          <w:sz w:val="19"/>
          <w:szCs w:val="19"/>
          <w:highlight w:val="none"/>
        </w:rPr>
        <w:t>-3），视同为小型和微型企业。</w:t>
      </w:r>
    </w:p>
    <w:p w14:paraId="4D8158D2">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bCs w:val="0"/>
          <w:color w:val="auto"/>
          <w:kern w:val="2"/>
          <w:sz w:val="22"/>
          <w:szCs w:val="22"/>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5023F70A">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-3-2：残疾人福利性单位声明函（如不涉及，无须填写，删除本页）</w:t>
      </w:r>
    </w:p>
    <w:p w14:paraId="26CFDCD3">
      <w:pPr>
        <w:keepNext w:val="0"/>
        <w:keepLines w:val="0"/>
        <w:pageBreakBefore w:val="0"/>
        <w:kinsoku/>
        <w:wordWrap/>
        <w:overflowPunct/>
        <w:topLinePunct w:val="0"/>
        <w:autoSpaceDE/>
        <w:autoSpaceDN/>
        <w:bidi w:val="0"/>
        <w:adjustRightInd/>
        <w:snapToGrid w:val="0"/>
        <w:spacing w:before="50" w:after="50" w:line="480" w:lineRule="exact"/>
        <w:jc w:val="center"/>
        <w:textAlignment w:val="auto"/>
        <w:rPr>
          <w:rFonts w:hint="eastAsia" w:ascii="黑体" w:hAnsi="黑体" w:eastAsia="黑体" w:cs="黑体"/>
          <w:b w:val="0"/>
          <w:bCs w:val="0"/>
          <w:kern w:val="0"/>
          <w:sz w:val="19"/>
          <w:szCs w:val="19"/>
          <w:highlight w:val="none"/>
        </w:rPr>
      </w:pPr>
      <w:r>
        <w:rPr>
          <w:rFonts w:hint="eastAsia" w:ascii="黑体" w:hAnsi="黑体" w:eastAsia="黑体" w:cs="黑体"/>
          <w:b w:val="0"/>
          <w:bCs w:val="0"/>
          <w:kern w:val="0"/>
          <w:sz w:val="19"/>
          <w:szCs w:val="19"/>
          <w:highlight w:val="none"/>
        </w:rPr>
        <w:t xml:space="preserve"> </w:t>
      </w:r>
    </w:p>
    <w:p w14:paraId="6D405BE8">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rPr>
        <w:t>残疾人福利性单位声明函</w:t>
      </w:r>
    </w:p>
    <w:p w14:paraId="1DB8383D">
      <w:pPr>
        <w:keepNext w:val="0"/>
        <w:keepLines w:val="0"/>
        <w:pageBreakBefore w:val="0"/>
        <w:widowControl w:val="0"/>
        <w:kinsoku/>
        <w:wordWrap/>
        <w:overflowPunct/>
        <w:topLinePunct w:val="0"/>
        <w:autoSpaceDE/>
        <w:autoSpaceDN/>
        <w:bidi w:val="0"/>
        <w:adjustRightInd/>
        <w:snapToGrid/>
        <w:spacing w:before="86" w:beforeLines="20" w:line="500" w:lineRule="exact"/>
        <w:ind w:firstLine="570" w:firstLine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DC1FC7">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本单位对上述声明的真实性负责。如有虚假，将依法承担相应责任。</w:t>
      </w:r>
    </w:p>
    <w:p w14:paraId="4F4AF92C">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1E20B7BD">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7D1752D0">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55ED6EF1">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法定代表人或授权代表(签字或盖章)：____________</w:t>
      </w:r>
    </w:p>
    <w:p w14:paraId="0BBD117D">
      <w:pPr>
        <w:pStyle w:val="13"/>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304CD257">
      <w:pPr>
        <w:keepNext w:val="0"/>
        <w:keepLines w:val="0"/>
        <w:pageBreakBefore w:val="0"/>
        <w:tabs>
          <w:tab w:val="left" w:pos="4860"/>
        </w:tabs>
        <w:kinsoku/>
        <w:wordWrap/>
        <w:overflowPunct/>
        <w:topLinePunct w:val="0"/>
        <w:autoSpaceDE/>
        <w:autoSpaceDN/>
        <w:bidi w:val="0"/>
        <w:adjustRightInd/>
        <w:spacing w:line="480" w:lineRule="exact"/>
        <w:ind w:right="1560" w:firstLine="380" w:firstLineChars="200"/>
        <w:jc w:val="center"/>
        <w:textAlignment w:val="auto"/>
        <w:rPr>
          <w:rFonts w:hint="eastAsia" w:ascii="宋体" w:hAnsi="宋体" w:eastAsia="宋体" w:cs="宋体"/>
          <w:sz w:val="19"/>
          <w:szCs w:val="19"/>
          <w:highlight w:val="none"/>
        </w:rPr>
      </w:pPr>
    </w:p>
    <w:p w14:paraId="45E7D280">
      <w:pPr>
        <w:wordWrap/>
        <w:rPr>
          <w:rFonts w:hint="eastAsia" w:ascii="宋体" w:hAnsi="宋体" w:eastAsia="宋体" w:cs="宋体"/>
          <w:sz w:val="19"/>
          <w:szCs w:val="19"/>
          <w:highlight w:val="none"/>
        </w:rPr>
      </w:pPr>
      <w:r>
        <w:rPr>
          <w:rFonts w:hint="eastAsia" w:ascii="宋体" w:hAnsi="宋体" w:eastAsia="宋体" w:cs="宋体"/>
          <w:sz w:val="19"/>
          <w:szCs w:val="19"/>
          <w:highlight w:val="none"/>
        </w:rPr>
        <w:br w:type="page"/>
      </w:r>
    </w:p>
    <w:p w14:paraId="3C5316B0">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-3-3：监狱企业证明文件（如不涉及，无须填写，删除本页）</w:t>
      </w:r>
    </w:p>
    <w:p w14:paraId="4FF03D80">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lang w:val="en-US" w:eastAsia="zh-CN"/>
        </w:rPr>
      </w:pPr>
    </w:p>
    <w:p w14:paraId="3F40DE8F">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rPr>
      </w:pPr>
      <w:r>
        <w:rPr>
          <w:rFonts w:hint="eastAsia" w:ascii="黑体" w:hAnsi="黑体" w:eastAsia="黑体" w:cs="黑体"/>
          <w:b w:val="0"/>
          <w:bCs/>
          <w:sz w:val="19"/>
          <w:szCs w:val="19"/>
          <w:highlight w:val="none"/>
          <w:lang w:val="en-US" w:eastAsia="zh-CN"/>
        </w:rPr>
        <w:t>提供</w:t>
      </w:r>
      <w:r>
        <w:rPr>
          <w:rFonts w:hint="eastAsia" w:ascii="黑体" w:hAnsi="黑体" w:eastAsia="黑体" w:cs="黑体"/>
          <w:b w:val="0"/>
          <w:bCs/>
          <w:sz w:val="19"/>
          <w:szCs w:val="19"/>
          <w:highlight w:val="none"/>
        </w:rPr>
        <w:t>省级以上监狱管理局、戒毒管理局（含新疆生产建设兵团）出具的属于监狱企业证明文件</w:t>
      </w:r>
    </w:p>
    <w:p w14:paraId="66CF6AB1">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05EBDBDD">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53830A0F">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73B22F95">
      <w:pPr>
        <w:keepNext w:val="0"/>
        <w:keepLines w:val="0"/>
        <w:pageBreakBefore w:val="0"/>
        <w:widowControl/>
        <w:kinsoku/>
        <w:wordWrap/>
        <w:overflowPunct/>
        <w:topLinePunct w:val="0"/>
        <w:autoSpaceDE/>
        <w:autoSpaceDN/>
        <w:bidi w:val="0"/>
        <w:adjustRightInd/>
        <w:spacing w:line="480" w:lineRule="exact"/>
        <w:jc w:val="both"/>
        <w:textAlignment w:val="auto"/>
        <w:rPr>
          <w:rFonts w:hint="eastAsia" w:ascii="宋体" w:hAnsi="宋体" w:eastAsia="宋体" w:cs="宋体"/>
          <w:b/>
          <w:kern w:val="0"/>
          <w:sz w:val="19"/>
          <w:szCs w:val="19"/>
          <w:highlight w:val="none"/>
        </w:rPr>
      </w:pPr>
    </w:p>
    <w:p w14:paraId="222A3E53">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37E79E8A">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A6790FB">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DFA2F33">
      <w:pPr>
        <w:wordWrap/>
        <w:rPr>
          <w:rFonts w:hint="eastAsia" w:ascii="宋体" w:hAnsi="宋体" w:eastAsia="宋体" w:cs="宋体"/>
          <w:b/>
          <w:kern w:val="0"/>
          <w:sz w:val="19"/>
          <w:szCs w:val="19"/>
          <w:highlight w:val="none"/>
        </w:rPr>
      </w:pPr>
      <w:r>
        <w:rPr>
          <w:rFonts w:hint="eastAsia" w:ascii="宋体" w:hAnsi="宋体" w:eastAsia="宋体" w:cs="宋体"/>
          <w:b/>
          <w:kern w:val="0"/>
          <w:sz w:val="19"/>
          <w:szCs w:val="19"/>
          <w:highlight w:val="none"/>
        </w:rPr>
        <w:br w:type="page"/>
      </w:r>
    </w:p>
    <w:p w14:paraId="7B3576E1">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kern w:val="0"/>
          <w:sz w:val="19"/>
          <w:szCs w:val="19"/>
          <w:highlight w:val="none"/>
          <w:lang w:val="zh-CN"/>
        </w:rPr>
      </w:pPr>
      <w:bookmarkStart w:id="65" w:name="_Toc23715"/>
      <w:bookmarkStart w:id="66" w:name="_Toc2077"/>
      <w:bookmarkStart w:id="67" w:name="_Toc21551"/>
      <w:bookmarkStart w:id="68" w:name="_Toc8612"/>
      <w:bookmarkStart w:id="69" w:name="_Toc26401"/>
      <w:bookmarkStart w:id="70" w:name="_Toc32737"/>
      <w:bookmarkStart w:id="71" w:name="_Toc5299"/>
      <w:bookmarkStart w:id="72" w:name="_Toc22439"/>
      <w:r>
        <w:rPr>
          <w:rFonts w:hint="eastAsia" w:hAnsi="黑体" w:cs="黑体"/>
          <w:b w:val="0"/>
          <w:bCs w:val="0"/>
          <w:color w:val="auto"/>
          <w:kern w:val="2"/>
          <w:sz w:val="19"/>
          <w:szCs w:val="19"/>
          <w:highlight w:val="none"/>
          <w:lang w:val="en-US" w:eastAsia="zh-CN"/>
        </w:rPr>
        <w:t>3-3-4</w:t>
      </w:r>
      <w:r>
        <w:rPr>
          <w:rFonts w:hint="eastAsia" w:ascii="黑体" w:hAnsi="黑体" w:eastAsia="黑体" w:cs="黑体"/>
          <w:b w:val="0"/>
          <w:bCs w:val="0"/>
          <w:color w:val="auto"/>
          <w:kern w:val="2"/>
          <w:sz w:val="19"/>
          <w:szCs w:val="19"/>
          <w:highlight w:val="none"/>
        </w:rPr>
        <w:t>：联合体协议（项目未要求的，无需提供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p>
    <w:p w14:paraId="686B1081">
      <w:pPr>
        <w:keepNext w:val="0"/>
        <w:keepLines w:val="0"/>
        <w:pageBreakBefore w:val="0"/>
        <w:widowControl w:val="0"/>
        <w:kinsoku/>
        <w:wordWrap/>
        <w:overflowPunct/>
        <w:topLinePunct w:val="0"/>
        <w:autoSpaceDE/>
        <w:autoSpaceDN/>
        <w:bidi w:val="0"/>
        <w:adjustRightInd/>
        <w:snapToGrid w:val="0"/>
        <w:spacing w:before="213" w:beforeLines="50" w:after="213" w:afterLines="50" w:line="500" w:lineRule="exact"/>
        <w:jc w:val="center"/>
        <w:textAlignment w:val="auto"/>
        <w:rPr>
          <w:rFonts w:hint="eastAsia" w:ascii="黑体" w:hAnsi="黑体" w:eastAsia="黑体" w:cs="黑体"/>
          <w:b/>
          <w:kern w:val="0"/>
          <w:sz w:val="28"/>
          <w:szCs w:val="28"/>
          <w:highlight w:val="none"/>
          <w:lang w:val="zh-CN"/>
        </w:rPr>
      </w:pPr>
      <w:r>
        <w:rPr>
          <w:rFonts w:hint="eastAsia" w:ascii="黑体" w:hAnsi="黑体" w:eastAsia="黑体" w:cs="黑体"/>
          <w:b/>
          <w:kern w:val="0"/>
          <w:sz w:val="28"/>
          <w:szCs w:val="28"/>
          <w:highlight w:val="none"/>
          <w:lang w:val="zh-CN"/>
        </w:rPr>
        <w:t>联合协议（</w:t>
      </w:r>
      <w:r>
        <w:rPr>
          <w:rFonts w:hint="eastAsia" w:ascii="黑体" w:hAnsi="黑体" w:eastAsia="黑体" w:cs="黑体"/>
          <w:b/>
          <w:kern w:val="0"/>
          <w:sz w:val="28"/>
          <w:szCs w:val="28"/>
          <w:highlight w:val="none"/>
          <w:lang w:val="en-US" w:eastAsia="zh-CN"/>
        </w:rPr>
        <w:t>参考格式</w:t>
      </w:r>
      <w:r>
        <w:rPr>
          <w:rFonts w:hint="eastAsia" w:ascii="黑体" w:hAnsi="黑体" w:eastAsia="黑体" w:cs="黑体"/>
          <w:b/>
          <w:kern w:val="0"/>
          <w:sz w:val="28"/>
          <w:szCs w:val="28"/>
          <w:highlight w:val="none"/>
          <w:lang w:val="zh-CN"/>
        </w:rPr>
        <w:t>）</w:t>
      </w:r>
    </w:p>
    <w:p w14:paraId="658FE713">
      <w:pPr>
        <w:pStyle w:val="8"/>
        <w:keepNext w:val="0"/>
        <w:keepLines w:val="0"/>
        <w:pageBreakBefore w:val="0"/>
        <w:widowControl w:val="0"/>
        <w:kinsoku/>
        <w:wordWrap/>
        <w:overflowPunct/>
        <w:topLinePunct w:val="0"/>
        <w:autoSpaceDE/>
        <w:autoSpaceDN/>
        <w:bidi w:val="0"/>
        <w:adjustRightInd w:val="0"/>
        <w:snapToGrid/>
        <w:spacing w:before="86" w:beforeLines="20" w:line="420" w:lineRule="exact"/>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（联合体所有成员名称）</w:t>
      </w:r>
      <w:r>
        <w:rPr>
          <w:rFonts w:hint="eastAsia" w:ascii="黑体" w:hAnsi="黑体" w:eastAsia="黑体" w:cs="黑体"/>
          <w:color w:val="000000"/>
          <w:sz w:val="19"/>
          <w:szCs w:val="19"/>
        </w:rPr>
        <w:t>自愿组成一个联合体，以一个</w:t>
      </w:r>
      <w:r>
        <w:rPr>
          <w:rFonts w:hint="eastAsia" w:ascii="黑体" w:hAnsi="黑体" w:eastAsia="黑体" w:cs="黑体"/>
          <w:color w:val="000000"/>
          <w:sz w:val="19"/>
          <w:szCs w:val="19"/>
          <w:lang w:eastAsia="zh-CN"/>
        </w:rPr>
        <w:t>供应商</w:t>
      </w:r>
      <w:r>
        <w:rPr>
          <w:rFonts w:hint="eastAsia" w:ascii="黑体" w:hAnsi="黑体" w:eastAsia="黑体" w:cs="黑体"/>
          <w:color w:val="000000"/>
          <w:sz w:val="19"/>
          <w:szCs w:val="19"/>
        </w:rPr>
        <w:t>的身份参加</w:t>
      </w:r>
      <w:r>
        <w:rPr>
          <w:rFonts w:hint="eastAsia" w:ascii="黑体" w:hAnsi="黑体" w:eastAsia="黑体" w:cs="黑体"/>
          <w:color w:val="000000"/>
          <w:sz w:val="19"/>
          <w:szCs w:val="19"/>
          <w:u w:val="single"/>
        </w:rPr>
        <w:t>（项目名称）</w:t>
      </w:r>
      <w:r>
        <w:rPr>
          <w:rFonts w:hint="eastAsia" w:ascii="黑体" w:hAnsi="黑体" w:eastAsia="黑体" w:cs="黑体"/>
          <w:color w:val="000000"/>
          <w:sz w:val="19"/>
          <w:szCs w:val="19"/>
        </w:rPr>
        <w:t>【</w:t>
      </w:r>
      <w:r>
        <w:rPr>
          <w:rFonts w:hint="eastAsia" w:ascii="黑体" w:hAnsi="黑体" w:eastAsia="黑体" w:cs="黑体"/>
          <w:color w:val="000000"/>
          <w:sz w:val="19"/>
          <w:szCs w:val="19"/>
          <w:lang w:val="en-US" w:eastAsia="zh-CN"/>
        </w:rPr>
        <w:t>项目</w:t>
      </w:r>
      <w:r>
        <w:rPr>
          <w:rFonts w:hint="eastAsia" w:ascii="黑体" w:hAnsi="黑体" w:eastAsia="黑体" w:cs="黑体"/>
          <w:color w:val="000000"/>
          <w:sz w:val="19"/>
          <w:szCs w:val="19"/>
        </w:rPr>
        <w:t>编号</w:t>
      </w:r>
      <w:r>
        <w:rPr>
          <w:rFonts w:hint="eastAsia" w:ascii="黑体" w:hAnsi="黑体" w:eastAsia="黑体" w:cs="黑体"/>
          <w:color w:val="000000"/>
          <w:sz w:val="19"/>
          <w:szCs w:val="19"/>
          <w:u w:val="single"/>
        </w:rPr>
        <w:t>：</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 xml:space="preserve">】投标。 </w:t>
      </w:r>
    </w:p>
    <w:p w14:paraId="6E66088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一、各方一致决定，</w:t>
      </w:r>
      <w:r>
        <w:rPr>
          <w:rFonts w:hint="eastAsia" w:ascii="黑体" w:hAnsi="黑体" w:eastAsia="黑体" w:cs="黑体"/>
          <w:color w:val="000000"/>
          <w:sz w:val="19"/>
          <w:szCs w:val="19"/>
          <w:u w:val="single"/>
        </w:rPr>
        <w:t>（某联合体成员名称）</w:t>
      </w:r>
      <w:r>
        <w:rPr>
          <w:rFonts w:hint="eastAsia" w:ascii="黑体" w:hAnsi="黑体" w:eastAsia="黑体" w:cs="黑体"/>
          <w:color w:val="000000"/>
          <w:sz w:val="19"/>
          <w:szCs w:val="19"/>
        </w:rPr>
        <w:t>为联合体牵头人，代表所有联合体成员负责投标和合同实施阶段的主办、协调工作。</w:t>
      </w:r>
    </w:p>
    <w:p w14:paraId="4546F46D">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二、所有联合体成员各方签署授权书，授权书载明的授权代表根据</w:t>
      </w:r>
      <w:r>
        <w:rPr>
          <w:rFonts w:hint="eastAsia" w:ascii="黑体" w:hAnsi="黑体" w:eastAsia="黑体" w:cs="黑体"/>
          <w:color w:val="000000"/>
          <w:sz w:val="19"/>
          <w:szCs w:val="19"/>
          <w:lang w:eastAsia="zh-CN"/>
        </w:rPr>
        <w:t>磋商文件</w:t>
      </w:r>
      <w:r>
        <w:rPr>
          <w:rFonts w:hint="eastAsia" w:ascii="黑体" w:hAnsi="黑体" w:eastAsia="黑体" w:cs="黑体"/>
          <w:color w:val="000000"/>
          <w:sz w:val="19"/>
          <w:szCs w:val="19"/>
        </w:rPr>
        <w:t>规定及投标内容而对采购人、采购代理机构所作的任何合法承诺，包括书面澄清及相应等均对联合投标各方产生约束力。</w:t>
      </w:r>
    </w:p>
    <w:p w14:paraId="71300B85">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三、本次联合投标中，分工如下：</w:t>
      </w:r>
    </w:p>
    <w:p w14:paraId="527983B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（联合体成员1）</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3DF93AE6">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（联合体成员2）</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4A496E8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四、联合体成员中小企业合同份额。</w:t>
      </w:r>
    </w:p>
    <w:p w14:paraId="7A842099">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w:t>
      </w:r>
      <w:r>
        <w:rPr>
          <w:rFonts w:hint="eastAsia" w:ascii="黑体" w:hAnsi="黑体" w:eastAsia="黑体" w:cs="黑体"/>
          <w:color w:val="000000"/>
          <w:sz w:val="19"/>
          <w:szCs w:val="19"/>
          <w:u w:val="single"/>
        </w:rPr>
        <w:t>（</w:t>
      </w:r>
      <w:bookmarkStart w:id="73" w:name="_Hlk101131882"/>
      <w:r>
        <w:rPr>
          <w:rFonts w:hint="eastAsia" w:ascii="黑体" w:hAnsi="黑体" w:eastAsia="黑体" w:cs="黑体"/>
          <w:color w:val="000000"/>
          <w:sz w:val="19"/>
          <w:szCs w:val="19"/>
          <w:u w:val="single"/>
        </w:rPr>
        <w:t>联合体成员X,……</w:t>
      </w:r>
      <w:bookmarkEnd w:id="73"/>
      <w:r>
        <w:rPr>
          <w:rFonts w:hint="eastAsia" w:ascii="黑体" w:hAnsi="黑体" w:eastAsia="黑体" w:cs="黑体"/>
          <w:color w:val="000000"/>
          <w:sz w:val="19"/>
          <w:szCs w:val="19"/>
          <w:u w:val="single"/>
        </w:rPr>
        <w:t>）</w:t>
      </w:r>
      <w:r>
        <w:rPr>
          <w:rFonts w:hint="eastAsia" w:ascii="黑体" w:hAnsi="黑体" w:eastAsia="黑体" w:cs="黑体"/>
          <w:color w:val="000000"/>
          <w:sz w:val="19"/>
          <w:szCs w:val="19"/>
        </w:rPr>
        <w:t>提供的服务由小微企业承接，其合同份额占到合同总金额</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%以上。</w:t>
      </w:r>
      <w:r>
        <w:rPr>
          <w:rFonts w:hint="eastAsia" w:ascii="黑体" w:hAnsi="黑体" w:eastAsia="黑体" w:cs="黑体"/>
          <w:b/>
          <w:bCs/>
          <w:color w:val="000000"/>
          <w:sz w:val="19"/>
          <w:szCs w:val="19"/>
        </w:rPr>
        <w:t>（</w:t>
      </w:r>
      <w:bookmarkStart w:id="74" w:name="_Hlk101133598"/>
      <w:r>
        <w:rPr>
          <w:rFonts w:hint="eastAsia" w:ascii="黑体" w:hAnsi="黑体" w:eastAsia="黑体" w:cs="黑体"/>
          <w:b/>
          <w:bCs/>
          <w:color w:val="000000"/>
          <w:sz w:val="19"/>
          <w:szCs w:val="19"/>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bookmarkEnd w:id="74"/>
      <w:r>
        <w:rPr>
          <w:rFonts w:hint="eastAsia" w:ascii="黑体" w:hAnsi="黑体" w:eastAsia="黑体" w:cs="黑体"/>
          <w:b/>
          <w:bCs/>
          <w:color w:val="000000"/>
          <w:sz w:val="19"/>
          <w:szCs w:val="19"/>
        </w:rPr>
        <w:t>）</w:t>
      </w:r>
    </w:p>
    <w:p w14:paraId="048F275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48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w:t>
      </w:r>
      <w:bookmarkStart w:id="75" w:name="_Hlk101133173"/>
      <w:r>
        <w:rPr>
          <w:rFonts w:hint="eastAsia" w:ascii="黑体" w:hAnsi="黑体" w:eastAsia="黑体" w:cs="黑体"/>
          <w:color w:val="000000"/>
          <w:sz w:val="19"/>
          <w:szCs w:val="19"/>
        </w:rPr>
        <w:t>中小企业合同金额达到</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%，小微企业合同金额达到</w:t>
      </w:r>
      <w:r>
        <w:rPr>
          <w:rFonts w:hint="eastAsia" w:ascii="黑体" w:hAnsi="黑体" w:eastAsia="黑体" w:cs="黑体"/>
          <w:color w:val="000000"/>
          <w:sz w:val="19"/>
          <w:szCs w:val="19"/>
          <w:u w:val="single"/>
        </w:rPr>
        <w:t>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w:t>
      </w:r>
      <w:r>
        <w:rPr>
          <w:rFonts w:hint="eastAsia" w:ascii="黑体" w:hAnsi="黑体" w:eastAsia="黑体" w:cs="黑体"/>
          <w:b/>
          <w:bCs/>
          <w:color w:val="000000"/>
          <w:sz w:val="19"/>
          <w:szCs w:val="19"/>
        </w:rPr>
        <w:t>（要求以联合体形式参加的项目或采购包，供应商按</w:t>
      </w:r>
      <w:r>
        <w:rPr>
          <w:rFonts w:hint="eastAsia" w:ascii="黑体" w:hAnsi="黑体" w:eastAsia="黑体" w:cs="黑体"/>
          <w:b/>
          <w:bCs/>
          <w:color w:val="000000"/>
          <w:sz w:val="19"/>
          <w:szCs w:val="19"/>
          <w:lang w:eastAsia="zh-CN"/>
        </w:rPr>
        <w:t>磋商文件</w:t>
      </w:r>
      <w:r>
        <w:rPr>
          <w:rFonts w:hint="eastAsia" w:ascii="黑体" w:hAnsi="黑体" w:eastAsia="黑体" w:cs="黑体"/>
          <w:b/>
          <w:bCs/>
          <w:color w:val="000000"/>
          <w:sz w:val="19"/>
          <w:szCs w:val="19"/>
        </w:rPr>
        <w:t>第一</w:t>
      </w:r>
      <w:r>
        <w:rPr>
          <w:rFonts w:hint="eastAsia" w:ascii="黑体" w:hAnsi="黑体" w:eastAsia="黑体" w:cs="黑体"/>
          <w:b/>
          <w:bCs/>
          <w:color w:val="000000"/>
          <w:sz w:val="19"/>
          <w:szCs w:val="19"/>
          <w:lang w:val="en-US" w:eastAsia="zh-CN"/>
        </w:rPr>
        <w:t>章竞争性磋商</w:t>
      </w:r>
      <w:r>
        <w:rPr>
          <w:rFonts w:hint="eastAsia" w:ascii="黑体" w:hAnsi="黑体" w:eastAsia="黑体" w:cs="黑体"/>
          <w:b/>
          <w:bCs/>
          <w:color w:val="000000"/>
          <w:sz w:val="19"/>
          <w:szCs w:val="19"/>
        </w:rPr>
        <w:t>公告申请人的资格要求中规定的联合协议中中小企业、小微企业合同金额应当达到的比例要求填写。）</w:t>
      </w:r>
      <w:bookmarkEnd w:id="75"/>
    </w:p>
    <w:p w14:paraId="1A20F1F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五、如果中标，联合体各成员方共同与采购人签订合同，并就采购合同约定的事项对采购人承担连带责任。</w:t>
      </w:r>
    </w:p>
    <w:p w14:paraId="4B7F3EBC">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六、有关本次联合投标的其他事宜：</w:t>
      </w:r>
    </w:p>
    <w:p w14:paraId="54DD1D4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1、联合体各方不再单独参加或者与其他供应商另外组成联合体参加同一合同项下的政府采购活动。</w:t>
      </w:r>
    </w:p>
    <w:p w14:paraId="309B24B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2、联合体中有同类资质的各方按照联合体分工承担相同工作的，按照资质等级较低的供应商确定资质等级。</w:t>
      </w:r>
    </w:p>
    <w:p w14:paraId="7A3A4E24">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3、本协议提交采购人、采购代理机构后，联合体各方不得以任何形式对上述内容进行修改或撤销。</w:t>
      </w:r>
    </w:p>
    <w:p w14:paraId="02768C9D">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联合体成员名称(公章)：</w:t>
      </w:r>
    </w:p>
    <w:p w14:paraId="36328A1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color w:val="000000"/>
          <w:sz w:val="19"/>
          <w:szCs w:val="19"/>
        </w:rPr>
      </w:pPr>
      <w:r>
        <w:rPr>
          <w:rFonts w:hint="eastAsia" w:ascii="黑体" w:hAnsi="黑体" w:eastAsia="黑体" w:cs="黑体"/>
          <w:color w:val="000000"/>
          <w:sz w:val="19"/>
          <w:szCs w:val="19"/>
        </w:rPr>
        <w:t>联合体成员名称(公章)：</w:t>
      </w:r>
    </w:p>
    <w:p w14:paraId="3B2F2A11">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lang w:val="en-US" w:eastAsia="zh-CN"/>
        </w:rPr>
      </w:pPr>
      <w:r>
        <w:rPr>
          <w:rFonts w:hint="eastAsia" w:ascii="黑体" w:hAnsi="黑体" w:eastAsia="黑体" w:cs="黑体"/>
          <w:color w:val="000000"/>
          <w:sz w:val="19"/>
          <w:szCs w:val="19"/>
        </w:rPr>
        <w:t>日期： 年 </w:t>
      </w:r>
      <w:r>
        <w:rPr>
          <w:rFonts w:hint="eastAsia" w:ascii="黑体" w:hAnsi="黑体" w:eastAsia="黑体" w:cs="黑体"/>
          <w:color w:val="000000"/>
          <w:sz w:val="19"/>
          <w:szCs w:val="19"/>
          <w:lang w:val="en-US" w:eastAsia="zh-CN"/>
        </w:rPr>
        <w:t xml:space="preserve"> </w:t>
      </w:r>
      <w:r>
        <w:rPr>
          <w:rFonts w:hint="eastAsia" w:ascii="黑体" w:hAnsi="黑体" w:eastAsia="黑体" w:cs="黑体"/>
          <w:color w:val="000000"/>
          <w:sz w:val="19"/>
          <w:szCs w:val="19"/>
        </w:rPr>
        <w:t xml:space="preserve"> 月  日</w:t>
      </w:r>
    </w:p>
    <w:p w14:paraId="0E16E953">
      <w:pPr>
        <w:wordWrap/>
        <w:ind w:firstLine="380" w:firstLineChars="200"/>
        <w:rPr>
          <w:rFonts w:hint="eastAsia" w:ascii="黑体" w:hAnsi="黑体" w:eastAsia="黑体" w:cs="黑体"/>
          <w:sz w:val="19"/>
          <w:szCs w:val="19"/>
          <w:highlight w:val="yellow"/>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D440676">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w:t>
      </w:r>
      <w:r>
        <w:rPr>
          <w:rFonts w:hint="eastAsia" w:hAnsi="黑体" w:cs="黑体"/>
          <w:b w:val="0"/>
          <w:bCs w:val="0"/>
          <w:color w:val="auto"/>
          <w:kern w:val="2"/>
          <w:sz w:val="19"/>
          <w:szCs w:val="19"/>
          <w:highlight w:val="none"/>
          <w:lang w:val="en-US" w:eastAsia="zh-CN"/>
        </w:rPr>
        <w:t>5</w:t>
      </w:r>
      <w:r>
        <w:rPr>
          <w:rFonts w:hint="eastAsia" w:ascii="黑体" w:hAnsi="黑体" w:eastAsia="黑体" w:cs="黑体"/>
          <w:b w:val="0"/>
          <w:bCs w:val="0"/>
          <w:color w:val="auto"/>
          <w:kern w:val="2"/>
          <w:sz w:val="19"/>
          <w:szCs w:val="19"/>
          <w:highlight w:val="none"/>
        </w:rPr>
        <w:t>：分包意向协议</w:t>
      </w:r>
      <w:bookmarkEnd w:id="65"/>
      <w:bookmarkEnd w:id="66"/>
      <w:bookmarkEnd w:id="67"/>
      <w:bookmarkEnd w:id="68"/>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bookmarkEnd w:id="69"/>
      <w:bookmarkEnd w:id="70"/>
      <w:bookmarkEnd w:id="71"/>
      <w:bookmarkEnd w:id="72"/>
    </w:p>
    <w:p w14:paraId="4F84F185">
      <w:pPr>
        <w:pStyle w:val="13"/>
        <w:keepNext w:val="0"/>
        <w:keepLines w:val="0"/>
        <w:pageBreakBefore w:val="0"/>
        <w:kinsoku/>
        <w:wordWrap/>
        <w:overflowPunct/>
        <w:topLinePunct w:val="0"/>
        <w:autoSpaceDE/>
        <w:autoSpaceDN/>
        <w:bidi w:val="0"/>
        <w:adjustRightInd/>
        <w:spacing w:line="480" w:lineRule="exact"/>
        <w:ind w:firstLine="562" w:firstLineChars="200"/>
        <w:jc w:val="center"/>
        <w:textAlignment w:val="auto"/>
        <w:rPr>
          <w:rFonts w:hint="eastAsia" w:ascii="黑体" w:hAnsi="黑体" w:eastAsia="黑体" w:cs="黑体"/>
          <w:b/>
          <w:color w:val="auto"/>
          <w:kern w:val="2"/>
          <w:sz w:val="28"/>
          <w:szCs w:val="28"/>
          <w:highlight w:val="none"/>
        </w:rPr>
      </w:pPr>
      <w:bookmarkStart w:id="76" w:name="_Toc17429"/>
      <w:r>
        <w:rPr>
          <w:rFonts w:hint="eastAsia" w:ascii="黑体" w:hAnsi="黑体" w:eastAsia="黑体" w:cs="黑体"/>
          <w:b/>
          <w:color w:val="auto"/>
          <w:kern w:val="2"/>
          <w:sz w:val="28"/>
          <w:szCs w:val="28"/>
          <w:highlight w:val="none"/>
        </w:rPr>
        <w:t>分包意向协议</w:t>
      </w:r>
      <w:bookmarkEnd w:id="76"/>
    </w:p>
    <w:p w14:paraId="36D5D1CE">
      <w:pPr>
        <w:keepNext w:val="0"/>
        <w:keepLines w:val="0"/>
        <w:pageBreakBefore w:val="0"/>
        <w:widowControl/>
        <w:kinsoku/>
        <w:wordWrap/>
        <w:overflowPunct/>
        <w:topLinePunct w:val="0"/>
        <w:autoSpaceDE/>
        <w:autoSpaceDN/>
        <w:bidi w:val="0"/>
        <w:adjustRightInd/>
        <w:spacing w:before="86" w:beforeLines="20" w:line="500" w:lineRule="exact"/>
        <w:ind w:firstLine="95" w:firstLineChars="5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（成交后以分包方式履行合同的，提供分包意向协议；采购人不同意分包或者供应商成交后不以分包方式履行合同的，则不需要提供。）</w:t>
      </w:r>
    </w:p>
    <w:p w14:paraId="1EE40FB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若成为</w:t>
      </w:r>
      <w:r>
        <w:rPr>
          <w:rFonts w:hint="eastAsia" w:ascii="黑体" w:hAnsi="黑体" w:eastAsia="黑体" w:cs="黑体"/>
          <w:sz w:val="19"/>
          <w:szCs w:val="19"/>
          <w:highlight w:val="none"/>
        </w:rPr>
        <w:t>（项目名称）【</w:t>
      </w:r>
      <w:r>
        <w:rPr>
          <w:rFonts w:hint="eastAsia" w:ascii="黑体" w:hAnsi="黑体" w:eastAsia="黑体" w:cs="黑体"/>
          <w:sz w:val="19"/>
          <w:szCs w:val="19"/>
          <w:highlight w:val="none"/>
          <w:lang w:val="en-US" w:eastAsia="zh-CN"/>
        </w:rPr>
        <w:t>项目</w:t>
      </w:r>
      <w:r>
        <w:rPr>
          <w:rFonts w:hint="eastAsia" w:ascii="黑体" w:hAnsi="黑体" w:eastAsia="黑体" w:cs="黑体"/>
          <w:sz w:val="19"/>
          <w:szCs w:val="19"/>
          <w:highlight w:val="none"/>
        </w:rPr>
        <w:t>编号：】</w:t>
      </w:r>
      <w:r>
        <w:rPr>
          <w:rFonts w:hint="eastAsia" w:ascii="黑体" w:hAnsi="黑体" w:eastAsia="黑体" w:cs="黑体"/>
          <w:kern w:val="0"/>
          <w:sz w:val="19"/>
          <w:szCs w:val="19"/>
          <w:highlight w:val="none"/>
          <w:lang w:val="zh-CN"/>
        </w:rPr>
        <w:t>的中标供应商，将依法采取分包方式履行合同。</w:t>
      </w: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rPr>
        <w:t>与</w:t>
      </w:r>
      <w:r>
        <w:rPr>
          <w:rFonts w:hint="eastAsia" w:ascii="黑体" w:hAnsi="黑体" w:eastAsia="黑体" w:cs="黑体"/>
          <w:kern w:val="0"/>
          <w:sz w:val="19"/>
          <w:szCs w:val="19"/>
          <w:highlight w:val="none"/>
          <w:u w:val="single"/>
        </w:rPr>
        <w:t>（所有分包供应商名称）</w:t>
      </w:r>
      <w:r>
        <w:rPr>
          <w:rFonts w:hint="eastAsia" w:ascii="黑体" w:hAnsi="黑体" w:eastAsia="黑体" w:cs="黑体"/>
          <w:kern w:val="0"/>
          <w:sz w:val="19"/>
          <w:szCs w:val="19"/>
          <w:highlight w:val="none"/>
        </w:rPr>
        <w:t>达成分包意向协议</w:t>
      </w:r>
      <w:r>
        <w:rPr>
          <w:rFonts w:hint="eastAsia" w:ascii="黑体" w:hAnsi="黑体" w:eastAsia="黑体" w:cs="黑体"/>
          <w:kern w:val="0"/>
          <w:sz w:val="19"/>
          <w:szCs w:val="19"/>
          <w:highlight w:val="none"/>
          <w:lang w:val="zh-CN"/>
        </w:rPr>
        <w:t xml:space="preserve">。 </w:t>
      </w:r>
    </w:p>
    <w:p w14:paraId="077B60DC">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一、分包标的及数量</w:t>
      </w:r>
    </w:p>
    <w:p w14:paraId="2F61B82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将</w:t>
      </w:r>
      <w:r>
        <w:rPr>
          <w:rFonts w:hint="eastAsia" w:ascii="黑体" w:hAnsi="黑体" w:eastAsia="黑体" w:cs="黑体"/>
          <w:sz w:val="19"/>
          <w:szCs w:val="19"/>
          <w:highlight w:val="none"/>
          <w:u w:val="single"/>
        </w:rPr>
        <w:t xml:space="preserve">   XX工作内容   </w:t>
      </w:r>
      <w:r>
        <w:rPr>
          <w:rFonts w:hint="eastAsia" w:ascii="黑体" w:hAnsi="黑体" w:eastAsia="黑体" w:cs="黑体"/>
          <w:sz w:val="19"/>
          <w:szCs w:val="19"/>
          <w:highlight w:val="none"/>
        </w:rPr>
        <w:t>分包给</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具备承</w:t>
      </w:r>
      <w:r>
        <w:rPr>
          <w:rFonts w:hint="eastAsia" w:ascii="黑体" w:hAnsi="黑体" w:eastAsia="黑体" w:cs="黑体"/>
          <w:kern w:val="0"/>
          <w:sz w:val="19"/>
          <w:szCs w:val="19"/>
          <w:highlight w:val="none"/>
        </w:rPr>
        <w:t>担</w:t>
      </w:r>
      <w:r>
        <w:rPr>
          <w:rFonts w:hint="eastAsia" w:ascii="黑体" w:hAnsi="黑体" w:eastAsia="黑体" w:cs="黑体"/>
          <w:kern w:val="0"/>
          <w:sz w:val="19"/>
          <w:szCs w:val="19"/>
          <w:highlight w:val="none"/>
          <w:u w:val="single"/>
          <w:lang w:val="zh-CN"/>
        </w:rPr>
        <w:t>XX工作内容</w:t>
      </w:r>
      <w:r>
        <w:rPr>
          <w:rFonts w:hint="eastAsia" w:ascii="黑体" w:hAnsi="黑体" w:eastAsia="黑体" w:cs="黑体"/>
          <w:kern w:val="0"/>
          <w:sz w:val="19"/>
          <w:szCs w:val="19"/>
          <w:highlight w:val="none"/>
          <w:lang w:val="zh-CN"/>
        </w:rPr>
        <w:t>相应资质条件且不得再次分包；</w:t>
      </w:r>
    </w:p>
    <w:p w14:paraId="5A8EF8D5">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sz w:val="19"/>
          <w:szCs w:val="19"/>
          <w:highlight w:val="none"/>
          <w:u w:val="single"/>
        </w:rPr>
      </w:pPr>
      <w:r>
        <w:rPr>
          <w:rFonts w:hint="eastAsia" w:ascii="黑体" w:hAnsi="黑体" w:eastAsia="黑体" w:cs="黑体"/>
          <w:kern w:val="0"/>
          <w:sz w:val="19"/>
          <w:szCs w:val="19"/>
          <w:highlight w:val="none"/>
          <w:lang w:val="zh-CN"/>
        </w:rPr>
        <w:t>二、分包工作履行期限、地点、方式</w:t>
      </w:r>
      <w:r>
        <w:rPr>
          <w:rFonts w:hint="eastAsia" w:ascii="黑体" w:hAnsi="黑体" w:eastAsia="黑体" w:cs="黑体"/>
          <w:sz w:val="19"/>
          <w:szCs w:val="19"/>
          <w:highlight w:val="none"/>
          <w:u w:val="single"/>
        </w:rPr>
        <w:t xml:space="preserve">                                                                              </w:t>
      </w:r>
    </w:p>
    <w:p w14:paraId="2282101D">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三、质量</w:t>
      </w:r>
      <w:r>
        <w:rPr>
          <w:rFonts w:hint="eastAsia" w:ascii="黑体" w:hAnsi="黑体" w:eastAsia="黑体" w:cs="黑体"/>
          <w:sz w:val="19"/>
          <w:szCs w:val="19"/>
          <w:highlight w:val="none"/>
          <w:u w:val="single"/>
        </w:rPr>
        <w:t xml:space="preserve">                                                                                       </w:t>
      </w:r>
    </w:p>
    <w:p w14:paraId="3EE62CE8">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四、价款或者报酬</w:t>
      </w:r>
      <w:r>
        <w:rPr>
          <w:rFonts w:hint="eastAsia" w:ascii="黑体" w:hAnsi="黑体" w:eastAsia="黑体" w:cs="黑体"/>
          <w:sz w:val="19"/>
          <w:szCs w:val="19"/>
          <w:highlight w:val="none"/>
          <w:u w:val="single"/>
        </w:rPr>
        <w:t xml:space="preserve">                                                                                   </w:t>
      </w:r>
    </w:p>
    <w:p w14:paraId="77E9008F">
      <w:pPr>
        <w:keepNext w:val="0"/>
        <w:keepLines w:val="0"/>
        <w:pageBreakBefore w:val="0"/>
        <w:kinsoku/>
        <w:wordWrap/>
        <w:overflowPunct/>
        <w:topLinePunct w:val="0"/>
        <w:autoSpaceDE/>
        <w:autoSpaceDN/>
        <w:bidi w:val="0"/>
        <w:adjustRightInd/>
        <w:snapToGrid w:val="0"/>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五、违约责任</w:t>
      </w:r>
      <w:r>
        <w:rPr>
          <w:rFonts w:hint="eastAsia" w:ascii="黑体" w:hAnsi="黑体" w:eastAsia="黑体" w:cs="黑体"/>
          <w:sz w:val="19"/>
          <w:szCs w:val="19"/>
          <w:highlight w:val="none"/>
          <w:u w:val="single"/>
        </w:rPr>
        <w:t xml:space="preserve">                                                                                  </w:t>
      </w:r>
    </w:p>
    <w:p w14:paraId="38750344">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六、争议解决的办法</w:t>
      </w:r>
      <w:r>
        <w:rPr>
          <w:rFonts w:hint="eastAsia" w:ascii="黑体" w:hAnsi="黑体" w:eastAsia="黑体" w:cs="黑体"/>
          <w:sz w:val="19"/>
          <w:szCs w:val="19"/>
          <w:highlight w:val="none"/>
          <w:u w:val="single"/>
        </w:rPr>
        <w:t xml:space="preserve">                                                                          </w:t>
      </w:r>
    </w:p>
    <w:p w14:paraId="76422790">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七、其他</w:t>
      </w:r>
    </w:p>
    <w:p w14:paraId="2D8F56AC">
      <w:pPr>
        <w:keepNext w:val="0"/>
        <w:keepLines w:val="0"/>
        <w:pageBreakBefore w:val="0"/>
        <w:kinsoku/>
        <w:wordWrap/>
        <w:overflowPunct/>
        <w:topLinePunct w:val="0"/>
        <w:autoSpaceDE/>
        <w:autoSpaceDN/>
        <w:bidi w:val="0"/>
        <w:adjustRightInd/>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sz w:val="19"/>
          <w:szCs w:val="19"/>
          <w:highlight w:val="none"/>
        </w:rPr>
        <w:t>中小企业合同金额达到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%，小微企业合同金额达到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r>
        <w:rPr>
          <w:rFonts w:hint="eastAsia" w:ascii="黑体" w:hAnsi="黑体" w:eastAsia="黑体" w:cs="黑体"/>
          <w:kern w:val="0"/>
          <w:sz w:val="19"/>
          <w:szCs w:val="19"/>
          <w:highlight w:val="none"/>
          <w:lang w:val="zh-CN"/>
        </w:rPr>
        <w:t xml:space="preserve">。                                           </w:t>
      </w:r>
    </w:p>
    <w:p w14:paraId="5BF6D750">
      <w:pPr>
        <w:keepNext w:val="0"/>
        <w:keepLines w:val="0"/>
        <w:pageBreakBefore w:val="0"/>
        <w:kinsoku/>
        <w:wordWrap/>
        <w:overflowPunct/>
        <w:topLinePunct w:val="0"/>
        <w:autoSpaceDE/>
        <w:autoSpaceDN/>
        <w:bidi w:val="0"/>
        <w:adjustRightInd/>
        <w:spacing w:line="480" w:lineRule="exac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w:t>
      </w:r>
    </w:p>
    <w:p w14:paraId="03D6A0AF">
      <w:pPr>
        <w:pStyle w:val="13"/>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p>
    <w:p w14:paraId="5F384BC5">
      <w:pPr>
        <w:pStyle w:val="13"/>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分包供应商名称（盖章）：</w:t>
      </w:r>
    </w:p>
    <w:p w14:paraId="389A87DB">
      <w:pPr>
        <w:pStyle w:val="13"/>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1C8894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147275D8">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7" w:name="_Toc27537"/>
      <w:bookmarkStart w:id="78" w:name="_Toc30004"/>
      <w:r>
        <w:rPr>
          <w:rFonts w:hint="eastAsia" w:ascii="黑体" w:hAnsi="黑体" w:eastAsia="黑体" w:cs="黑体"/>
          <w:b/>
          <w:color w:val="auto"/>
          <w:sz w:val="28"/>
          <w:szCs w:val="28"/>
          <w:highlight w:val="none"/>
          <w:lang w:val="en-US" w:eastAsia="zh-CN"/>
        </w:rPr>
        <w:t>四、评分细则相应的商务技术资料</w:t>
      </w:r>
      <w:bookmarkEnd w:id="77"/>
      <w:bookmarkEnd w:id="78"/>
    </w:p>
    <w:p w14:paraId="5FB90D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0" w:afterAutospacing="0" w:line="420" w:lineRule="exact"/>
        <w:ind w:firstLine="380" w:firstLineChars="200"/>
        <w:jc w:val="both"/>
        <w:textAlignment w:val="auto"/>
        <w:rPr>
          <w:rFonts w:hint="eastAsia" w:ascii="黑体" w:hAnsi="黑体" w:eastAsia="黑体" w:cs="黑体"/>
          <w:b w:val="0"/>
          <w:bCs/>
          <w:color w:val="auto"/>
          <w:sz w:val="19"/>
          <w:szCs w:val="19"/>
          <w:highlight w:val="none"/>
        </w:rPr>
      </w:pPr>
      <w:r>
        <w:rPr>
          <w:rFonts w:hint="eastAsia" w:ascii="黑体" w:hAnsi="黑体" w:eastAsia="黑体" w:cs="黑体"/>
          <w:bCs/>
          <w:color w:val="auto"/>
          <w:sz w:val="19"/>
          <w:szCs w:val="19"/>
          <w:highlight w:val="none"/>
        </w:rPr>
        <w:t>注：供应商应结合本</w:t>
      </w:r>
      <w:r>
        <w:rPr>
          <w:rFonts w:hint="eastAsia" w:ascii="黑体" w:hAnsi="黑体" w:eastAsia="黑体" w:cs="黑体"/>
          <w:bCs/>
          <w:color w:val="auto"/>
          <w:sz w:val="19"/>
          <w:szCs w:val="19"/>
          <w:highlight w:val="none"/>
          <w:lang w:eastAsia="zh-CN"/>
        </w:rPr>
        <w:t>磋商文件</w:t>
      </w:r>
      <w:r>
        <w:rPr>
          <w:rFonts w:hint="eastAsia" w:ascii="黑体" w:hAnsi="黑体" w:eastAsia="黑体" w:cs="黑体"/>
          <w:bCs/>
          <w:color w:val="auto"/>
          <w:sz w:val="19"/>
          <w:szCs w:val="19"/>
          <w:highlight w:val="none"/>
        </w:rPr>
        <w:t>第四章评审办法要求详细描述并提供相关证明文件</w:t>
      </w:r>
      <w:r>
        <w:rPr>
          <w:rFonts w:hint="eastAsia" w:ascii="黑体" w:hAnsi="黑体" w:eastAsia="黑体" w:cs="黑体"/>
          <w:bCs/>
          <w:color w:val="auto"/>
          <w:sz w:val="19"/>
          <w:szCs w:val="19"/>
          <w:highlight w:val="none"/>
          <w:lang w:eastAsia="zh-CN"/>
        </w:rPr>
        <w:t>，</w:t>
      </w:r>
      <w:r>
        <w:rPr>
          <w:rFonts w:hint="eastAsia" w:ascii="黑体" w:hAnsi="黑体" w:eastAsia="黑体" w:cs="黑体"/>
          <w:b w:val="0"/>
          <w:bCs/>
          <w:color w:val="auto"/>
          <w:sz w:val="19"/>
          <w:szCs w:val="19"/>
          <w:highlight w:val="none"/>
          <w:lang w:val="en-US" w:eastAsia="zh-CN"/>
        </w:rPr>
        <w:t>避免缺漏项</w:t>
      </w:r>
      <w:r>
        <w:rPr>
          <w:rFonts w:hint="eastAsia" w:ascii="黑体" w:hAnsi="黑体" w:eastAsia="黑体" w:cs="黑体"/>
          <w:b w:val="0"/>
          <w:bCs/>
          <w:color w:val="auto"/>
          <w:sz w:val="19"/>
          <w:szCs w:val="19"/>
          <w:highlight w:val="none"/>
        </w:rPr>
        <w:t>。</w:t>
      </w:r>
    </w:p>
    <w:p w14:paraId="49260A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425" w:afterLines="100" w:afterAutospacing="0" w:line="420" w:lineRule="exact"/>
        <w:ind w:firstLine="381" w:firstLineChars="200"/>
        <w:jc w:val="both"/>
        <w:textAlignment w:val="auto"/>
        <w:rPr>
          <w:rFonts w:hint="eastAsia" w:ascii="黑体" w:hAnsi="黑体" w:eastAsia="黑体" w:cs="黑体"/>
          <w:b/>
          <w:bCs w:val="0"/>
          <w:color w:val="auto"/>
          <w:sz w:val="20"/>
          <w:szCs w:val="20"/>
          <w:highlight w:val="none"/>
        </w:rPr>
      </w:pPr>
      <w:r>
        <w:rPr>
          <w:rFonts w:hint="eastAsia" w:ascii="黑体" w:hAnsi="黑体" w:eastAsia="黑体" w:cs="黑体"/>
          <w:b/>
          <w:bCs/>
          <w:color w:val="000000"/>
          <w:sz w:val="19"/>
          <w:szCs w:val="19"/>
          <w:highlight w:val="none"/>
          <w:lang w:val="en-US" w:eastAsia="zh-CN"/>
        </w:rPr>
        <w:t>采购人和采购代理机构积极倡导并支持供应商履行节约能源与保护生态环境的社会责任，建议响应文件的总页数不超过300页，并双面打印。响应文件应编制目录、页码和评分索引表，评分索引表的格式见示例。</w:t>
      </w:r>
    </w:p>
    <w:p w14:paraId="2EDB4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w:t>
      </w:r>
      <w:r>
        <w:rPr>
          <w:rFonts w:hint="eastAsia" w:ascii="黑体" w:hAnsi="黑体" w:eastAsia="黑体" w:cs="黑体"/>
          <w:b/>
          <w:bCs/>
          <w:color w:val="auto"/>
          <w:kern w:val="2"/>
          <w:sz w:val="24"/>
          <w:szCs w:val="24"/>
          <w:highlight w:val="none"/>
          <w:lang w:val="en-US" w:eastAsia="zh-CN" w:bidi="ar-SA"/>
        </w:rPr>
        <w:t>评分索引表（示例，格式自拟）</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73"/>
        <w:gridCol w:w="5832"/>
        <w:gridCol w:w="991"/>
      </w:tblGrid>
      <w:tr w14:paraId="2FD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07" w:type="dxa"/>
            <w:vAlign w:val="center"/>
          </w:tcPr>
          <w:p w14:paraId="3F8AB9D8">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173" w:type="dxa"/>
            <w:vAlign w:val="center"/>
          </w:tcPr>
          <w:p w14:paraId="302576D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5832" w:type="dxa"/>
            <w:vAlign w:val="center"/>
          </w:tcPr>
          <w:p w14:paraId="4A4447F2">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c>
          <w:tcPr>
            <w:tcW w:w="991" w:type="dxa"/>
            <w:vAlign w:val="center"/>
          </w:tcPr>
          <w:p w14:paraId="5CC397C7">
            <w:pPr>
              <w:wordWrap/>
              <w:adjustRightInd w:val="0"/>
              <w:snapToGrid w:val="0"/>
              <w:jc w:val="center"/>
              <w:rPr>
                <w:rFonts w:hint="default" w:ascii="黑体" w:hAnsi="黑体" w:eastAsia="黑体" w:cs="黑体"/>
                <w:b/>
                <w:bCs/>
                <w:sz w:val="19"/>
                <w:szCs w:val="19"/>
                <w:lang w:val="en-US" w:eastAsia="zh-CN"/>
              </w:rPr>
            </w:pPr>
            <w:r>
              <w:rPr>
                <w:rFonts w:hint="eastAsia" w:ascii="黑体" w:hAnsi="黑体" w:eastAsia="黑体" w:cs="黑体"/>
                <w:b/>
                <w:bCs/>
                <w:sz w:val="19"/>
                <w:szCs w:val="19"/>
                <w:lang w:val="en-US" w:eastAsia="zh-CN"/>
              </w:rPr>
              <w:t>页码范围</w:t>
            </w:r>
          </w:p>
        </w:tc>
      </w:tr>
      <w:tr w14:paraId="187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07" w:type="dxa"/>
            <w:vAlign w:val="center"/>
          </w:tcPr>
          <w:p w14:paraId="2ED5A6E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173" w:type="dxa"/>
            <w:vAlign w:val="center"/>
          </w:tcPr>
          <w:p w14:paraId="09859AA0">
            <w:pPr>
              <w:wordWrap/>
              <w:adjustRightInd w:val="0"/>
              <w:snapToGrid w:val="0"/>
              <w:spacing w:line="360" w:lineRule="atLeast"/>
              <w:ind w:right="-57" w:rightChars="0"/>
              <w:jc w:val="center"/>
              <w:rPr>
                <w:rFonts w:hint="eastAsia" w:ascii="黑体" w:hAnsi="黑体" w:eastAsia="黑体" w:cs="黑体"/>
                <w:color w:val="auto"/>
                <w:sz w:val="19"/>
                <w:szCs w:val="19"/>
                <w:lang w:val="en-US" w:eastAsia="zh-CN"/>
              </w:rPr>
            </w:pPr>
            <w:r>
              <w:rPr>
                <w:rFonts w:hint="eastAsia" w:ascii="黑体" w:hAnsi="黑体" w:eastAsia="黑体" w:cs="黑体"/>
                <w:sz w:val="19"/>
                <w:szCs w:val="19"/>
                <w:lang w:val="en-US" w:eastAsia="zh-CN"/>
              </w:rPr>
              <w:t>A</w:t>
            </w:r>
          </w:p>
        </w:tc>
        <w:tc>
          <w:tcPr>
            <w:tcW w:w="5832" w:type="dxa"/>
            <w:vAlign w:val="center"/>
          </w:tcPr>
          <w:p w14:paraId="7E49EEE1">
            <w:pPr>
              <w:widowControl/>
              <w:wordWrap/>
              <w:spacing w:line="360" w:lineRule="atLeast"/>
              <w:jc w:val="left"/>
              <w:textAlignment w:val="center"/>
              <w:rPr>
                <w:rFonts w:hint="eastAsia" w:ascii="黑体" w:hAnsi="黑体" w:eastAsia="黑体" w:cs="黑体"/>
                <w:bCs/>
                <w:color w:val="auto"/>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6CEC3810">
            <w:pPr>
              <w:widowControl/>
              <w:wordWrap/>
              <w:spacing w:line="36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P15-P18</w:t>
            </w:r>
          </w:p>
        </w:tc>
      </w:tr>
      <w:tr w14:paraId="118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7" w:type="dxa"/>
            <w:vAlign w:val="center"/>
          </w:tcPr>
          <w:p w14:paraId="78649D80">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173" w:type="dxa"/>
            <w:vAlign w:val="center"/>
          </w:tcPr>
          <w:p w14:paraId="17A2B602">
            <w:pPr>
              <w:widowControl/>
              <w:wordWrap/>
              <w:spacing w:line="360" w:lineRule="atLeast"/>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B</w:t>
            </w:r>
          </w:p>
        </w:tc>
        <w:tc>
          <w:tcPr>
            <w:tcW w:w="5832" w:type="dxa"/>
            <w:vAlign w:val="center"/>
          </w:tcPr>
          <w:p w14:paraId="246782B6">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7D3BB2C2">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P25-P40</w:t>
            </w:r>
          </w:p>
        </w:tc>
      </w:tr>
      <w:tr w14:paraId="547C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7" w:type="dxa"/>
            <w:vAlign w:val="center"/>
          </w:tcPr>
          <w:p w14:paraId="0A4A793D">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173" w:type="dxa"/>
            <w:vAlign w:val="center"/>
          </w:tcPr>
          <w:p w14:paraId="19DFC053">
            <w:pPr>
              <w:pStyle w:val="18"/>
              <w:wordWrap/>
              <w:spacing w:before="0" w:beforeAutospacing="0" w:after="0" w:afterAutospacing="0" w:line="360" w:lineRule="atLeast"/>
              <w:jc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5832" w:type="dxa"/>
            <w:vAlign w:val="center"/>
          </w:tcPr>
          <w:p w14:paraId="6F97C5E5">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991" w:type="dxa"/>
            <w:vAlign w:val="center"/>
          </w:tcPr>
          <w:p w14:paraId="3059378D">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r>
    </w:tbl>
    <w:p w14:paraId="0CBCCDE2">
      <w:pPr>
        <w:widowControl/>
        <w:wordWrap/>
        <w:spacing w:line="360" w:lineRule="atLeast"/>
        <w:jc w:val="left"/>
        <w:textAlignment w:val="center"/>
        <w:rPr>
          <w:rFonts w:hint="default" w:ascii="黑体" w:hAnsi="黑体" w:eastAsia="黑体" w:cs="黑体"/>
          <w:sz w:val="19"/>
          <w:szCs w:val="19"/>
          <w:lang w:val="en-US" w:eastAsia="zh-CN"/>
        </w:rPr>
      </w:pPr>
    </w:p>
    <w:p w14:paraId="7CB644A8">
      <w:pPr>
        <w:wordWrap/>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br w:type="page"/>
      </w:r>
    </w:p>
    <w:p w14:paraId="7A6500D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9" w:name="_Toc13558"/>
      <w:r>
        <w:rPr>
          <w:rFonts w:hint="eastAsia" w:ascii="黑体" w:hAnsi="黑体" w:eastAsia="黑体" w:cs="黑体"/>
          <w:b/>
          <w:color w:val="auto"/>
          <w:sz w:val="28"/>
          <w:szCs w:val="28"/>
          <w:highlight w:val="none"/>
          <w:lang w:val="en-US" w:eastAsia="zh-CN"/>
        </w:rPr>
        <w:t>响应文件</w:t>
      </w:r>
      <w:r>
        <w:rPr>
          <w:rFonts w:hint="eastAsia" w:ascii="黑体" w:hAnsi="黑体" w:cs="黑体"/>
          <w:b/>
          <w:color w:val="auto"/>
          <w:sz w:val="28"/>
          <w:szCs w:val="28"/>
          <w:highlight w:val="none"/>
          <w:lang w:val="en-US" w:eastAsia="zh-CN"/>
        </w:rPr>
        <w:t>商务技术方案编制示例如下</w:t>
      </w:r>
      <w:r>
        <w:rPr>
          <w:rFonts w:hint="eastAsia" w:ascii="黑体" w:hAnsi="黑体" w:eastAsia="黑体" w:cs="黑体"/>
          <w:b/>
          <w:color w:val="auto"/>
          <w:sz w:val="28"/>
          <w:szCs w:val="28"/>
          <w:highlight w:val="none"/>
          <w:lang w:val="en-US" w:eastAsia="zh-CN"/>
        </w:rPr>
        <w:t>：</w:t>
      </w:r>
      <w:bookmarkEnd w:id="79"/>
    </w:p>
    <w:p w14:paraId="71684A52">
      <w:pPr>
        <w:keepNext w:val="0"/>
        <w:keepLines w:val="0"/>
        <w:pageBreakBefore w:val="0"/>
        <w:widowControl/>
        <w:numPr>
          <w:ilvl w:val="0"/>
          <w:numId w:val="0"/>
        </w:numPr>
        <w:kinsoku/>
        <w:wordWrap/>
        <w:overflowPunct/>
        <w:topLinePunct w:val="0"/>
        <w:autoSpaceDE/>
        <w:autoSpaceDN/>
        <w:bidi w:val="0"/>
        <w:adjustRightInd/>
        <w:snapToGrid/>
        <w:spacing w:line="48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b/>
          <w:bCs/>
          <w:sz w:val="24"/>
          <w:szCs w:val="24"/>
          <w:lang w:val="en-US" w:eastAsia="zh-CN"/>
        </w:rPr>
        <w:t>一、</w:t>
      </w:r>
      <w:r>
        <w:rPr>
          <w:rFonts w:hint="eastAsia" w:ascii="黑体" w:hAnsi="黑体" w:eastAsia="黑体" w:cs="黑体"/>
          <w:b/>
          <w:bCs/>
          <w:sz w:val="24"/>
          <w:szCs w:val="24"/>
        </w:rPr>
        <w:t>项目需求理解</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仅供示例，此标题应和评审因素项保持一致</w:t>
      </w:r>
      <w:r>
        <w:rPr>
          <w:rFonts w:hint="eastAsia" w:ascii="黑体" w:hAnsi="黑体" w:eastAsia="黑体" w:cs="黑体"/>
          <w:b/>
          <w:bCs/>
          <w:sz w:val="24"/>
          <w:szCs w:val="24"/>
          <w:lang w:eastAsia="zh-CN"/>
        </w:rPr>
        <w:t>）</w:t>
      </w:r>
    </w:p>
    <w:p w14:paraId="1603363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①</w:t>
      </w:r>
      <w:r>
        <w:rPr>
          <w:rFonts w:hint="eastAsia" w:ascii="黑体" w:hAnsi="黑体" w:eastAsia="黑体" w:cs="黑体"/>
          <w:sz w:val="19"/>
          <w:szCs w:val="19"/>
          <w:lang w:val="en-US" w:eastAsia="zh-CN"/>
        </w:rPr>
        <w:t>工作重点</w:t>
      </w:r>
      <w:r>
        <w:rPr>
          <w:rFonts w:hint="eastAsia" w:ascii="黑体" w:hAnsi="黑体" w:eastAsia="黑体" w:cs="黑体"/>
          <w:sz w:val="19"/>
          <w:szCs w:val="19"/>
          <w:lang w:eastAsia="zh-CN"/>
        </w:rPr>
        <w:t>（</w:t>
      </w:r>
      <w:r>
        <w:rPr>
          <w:rFonts w:hint="eastAsia" w:ascii="黑体" w:hAnsi="黑体" w:eastAsia="黑体" w:cs="黑体"/>
          <w:b/>
          <w:bCs/>
          <w:sz w:val="19"/>
          <w:szCs w:val="19"/>
          <w:lang w:val="en-US" w:eastAsia="zh-CN"/>
        </w:rPr>
        <w:t>示例，此标题应和评分标准说明的评审点保持一致</w:t>
      </w:r>
      <w:r>
        <w:rPr>
          <w:rFonts w:hint="eastAsia" w:ascii="黑体" w:hAnsi="黑体" w:eastAsia="黑体" w:cs="黑体"/>
          <w:sz w:val="19"/>
          <w:szCs w:val="19"/>
          <w:lang w:eastAsia="zh-CN"/>
        </w:rPr>
        <w:t>）</w:t>
      </w:r>
    </w:p>
    <w:p w14:paraId="60746A5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rPr>
        <w:t>②</w:t>
      </w:r>
      <w:r>
        <w:rPr>
          <w:rFonts w:hint="eastAsia" w:ascii="黑体" w:hAnsi="黑体" w:eastAsia="黑体" w:cs="黑体"/>
          <w:sz w:val="19"/>
          <w:szCs w:val="19"/>
          <w:lang w:val="en-US" w:eastAsia="zh-CN"/>
        </w:rPr>
        <w:t>...</w:t>
      </w:r>
    </w:p>
    <w:p w14:paraId="4079EDF2">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③</w:t>
      </w:r>
      <w:r>
        <w:rPr>
          <w:rFonts w:hint="eastAsia" w:ascii="黑体" w:hAnsi="黑体" w:eastAsia="黑体" w:cs="黑体"/>
          <w:sz w:val="19"/>
          <w:szCs w:val="19"/>
          <w:lang w:val="en-US" w:eastAsia="zh-CN"/>
        </w:rPr>
        <w:t>...</w:t>
      </w:r>
    </w:p>
    <w:p w14:paraId="12FC59EB">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④</w:t>
      </w:r>
      <w:r>
        <w:rPr>
          <w:rFonts w:hint="eastAsia" w:ascii="黑体" w:hAnsi="黑体" w:eastAsia="黑体" w:cs="黑体"/>
          <w:sz w:val="19"/>
          <w:szCs w:val="19"/>
          <w:lang w:val="en-US" w:eastAsia="zh-CN"/>
        </w:rPr>
        <w:t>...</w:t>
      </w:r>
    </w:p>
    <w:p w14:paraId="77E8B4E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⑤</w:t>
      </w:r>
      <w:r>
        <w:rPr>
          <w:rFonts w:hint="eastAsia" w:ascii="黑体" w:hAnsi="黑体" w:eastAsia="黑体" w:cs="黑体"/>
          <w:sz w:val="19"/>
          <w:szCs w:val="19"/>
          <w:lang w:val="en-US" w:eastAsia="zh-CN"/>
        </w:rPr>
        <w:t>...</w:t>
      </w:r>
    </w:p>
    <w:p w14:paraId="3BC9AA7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val="en-US" w:eastAsia="zh-CN"/>
        </w:rPr>
      </w:pPr>
      <w:r>
        <w:rPr>
          <w:rFonts w:hint="eastAsia" w:ascii="黑体" w:hAnsi="黑体" w:eastAsia="黑体" w:cs="黑体"/>
          <w:b/>
          <w:bCs/>
          <w:sz w:val="24"/>
          <w:szCs w:val="24"/>
          <w:lang w:val="en-US" w:eastAsia="zh-CN"/>
        </w:rPr>
        <w:t>二、项目服务方案（仅供示例）</w:t>
      </w:r>
    </w:p>
    <w:p w14:paraId="246E5E37">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①</w:t>
      </w:r>
      <w:r>
        <w:rPr>
          <w:rFonts w:hint="eastAsia" w:ascii="黑体" w:hAnsi="黑体" w:eastAsia="黑体" w:cs="黑体"/>
          <w:sz w:val="19"/>
          <w:szCs w:val="19"/>
          <w:lang w:val="en-US" w:eastAsia="zh-CN"/>
        </w:rPr>
        <w:t>...</w:t>
      </w:r>
    </w:p>
    <w:p w14:paraId="5B0EE68E">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②</w:t>
      </w:r>
      <w:r>
        <w:rPr>
          <w:rFonts w:hint="eastAsia" w:ascii="黑体" w:hAnsi="黑体" w:eastAsia="黑体" w:cs="黑体"/>
          <w:sz w:val="19"/>
          <w:szCs w:val="19"/>
          <w:lang w:val="en-US" w:eastAsia="zh-CN"/>
        </w:rPr>
        <w:t>...</w:t>
      </w:r>
    </w:p>
    <w:p w14:paraId="00487661">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p>
    <w:p w14:paraId="5D16C89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b/>
          <w:bCs/>
          <w:sz w:val="21"/>
          <w:szCs w:val="21"/>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b/>
          <w:bCs/>
          <w:sz w:val="21"/>
          <w:szCs w:val="21"/>
          <w:lang w:val="en-US" w:eastAsia="zh-CN"/>
        </w:rPr>
        <w:t>注意：请各供应商严格按照本项目第六章《评审要素及分值一览表》的评审因素和评审点逐项编制响应，</w:t>
      </w:r>
      <w:r>
        <w:rPr>
          <w:rFonts w:hint="eastAsia" w:ascii="黑体" w:hAnsi="黑体" w:eastAsia="黑体" w:cs="黑体"/>
          <w:b/>
          <w:bCs/>
          <w:sz w:val="21"/>
          <w:szCs w:val="21"/>
        </w:rPr>
        <w:t>若未响应或者不满足，将在综合评审中予以扣分处理</w:t>
      </w:r>
      <w:r>
        <w:rPr>
          <w:rFonts w:hint="eastAsia" w:ascii="黑体" w:hAnsi="黑体" w:eastAsia="黑体" w:cs="黑体"/>
          <w:b/>
          <w:bCs/>
          <w:sz w:val="21"/>
          <w:szCs w:val="21"/>
          <w:lang w:eastAsia="zh-CN"/>
        </w:rPr>
        <w:t>。</w:t>
      </w:r>
    </w:p>
    <w:p w14:paraId="2CA09D07">
      <w:pPr>
        <w:pStyle w:val="13"/>
        <w:wordWrap/>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1</w:t>
      </w:r>
      <w:r>
        <w:rPr>
          <w:rFonts w:hint="eastAsia" w:ascii="黑体" w:hAnsi="黑体" w:eastAsia="黑体" w:cs="黑体"/>
          <w:color w:val="auto"/>
          <w:sz w:val="19"/>
          <w:szCs w:val="19"/>
          <w:highlight w:val="none"/>
        </w:rPr>
        <w:t>：</w:t>
      </w:r>
      <w:r>
        <w:rPr>
          <w:rFonts w:hint="eastAsia" w:ascii="黑体" w:hAnsi="黑体" w:eastAsia="黑体" w:cs="黑体"/>
          <w:sz w:val="19"/>
          <w:szCs w:val="19"/>
          <w:lang w:val="en-US" w:eastAsia="zh-CN"/>
        </w:rPr>
        <w:t>团队人员配置清单</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color w:val="auto"/>
          <w:sz w:val="19"/>
          <w:szCs w:val="19"/>
          <w:highlight w:val="none"/>
          <w:lang w:eastAsia="zh-CN"/>
        </w:rPr>
        <w:t>）</w:t>
      </w:r>
    </w:p>
    <w:p w14:paraId="7044A581">
      <w:pPr>
        <w:pStyle w:val="13"/>
        <w:wordWrap/>
        <w:jc w:val="center"/>
        <w:rPr>
          <w:rFonts w:hint="eastAsia" w:ascii="黑体" w:hAnsi="黑体" w:eastAsia="黑体" w:cs="黑体"/>
          <w:sz w:val="19"/>
          <w:szCs w:val="19"/>
          <w:highlight w:val="none"/>
        </w:rPr>
      </w:pPr>
      <w:r>
        <w:rPr>
          <w:rFonts w:hint="eastAsia" w:ascii="黑体" w:hAnsi="黑体" w:eastAsia="黑体" w:cs="黑体"/>
          <w:b/>
          <w:bCs/>
          <w:color w:val="auto"/>
          <w:sz w:val="28"/>
          <w:szCs w:val="28"/>
          <w:highlight w:val="none"/>
        </w:rPr>
        <w:t>拟派本项目团队人员配置清单</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127"/>
        <w:gridCol w:w="1503"/>
        <w:gridCol w:w="1976"/>
        <w:gridCol w:w="1783"/>
        <w:gridCol w:w="1879"/>
      </w:tblGrid>
      <w:tr w14:paraId="72C5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956749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1127" w:type="dxa"/>
            <w:noWrap w:val="0"/>
            <w:vAlign w:val="center"/>
          </w:tcPr>
          <w:p w14:paraId="6B2C7D3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 名</w:t>
            </w:r>
          </w:p>
        </w:tc>
        <w:tc>
          <w:tcPr>
            <w:tcW w:w="1503" w:type="dxa"/>
            <w:noWrap w:val="0"/>
            <w:vAlign w:val="center"/>
          </w:tcPr>
          <w:p w14:paraId="43BB9609">
            <w:pPr>
              <w:wordWrap/>
              <w:spacing w:line="0" w:lineRule="atLeast"/>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持证</w:t>
            </w:r>
            <w:r>
              <w:rPr>
                <w:rFonts w:hint="eastAsia" w:ascii="黑体" w:hAnsi="黑体" w:eastAsia="黑体" w:cs="黑体"/>
                <w:sz w:val="19"/>
                <w:szCs w:val="19"/>
                <w:highlight w:val="none"/>
                <w:lang w:val="en-US" w:eastAsia="zh-CN"/>
              </w:rPr>
              <w:t>名称</w:t>
            </w:r>
          </w:p>
        </w:tc>
        <w:tc>
          <w:tcPr>
            <w:tcW w:w="1976" w:type="dxa"/>
            <w:noWrap w:val="0"/>
            <w:vAlign w:val="center"/>
          </w:tcPr>
          <w:p w14:paraId="4164CCCE">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本项目中担任职务</w:t>
            </w:r>
          </w:p>
        </w:tc>
        <w:tc>
          <w:tcPr>
            <w:tcW w:w="1783" w:type="dxa"/>
            <w:noWrap w:val="0"/>
            <w:vAlign w:val="center"/>
          </w:tcPr>
          <w:p w14:paraId="2A05C2D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项目经验</w:t>
            </w:r>
          </w:p>
        </w:tc>
        <w:tc>
          <w:tcPr>
            <w:tcW w:w="1879" w:type="dxa"/>
            <w:noWrap w:val="0"/>
            <w:vAlign w:val="center"/>
          </w:tcPr>
          <w:p w14:paraId="23AD963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备注</w:t>
            </w:r>
          </w:p>
        </w:tc>
      </w:tr>
      <w:tr w14:paraId="395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8FFAB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1127" w:type="dxa"/>
            <w:noWrap w:val="0"/>
            <w:vAlign w:val="center"/>
          </w:tcPr>
          <w:p w14:paraId="5AE21519">
            <w:pPr>
              <w:spacing w:line="560" w:lineRule="atLeast"/>
              <w:jc w:val="center"/>
              <w:rPr>
                <w:rFonts w:hint="eastAsia" w:ascii="黑体" w:hAnsi="黑体" w:eastAsia="黑体" w:cs="黑体"/>
                <w:sz w:val="19"/>
                <w:szCs w:val="19"/>
                <w:highlight w:val="none"/>
              </w:rPr>
            </w:pPr>
          </w:p>
        </w:tc>
        <w:tc>
          <w:tcPr>
            <w:tcW w:w="1503" w:type="dxa"/>
            <w:noWrap w:val="0"/>
            <w:vAlign w:val="center"/>
          </w:tcPr>
          <w:p w14:paraId="623AFA78">
            <w:pPr>
              <w:spacing w:line="560" w:lineRule="atLeast"/>
              <w:jc w:val="center"/>
              <w:rPr>
                <w:rFonts w:hint="eastAsia" w:ascii="黑体" w:hAnsi="黑体" w:eastAsia="黑体" w:cs="黑体"/>
                <w:sz w:val="19"/>
                <w:szCs w:val="19"/>
                <w:highlight w:val="none"/>
              </w:rPr>
            </w:pPr>
          </w:p>
        </w:tc>
        <w:tc>
          <w:tcPr>
            <w:tcW w:w="1976" w:type="dxa"/>
            <w:noWrap w:val="0"/>
            <w:vAlign w:val="center"/>
          </w:tcPr>
          <w:p w14:paraId="7D9170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69F528CE">
            <w:pPr>
              <w:spacing w:line="560" w:lineRule="atLeast"/>
              <w:jc w:val="center"/>
              <w:rPr>
                <w:rFonts w:hint="eastAsia" w:ascii="黑体" w:hAnsi="黑体" w:eastAsia="黑体" w:cs="黑体"/>
                <w:sz w:val="19"/>
                <w:szCs w:val="19"/>
                <w:highlight w:val="none"/>
              </w:rPr>
            </w:pPr>
          </w:p>
        </w:tc>
        <w:tc>
          <w:tcPr>
            <w:tcW w:w="1879" w:type="dxa"/>
            <w:noWrap w:val="0"/>
            <w:vAlign w:val="center"/>
          </w:tcPr>
          <w:p w14:paraId="49C70AEF">
            <w:pPr>
              <w:spacing w:line="560" w:lineRule="atLeast"/>
              <w:jc w:val="center"/>
              <w:rPr>
                <w:rFonts w:hint="eastAsia" w:ascii="黑体" w:hAnsi="黑体" w:eastAsia="黑体" w:cs="黑体"/>
                <w:sz w:val="19"/>
                <w:szCs w:val="19"/>
                <w:highlight w:val="none"/>
              </w:rPr>
            </w:pPr>
          </w:p>
        </w:tc>
      </w:tr>
      <w:tr w14:paraId="7A94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31D61EF">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1127" w:type="dxa"/>
            <w:noWrap w:val="0"/>
            <w:vAlign w:val="center"/>
          </w:tcPr>
          <w:p w14:paraId="7F50B9C0">
            <w:pPr>
              <w:spacing w:line="560" w:lineRule="atLeast"/>
              <w:jc w:val="center"/>
              <w:rPr>
                <w:rFonts w:hint="eastAsia" w:ascii="黑体" w:hAnsi="黑体" w:eastAsia="黑体" w:cs="黑体"/>
                <w:sz w:val="19"/>
                <w:szCs w:val="19"/>
                <w:highlight w:val="none"/>
              </w:rPr>
            </w:pPr>
          </w:p>
        </w:tc>
        <w:tc>
          <w:tcPr>
            <w:tcW w:w="1503" w:type="dxa"/>
            <w:noWrap w:val="0"/>
            <w:vAlign w:val="center"/>
          </w:tcPr>
          <w:p w14:paraId="5B6B1405">
            <w:pPr>
              <w:spacing w:line="560" w:lineRule="atLeast"/>
              <w:jc w:val="center"/>
              <w:rPr>
                <w:rFonts w:hint="eastAsia" w:ascii="黑体" w:hAnsi="黑体" w:eastAsia="黑体" w:cs="黑体"/>
                <w:sz w:val="19"/>
                <w:szCs w:val="19"/>
                <w:highlight w:val="none"/>
              </w:rPr>
            </w:pPr>
          </w:p>
        </w:tc>
        <w:tc>
          <w:tcPr>
            <w:tcW w:w="1976" w:type="dxa"/>
            <w:noWrap w:val="0"/>
            <w:vAlign w:val="center"/>
          </w:tcPr>
          <w:p w14:paraId="0451F4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142823B2">
            <w:pPr>
              <w:spacing w:line="560" w:lineRule="atLeast"/>
              <w:jc w:val="center"/>
              <w:rPr>
                <w:rFonts w:hint="eastAsia" w:ascii="黑体" w:hAnsi="黑体" w:eastAsia="黑体" w:cs="黑体"/>
                <w:sz w:val="19"/>
                <w:szCs w:val="19"/>
                <w:highlight w:val="none"/>
              </w:rPr>
            </w:pPr>
          </w:p>
        </w:tc>
        <w:tc>
          <w:tcPr>
            <w:tcW w:w="1879" w:type="dxa"/>
            <w:noWrap w:val="0"/>
            <w:vAlign w:val="center"/>
          </w:tcPr>
          <w:p w14:paraId="1E96E6B6">
            <w:pPr>
              <w:spacing w:line="560" w:lineRule="atLeast"/>
              <w:jc w:val="center"/>
              <w:rPr>
                <w:rFonts w:hint="eastAsia" w:ascii="黑体" w:hAnsi="黑体" w:eastAsia="黑体" w:cs="黑体"/>
                <w:sz w:val="19"/>
                <w:szCs w:val="19"/>
                <w:highlight w:val="none"/>
              </w:rPr>
            </w:pPr>
          </w:p>
        </w:tc>
      </w:tr>
      <w:tr w14:paraId="3CB0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3151A89A">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1127" w:type="dxa"/>
            <w:noWrap w:val="0"/>
            <w:vAlign w:val="center"/>
          </w:tcPr>
          <w:p w14:paraId="2A88C52A">
            <w:pPr>
              <w:spacing w:line="560" w:lineRule="atLeast"/>
              <w:jc w:val="center"/>
              <w:rPr>
                <w:rFonts w:hint="eastAsia" w:ascii="黑体" w:hAnsi="黑体" w:eastAsia="黑体" w:cs="黑体"/>
                <w:sz w:val="19"/>
                <w:szCs w:val="19"/>
                <w:highlight w:val="none"/>
              </w:rPr>
            </w:pPr>
          </w:p>
        </w:tc>
        <w:tc>
          <w:tcPr>
            <w:tcW w:w="1503" w:type="dxa"/>
            <w:noWrap w:val="0"/>
            <w:vAlign w:val="center"/>
          </w:tcPr>
          <w:p w14:paraId="7E713B2B">
            <w:pPr>
              <w:spacing w:line="560" w:lineRule="atLeast"/>
              <w:jc w:val="center"/>
              <w:rPr>
                <w:rFonts w:hint="eastAsia" w:ascii="黑体" w:hAnsi="黑体" w:eastAsia="黑体" w:cs="黑体"/>
                <w:sz w:val="19"/>
                <w:szCs w:val="19"/>
                <w:highlight w:val="none"/>
              </w:rPr>
            </w:pPr>
          </w:p>
        </w:tc>
        <w:tc>
          <w:tcPr>
            <w:tcW w:w="1976" w:type="dxa"/>
            <w:noWrap w:val="0"/>
            <w:vAlign w:val="center"/>
          </w:tcPr>
          <w:p w14:paraId="0A571C61">
            <w:pPr>
              <w:spacing w:line="560" w:lineRule="atLeast"/>
              <w:jc w:val="center"/>
              <w:rPr>
                <w:rFonts w:hint="eastAsia" w:ascii="黑体" w:hAnsi="黑体" w:eastAsia="黑体" w:cs="黑体"/>
                <w:sz w:val="19"/>
                <w:szCs w:val="19"/>
                <w:highlight w:val="none"/>
              </w:rPr>
            </w:pPr>
          </w:p>
        </w:tc>
        <w:tc>
          <w:tcPr>
            <w:tcW w:w="1783" w:type="dxa"/>
            <w:noWrap w:val="0"/>
            <w:vAlign w:val="center"/>
          </w:tcPr>
          <w:p w14:paraId="540F1BC1">
            <w:pPr>
              <w:spacing w:line="560" w:lineRule="atLeast"/>
              <w:jc w:val="center"/>
              <w:rPr>
                <w:rFonts w:hint="eastAsia" w:ascii="黑体" w:hAnsi="黑体" w:eastAsia="黑体" w:cs="黑体"/>
                <w:sz w:val="19"/>
                <w:szCs w:val="19"/>
                <w:highlight w:val="none"/>
              </w:rPr>
            </w:pPr>
          </w:p>
        </w:tc>
        <w:tc>
          <w:tcPr>
            <w:tcW w:w="1879" w:type="dxa"/>
            <w:noWrap w:val="0"/>
            <w:vAlign w:val="center"/>
          </w:tcPr>
          <w:p w14:paraId="0F2B2382">
            <w:pPr>
              <w:spacing w:line="560" w:lineRule="atLeast"/>
              <w:jc w:val="center"/>
              <w:rPr>
                <w:rFonts w:hint="eastAsia" w:ascii="黑体" w:hAnsi="黑体" w:eastAsia="黑体" w:cs="黑体"/>
                <w:sz w:val="19"/>
                <w:szCs w:val="19"/>
                <w:highlight w:val="none"/>
              </w:rPr>
            </w:pPr>
          </w:p>
        </w:tc>
      </w:tr>
      <w:tr w14:paraId="2E1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64DD252">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1127" w:type="dxa"/>
            <w:noWrap w:val="0"/>
            <w:vAlign w:val="center"/>
          </w:tcPr>
          <w:p w14:paraId="6FF1EEDC">
            <w:pPr>
              <w:spacing w:line="560" w:lineRule="atLeast"/>
              <w:jc w:val="center"/>
              <w:rPr>
                <w:rFonts w:hint="eastAsia" w:ascii="黑体" w:hAnsi="黑体" w:eastAsia="黑体" w:cs="黑体"/>
                <w:sz w:val="19"/>
                <w:szCs w:val="19"/>
                <w:highlight w:val="none"/>
              </w:rPr>
            </w:pPr>
          </w:p>
        </w:tc>
        <w:tc>
          <w:tcPr>
            <w:tcW w:w="1503" w:type="dxa"/>
            <w:noWrap w:val="0"/>
            <w:vAlign w:val="center"/>
          </w:tcPr>
          <w:p w14:paraId="68E4EA54">
            <w:pPr>
              <w:spacing w:line="560" w:lineRule="atLeast"/>
              <w:jc w:val="center"/>
              <w:rPr>
                <w:rFonts w:hint="eastAsia" w:ascii="黑体" w:hAnsi="黑体" w:eastAsia="黑体" w:cs="黑体"/>
                <w:sz w:val="19"/>
                <w:szCs w:val="19"/>
                <w:highlight w:val="none"/>
              </w:rPr>
            </w:pPr>
          </w:p>
        </w:tc>
        <w:tc>
          <w:tcPr>
            <w:tcW w:w="1976" w:type="dxa"/>
            <w:noWrap w:val="0"/>
            <w:vAlign w:val="center"/>
          </w:tcPr>
          <w:p w14:paraId="7CE132FB">
            <w:pPr>
              <w:spacing w:line="560" w:lineRule="atLeast"/>
              <w:jc w:val="center"/>
              <w:rPr>
                <w:rFonts w:hint="eastAsia" w:ascii="黑体" w:hAnsi="黑体" w:eastAsia="黑体" w:cs="黑体"/>
                <w:sz w:val="19"/>
                <w:szCs w:val="19"/>
                <w:highlight w:val="none"/>
              </w:rPr>
            </w:pPr>
          </w:p>
        </w:tc>
        <w:tc>
          <w:tcPr>
            <w:tcW w:w="1783" w:type="dxa"/>
            <w:noWrap w:val="0"/>
            <w:vAlign w:val="center"/>
          </w:tcPr>
          <w:p w14:paraId="791ACC83">
            <w:pPr>
              <w:spacing w:line="560" w:lineRule="atLeast"/>
              <w:jc w:val="center"/>
              <w:rPr>
                <w:rFonts w:hint="eastAsia" w:ascii="黑体" w:hAnsi="黑体" w:eastAsia="黑体" w:cs="黑体"/>
                <w:sz w:val="19"/>
                <w:szCs w:val="19"/>
                <w:highlight w:val="none"/>
              </w:rPr>
            </w:pPr>
          </w:p>
        </w:tc>
        <w:tc>
          <w:tcPr>
            <w:tcW w:w="1879" w:type="dxa"/>
            <w:noWrap w:val="0"/>
            <w:vAlign w:val="center"/>
          </w:tcPr>
          <w:p w14:paraId="73AA2327">
            <w:pPr>
              <w:spacing w:line="560" w:lineRule="atLeast"/>
              <w:jc w:val="center"/>
              <w:rPr>
                <w:rFonts w:hint="eastAsia" w:ascii="黑体" w:hAnsi="黑体" w:eastAsia="黑体" w:cs="黑体"/>
                <w:sz w:val="19"/>
                <w:szCs w:val="19"/>
                <w:highlight w:val="none"/>
              </w:rPr>
            </w:pPr>
          </w:p>
        </w:tc>
      </w:tr>
      <w:tr w14:paraId="338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noWrap w:val="0"/>
            <w:vAlign w:val="center"/>
          </w:tcPr>
          <w:p w14:paraId="7BC0F814">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1127" w:type="dxa"/>
            <w:noWrap w:val="0"/>
            <w:vAlign w:val="center"/>
          </w:tcPr>
          <w:p w14:paraId="63668AC6">
            <w:pPr>
              <w:spacing w:line="560" w:lineRule="atLeast"/>
              <w:jc w:val="center"/>
              <w:rPr>
                <w:rFonts w:hint="eastAsia" w:ascii="黑体" w:hAnsi="黑体" w:eastAsia="黑体" w:cs="黑体"/>
                <w:sz w:val="19"/>
                <w:szCs w:val="19"/>
                <w:highlight w:val="none"/>
              </w:rPr>
            </w:pPr>
          </w:p>
        </w:tc>
        <w:tc>
          <w:tcPr>
            <w:tcW w:w="1503" w:type="dxa"/>
            <w:noWrap w:val="0"/>
            <w:vAlign w:val="center"/>
          </w:tcPr>
          <w:p w14:paraId="515A980F">
            <w:pPr>
              <w:spacing w:line="560" w:lineRule="atLeast"/>
              <w:jc w:val="center"/>
              <w:rPr>
                <w:rFonts w:hint="eastAsia" w:ascii="黑体" w:hAnsi="黑体" w:eastAsia="黑体" w:cs="黑体"/>
                <w:sz w:val="19"/>
                <w:szCs w:val="19"/>
                <w:highlight w:val="none"/>
              </w:rPr>
            </w:pPr>
          </w:p>
        </w:tc>
        <w:tc>
          <w:tcPr>
            <w:tcW w:w="1976" w:type="dxa"/>
            <w:noWrap w:val="0"/>
            <w:vAlign w:val="center"/>
          </w:tcPr>
          <w:p w14:paraId="6B320EDC">
            <w:pPr>
              <w:spacing w:line="560" w:lineRule="atLeast"/>
              <w:jc w:val="center"/>
              <w:rPr>
                <w:rFonts w:hint="eastAsia" w:ascii="黑体" w:hAnsi="黑体" w:eastAsia="黑体" w:cs="黑体"/>
                <w:sz w:val="19"/>
                <w:szCs w:val="19"/>
                <w:highlight w:val="none"/>
              </w:rPr>
            </w:pPr>
          </w:p>
        </w:tc>
        <w:tc>
          <w:tcPr>
            <w:tcW w:w="1783" w:type="dxa"/>
            <w:noWrap w:val="0"/>
            <w:vAlign w:val="center"/>
          </w:tcPr>
          <w:p w14:paraId="10F92D8B">
            <w:pPr>
              <w:spacing w:line="560" w:lineRule="atLeast"/>
              <w:jc w:val="center"/>
              <w:rPr>
                <w:rFonts w:hint="eastAsia" w:ascii="黑体" w:hAnsi="黑体" w:eastAsia="黑体" w:cs="黑体"/>
                <w:sz w:val="19"/>
                <w:szCs w:val="19"/>
                <w:highlight w:val="none"/>
              </w:rPr>
            </w:pPr>
          </w:p>
        </w:tc>
        <w:tc>
          <w:tcPr>
            <w:tcW w:w="1879" w:type="dxa"/>
            <w:noWrap w:val="0"/>
            <w:vAlign w:val="center"/>
          </w:tcPr>
          <w:p w14:paraId="76AC08A4">
            <w:pPr>
              <w:spacing w:line="560" w:lineRule="atLeast"/>
              <w:jc w:val="center"/>
              <w:rPr>
                <w:rFonts w:hint="eastAsia" w:ascii="黑体" w:hAnsi="黑体" w:eastAsia="黑体" w:cs="黑体"/>
                <w:sz w:val="19"/>
                <w:szCs w:val="19"/>
                <w:highlight w:val="none"/>
              </w:rPr>
            </w:pPr>
          </w:p>
        </w:tc>
      </w:tr>
    </w:tbl>
    <w:p w14:paraId="77EFF0E9">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DA8F185">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3EA48260">
      <w:pPr>
        <w:wordWrap/>
        <w:spacing w:line="500" w:lineRule="exact"/>
        <w:rPr>
          <w:rFonts w:hint="eastAsia" w:ascii="黑体" w:hAnsi="黑体" w:eastAsia="黑体" w:cs="黑体"/>
          <w:b w:val="0"/>
          <w:color w:val="auto"/>
          <w:kern w:val="2"/>
          <w:sz w:val="19"/>
          <w:szCs w:val="19"/>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sz w:val="19"/>
          <w:szCs w:val="19"/>
          <w:highlight w:val="none"/>
        </w:rPr>
        <w:t>2.项目</w:t>
      </w:r>
      <w:r>
        <w:rPr>
          <w:rFonts w:hint="eastAsia" w:ascii="黑体" w:hAnsi="黑体" w:eastAsia="黑体" w:cs="黑体"/>
          <w:sz w:val="19"/>
          <w:szCs w:val="19"/>
          <w:highlight w:val="none"/>
          <w:lang w:val="en-US" w:eastAsia="zh-CN"/>
        </w:rPr>
        <w:t>团队</w:t>
      </w:r>
      <w:r>
        <w:rPr>
          <w:rFonts w:hint="eastAsia" w:ascii="黑体" w:hAnsi="黑体" w:eastAsia="黑体" w:cs="黑体"/>
          <w:sz w:val="19"/>
          <w:szCs w:val="19"/>
          <w:highlight w:val="none"/>
        </w:rPr>
        <w:t>成员一旦确定，成交后原则上不再变更，若变更，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2EE18443">
      <w:pPr>
        <w:pStyle w:val="13"/>
        <w:wordWrap/>
        <w:outlineLvl w:val="2"/>
        <w:rPr>
          <w:rFonts w:hint="eastAsia" w:ascii="黑体" w:hAnsi="黑体" w:eastAsia="黑体" w:cs="黑体"/>
          <w:b w:val="0"/>
          <w:bCs w:val="0"/>
          <w:color w:val="auto"/>
          <w:sz w:val="19"/>
          <w:szCs w:val="19"/>
          <w:highlight w:val="none"/>
          <w:lang w:eastAsia="zh-CN"/>
        </w:rPr>
      </w:pPr>
      <w:r>
        <w:rPr>
          <w:rFonts w:hint="eastAsia" w:ascii="黑体" w:hAnsi="黑体" w:eastAsia="黑体" w:cs="黑体"/>
          <w:b w:val="0"/>
          <w:bCs w:val="0"/>
          <w:color w:val="auto"/>
          <w:sz w:val="19"/>
          <w:szCs w:val="19"/>
          <w:highlight w:val="none"/>
        </w:rPr>
        <w:t>4-</w:t>
      </w:r>
      <w:r>
        <w:rPr>
          <w:rFonts w:hint="eastAsia" w:ascii="黑体" w:hAnsi="黑体" w:eastAsia="黑体" w:cs="黑体"/>
          <w:b w:val="0"/>
          <w:bCs w:val="0"/>
          <w:color w:val="auto"/>
          <w:sz w:val="19"/>
          <w:szCs w:val="19"/>
          <w:highlight w:val="none"/>
          <w:lang w:val="en-US" w:eastAsia="zh-CN"/>
        </w:rPr>
        <w:t>2</w:t>
      </w:r>
      <w:r>
        <w:rPr>
          <w:rFonts w:hint="eastAsia" w:ascii="黑体" w:hAnsi="黑体" w:eastAsia="黑体" w:cs="黑体"/>
          <w:b w:val="0"/>
          <w:bCs w:val="0"/>
          <w:color w:val="auto"/>
          <w:sz w:val="19"/>
          <w:szCs w:val="19"/>
          <w:highlight w:val="none"/>
        </w:rPr>
        <w:t>：拟派项目负责人</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w:t>
      </w:r>
      <w:r>
        <w:rPr>
          <w:rFonts w:hint="eastAsia" w:ascii="黑体" w:hAnsi="黑体" w:eastAsia="黑体" w:cs="黑体"/>
          <w:b w:val="0"/>
          <w:bCs w:val="0"/>
          <w:color w:val="auto"/>
          <w:kern w:val="2"/>
          <w:sz w:val="19"/>
          <w:szCs w:val="19"/>
          <w:highlight w:val="none"/>
          <w:lang w:val="en-US" w:eastAsia="zh-CN"/>
        </w:rPr>
        <w:t>涉及</w:t>
      </w:r>
      <w:r>
        <w:rPr>
          <w:rFonts w:hint="eastAsia" w:ascii="黑体" w:hAnsi="黑体" w:eastAsia="黑体" w:cs="黑体"/>
          <w:b w:val="0"/>
          <w:bCs w:val="0"/>
          <w:color w:val="auto"/>
          <w:kern w:val="2"/>
          <w:sz w:val="19"/>
          <w:szCs w:val="19"/>
          <w:highlight w:val="none"/>
        </w:rPr>
        <w:t>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sz w:val="19"/>
          <w:szCs w:val="19"/>
          <w:highlight w:val="none"/>
          <w:lang w:eastAsia="zh-CN"/>
        </w:rPr>
        <w:t>）</w:t>
      </w:r>
    </w:p>
    <w:p w14:paraId="78C47869">
      <w:pPr>
        <w:wordWrap/>
        <w:spacing w:line="360" w:lineRule="auto"/>
        <w:jc w:val="center"/>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
          <w:color w:val="auto"/>
          <w:kern w:val="44"/>
          <w:sz w:val="28"/>
          <w:szCs w:val="28"/>
          <w:highlight w:val="none"/>
          <w:lang w:val="en-US" w:eastAsia="zh-CN" w:bidi="ar-SA"/>
        </w:rPr>
        <w:t>拟派项目负责人</w:t>
      </w:r>
    </w:p>
    <w:p w14:paraId="0BDC422C">
      <w:pPr>
        <w:wordWrap/>
        <w:rPr>
          <w:rFonts w:hint="eastAsia" w:ascii="黑体" w:hAnsi="黑体" w:eastAsia="黑体" w:cs="黑体"/>
          <w:sz w:val="19"/>
          <w:szCs w:val="19"/>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78"/>
        <w:gridCol w:w="1917"/>
        <w:gridCol w:w="1455"/>
        <w:gridCol w:w="2138"/>
        <w:gridCol w:w="1145"/>
      </w:tblGrid>
      <w:tr w14:paraId="07EE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4FE08ACD">
            <w:pPr>
              <w:pStyle w:val="29"/>
              <w:keepNext w:val="0"/>
              <w:keepLines w:val="0"/>
              <w:pageBreakBefore w:val="0"/>
              <w:widowControl w:val="0"/>
              <w:kinsoku/>
              <w:wordWrap/>
              <w:overflowPunct/>
              <w:topLinePunct w:val="0"/>
              <w:bidi w:val="0"/>
              <w:adjustRightInd w:val="0"/>
              <w:snapToGrid/>
              <w:spacing w:before="0" w:line="240" w:lineRule="auto"/>
              <w:jc w:val="both"/>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val="en-US" w:eastAsia="zh-CN"/>
              </w:rPr>
              <w:t>基本信息</w:t>
            </w:r>
          </w:p>
        </w:tc>
      </w:tr>
      <w:tr w14:paraId="6575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F0FDCFC">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姓名</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AC2F68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481B2E8">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年龄</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D4278A2">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6A15D55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技术职务</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A313FB9">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7A3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64A70E3">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职务</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7EA06FD">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4A68D2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本合同中拟任职务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764F73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3088628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为</w:t>
            </w:r>
            <w:r>
              <w:rPr>
                <w:rFonts w:hint="eastAsia" w:ascii="黑体" w:hAnsi="黑体" w:cs="黑体"/>
                <w:sz w:val="19"/>
                <w:szCs w:val="19"/>
                <w:highlight w:val="none"/>
                <w:lang w:val="en-US" w:eastAsia="zh-CN"/>
              </w:rPr>
              <w:t>供应商</w:t>
            </w:r>
            <w:r>
              <w:rPr>
                <w:rFonts w:hint="eastAsia" w:ascii="黑体" w:hAnsi="黑体" w:eastAsia="黑体" w:cs="黑体"/>
                <w:sz w:val="19"/>
                <w:szCs w:val="19"/>
                <w:highlight w:val="none"/>
              </w:rPr>
              <w:t>服务时间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416C2DD">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4CE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FD22A95">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相关职业/执业资格</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E42269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22EDA042">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取得时间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7F17E31">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558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32F1EA8C">
            <w:pPr>
              <w:pStyle w:val="29"/>
              <w:keepNext w:val="0"/>
              <w:keepLines w:val="0"/>
              <w:pageBreakBefore w:val="0"/>
              <w:widowControl w:val="0"/>
              <w:kinsoku/>
              <w:wordWrap/>
              <w:overflowPunct/>
              <w:topLinePunct w:val="0"/>
              <w:bidi w:val="0"/>
              <w:adjustRightInd w:val="0"/>
              <w:snapToGrid/>
              <w:spacing w:before="0" w:line="24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2.经历</w:t>
            </w:r>
          </w:p>
        </w:tc>
      </w:tr>
      <w:tr w14:paraId="51C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5C1AE507">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年份</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5751789A">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负责过的主要项目</w:t>
            </w:r>
          </w:p>
          <w:p w14:paraId="31744408">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（类型金额）</w:t>
            </w: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53625F19">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该项目中任职</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92306E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pacing w:val="20"/>
                <w:sz w:val="19"/>
                <w:szCs w:val="19"/>
                <w:highlight w:val="none"/>
              </w:rPr>
            </w:pPr>
            <w:r>
              <w:rPr>
                <w:rFonts w:hint="eastAsia" w:ascii="黑体" w:hAnsi="黑体" w:eastAsia="黑体" w:cs="黑体"/>
                <w:sz w:val="19"/>
                <w:szCs w:val="19"/>
                <w:highlight w:val="none"/>
              </w:rPr>
              <w:t>备注</w:t>
            </w:r>
          </w:p>
        </w:tc>
      </w:tr>
      <w:tr w14:paraId="462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1198" w:type="dxa"/>
            <w:tcBorders>
              <w:top w:val="single" w:color="auto" w:sz="4" w:space="0"/>
              <w:left w:val="single" w:color="auto" w:sz="4" w:space="0"/>
              <w:bottom w:val="single" w:color="auto" w:sz="4" w:space="0"/>
              <w:right w:val="single" w:color="auto" w:sz="4" w:space="0"/>
            </w:tcBorders>
            <w:noWrap w:val="0"/>
            <w:vAlign w:val="top"/>
          </w:tcPr>
          <w:p w14:paraId="5BE3CD41">
            <w:pPr>
              <w:pStyle w:val="29"/>
              <w:spacing w:before="0" w:line="360" w:lineRule="auto"/>
              <w:rPr>
                <w:rFonts w:hint="eastAsia" w:ascii="黑体" w:hAnsi="黑体" w:eastAsia="黑体" w:cs="黑体"/>
                <w:sz w:val="19"/>
                <w:szCs w:val="19"/>
                <w:highlight w:val="none"/>
              </w:rPr>
            </w:pPr>
          </w:p>
          <w:p w14:paraId="72E0AA34">
            <w:pPr>
              <w:pStyle w:val="29"/>
              <w:spacing w:before="0" w:line="360" w:lineRule="auto"/>
              <w:rPr>
                <w:rFonts w:hint="eastAsia" w:ascii="黑体" w:hAnsi="黑体" w:eastAsia="黑体" w:cs="黑体"/>
                <w:sz w:val="19"/>
                <w:szCs w:val="19"/>
                <w:highlight w:val="none"/>
              </w:rPr>
            </w:pPr>
          </w:p>
          <w:p w14:paraId="70F8F060">
            <w:pPr>
              <w:pStyle w:val="29"/>
              <w:spacing w:before="0" w:line="360" w:lineRule="auto"/>
              <w:rPr>
                <w:rFonts w:hint="eastAsia" w:ascii="黑体" w:hAnsi="黑体" w:eastAsia="黑体" w:cs="黑体"/>
                <w:sz w:val="19"/>
                <w:szCs w:val="19"/>
                <w:highlight w:val="none"/>
              </w:rPr>
            </w:pPr>
          </w:p>
          <w:p w14:paraId="1C988507">
            <w:pPr>
              <w:pStyle w:val="29"/>
              <w:spacing w:before="0" w:line="360" w:lineRule="auto"/>
              <w:rPr>
                <w:rFonts w:hint="eastAsia" w:ascii="黑体" w:hAnsi="黑体" w:eastAsia="黑体" w:cs="黑体"/>
                <w:sz w:val="19"/>
                <w:szCs w:val="19"/>
                <w:highlight w:val="none"/>
              </w:rPr>
            </w:pPr>
          </w:p>
          <w:p w14:paraId="71CA486D">
            <w:pPr>
              <w:pStyle w:val="29"/>
              <w:spacing w:before="0" w:line="360" w:lineRule="auto"/>
              <w:rPr>
                <w:rFonts w:hint="eastAsia" w:ascii="黑体" w:hAnsi="黑体" w:eastAsia="黑体" w:cs="黑体"/>
                <w:sz w:val="19"/>
                <w:szCs w:val="19"/>
                <w:highlight w:val="none"/>
              </w:rPr>
            </w:pPr>
          </w:p>
          <w:p w14:paraId="26EEEAD0">
            <w:pPr>
              <w:pStyle w:val="29"/>
              <w:spacing w:before="0" w:line="360" w:lineRule="auto"/>
              <w:rPr>
                <w:rFonts w:hint="eastAsia" w:ascii="黑体" w:hAnsi="黑体" w:eastAsia="黑体" w:cs="黑体"/>
                <w:sz w:val="19"/>
                <w:szCs w:val="19"/>
                <w:highlight w:val="none"/>
              </w:rPr>
            </w:pPr>
          </w:p>
          <w:p w14:paraId="58C389BD">
            <w:pPr>
              <w:pStyle w:val="29"/>
              <w:spacing w:before="0" w:line="360" w:lineRule="auto"/>
              <w:rPr>
                <w:rFonts w:hint="eastAsia" w:ascii="黑体" w:hAnsi="黑体" w:eastAsia="黑体" w:cs="黑体"/>
                <w:sz w:val="19"/>
                <w:szCs w:val="19"/>
                <w:highlight w:val="none"/>
              </w:rPr>
            </w:pPr>
          </w:p>
          <w:p w14:paraId="3906B2C8">
            <w:pPr>
              <w:pStyle w:val="29"/>
              <w:spacing w:before="0" w:line="360" w:lineRule="auto"/>
              <w:rPr>
                <w:rFonts w:hint="eastAsia" w:ascii="黑体" w:hAnsi="黑体" w:eastAsia="黑体" w:cs="黑体"/>
                <w:sz w:val="19"/>
                <w:szCs w:val="19"/>
                <w:highlight w:val="none"/>
              </w:rPr>
            </w:pPr>
          </w:p>
          <w:p w14:paraId="4FEA0F0F">
            <w:pPr>
              <w:pStyle w:val="29"/>
              <w:spacing w:before="0" w:line="360" w:lineRule="auto"/>
              <w:rPr>
                <w:rFonts w:hint="eastAsia" w:ascii="黑体" w:hAnsi="黑体" w:eastAsia="黑体" w:cs="黑体"/>
                <w:sz w:val="19"/>
                <w:szCs w:val="19"/>
                <w:highlight w:val="none"/>
              </w:rPr>
            </w:pP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2ADE64B6">
            <w:pPr>
              <w:pStyle w:val="29"/>
              <w:spacing w:before="0" w:line="360" w:lineRule="auto"/>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1F2F997D">
            <w:pPr>
              <w:pStyle w:val="29"/>
              <w:spacing w:before="0" w:line="360" w:lineRule="auto"/>
              <w:jc w:val="both"/>
              <w:rPr>
                <w:rFonts w:hint="eastAsia" w:ascii="黑体" w:hAnsi="黑体" w:eastAsia="黑体" w:cs="黑体"/>
                <w:sz w:val="19"/>
                <w:szCs w:val="19"/>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A9F31D1">
            <w:pPr>
              <w:autoSpaceDE w:val="0"/>
              <w:autoSpaceDN w:val="0"/>
              <w:adjustRightInd w:val="0"/>
              <w:spacing w:before="120" w:line="360" w:lineRule="auto"/>
              <w:jc w:val="center"/>
              <w:rPr>
                <w:rFonts w:hint="eastAsia" w:ascii="黑体" w:hAnsi="黑体" w:eastAsia="黑体" w:cs="黑体"/>
                <w:spacing w:val="20"/>
                <w:sz w:val="19"/>
                <w:szCs w:val="19"/>
                <w:highlight w:val="none"/>
              </w:rPr>
            </w:pPr>
          </w:p>
        </w:tc>
      </w:tr>
    </w:tbl>
    <w:p w14:paraId="790E86A2">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9F57E67">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7B2F8548">
      <w:pPr>
        <w:wordWrap/>
        <w:spacing w:line="500" w:lineRule="exac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4DB8D30E">
      <w:pPr>
        <w:pStyle w:val="9"/>
        <w:wordWrap/>
        <w:rPr>
          <w:rFonts w:hint="eastAsia"/>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4A60A27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4-3：项目业绩一览表</w:t>
      </w:r>
    </w:p>
    <w:p w14:paraId="52B0C504">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项目业绩一览表</w:t>
      </w:r>
    </w:p>
    <w:p w14:paraId="160AD1BE">
      <w:pPr>
        <w:wordWrap/>
        <w:spacing w:line="360" w:lineRule="auto"/>
        <w:rPr>
          <w:rFonts w:hint="eastAsia" w:ascii="黑体" w:hAnsi="黑体" w:eastAsia="黑体" w:cs="黑体"/>
          <w:sz w:val="22"/>
          <w:szCs w:val="22"/>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3"/>
        <w:gridCol w:w="1557"/>
        <w:gridCol w:w="2010"/>
        <w:gridCol w:w="1204"/>
      </w:tblGrid>
      <w:tr w14:paraId="6D0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B7B4D91">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7CD5D9A">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37D1FEB">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委托单位</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E36570C">
            <w:pPr>
              <w:wordWrap/>
              <w:spacing w:line="32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合同签订时间</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C75D65">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合同金额</w:t>
            </w:r>
          </w:p>
        </w:tc>
      </w:tr>
      <w:tr w14:paraId="272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EE589E">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3144B0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34D30775">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B56667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C75DE50">
            <w:pPr>
              <w:spacing w:line="360" w:lineRule="auto"/>
              <w:rPr>
                <w:rFonts w:hint="eastAsia" w:ascii="黑体" w:hAnsi="黑体" w:eastAsia="黑体" w:cs="黑体"/>
                <w:sz w:val="19"/>
                <w:szCs w:val="19"/>
                <w:highlight w:val="none"/>
              </w:rPr>
            </w:pPr>
          </w:p>
        </w:tc>
      </w:tr>
      <w:tr w14:paraId="37E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870AB76">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7618AF1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718269E9">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696C02F3">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0F6520E">
            <w:pPr>
              <w:spacing w:line="360" w:lineRule="auto"/>
              <w:rPr>
                <w:rFonts w:hint="eastAsia" w:ascii="黑体" w:hAnsi="黑体" w:eastAsia="黑体" w:cs="黑体"/>
                <w:sz w:val="19"/>
                <w:szCs w:val="19"/>
                <w:highlight w:val="none"/>
              </w:rPr>
            </w:pPr>
          </w:p>
        </w:tc>
      </w:tr>
      <w:tr w14:paraId="2BAD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E9650C0">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2A1DFD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05637B9D">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9061D47">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0417D6A">
            <w:pPr>
              <w:spacing w:line="360" w:lineRule="auto"/>
              <w:rPr>
                <w:rFonts w:hint="eastAsia" w:ascii="黑体" w:hAnsi="黑体" w:eastAsia="黑体" w:cs="黑体"/>
                <w:sz w:val="19"/>
                <w:szCs w:val="19"/>
                <w:highlight w:val="none"/>
              </w:rPr>
            </w:pPr>
          </w:p>
        </w:tc>
      </w:tr>
      <w:tr w14:paraId="6C3D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1A14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0957B6EB">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12454B32">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F7DA3D6">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34B17CC8">
            <w:pPr>
              <w:spacing w:line="360" w:lineRule="auto"/>
              <w:rPr>
                <w:rFonts w:hint="eastAsia" w:ascii="黑体" w:hAnsi="黑体" w:eastAsia="黑体" w:cs="黑体"/>
                <w:sz w:val="19"/>
                <w:szCs w:val="19"/>
                <w:highlight w:val="none"/>
              </w:rPr>
            </w:pPr>
          </w:p>
        </w:tc>
      </w:tr>
      <w:tr w14:paraId="621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114996C">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276C2191">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4F415C24">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D1F35D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6236A69">
            <w:pPr>
              <w:spacing w:line="360" w:lineRule="auto"/>
              <w:rPr>
                <w:rFonts w:hint="eastAsia" w:ascii="黑体" w:hAnsi="黑体" w:eastAsia="黑体" w:cs="黑体"/>
                <w:sz w:val="19"/>
                <w:szCs w:val="19"/>
                <w:highlight w:val="none"/>
              </w:rPr>
            </w:pPr>
          </w:p>
        </w:tc>
      </w:tr>
      <w:tr w14:paraId="753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D76E64F">
            <w:pPr>
              <w:spacing w:line="360" w:lineRule="auto"/>
              <w:jc w:val="center"/>
              <w:rPr>
                <w:rFonts w:hint="eastAsia" w:ascii="黑体" w:hAnsi="黑体" w:eastAsia="黑体" w:cs="黑体"/>
                <w:sz w:val="19"/>
                <w:szCs w:val="19"/>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0C0D3C3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51618CE0">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7D0DC800">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7F76622">
            <w:pPr>
              <w:spacing w:line="360" w:lineRule="auto"/>
              <w:rPr>
                <w:rFonts w:hint="eastAsia" w:ascii="黑体" w:hAnsi="黑体" w:eastAsia="黑体" w:cs="黑体"/>
                <w:sz w:val="19"/>
                <w:szCs w:val="19"/>
                <w:highlight w:val="none"/>
              </w:rPr>
            </w:pPr>
          </w:p>
        </w:tc>
      </w:tr>
    </w:tbl>
    <w:p w14:paraId="00986D1D">
      <w:pPr>
        <w:wordWrap/>
        <w:rPr>
          <w:rFonts w:hint="eastAsia" w:ascii="黑体" w:hAnsi="黑体" w:eastAsia="黑体" w:cs="黑体"/>
          <w:b/>
          <w:bCs/>
          <w:sz w:val="19"/>
          <w:szCs w:val="19"/>
          <w:highlight w:val="none"/>
        </w:rPr>
      </w:pPr>
    </w:p>
    <w:p w14:paraId="001C7813">
      <w:pPr>
        <w:pStyle w:val="13"/>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注：</w:t>
      </w:r>
    </w:p>
    <w:p w14:paraId="0AC1BAE0">
      <w:pPr>
        <w:pStyle w:val="13"/>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lang w:eastAsia="zh-CN"/>
        </w:rPr>
      </w:pPr>
      <w:r>
        <w:rPr>
          <w:rFonts w:hint="eastAsia" w:ascii="黑体" w:hAnsi="黑体" w:eastAsia="黑体" w:cs="黑体"/>
          <w:color w:val="auto"/>
          <w:sz w:val="19"/>
          <w:szCs w:val="19"/>
          <w:highlight w:val="none"/>
        </w:rPr>
        <w:t>1</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提供评审办法中要求的证明材料</w:t>
      </w:r>
      <w:r>
        <w:rPr>
          <w:rFonts w:hint="eastAsia" w:ascii="黑体" w:hAnsi="黑体" w:eastAsia="黑体" w:cs="黑体"/>
          <w:color w:val="auto"/>
          <w:sz w:val="19"/>
          <w:szCs w:val="19"/>
          <w:highlight w:val="none"/>
          <w:lang w:eastAsia="zh-CN"/>
        </w:rPr>
        <w:t>。</w:t>
      </w:r>
    </w:p>
    <w:p w14:paraId="223369F8">
      <w:pPr>
        <w:pStyle w:val="13"/>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业绩时间以合同签订时间为准。</w:t>
      </w:r>
    </w:p>
    <w:p w14:paraId="245B214A">
      <w:pPr>
        <w:wordWrap/>
        <w:rPr>
          <w:rFonts w:hint="eastAsia" w:ascii="宋体" w:hAnsi="宋体" w:eastAsia="宋体" w:cs="宋体"/>
          <w:sz w:val="19"/>
          <w:szCs w:val="19"/>
          <w:highlight w:val="none"/>
        </w:rPr>
      </w:pPr>
    </w:p>
    <w:p w14:paraId="39C63DF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3E4F77D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0" w:name="_Toc11618"/>
      <w:bookmarkStart w:id="81" w:name="_Toc12109"/>
      <w:r>
        <w:rPr>
          <w:rFonts w:hint="eastAsia" w:ascii="黑体" w:hAnsi="黑体" w:eastAsia="黑体" w:cs="黑体"/>
          <w:b/>
          <w:color w:val="auto"/>
          <w:sz w:val="28"/>
          <w:szCs w:val="28"/>
          <w:highlight w:val="none"/>
          <w:lang w:val="en-US" w:eastAsia="zh-CN"/>
        </w:rPr>
        <w:t>五、商务技术偏离表</w:t>
      </w:r>
      <w:bookmarkEnd w:id="80"/>
      <w:bookmarkEnd w:id="81"/>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13"/>
        <w:gridCol w:w="2955"/>
        <w:gridCol w:w="1215"/>
        <w:gridCol w:w="1928"/>
      </w:tblGrid>
      <w:tr w14:paraId="6C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88" w:type="dxa"/>
            <w:gridSpan w:val="2"/>
            <w:noWrap w:val="0"/>
            <w:vAlign w:val="center"/>
          </w:tcPr>
          <w:p w14:paraId="5970AD0D">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6098" w:type="dxa"/>
            <w:gridSpan w:val="3"/>
            <w:noWrap w:val="0"/>
            <w:vAlign w:val="center"/>
          </w:tcPr>
          <w:p w14:paraId="284CD91D">
            <w:pPr>
              <w:pStyle w:val="13"/>
              <w:spacing w:line="400" w:lineRule="exact"/>
              <w:jc w:val="center"/>
              <w:rPr>
                <w:rFonts w:hint="eastAsia" w:ascii="黑体" w:hAnsi="黑体" w:eastAsia="黑体" w:cs="黑体"/>
                <w:color w:val="auto"/>
                <w:kern w:val="2"/>
                <w:sz w:val="19"/>
                <w:szCs w:val="19"/>
                <w:highlight w:val="none"/>
                <w:lang w:val="en-US" w:eastAsia="zh-CN"/>
              </w:rPr>
            </w:pPr>
          </w:p>
        </w:tc>
      </w:tr>
      <w:tr w14:paraId="3ADB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553C9250">
            <w:pPr>
              <w:pStyle w:val="13"/>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项目编号</w:t>
            </w:r>
          </w:p>
        </w:tc>
        <w:tc>
          <w:tcPr>
            <w:tcW w:w="6098" w:type="dxa"/>
            <w:gridSpan w:val="3"/>
            <w:noWrap w:val="0"/>
            <w:vAlign w:val="center"/>
          </w:tcPr>
          <w:p w14:paraId="69CD9404">
            <w:pPr>
              <w:pStyle w:val="13"/>
              <w:spacing w:line="400" w:lineRule="exact"/>
              <w:jc w:val="center"/>
              <w:rPr>
                <w:rFonts w:hint="eastAsia" w:ascii="黑体" w:hAnsi="黑体" w:eastAsia="黑体" w:cs="黑体"/>
                <w:color w:val="auto"/>
                <w:kern w:val="2"/>
                <w:sz w:val="19"/>
                <w:szCs w:val="19"/>
                <w:highlight w:val="none"/>
                <w:lang w:val="en-US" w:eastAsia="zh-CN"/>
              </w:rPr>
            </w:pPr>
          </w:p>
        </w:tc>
      </w:tr>
      <w:tr w14:paraId="386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7679800A">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标包号</w:t>
            </w:r>
          </w:p>
        </w:tc>
        <w:tc>
          <w:tcPr>
            <w:tcW w:w="6098" w:type="dxa"/>
            <w:gridSpan w:val="3"/>
            <w:noWrap w:val="0"/>
            <w:vAlign w:val="center"/>
          </w:tcPr>
          <w:p w14:paraId="7E88547B">
            <w:pPr>
              <w:pStyle w:val="13"/>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未设置</w:t>
            </w:r>
          </w:p>
        </w:tc>
      </w:tr>
      <w:tr w14:paraId="59F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5" w:type="dxa"/>
            <w:noWrap w:val="0"/>
            <w:vAlign w:val="center"/>
          </w:tcPr>
          <w:p w14:paraId="553C41CD">
            <w:pPr>
              <w:pStyle w:val="13"/>
              <w:wordWrap/>
              <w:spacing w:line="400" w:lineRule="exact"/>
              <w:ind w:firstLine="380" w:firstLineChars="200"/>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t>　</w:t>
            </w:r>
            <w:r>
              <w:rPr>
                <w:rFonts w:hint="eastAsia" w:ascii="黑体" w:hAnsi="黑体" w:eastAsia="黑体" w:cs="黑体"/>
                <w:color w:val="auto"/>
                <w:kern w:val="2"/>
                <w:sz w:val="19"/>
                <w:szCs w:val="19"/>
                <w:highlight w:val="none"/>
                <w:lang w:val="en-US" w:eastAsia="zh-CN"/>
              </w:rPr>
              <w:t>序号</w:t>
            </w:r>
          </w:p>
        </w:tc>
        <w:tc>
          <w:tcPr>
            <w:tcW w:w="2413" w:type="dxa"/>
            <w:noWrap w:val="0"/>
            <w:vAlign w:val="center"/>
          </w:tcPr>
          <w:p w14:paraId="3872FEB2">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的采购需求</w:t>
            </w:r>
          </w:p>
          <w:p w14:paraId="7D05AA45">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（具体见第三章）</w:t>
            </w:r>
          </w:p>
        </w:tc>
        <w:tc>
          <w:tcPr>
            <w:tcW w:w="2955" w:type="dxa"/>
            <w:noWrap w:val="0"/>
            <w:vAlign w:val="center"/>
          </w:tcPr>
          <w:p w14:paraId="73FFC97B">
            <w:pPr>
              <w:pStyle w:val="13"/>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响应文件的响应条款</w:t>
            </w:r>
          </w:p>
        </w:tc>
        <w:tc>
          <w:tcPr>
            <w:tcW w:w="1215" w:type="dxa"/>
            <w:noWrap w:val="0"/>
            <w:vAlign w:val="center"/>
          </w:tcPr>
          <w:p w14:paraId="2C764823">
            <w:pPr>
              <w:pStyle w:val="13"/>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偏离程度</w:t>
            </w:r>
          </w:p>
        </w:tc>
        <w:tc>
          <w:tcPr>
            <w:tcW w:w="1928" w:type="dxa"/>
            <w:noWrap w:val="0"/>
            <w:vAlign w:val="center"/>
          </w:tcPr>
          <w:p w14:paraId="37DEBD5E">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偏离说明</w:t>
            </w:r>
          </w:p>
        </w:tc>
      </w:tr>
      <w:tr w14:paraId="79A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698FA7F4">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13" w:type="dxa"/>
            <w:noWrap w:val="0"/>
            <w:vAlign w:val="center"/>
          </w:tcPr>
          <w:p w14:paraId="14EA969C">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磋商文件的全部条款内容</w:t>
            </w:r>
          </w:p>
        </w:tc>
        <w:tc>
          <w:tcPr>
            <w:tcW w:w="2955" w:type="dxa"/>
            <w:noWrap w:val="0"/>
            <w:vAlign w:val="center"/>
          </w:tcPr>
          <w:p w14:paraId="4D270124">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我单位完全响应</w:t>
            </w:r>
          </w:p>
        </w:tc>
        <w:tc>
          <w:tcPr>
            <w:tcW w:w="1215" w:type="dxa"/>
            <w:noWrap w:val="0"/>
            <w:vAlign w:val="center"/>
          </w:tcPr>
          <w:p w14:paraId="10CF4DC0">
            <w:pPr>
              <w:pStyle w:val="13"/>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无偏离</w:t>
            </w:r>
          </w:p>
        </w:tc>
        <w:tc>
          <w:tcPr>
            <w:tcW w:w="1928" w:type="dxa"/>
            <w:noWrap w:val="0"/>
            <w:vAlign w:val="center"/>
          </w:tcPr>
          <w:p w14:paraId="4799A118">
            <w:pPr>
              <w:pStyle w:val="13"/>
              <w:spacing w:line="400" w:lineRule="exact"/>
              <w:jc w:val="center"/>
              <w:rPr>
                <w:rFonts w:hint="eastAsia" w:ascii="黑体" w:hAnsi="黑体" w:eastAsia="黑体" w:cs="黑体"/>
                <w:color w:val="auto"/>
                <w:kern w:val="2"/>
                <w:sz w:val="19"/>
                <w:szCs w:val="19"/>
                <w:highlight w:val="none"/>
                <w:lang w:val="en-US" w:eastAsia="zh-CN"/>
              </w:rPr>
            </w:pPr>
          </w:p>
        </w:tc>
      </w:tr>
      <w:tr w14:paraId="11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2863D59A">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65B31C94">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3E7C8101">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47375B64">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FCBFFE9">
            <w:pPr>
              <w:pStyle w:val="13"/>
              <w:spacing w:line="400" w:lineRule="exact"/>
              <w:jc w:val="center"/>
              <w:rPr>
                <w:rFonts w:hint="eastAsia" w:ascii="黑体" w:hAnsi="黑体" w:eastAsia="黑体" w:cs="黑体"/>
                <w:color w:val="auto"/>
                <w:kern w:val="2"/>
                <w:sz w:val="19"/>
                <w:szCs w:val="19"/>
                <w:highlight w:val="none"/>
                <w:lang w:val="en-US" w:eastAsia="zh-CN"/>
              </w:rPr>
            </w:pPr>
          </w:p>
        </w:tc>
      </w:tr>
      <w:tr w14:paraId="635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5" w:type="dxa"/>
            <w:noWrap w:val="0"/>
            <w:vAlign w:val="center"/>
          </w:tcPr>
          <w:p w14:paraId="08802798">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13266491">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51251493">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07E095B5">
            <w:pPr>
              <w:pStyle w:val="13"/>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B411A84">
            <w:pPr>
              <w:pStyle w:val="13"/>
              <w:spacing w:line="400" w:lineRule="exact"/>
              <w:jc w:val="center"/>
              <w:rPr>
                <w:rFonts w:hint="eastAsia" w:ascii="黑体" w:hAnsi="黑体" w:eastAsia="黑体" w:cs="黑体"/>
                <w:color w:val="auto"/>
                <w:kern w:val="2"/>
                <w:sz w:val="19"/>
                <w:szCs w:val="19"/>
                <w:highlight w:val="none"/>
                <w:lang w:val="en-US" w:eastAsia="zh-CN"/>
              </w:rPr>
            </w:pPr>
          </w:p>
        </w:tc>
      </w:tr>
    </w:tbl>
    <w:p w14:paraId="2FB63F87">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我单位已仔细研读本项目</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中的各项商务及技术条款要求，确认文件中不存在倾向性、歧视性、排他性条款，亦无以不合理条件对供应商实行差别待遇或歧视待遇的情形。我单位在此郑重承诺：已充分理解</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的全部内容，完全同意并接受文件中的所有条款及要求，对此无任何异议。</w:t>
      </w:r>
    </w:p>
    <w:p w14:paraId="757D09BA">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pPr>
    </w:p>
    <w:p w14:paraId="100EAC59">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rPr>
          <w:rFonts w:hint="eastAsia"/>
        </w:rPr>
      </w:pPr>
    </w:p>
    <w:p w14:paraId="2FEB8AED">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填写</w:t>
      </w:r>
      <w:r>
        <w:rPr>
          <w:rFonts w:hint="eastAsia" w:ascii="黑体" w:hAnsi="黑体" w:eastAsia="黑体" w:cs="黑体"/>
          <w:sz w:val="19"/>
          <w:szCs w:val="19"/>
          <w:highlight w:val="none"/>
        </w:rPr>
        <w:t>说明：</w:t>
      </w:r>
    </w:p>
    <w:p w14:paraId="12E6D46E">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ascii="黑体" w:hAnsi="黑体" w:eastAsia="黑体" w:cs="黑体"/>
          <w:kern w:val="2"/>
          <w:sz w:val="19"/>
          <w:szCs w:val="19"/>
          <w:lang w:bidi="ar-SA"/>
        </w:rPr>
      </w:pPr>
      <w:r>
        <w:rPr>
          <w:rFonts w:ascii="黑体" w:hAnsi="黑体" w:eastAsia="黑体" w:cs="黑体"/>
          <w:kern w:val="2"/>
          <w:sz w:val="19"/>
          <w:szCs w:val="19"/>
          <w:lang w:bidi="ar-SA"/>
        </w:rPr>
        <w:t>1.若供应商未明确</w:t>
      </w:r>
      <w:r>
        <w:rPr>
          <w:rFonts w:hint="eastAsia" w:ascii="黑体" w:hAnsi="黑体" w:eastAsia="黑体" w:cs="黑体"/>
          <w:kern w:val="2"/>
          <w:sz w:val="19"/>
          <w:szCs w:val="19"/>
          <w:lang w:val="en-US" w:eastAsia="zh-CN" w:bidi="ar-SA"/>
        </w:rPr>
        <w:t>注明偏离</w:t>
      </w:r>
      <w:r>
        <w:rPr>
          <w:rFonts w:ascii="黑体" w:hAnsi="黑体" w:eastAsia="黑体" w:cs="黑体"/>
          <w:kern w:val="2"/>
          <w:sz w:val="19"/>
          <w:szCs w:val="19"/>
          <w:lang w:bidi="ar-SA"/>
        </w:rPr>
        <w:t>，则默认视为完全响应。请依照既定格式填写并完成签字盖章。</w:t>
      </w:r>
    </w:p>
    <w:p w14:paraId="48A3A849">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ascii="黑体" w:hAnsi="黑体" w:eastAsia="黑体" w:cs="黑体"/>
          <w:kern w:val="2"/>
          <w:sz w:val="19"/>
          <w:szCs w:val="19"/>
          <w:lang w:bidi="ar-SA"/>
        </w:rPr>
      </w:pPr>
      <w:r>
        <w:rPr>
          <w:rFonts w:ascii="黑体" w:hAnsi="黑体" w:eastAsia="黑体" w:cs="黑体"/>
          <w:kern w:val="2"/>
          <w:sz w:val="19"/>
          <w:szCs w:val="19"/>
          <w:lang w:bidi="ar-SA"/>
        </w:rPr>
        <w:t>2.在评分细则中，若对特定参数有明确的证明文件要求，</w:t>
      </w:r>
      <w:r>
        <w:rPr>
          <w:rFonts w:hint="eastAsia" w:ascii="黑体" w:hAnsi="黑体" w:eastAsia="黑体" w:cs="黑体"/>
          <w:kern w:val="2"/>
          <w:sz w:val="19"/>
          <w:szCs w:val="19"/>
          <w:lang w:val="en-US" w:eastAsia="zh-CN" w:bidi="ar-SA"/>
        </w:rPr>
        <w:t>建议</w:t>
      </w:r>
      <w:r>
        <w:rPr>
          <w:rFonts w:ascii="黑体" w:hAnsi="黑体" w:eastAsia="黑体" w:cs="黑体"/>
          <w:kern w:val="2"/>
          <w:sz w:val="19"/>
          <w:szCs w:val="19"/>
          <w:lang w:bidi="ar-SA"/>
        </w:rPr>
        <w:t>逐项选择“正偏离”、“负偏离”或“无偏离”中的一个选项进行明确标注，并附上相应的证明文件。否则，将不予认定，并将被视为负偏离。</w:t>
      </w:r>
    </w:p>
    <w:p w14:paraId="12FC34F1">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hint="eastAsia" w:ascii="黑体" w:hAnsi="黑体" w:eastAsia="黑体" w:cs="黑体"/>
          <w:sz w:val="19"/>
          <w:szCs w:val="19"/>
          <w:highlight w:val="none"/>
          <w:lang w:eastAsia="zh-CN"/>
        </w:rPr>
      </w:pPr>
      <w:r>
        <w:rPr>
          <w:rFonts w:ascii="黑体" w:hAnsi="黑体" w:eastAsia="黑体" w:cs="黑体"/>
          <w:kern w:val="2"/>
          <w:sz w:val="19"/>
          <w:szCs w:val="19"/>
          <w:lang w:bidi="ar-SA"/>
        </w:rPr>
        <w:t>3.格式仅供参考，可另附页进行说明。</w:t>
      </w:r>
    </w:p>
    <w:p w14:paraId="2CB5BF46">
      <w:pPr>
        <w:pStyle w:val="9"/>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highlight w:val="none"/>
        </w:rPr>
      </w:pPr>
    </w:p>
    <w:p w14:paraId="1E293492">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1D9DBD66">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w:t>
      </w:r>
      <w:r>
        <w:rPr>
          <w:rFonts w:hint="eastAsia" w:ascii="黑体" w:hAnsi="黑体" w:eastAsia="黑体" w:cs="黑体"/>
          <w:color w:val="auto"/>
          <w:sz w:val="19"/>
          <w:szCs w:val="19"/>
          <w:highlight w:val="none"/>
          <w:lang w:val="en-US" w:eastAsia="zh-CN"/>
        </w:rPr>
        <w:t>授权代表</w:t>
      </w:r>
      <w:r>
        <w:rPr>
          <w:rFonts w:hint="eastAsia" w:ascii="黑体" w:hAnsi="黑体" w:eastAsia="黑体" w:cs="黑体"/>
          <w:color w:val="auto"/>
          <w:sz w:val="19"/>
          <w:szCs w:val="19"/>
          <w:highlight w:val="none"/>
        </w:rPr>
        <w:t>（签字或盖章）：______</w:t>
      </w:r>
    </w:p>
    <w:p w14:paraId="24BD335A">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23BCBE06">
      <w:pPr>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61B8ABD6">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2" w:name="_Toc27872"/>
      <w:bookmarkStart w:id="83" w:name="_Toc3155"/>
      <w:r>
        <w:rPr>
          <w:rFonts w:hint="eastAsia" w:ascii="黑体" w:hAnsi="黑体" w:eastAsia="黑体" w:cs="黑体"/>
          <w:b/>
          <w:color w:val="auto"/>
          <w:sz w:val="28"/>
          <w:szCs w:val="28"/>
          <w:highlight w:val="none"/>
          <w:lang w:val="en-US" w:eastAsia="zh-CN"/>
        </w:rPr>
        <w:t>六、政府采购供应商廉洁自律承诺书</w:t>
      </w:r>
      <w:bookmarkEnd w:id="82"/>
      <w:bookmarkEnd w:id="83"/>
    </w:p>
    <w:p w14:paraId="329CF04C">
      <w:pPr>
        <w:pStyle w:val="13"/>
        <w:keepNext w:val="0"/>
        <w:keepLines w:val="0"/>
        <w:pageBreakBefore w:val="0"/>
        <w:kinsoku/>
        <w:wordWrap/>
        <w:overflowPunct/>
        <w:topLinePunct w:val="0"/>
        <w:autoSpaceDE/>
        <w:autoSpaceDN/>
        <w:bidi w:val="0"/>
        <w:adjustRightInd/>
        <w:snapToGrid/>
        <w:spacing w:before="4" w:beforeAutospacing="0" w:line="480" w:lineRule="atLeast"/>
        <w:jc w:val="center"/>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政府采购供应商廉洁自律承诺书Ⅰ</w:t>
      </w:r>
    </w:p>
    <w:p w14:paraId="5FD5AD1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285" w:firstLineChars="15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为响应党中央、国务院关于治理政府采购领域商业贿赂行为的号召，我公司在此庄严承诺：</w:t>
      </w:r>
    </w:p>
    <w:p w14:paraId="39DDF22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1、在参与政府采购活动中遵纪守法、诚信经营、公平竞标。</w:t>
      </w:r>
    </w:p>
    <w:p w14:paraId="2D9BCCC7">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2、不向政府采购人、采购代理机构和政府采购评审专家进行任何形式的商业贿赂以谋取交易机会。</w:t>
      </w:r>
    </w:p>
    <w:p w14:paraId="436B16FF">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3、不向政府采购代理机构和采购人提供虚假资格文件或采用虚假应标方式参与政府采购市场竞争并谋取成交、成交。</w:t>
      </w:r>
    </w:p>
    <w:p w14:paraId="0C5CD574">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4、不采取“围标、陪标”等商业欺诈手段获得政府采购订单。</w:t>
      </w:r>
    </w:p>
    <w:p w14:paraId="62F199F2">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5、不采取不正当手段诋毁、排挤其他供应商。</w:t>
      </w:r>
    </w:p>
    <w:p w14:paraId="7C8EA08D">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6、不在提供商品和服务时“偷梁换柱、以次充好”损害采购人的合法权益。</w:t>
      </w:r>
    </w:p>
    <w:p w14:paraId="4AF12DFC">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7、不与采购人、采购代理机构政府采购评审专家或其它供应商恶意串通，进行质疑和投诉，维护政府采购市场秩序。</w:t>
      </w:r>
    </w:p>
    <w:p w14:paraId="329BD531">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8、尊重和接受政府采购监督管理部门的监督和政府采购代理机构</w:t>
      </w:r>
      <w:r>
        <w:rPr>
          <w:rFonts w:hint="eastAsia" w:ascii="黑体" w:hAnsi="黑体" w:eastAsia="黑体" w:cs="黑体"/>
          <w:sz w:val="19"/>
          <w:szCs w:val="19"/>
          <w:highlight w:val="none"/>
          <w:lang w:val="en-US" w:eastAsia="zh-CN"/>
        </w:rPr>
        <w:t>采购</w:t>
      </w:r>
      <w:r>
        <w:rPr>
          <w:rFonts w:hint="eastAsia" w:ascii="黑体" w:hAnsi="黑体" w:eastAsia="黑体" w:cs="黑体"/>
          <w:sz w:val="19"/>
          <w:szCs w:val="19"/>
          <w:highlight w:val="none"/>
        </w:rPr>
        <w:t>要求，承担因违约行为给采购人造成的损失。</w:t>
      </w:r>
    </w:p>
    <w:p w14:paraId="5026DE46">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9、不发生其他有悖于政府采购公开、公平、公正和诚信原则的行为。</w:t>
      </w:r>
    </w:p>
    <w:p w14:paraId="1106EBA4">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p>
    <w:p w14:paraId="6ED13BC0">
      <w:pPr>
        <w:pStyle w:val="9"/>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rPr>
      </w:pPr>
    </w:p>
    <w:p w14:paraId="31D01814">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3FC86527">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E928FB3">
      <w:pPr>
        <w:pStyle w:val="13"/>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254278E">
      <w:pPr>
        <w:wordWrap/>
        <w:spacing w:line="360" w:lineRule="auto"/>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br w:type="page"/>
      </w:r>
      <w:r>
        <w:rPr>
          <w:rFonts w:hint="eastAsia" w:ascii="黑体" w:hAnsi="黑体" w:eastAsia="黑体" w:cs="黑体"/>
          <w:bCs/>
          <w:kern w:val="0"/>
          <w:sz w:val="19"/>
          <w:szCs w:val="19"/>
          <w:highlight w:val="none"/>
        </w:rPr>
        <w:t>承诺书Ⅱ</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0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3D5F91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796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F826614">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作为参加贵公司组织的采购项目的供应商，本公司承诺：在参加本项目采购之前不存在被依法禁止经营行为、财产被接管或冻结的情况，如有隐瞒实情，愿承担一切责任及后果。</w:t>
            </w:r>
          </w:p>
        </w:tc>
      </w:tr>
      <w:tr w14:paraId="370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BFC73B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718B587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6B757C8C">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4C76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855C834">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11634812">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42F293FD">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84E364A">
      <w:pPr>
        <w:wordWrap/>
        <w:spacing w:line="360" w:lineRule="atLeast"/>
        <w:rPr>
          <w:rFonts w:hint="eastAsia" w:ascii="黑体" w:hAnsi="黑体" w:eastAsia="黑体" w:cs="黑体"/>
          <w:b/>
          <w:sz w:val="19"/>
          <w:szCs w:val="19"/>
          <w:highlight w:val="none"/>
        </w:rPr>
      </w:pPr>
    </w:p>
    <w:p w14:paraId="3DD4DE7B">
      <w:pPr>
        <w:wordWrap/>
        <w:spacing w:line="360" w:lineRule="atLeast"/>
        <w:jc w:val="center"/>
        <w:rPr>
          <w:rFonts w:hint="eastAsia" w:ascii="黑体" w:hAnsi="黑体" w:eastAsia="黑体" w:cs="黑体"/>
          <w:bCs/>
          <w:kern w:val="0"/>
          <w:sz w:val="19"/>
          <w:szCs w:val="19"/>
          <w:highlight w:val="none"/>
        </w:rPr>
      </w:pPr>
      <w:r>
        <w:rPr>
          <w:rFonts w:hint="eastAsia" w:ascii="黑体" w:hAnsi="黑体" w:eastAsia="黑体" w:cs="黑体"/>
          <w:bCs/>
          <w:kern w:val="0"/>
          <w:sz w:val="19"/>
          <w:szCs w:val="19"/>
          <w:highlight w:val="none"/>
        </w:rPr>
        <w:t>承诺书Ⅲ</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66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02188CB">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default" w:ascii="黑体" w:hAnsi="黑体" w:eastAsia="黑体" w:cs="黑体"/>
                <w:sz w:val="19"/>
                <w:szCs w:val="19"/>
                <w:highlight w:val="none"/>
                <w:lang w:val="en-US"/>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568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BD4D0E1">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作为参加贵公司组织的采购项目的供应商，本公司郑重申告并承诺：近三年受到有关行政主管部门的行政处理、不良行为记录为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零</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次（没有填零），如有隐瞒实情，愿承担一切责任及后果。</w:t>
            </w:r>
          </w:p>
        </w:tc>
      </w:tr>
      <w:tr w14:paraId="68E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5535E83">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13FE4CEA">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579D6CC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707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B9EC7C6">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7A13082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7724A947">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76E041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843700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4" w:name="_Toc8181"/>
      <w:bookmarkStart w:id="85" w:name="_Toc27775"/>
      <w:r>
        <w:rPr>
          <w:rFonts w:hint="eastAsia" w:ascii="黑体" w:hAnsi="黑体" w:eastAsia="黑体" w:cs="黑体"/>
          <w:b/>
          <w:color w:val="auto"/>
          <w:sz w:val="28"/>
          <w:szCs w:val="28"/>
          <w:highlight w:val="none"/>
          <w:lang w:val="en-US" w:eastAsia="zh-CN"/>
        </w:rPr>
        <w:t>七、保证金汇款声明函</w:t>
      </w:r>
      <w:bookmarkEnd w:id="84"/>
      <w:bookmarkEnd w:id="85"/>
      <w:r>
        <w:rPr>
          <w:rFonts w:hint="eastAsia" w:ascii="黑体" w:hAnsi="黑体" w:eastAsia="黑体" w:cs="黑体"/>
          <w:b/>
          <w:color w:val="auto"/>
          <w:sz w:val="28"/>
          <w:szCs w:val="28"/>
          <w:highlight w:val="none"/>
          <w:lang w:val="en-US" w:eastAsia="zh-CN"/>
        </w:rPr>
        <w:t xml:space="preserve"> </w:t>
      </w:r>
    </w:p>
    <w:p w14:paraId="4AD6C22D">
      <w:pPr>
        <w:pStyle w:val="13"/>
        <w:keepNext w:val="0"/>
        <w:keepLines w:val="0"/>
        <w:pageBreakBefore w:val="0"/>
        <w:widowControl/>
        <w:kinsoku/>
        <w:wordWrap/>
        <w:overflowPunct/>
        <w:topLinePunct w:val="0"/>
        <w:autoSpaceDE/>
        <w:autoSpaceDN/>
        <w:bidi w:val="0"/>
        <w:adjustRightInd/>
        <w:snapToGrid/>
        <w:spacing w:before="58" w:beforeLines="20" w:beforeAutospacing="0" w:line="500" w:lineRule="exact"/>
        <w:jc w:val="center"/>
        <w:textAlignment w:val="auto"/>
        <w:rPr>
          <w:rFonts w:hint="eastAsia" w:ascii="黑体" w:hAnsi="黑体" w:eastAsia="黑体" w:cs="黑体"/>
          <w:sz w:val="19"/>
          <w:szCs w:val="19"/>
        </w:rPr>
      </w:pPr>
      <w:r>
        <w:rPr>
          <w:rFonts w:hint="eastAsia" w:ascii="黑体" w:hAnsi="黑体" w:eastAsia="黑体" w:cs="黑体"/>
          <w:color w:val="auto"/>
          <w:sz w:val="19"/>
          <w:szCs w:val="19"/>
          <w:highlight w:val="none"/>
        </w:rPr>
        <w:t>（</w:t>
      </w:r>
      <w:r>
        <w:rPr>
          <w:rFonts w:hint="eastAsia" w:ascii="黑体" w:hAnsi="黑体" w:eastAsia="黑体" w:cs="黑体"/>
          <w:b w:val="0"/>
          <w:bCs w:val="0"/>
          <w:color w:val="auto"/>
          <w:sz w:val="19"/>
          <w:szCs w:val="19"/>
          <w:highlight w:val="none"/>
        </w:rPr>
        <w:t>适用银行转账</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rPr>
        <w:t>如</w:t>
      </w:r>
      <w:r>
        <w:rPr>
          <w:rFonts w:hint="eastAsia" w:ascii="黑体" w:hAnsi="黑体" w:eastAsia="黑体" w:cs="黑体"/>
          <w:b w:val="0"/>
          <w:bCs w:val="0"/>
          <w:color w:val="auto"/>
          <w:sz w:val="19"/>
          <w:szCs w:val="19"/>
          <w:highlight w:val="none"/>
          <w:lang w:val="en-US" w:eastAsia="zh-CN"/>
        </w:rPr>
        <w:t>未设置</w:t>
      </w:r>
      <w:r>
        <w:rPr>
          <w:rFonts w:hint="eastAsia" w:ascii="黑体" w:hAnsi="黑体" w:eastAsia="黑体" w:cs="黑体"/>
          <w:b w:val="0"/>
          <w:bCs w:val="0"/>
          <w:color w:val="auto"/>
          <w:sz w:val="19"/>
          <w:szCs w:val="19"/>
          <w:highlight w:val="none"/>
        </w:rPr>
        <w:t>，无须填写，删除本页</w:t>
      </w:r>
      <w:r>
        <w:rPr>
          <w:rFonts w:hint="eastAsia" w:ascii="黑体" w:hAnsi="黑体" w:eastAsia="黑体" w:cs="黑体"/>
          <w:color w:val="auto"/>
          <w:sz w:val="19"/>
          <w:szCs w:val="19"/>
          <w:highlight w:val="none"/>
        </w:rPr>
        <w:t>）</w:t>
      </w:r>
    </w:p>
    <w:p w14:paraId="6F2CE5EF">
      <w:pPr>
        <w:pStyle w:val="13"/>
        <w:keepNext w:val="0"/>
        <w:keepLines w:val="0"/>
        <w:pageBreakBefore w:val="0"/>
        <w:widowControl/>
        <w:kinsoku/>
        <w:wordWrap/>
        <w:overflowPunct/>
        <w:topLinePunct w:val="0"/>
        <w:autoSpaceDE/>
        <w:autoSpaceDN/>
        <w:bidi w:val="0"/>
        <w:adjustRightInd/>
        <w:snapToGrid/>
        <w:spacing w:before="0" w:beforeAutospacing="0" w:after="10" w:afterAutospacing="0" w:line="500" w:lineRule="exac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52D70A93">
      <w:pPr>
        <w:pStyle w:val="13"/>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ascii="黑体" w:hAnsi="黑体" w:eastAsia="黑体" w:cs="黑体"/>
          <w:color w:val="auto"/>
          <w:kern w:val="0"/>
          <w:sz w:val="19"/>
          <w:szCs w:val="19"/>
          <w:lang w:bidi="ar-SA"/>
        </w:rPr>
      </w:pPr>
      <w:r>
        <w:rPr>
          <w:rFonts w:ascii="黑体" w:hAnsi="黑体" w:eastAsia="黑体" w:cs="黑体"/>
          <w:color w:val="auto"/>
          <w:kern w:val="0"/>
          <w:sz w:val="19"/>
          <w:szCs w:val="19"/>
          <w:lang w:bidi="ar-SA"/>
        </w:rPr>
        <w:t>我公司已成功完成项目保证金的银行汇款，转账凭证请参见下文。</w:t>
      </w:r>
    </w:p>
    <w:p w14:paraId="0633E9A9">
      <w:pPr>
        <w:pStyle w:val="13"/>
        <w:keepNext w:val="0"/>
        <w:keepLines w:val="0"/>
        <w:pageBreakBefore w:val="0"/>
        <w:widowControl/>
        <w:kinsoku/>
        <w:wordWrap/>
        <w:overflowPunct/>
        <w:topLinePunct w:val="0"/>
        <w:autoSpaceDE/>
        <w:autoSpaceDN/>
        <w:bidi w:val="0"/>
        <w:adjustRightInd/>
        <w:spacing w:before="58" w:beforeLines="20" w:beforeAutospacing="0" w:after="4" w:afterAutospacing="0" w:line="500" w:lineRule="exact"/>
        <w:ind w:firstLine="380" w:firstLineChars="200"/>
        <w:jc w:val="left"/>
        <w:textAlignment w:val="auto"/>
        <w:rPr>
          <w:rFonts w:hint="eastAsia" w:ascii="黑体" w:hAnsi="黑体" w:eastAsia="黑体" w:cs="黑体"/>
          <w:color w:val="auto"/>
          <w:sz w:val="19"/>
          <w:szCs w:val="19"/>
          <w:highlight w:val="none"/>
          <w:lang w:val="en-US"/>
        </w:rPr>
      </w:pPr>
      <w:r>
        <w:rPr>
          <w:rFonts w:ascii="黑体" w:hAnsi="黑体" w:eastAsia="黑体" w:cs="黑体"/>
          <w:color w:val="auto"/>
          <w:kern w:val="0"/>
          <w:sz w:val="19"/>
          <w:szCs w:val="19"/>
          <w:lang w:bidi="ar-SA"/>
        </w:rPr>
        <w:t>若贵公司在退还保证金的转账过程中遇到任何问题，请直接根据下表提供的信息联系</w:t>
      </w:r>
      <w:r>
        <w:rPr>
          <w:rFonts w:hint="eastAsia" w:ascii="黑体" w:hAnsi="黑体" w:eastAsia="黑体" w:cs="黑体"/>
          <w:color w:val="auto"/>
          <w:kern w:val="0"/>
          <w:sz w:val="19"/>
          <w:szCs w:val="19"/>
          <w:lang w:val="en-US" w:eastAsia="zh-CN" w:bidi="ar-SA"/>
        </w:rPr>
        <w:t>我们</w:t>
      </w:r>
      <w:r>
        <w:rPr>
          <w:rFonts w:ascii="黑体" w:hAnsi="黑体" w:eastAsia="黑体" w:cs="黑体"/>
          <w:color w:val="auto"/>
          <w:kern w:val="0"/>
          <w:sz w:val="19"/>
          <w:szCs w:val="19"/>
          <w:lang w:bidi="ar-SA"/>
        </w:rPr>
        <w:t>。</w:t>
      </w:r>
      <w:r>
        <w:rPr>
          <w:rFonts w:hint="eastAsia" w:ascii="黑体" w:hAnsi="黑体" w:eastAsia="黑体" w:cs="黑体"/>
          <w:color w:val="auto"/>
          <w:sz w:val="19"/>
          <w:szCs w:val="19"/>
          <w:highlight w:val="none"/>
          <w:lang w:val="en-US" w:eastAsia="zh-CN"/>
        </w:rPr>
        <w:t xml:space="preserve">        </w:t>
      </w:r>
    </w:p>
    <w:p w14:paraId="12AA232D">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单位名称：</w:t>
      </w:r>
    </w:p>
    <w:p w14:paraId="45CD4A72">
      <w:pPr>
        <w:pStyle w:val="9"/>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开户银行：</w:t>
      </w:r>
    </w:p>
    <w:p w14:paraId="0CD45A11">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银行账号：</w:t>
      </w:r>
    </w:p>
    <w:p w14:paraId="7EA85949">
      <w:pPr>
        <w:pStyle w:val="13"/>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财务负责：</w:t>
      </w:r>
    </w:p>
    <w:p w14:paraId="1C14519F">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手机号码：</w:t>
      </w:r>
    </w:p>
    <w:p w14:paraId="7EFB2A78">
      <w:pPr>
        <w:pStyle w:val="9"/>
        <w:wordWrap/>
        <w:rPr>
          <w:rFonts w:hint="eastAsia" w:ascii="黑体" w:hAnsi="黑体" w:eastAsia="黑体" w:cs="黑体"/>
          <w:color w:val="auto"/>
          <w:sz w:val="19"/>
          <w:szCs w:val="19"/>
          <w:highlight w:val="none"/>
          <w:lang w:val="en-US" w:eastAsia="zh-CN"/>
        </w:rPr>
      </w:pPr>
    </w:p>
    <w:p w14:paraId="5D92EC15">
      <w:pPr>
        <w:wordWrap/>
        <w:rPr>
          <w:rFonts w:hint="eastAsia" w:ascii="黑体" w:hAnsi="黑体" w:eastAsia="黑体" w:cs="黑体"/>
          <w:sz w:val="19"/>
          <w:szCs w:val="19"/>
        </w:rPr>
      </w:pPr>
    </w:p>
    <w:p w14:paraId="6753C34F">
      <w:pPr>
        <w:pStyle w:val="13"/>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74F41F3B">
      <w:pPr>
        <w:pStyle w:val="13"/>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65521185">
      <w:pPr>
        <w:pStyle w:val="13"/>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tbl>
      <w:tblPr>
        <w:tblStyle w:val="20"/>
        <w:tblpPr w:leftFromText="180" w:rightFromText="180" w:vertAnchor="text" w:horzAnchor="page" w:tblpX="3152" w:tblpY="953"/>
        <w:tblOverlap w:val="never"/>
        <w:tblW w:w="6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95"/>
      </w:tblGrid>
      <w:tr w14:paraId="1C1A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6195" w:type="dxa"/>
            <w:tcBorders>
              <w:top w:val="single" w:color="auto" w:sz="4" w:space="0"/>
              <w:bottom w:val="single" w:color="auto" w:sz="4" w:space="0"/>
            </w:tcBorders>
            <w:noWrap w:val="0"/>
            <w:vAlign w:val="center"/>
          </w:tcPr>
          <w:p w14:paraId="68DA041E">
            <w:pPr>
              <w:pStyle w:val="13"/>
              <w:wordWrap/>
              <w:spacing w:line="400" w:lineRule="exact"/>
              <w:jc w:val="center"/>
              <w:rPr>
                <w:rFonts w:hint="eastAsia" w:ascii="宋体" w:hAnsi="宋体" w:eastAsia="宋体" w:cs="宋体"/>
                <w:color w:val="auto"/>
                <w:kern w:val="2"/>
                <w:sz w:val="19"/>
                <w:szCs w:val="19"/>
                <w:highlight w:val="none"/>
                <w:lang w:val="en-US" w:eastAsia="zh-CN"/>
              </w:rPr>
            </w:pPr>
            <w:r>
              <w:rPr>
                <w:rFonts w:hint="eastAsia" w:ascii="黑体" w:hAnsi="黑体" w:eastAsia="黑体" w:cs="黑体"/>
                <w:b w:val="0"/>
                <w:bCs w:val="0"/>
                <w:color w:val="auto"/>
                <w:sz w:val="19"/>
                <w:szCs w:val="19"/>
                <w:highlight w:val="none"/>
                <w:lang w:val="en-US" w:eastAsia="zh-CN"/>
              </w:rPr>
              <w:t>银行出具的汇款单或转账凭证复印件</w:t>
            </w:r>
          </w:p>
        </w:tc>
      </w:tr>
    </w:tbl>
    <w:p w14:paraId="3B49496F">
      <w:pPr>
        <w:pStyle w:val="2"/>
        <w:tabs>
          <w:tab w:val="left" w:pos="360"/>
        </w:tabs>
        <w:wordWrap/>
        <w:bidi w:val="0"/>
        <w:jc w:val="center"/>
        <w:rPr>
          <w:rFonts w:hint="eastAsia" w:ascii="宋体" w:hAnsi="宋体" w:eastAsia="宋体" w:cs="宋体"/>
          <w:b/>
          <w:color w:val="auto"/>
          <w:sz w:val="27"/>
          <w:szCs w:val="27"/>
          <w:highlight w:val="none"/>
          <w:lang w:val="en-US" w:eastAsia="zh-CN"/>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3D0C7E0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6" w:name="_Toc15583"/>
      <w:bookmarkStart w:id="87" w:name="_Toc23077"/>
      <w:bookmarkStart w:id="88" w:name="_Toc4298"/>
      <w:r>
        <w:rPr>
          <w:rFonts w:hint="eastAsia" w:ascii="黑体" w:hAnsi="黑体" w:eastAsia="黑体" w:cs="黑体"/>
          <w:b/>
          <w:color w:val="auto"/>
          <w:sz w:val="28"/>
          <w:szCs w:val="28"/>
          <w:highlight w:val="none"/>
          <w:lang w:val="en-US" w:eastAsia="zh-CN"/>
        </w:rPr>
        <w:t>八、成交服务费承诺书</w:t>
      </w:r>
      <w:bookmarkEnd w:id="86"/>
      <w:bookmarkEnd w:id="87"/>
      <w:bookmarkEnd w:id="88"/>
    </w:p>
    <w:p w14:paraId="48ECCE18">
      <w:pPr>
        <w:pStyle w:val="13"/>
        <w:keepNext w:val="0"/>
        <w:keepLines w:val="0"/>
        <w:pageBreakBefore w:val="0"/>
        <w:widowControl/>
        <w:kinsoku/>
        <w:wordWrap/>
        <w:overflowPunct/>
        <w:topLinePunct w:val="0"/>
        <w:autoSpaceDE/>
        <w:autoSpaceDN/>
        <w:bidi w:val="0"/>
        <w:adjustRightInd/>
        <w:snapToGrid/>
        <w:spacing w:before="4" w:beforeAutospacing="0" w:after="10" w:afterAutospacing="0" w:line="480" w:lineRule="atLeas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1D4889D6">
      <w:pPr>
        <w:pStyle w:val="13"/>
        <w:keepNext w:val="0"/>
        <w:keepLines w:val="0"/>
        <w:pageBreakBefore w:val="0"/>
        <w:widowControl/>
        <w:kinsoku/>
        <w:wordWrap/>
        <w:overflowPunct/>
        <w:topLinePunct w:val="0"/>
        <w:autoSpaceDE/>
        <w:autoSpaceDN/>
        <w:bidi w:val="0"/>
        <w:adjustRightInd/>
        <w:snapToGrid/>
        <w:spacing w:before="4" w:beforeAutospacing="0" w:after="10" w:afterAutospacing="0" w:line="500" w:lineRule="atLeas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如我公司在贵公司组织的</w:t>
      </w:r>
      <w:r>
        <w:rPr>
          <w:rFonts w:hint="eastAsia" w:ascii="黑体" w:hAnsi="黑体" w:eastAsia="黑体" w:cs="黑体"/>
          <w:color w:val="auto"/>
          <w:kern w:val="2"/>
          <w:sz w:val="19"/>
          <w:szCs w:val="19"/>
          <w:highlight w:val="none"/>
          <w:u w:val="single"/>
          <w:lang w:val="en-US" w:eastAsia="zh-CN" w:bidi="ar-SA"/>
        </w:rPr>
        <w:t xml:space="preserve"> （项目名称） </w:t>
      </w:r>
      <w:r>
        <w:rPr>
          <w:rFonts w:hint="eastAsia" w:ascii="黑体" w:hAnsi="黑体" w:eastAsia="黑体" w:cs="黑体"/>
          <w:color w:val="auto"/>
          <w:kern w:val="2"/>
          <w:sz w:val="19"/>
          <w:szCs w:val="19"/>
          <w:highlight w:val="none"/>
          <w:lang w:val="en-US" w:eastAsia="zh-CN" w:bidi="ar-SA"/>
        </w:rPr>
        <w:t>采购中获得成交，我们保证：</w:t>
      </w:r>
    </w:p>
    <w:p w14:paraId="55B16AB3">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本项目磋商文件规定的采购代理服费用的收取标准和方式，我公司已完全理解并认可接受。</w:t>
      </w:r>
    </w:p>
    <w:p w14:paraId="4887F66C">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除我公司已明确要求服务费另行缴纳的情形外，我公司同意西安中保研招标有限公司可以从我单位缴纳的项目保证金中直接抵扣服务费，此行为不视为挪用我单位保证金。</w:t>
      </w:r>
    </w:p>
    <w:p w14:paraId="376CCAB5">
      <w:pPr>
        <w:keepNext w:val="0"/>
        <w:keepLines w:val="0"/>
        <w:pageBreakBefore w:val="0"/>
        <w:widowControl w:val="0"/>
        <w:numPr>
          <w:ilvl w:val="0"/>
          <w:numId w:val="17"/>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我公司在领取成交通知书的同时按磋商文件的规定，以银行转账、保证金划转或经贵方认可的方</w:t>
      </w:r>
    </w:p>
    <w:p w14:paraId="1F0DCCB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式一次性支付招标代理服务费。如我公司逾期支付服务费的，除应当支付的服务费总额外，贵单位有权要求支付逾期付款违约金，以本项目招标代理服务费为基数，自成交结果发布之日起至实际给付之日止，按中国人民银行同期贷款基准利率上浮20％后的利率计算支付，我单位完全同意，确认无异议。</w:t>
      </w:r>
    </w:p>
    <w:p w14:paraId="191A38A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特此承诺 ！</w:t>
      </w:r>
    </w:p>
    <w:p w14:paraId="2C38CAC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80" w:lineRule="exact"/>
        <w:ind w:leftChars="0"/>
        <w:jc w:val="left"/>
        <w:textAlignment w:val="auto"/>
        <w:rPr>
          <w:rFonts w:hint="default" w:ascii="黑体" w:hAnsi="黑体" w:eastAsia="黑体" w:cs="黑体"/>
          <w:color w:val="auto"/>
          <w:sz w:val="19"/>
          <w:szCs w:val="19"/>
          <w:highlight w:val="none"/>
          <w:lang w:val="en-US" w:eastAsia="zh-CN"/>
        </w:rPr>
      </w:pPr>
    </w:p>
    <w:p w14:paraId="5D00AAD8">
      <w:pPr>
        <w:pStyle w:val="13"/>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服务费收款账户如下：</w:t>
      </w:r>
    </w:p>
    <w:p w14:paraId="6A6CD51D">
      <w:pPr>
        <w:pStyle w:val="13"/>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开户名称：</w:t>
      </w:r>
      <w:r>
        <w:rPr>
          <w:rFonts w:hint="eastAsia" w:ascii="黑体" w:hAnsi="黑体" w:eastAsia="黑体" w:cs="黑体"/>
          <w:color w:val="auto"/>
          <w:sz w:val="19"/>
          <w:szCs w:val="19"/>
          <w:highlight w:val="none"/>
          <w:lang w:eastAsia="zh-CN"/>
        </w:rPr>
        <w:t>西安中保研招标有限公司</w:t>
      </w:r>
      <w:r>
        <w:rPr>
          <w:rFonts w:hint="eastAsia" w:ascii="黑体" w:hAnsi="黑体" w:eastAsia="黑体" w:cs="黑体"/>
          <w:color w:val="auto"/>
          <w:sz w:val="19"/>
          <w:szCs w:val="19"/>
          <w:highlight w:val="none"/>
        </w:rPr>
        <w:t>；</w:t>
      </w:r>
    </w:p>
    <w:p w14:paraId="34A3304F">
      <w:pPr>
        <w:pStyle w:val="13"/>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开户银行：中国建设银行西安电子城支行；</w:t>
      </w:r>
    </w:p>
    <w:p w14:paraId="6E397B1E">
      <w:pPr>
        <w:pStyle w:val="13"/>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银行账号：6105 0192 3800 0951 6518。</w:t>
      </w:r>
    </w:p>
    <w:p w14:paraId="32CFA085">
      <w:pPr>
        <w:wordWrap/>
        <w:rPr>
          <w:rFonts w:hint="eastAsia"/>
        </w:rPr>
      </w:pPr>
    </w:p>
    <w:p w14:paraId="0F1D8E35">
      <w:pPr>
        <w:pStyle w:val="13"/>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6C89A8FA">
      <w:pPr>
        <w:pStyle w:val="13"/>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3C6F50A">
      <w:pPr>
        <w:pStyle w:val="13"/>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0FE9">
    <w:pPr>
      <w:pStyle w:val="14"/>
      <w:jc w:val="right"/>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90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B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3E9C">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853E9C">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471C">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2AB1">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D2AB1">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3D8">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35C5E">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A35C5E">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F42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C80">
    <w:pPr>
      <w:tabs>
        <w:tab w:val="left" w:pos="6465"/>
      </w:tabs>
      <w:spacing w:line="174" w:lineRule="auto"/>
      <w:ind w:left="151"/>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6FF13"/>
    <w:multiLevelType w:val="singleLevel"/>
    <w:tmpl w:val="8216FF13"/>
    <w:lvl w:ilvl="0" w:tentative="0">
      <w:start w:val="1"/>
      <w:numFmt w:val="decimal"/>
      <w:suff w:val="nothing"/>
      <w:lvlText w:val="（%1）"/>
      <w:lvlJc w:val="left"/>
    </w:lvl>
  </w:abstractNum>
  <w:abstractNum w:abstractNumId="1">
    <w:nsid w:val="8CB4EF1F"/>
    <w:multiLevelType w:val="singleLevel"/>
    <w:tmpl w:val="8CB4EF1F"/>
    <w:lvl w:ilvl="0" w:tentative="0">
      <w:start w:val="1"/>
      <w:numFmt w:val="decimal"/>
      <w:suff w:val="nothing"/>
      <w:lvlText w:val="（%1）"/>
      <w:lvlJc w:val="left"/>
    </w:lvl>
  </w:abstractNum>
  <w:abstractNum w:abstractNumId="2">
    <w:nsid w:val="C0B3706D"/>
    <w:multiLevelType w:val="multilevel"/>
    <w:tmpl w:val="C0B3706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0ED6C12"/>
    <w:multiLevelType w:val="singleLevel"/>
    <w:tmpl w:val="C0ED6C12"/>
    <w:lvl w:ilvl="0" w:tentative="0">
      <w:start w:val="1"/>
      <w:numFmt w:val="decimal"/>
      <w:suff w:val="nothing"/>
      <w:lvlText w:val="%1、"/>
      <w:lvlJc w:val="left"/>
    </w:lvl>
  </w:abstractNum>
  <w:abstractNum w:abstractNumId="4">
    <w:nsid w:val="C28480CA"/>
    <w:multiLevelType w:val="singleLevel"/>
    <w:tmpl w:val="C28480CA"/>
    <w:lvl w:ilvl="0" w:tentative="0">
      <w:start w:val="2"/>
      <w:numFmt w:val="chineseCounting"/>
      <w:suff w:val="nothing"/>
      <w:lvlText w:val="（%1）"/>
      <w:lvlJc w:val="left"/>
      <w:rPr>
        <w:rFonts w:hint="eastAsia"/>
      </w:rPr>
    </w:lvl>
  </w:abstractNum>
  <w:abstractNum w:abstractNumId="5">
    <w:nsid w:val="E5161EF2"/>
    <w:multiLevelType w:val="singleLevel"/>
    <w:tmpl w:val="E5161EF2"/>
    <w:lvl w:ilvl="0" w:tentative="0">
      <w:start w:val="6"/>
      <w:numFmt w:val="decimal"/>
      <w:suff w:val="nothing"/>
      <w:lvlText w:val="（%1）"/>
      <w:lvlJc w:val="left"/>
    </w:lvl>
  </w:abstractNum>
  <w:abstractNum w:abstractNumId="6">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ACB6D2"/>
    <w:multiLevelType w:val="multilevel"/>
    <w:tmpl w:val="28ACB6D2"/>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2B80081D"/>
    <w:multiLevelType w:val="singleLevel"/>
    <w:tmpl w:val="2B80081D"/>
    <w:lvl w:ilvl="0" w:tentative="0">
      <w:start w:val="2"/>
      <w:numFmt w:val="chineseCounting"/>
      <w:suff w:val="nothing"/>
      <w:lvlText w:val="（%1）"/>
      <w:lvlJc w:val="left"/>
      <w:rPr>
        <w:rFonts w:hint="eastAsia" w:ascii="黑体" w:hAnsi="黑体" w:eastAsia="黑体" w:cs="黑体"/>
        <w:sz w:val="28"/>
        <w:szCs w:val="28"/>
      </w:rPr>
    </w:lvl>
  </w:abstractNum>
  <w:abstractNum w:abstractNumId="9">
    <w:nsid w:val="2CC77E94"/>
    <w:multiLevelType w:val="multilevel"/>
    <w:tmpl w:val="2CC77E94"/>
    <w:lvl w:ilvl="0" w:tentative="0">
      <w:start w:val="1"/>
      <w:numFmt w:val="decimal"/>
      <w:lvlText w:val="%1"/>
      <w:lvlJc w:val="left"/>
      <w:pPr>
        <w:tabs>
          <w:tab w:val="left" w:pos="432"/>
        </w:tabs>
        <w:ind w:left="432" w:hanging="432"/>
      </w:pPr>
      <w:rPr>
        <w:rFonts w:hint="default" w:ascii="Arial" w:hAnsi="Arial"/>
        <w:b/>
        <w:i w:val="0"/>
        <w:caps w:val="0"/>
        <w:strike w:val="0"/>
        <w:dstrike w:val="0"/>
        <w:vanish w:val="0"/>
        <w:color w:val="000000"/>
        <w:sz w:val="30"/>
        <w:vertAlign w:val="baseline"/>
      </w:rPr>
    </w:lvl>
    <w:lvl w:ilvl="1" w:tentative="0">
      <w:start w:val="1"/>
      <w:numFmt w:val="decimal"/>
      <w:pStyle w:val="3"/>
      <w:lvlText w:val="%1.%2"/>
      <w:lvlJc w:val="left"/>
      <w:pPr>
        <w:tabs>
          <w:tab w:val="left" w:pos="576"/>
        </w:tabs>
        <w:ind w:left="576" w:hanging="576"/>
      </w:pPr>
      <w:rPr>
        <w:rFonts w:hint="default" w:ascii="Arial" w:hAnsi="Arial"/>
        <w:b/>
        <w:i w:val="0"/>
        <w:caps w:val="0"/>
        <w:strike w:val="0"/>
        <w:dstrike w:val="0"/>
        <w:vanish w:val="0"/>
        <w:color w:val="000000"/>
        <w:sz w:val="28"/>
        <w:vertAlign w:val="baseline"/>
        <w:lang w:val="en-GB"/>
      </w:rPr>
    </w:lvl>
    <w:lvl w:ilvl="2" w:tentative="0">
      <w:start w:val="1"/>
      <w:numFmt w:val="decimal"/>
      <w:pStyle w:val="4"/>
      <w:lvlText w:val="%1.%2.%3"/>
      <w:lvlJc w:val="left"/>
      <w:pPr>
        <w:tabs>
          <w:tab w:val="left" w:pos="720"/>
        </w:tabs>
        <w:ind w:left="720" w:hanging="720"/>
      </w:pPr>
      <w:rPr>
        <w:rFonts w:hint="default" w:ascii="Arial" w:hAnsi="Arial"/>
        <w:b/>
        <w:i w:val="0"/>
        <w:sz w:val="24"/>
      </w:rPr>
    </w:lvl>
    <w:lvl w:ilvl="3" w:tentative="0">
      <w:start w:val="1"/>
      <w:numFmt w:val="decimal"/>
      <w:pStyle w:val="5"/>
      <w:lvlText w:val="%1.%2.%3.%4"/>
      <w:lvlJc w:val="left"/>
      <w:pPr>
        <w:tabs>
          <w:tab w:val="left" w:pos="864"/>
        </w:tabs>
        <w:ind w:left="2124" w:hanging="864"/>
      </w:pPr>
      <w:rPr>
        <w:rFonts w:hint="default" w:ascii="Arial" w:hAnsi="Arial"/>
        <w:b/>
        <w:i w:val="0"/>
        <w:sz w:val="21"/>
      </w:rPr>
    </w:lvl>
    <w:lvl w:ilvl="4" w:tentative="0">
      <w:start w:val="1"/>
      <w:numFmt w:val="decimal"/>
      <w:lvlText w:val="%1.%2.%3.%4.%5"/>
      <w:lvlJc w:val="left"/>
      <w:pPr>
        <w:tabs>
          <w:tab w:val="left" w:pos="1008"/>
        </w:tabs>
        <w:ind w:left="1008" w:hanging="1008"/>
      </w:pPr>
      <w:rPr>
        <w:rFonts w:hint="default" w:ascii="Arial" w:hAnsi="Arial"/>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347A4735"/>
    <w:multiLevelType w:val="singleLevel"/>
    <w:tmpl w:val="347A4735"/>
    <w:lvl w:ilvl="0" w:tentative="0">
      <w:start w:val="1"/>
      <w:numFmt w:val="japaneseCounting"/>
      <w:suff w:val="nothing"/>
      <w:lvlText w:val="第%1条"/>
      <w:lvlJc w:val="left"/>
      <w:pPr>
        <w:ind w:left="1521" w:hanging="1095"/>
      </w:pPr>
      <w:rPr>
        <w:rFonts w:hint="eastAsia"/>
      </w:rPr>
    </w:lvl>
  </w:abstractNum>
  <w:abstractNum w:abstractNumId="11">
    <w:nsid w:val="4EB20305"/>
    <w:multiLevelType w:val="singleLevel"/>
    <w:tmpl w:val="4EB20305"/>
    <w:lvl w:ilvl="0" w:tentative="0">
      <w:start w:val="1"/>
      <w:numFmt w:val="decimalEnclosedCircleChinese"/>
      <w:suff w:val="nothing"/>
      <w:lvlText w:val="%1　"/>
      <w:lvlJc w:val="left"/>
      <w:pPr>
        <w:ind w:left="0" w:firstLine="400"/>
      </w:pPr>
      <w:rPr>
        <w:rFonts w:hint="eastAsia"/>
      </w:rPr>
    </w:lvl>
  </w:abstractNum>
  <w:abstractNum w:abstractNumId="12">
    <w:nsid w:val="519A6828"/>
    <w:multiLevelType w:val="multilevel"/>
    <w:tmpl w:val="519A6828"/>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533B0A3D"/>
    <w:multiLevelType w:val="multilevel"/>
    <w:tmpl w:val="533B0A3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7B15EAE7"/>
    <w:multiLevelType w:val="multilevel"/>
    <w:tmpl w:val="7B15EAE7"/>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7B9DD40D"/>
    <w:multiLevelType w:val="multilevel"/>
    <w:tmpl w:val="7B9DD40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7C3B1AD7"/>
    <w:multiLevelType w:val="singleLevel"/>
    <w:tmpl w:val="7C3B1AD7"/>
    <w:lvl w:ilvl="0" w:tentative="0">
      <w:start w:val="1"/>
      <w:numFmt w:val="decimal"/>
      <w:suff w:val="nothing"/>
      <w:lvlText w:val="%1、"/>
      <w:lvlJc w:val="left"/>
    </w:lvl>
  </w:abstractNum>
  <w:num w:numId="1">
    <w:abstractNumId w:val="9"/>
  </w:num>
  <w:num w:numId="2">
    <w:abstractNumId w:val="16"/>
  </w:num>
  <w:num w:numId="3">
    <w:abstractNumId w:val="3"/>
  </w:num>
  <w:num w:numId="4">
    <w:abstractNumId w:val="15"/>
  </w:num>
  <w:num w:numId="5">
    <w:abstractNumId w:val="1"/>
  </w:num>
  <w:num w:numId="6">
    <w:abstractNumId w:val="8"/>
  </w:num>
  <w:num w:numId="7">
    <w:abstractNumId w:val="0"/>
  </w:num>
  <w:num w:numId="8">
    <w:abstractNumId w:val="11"/>
  </w:num>
  <w:num w:numId="9">
    <w:abstractNumId w:val="14"/>
  </w:num>
  <w:num w:numId="10">
    <w:abstractNumId w:val="13"/>
  </w:num>
  <w:num w:numId="11">
    <w:abstractNumId w:val="2"/>
  </w:num>
  <w:num w:numId="12">
    <w:abstractNumId w:val="4"/>
  </w:num>
  <w:num w:numId="13">
    <w:abstractNumId w:val="10"/>
  </w:num>
  <w:num w:numId="14">
    <w:abstractNumId w:val="6"/>
  </w:num>
  <w:num w:numId="15">
    <w:abstractNumId w:val="1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JlMjIyMjI5MWZmNTg5M2M1M2M2MzQwODY1OWUifQ=="/>
  </w:docVars>
  <w:rsids>
    <w:rsidRoot w:val="00EE6BBB"/>
    <w:rsid w:val="00005402"/>
    <w:rsid w:val="000A0F28"/>
    <w:rsid w:val="000A3086"/>
    <w:rsid w:val="0035136C"/>
    <w:rsid w:val="004E58BF"/>
    <w:rsid w:val="009748CA"/>
    <w:rsid w:val="00997D30"/>
    <w:rsid w:val="00EE6BBB"/>
    <w:rsid w:val="011F2DBA"/>
    <w:rsid w:val="01FA019E"/>
    <w:rsid w:val="0210336E"/>
    <w:rsid w:val="02306473"/>
    <w:rsid w:val="0260595B"/>
    <w:rsid w:val="026523FA"/>
    <w:rsid w:val="026C0E82"/>
    <w:rsid w:val="02754FE1"/>
    <w:rsid w:val="02777BFD"/>
    <w:rsid w:val="02865925"/>
    <w:rsid w:val="02873BB9"/>
    <w:rsid w:val="02C26331"/>
    <w:rsid w:val="03445F08"/>
    <w:rsid w:val="03726617"/>
    <w:rsid w:val="040960A1"/>
    <w:rsid w:val="04966335"/>
    <w:rsid w:val="04A22F2C"/>
    <w:rsid w:val="04D330E5"/>
    <w:rsid w:val="051919D7"/>
    <w:rsid w:val="052258A0"/>
    <w:rsid w:val="05432019"/>
    <w:rsid w:val="05466BFB"/>
    <w:rsid w:val="054B35C3"/>
    <w:rsid w:val="059E1945"/>
    <w:rsid w:val="05B20F4D"/>
    <w:rsid w:val="05F652DD"/>
    <w:rsid w:val="0606092B"/>
    <w:rsid w:val="06693D01"/>
    <w:rsid w:val="07293490"/>
    <w:rsid w:val="073B52FD"/>
    <w:rsid w:val="07AA637F"/>
    <w:rsid w:val="07AE73B2"/>
    <w:rsid w:val="07B31A90"/>
    <w:rsid w:val="07BF1389"/>
    <w:rsid w:val="081952B3"/>
    <w:rsid w:val="085409E1"/>
    <w:rsid w:val="0902043D"/>
    <w:rsid w:val="0923288D"/>
    <w:rsid w:val="09434CDD"/>
    <w:rsid w:val="096A04BC"/>
    <w:rsid w:val="09BA3D9C"/>
    <w:rsid w:val="09ED4C49"/>
    <w:rsid w:val="0A59652F"/>
    <w:rsid w:val="0ACC2AB1"/>
    <w:rsid w:val="0AE20526"/>
    <w:rsid w:val="0B7F3FC7"/>
    <w:rsid w:val="0B845139"/>
    <w:rsid w:val="0BB426AB"/>
    <w:rsid w:val="0C083FBC"/>
    <w:rsid w:val="0C37664F"/>
    <w:rsid w:val="0C3C5A14"/>
    <w:rsid w:val="0C5B04DB"/>
    <w:rsid w:val="0C915D60"/>
    <w:rsid w:val="0CEC11E8"/>
    <w:rsid w:val="0D4C7ED9"/>
    <w:rsid w:val="0D6D1DD4"/>
    <w:rsid w:val="0D823AB1"/>
    <w:rsid w:val="0DDE3227"/>
    <w:rsid w:val="0E16357A"/>
    <w:rsid w:val="0E7D724D"/>
    <w:rsid w:val="0EC817E1"/>
    <w:rsid w:val="0ECE4DF3"/>
    <w:rsid w:val="0EEE3C54"/>
    <w:rsid w:val="0EF13522"/>
    <w:rsid w:val="0F143212"/>
    <w:rsid w:val="10354C54"/>
    <w:rsid w:val="10F1501F"/>
    <w:rsid w:val="11172C27"/>
    <w:rsid w:val="112A0531"/>
    <w:rsid w:val="11407D54"/>
    <w:rsid w:val="11902879"/>
    <w:rsid w:val="12463148"/>
    <w:rsid w:val="12597320"/>
    <w:rsid w:val="12617F82"/>
    <w:rsid w:val="126A1D21"/>
    <w:rsid w:val="12CA3D79"/>
    <w:rsid w:val="12FE7EC7"/>
    <w:rsid w:val="132739E7"/>
    <w:rsid w:val="13601D73"/>
    <w:rsid w:val="13CD546F"/>
    <w:rsid w:val="14235AF6"/>
    <w:rsid w:val="143376FC"/>
    <w:rsid w:val="149A777C"/>
    <w:rsid w:val="14DE5E10"/>
    <w:rsid w:val="14F36274"/>
    <w:rsid w:val="1517701E"/>
    <w:rsid w:val="15D35571"/>
    <w:rsid w:val="1608798D"/>
    <w:rsid w:val="175E7186"/>
    <w:rsid w:val="1768590F"/>
    <w:rsid w:val="17E70F2A"/>
    <w:rsid w:val="180841A7"/>
    <w:rsid w:val="189C1D14"/>
    <w:rsid w:val="18A230A3"/>
    <w:rsid w:val="18A4506D"/>
    <w:rsid w:val="18B75FE1"/>
    <w:rsid w:val="18B77C98"/>
    <w:rsid w:val="18C272A1"/>
    <w:rsid w:val="18D72D4C"/>
    <w:rsid w:val="190A1374"/>
    <w:rsid w:val="193957B5"/>
    <w:rsid w:val="19AF3CC9"/>
    <w:rsid w:val="19BB1D67"/>
    <w:rsid w:val="1A9F789A"/>
    <w:rsid w:val="1ADA6B24"/>
    <w:rsid w:val="1AF95DB9"/>
    <w:rsid w:val="1B007798"/>
    <w:rsid w:val="1B1F6C2C"/>
    <w:rsid w:val="1B2A6050"/>
    <w:rsid w:val="1B3A1BEB"/>
    <w:rsid w:val="1B4A09F0"/>
    <w:rsid w:val="1B5863FE"/>
    <w:rsid w:val="1B8B42C2"/>
    <w:rsid w:val="1BD73063"/>
    <w:rsid w:val="1BED29A6"/>
    <w:rsid w:val="1C275D99"/>
    <w:rsid w:val="1C454471"/>
    <w:rsid w:val="1C5E109C"/>
    <w:rsid w:val="1C8C20A0"/>
    <w:rsid w:val="1D8B3DB0"/>
    <w:rsid w:val="1DF47EFC"/>
    <w:rsid w:val="1E426EBA"/>
    <w:rsid w:val="1E5C4231"/>
    <w:rsid w:val="1F1A1BE5"/>
    <w:rsid w:val="1F3354F8"/>
    <w:rsid w:val="2006356C"/>
    <w:rsid w:val="202E37B6"/>
    <w:rsid w:val="204F1D62"/>
    <w:rsid w:val="20DD55C0"/>
    <w:rsid w:val="211C60E8"/>
    <w:rsid w:val="21470C8B"/>
    <w:rsid w:val="21787096"/>
    <w:rsid w:val="21AE4AE8"/>
    <w:rsid w:val="226513C9"/>
    <w:rsid w:val="22AC6FF8"/>
    <w:rsid w:val="22DD5403"/>
    <w:rsid w:val="22E70030"/>
    <w:rsid w:val="23174BF0"/>
    <w:rsid w:val="231A0405"/>
    <w:rsid w:val="233F2A4F"/>
    <w:rsid w:val="23953E58"/>
    <w:rsid w:val="23C16AD3"/>
    <w:rsid w:val="23C44815"/>
    <w:rsid w:val="241E3F25"/>
    <w:rsid w:val="2486306B"/>
    <w:rsid w:val="249064A5"/>
    <w:rsid w:val="24961D0D"/>
    <w:rsid w:val="249955C3"/>
    <w:rsid w:val="24AA57B9"/>
    <w:rsid w:val="24AF7273"/>
    <w:rsid w:val="24D942F0"/>
    <w:rsid w:val="24F9229C"/>
    <w:rsid w:val="25421E95"/>
    <w:rsid w:val="255F2A47"/>
    <w:rsid w:val="256107E0"/>
    <w:rsid w:val="25BA1A2C"/>
    <w:rsid w:val="26213859"/>
    <w:rsid w:val="26DE48F5"/>
    <w:rsid w:val="271B299E"/>
    <w:rsid w:val="272D6C19"/>
    <w:rsid w:val="27914EED"/>
    <w:rsid w:val="27A04C51"/>
    <w:rsid w:val="282A68ED"/>
    <w:rsid w:val="284B1574"/>
    <w:rsid w:val="288F0997"/>
    <w:rsid w:val="28B86934"/>
    <w:rsid w:val="28BA7F95"/>
    <w:rsid w:val="28F75338"/>
    <w:rsid w:val="28FB1E91"/>
    <w:rsid w:val="29121B7F"/>
    <w:rsid w:val="296F33AB"/>
    <w:rsid w:val="298F0AF4"/>
    <w:rsid w:val="2AE80DE9"/>
    <w:rsid w:val="2B305FE6"/>
    <w:rsid w:val="2B920D55"/>
    <w:rsid w:val="2C082F88"/>
    <w:rsid w:val="2C0E033F"/>
    <w:rsid w:val="2C234FA3"/>
    <w:rsid w:val="2C7072E8"/>
    <w:rsid w:val="2D28743E"/>
    <w:rsid w:val="2D8476B9"/>
    <w:rsid w:val="2D9E7E85"/>
    <w:rsid w:val="2DE7182C"/>
    <w:rsid w:val="2E5C3FC8"/>
    <w:rsid w:val="2EA249A7"/>
    <w:rsid w:val="2F5A7DDB"/>
    <w:rsid w:val="2FCD5C92"/>
    <w:rsid w:val="2FCF1B93"/>
    <w:rsid w:val="2FF03CFD"/>
    <w:rsid w:val="301663F8"/>
    <w:rsid w:val="305864BB"/>
    <w:rsid w:val="306A3478"/>
    <w:rsid w:val="3095464F"/>
    <w:rsid w:val="30A6604D"/>
    <w:rsid w:val="30B60B6B"/>
    <w:rsid w:val="30BA3228"/>
    <w:rsid w:val="31091AB9"/>
    <w:rsid w:val="3166408A"/>
    <w:rsid w:val="31A55C86"/>
    <w:rsid w:val="31ED3189"/>
    <w:rsid w:val="320209E2"/>
    <w:rsid w:val="32152813"/>
    <w:rsid w:val="3223681F"/>
    <w:rsid w:val="326276D3"/>
    <w:rsid w:val="3271458B"/>
    <w:rsid w:val="328E2276"/>
    <w:rsid w:val="328F13DA"/>
    <w:rsid w:val="329F4483"/>
    <w:rsid w:val="32E90CCA"/>
    <w:rsid w:val="33476C7B"/>
    <w:rsid w:val="33484B1B"/>
    <w:rsid w:val="3350577D"/>
    <w:rsid w:val="337F20DC"/>
    <w:rsid w:val="33A04957"/>
    <w:rsid w:val="347F27BE"/>
    <w:rsid w:val="34EC778B"/>
    <w:rsid w:val="351A24E7"/>
    <w:rsid w:val="35200C22"/>
    <w:rsid w:val="35272EC1"/>
    <w:rsid w:val="352944D8"/>
    <w:rsid w:val="356E45E1"/>
    <w:rsid w:val="35724910"/>
    <w:rsid w:val="36251143"/>
    <w:rsid w:val="36383AB1"/>
    <w:rsid w:val="36837F63"/>
    <w:rsid w:val="369B31B3"/>
    <w:rsid w:val="37294C63"/>
    <w:rsid w:val="373F7FE3"/>
    <w:rsid w:val="37565885"/>
    <w:rsid w:val="38083B4A"/>
    <w:rsid w:val="3811789A"/>
    <w:rsid w:val="38190834"/>
    <w:rsid w:val="38602906"/>
    <w:rsid w:val="38D64977"/>
    <w:rsid w:val="392A6A70"/>
    <w:rsid w:val="39301F40"/>
    <w:rsid w:val="395064D7"/>
    <w:rsid w:val="39AD3929"/>
    <w:rsid w:val="39F564B4"/>
    <w:rsid w:val="3A596B2B"/>
    <w:rsid w:val="3ACA050B"/>
    <w:rsid w:val="3AD849D6"/>
    <w:rsid w:val="3AED4265"/>
    <w:rsid w:val="3B6B7CDB"/>
    <w:rsid w:val="3B8C756F"/>
    <w:rsid w:val="3B912DD7"/>
    <w:rsid w:val="3C21415B"/>
    <w:rsid w:val="3C3E7BEA"/>
    <w:rsid w:val="3CA1529C"/>
    <w:rsid w:val="3CA56B3A"/>
    <w:rsid w:val="3CBE7BFC"/>
    <w:rsid w:val="3CE21B3C"/>
    <w:rsid w:val="3D145A6E"/>
    <w:rsid w:val="3D1C1453"/>
    <w:rsid w:val="3D404AB5"/>
    <w:rsid w:val="3E864749"/>
    <w:rsid w:val="3EF76594"/>
    <w:rsid w:val="3F536D21"/>
    <w:rsid w:val="3F71548E"/>
    <w:rsid w:val="3F980BD8"/>
    <w:rsid w:val="3FBA6DA0"/>
    <w:rsid w:val="3FC154D9"/>
    <w:rsid w:val="401069C0"/>
    <w:rsid w:val="40185875"/>
    <w:rsid w:val="407F76A2"/>
    <w:rsid w:val="40EE65D6"/>
    <w:rsid w:val="4102318A"/>
    <w:rsid w:val="41561F2C"/>
    <w:rsid w:val="4162521C"/>
    <w:rsid w:val="41E9396D"/>
    <w:rsid w:val="42335385"/>
    <w:rsid w:val="42672AE3"/>
    <w:rsid w:val="42B0448A"/>
    <w:rsid w:val="42CB7847"/>
    <w:rsid w:val="42D40179"/>
    <w:rsid w:val="43664B49"/>
    <w:rsid w:val="43F108B7"/>
    <w:rsid w:val="44000AFA"/>
    <w:rsid w:val="446077EA"/>
    <w:rsid w:val="446217B4"/>
    <w:rsid w:val="44D04970"/>
    <w:rsid w:val="44EA5E66"/>
    <w:rsid w:val="44F3065E"/>
    <w:rsid w:val="451F1453"/>
    <w:rsid w:val="45340266"/>
    <w:rsid w:val="453E7B2C"/>
    <w:rsid w:val="455A0732"/>
    <w:rsid w:val="460C19D8"/>
    <w:rsid w:val="462C02CC"/>
    <w:rsid w:val="4655743B"/>
    <w:rsid w:val="469D6AD4"/>
    <w:rsid w:val="46AA5A51"/>
    <w:rsid w:val="46DF70EC"/>
    <w:rsid w:val="46E845AB"/>
    <w:rsid w:val="46F30DEA"/>
    <w:rsid w:val="4716288C"/>
    <w:rsid w:val="47437107"/>
    <w:rsid w:val="47523D62"/>
    <w:rsid w:val="47561677"/>
    <w:rsid w:val="477737C9"/>
    <w:rsid w:val="47A80D0B"/>
    <w:rsid w:val="47B37245"/>
    <w:rsid w:val="47D66741"/>
    <w:rsid w:val="486C0E54"/>
    <w:rsid w:val="487675DC"/>
    <w:rsid w:val="48847F4B"/>
    <w:rsid w:val="48A4239B"/>
    <w:rsid w:val="48A57EC2"/>
    <w:rsid w:val="48E01901"/>
    <w:rsid w:val="48E704DA"/>
    <w:rsid w:val="48E94252"/>
    <w:rsid w:val="48EC789E"/>
    <w:rsid w:val="48F350D1"/>
    <w:rsid w:val="49172B6D"/>
    <w:rsid w:val="49575E5F"/>
    <w:rsid w:val="49690EEF"/>
    <w:rsid w:val="497C50C6"/>
    <w:rsid w:val="4A013C4D"/>
    <w:rsid w:val="4A17094B"/>
    <w:rsid w:val="4A534079"/>
    <w:rsid w:val="4A745D9D"/>
    <w:rsid w:val="4ACF0878"/>
    <w:rsid w:val="4B0A577C"/>
    <w:rsid w:val="4B5C51AF"/>
    <w:rsid w:val="4BDA60D4"/>
    <w:rsid w:val="4C0E2AD5"/>
    <w:rsid w:val="4C6469A6"/>
    <w:rsid w:val="4CAA5AA7"/>
    <w:rsid w:val="4D405C0A"/>
    <w:rsid w:val="4D4644B9"/>
    <w:rsid w:val="4DB03590"/>
    <w:rsid w:val="4DD54DA5"/>
    <w:rsid w:val="4E0631B0"/>
    <w:rsid w:val="4E1E04FA"/>
    <w:rsid w:val="4E345F70"/>
    <w:rsid w:val="4E566281"/>
    <w:rsid w:val="4E922C96"/>
    <w:rsid w:val="4EC76DE4"/>
    <w:rsid w:val="4EC918C0"/>
    <w:rsid w:val="4F1418FD"/>
    <w:rsid w:val="4F1D46D5"/>
    <w:rsid w:val="4F391364"/>
    <w:rsid w:val="4F43166D"/>
    <w:rsid w:val="4F596466"/>
    <w:rsid w:val="4F7A4417"/>
    <w:rsid w:val="4F85560F"/>
    <w:rsid w:val="4F963F0B"/>
    <w:rsid w:val="4F9C201E"/>
    <w:rsid w:val="4FA62E9D"/>
    <w:rsid w:val="4FC275AB"/>
    <w:rsid w:val="4FC926E8"/>
    <w:rsid w:val="4FF9121F"/>
    <w:rsid w:val="50202421"/>
    <w:rsid w:val="51581F75"/>
    <w:rsid w:val="515D57DD"/>
    <w:rsid w:val="51607728"/>
    <w:rsid w:val="516C77CE"/>
    <w:rsid w:val="51C55131"/>
    <w:rsid w:val="51F15F26"/>
    <w:rsid w:val="51FD74D7"/>
    <w:rsid w:val="520E0886"/>
    <w:rsid w:val="522433B0"/>
    <w:rsid w:val="525C525B"/>
    <w:rsid w:val="52720E14"/>
    <w:rsid w:val="52BF4B71"/>
    <w:rsid w:val="52F10F62"/>
    <w:rsid w:val="53325202"/>
    <w:rsid w:val="533B38FC"/>
    <w:rsid w:val="536A5F90"/>
    <w:rsid w:val="53764934"/>
    <w:rsid w:val="53982AFD"/>
    <w:rsid w:val="5402266C"/>
    <w:rsid w:val="540E2DBF"/>
    <w:rsid w:val="54532EC8"/>
    <w:rsid w:val="54866DF9"/>
    <w:rsid w:val="548D00EA"/>
    <w:rsid w:val="54B25E40"/>
    <w:rsid w:val="54DC7E59"/>
    <w:rsid w:val="550F5206"/>
    <w:rsid w:val="55180399"/>
    <w:rsid w:val="553403B2"/>
    <w:rsid w:val="555D3FFE"/>
    <w:rsid w:val="55766E6E"/>
    <w:rsid w:val="560A5808"/>
    <w:rsid w:val="560C1580"/>
    <w:rsid w:val="560E70A6"/>
    <w:rsid w:val="56955F84"/>
    <w:rsid w:val="57193F55"/>
    <w:rsid w:val="577473DD"/>
    <w:rsid w:val="57AE09B5"/>
    <w:rsid w:val="58023AE0"/>
    <w:rsid w:val="59605E6B"/>
    <w:rsid w:val="598D4786"/>
    <w:rsid w:val="5A35238C"/>
    <w:rsid w:val="5A80648D"/>
    <w:rsid w:val="5AB22062"/>
    <w:rsid w:val="5AE12DF7"/>
    <w:rsid w:val="5AE42ACB"/>
    <w:rsid w:val="5B841347"/>
    <w:rsid w:val="5B9B5880"/>
    <w:rsid w:val="5BE15A6C"/>
    <w:rsid w:val="5C2C64D8"/>
    <w:rsid w:val="5C655618"/>
    <w:rsid w:val="5C9B19C2"/>
    <w:rsid w:val="5CC26E3C"/>
    <w:rsid w:val="5CD42B7B"/>
    <w:rsid w:val="5CD66444"/>
    <w:rsid w:val="5CF52CB0"/>
    <w:rsid w:val="5D0B6ED8"/>
    <w:rsid w:val="5D93370B"/>
    <w:rsid w:val="5DA102BD"/>
    <w:rsid w:val="5E0F1C0D"/>
    <w:rsid w:val="5E372C2B"/>
    <w:rsid w:val="5E5341F0"/>
    <w:rsid w:val="5E59732C"/>
    <w:rsid w:val="5E7F4FE5"/>
    <w:rsid w:val="5ED7628F"/>
    <w:rsid w:val="5F3F6522"/>
    <w:rsid w:val="5F466134"/>
    <w:rsid w:val="5F526256"/>
    <w:rsid w:val="5F531FB1"/>
    <w:rsid w:val="5F96022E"/>
    <w:rsid w:val="5F993E84"/>
    <w:rsid w:val="5FC15189"/>
    <w:rsid w:val="5FE315A4"/>
    <w:rsid w:val="60035B46"/>
    <w:rsid w:val="608B78A2"/>
    <w:rsid w:val="608D76FD"/>
    <w:rsid w:val="60CB2763"/>
    <w:rsid w:val="60CC64DC"/>
    <w:rsid w:val="61504A17"/>
    <w:rsid w:val="619A3EE4"/>
    <w:rsid w:val="61F41846"/>
    <w:rsid w:val="62312A9A"/>
    <w:rsid w:val="62AA63A9"/>
    <w:rsid w:val="62C0797A"/>
    <w:rsid w:val="62DF24F6"/>
    <w:rsid w:val="62F87114"/>
    <w:rsid w:val="634A0C03"/>
    <w:rsid w:val="6365274A"/>
    <w:rsid w:val="639332E1"/>
    <w:rsid w:val="63D538F9"/>
    <w:rsid w:val="63E47698"/>
    <w:rsid w:val="63F26259"/>
    <w:rsid w:val="63FD62F6"/>
    <w:rsid w:val="642A0C3C"/>
    <w:rsid w:val="644E5F98"/>
    <w:rsid w:val="64CD1AD5"/>
    <w:rsid w:val="64E02555"/>
    <w:rsid w:val="64E2007C"/>
    <w:rsid w:val="659D394D"/>
    <w:rsid w:val="65A753E4"/>
    <w:rsid w:val="6635635A"/>
    <w:rsid w:val="664D4AE8"/>
    <w:rsid w:val="667E2F9C"/>
    <w:rsid w:val="669F3861"/>
    <w:rsid w:val="66A10E91"/>
    <w:rsid w:val="67900263"/>
    <w:rsid w:val="67FA52BC"/>
    <w:rsid w:val="68A5389A"/>
    <w:rsid w:val="68AC0D3B"/>
    <w:rsid w:val="68B166E3"/>
    <w:rsid w:val="68F168BF"/>
    <w:rsid w:val="690B56C7"/>
    <w:rsid w:val="693F103A"/>
    <w:rsid w:val="69C9180A"/>
    <w:rsid w:val="6A06480C"/>
    <w:rsid w:val="6A0A434D"/>
    <w:rsid w:val="6A2C3B47"/>
    <w:rsid w:val="6A687275"/>
    <w:rsid w:val="6B80239C"/>
    <w:rsid w:val="6B96396E"/>
    <w:rsid w:val="6C1A634D"/>
    <w:rsid w:val="6C240F7A"/>
    <w:rsid w:val="6C44161C"/>
    <w:rsid w:val="6DB41985"/>
    <w:rsid w:val="6DFD068B"/>
    <w:rsid w:val="6E070B53"/>
    <w:rsid w:val="6E0A05B3"/>
    <w:rsid w:val="6E407802"/>
    <w:rsid w:val="6EC1684B"/>
    <w:rsid w:val="6EE80984"/>
    <w:rsid w:val="6F775864"/>
    <w:rsid w:val="6FCC5BB0"/>
    <w:rsid w:val="706C7538"/>
    <w:rsid w:val="706F46F9"/>
    <w:rsid w:val="708822B6"/>
    <w:rsid w:val="708C533F"/>
    <w:rsid w:val="70C229F9"/>
    <w:rsid w:val="711A6DEF"/>
    <w:rsid w:val="71722787"/>
    <w:rsid w:val="718F50E7"/>
    <w:rsid w:val="71A20141"/>
    <w:rsid w:val="71DE13E5"/>
    <w:rsid w:val="72133F6A"/>
    <w:rsid w:val="7238752D"/>
    <w:rsid w:val="7242038C"/>
    <w:rsid w:val="7242215A"/>
    <w:rsid w:val="728D5DF9"/>
    <w:rsid w:val="730D6C0C"/>
    <w:rsid w:val="73405472"/>
    <w:rsid w:val="73AA6208"/>
    <w:rsid w:val="73B83E1E"/>
    <w:rsid w:val="749266EF"/>
    <w:rsid w:val="749E5053"/>
    <w:rsid w:val="74C163C0"/>
    <w:rsid w:val="755D72AA"/>
    <w:rsid w:val="75B94A68"/>
    <w:rsid w:val="75BA64AB"/>
    <w:rsid w:val="76067942"/>
    <w:rsid w:val="76946CFC"/>
    <w:rsid w:val="76A267B1"/>
    <w:rsid w:val="77493F8A"/>
    <w:rsid w:val="77A47413"/>
    <w:rsid w:val="77F9150C"/>
    <w:rsid w:val="780B1240"/>
    <w:rsid w:val="78745037"/>
    <w:rsid w:val="78915BE9"/>
    <w:rsid w:val="789B2DD6"/>
    <w:rsid w:val="78A0550F"/>
    <w:rsid w:val="78CB5381"/>
    <w:rsid w:val="790463BB"/>
    <w:rsid w:val="790D736D"/>
    <w:rsid w:val="79200D1B"/>
    <w:rsid w:val="794F33AE"/>
    <w:rsid w:val="798632FB"/>
    <w:rsid w:val="79BD47BC"/>
    <w:rsid w:val="79CE0777"/>
    <w:rsid w:val="7A4E5630"/>
    <w:rsid w:val="7A543372"/>
    <w:rsid w:val="7A6A66F1"/>
    <w:rsid w:val="7A70182E"/>
    <w:rsid w:val="7A7255A6"/>
    <w:rsid w:val="7ABC2E9E"/>
    <w:rsid w:val="7AC329AB"/>
    <w:rsid w:val="7B00432A"/>
    <w:rsid w:val="7B1664AD"/>
    <w:rsid w:val="7B2F5245"/>
    <w:rsid w:val="7B3665D4"/>
    <w:rsid w:val="7B4C148C"/>
    <w:rsid w:val="7C2F562E"/>
    <w:rsid w:val="7CBC5342"/>
    <w:rsid w:val="7CFE1373"/>
    <w:rsid w:val="7D035826"/>
    <w:rsid w:val="7D172723"/>
    <w:rsid w:val="7D7D498E"/>
    <w:rsid w:val="7D9121E7"/>
    <w:rsid w:val="7E0230E5"/>
    <w:rsid w:val="7EA321D2"/>
    <w:rsid w:val="7ED35C46"/>
    <w:rsid w:val="7EDD48CA"/>
    <w:rsid w:val="7EEF71C5"/>
    <w:rsid w:val="7EF938FD"/>
    <w:rsid w:val="7F6000C3"/>
    <w:rsid w:val="7FE24F7C"/>
    <w:rsid w:val="DF8AA0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jc w:val="center"/>
      <w:outlineLvl w:val="0"/>
    </w:pPr>
    <w:rPr>
      <w:rFonts w:ascii="Times New Roman" w:hAnsi="Times New Roman" w:eastAsia="黑体"/>
      <w:b/>
      <w:kern w:val="0"/>
      <w:sz w:val="28"/>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numPr>
        <w:ilvl w:val="2"/>
        <w:numId w:val="1"/>
      </w:numPr>
      <w:tabs>
        <w:tab w:val="left" w:pos="709"/>
        <w:tab w:val="clear"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5">
    <w:name w:val="heading 4"/>
    <w:basedOn w:val="3"/>
    <w:next w:val="1"/>
    <w:qFormat/>
    <w:uiPriority w:val="0"/>
    <w:pPr>
      <w:keepNext/>
      <w:widowControl/>
      <w:numPr>
        <w:ilvl w:val="3"/>
        <w:numId w:val="1"/>
      </w:numPr>
      <w:tabs>
        <w:tab w:val="clear" w:pos="576"/>
      </w:tabs>
      <w:spacing w:before="240" w:after="60"/>
      <w:jc w:val="left"/>
      <w:outlineLvl w:val="3"/>
    </w:pPr>
    <w:rPr>
      <w:rFonts w:ascii="Arial" w:hAnsi="Arial"/>
      <w:kern w:val="0"/>
      <w:sz w:val="24"/>
      <w:szCs w:val="20"/>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annotation text"/>
    <w:basedOn w:val="1"/>
    <w:next w:val="1"/>
    <w:qFormat/>
    <w:uiPriority w:val="0"/>
    <w:pPr>
      <w:jc w:val="left"/>
    </w:pPr>
    <w:rPr>
      <w:szCs w:val="20"/>
    </w:rPr>
  </w:style>
  <w:style w:type="paragraph" w:styleId="9">
    <w:name w:val="Body Text"/>
    <w:basedOn w:val="1"/>
    <w:next w:val="10"/>
    <w:qFormat/>
    <w:uiPriority w:val="0"/>
    <w:pPr>
      <w:spacing w:after="120"/>
    </w:pPr>
    <w:rPr>
      <w:szCs w:val="20"/>
    </w:rPr>
  </w:style>
  <w:style w:type="paragraph" w:styleId="10">
    <w:name w:val="toc 9"/>
    <w:basedOn w:val="1"/>
    <w:next w:val="1"/>
    <w:unhideWhenUsed/>
    <w:qFormat/>
    <w:uiPriority w:val="39"/>
    <w:pPr>
      <w:ind w:left="3360" w:leftChars="1600"/>
    </w:pPr>
  </w:style>
  <w:style w:type="paragraph" w:styleId="11">
    <w:name w:val="Body Text Indent"/>
    <w:basedOn w:val="1"/>
    <w:next w:val="12"/>
    <w:qFormat/>
    <w:uiPriority w:val="0"/>
    <w:pPr>
      <w:spacing w:after="120"/>
      <w:ind w:left="420" w:leftChars="200"/>
    </w:pPr>
  </w:style>
  <w:style w:type="paragraph" w:customStyle="1" w:styleId="12">
    <w:name w:val="font5"/>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styleId="13">
    <w:name w:val="Plain Text"/>
    <w:basedOn w:val="1"/>
    <w:next w:val="1"/>
    <w:qFormat/>
    <w:uiPriority w:val="0"/>
    <w:pPr>
      <w:widowControl/>
      <w:spacing w:before="100" w:beforeAutospacing="1" w:after="100" w:afterAutospacing="1"/>
      <w:jc w:val="left"/>
    </w:pPr>
    <w:rPr>
      <w:rFonts w:ascii="宋体" w:hAnsi="宋体"/>
      <w:color w:val="000000"/>
      <w:kern w:val="0"/>
      <w:sz w:val="24"/>
    </w:rPr>
  </w:style>
  <w:style w:type="paragraph" w:styleId="14">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5">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8948"/>
      </w:tabs>
      <w:jc w:val="center"/>
    </w:pPr>
    <w:rPr>
      <w:rFonts w:ascii="黑体" w:hAnsi="黑体" w:eastAsia="黑体"/>
      <w:b/>
      <w:sz w:val="28"/>
      <w:szCs w:val="28"/>
    </w:rPr>
  </w:style>
  <w:style w:type="paragraph" w:styleId="17">
    <w:name w:val="toc 2"/>
    <w:basedOn w:val="1"/>
    <w:next w:val="1"/>
    <w:semiHidden/>
    <w:unhideWhenUsed/>
    <w:qFormat/>
    <w:uiPriority w:val="39"/>
    <w:pPr>
      <w:ind w:left="420" w:leftChars="200"/>
    </w:pPr>
  </w:style>
  <w:style w:type="paragraph" w:styleId="18">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11"/>
    <w:next w:val="1"/>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semiHidden/>
    <w:unhideWhenUsed/>
    <w:qFormat/>
    <w:uiPriority w:val="99"/>
    <w:rPr>
      <w:color w:val="0000FF"/>
      <w:u w:val="single"/>
    </w:rPr>
  </w:style>
  <w:style w:type="paragraph" w:customStyle="1" w:styleId="25">
    <w:name w:val="null3"/>
    <w:autoRedefine/>
    <w:hidden/>
    <w:qFormat/>
    <w:uiPriority w:val="0"/>
    <w:rPr>
      <w:rFonts w:hint="eastAsia" w:asciiTheme="minorHAnsi" w:hAnsiTheme="minorHAnsi" w:eastAsiaTheme="minorEastAsia" w:cstheme="minorBidi"/>
      <w:lang w:val="en-US" w:eastAsia="zh-Hans"/>
    </w:rPr>
  </w:style>
  <w:style w:type="paragraph" w:customStyle="1" w:styleId="26">
    <w:name w:val="HTML 预设格式1"/>
    <w:basedOn w:val="1"/>
    <w:autoRedefine/>
    <w:qFormat/>
    <w:uiPriority w:val="0"/>
    <w:rPr>
      <w:rFonts w:ascii="Courier New" w:hAnsi="Courier New"/>
      <w:sz w:val="20"/>
    </w:rPr>
  </w:style>
  <w:style w:type="paragraph" w:styleId="27">
    <w:name w:val="List Paragraph"/>
    <w:basedOn w:val="1"/>
    <w:autoRedefine/>
    <w:qFormat/>
    <w:uiPriority w:val="34"/>
    <w:pPr>
      <w:ind w:firstLine="420" w:firstLineChars="200"/>
    </w:pPr>
    <w:rPr>
      <w:rFonts w:ascii="Calibri" w:hAnsi="Calibri" w:eastAsia="宋体" w:cs="Times New Roman"/>
      <w:szCs w:val="22"/>
    </w:rPr>
  </w:style>
  <w:style w:type="paragraph" w:customStyle="1" w:styleId="28">
    <w:name w:val="正文（文本）"/>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2148</Words>
  <Characters>2393</Characters>
  <Lines>1</Lines>
  <Paragraphs>1</Paragraphs>
  <TotalTime>6</TotalTime>
  <ScaleCrop>false</ScaleCrop>
  <LinksUpToDate>false</LinksUpToDate>
  <CharactersWithSpaces>2520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2019-06-14T18:50:00Z</dcterms:created>
  <dc:creator>Apache POI</dc:creator>
  <cp:lastModifiedBy>yd</cp:lastModifiedBy>
  <cp:lastPrinted>2025-02-26T04:38:00Z</cp:lastPrinted>
  <dcterms:modified xsi:type="dcterms:W3CDTF">2025-11-14T02:59:40Z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E8E255464E5D4D9FBC748FD17F620277_13</vt:lpwstr>
  </property>
  <property fmtid="{D5CDD505-2E9C-101B-9397-08002B2CF9AE}" pid="4" name="KSOTemplateDocerSaveRecord">
    <vt:lpwstr>eyJoZGlkIjoiYTFkNmJlMjIyMjI5MWZmNTg5M2M1M2M2MzQwODY1OWUiLCJ1c2VySWQiOiI2MTM2NTA1MTYifQ==</vt:lpwstr>
  </property>
</Properties>
</file>