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0817">
      <w:pPr>
        <w:pStyle w:val="24"/>
        <w:ind w:left="0" w:leftChars="0" w:firstLine="0" w:firstLineChars="0"/>
        <w:rPr>
          <w:rFonts w:hint="eastAsia" w:ascii="仿宋" w:hAnsi="仿宋" w:eastAsia="仿宋" w:cs="仿宋"/>
          <w:b/>
          <w:bCs/>
          <w:i w:val="0"/>
          <w:iCs w:val="0"/>
          <w:caps w:val="0"/>
          <w:color w:val="333333"/>
          <w:spacing w:val="0"/>
          <w:kern w:val="44"/>
          <w:sz w:val="48"/>
          <w:szCs w:val="48"/>
          <w:shd w:val="clear" w:color="auto" w:fill="FFFFFF"/>
          <w:vertAlign w:val="baseline"/>
          <w:lang w:val="en-US" w:eastAsia="zh-CN" w:bidi="ar-SA"/>
        </w:rPr>
      </w:pPr>
    </w:p>
    <w:p w14:paraId="00B5F458">
      <w:pPr>
        <w:pStyle w:val="24"/>
        <w:ind w:left="0" w:leftChars="0" w:firstLine="0" w:firstLineChars="0"/>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pPr>
      <w:r>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t>政府采购项目</w:t>
      </w:r>
    </w:p>
    <w:p w14:paraId="34AA110A">
      <w:pPr>
        <w:pStyle w:val="13"/>
        <w:rPr>
          <w:rFonts w:hint="eastAsia" w:ascii="仿宋" w:hAnsi="仿宋" w:eastAsia="仿宋" w:cs="仿宋"/>
        </w:rPr>
      </w:pPr>
    </w:p>
    <w:p w14:paraId="3088DE0F">
      <w:pPr>
        <w:pStyle w:val="13"/>
        <w:rPr>
          <w:rFonts w:hint="eastAsia" w:ascii="仿宋" w:hAnsi="仿宋" w:eastAsia="仿宋" w:cs="仿宋"/>
        </w:rPr>
      </w:pPr>
    </w:p>
    <w:p w14:paraId="7D3376C9">
      <w:pPr>
        <w:pStyle w:val="24"/>
        <w:ind w:left="0" w:leftChars="0" w:firstLine="0" w:firstLineChars="0"/>
        <w:jc w:val="center"/>
        <w:rPr>
          <w:rFonts w:hint="eastAsia" w:ascii="仿宋" w:hAnsi="仿宋" w:eastAsia="仿宋" w:cs="仿宋"/>
          <w:b/>
          <w:bCs/>
          <w:i w:val="0"/>
          <w:iCs w:val="0"/>
          <w:caps w:val="0"/>
          <w:color w:val="333333"/>
          <w:spacing w:val="0"/>
          <w:kern w:val="44"/>
          <w:sz w:val="56"/>
          <w:szCs w:val="56"/>
          <w:shd w:val="clear" w:color="auto" w:fill="FFFFFF"/>
          <w:vertAlign w:val="baseline"/>
          <w:lang w:val="en-US" w:eastAsia="zh-CN" w:bidi="ar-SA"/>
        </w:rPr>
      </w:pPr>
    </w:p>
    <w:p w14:paraId="43B867B0">
      <w:pPr>
        <w:tabs>
          <w:tab w:val="left" w:pos="1737"/>
          <w:tab w:val="right" w:pos="9551"/>
        </w:tabs>
        <w:jc w:val="center"/>
        <w:rPr>
          <w:rFonts w:hint="eastAsia" w:ascii="仿宋" w:hAnsi="仿宋" w:eastAsia="仿宋" w:cs="仿宋"/>
          <w:b/>
          <w:color w:val="auto"/>
          <w:sz w:val="32"/>
          <w:szCs w:val="32"/>
          <w:highlight w:val="none"/>
        </w:rPr>
      </w:pPr>
      <w:r>
        <w:rPr>
          <w:rFonts w:hint="eastAsia" w:ascii="仿宋" w:hAnsi="仿宋" w:eastAsia="仿宋" w:cs="仿宋"/>
          <w:b/>
          <w:color w:val="auto"/>
          <w:sz w:val="44"/>
          <w:szCs w:val="44"/>
          <w:highlight w:val="none"/>
          <w:lang w:eastAsia="zh-CN"/>
        </w:rPr>
        <w:t>实施能繁母牛、肉犊牛和村级防疫员保险采购项目（三标段）</w:t>
      </w:r>
    </w:p>
    <w:p w14:paraId="0EB382F5">
      <w:pPr>
        <w:pStyle w:val="2"/>
        <w:rPr>
          <w:rFonts w:hint="eastAsia" w:ascii="仿宋" w:hAnsi="仿宋" w:eastAsia="仿宋" w:cs="仿宋"/>
          <w:b/>
          <w:color w:val="auto"/>
          <w:sz w:val="32"/>
          <w:szCs w:val="32"/>
          <w:highlight w:val="none"/>
        </w:rPr>
      </w:pPr>
    </w:p>
    <w:p w14:paraId="2B84E491">
      <w:pPr>
        <w:pStyle w:val="2"/>
        <w:rPr>
          <w:rFonts w:hint="eastAsia" w:ascii="仿宋" w:hAnsi="仿宋" w:eastAsia="仿宋" w:cs="仿宋"/>
          <w:b/>
          <w:color w:val="auto"/>
          <w:sz w:val="32"/>
          <w:szCs w:val="32"/>
          <w:highlight w:val="none"/>
        </w:rPr>
      </w:pPr>
    </w:p>
    <w:p w14:paraId="650282CF">
      <w:pPr>
        <w:pStyle w:val="2"/>
        <w:rPr>
          <w:rFonts w:hint="eastAsia" w:ascii="仿宋" w:hAnsi="仿宋" w:eastAsia="仿宋" w:cs="仿宋"/>
          <w:b/>
          <w:color w:val="auto"/>
          <w:sz w:val="32"/>
          <w:szCs w:val="32"/>
          <w:highlight w:val="none"/>
        </w:rPr>
      </w:pPr>
    </w:p>
    <w:p w14:paraId="32910AE8">
      <w:pPr>
        <w:pStyle w:val="2"/>
        <w:rPr>
          <w:rFonts w:hint="eastAsia" w:ascii="仿宋" w:hAnsi="仿宋" w:eastAsia="仿宋" w:cs="仿宋"/>
          <w:b/>
          <w:color w:val="auto"/>
          <w:sz w:val="32"/>
          <w:szCs w:val="32"/>
          <w:highlight w:val="none"/>
        </w:rPr>
      </w:pPr>
    </w:p>
    <w:p w14:paraId="0FAD1FED">
      <w:pPr>
        <w:pStyle w:val="2"/>
        <w:rPr>
          <w:rFonts w:hint="eastAsia" w:ascii="仿宋" w:hAnsi="仿宋" w:eastAsia="仿宋" w:cs="仿宋"/>
          <w:b/>
          <w:color w:val="auto"/>
          <w:sz w:val="32"/>
          <w:szCs w:val="32"/>
          <w:highlight w:val="none"/>
        </w:rPr>
      </w:pPr>
    </w:p>
    <w:p w14:paraId="2E2D5326">
      <w:pPr>
        <w:tabs>
          <w:tab w:val="left" w:pos="1737"/>
          <w:tab w:val="right" w:pos="9551"/>
        </w:tabs>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eastAsia="zh-CN"/>
        </w:rPr>
        <w:t>HC-ZFCG-2025-040</w:t>
      </w:r>
    </w:p>
    <w:p w14:paraId="7502A2A1">
      <w:pPr>
        <w:pStyle w:val="24"/>
        <w:rPr>
          <w:rFonts w:hint="eastAsia" w:ascii="仿宋" w:hAnsi="仿宋" w:eastAsia="仿宋" w:cs="仿宋"/>
        </w:rPr>
      </w:pPr>
    </w:p>
    <w:p w14:paraId="0175DEB7">
      <w:pPr>
        <w:pStyle w:val="24"/>
        <w:rPr>
          <w:rFonts w:hint="eastAsia" w:ascii="仿宋" w:hAnsi="仿宋" w:eastAsia="仿宋" w:cs="仿宋"/>
        </w:rPr>
      </w:pPr>
    </w:p>
    <w:p w14:paraId="611FAB91">
      <w:pPr>
        <w:pStyle w:val="24"/>
        <w:rPr>
          <w:rFonts w:hint="eastAsia" w:ascii="仿宋" w:hAnsi="仿宋" w:eastAsia="仿宋" w:cs="仿宋"/>
        </w:rPr>
      </w:pPr>
    </w:p>
    <w:p w14:paraId="02E48667">
      <w:pPr>
        <w:spacing w:before="120" w:beforeLines="50" w:line="800" w:lineRule="exact"/>
        <w:jc w:val="center"/>
        <w:rPr>
          <w:rFonts w:hint="eastAsia" w:ascii="仿宋" w:hAnsi="仿宋" w:eastAsia="仿宋" w:cs="仿宋"/>
          <w:b/>
          <w:bCs/>
          <w:color w:val="auto"/>
          <w:spacing w:val="20"/>
          <w:kern w:val="0"/>
          <w:sz w:val="84"/>
          <w:szCs w:val="84"/>
          <w:highlight w:val="none"/>
        </w:rPr>
      </w:pPr>
      <w:r>
        <w:rPr>
          <w:rFonts w:hint="eastAsia" w:ascii="仿宋" w:hAnsi="仿宋" w:eastAsia="仿宋" w:cs="仿宋"/>
          <w:b/>
          <w:bCs/>
          <w:color w:val="auto"/>
          <w:spacing w:val="20"/>
          <w:kern w:val="0"/>
          <w:sz w:val="84"/>
          <w:szCs w:val="84"/>
          <w:highlight w:val="none"/>
        </w:rPr>
        <w:t>招 标 文 件</w:t>
      </w:r>
    </w:p>
    <w:p w14:paraId="662D7519">
      <w:pPr>
        <w:keepNext w:val="0"/>
        <w:keepLines w:val="0"/>
        <w:pageBreakBefore w:val="0"/>
        <w:widowControl w:val="0"/>
        <w:kinsoku/>
        <w:wordWrap/>
        <w:overflowPunct/>
        <w:topLinePunct w:val="0"/>
        <w:autoSpaceDE/>
        <w:autoSpaceDN/>
        <w:bidi w:val="0"/>
        <w:adjustRightInd/>
        <w:snapToGrid/>
        <w:spacing w:before="327" w:beforeLines="100" w:line="760" w:lineRule="exact"/>
        <w:jc w:val="center"/>
        <w:textAlignment w:val="auto"/>
        <w:rPr>
          <w:rFonts w:hint="eastAsia" w:ascii="仿宋" w:hAnsi="仿宋" w:eastAsia="仿宋" w:cs="仿宋"/>
          <w:b/>
          <w:bCs/>
          <w:color w:val="auto"/>
          <w:kern w:val="0"/>
          <w:sz w:val="84"/>
          <w:szCs w:val="84"/>
          <w:highlight w:val="none"/>
          <w:lang w:eastAsia="zh-CN"/>
        </w:rPr>
      </w:pPr>
    </w:p>
    <w:p w14:paraId="4BB39CB1">
      <w:pPr>
        <w:pStyle w:val="2"/>
        <w:ind w:left="0" w:leftChars="0" w:firstLine="0" w:firstLineChars="0"/>
        <w:rPr>
          <w:rFonts w:hint="eastAsia" w:ascii="仿宋" w:hAnsi="仿宋" w:eastAsia="仿宋" w:cs="仿宋"/>
          <w:color w:val="auto"/>
          <w:sz w:val="18"/>
          <w:szCs w:val="18"/>
          <w:highlight w:val="none"/>
        </w:rPr>
      </w:pPr>
    </w:p>
    <w:p w14:paraId="5EAA5370">
      <w:pPr>
        <w:pStyle w:val="2"/>
        <w:rPr>
          <w:rFonts w:hint="eastAsia" w:ascii="仿宋" w:hAnsi="仿宋" w:eastAsia="仿宋" w:cs="仿宋"/>
          <w:color w:val="auto"/>
          <w:sz w:val="18"/>
          <w:szCs w:val="18"/>
          <w:highlight w:val="none"/>
        </w:rPr>
      </w:pPr>
    </w:p>
    <w:p w14:paraId="1D229074">
      <w:pPr>
        <w:rPr>
          <w:rFonts w:hint="eastAsia" w:ascii="仿宋" w:hAnsi="仿宋" w:eastAsia="仿宋" w:cs="仿宋"/>
          <w:color w:val="auto"/>
          <w:sz w:val="18"/>
          <w:szCs w:val="18"/>
          <w:highlight w:val="none"/>
        </w:rPr>
      </w:pPr>
    </w:p>
    <w:p w14:paraId="40540415">
      <w:pPr>
        <w:rPr>
          <w:rFonts w:hint="eastAsia" w:ascii="仿宋" w:hAnsi="仿宋" w:eastAsia="仿宋" w:cs="仿宋"/>
          <w:b/>
          <w:color w:val="auto"/>
          <w:sz w:val="36"/>
          <w:szCs w:val="36"/>
          <w:highlight w:val="none"/>
        </w:rPr>
      </w:pPr>
    </w:p>
    <w:p w14:paraId="5FFD9B5A">
      <w:pPr>
        <w:ind w:firstLine="1428" w:firstLineChars="395"/>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采   购   人：吴起县畜牧兽医服务中心</w:t>
      </w:r>
    </w:p>
    <w:p w14:paraId="46A1F596">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0E52FA30">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        采购代理机构：</w:t>
      </w:r>
      <w:r>
        <w:rPr>
          <w:rFonts w:hint="eastAsia" w:ascii="仿宋" w:hAnsi="仿宋" w:eastAsia="仿宋" w:cs="仿宋"/>
          <w:b/>
          <w:color w:val="auto"/>
          <w:sz w:val="36"/>
          <w:szCs w:val="36"/>
          <w:highlight w:val="none"/>
          <w:lang w:val="en-US" w:eastAsia="zh-CN"/>
        </w:rPr>
        <w:t>华春建设工程项目管理有限责任公司</w:t>
      </w:r>
    </w:p>
    <w:p w14:paraId="3249778C">
      <w:pPr>
        <w:spacing w:before="168" w:beforeLines="70"/>
        <w:jc w:val="center"/>
        <w:rPr>
          <w:rFonts w:hint="eastAsia" w:ascii="仿宋" w:hAnsi="仿宋" w:eastAsia="仿宋" w:cs="仿宋"/>
          <w:b/>
          <w:bCs/>
          <w:color w:val="auto"/>
          <w:sz w:val="36"/>
          <w:szCs w:val="36"/>
          <w:highlight w:val="none"/>
        </w:rPr>
      </w:pPr>
    </w:p>
    <w:p w14:paraId="39CF0DC5">
      <w:pPr>
        <w:tabs>
          <w:tab w:val="center" w:pos="4767"/>
          <w:tab w:val="left" w:pos="8750"/>
        </w:tabs>
        <w:spacing w:before="168" w:beforeLines="70"/>
        <w:jc w:val="center"/>
        <w:rPr>
          <w:rFonts w:hint="eastAsia" w:ascii="仿宋" w:hAnsi="仿宋" w:eastAsia="仿宋" w:cs="仿宋"/>
          <w:b w:val="0"/>
          <w:bCs w:val="0"/>
          <w:color w:val="auto"/>
          <w:spacing w:val="20"/>
          <w:kern w:val="0"/>
          <w:sz w:val="40"/>
          <w:szCs w:val="40"/>
          <w:highlight w:val="none"/>
          <w:lang w:val="zh-CN"/>
        </w:rPr>
      </w:pPr>
      <w:r>
        <w:rPr>
          <w:rFonts w:hint="eastAsia" w:ascii="仿宋" w:hAnsi="仿宋" w:eastAsia="仿宋" w:cs="仿宋"/>
          <w:b/>
          <w:bCs/>
          <w:color w:val="auto"/>
          <w:sz w:val="36"/>
          <w:szCs w:val="36"/>
          <w:highlight w:val="none"/>
          <w:lang w:eastAsia="zh-CN"/>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lang w:eastAsia="zh-CN"/>
        </w:rPr>
        <w:t>年十月</w:t>
      </w:r>
    </w:p>
    <w:p w14:paraId="08C1F3E0">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p>
    <w:p w14:paraId="3D02E075">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r>
        <w:rPr>
          <w:rFonts w:hint="eastAsia" w:ascii="仿宋" w:hAnsi="仿宋" w:eastAsia="仿宋" w:cs="仿宋"/>
          <w:b w:val="0"/>
          <w:bCs w:val="0"/>
          <w:color w:val="auto"/>
          <w:spacing w:val="20"/>
          <w:kern w:val="0"/>
          <w:sz w:val="40"/>
          <w:szCs w:val="40"/>
          <w:highlight w:val="none"/>
          <w:lang w:val="zh-CN"/>
        </w:rPr>
        <w:t>目</w:t>
      </w:r>
      <w:r>
        <w:rPr>
          <w:rFonts w:hint="eastAsia" w:ascii="仿宋" w:hAnsi="仿宋" w:eastAsia="仿宋" w:cs="仿宋"/>
          <w:b w:val="0"/>
          <w:bCs w:val="0"/>
          <w:color w:val="auto"/>
          <w:spacing w:val="20"/>
          <w:kern w:val="0"/>
          <w:sz w:val="40"/>
          <w:szCs w:val="40"/>
          <w:highlight w:val="none"/>
          <w:lang w:val="en-US" w:eastAsia="zh-CN"/>
        </w:rPr>
        <w:t xml:space="preserve"> </w:t>
      </w:r>
      <w:r>
        <w:rPr>
          <w:rFonts w:hint="eastAsia" w:ascii="仿宋" w:hAnsi="仿宋" w:eastAsia="仿宋" w:cs="仿宋"/>
          <w:b w:val="0"/>
          <w:bCs w:val="0"/>
          <w:color w:val="auto"/>
          <w:spacing w:val="20"/>
          <w:kern w:val="0"/>
          <w:sz w:val="40"/>
          <w:szCs w:val="40"/>
          <w:highlight w:val="none"/>
          <w:lang w:val="zh-CN"/>
        </w:rPr>
        <w:t xml:space="preserve"> 录</w:t>
      </w:r>
    </w:p>
    <w:p w14:paraId="70D37FA3">
      <w:pPr>
        <w:pStyle w:val="2"/>
        <w:rPr>
          <w:rFonts w:hint="eastAsia"/>
          <w:lang w:val="zh-CN"/>
        </w:rPr>
      </w:pPr>
    </w:p>
    <w:p w14:paraId="0C978F7B">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52"/>
          <w:szCs w:val="52"/>
          <w:highlight w:val="none"/>
          <w:lang w:val="zh-CN"/>
        </w:rPr>
        <w:fldChar w:fldCharType="begin"/>
      </w:r>
      <w:r>
        <w:rPr>
          <w:rFonts w:hint="eastAsia" w:ascii="仿宋" w:hAnsi="仿宋" w:eastAsia="仿宋" w:cs="仿宋"/>
          <w:color w:val="auto"/>
          <w:sz w:val="52"/>
          <w:szCs w:val="52"/>
          <w:highlight w:val="none"/>
          <w:lang w:val="zh-CN"/>
        </w:rPr>
        <w:instrText xml:space="preserve">TOC \o "1-1" \h \u </w:instrText>
      </w:r>
      <w:r>
        <w:rPr>
          <w:rFonts w:hint="eastAsia" w:ascii="仿宋" w:hAnsi="仿宋" w:eastAsia="仿宋" w:cs="仿宋"/>
          <w:color w:val="auto"/>
          <w:sz w:val="52"/>
          <w:szCs w:val="52"/>
          <w:highlight w:val="none"/>
          <w:lang w:val="zh-CN"/>
        </w:rPr>
        <w:fldChar w:fldCharType="separate"/>
      </w: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_Toc6044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lang w:eastAsia="zh-CN"/>
        </w:rPr>
        <w:t xml:space="preserve">第一部分 </w:t>
      </w:r>
      <w:r>
        <w:rPr>
          <w:rFonts w:hint="eastAsia" w:ascii="仿宋" w:hAnsi="仿宋" w:eastAsia="仿宋" w:cs="仿宋"/>
          <w:sz w:val="28"/>
          <w:szCs w:val="36"/>
          <w:highlight w:val="none"/>
          <w:lang w:eastAsia="zh-CN"/>
        </w:rPr>
        <w:t>招标公告</w:t>
      </w:r>
      <w:r>
        <w:rPr>
          <w:sz w:val="28"/>
          <w:szCs w:val="36"/>
        </w:rPr>
        <w:tab/>
      </w:r>
      <w:r>
        <w:rPr>
          <w:sz w:val="28"/>
          <w:szCs w:val="36"/>
        </w:rPr>
        <w:fldChar w:fldCharType="begin"/>
      </w:r>
      <w:r>
        <w:rPr>
          <w:sz w:val="28"/>
          <w:szCs w:val="36"/>
        </w:rPr>
        <w:instrText xml:space="preserve"> PAGEREF _Toc6044 \h </w:instrText>
      </w:r>
      <w:r>
        <w:rPr>
          <w:sz w:val="28"/>
          <w:szCs w:val="36"/>
        </w:rPr>
        <w:fldChar w:fldCharType="separate"/>
      </w:r>
      <w:r>
        <w:rPr>
          <w:sz w:val="28"/>
          <w:szCs w:val="36"/>
        </w:rPr>
        <w:t>1</w:t>
      </w:r>
      <w:r>
        <w:rPr>
          <w:sz w:val="28"/>
          <w:szCs w:val="36"/>
        </w:rPr>
        <w:fldChar w:fldCharType="end"/>
      </w:r>
      <w:r>
        <w:rPr>
          <w:rFonts w:hint="eastAsia" w:ascii="仿宋" w:hAnsi="仿宋" w:eastAsia="仿宋" w:cs="仿宋"/>
          <w:color w:val="auto"/>
          <w:sz w:val="28"/>
          <w:szCs w:val="52"/>
          <w:highlight w:val="none"/>
          <w:lang w:val="zh-CN"/>
        </w:rPr>
        <w:fldChar w:fldCharType="end"/>
      </w:r>
    </w:p>
    <w:p w14:paraId="590D8076">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_Toc23775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第二部分  投标人须知前附表</w:t>
      </w:r>
      <w:r>
        <w:rPr>
          <w:sz w:val="28"/>
          <w:szCs w:val="36"/>
        </w:rPr>
        <w:tab/>
      </w:r>
      <w:r>
        <w:rPr>
          <w:sz w:val="28"/>
          <w:szCs w:val="36"/>
        </w:rPr>
        <w:fldChar w:fldCharType="begin"/>
      </w:r>
      <w:r>
        <w:rPr>
          <w:sz w:val="28"/>
          <w:szCs w:val="36"/>
        </w:rPr>
        <w:instrText xml:space="preserve"> PAGEREF _Toc23775 \h </w:instrText>
      </w:r>
      <w:r>
        <w:rPr>
          <w:sz w:val="28"/>
          <w:szCs w:val="36"/>
        </w:rPr>
        <w:fldChar w:fldCharType="separate"/>
      </w:r>
      <w:r>
        <w:rPr>
          <w:sz w:val="28"/>
          <w:szCs w:val="36"/>
        </w:rPr>
        <w:t>7</w:t>
      </w:r>
      <w:r>
        <w:rPr>
          <w:sz w:val="28"/>
          <w:szCs w:val="36"/>
        </w:rPr>
        <w:fldChar w:fldCharType="end"/>
      </w:r>
      <w:r>
        <w:rPr>
          <w:rFonts w:hint="eastAsia" w:ascii="仿宋" w:hAnsi="仿宋" w:eastAsia="仿宋" w:cs="仿宋"/>
          <w:color w:val="auto"/>
          <w:sz w:val="28"/>
          <w:szCs w:val="52"/>
          <w:highlight w:val="none"/>
          <w:lang w:val="zh-CN"/>
        </w:rPr>
        <w:fldChar w:fldCharType="end"/>
      </w:r>
    </w:p>
    <w:p w14:paraId="391D11A6">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_Toc11167 </w:instrText>
      </w:r>
      <w:r>
        <w:rPr>
          <w:rFonts w:hint="eastAsia" w:ascii="仿宋" w:hAnsi="仿宋" w:eastAsia="仿宋" w:cs="仿宋"/>
          <w:sz w:val="28"/>
          <w:szCs w:val="52"/>
          <w:highlight w:val="none"/>
          <w:lang w:val="zh-CN"/>
        </w:rPr>
        <w:fldChar w:fldCharType="separate"/>
      </w:r>
      <w:r>
        <w:rPr>
          <w:rFonts w:hint="eastAsia" w:ascii="仿宋" w:hAnsi="仿宋" w:eastAsia="仿宋" w:cs="仿宋"/>
          <w:bCs/>
          <w:kern w:val="44"/>
          <w:sz w:val="28"/>
          <w:szCs w:val="56"/>
          <w:highlight w:val="none"/>
        </w:rPr>
        <w:t>第三部分  投标人须知</w:t>
      </w:r>
      <w:r>
        <w:rPr>
          <w:sz w:val="28"/>
          <w:szCs w:val="36"/>
        </w:rPr>
        <w:tab/>
      </w:r>
      <w:r>
        <w:rPr>
          <w:sz w:val="28"/>
          <w:szCs w:val="36"/>
        </w:rPr>
        <w:fldChar w:fldCharType="begin"/>
      </w:r>
      <w:r>
        <w:rPr>
          <w:sz w:val="28"/>
          <w:szCs w:val="36"/>
        </w:rPr>
        <w:instrText xml:space="preserve"> PAGEREF _Toc11167 \h </w:instrText>
      </w:r>
      <w:r>
        <w:rPr>
          <w:sz w:val="28"/>
          <w:szCs w:val="36"/>
        </w:rPr>
        <w:fldChar w:fldCharType="separate"/>
      </w:r>
      <w:r>
        <w:rPr>
          <w:sz w:val="28"/>
          <w:szCs w:val="36"/>
        </w:rPr>
        <w:t>9</w:t>
      </w:r>
      <w:r>
        <w:rPr>
          <w:sz w:val="28"/>
          <w:szCs w:val="36"/>
        </w:rPr>
        <w:fldChar w:fldCharType="end"/>
      </w:r>
      <w:r>
        <w:rPr>
          <w:rFonts w:hint="eastAsia" w:ascii="仿宋" w:hAnsi="仿宋" w:eastAsia="仿宋" w:cs="仿宋"/>
          <w:color w:val="auto"/>
          <w:sz w:val="28"/>
          <w:szCs w:val="52"/>
          <w:highlight w:val="none"/>
          <w:lang w:val="zh-CN"/>
        </w:rPr>
        <w:fldChar w:fldCharType="end"/>
      </w:r>
    </w:p>
    <w:p w14:paraId="303CF952">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_Toc21689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28"/>
        </w:rPr>
        <w:t xml:space="preserve">第四部分 </w:t>
      </w:r>
      <w:r>
        <w:rPr>
          <w:rFonts w:hint="eastAsia" w:ascii="仿宋" w:hAnsi="仿宋" w:eastAsia="仿宋" w:cs="仿宋"/>
          <w:kern w:val="0"/>
          <w:sz w:val="28"/>
          <w:szCs w:val="36"/>
          <w:highlight w:val="none"/>
        </w:rPr>
        <w:t>采购内容及技术要求</w:t>
      </w:r>
      <w:r>
        <w:rPr>
          <w:sz w:val="28"/>
          <w:szCs w:val="36"/>
        </w:rPr>
        <w:tab/>
      </w:r>
      <w:r>
        <w:rPr>
          <w:sz w:val="28"/>
          <w:szCs w:val="36"/>
        </w:rPr>
        <w:fldChar w:fldCharType="begin"/>
      </w:r>
      <w:r>
        <w:rPr>
          <w:sz w:val="28"/>
          <w:szCs w:val="36"/>
        </w:rPr>
        <w:instrText xml:space="preserve"> PAGEREF _Toc21689 \h </w:instrText>
      </w:r>
      <w:r>
        <w:rPr>
          <w:sz w:val="28"/>
          <w:szCs w:val="36"/>
        </w:rPr>
        <w:fldChar w:fldCharType="separate"/>
      </w:r>
      <w:r>
        <w:rPr>
          <w:sz w:val="28"/>
          <w:szCs w:val="36"/>
        </w:rPr>
        <w:t>25</w:t>
      </w:r>
      <w:r>
        <w:rPr>
          <w:sz w:val="28"/>
          <w:szCs w:val="36"/>
        </w:rPr>
        <w:fldChar w:fldCharType="end"/>
      </w:r>
      <w:r>
        <w:rPr>
          <w:rFonts w:hint="eastAsia" w:ascii="仿宋" w:hAnsi="仿宋" w:eastAsia="仿宋" w:cs="仿宋"/>
          <w:color w:val="auto"/>
          <w:sz w:val="28"/>
          <w:szCs w:val="52"/>
          <w:highlight w:val="none"/>
          <w:lang w:val="zh-CN"/>
        </w:rPr>
        <w:fldChar w:fldCharType="end"/>
      </w:r>
    </w:p>
    <w:p w14:paraId="562AB0C3">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_Toc1676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w:t>
      </w:r>
      <w:r>
        <w:rPr>
          <w:rFonts w:hint="eastAsia" w:ascii="仿宋" w:hAnsi="仿宋" w:eastAsia="仿宋" w:cs="仿宋"/>
          <w:sz w:val="28"/>
          <w:szCs w:val="36"/>
          <w:highlight w:val="none"/>
          <w:lang w:eastAsia="zh-CN"/>
        </w:rPr>
        <w:t>五</w:t>
      </w:r>
      <w:r>
        <w:rPr>
          <w:rFonts w:hint="eastAsia" w:ascii="仿宋" w:hAnsi="仿宋" w:eastAsia="仿宋" w:cs="仿宋"/>
          <w:sz w:val="28"/>
          <w:szCs w:val="36"/>
          <w:highlight w:val="none"/>
        </w:rPr>
        <w:t>部分  合同条款</w:t>
      </w:r>
      <w:r>
        <w:rPr>
          <w:rFonts w:hint="eastAsia" w:ascii="仿宋" w:hAnsi="仿宋" w:eastAsia="仿宋" w:cs="仿宋"/>
          <w:sz w:val="28"/>
          <w:szCs w:val="36"/>
          <w:highlight w:val="none"/>
          <w:lang w:val="en-US" w:eastAsia="zh-CN"/>
        </w:rPr>
        <w:t>草案</w:t>
      </w:r>
      <w:r>
        <w:rPr>
          <w:sz w:val="28"/>
          <w:szCs w:val="36"/>
        </w:rPr>
        <w:tab/>
      </w:r>
      <w:r>
        <w:rPr>
          <w:sz w:val="28"/>
          <w:szCs w:val="36"/>
        </w:rPr>
        <w:fldChar w:fldCharType="begin"/>
      </w:r>
      <w:r>
        <w:rPr>
          <w:sz w:val="28"/>
          <w:szCs w:val="36"/>
        </w:rPr>
        <w:instrText xml:space="preserve"> PAGEREF _Toc1676 \h </w:instrText>
      </w:r>
      <w:r>
        <w:rPr>
          <w:sz w:val="28"/>
          <w:szCs w:val="36"/>
        </w:rPr>
        <w:fldChar w:fldCharType="separate"/>
      </w:r>
      <w:r>
        <w:rPr>
          <w:sz w:val="28"/>
          <w:szCs w:val="36"/>
        </w:rPr>
        <w:t>27</w:t>
      </w:r>
      <w:r>
        <w:rPr>
          <w:sz w:val="28"/>
          <w:szCs w:val="36"/>
        </w:rPr>
        <w:fldChar w:fldCharType="end"/>
      </w:r>
      <w:r>
        <w:rPr>
          <w:rFonts w:hint="eastAsia" w:ascii="仿宋" w:hAnsi="仿宋" w:eastAsia="仿宋" w:cs="仿宋"/>
          <w:color w:val="auto"/>
          <w:sz w:val="28"/>
          <w:szCs w:val="52"/>
          <w:highlight w:val="none"/>
          <w:lang w:val="zh-CN"/>
        </w:rPr>
        <w:fldChar w:fldCharType="end"/>
      </w:r>
    </w:p>
    <w:p w14:paraId="5E5128EC">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_Toc21263 </w:instrText>
      </w:r>
      <w:r>
        <w:rPr>
          <w:rFonts w:hint="eastAsia" w:ascii="仿宋" w:hAnsi="仿宋" w:eastAsia="仿宋" w:cs="仿宋"/>
          <w:sz w:val="28"/>
          <w:szCs w:val="52"/>
          <w:highlight w:val="none"/>
          <w:lang w:val="zh-CN"/>
        </w:rPr>
        <w:fldChar w:fldCharType="separate"/>
      </w:r>
      <w:r>
        <w:rPr>
          <w:rFonts w:hint="eastAsia" w:ascii="仿宋" w:hAnsi="仿宋" w:eastAsia="仿宋" w:cs="仿宋"/>
          <w:bCs/>
          <w:kern w:val="44"/>
          <w:sz w:val="28"/>
          <w:szCs w:val="56"/>
          <w:highlight w:val="none"/>
          <w:lang w:val="en-US" w:eastAsia="zh-CN" w:bidi="ar-SA"/>
        </w:rPr>
        <w:t>第六部分  评标办法</w:t>
      </w:r>
      <w:r>
        <w:rPr>
          <w:sz w:val="28"/>
          <w:szCs w:val="36"/>
        </w:rPr>
        <w:tab/>
      </w:r>
      <w:r>
        <w:rPr>
          <w:sz w:val="28"/>
          <w:szCs w:val="36"/>
        </w:rPr>
        <w:fldChar w:fldCharType="begin"/>
      </w:r>
      <w:r>
        <w:rPr>
          <w:sz w:val="28"/>
          <w:szCs w:val="36"/>
        </w:rPr>
        <w:instrText xml:space="preserve"> PAGEREF _Toc21263 \h </w:instrText>
      </w:r>
      <w:r>
        <w:rPr>
          <w:sz w:val="28"/>
          <w:szCs w:val="36"/>
        </w:rPr>
        <w:fldChar w:fldCharType="separate"/>
      </w:r>
      <w:r>
        <w:rPr>
          <w:sz w:val="28"/>
          <w:szCs w:val="36"/>
        </w:rPr>
        <w:t>32</w:t>
      </w:r>
      <w:r>
        <w:rPr>
          <w:sz w:val="28"/>
          <w:szCs w:val="36"/>
        </w:rPr>
        <w:fldChar w:fldCharType="end"/>
      </w:r>
      <w:r>
        <w:rPr>
          <w:rFonts w:hint="eastAsia" w:ascii="仿宋" w:hAnsi="仿宋" w:eastAsia="仿宋" w:cs="仿宋"/>
          <w:color w:val="auto"/>
          <w:sz w:val="28"/>
          <w:szCs w:val="52"/>
          <w:highlight w:val="none"/>
          <w:lang w:val="zh-CN"/>
        </w:rPr>
        <w:fldChar w:fldCharType="end"/>
      </w:r>
    </w:p>
    <w:p w14:paraId="6897EFC5">
      <w:pPr>
        <w:pStyle w:val="17"/>
        <w:pageBreakBefore w:val="0"/>
        <w:widowControl w:val="0"/>
        <w:tabs>
          <w:tab w:val="right" w:leader="dot" w:pos="9747"/>
        </w:tabs>
        <w:kinsoku/>
        <w:wordWrap/>
        <w:overflowPunct/>
        <w:topLinePunct w:val="0"/>
        <w:autoSpaceDE/>
        <w:autoSpaceDN/>
        <w:bidi w:val="0"/>
        <w:adjustRightInd/>
        <w:snapToGrid/>
        <w:spacing w:line="360" w:lineRule="auto"/>
        <w:textAlignment w:val="auto"/>
        <w:rPr>
          <w:sz w:val="28"/>
          <w:szCs w:val="36"/>
        </w:rPr>
      </w:pPr>
      <w:r>
        <w:rPr>
          <w:rFonts w:hint="eastAsia" w:ascii="仿宋" w:hAnsi="仿宋" w:eastAsia="仿宋" w:cs="仿宋"/>
          <w:color w:val="auto"/>
          <w:sz w:val="28"/>
          <w:szCs w:val="52"/>
          <w:highlight w:val="none"/>
          <w:lang w:val="zh-CN"/>
        </w:rPr>
        <w:fldChar w:fldCharType="begin"/>
      </w:r>
      <w:r>
        <w:rPr>
          <w:rFonts w:hint="eastAsia" w:ascii="仿宋" w:hAnsi="仿宋" w:eastAsia="仿宋" w:cs="仿宋"/>
          <w:sz w:val="28"/>
          <w:szCs w:val="52"/>
          <w:highlight w:val="none"/>
          <w:lang w:val="zh-CN"/>
        </w:rPr>
        <w:instrText xml:space="preserve"> HYPERLINK \l _Toc12611 </w:instrText>
      </w:r>
      <w:r>
        <w:rPr>
          <w:rFonts w:hint="eastAsia" w:ascii="仿宋" w:hAnsi="仿宋" w:eastAsia="仿宋" w:cs="仿宋"/>
          <w:sz w:val="28"/>
          <w:szCs w:val="52"/>
          <w:highlight w:val="none"/>
          <w:lang w:val="zh-CN"/>
        </w:rPr>
        <w:fldChar w:fldCharType="separate"/>
      </w:r>
      <w:r>
        <w:rPr>
          <w:rFonts w:hint="eastAsia" w:ascii="仿宋" w:hAnsi="仿宋" w:eastAsia="仿宋" w:cs="仿宋"/>
          <w:sz w:val="28"/>
          <w:szCs w:val="36"/>
          <w:highlight w:val="none"/>
        </w:rPr>
        <w:t>第</w:t>
      </w:r>
      <w:r>
        <w:rPr>
          <w:rFonts w:hint="eastAsia" w:ascii="仿宋" w:hAnsi="仿宋" w:eastAsia="仿宋" w:cs="仿宋"/>
          <w:sz w:val="28"/>
          <w:szCs w:val="36"/>
          <w:highlight w:val="none"/>
          <w:lang w:val="en-US" w:eastAsia="zh-CN"/>
        </w:rPr>
        <w:t>七</w:t>
      </w:r>
      <w:r>
        <w:rPr>
          <w:rFonts w:hint="eastAsia" w:ascii="仿宋" w:hAnsi="仿宋" w:eastAsia="仿宋" w:cs="仿宋"/>
          <w:sz w:val="28"/>
          <w:szCs w:val="36"/>
          <w:highlight w:val="none"/>
        </w:rPr>
        <w:t>部分  投标文件格式</w:t>
      </w:r>
      <w:r>
        <w:rPr>
          <w:sz w:val="28"/>
          <w:szCs w:val="36"/>
        </w:rPr>
        <w:tab/>
      </w:r>
      <w:r>
        <w:rPr>
          <w:sz w:val="28"/>
          <w:szCs w:val="36"/>
        </w:rPr>
        <w:fldChar w:fldCharType="begin"/>
      </w:r>
      <w:r>
        <w:rPr>
          <w:sz w:val="28"/>
          <w:szCs w:val="36"/>
        </w:rPr>
        <w:instrText xml:space="preserve"> PAGEREF _Toc12611 \h </w:instrText>
      </w:r>
      <w:r>
        <w:rPr>
          <w:sz w:val="28"/>
          <w:szCs w:val="36"/>
        </w:rPr>
        <w:fldChar w:fldCharType="separate"/>
      </w:r>
      <w:r>
        <w:rPr>
          <w:sz w:val="28"/>
          <w:szCs w:val="36"/>
        </w:rPr>
        <w:t>38</w:t>
      </w:r>
      <w:r>
        <w:rPr>
          <w:sz w:val="28"/>
          <w:szCs w:val="36"/>
        </w:rPr>
        <w:fldChar w:fldCharType="end"/>
      </w:r>
      <w:r>
        <w:rPr>
          <w:rFonts w:hint="eastAsia" w:ascii="仿宋" w:hAnsi="仿宋" w:eastAsia="仿宋" w:cs="仿宋"/>
          <w:color w:val="auto"/>
          <w:sz w:val="28"/>
          <w:szCs w:val="52"/>
          <w:highlight w:val="none"/>
          <w:lang w:val="zh-CN"/>
        </w:rPr>
        <w:fldChar w:fldCharType="end"/>
      </w:r>
    </w:p>
    <w:p w14:paraId="418BF951">
      <w:pPr>
        <w:pStyle w:val="17"/>
        <w:keepNext w:val="0"/>
        <w:keepLines w:val="0"/>
        <w:pageBreakBefore w:val="0"/>
        <w:widowControl w:val="0"/>
        <w:tabs>
          <w:tab w:val="right" w:leader="dot" w:pos="940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40"/>
          <w:szCs w:val="40"/>
          <w:highlight w:val="none"/>
          <w:lang w:val="zh-CN"/>
        </w:rPr>
      </w:pPr>
      <w:r>
        <w:rPr>
          <w:rFonts w:hint="eastAsia" w:ascii="仿宋" w:hAnsi="仿宋" w:eastAsia="仿宋" w:cs="仿宋"/>
          <w:color w:val="auto"/>
          <w:sz w:val="28"/>
          <w:szCs w:val="52"/>
          <w:highlight w:val="none"/>
          <w:lang w:val="zh-CN"/>
        </w:rPr>
        <w:fldChar w:fldCharType="end"/>
      </w:r>
    </w:p>
    <w:p w14:paraId="7DEAB25A">
      <w:pPr>
        <w:pStyle w:val="6"/>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color w:val="auto"/>
          <w:sz w:val="56"/>
          <w:szCs w:val="56"/>
          <w:highlight w:val="none"/>
          <w:lang w:eastAsia="zh-CN"/>
        </w:rPr>
        <w:sectPr>
          <w:footerReference r:id="rId4" w:type="first"/>
          <w:headerReference r:id="rId3" w:type="default"/>
          <w:pgSz w:w="11907" w:h="16840"/>
          <w:pgMar w:top="1440" w:right="1080" w:bottom="1440" w:left="1080" w:header="624" w:footer="1020" w:gutter="0"/>
          <w:pgNumType w:fmt="decimal" w:start="1"/>
          <w:cols w:space="720" w:num="1"/>
          <w:titlePg/>
          <w:docGrid w:linePitch="326" w:charSpace="0"/>
        </w:sectPr>
      </w:pPr>
      <w:bookmarkStart w:id="0" w:name="_Toc30261"/>
      <w:bookmarkStart w:id="1" w:name="_Toc416530612"/>
    </w:p>
    <w:p w14:paraId="659CF324">
      <w:pPr>
        <w:pStyle w:val="6"/>
        <w:numPr>
          <w:ilvl w:val="0"/>
          <w:numId w:val="1"/>
        </w:numPr>
        <w:spacing w:before="0" w:after="0" w:line="80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bookmarkEnd w:id="0"/>
      <w:bookmarkEnd w:id="1"/>
      <w:bookmarkStart w:id="2" w:name="_Toc6044"/>
      <w:r>
        <w:rPr>
          <w:rFonts w:hint="eastAsia" w:ascii="仿宋" w:hAnsi="仿宋" w:eastAsia="仿宋" w:cs="仿宋"/>
          <w:color w:val="auto"/>
          <w:highlight w:val="none"/>
          <w:lang w:eastAsia="zh-CN"/>
        </w:rPr>
        <w:t>招标公告</w:t>
      </w:r>
      <w:bookmarkEnd w:id="2"/>
    </w:p>
    <w:p w14:paraId="43F6497E">
      <w:pPr>
        <w:rPr>
          <w:rFonts w:hint="eastAsia"/>
          <w:sz w:val="32"/>
          <w:szCs w:val="22"/>
          <w:lang w:eastAsia="zh-CN"/>
        </w:rPr>
      </w:pPr>
    </w:p>
    <w:p w14:paraId="677D3EAA">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8"/>
          <w:szCs w:val="28"/>
        </w:rPr>
      </w:pPr>
      <w:r>
        <w:rPr>
          <w:rFonts w:hint="eastAsia" w:ascii="仿宋" w:hAnsi="仿宋" w:eastAsia="仿宋" w:cs="仿宋"/>
          <w:b/>
          <w:sz w:val="21"/>
          <w:szCs w:val="28"/>
        </w:rPr>
        <w:t xml:space="preserve"> 项目概况</w:t>
      </w:r>
    </w:p>
    <w:p w14:paraId="43E25C0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实施能繁母牛、肉犊牛和村级防疫员保险采购项目招标项目的潜在投标人应在全国公共资源交易中心平台（陕西省·延安市）平台获取招标文件，并于 2025年</w:t>
      </w: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04</w:t>
      </w: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14 </w:t>
      </w:r>
      <w:r>
        <w:rPr>
          <w:rFonts w:hint="eastAsia" w:ascii="仿宋" w:hAnsi="仿宋" w:eastAsia="仿宋" w:cs="仿宋"/>
          <w:color w:val="auto"/>
          <w:sz w:val="21"/>
          <w:szCs w:val="21"/>
        </w:rPr>
        <w:t>时</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分</w:t>
      </w:r>
      <w:r>
        <w:rPr>
          <w:rFonts w:hint="eastAsia" w:ascii="仿宋" w:hAnsi="仿宋" w:eastAsia="仿宋" w:cs="仿宋"/>
          <w:color w:val="auto"/>
          <w:sz w:val="21"/>
          <w:szCs w:val="21"/>
          <w:lang w:val="en-US" w:eastAsia="zh-CN"/>
        </w:rPr>
        <w:t xml:space="preserve">00 </w:t>
      </w:r>
      <w:r>
        <w:rPr>
          <w:rFonts w:hint="eastAsia" w:ascii="仿宋" w:hAnsi="仿宋" w:eastAsia="仿宋" w:cs="仿宋"/>
          <w:color w:val="auto"/>
          <w:sz w:val="21"/>
          <w:szCs w:val="21"/>
        </w:rPr>
        <w:t>秒</w:t>
      </w:r>
      <w:r>
        <w:rPr>
          <w:rFonts w:hint="eastAsia" w:ascii="仿宋" w:hAnsi="仿宋" w:eastAsia="仿宋" w:cs="仿宋"/>
          <w:sz w:val="21"/>
          <w:szCs w:val="21"/>
        </w:rPr>
        <w:t xml:space="preserve"> （北京时间）前递交投标文件。</w:t>
      </w:r>
    </w:p>
    <w:p w14:paraId="47F7C298">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一、项目基本情况</w:t>
      </w:r>
    </w:p>
    <w:p w14:paraId="43D16F73">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项目编号：HC-ZFCG-2025-040</w:t>
      </w:r>
    </w:p>
    <w:p w14:paraId="6C742D2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项目名称：实施能繁母牛、肉犊牛和村级防疫员保险采购项目</w:t>
      </w:r>
    </w:p>
    <w:p w14:paraId="2DC550D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采购方式：公开招标</w:t>
      </w:r>
    </w:p>
    <w:p w14:paraId="2B63AF5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预算金额：2,730,000.00元</w:t>
      </w:r>
    </w:p>
    <w:p w14:paraId="1559DD2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采购需求：</w:t>
      </w:r>
    </w:p>
    <w:p w14:paraId="474B98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w:t>
      </w:r>
    </w:p>
    <w:p w14:paraId="5F2DEA2B">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合同包预算金额：1,100,000.00元</w:t>
      </w:r>
    </w:p>
    <w:p w14:paraId="14B83E4A">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合同包最高限价：1,100,000.00元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41E29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D1E67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405033E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6B3E373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6DA5E95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38D4533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3866ABF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61709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17E17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1384" w:type="dxa"/>
          </w:tcPr>
          <w:p w14:paraId="12630E6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5A0F0D5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1100000</w:t>
            </w:r>
          </w:p>
        </w:tc>
        <w:tc>
          <w:tcPr>
            <w:tcW w:w="1384" w:type="dxa"/>
          </w:tcPr>
          <w:p w14:paraId="67A0E82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3CA96E3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10DD4AD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1,100,000.00</w:t>
            </w:r>
          </w:p>
        </w:tc>
      </w:tr>
    </w:tbl>
    <w:p w14:paraId="7C55CEB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27B2BE9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469CEA0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w:t>
      </w:r>
    </w:p>
    <w:p w14:paraId="2A3180B7">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合同包预算金额：1,010,000.00元</w:t>
      </w:r>
    </w:p>
    <w:p w14:paraId="191CAB81">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合同包最高限价：1,010,000.00元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6F470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934AC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46D97013">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7BCA418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50048B9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393233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186EED8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48CF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62EAD6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2-1</w:t>
            </w:r>
          </w:p>
        </w:tc>
        <w:tc>
          <w:tcPr>
            <w:tcW w:w="1384" w:type="dxa"/>
          </w:tcPr>
          <w:p w14:paraId="19A3DFE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3F88139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1010000</w:t>
            </w:r>
          </w:p>
        </w:tc>
        <w:tc>
          <w:tcPr>
            <w:tcW w:w="1384" w:type="dxa"/>
          </w:tcPr>
          <w:p w14:paraId="5A3C480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53A485C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2ED3AF7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1,010,000.00</w:t>
            </w:r>
          </w:p>
        </w:tc>
      </w:tr>
    </w:tbl>
    <w:p w14:paraId="2E28C9F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5A2311F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6F68D71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w:t>
      </w:r>
    </w:p>
    <w:p w14:paraId="5D1E2198">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合同包预算金额：620,000.00元</w:t>
      </w:r>
    </w:p>
    <w:p w14:paraId="34F5094E">
      <w:pPr>
        <w:pStyle w:val="30"/>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仿宋" w:hAnsi="仿宋" w:eastAsia="仿宋" w:cs="仿宋"/>
          <w:sz w:val="21"/>
          <w:szCs w:val="21"/>
        </w:rPr>
      </w:pPr>
      <w:r>
        <w:rPr>
          <w:rFonts w:hint="eastAsia" w:ascii="仿宋" w:hAnsi="仿宋" w:eastAsia="仿宋" w:cs="仿宋"/>
          <w:sz w:val="21"/>
          <w:szCs w:val="21"/>
        </w:rPr>
        <w:t xml:space="preserve"> 合同包最高限价：620,000.00元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F0BF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D3F5C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品目号</w:t>
            </w:r>
          </w:p>
        </w:tc>
        <w:tc>
          <w:tcPr>
            <w:tcW w:w="1384" w:type="dxa"/>
          </w:tcPr>
          <w:p w14:paraId="6377059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品目名称</w:t>
            </w:r>
          </w:p>
        </w:tc>
        <w:tc>
          <w:tcPr>
            <w:tcW w:w="1384" w:type="dxa"/>
          </w:tcPr>
          <w:p w14:paraId="6C8196E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采购标的</w:t>
            </w:r>
          </w:p>
        </w:tc>
        <w:tc>
          <w:tcPr>
            <w:tcW w:w="1384" w:type="dxa"/>
          </w:tcPr>
          <w:p w14:paraId="48983FB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数量（单位）</w:t>
            </w:r>
          </w:p>
        </w:tc>
        <w:tc>
          <w:tcPr>
            <w:tcW w:w="1384" w:type="dxa"/>
          </w:tcPr>
          <w:p w14:paraId="71F4494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技术规格、参数及要求</w:t>
            </w:r>
          </w:p>
        </w:tc>
        <w:tc>
          <w:tcPr>
            <w:tcW w:w="1384" w:type="dxa"/>
          </w:tcPr>
          <w:p w14:paraId="5A71018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品目预算(元)</w:t>
            </w:r>
          </w:p>
        </w:tc>
      </w:tr>
      <w:tr w14:paraId="7820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7945C6D">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3-1</w:t>
            </w:r>
          </w:p>
        </w:tc>
        <w:tc>
          <w:tcPr>
            <w:tcW w:w="1384" w:type="dxa"/>
          </w:tcPr>
          <w:p w14:paraId="3771510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其他保险服务</w:t>
            </w:r>
          </w:p>
        </w:tc>
        <w:tc>
          <w:tcPr>
            <w:tcW w:w="1384" w:type="dxa"/>
          </w:tcPr>
          <w:p w14:paraId="0F28B33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620000</w:t>
            </w:r>
          </w:p>
        </w:tc>
        <w:tc>
          <w:tcPr>
            <w:tcW w:w="1384" w:type="dxa"/>
          </w:tcPr>
          <w:p w14:paraId="35077AE0">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1(项)</w:t>
            </w:r>
          </w:p>
        </w:tc>
        <w:tc>
          <w:tcPr>
            <w:tcW w:w="1384" w:type="dxa"/>
          </w:tcPr>
          <w:p w14:paraId="5BAF9AF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详见采购文件</w:t>
            </w:r>
          </w:p>
        </w:tc>
        <w:tc>
          <w:tcPr>
            <w:tcW w:w="1384" w:type="dxa"/>
          </w:tcPr>
          <w:p w14:paraId="4F089F2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620,000.00</w:t>
            </w:r>
          </w:p>
        </w:tc>
      </w:tr>
    </w:tbl>
    <w:p w14:paraId="20D53D88">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本合同包不接受联合体投标</w:t>
      </w:r>
    </w:p>
    <w:p w14:paraId="6965C6E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合同履行期限：2025年12月31日前完成目标任务，保障期限：保险生效起1年，除另有约定外，以保险单载明的起讫时间为准</w:t>
      </w:r>
    </w:p>
    <w:p w14:paraId="49D9C705">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二、申请人的资格要求：</w:t>
      </w:r>
    </w:p>
    <w:p w14:paraId="7DF9A0A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046D244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2.落实政府采购政策需满足的资格要求：</w:t>
      </w:r>
    </w:p>
    <w:p w14:paraId="61D57C7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合同包1(实施能繁母牛、肉犊牛和村级防疫员保险采购项目（一标段）)落实政府采购政策需满足的资格要求如下:</w:t>
      </w:r>
    </w:p>
    <w:p w14:paraId="4208836A">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4332199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合同包2(实施能繁母牛、肉犊牛和村级防疫员保险采购项目（二标段）)落实政府采购政策需满足的资格要求如下:</w:t>
      </w:r>
    </w:p>
    <w:p w14:paraId="50B8F285">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43F15206">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合同包3(实施能繁母牛、肉犊牛和村级防疫员保险采购项目（三标段）)落实政府采购政策需满足的资格要求如下:</w:t>
      </w:r>
    </w:p>
    <w:p w14:paraId="486D5D16">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 xml:space="preserve">2.1《政府采购促进中小企业发展管理办法》（财库〔2020〕46号）； </w:t>
      </w:r>
      <w:r>
        <w:rPr>
          <w:rFonts w:hint="eastAsia" w:ascii="仿宋" w:hAnsi="仿宋" w:eastAsia="仿宋" w:cs="仿宋"/>
          <w:sz w:val="21"/>
          <w:szCs w:val="21"/>
        </w:rPr>
        <w:br w:type="textWrapping"/>
      </w:r>
      <w:r>
        <w:rPr>
          <w:rFonts w:hint="eastAsia" w:ascii="仿宋" w:hAnsi="仿宋" w:eastAsia="仿宋" w:cs="仿宋"/>
          <w:sz w:val="21"/>
          <w:szCs w:val="21"/>
        </w:rPr>
        <w:t>2.2《财政部司法部关于政府采购支持监狱企业发展有关问题的通知》（财库〔2014〕68号）；</w:t>
      </w:r>
      <w:r>
        <w:rPr>
          <w:rFonts w:hint="eastAsia" w:ascii="仿宋" w:hAnsi="仿宋" w:eastAsia="仿宋" w:cs="仿宋"/>
          <w:sz w:val="21"/>
          <w:szCs w:val="21"/>
        </w:rPr>
        <w:br w:type="textWrapping"/>
      </w:r>
      <w:r>
        <w:rPr>
          <w:rFonts w:hint="eastAsia" w:ascii="仿宋" w:hAnsi="仿宋" w:eastAsia="仿宋" w:cs="仿宋"/>
          <w:sz w:val="21"/>
          <w:szCs w:val="21"/>
        </w:rPr>
        <w:t>2.3《财政部发展改革委生态环境部市场监管总局关于调整优化节能产品、环境标志产品政府采购执行机制的通知》（财库〔2019〕9号）；</w:t>
      </w:r>
      <w:r>
        <w:rPr>
          <w:rFonts w:hint="eastAsia" w:ascii="仿宋" w:hAnsi="仿宋" w:eastAsia="仿宋" w:cs="仿宋"/>
          <w:sz w:val="21"/>
          <w:szCs w:val="21"/>
        </w:rPr>
        <w:br w:type="textWrapping"/>
      </w:r>
      <w:r>
        <w:rPr>
          <w:rFonts w:hint="eastAsia" w:ascii="仿宋" w:hAnsi="仿宋" w:eastAsia="仿宋" w:cs="仿宋"/>
          <w:sz w:val="21"/>
          <w:szCs w:val="21"/>
        </w:rPr>
        <w:t>2.4《国务院办公厅关于建立政府强制采购节能产品制度的通知》（国办发〔2007〕51号）；</w:t>
      </w:r>
      <w:r>
        <w:rPr>
          <w:rFonts w:hint="eastAsia" w:ascii="仿宋" w:hAnsi="仿宋" w:eastAsia="仿宋" w:cs="仿宋"/>
          <w:sz w:val="21"/>
          <w:szCs w:val="21"/>
        </w:rPr>
        <w:br w:type="textWrapping"/>
      </w:r>
      <w:r>
        <w:rPr>
          <w:rFonts w:hint="eastAsia" w:ascii="仿宋" w:hAnsi="仿宋" w:eastAsia="仿宋" w:cs="仿宋"/>
          <w:sz w:val="21"/>
          <w:szCs w:val="21"/>
        </w:rPr>
        <w:t>2.5《三部门联合发布关于促进残疾人就业政府采购政策的通知》（财库〔2017〕141号）；</w:t>
      </w:r>
      <w:r>
        <w:rPr>
          <w:rFonts w:hint="eastAsia" w:ascii="仿宋" w:hAnsi="仿宋" w:eastAsia="仿宋" w:cs="仿宋"/>
          <w:sz w:val="21"/>
          <w:szCs w:val="21"/>
        </w:rPr>
        <w:br w:type="textWrapping"/>
      </w:r>
      <w:r>
        <w:rPr>
          <w:rFonts w:hint="eastAsia" w:ascii="仿宋" w:hAnsi="仿宋" w:eastAsia="仿宋" w:cs="仿宋"/>
          <w:sz w:val="21"/>
          <w:szCs w:val="21"/>
        </w:rPr>
        <w:t>2.6《陕西省中小企业政府采购信用融资办法》（陕财办采〔2018〕23号）；</w:t>
      </w:r>
      <w:r>
        <w:rPr>
          <w:rFonts w:hint="eastAsia" w:ascii="仿宋" w:hAnsi="仿宋" w:eastAsia="仿宋" w:cs="仿宋"/>
          <w:sz w:val="21"/>
          <w:szCs w:val="21"/>
        </w:rPr>
        <w:br w:type="textWrapping"/>
      </w:r>
      <w:r>
        <w:rPr>
          <w:rFonts w:hint="eastAsia" w:ascii="仿宋" w:hAnsi="仿宋" w:eastAsia="仿宋" w:cs="仿宋"/>
          <w:sz w:val="21"/>
          <w:szCs w:val="21"/>
        </w:rPr>
        <w:t>2.7《财政部 国务院扶贫办关于运用政府采购政策支持脱贫攻坚的通知》（财库〔2019〕27号）；</w:t>
      </w:r>
      <w:r>
        <w:rPr>
          <w:rFonts w:hint="eastAsia" w:ascii="仿宋" w:hAnsi="仿宋" w:eastAsia="仿宋" w:cs="仿宋"/>
          <w:sz w:val="21"/>
          <w:szCs w:val="21"/>
        </w:rPr>
        <w:br w:type="textWrapping"/>
      </w:r>
      <w:r>
        <w:rPr>
          <w:rFonts w:hint="eastAsia" w:ascii="仿宋" w:hAnsi="仿宋" w:eastAsia="仿宋" w:cs="仿宋"/>
          <w:sz w:val="21"/>
          <w:szCs w:val="21"/>
        </w:rPr>
        <w:t>2.8 其他需要落实的政府采购政策；</w:t>
      </w:r>
      <w:r>
        <w:rPr>
          <w:rFonts w:hint="eastAsia" w:ascii="仿宋" w:hAnsi="仿宋" w:eastAsia="仿宋" w:cs="仿宋"/>
          <w:sz w:val="21"/>
          <w:szCs w:val="21"/>
        </w:rPr>
        <w:br w:type="textWrapping"/>
      </w:r>
      <w:r>
        <w:rPr>
          <w:rFonts w:hint="eastAsia" w:ascii="仿宋" w:hAnsi="仿宋" w:eastAsia="仿宋" w:cs="仿宋"/>
          <w:sz w:val="21"/>
          <w:szCs w:val="21"/>
        </w:rPr>
        <w:t>2.9 如有最新颁布的政府采购政策，按最新的文件执行。</w:t>
      </w:r>
    </w:p>
    <w:p w14:paraId="2E1DF15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3.本项目的特定资格要求：</w:t>
      </w:r>
    </w:p>
    <w:p w14:paraId="7AA2FC5B">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合同包1(实施能繁母牛、肉犊牛和村级防疫员保险采购项目（一标段）)特定资格要求如下:</w:t>
      </w:r>
    </w:p>
    <w:p w14:paraId="2A9E439E">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653D2C3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合同包2(实施能繁母牛、肉犊牛和村级防疫员保险采购项目（二标段）)特定资格要求如下:</w:t>
      </w:r>
    </w:p>
    <w:p w14:paraId="216AA09E">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72B0C72E">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合同包3(实施能繁母牛、肉犊牛和村级防疫员保险采购项目（三标段）)特定资格要求如下:</w:t>
      </w:r>
    </w:p>
    <w:p w14:paraId="39B94C79">
      <w:pPr>
        <w:pStyle w:val="30"/>
        <w:keepNext w:val="0"/>
        <w:keepLines w:val="0"/>
        <w:pageBreakBefore w:val="0"/>
        <w:kinsoku/>
        <w:wordWrap/>
        <w:overflowPunct/>
        <w:topLinePunct w:val="0"/>
        <w:autoSpaceDE/>
        <w:autoSpaceDN/>
        <w:bidi w:val="0"/>
        <w:adjustRightInd/>
        <w:snapToGrid/>
        <w:spacing w:line="360" w:lineRule="auto"/>
        <w:ind w:left="480"/>
        <w:textAlignment w:val="auto"/>
        <w:rPr>
          <w:rFonts w:hint="eastAsia" w:ascii="仿宋" w:hAnsi="仿宋" w:eastAsia="仿宋" w:cs="仿宋"/>
          <w:sz w:val="21"/>
          <w:szCs w:val="21"/>
        </w:rPr>
      </w:pPr>
      <w:r>
        <w:rPr>
          <w:rFonts w:hint="eastAsia" w:ascii="仿宋" w:hAnsi="仿宋" w:eastAsia="仿宋" w:cs="仿宋"/>
          <w:sz w:val="21"/>
          <w:szCs w:val="21"/>
        </w:rPr>
        <w:t>3.1具有独立承担民事责任能力的法人或其他组织，提供合法有效的营业执照或组织机构代码证，且提供开户许可证或基本存款账户信息证明；</w:t>
      </w:r>
      <w:r>
        <w:rPr>
          <w:rFonts w:hint="eastAsia" w:ascii="仿宋" w:hAnsi="仿宋" w:eastAsia="仿宋" w:cs="仿宋"/>
          <w:sz w:val="21"/>
          <w:szCs w:val="21"/>
        </w:rPr>
        <w:br w:type="textWrapping"/>
      </w:r>
      <w:r>
        <w:rPr>
          <w:rFonts w:hint="eastAsia" w:ascii="仿宋" w:hAnsi="仿宋" w:eastAsia="仿宋" w:cs="仿宋"/>
          <w:sz w:val="21"/>
          <w:szCs w:val="21"/>
        </w:rPr>
        <w:t>3.2法定代表人或法定负责人参加投标的，须出示身份证；法定代表人或法定负责人授权他人参加投标的，须提供法定代表人或法定负责人授权委托书及被授权人身份证；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sz w:val="21"/>
          <w:szCs w:val="21"/>
        </w:rPr>
        <w:br w:type="textWrapping"/>
      </w:r>
      <w:r>
        <w:rPr>
          <w:rFonts w:hint="eastAsia" w:ascii="仿宋" w:hAnsi="仿宋" w:eastAsia="仿宋" w:cs="仿宋"/>
          <w:sz w:val="21"/>
          <w:szCs w:val="21"/>
        </w:rPr>
        <w:t>3.3投标人需具有有效的经中国保监会批准开展政策农业保险业务许可证；</w:t>
      </w:r>
      <w:r>
        <w:rPr>
          <w:rFonts w:hint="eastAsia" w:ascii="仿宋" w:hAnsi="仿宋" w:eastAsia="仿宋" w:cs="仿宋"/>
          <w:sz w:val="21"/>
          <w:szCs w:val="21"/>
        </w:rPr>
        <w:br w:type="textWrapping"/>
      </w:r>
      <w:r>
        <w:rPr>
          <w:rFonts w:hint="eastAsia" w:ascii="仿宋" w:hAnsi="仿宋" w:eastAsia="仿宋" w:cs="仿宋"/>
          <w:sz w:val="21"/>
          <w:szCs w:val="21"/>
        </w:rPr>
        <w:t>3.4财务状况报告：2024年财务审计报告（至少包括审计报告、资产负债表和利润表，成立时间不足一年的可提供成立后任意时段的资产负债表）或其基本存款账户开户银行出具的资信良好证明及基本户证明材料；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sz w:val="21"/>
          <w:szCs w:val="21"/>
        </w:rPr>
        <w:br w:type="textWrapping"/>
      </w:r>
      <w:r>
        <w:rPr>
          <w:rFonts w:hint="eastAsia" w:ascii="仿宋" w:hAnsi="仿宋" w:eastAsia="仿宋" w:cs="仿宋"/>
          <w:sz w:val="21"/>
          <w:szCs w:val="21"/>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sz w:val="21"/>
          <w:szCs w:val="21"/>
        </w:rPr>
        <w:br w:type="textWrapping"/>
      </w:r>
      <w:r>
        <w:rPr>
          <w:rFonts w:hint="eastAsia" w:ascii="仿宋" w:hAnsi="仿宋" w:eastAsia="仿宋" w:cs="仿宋"/>
          <w:sz w:val="21"/>
          <w:szCs w:val="21"/>
        </w:rPr>
        <w:t>3.6社保缴纳证明：提供投标截止时间前一年内已缴纳的连续三个月的社保缴纳证明（成立不足一年的提供自成立之日起的连续社保缴纳证明）；</w:t>
      </w:r>
      <w:r>
        <w:rPr>
          <w:rFonts w:hint="eastAsia" w:ascii="仿宋" w:hAnsi="仿宋" w:eastAsia="仿宋" w:cs="仿宋"/>
          <w:sz w:val="21"/>
          <w:szCs w:val="21"/>
        </w:rPr>
        <w:br w:type="textWrapping"/>
      </w:r>
      <w:r>
        <w:rPr>
          <w:rFonts w:hint="eastAsia" w:ascii="仿宋" w:hAnsi="仿宋" w:eastAsia="仿宋" w:cs="仿宋"/>
          <w:sz w:val="21"/>
          <w:szCs w:val="21"/>
        </w:rPr>
        <w:t>3.7投标人参加采购活动近3年内经营活动中无重大违法记录的书面声明；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3.8单位负责人为同一人或者存在直接控股、管理关系的不同供应商，不得参加同一合同项下的政府采购活动；</w:t>
      </w:r>
      <w:r>
        <w:rPr>
          <w:rFonts w:hint="eastAsia" w:ascii="仿宋" w:hAnsi="仿宋" w:eastAsia="仿宋" w:cs="仿宋"/>
          <w:sz w:val="21"/>
          <w:szCs w:val="21"/>
        </w:rPr>
        <w:br w:type="textWrapping"/>
      </w:r>
      <w:r>
        <w:rPr>
          <w:rFonts w:hint="eastAsia" w:ascii="仿宋" w:hAnsi="仿宋" w:eastAsia="仿宋" w:cs="仿宋"/>
          <w:sz w:val="21"/>
          <w:szCs w:val="21"/>
        </w:rPr>
        <w:t>3.9通过“信用中国”网站、中国政府采购网查询相关主体信用记录，未被列入失信被执行人、重大税收违法失信主体、政府采购严重违法失信行为记录名单（提供查询结果网页截图并加盖供应商公章）；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sz w:val="21"/>
          <w:szCs w:val="21"/>
        </w:rPr>
        <w:br w:type="textWrapping"/>
      </w:r>
      <w:r>
        <w:rPr>
          <w:rFonts w:hint="eastAsia" w:ascii="仿宋" w:hAnsi="仿宋" w:eastAsia="仿宋" w:cs="仿宋"/>
          <w:sz w:val="21"/>
          <w:szCs w:val="21"/>
        </w:rPr>
        <w:t>3.10本项目不接受联合体投标。</w:t>
      </w:r>
    </w:p>
    <w:p w14:paraId="573706A0">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三、获取招标文件</w:t>
      </w:r>
    </w:p>
    <w:p w14:paraId="0D6DDC6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时间： 2025年10月14日 至 2025年10月20日 ，每天上午 08:00:00 至 12:00:00 ，下午 14:00:00 至 18:00:00 （北京时间）</w:t>
      </w:r>
    </w:p>
    <w:p w14:paraId="56C1DB6F">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途径：全国公共资源交易中心平台（陕西省·延安市）平台</w:t>
      </w:r>
    </w:p>
    <w:p w14:paraId="4B09CA3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方式：现场获取</w:t>
      </w:r>
    </w:p>
    <w:p w14:paraId="3F88FAD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售价： 0元</w:t>
      </w:r>
    </w:p>
    <w:p w14:paraId="592ABD09">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四、提交投标文件截止时间、开标时间和地点</w:t>
      </w:r>
    </w:p>
    <w:p w14:paraId="1728409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时间：  2025年</w:t>
      </w: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04</w:t>
      </w:r>
      <w:r>
        <w:rPr>
          <w:rFonts w:hint="eastAsia" w:ascii="仿宋" w:hAnsi="仿宋" w:eastAsia="仿宋" w:cs="仿宋"/>
          <w:color w:val="auto"/>
          <w:sz w:val="21"/>
          <w:szCs w:val="21"/>
        </w:rPr>
        <w:t>日</w:t>
      </w:r>
      <w:r>
        <w:rPr>
          <w:rFonts w:hint="eastAsia" w:ascii="仿宋" w:hAnsi="仿宋" w:eastAsia="仿宋" w:cs="仿宋"/>
          <w:color w:val="auto"/>
          <w:sz w:val="21"/>
          <w:szCs w:val="21"/>
          <w:lang w:val="en-US" w:eastAsia="zh-CN"/>
        </w:rPr>
        <w:t xml:space="preserve">14 </w:t>
      </w:r>
      <w:r>
        <w:rPr>
          <w:rFonts w:hint="eastAsia" w:ascii="仿宋" w:hAnsi="仿宋" w:eastAsia="仿宋" w:cs="仿宋"/>
          <w:color w:val="auto"/>
          <w:sz w:val="21"/>
          <w:szCs w:val="21"/>
        </w:rPr>
        <w:t>时</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分</w:t>
      </w:r>
      <w:r>
        <w:rPr>
          <w:rFonts w:hint="eastAsia" w:ascii="仿宋" w:hAnsi="仿宋" w:eastAsia="仿宋" w:cs="仿宋"/>
          <w:color w:val="auto"/>
          <w:sz w:val="21"/>
          <w:szCs w:val="21"/>
          <w:lang w:val="en-US" w:eastAsia="zh-CN"/>
        </w:rPr>
        <w:t xml:space="preserve">00 </w:t>
      </w:r>
      <w:r>
        <w:rPr>
          <w:rFonts w:hint="eastAsia" w:ascii="仿宋" w:hAnsi="仿宋" w:eastAsia="仿宋" w:cs="仿宋"/>
          <w:color w:val="auto"/>
          <w:sz w:val="21"/>
          <w:szCs w:val="21"/>
        </w:rPr>
        <w:t>秒</w:t>
      </w:r>
      <w:r>
        <w:rPr>
          <w:rFonts w:hint="eastAsia" w:ascii="仿宋" w:hAnsi="仿宋" w:eastAsia="仿宋" w:cs="仿宋"/>
          <w:sz w:val="21"/>
          <w:szCs w:val="21"/>
        </w:rPr>
        <w:t xml:space="preserve"> （北京时间）</w:t>
      </w:r>
    </w:p>
    <w:p w14:paraId="2030D14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提交投标文件地点：延安市新区为民服务中心7号楼延安市公共资源交易中心交易</w:t>
      </w:r>
      <w:r>
        <w:rPr>
          <w:rFonts w:hint="eastAsia" w:ascii="仿宋" w:hAnsi="仿宋" w:eastAsia="仿宋" w:cs="仿宋"/>
          <w:sz w:val="21"/>
          <w:szCs w:val="21"/>
          <w:lang w:eastAsia="zh-CN"/>
        </w:rPr>
        <w:t>五</w:t>
      </w:r>
      <w:r>
        <w:rPr>
          <w:rFonts w:hint="eastAsia" w:ascii="仿宋" w:hAnsi="仿宋" w:eastAsia="仿宋" w:cs="仿宋"/>
          <w:sz w:val="21"/>
          <w:szCs w:val="21"/>
        </w:rPr>
        <w:t>厅</w:t>
      </w:r>
    </w:p>
    <w:p w14:paraId="7AC7F38C">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开标地点：延安市新区为民服务中心7号楼延安市公共资源交易中心交易（不见面开标）</w:t>
      </w:r>
    </w:p>
    <w:p w14:paraId="5D16B6CB">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五、公告期限</w:t>
      </w:r>
    </w:p>
    <w:p w14:paraId="629D7A9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自本公告发布之日起5个工作日。</w:t>
      </w:r>
    </w:p>
    <w:p w14:paraId="787E3518">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六、其他补充事宜</w:t>
      </w:r>
    </w:p>
    <w:p w14:paraId="09CB2F87">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报名登记：投标人使用捆绑CA证书登录全国公共资源交易平台（陕西-延安）延安市公共资源交易中心，选择电子交易平台中的政府采购交易系统进行登录，登录后选择“交易乙方”身份进入投标人界面进行报名。</w:t>
      </w:r>
    </w:p>
    <w:p w14:paraId="724DCAA4">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2.下载文件：投标人登录延安市公共资源交易中心，选择“交易乙方”身份进入投标人界面下载招标文件。</w:t>
      </w:r>
    </w:p>
    <w:p w14:paraId="25BD4BE9">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3.供应商按照陕西省财政厅关于政府采购供应商注册登记有关事项的通知中的要求，通过陕西省政府采购网注册登记加入陕西省政府采购供应商库。</w:t>
      </w:r>
    </w:p>
    <w:p w14:paraId="1D581AEF">
      <w:pPr>
        <w:pStyle w:val="3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4.本项目非专门面向中小企业采购。</w:t>
      </w:r>
    </w:p>
    <w:p w14:paraId="07554CA2">
      <w:pPr>
        <w:pStyle w:val="30"/>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仿宋" w:hAnsi="仿宋" w:eastAsia="仿宋" w:cs="仿宋"/>
          <w:sz w:val="21"/>
          <w:szCs w:val="21"/>
        </w:rPr>
      </w:pPr>
      <w:r>
        <w:rPr>
          <w:rFonts w:hint="eastAsia" w:ascii="仿宋" w:hAnsi="仿宋" w:eastAsia="仿宋" w:cs="仿宋"/>
          <w:b/>
          <w:sz w:val="28"/>
          <w:szCs w:val="21"/>
        </w:rPr>
        <w:t>七、对本次招标提出询问，请按以下方式联系。</w:t>
      </w:r>
    </w:p>
    <w:p w14:paraId="7B9AFC77">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1.采购人信息</w:t>
      </w:r>
    </w:p>
    <w:p w14:paraId="11F059F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名称：吴起县畜牧兽医服务中心</w:t>
      </w:r>
    </w:p>
    <w:p w14:paraId="72FDEC79">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地址：农林水牧大楼</w:t>
      </w:r>
    </w:p>
    <w:p w14:paraId="351F2B44">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联系方式：13369296188</w:t>
      </w:r>
    </w:p>
    <w:p w14:paraId="1DE49C7A">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2.采购代理机构信息</w:t>
      </w:r>
    </w:p>
    <w:p w14:paraId="32FAA3C1">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名称：华春建设工程项目管理有限责任公司</w:t>
      </w:r>
    </w:p>
    <w:p w14:paraId="1A95CB1A">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地址：陕西省西安市碑林区南二环西段21号华融国际商务大厦B-1701</w:t>
      </w:r>
    </w:p>
    <w:p w14:paraId="14028DC7">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联系方式：15191145825</w:t>
      </w:r>
    </w:p>
    <w:p w14:paraId="0EF15A44">
      <w:pPr>
        <w:pStyle w:val="30"/>
        <w:keepNext w:val="0"/>
        <w:keepLines w:val="0"/>
        <w:pageBreakBefore w:val="0"/>
        <w:kinsoku/>
        <w:wordWrap/>
        <w:overflowPunct/>
        <w:topLinePunct w:val="0"/>
        <w:autoSpaceDE/>
        <w:autoSpaceDN/>
        <w:bidi w:val="0"/>
        <w:adjustRightInd/>
        <w:snapToGrid/>
        <w:spacing w:line="360" w:lineRule="auto"/>
        <w:textAlignment w:val="auto"/>
        <w:outlineLvl w:val="5"/>
        <w:rPr>
          <w:rFonts w:hint="eastAsia" w:ascii="仿宋" w:hAnsi="仿宋" w:eastAsia="仿宋" w:cs="仿宋"/>
          <w:sz w:val="24"/>
          <w:szCs w:val="24"/>
        </w:rPr>
      </w:pPr>
      <w:r>
        <w:rPr>
          <w:rFonts w:hint="eastAsia" w:ascii="仿宋" w:hAnsi="仿宋" w:eastAsia="仿宋" w:cs="仿宋"/>
          <w:b/>
          <w:sz w:val="20"/>
          <w:szCs w:val="24"/>
        </w:rPr>
        <w:t>3.项目联系方式</w:t>
      </w:r>
    </w:p>
    <w:p w14:paraId="61E23402">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项目联系人：张海峰</w:t>
      </w:r>
    </w:p>
    <w:p w14:paraId="2FA2E9E5">
      <w:pPr>
        <w:pStyle w:val="30"/>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电话：15191145825</w:t>
      </w:r>
    </w:p>
    <w:p w14:paraId="6B3731D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1"/>
        </w:rPr>
      </w:pPr>
    </w:p>
    <w:p w14:paraId="3DCCB7D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335EAE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B58938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29EB80A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12EFB9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60EA406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F6782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578042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080A2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520DD2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7B480F16">
      <w:pPr>
        <w:rPr>
          <w:rFonts w:hint="eastAsia"/>
        </w:rPr>
      </w:pPr>
    </w:p>
    <w:p w14:paraId="58075D2D">
      <w:pPr>
        <w:pStyle w:val="6"/>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color w:val="auto"/>
          <w:sz w:val="28"/>
          <w:szCs w:val="28"/>
          <w:highlight w:val="none"/>
        </w:rPr>
      </w:pPr>
      <w:bookmarkStart w:id="3" w:name="_Toc23775"/>
      <w:r>
        <w:rPr>
          <w:rFonts w:hint="eastAsia" w:ascii="仿宋" w:hAnsi="仿宋" w:eastAsia="仿宋" w:cs="仿宋"/>
          <w:color w:val="auto"/>
          <w:highlight w:val="none"/>
        </w:rPr>
        <w:t>第二部分  投标人须知前附表</w:t>
      </w:r>
      <w:bookmarkEnd w:id="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027"/>
        <w:gridCol w:w="6735"/>
      </w:tblGrid>
      <w:tr w14:paraId="7C00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1" w:type="dxa"/>
            <w:noWrap w:val="0"/>
            <w:vAlign w:val="center"/>
          </w:tcPr>
          <w:p w14:paraId="788BFC8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序号</w:t>
            </w:r>
          </w:p>
        </w:tc>
        <w:tc>
          <w:tcPr>
            <w:tcW w:w="2027" w:type="dxa"/>
            <w:noWrap w:val="0"/>
            <w:vAlign w:val="center"/>
          </w:tcPr>
          <w:p w14:paraId="3C3BA0D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内    容</w:t>
            </w:r>
          </w:p>
        </w:tc>
        <w:tc>
          <w:tcPr>
            <w:tcW w:w="6735" w:type="dxa"/>
            <w:noWrap w:val="0"/>
            <w:vAlign w:val="center"/>
          </w:tcPr>
          <w:p w14:paraId="6FF3F479">
            <w:pPr>
              <w:tabs>
                <w:tab w:val="left" w:pos="1180"/>
              </w:tabs>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说明与要求</w:t>
            </w:r>
          </w:p>
        </w:tc>
      </w:tr>
      <w:tr w14:paraId="4BA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613DA97">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1</w:t>
            </w:r>
          </w:p>
        </w:tc>
        <w:tc>
          <w:tcPr>
            <w:tcW w:w="2027" w:type="dxa"/>
            <w:noWrap w:val="0"/>
            <w:vAlign w:val="center"/>
          </w:tcPr>
          <w:p w14:paraId="5C7E359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项目名称</w:t>
            </w:r>
          </w:p>
        </w:tc>
        <w:tc>
          <w:tcPr>
            <w:tcW w:w="6735" w:type="dxa"/>
            <w:noWrap w:val="0"/>
            <w:vAlign w:val="center"/>
          </w:tcPr>
          <w:p w14:paraId="3FE76276">
            <w:pPr>
              <w:spacing w:line="500" w:lineRule="exact"/>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实施能繁母牛、肉犊牛和村级防疫员保险采购项目（</w:t>
            </w:r>
            <w:r>
              <w:rPr>
                <w:rFonts w:hint="eastAsia" w:ascii="仿宋" w:hAnsi="仿宋" w:eastAsia="仿宋" w:cs="仿宋"/>
                <w:b/>
                <w:bCs/>
                <w:color w:val="auto"/>
                <w:sz w:val="28"/>
                <w:szCs w:val="28"/>
                <w:highlight w:val="none"/>
                <w:vertAlign w:val="baseline"/>
                <w:lang w:val="en-US" w:eastAsia="zh-CN"/>
              </w:rPr>
              <w:t>三标段</w:t>
            </w:r>
            <w:r>
              <w:rPr>
                <w:rFonts w:hint="eastAsia" w:ascii="仿宋" w:hAnsi="仿宋" w:eastAsia="仿宋" w:cs="仿宋"/>
                <w:b/>
                <w:bCs/>
                <w:color w:val="auto"/>
                <w:sz w:val="28"/>
                <w:szCs w:val="28"/>
                <w:highlight w:val="none"/>
                <w:vertAlign w:val="baseline"/>
                <w:lang w:eastAsia="zh-CN"/>
              </w:rPr>
              <w:t>）</w:t>
            </w:r>
          </w:p>
        </w:tc>
      </w:tr>
      <w:tr w14:paraId="7A7A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6FBAEF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2</w:t>
            </w:r>
          </w:p>
        </w:tc>
        <w:tc>
          <w:tcPr>
            <w:tcW w:w="2027" w:type="dxa"/>
            <w:noWrap w:val="0"/>
            <w:vAlign w:val="center"/>
          </w:tcPr>
          <w:p w14:paraId="00E09E3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服务期</w:t>
            </w:r>
            <w:r>
              <w:rPr>
                <w:rFonts w:hint="eastAsia" w:ascii="仿宋" w:hAnsi="仿宋" w:eastAsia="仿宋" w:cs="仿宋"/>
                <w:b/>
                <w:bCs/>
                <w:color w:val="000000"/>
                <w:sz w:val="28"/>
                <w:szCs w:val="28"/>
                <w:highlight w:val="none"/>
              </w:rPr>
              <w:t>限</w:t>
            </w:r>
          </w:p>
        </w:tc>
        <w:tc>
          <w:tcPr>
            <w:tcW w:w="6735" w:type="dxa"/>
            <w:noWrap w:val="0"/>
            <w:vAlign w:val="center"/>
          </w:tcPr>
          <w:p w14:paraId="26937E43">
            <w:pPr>
              <w:spacing w:line="500" w:lineRule="exact"/>
              <w:jc w:val="left"/>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b/>
                <w:bCs/>
                <w:color w:val="auto"/>
                <w:sz w:val="28"/>
                <w:szCs w:val="28"/>
                <w:highlight w:val="none"/>
                <w:vertAlign w:val="baseline"/>
                <w:lang w:val="en-US" w:eastAsia="zh-CN"/>
              </w:rPr>
              <w:t>2025年12月31日前完成目标任务，保障期限：</w:t>
            </w:r>
            <w:r>
              <w:rPr>
                <w:rFonts w:hint="default" w:ascii="仿宋" w:hAnsi="仿宋" w:eastAsia="仿宋" w:cs="仿宋"/>
                <w:b/>
                <w:bCs/>
                <w:color w:val="auto"/>
                <w:sz w:val="28"/>
                <w:szCs w:val="28"/>
                <w:highlight w:val="none"/>
                <w:vertAlign w:val="baseline"/>
                <w:lang w:val="en-US" w:eastAsia="zh-CN"/>
              </w:rPr>
              <w:fldChar w:fldCharType="begin"/>
            </w:r>
            <w:r>
              <w:rPr>
                <w:rFonts w:hint="default" w:ascii="仿宋" w:hAnsi="仿宋" w:eastAsia="仿宋" w:cs="仿宋"/>
                <w:b/>
                <w:bCs/>
                <w:color w:val="auto"/>
                <w:sz w:val="28"/>
                <w:szCs w:val="28"/>
                <w:highlight w:val="none"/>
                <w:vertAlign w:val="baseline"/>
                <w:lang w:val="en-US" w:eastAsia="zh-CN"/>
              </w:rPr>
              <w:instrText xml:space="preserve"> HYPERLINK "https://www.shenlanbao.com/he/424047" \t "https://www.shenlanbao.com/zhishi/_blank" </w:instrText>
            </w:r>
            <w:r>
              <w:rPr>
                <w:rFonts w:hint="default" w:ascii="仿宋" w:hAnsi="仿宋" w:eastAsia="仿宋" w:cs="仿宋"/>
                <w:b/>
                <w:bCs/>
                <w:color w:val="auto"/>
                <w:sz w:val="28"/>
                <w:szCs w:val="28"/>
                <w:highlight w:val="none"/>
                <w:vertAlign w:val="baseline"/>
                <w:lang w:val="en-US" w:eastAsia="zh-CN"/>
              </w:rPr>
              <w:fldChar w:fldCharType="separate"/>
            </w:r>
            <w:r>
              <w:rPr>
                <w:rFonts w:hint="default" w:ascii="仿宋" w:hAnsi="仿宋" w:eastAsia="仿宋" w:cs="仿宋"/>
                <w:b/>
                <w:bCs/>
                <w:color w:val="auto"/>
                <w:sz w:val="28"/>
                <w:szCs w:val="28"/>
                <w:highlight w:val="none"/>
                <w:vertAlign w:val="baseline"/>
                <w:lang w:val="en-US" w:eastAsia="zh-CN"/>
              </w:rPr>
              <w:t>保险生效起1</w:t>
            </w:r>
            <w:r>
              <w:rPr>
                <w:rFonts w:hint="default" w:ascii="仿宋" w:hAnsi="仿宋" w:eastAsia="仿宋" w:cs="仿宋"/>
                <w:b/>
                <w:bCs/>
                <w:color w:val="auto"/>
                <w:sz w:val="28"/>
                <w:szCs w:val="28"/>
                <w:highlight w:val="none"/>
                <w:vertAlign w:val="baseline"/>
                <w:lang w:val="en-US" w:eastAsia="zh-CN"/>
              </w:rPr>
              <w:fldChar w:fldCharType="end"/>
            </w:r>
            <w:r>
              <w:rPr>
                <w:rFonts w:hint="default" w:ascii="仿宋" w:hAnsi="仿宋" w:eastAsia="仿宋" w:cs="仿宋"/>
                <w:b/>
                <w:bCs/>
                <w:color w:val="auto"/>
                <w:sz w:val="28"/>
                <w:szCs w:val="28"/>
                <w:highlight w:val="none"/>
                <w:vertAlign w:val="baseline"/>
                <w:lang w:val="en-US" w:eastAsia="zh-CN"/>
              </w:rPr>
              <w:t>年，除另有约定外，以</w:t>
            </w:r>
            <w:r>
              <w:rPr>
                <w:rFonts w:hint="default" w:ascii="仿宋" w:hAnsi="仿宋" w:eastAsia="仿宋" w:cs="仿宋"/>
                <w:b/>
                <w:bCs/>
                <w:color w:val="auto"/>
                <w:sz w:val="28"/>
                <w:szCs w:val="28"/>
                <w:highlight w:val="none"/>
                <w:vertAlign w:val="baseline"/>
                <w:lang w:val="en-US" w:eastAsia="zh-CN"/>
              </w:rPr>
              <w:fldChar w:fldCharType="begin"/>
            </w:r>
            <w:r>
              <w:rPr>
                <w:rFonts w:hint="default" w:ascii="仿宋" w:hAnsi="仿宋" w:eastAsia="仿宋" w:cs="仿宋"/>
                <w:b/>
                <w:bCs/>
                <w:color w:val="auto"/>
                <w:sz w:val="28"/>
                <w:szCs w:val="28"/>
                <w:highlight w:val="none"/>
                <w:vertAlign w:val="baseline"/>
                <w:lang w:val="en-US" w:eastAsia="zh-CN"/>
              </w:rPr>
              <w:instrText xml:space="preserve"> HYPERLINK "https://www.shenlanbao.com/he/316165" \t "https://www.shenlanbao.com/zhishi/_blank" </w:instrText>
            </w:r>
            <w:r>
              <w:rPr>
                <w:rFonts w:hint="default" w:ascii="仿宋" w:hAnsi="仿宋" w:eastAsia="仿宋" w:cs="仿宋"/>
                <w:b/>
                <w:bCs/>
                <w:color w:val="auto"/>
                <w:sz w:val="28"/>
                <w:szCs w:val="28"/>
                <w:highlight w:val="none"/>
                <w:vertAlign w:val="baseline"/>
                <w:lang w:val="en-US" w:eastAsia="zh-CN"/>
              </w:rPr>
              <w:fldChar w:fldCharType="separate"/>
            </w:r>
            <w:r>
              <w:rPr>
                <w:rFonts w:hint="default" w:ascii="仿宋" w:hAnsi="仿宋" w:eastAsia="仿宋" w:cs="仿宋"/>
                <w:b/>
                <w:bCs/>
                <w:color w:val="auto"/>
                <w:sz w:val="28"/>
                <w:szCs w:val="28"/>
                <w:highlight w:val="none"/>
                <w:vertAlign w:val="baseline"/>
                <w:lang w:val="en-US" w:eastAsia="zh-CN"/>
              </w:rPr>
              <w:t>保险单</w:t>
            </w:r>
            <w:r>
              <w:rPr>
                <w:rFonts w:hint="default" w:ascii="仿宋" w:hAnsi="仿宋" w:eastAsia="仿宋" w:cs="仿宋"/>
                <w:b/>
                <w:bCs/>
                <w:color w:val="auto"/>
                <w:sz w:val="28"/>
                <w:szCs w:val="28"/>
                <w:highlight w:val="none"/>
                <w:vertAlign w:val="baseline"/>
                <w:lang w:val="en-US" w:eastAsia="zh-CN"/>
              </w:rPr>
              <w:fldChar w:fldCharType="end"/>
            </w:r>
            <w:r>
              <w:rPr>
                <w:rFonts w:hint="default" w:ascii="仿宋" w:hAnsi="仿宋" w:eastAsia="仿宋" w:cs="仿宋"/>
                <w:b/>
                <w:bCs/>
                <w:color w:val="auto"/>
                <w:sz w:val="28"/>
                <w:szCs w:val="28"/>
                <w:highlight w:val="none"/>
                <w:vertAlign w:val="baseline"/>
                <w:lang w:val="en-US" w:eastAsia="zh-CN"/>
              </w:rPr>
              <w:t>载明的起讫时间为准。</w:t>
            </w:r>
          </w:p>
        </w:tc>
      </w:tr>
      <w:tr w14:paraId="69A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765248B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3</w:t>
            </w:r>
          </w:p>
        </w:tc>
        <w:tc>
          <w:tcPr>
            <w:tcW w:w="2027" w:type="dxa"/>
            <w:noWrap w:val="0"/>
            <w:vAlign w:val="center"/>
          </w:tcPr>
          <w:p w14:paraId="75B92A4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采购内容</w:t>
            </w:r>
          </w:p>
        </w:tc>
        <w:tc>
          <w:tcPr>
            <w:tcW w:w="6735" w:type="dxa"/>
            <w:noWrap w:val="0"/>
            <w:vAlign w:val="center"/>
          </w:tcPr>
          <w:p w14:paraId="1F574202">
            <w:pPr>
              <w:spacing w:line="500" w:lineRule="exact"/>
              <w:jc w:val="left"/>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母牛1100头、犊牛1100头、村级防疫员93人购买保险服务。</w:t>
            </w:r>
          </w:p>
        </w:tc>
      </w:tr>
      <w:tr w14:paraId="6FF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AD274B2">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4</w:t>
            </w:r>
          </w:p>
        </w:tc>
        <w:tc>
          <w:tcPr>
            <w:tcW w:w="2027" w:type="dxa"/>
            <w:noWrap w:val="0"/>
            <w:vAlign w:val="center"/>
          </w:tcPr>
          <w:p w14:paraId="742BAD48">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采购预算</w:t>
            </w:r>
          </w:p>
        </w:tc>
        <w:tc>
          <w:tcPr>
            <w:tcW w:w="6735" w:type="dxa"/>
            <w:noWrap w:val="0"/>
            <w:vAlign w:val="center"/>
          </w:tcPr>
          <w:p w14:paraId="32AB769E">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小写：620000.00元；大写：陆拾贰万元整</w:t>
            </w:r>
            <w:r>
              <w:rPr>
                <w:rFonts w:hint="eastAsia" w:ascii="仿宋" w:hAnsi="仿宋" w:eastAsia="仿宋" w:cs="仿宋"/>
                <w:b/>
                <w:bCs/>
                <w:color w:val="000000"/>
                <w:sz w:val="28"/>
                <w:szCs w:val="28"/>
                <w:highlight w:val="none"/>
              </w:rPr>
              <w:t>（投标报价大于采购预算的按无效文件处理）</w:t>
            </w:r>
          </w:p>
        </w:tc>
      </w:tr>
      <w:tr w14:paraId="17B0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5FE7D0E">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5</w:t>
            </w:r>
          </w:p>
        </w:tc>
        <w:tc>
          <w:tcPr>
            <w:tcW w:w="2027" w:type="dxa"/>
            <w:noWrap w:val="0"/>
            <w:vAlign w:val="center"/>
          </w:tcPr>
          <w:p w14:paraId="5AD3EB29">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投标有效期</w:t>
            </w:r>
          </w:p>
        </w:tc>
        <w:tc>
          <w:tcPr>
            <w:tcW w:w="6735" w:type="dxa"/>
            <w:noWrap w:val="0"/>
            <w:vAlign w:val="center"/>
          </w:tcPr>
          <w:p w14:paraId="5E49478A">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从投标截止之日起90个日历日</w:t>
            </w:r>
          </w:p>
        </w:tc>
      </w:tr>
      <w:tr w14:paraId="2D6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985B91C">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6</w:t>
            </w:r>
          </w:p>
        </w:tc>
        <w:tc>
          <w:tcPr>
            <w:tcW w:w="2027" w:type="dxa"/>
            <w:noWrap w:val="0"/>
            <w:vAlign w:val="center"/>
          </w:tcPr>
          <w:p w14:paraId="1814EB9E">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投标文件份数</w:t>
            </w:r>
          </w:p>
        </w:tc>
        <w:tc>
          <w:tcPr>
            <w:tcW w:w="6735" w:type="dxa"/>
            <w:noWrap w:val="0"/>
            <w:vAlign w:val="center"/>
          </w:tcPr>
          <w:p w14:paraId="18B7679F">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电子版一份（正本签字盖章后扫描的PDF版本及word版本），纸质版</w:t>
            </w:r>
            <w:r>
              <w:rPr>
                <w:rFonts w:hint="eastAsia" w:ascii="仿宋" w:hAnsi="仿宋" w:eastAsia="仿宋" w:cs="仿宋"/>
                <w:b/>
                <w:bCs/>
                <w:color w:val="000000"/>
                <w:sz w:val="28"/>
                <w:szCs w:val="28"/>
                <w:highlight w:val="none"/>
              </w:rPr>
              <w:t>正本一份，</w:t>
            </w:r>
            <w:r>
              <w:rPr>
                <w:rFonts w:hint="eastAsia" w:ascii="仿宋" w:hAnsi="仿宋" w:eastAsia="仿宋" w:cs="仿宋"/>
                <w:b/>
                <w:bCs/>
                <w:color w:val="000000"/>
                <w:sz w:val="28"/>
                <w:szCs w:val="28"/>
                <w:highlight w:val="none"/>
                <w:lang w:eastAsia="zh-CN"/>
              </w:rPr>
              <w:t>副本二份（评标应急使用</w:t>
            </w:r>
            <w:r>
              <w:rPr>
                <w:rFonts w:hint="eastAsia" w:ascii="仿宋" w:hAnsi="仿宋" w:eastAsia="仿宋" w:cs="仿宋"/>
                <w:b/>
                <w:bCs/>
                <w:color w:val="000000"/>
                <w:sz w:val="28"/>
                <w:szCs w:val="28"/>
                <w:highlight w:val="none"/>
                <w:lang w:val="en-US" w:eastAsia="zh-CN"/>
              </w:rPr>
              <w:t>和留存备份</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rPr>
              <w:t>。</w:t>
            </w:r>
          </w:p>
        </w:tc>
      </w:tr>
      <w:tr w14:paraId="0CDE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0A005E89">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7</w:t>
            </w:r>
          </w:p>
        </w:tc>
        <w:tc>
          <w:tcPr>
            <w:tcW w:w="2027" w:type="dxa"/>
            <w:noWrap w:val="0"/>
            <w:vAlign w:val="center"/>
          </w:tcPr>
          <w:p w14:paraId="57B55A08">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评标方法及</w:t>
            </w:r>
          </w:p>
          <w:p w14:paraId="03379D71">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标准</w:t>
            </w:r>
          </w:p>
        </w:tc>
        <w:tc>
          <w:tcPr>
            <w:tcW w:w="6735" w:type="dxa"/>
            <w:noWrap w:val="0"/>
            <w:vAlign w:val="center"/>
          </w:tcPr>
          <w:p w14:paraId="7BD6A7DC">
            <w:pPr>
              <w:spacing w:line="500" w:lineRule="exact"/>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详见第</w:t>
            </w: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部分评标办法。</w:t>
            </w:r>
          </w:p>
        </w:tc>
      </w:tr>
      <w:tr w14:paraId="68B3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E042811">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8</w:t>
            </w:r>
          </w:p>
        </w:tc>
        <w:tc>
          <w:tcPr>
            <w:tcW w:w="2027" w:type="dxa"/>
            <w:noWrap w:val="0"/>
            <w:vAlign w:val="center"/>
          </w:tcPr>
          <w:p w14:paraId="69EA1020">
            <w:pPr>
              <w:spacing w:line="500" w:lineRule="exact"/>
              <w:jc w:val="center"/>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投标保证金</w:t>
            </w:r>
          </w:p>
        </w:tc>
        <w:tc>
          <w:tcPr>
            <w:tcW w:w="6735" w:type="dxa"/>
            <w:noWrap w:val="0"/>
            <w:vAlign w:val="center"/>
          </w:tcPr>
          <w:p w14:paraId="5F1CFDEF">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投标保证金的金额：人民币</w:t>
            </w:r>
            <w:r>
              <w:rPr>
                <w:rFonts w:hint="eastAsia" w:ascii="仿宋" w:hAnsi="仿宋" w:eastAsia="仿宋" w:cs="仿宋"/>
                <w:b/>
                <w:bCs/>
                <w:color w:val="000000"/>
                <w:sz w:val="28"/>
                <w:szCs w:val="28"/>
                <w:highlight w:val="none"/>
                <w:lang w:val="en-US" w:eastAsia="zh-CN"/>
              </w:rPr>
              <w:t>陆仟元整整</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6000</w:t>
            </w:r>
            <w:r>
              <w:rPr>
                <w:rFonts w:hint="eastAsia" w:ascii="仿宋" w:hAnsi="仿宋" w:eastAsia="仿宋" w:cs="仿宋"/>
                <w:b/>
                <w:bCs/>
                <w:color w:val="000000"/>
                <w:sz w:val="28"/>
                <w:szCs w:val="28"/>
                <w:highlight w:val="none"/>
                <w:lang w:eastAsia="zh-CN"/>
              </w:rPr>
              <w:t>.00）；</w:t>
            </w:r>
          </w:p>
          <w:p w14:paraId="64E30FF3">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账户：</w:t>
            </w:r>
            <w:r>
              <w:rPr>
                <w:rFonts w:hint="eastAsia" w:ascii="仿宋" w:hAnsi="仿宋" w:eastAsia="仿宋" w:cs="仿宋"/>
                <w:b/>
                <w:bCs/>
                <w:color w:val="000000"/>
                <w:sz w:val="28"/>
                <w:szCs w:val="28"/>
                <w:highlight w:val="none"/>
                <w:lang w:val="en-US" w:eastAsia="zh-CN"/>
              </w:rPr>
              <w:t>华春建设工程项目管理有限责任公司吴起分公司</w:t>
            </w:r>
          </w:p>
          <w:p w14:paraId="6526E025">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开户银行：</w:t>
            </w:r>
            <w:r>
              <w:rPr>
                <w:rFonts w:hint="eastAsia" w:ascii="仿宋" w:hAnsi="仿宋" w:eastAsia="仿宋" w:cs="仿宋"/>
                <w:b/>
                <w:bCs/>
                <w:color w:val="000000"/>
                <w:sz w:val="28"/>
                <w:szCs w:val="28"/>
                <w:highlight w:val="none"/>
                <w:lang w:val="en-US" w:eastAsia="zh-CN"/>
              </w:rPr>
              <w:t>中国银行延安吴起支行营业部</w:t>
            </w:r>
            <w:r>
              <w:rPr>
                <w:rFonts w:hint="eastAsia" w:ascii="仿宋" w:hAnsi="仿宋" w:eastAsia="仿宋" w:cs="仿宋"/>
                <w:b/>
                <w:bCs/>
                <w:color w:val="000000"/>
                <w:sz w:val="28"/>
                <w:szCs w:val="28"/>
                <w:highlight w:val="none"/>
                <w:lang w:eastAsia="zh-CN"/>
              </w:rPr>
              <w:t xml:space="preserve">           </w:t>
            </w:r>
          </w:p>
          <w:p w14:paraId="28450560">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账  号：</w:t>
            </w:r>
            <w:r>
              <w:rPr>
                <w:rFonts w:hint="eastAsia" w:ascii="仿宋" w:hAnsi="仿宋" w:eastAsia="仿宋" w:cs="仿宋"/>
                <w:b/>
                <w:bCs/>
                <w:color w:val="000000"/>
                <w:sz w:val="28"/>
                <w:szCs w:val="28"/>
                <w:highlight w:val="none"/>
                <w:lang w:val="en-US" w:eastAsia="zh-CN"/>
              </w:rPr>
              <w:t>102846504355</w:t>
            </w:r>
            <w:r>
              <w:rPr>
                <w:rFonts w:hint="eastAsia" w:ascii="仿宋" w:hAnsi="仿宋" w:eastAsia="仿宋" w:cs="仿宋"/>
                <w:b/>
                <w:bCs/>
                <w:color w:val="000000"/>
                <w:sz w:val="28"/>
                <w:szCs w:val="28"/>
                <w:highlight w:val="none"/>
                <w:lang w:eastAsia="zh-CN"/>
              </w:rPr>
              <w:t xml:space="preserve"> </w:t>
            </w:r>
          </w:p>
          <w:p w14:paraId="504EA38F">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转账事由备注：招标编号</w:t>
            </w:r>
            <w:r>
              <w:rPr>
                <w:rFonts w:hint="eastAsia"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lang w:eastAsia="zh-CN"/>
              </w:rPr>
              <w:t>投标保证金。</w:t>
            </w:r>
          </w:p>
          <w:p w14:paraId="43EEF8AF">
            <w:pPr>
              <w:spacing w:line="500" w:lineRule="exact"/>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投标保证金必须由供应商银行基本账户转账支付，并须于投标文件递交截止时间前到账，</w:t>
            </w:r>
            <w:r>
              <w:rPr>
                <w:rFonts w:hint="eastAsia" w:ascii="仿宋" w:hAnsi="仿宋" w:eastAsia="仿宋" w:cs="仿宋"/>
                <w:b/>
                <w:bCs/>
                <w:color w:val="000000"/>
                <w:sz w:val="28"/>
                <w:szCs w:val="28"/>
                <w:highlight w:val="none"/>
                <w:lang w:val="en-US" w:eastAsia="zh-CN"/>
              </w:rPr>
              <w:t>到账后可</w:t>
            </w:r>
            <w:r>
              <w:rPr>
                <w:rFonts w:hint="eastAsia" w:ascii="仿宋" w:hAnsi="仿宋" w:eastAsia="仿宋" w:cs="仿宋"/>
                <w:b/>
                <w:bCs/>
                <w:color w:val="000000"/>
                <w:sz w:val="28"/>
                <w:szCs w:val="28"/>
                <w:highlight w:val="none"/>
                <w:lang w:val="zh-CN" w:eastAsia="zh-CN"/>
              </w:rPr>
              <w:t>持基本户开户许可证</w:t>
            </w:r>
            <w:r>
              <w:rPr>
                <w:rFonts w:hint="eastAsia" w:ascii="仿宋" w:hAnsi="仿宋" w:eastAsia="仿宋" w:cs="仿宋"/>
                <w:b/>
                <w:bCs/>
                <w:color w:val="000000"/>
                <w:sz w:val="28"/>
                <w:szCs w:val="28"/>
                <w:highlight w:val="none"/>
                <w:lang w:val="en-US" w:eastAsia="zh-CN"/>
              </w:rPr>
              <w:t>至</w:t>
            </w:r>
            <w:r>
              <w:rPr>
                <w:rFonts w:hint="eastAsia" w:ascii="仿宋" w:hAnsi="仿宋" w:eastAsia="仿宋" w:cs="仿宋"/>
                <w:b/>
                <w:bCs/>
                <w:color w:val="000000"/>
                <w:sz w:val="28"/>
                <w:szCs w:val="28"/>
                <w:highlight w:val="none"/>
                <w:lang w:val="zh-CN" w:eastAsia="zh-CN"/>
              </w:rPr>
              <w:t>采购代理机构</w:t>
            </w:r>
            <w:r>
              <w:rPr>
                <w:rFonts w:hint="eastAsia" w:ascii="仿宋" w:hAnsi="仿宋" w:eastAsia="仿宋" w:cs="仿宋"/>
                <w:b/>
                <w:bCs/>
                <w:color w:val="000000"/>
                <w:sz w:val="28"/>
                <w:szCs w:val="28"/>
                <w:highlight w:val="none"/>
                <w:lang w:val="en-US" w:eastAsia="zh-CN"/>
              </w:rPr>
              <w:t>财务处</w:t>
            </w:r>
            <w:r>
              <w:rPr>
                <w:rFonts w:hint="eastAsia" w:ascii="仿宋" w:hAnsi="仿宋" w:eastAsia="仿宋" w:cs="仿宋"/>
                <w:b/>
                <w:bCs/>
                <w:color w:val="000000"/>
                <w:sz w:val="28"/>
                <w:szCs w:val="28"/>
                <w:highlight w:val="none"/>
                <w:lang w:val="zh-CN" w:eastAsia="zh-CN"/>
              </w:rPr>
              <w:t>开具</w:t>
            </w:r>
            <w:r>
              <w:rPr>
                <w:rFonts w:hint="eastAsia" w:ascii="仿宋" w:hAnsi="仿宋" w:eastAsia="仿宋" w:cs="仿宋"/>
                <w:b/>
                <w:bCs/>
                <w:color w:val="000000"/>
                <w:sz w:val="28"/>
                <w:szCs w:val="28"/>
                <w:highlight w:val="none"/>
                <w:lang w:val="en-US" w:eastAsia="zh-CN"/>
              </w:rPr>
              <w:t>投标</w:t>
            </w:r>
            <w:r>
              <w:rPr>
                <w:rFonts w:hint="eastAsia" w:ascii="仿宋" w:hAnsi="仿宋" w:eastAsia="仿宋" w:cs="仿宋"/>
                <w:b/>
                <w:bCs/>
                <w:color w:val="000000"/>
                <w:sz w:val="28"/>
                <w:szCs w:val="28"/>
                <w:highlight w:val="none"/>
                <w:lang w:val="zh-CN" w:eastAsia="zh-CN"/>
              </w:rPr>
              <w:t>保证金收据，</w:t>
            </w:r>
            <w:r>
              <w:rPr>
                <w:rFonts w:hint="eastAsia" w:ascii="仿宋" w:hAnsi="仿宋" w:eastAsia="仿宋" w:cs="仿宋"/>
                <w:b/>
                <w:bCs/>
                <w:color w:val="000000"/>
                <w:sz w:val="28"/>
                <w:szCs w:val="28"/>
                <w:highlight w:val="none"/>
                <w:lang w:eastAsia="zh-CN"/>
              </w:rPr>
              <w:t>供应商在投标文件中附投标保证金缴纳凭证加盖公章，否则视为</w:t>
            </w:r>
            <w:r>
              <w:rPr>
                <w:rFonts w:hint="eastAsia" w:ascii="仿宋" w:hAnsi="仿宋" w:eastAsia="仿宋" w:cs="仿宋"/>
                <w:b/>
                <w:bCs/>
                <w:color w:val="000000"/>
                <w:sz w:val="28"/>
                <w:szCs w:val="28"/>
                <w:highlight w:val="none"/>
                <w:lang w:val="en-US" w:eastAsia="zh-CN"/>
              </w:rPr>
              <w:t>投标</w:t>
            </w:r>
            <w:r>
              <w:rPr>
                <w:rFonts w:hint="eastAsia" w:ascii="仿宋" w:hAnsi="仿宋" w:eastAsia="仿宋" w:cs="仿宋"/>
                <w:b/>
                <w:bCs/>
                <w:color w:val="000000"/>
                <w:sz w:val="28"/>
                <w:szCs w:val="28"/>
                <w:highlight w:val="none"/>
                <w:lang w:eastAsia="zh-CN"/>
              </w:rPr>
              <w:t>保证金无效。</w:t>
            </w:r>
          </w:p>
        </w:tc>
      </w:tr>
      <w:tr w14:paraId="3010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73884D4F">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9</w:t>
            </w:r>
          </w:p>
        </w:tc>
        <w:tc>
          <w:tcPr>
            <w:tcW w:w="2027" w:type="dxa"/>
            <w:noWrap w:val="0"/>
            <w:vAlign w:val="center"/>
          </w:tcPr>
          <w:p w14:paraId="0301E8D2">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评标委员会的组建</w:t>
            </w:r>
          </w:p>
        </w:tc>
        <w:tc>
          <w:tcPr>
            <w:tcW w:w="6735" w:type="dxa"/>
            <w:noWrap w:val="0"/>
            <w:vAlign w:val="center"/>
          </w:tcPr>
          <w:p w14:paraId="64631AC7">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评标委员会构成：5人；其中采购人代表1人；专家4人</w:t>
            </w:r>
          </w:p>
          <w:p w14:paraId="0AECD505">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评标专家确定方式：陕西</w:t>
            </w:r>
            <w:r>
              <w:rPr>
                <w:rFonts w:hint="eastAsia" w:ascii="仿宋" w:hAnsi="仿宋" w:eastAsia="仿宋" w:cs="仿宋"/>
                <w:b/>
                <w:bCs/>
                <w:color w:val="000000"/>
                <w:sz w:val="28"/>
                <w:szCs w:val="28"/>
                <w:highlight w:val="none"/>
                <w:lang w:val="en-US" w:eastAsia="zh-CN"/>
              </w:rPr>
              <w:t>省</w:t>
            </w:r>
            <w:r>
              <w:rPr>
                <w:rFonts w:hint="eastAsia" w:ascii="仿宋" w:hAnsi="仿宋" w:eastAsia="仿宋" w:cs="仿宋"/>
                <w:b/>
                <w:bCs/>
                <w:color w:val="000000"/>
                <w:sz w:val="28"/>
                <w:szCs w:val="28"/>
                <w:highlight w:val="none"/>
                <w:lang w:eastAsia="zh-CN"/>
              </w:rPr>
              <w:t>政府采购综合管理平台专家库中随机抽取。</w:t>
            </w:r>
          </w:p>
        </w:tc>
      </w:tr>
      <w:tr w14:paraId="5BBD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3A779E6A">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10</w:t>
            </w:r>
          </w:p>
        </w:tc>
        <w:tc>
          <w:tcPr>
            <w:tcW w:w="2027" w:type="dxa"/>
            <w:noWrap w:val="0"/>
            <w:vAlign w:val="center"/>
          </w:tcPr>
          <w:p w14:paraId="24361348">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电子投标注意</w:t>
            </w:r>
          </w:p>
          <w:p w14:paraId="76424489">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事项</w:t>
            </w:r>
          </w:p>
        </w:tc>
        <w:tc>
          <w:tcPr>
            <w:tcW w:w="6735" w:type="dxa"/>
            <w:noWrap w:val="0"/>
            <w:vAlign w:val="center"/>
          </w:tcPr>
          <w:p w14:paraId="0EA26863">
            <w:pPr>
              <w:spacing w:line="500" w:lineRule="exact"/>
              <w:jc w:val="lef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电子投标注意事项：供应商应及时下载招标文件和答疑纪要等相关文件，在投标截止时间前必须上传投标文件；本项目采用线上不见面形式，开标时各供应商在各自公司进行解密，因供应商原因造成上传文件无法解密的，按无效标标处理。</w:t>
            </w:r>
          </w:p>
        </w:tc>
      </w:tr>
      <w:tr w14:paraId="1A3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604EE1BB">
            <w:pPr>
              <w:spacing w:line="500" w:lineRule="exact"/>
              <w:jc w:val="center"/>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11</w:t>
            </w:r>
          </w:p>
        </w:tc>
        <w:tc>
          <w:tcPr>
            <w:tcW w:w="2027" w:type="dxa"/>
            <w:noWrap w:val="0"/>
            <w:vAlign w:val="center"/>
          </w:tcPr>
          <w:p w14:paraId="1B67E0B0">
            <w:pPr>
              <w:spacing w:line="500" w:lineRule="exact"/>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所属行业</w:t>
            </w:r>
          </w:p>
        </w:tc>
        <w:tc>
          <w:tcPr>
            <w:tcW w:w="6735" w:type="dxa"/>
            <w:noWrap w:val="0"/>
            <w:vAlign w:val="center"/>
          </w:tcPr>
          <w:p w14:paraId="7D81BBC5">
            <w:pPr>
              <w:spacing w:line="500" w:lineRule="exact"/>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其他未列明行业</w:t>
            </w:r>
          </w:p>
        </w:tc>
      </w:tr>
    </w:tbl>
    <w:p w14:paraId="62E63590">
      <w:pPr>
        <w:spacing w:line="500" w:lineRule="exact"/>
        <w:rPr>
          <w:rFonts w:hint="eastAsia" w:ascii="仿宋" w:hAnsi="仿宋" w:eastAsia="仿宋" w:cs="仿宋"/>
          <w:color w:val="auto"/>
          <w:sz w:val="28"/>
          <w:szCs w:val="28"/>
          <w:highlight w:val="none"/>
        </w:rPr>
      </w:pPr>
    </w:p>
    <w:p w14:paraId="2EC1F2DE">
      <w:pPr>
        <w:pStyle w:val="6"/>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b/>
          <w:bCs/>
          <w:color w:val="auto"/>
          <w:sz w:val="15"/>
          <w:szCs w:val="15"/>
          <w:highlight w:val="none"/>
        </w:rPr>
      </w:pPr>
      <w:bookmarkStart w:id="4" w:name="_Toc416530613"/>
      <w:bookmarkStart w:id="5" w:name="_Toc10866"/>
      <w:r>
        <w:rPr>
          <w:rFonts w:hint="eastAsia" w:ascii="仿宋" w:hAnsi="仿宋" w:eastAsia="仿宋" w:cs="仿宋"/>
          <w:color w:val="auto"/>
          <w:highlight w:val="none"/>
        </w:rPr>
        <w:br w:type="page"/>
      </w:r>
      <w:bookmarkEnd w:id="4"/>
      <w:bookmarkEnd w:id="5"/>
      <w:bookmarkStart w:id="6" w:name="_Toc1705"/>
      <w:bookmarkStart w:id="7" w:name="_Toc416530614"/>
      <w:bookmarkStart w:id="8" w:name="_Toc11167"/>
      <w:r>
        <w:rPr>
          <w:rFonts w:hint="eastAsia" w:ascii="仿宋" w:hAnsi="仿宋" w:eastAsia="仿宋" w:cs="仿宋"/>
          <w:b/>
          <w:bCs/>
          <w:color w:val="auto"/>
          <w:kern w:val="44"/>
          <w:sz w:val="44"/>
          <w:szCs w:val="44"/>
          <w:highlight w:val="none"/>
        </w:rPr>
        <w:t>第三部分  投标人须知</w:t>
      </w:r>
      <w:bookmarkEnd w:id="6"/>
      <w:bookmarkEnd w:id="7"/>
      <w:bookmarkEnd w:id="8"/>
    </w:p>
    <w:p w14:paraId="61DC0D78">
      <w:pPr>
        <w:pStyle w:val="7"/>
        <w:pageBreakBefore w:val="0"/>
        <w:kinsoku/>
        <w:wordWrap/>
        <w:overflowPunct/>
        <w:topLinePunct w:val="0"/>
        <w:bidi w:val="0"/>
        <w:spacing w:before="0" w:after="0" w:line="540" w:lineRule="exact"/>
        <w:textAlignment w:val="auto"/>
        <w:rPr>
          <w:rFonts w:hint="eastAsia" w:ascii="仿宋" w:hAnsi="仿宋" w:eastAsia="仿宋" w:cs="仿宋"/>
          <w:color w:val="auto"/>
          <w:sz w:val="28"/>
          <w:szCs w:val="28"/>
          <w:highlight w:val="none"/>
        </w:rPr>
      </w:pPr>
      <w:bookmarkStart w:id="9" w:name="_Toc30891"/>
      <w:bookmarkStart w:id="10" w:name="_Toc416530615"/>
      <w:bookmarkStart w:id="11" w:name="_Toc416678737"/>
      <w:r>
        <w:rPr>
          <w:rFonts w:hint="eastAsia" w:ascii="仿宋" w:hAnsi="仿宋" w:eastAsia="仿宋" w:cs="仿宋"/>
          <w:color w:val="auto"/>
          <w:sz w:val="28"/>
          <w:szCs w:val="28"/>
          <w:highlight w:val="none"/>
        </w:rPr>
        <w:t>一、名词解释</w:t>
      </w:r>
      <w:bookmarkEnd w:id="9"/>
      <w:bookmarkEnd w:id="10"/>
      <w:bookmarkEnd w:id="11"/>
    </w:p>
    <w:p w14:paraId="0AA13388">
      <w:pPr>
        <w:pageBreakBefore w:val="0"/>
        <w:kinsoku/>
        <w:wordWrap/>
        <w:overflowPunct/>
        <w:topLinePunct w:val="0"/>
        <w:bidi w:val="0"/>
        <w:spacing w:line="540" w:lineRule="exact"/>
        <w:ind w:firstLine="551" w:firstLineChars="196"/>
        <w:textAlignment w:val="auto"/>
        <w:rPr>
          <w:rFonts w:hint="default" w:ascii="仿宋" w:hAnsi="仿宋" w:eastAsia="仿宋" w:cs="仿宋"/>
          <w:bCs/>
          <w:color w:val="auto"/>
          <w:sz w:val="28"/>
          <w:highlight w:val="none"/>
          <w:lang w:val="en-US" w:eastAsia="zh-CN"/>
        </w:rPr>
      </w:pPr>
      <w:r>
        <w:rPr>
          <w:rFonts w:hint="eastAsia" w:ascii="仿宋" w:hAnsi="仿宋" w:eastAsia="仿宋" w:cs="仿宋"/>
          <w:b/>
          <w:color w:val="auto"/>
          <w:sz w:val="28"/>
          <w:szCs w:val="28"/>
          <w:highlight w:val="none"/>
        </w:rPr>
        <w:t>1、采购</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单位</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吴起县畜牧兽医服务中心</w:t>
      </w:r>
    </w:p>
    <w:p w14:paraId="42D20382">
      <w:pPr>
        <w:pageBreakBefore w:val="0"/>
        <w:kinsoku/>
        <w:wordWrap/>
        <w:overflowPunct/>
        <w:topLinePunct w:val="0"/>
        <w:bidi w:val="0"/>
        <w:spacing w:line="540" w:lineRule="exact"/>
        <w:ind w:firstLine="551" w:firstLineChars="196"/>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2、采购代理机构：</w:t>
      </w:r>
      <w:r>
        <w:rPr>
          <w:rFonts w:hint="eastAsia" w:ascii="仿宋" w:hAnsi="仿宋" w:eastAsia="仿宋" w:cs="仿宋"/>
          <w:b w:val="0"/>
          <w:bCs/>
          <w:color w:val="auto"/>
          <w:sz w:val="28"/>
          <w:szCs w:val="28"/>
          <w:highlight w:val="none"/>
          <w:lang w:val="en-US" w:eastAsia="zh-CN"/>
        </w:rPr>
        <w:t>华春建设工程项目管理有限责任公司</w:t>
      </w:r>
    </w:p>
    <w:p w14:paraId="765D7BE3">
      <w:pPr>
        <w:pageBreakBefore w:val="0"/>
        <w:kinsoku/>
        <w:wordWrap/>
        <w:overflowPunct/>
        <w:topLinePunct w:val="0"/>
        <w:bidi w:val="0"/>
        <w:spacing w:line="540" w:lineRule="exact"/>
        <w:ind w:left="3049" w:leftChars="228" w:hanging="2502" w:hangingChars="89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   标   人：</w:t>
      </w:r>
      <w:r>
        <w:rPr>
          <w:rFonts w:hint="eastAsia" w:ascii="仿宋" w:hAnsi="仿宋" w:eastAsia="仿宋" w:cs="仿宋"/>
          <w:bCs/>
          <w:color w:val="auto"/>
          <w:sz w:val="28"/>
          <w:szCs w:val="28"/>
          <w:highlight w:val="none"/>
        </w:rPr>
        <w:t>是指响应招标参加投标竞争的法人、其他组织或自然人</w:t>
      </w:r>
    </w:p>
    <w:p w14:paraId="57731427">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12" w:name="_Toc31329"/>
      <w:bookmarkStart w:id="13" w:name="_Toc416678738"/>
      <w:bookmarkStart w:id="14" w:name="_Toc416530617"/>
      <w:r>
        <w:rPr>
          <w:rFonts w:hint="eastAsia" w:ascii="仿宋" w:hAnsi="仿宋" w:eastAsia="仿宋" w:cs="仿宋"/>
          <w:color w:val="auto"/>
          <w:sz w:val="28"/>
          <w:szCs w:val="28"/>
          <w:highlight w:val="none"/>
        </w:rPr>
        <w:t>二、招标文件及要求</w:t>
      </w:r>
      <w:bookmarkEnd w:id="12"/>
      <w:bookmarkEnd w:id="13"/>
    </w:p>
    <w:p w14:paraId="64DC6C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本项目招标文件依据《中华人民共和国政府采购法》及《中华人民共和国政府采购法实施条例》等相关法律法规进行编写。</w:t>
      </w:r>
    </w:p>
    <w:p w14:paraId="71C956DC">
      <w:pPr>
        <w:pageBreakBefore w:val="0"/>
        <w:numPr>
          <w:ilvl w:val="0"/>
          <w:numId w:val="2"/>
        </w:numPr>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本采购项目需要落实的政府采购政策有：①《政府采购促进中小企业发展</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办法》（财库〔20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eastAsia="zh-CN"/>
        </w:rPr>
        <w:t>②《财政部 农业农村部 国家乡村振兴局关于运用政府采购政策支持乡村产业振兴的通知》（财库〔2021〕19号）；③</w:t>
      </w:r>
      <w:r>
        <w:rPr>
          <w:rFonts w:hint="eastAsia" w:ascii="仿宋" w:hAnsi="仿宋" w:eastAsia="仿宋" w:cs="仿宋"/>
          <w:color w:val="auto"/>
          <w:sz w:val="28"/>
          <w:szCs w:val="28"/>
          <w:highlight w:val="none"/>
        </w:rPr>
        <w:t>陕西省财政厅关于印发《陕西省中小企业政府采购信用融资办法》（陕财办采〔2018〕23号）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④《财政部民政部中国残疾人联合会关于促进残疾人就业政府采购政策的通知》（财库〔2017〕141号）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⑤《财政部司法部关于政府采购支持监狱企业发展有关问题的通知》（财库〔2014〕68号）；⑥《国务院办公厅关于建立政府强制采购节能产品制度的通知》（国办发〔2007〕51号）；⑦其他需要落实的政府采购政策。</w:t>
      </w:r>
    </w:p>
    <w:p w14:paraId="41ACD19E">
      <w:pPr>
        <w:pageBreakBefore w:val="0"/>
        <w:numPr>
          <w:ilvl w:val="0"/>
          <w:numId w:val="0"/>
        </w:numPr>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投标企业政府采购政策：</w:t>
      </w:r>
    </w:p>
    <w:p w14:paraId="4DD8AFC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w:t>
      </w:r>
    </w:p>
    <w:p w14:paraId="16CDFF6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2-1、中小企业落实政府采购政策《政府采购促进中小企业发展管理办法》的通知--财库〔2020〕46号</w:t>
      </w:r>
      <w:r>
        <w:rPr>
          <w:rFonts w:hint="eastAsia" w:ascii="仿宋" w:hAnsi="仿宋" w:eastAsia="仿宋" w:cs="仿宋"/>
          <w:color w:val="auto"/>
          <w:sz w:val="28"/>
          <w:szCs w:val="28"/>
          <w:highlight w:val="none"/>
          <w:lang w:eastAsia="zh-CN"/>
        </w:rPr>
        <w:t>按照文件要求提供相关证明资料</w:t>
      </w:r>
      <w:r>
        <w:rPr>
          <w:rFonts w:hint="eastAsia" w:ascii="仿宋" w:hAnsi="仿宋" w:eastAsia="仿宋" w:cs="仿宋"/>
          <w:color w:val="auto"/>
          <w:sz w:val="28"/>
          <w:szCs w:val="28"/>
          <w:highlight w:val="none"/>
        </w:rPr>
        <w:t>。</w:t>
      </w:r>
    </w:p>
    <w:p w14:paraId="206A47BE">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zh-CN"/>
        </w:rPr>
        <w:t>监狱和戒毒企业应符合《财政部</w:t>
      </w:r>
      <w:r>
        <w:rPr>
          <w:rFonts w:hint="eastAsia" w:ascii="仿宋" w:hAnsi="仿宋" w:eastAsia="仿宋" w:cs="仿宋"/>
          <w:color w:val="auto"/>
          <w:sz w:val="28"/>
          <w:szCs w:val="28"/>
          <w:highlight w:val="none"/>
        </w:rPr>
        <w:t>司法部关于政府采购支持监狱企业发展有关问题的通知》--财库〔2014〕68号</w:t>
      </w:r>
      <w:r>
        <w:rPr>
          <w:rFonts w:hint="eastAsia" w:ascii="仿宋" w:hAnsi="仿宋" w:eastAsia="仿宋" w:cs="仿宋"/>
          <w:color w:val="auto"/>
          <w:sz w:val="28"/>
          <w:szCs w:val="28"/>
          <w:highlight w:val="none"/>
          <w:lang w:val="zh-CN"/>
        </w:rPr>
        <w:t>，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残疾人福利性单位属于小型、微型企业的，不重复享受政策。</w:t>
      </w:r>
    </w:p>
    <w:p w14:paraId="53FDFF0C">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2-3、投标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应如实提供以上证明文件，如存在虚假应标，将取消其投标资格。</w:t>
      </w:r>
    </w:p>
    <w:p w14:paraId="55F00FC1">
      <w:pPr>
        <w:pageBreakBefore w:val="0"/>
        <w:kinsoku/>
        <w:wordWrap/>
        <w:overflowPunct/>
        <w:topLinePunct w:val="0"/>
        <w:autoSpaceDE w:val="0"/>
        <w:autoSpaceDN w:val="0"/>
        <w:bidi w:val="0"/>
        <w:adjustRightInd w:val="0"/>
        <w:snapToGrid w:val="0"/>
        <w:spacing w:line="540" w:lineRule="exact"/>
        <w:ind w:left="7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投标产品政府采购政策：</w:t>
      </w:r>
    </w:p>
    <w:p w14:paraId="0D329E8B">
      <w:pPr>
        <w:pageBreakBefore w:val="0"/>
        <w:widowControl/>
        <w:kinsoku/>
        <w:wordWrap/>
        <w:overflowPunct/>
        <w:topLinePunct w:val="0"/>
        <w:bidi w:val="0"/>
        <w:snapToGrid w:val="0"/>
        <w:spacing w:line="540" w:lineRule="exact"/>
        <w:ind w:right="-226" w:rightChars="-9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3-1、节能产品</w:t>
      </w:r>
      <w:r>
        <w:rPr>
          <w:rFonts w:hint="eastAsia" w:ascii="仿宋" w:hAnsi="仿宋" w:eastAsia="仿宋" w:cs="仿宋"/>
          <w:color w:val="auto"/>
          <w:sz w:val="28"/>
          <w:szCs w:val="28"/>
          <w:highlight w:val="none"/>
          <w:lang w:val="zh-CN"/>
        </w:rPr>
        <w:t>根据《国务院办公厅关于建立政府强制采购节能产品制度的通知》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国办发〔</w:t>
      </w:r>
      <w:r>
        <w:rPr>
          <w:rFonts w:hint="eastAsia" w:ascii="仿宋" w:hAnsi="仿宋" w:eastAsia="仿宋" w:cs="仿宋"/>
          <w:color w:val="auto"/>
          <w:sz w:val="28"/>
          <w:szCs w:val="28"/>
          <w:highlight w:val="none"/>
        </w:rPr>
        <w:t>２００７</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５１</w:t>
      </w:r>
      <w:r>
        <w:rPr>
          <w:rFonts w:hint="eastAsia" w:ascii="仿宋" w:hAnsi="仿宋" w:eastAsia="仿宋" w:cs="仿宋"/>
          <w:color w:val="auto"/>
          <w:sz w:val="28"/>
          <w:szCs w:val="28"/>
          <w:highlight w:val="none"/>
          <w:lang w:val="zh-CN"/>
        </w:rPr>
        <w:t>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公布的最新一期节能产品政府采购清单为准。</w:t>
      </w:r>
    </w:p>
    <w:p w14:paraId="1E5B436F">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3-2、环境标志产品</w:t>
      </w:r>
      <w:r>
        <w:rPr>
          <w:rFonts w:hint="eastAsia" w:ascii="仿宋" w:hAnsi="仿宋" w:eastAsia="仿宋" w:cs="仿宋"/>
          <w:color w:val="auto"/>
          <w:sz w:val="28"/>
          <w:szCs w:val="28"/>
          <w:highlight w:val="none"/>
          <w:lang w:val="zh-CN"/>
        </w:rPr>
        <w:t>根据《环境标志产品政府采购实施的意见》的规定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公布的最新一期环境标志产品政府采购清单为准。</w:t>
      </w:r>
    </w:p>
    <w:p w14:paraId="14EB2232">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计分明细表及属于清单内产品的证明资料的不给予计分。 </w:t>
      </w:r>
    </w:p>
    <w:p w14:paraId="31CD2F2B">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lang w:val="zh-CN"/>
        </w:rPr>
        <w:t>、 若节能、环保、环境标志清单内的产品仅是构成投标产品的部件、组件或零件的，则该投标产品不享受鼓励优惠政策。</w:t>
      </w:r>
    </w:p>
    <w:p w14:paraId="7286B4C1">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lang w:val="zh-CN"/>
        </w:rPr>
        <w:t>、 同一标段的节能、环保、环境标志产品部分计分只对属于清单内的非强制类产品进行计分，强制类产品不给予计分。 </w:t>
      </w:r>
    </w:p>
    <w:p w14:paraId="309261B5">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lang w:val="zh-CN"/>
        </w:rPr>
        <w:t>、节能、环保、环境标志产品不重复计分；同时列入国家级清单和省级清单的产品不重复计分。 </w:t>
      </w:r>
    </w:p>
    <w:p w14:paraId="197C48B1">
      <w:pPr>
        <w:adjustRightInd w:val="0"/>
        <w:snapToGrid w:val="0"/>
        <w:spacing w:line="360" w:lineRule="auto"/>
        <w:ind w:firstLine="560" w:firstLineChars="200"/>
        <w:jc w:val="left"/>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3-7</w:t>
      </w:r>
      <w:r>
        <w:rPr>
          <w:rFonts w:hint="eastAsia" w:ascii="仿宋" w:hAnsi="仿宋" w:eastAsia="仿宋" w:cs="仿宋"/>
          <w:sz w:val="28"/>
          <w:szCs w:val="28"/>
          <w:lang w:val="zh-CN" w:eastAsia="zh-CN"/>
        </w:rPr>
        <w:t>、获得上述认证的产品在投标时应提供有效证明材料。</w:t>
      </w:r>
    </w:p>
    <w:p w14:paraId="126F3CB8">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4、招标文件包含招标文件目录中所列的全部内容。</w:t>
      </w:r>
    </w:p>
    <w:p w14:paraId="272EBC52">
      <w:pPr>
        <w:adjustRightInd w:val="0"/>
        <w:snapToGrid w:val="0"/>
        <w:spacing w:line="360" w:lineRule="auto"/>
        <w:ind w:firstLine="562" w:firstLineChars="20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4.1CA锁及电子版投标说明：</w:t>
      </w:r>
    </w:p>
    <w:p w14:paraId="498A4B91">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4.1.1投标人须在延安市公共资源交易中心政府采购交易平台中登记企业信息，然后使用数字认证CA锁获取招标文件及其他文件。 </w:t>
      </w:r>
    </w:p>
    <w:p w14:paraId="429CF3E9">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4.1.2投标人应使用电子投标工具制作、加密投标文件，并在规定时间上传 经过数字证书加密的电子投标文件。 </w:t>
      </w:r>
    </w:p>
    <w:p w14:paraId="714443E7">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4.1.3.开标会议形式：现场会议，线上投标，现场CA锁解密。</w:t>
      </w:r>
    </w:p>
    <w:p w14:paraId="39EFDA85">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4.1.4. 如因投标人自身原因无法签到、解密导致投标无效由投标人自行承担所有不利结果。自身原因包括但不限于以下情况： </w:t>
      </w:r>
    </w:p>
    <w:p w14:paraId="5691EBA3">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①电脑配置、系统及驱动程序不符合《延安市公共资源交易中心政府采购交易平台操作指南——投标人》操作手册要求的；</w:t>
      </w:r>
    </w:p>
    <w:p w14:paraId="0BBFF98E">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②加密CA锁不符合延安市公共资源交易中心政府采购交易平台规定的； </w:t>
      </w:r>
    </w:p>
    <w:p w14:paraId="108E97D6">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③解密CA锁与生成文件CA锁不一致的； </w:t>
      </w:r>
    </w:p>
    <w:p w14:paraId="78DD6188">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④上传电子加密文件格式错误的。</w:t>
      </w:r>
    </w:p>
    <w:p w14:paraId="2E61D255">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4.5.其他操作详见</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"http://www.baidu.com/link?url=VwDXbx3oN5RBHzVxzj2jweLiisvOij6FxYCzlOwGCQq" \t "https://www.baidu.com/_blank"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全国公共资源交易平台（陕西省·延安市）</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&gt;</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"http://ya.sxggzyjy.cn/fwzn/serviceGuide.html"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服务指南</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&gt;下载专区“延安市公共资源交易中心政府采购电子招投标全流程操作手册”。</w:t>
      </w:r>
    </w:p>
    <w:p w14:paraId="5BE1B668">
      <w:pPr>
        <w:adjustRightInd w:val="0"/>
        <w:snapToGrid w:val="0"/>
        <w:spacing w:line="360" w:lineRule="auto"/>
        <w:ind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联合体投标</w:t>
      </w:r>
    </w:p>
    <w:p w14:paraId="4100BDAC">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本项目接受联合体投标，应满足下列要求：联合体各方具有独立法人资格，联合体各方应签订联合体投标协议书，明确联合体牵头人和各方权利义务；联合体各方不得再以自己名义单独或参加其他联合体在同一项目中投标。</w:t>
      </w:r>
    </w:p>
    <w:p w14:paraId="64DC783C">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、招标文件的获取：</w:t>
      </w:r>
      <w:r>
        <w:rPr>
          <w:rFonts w:hint="eastAsia" w:ascii="仿宋" w:hAnsi="仿宋" w:eastAsia="仿宋" w:cs="仿宋"/>
          <w:color w:val="auto"/>
          <w:sz w:val="28"/>
          <w:szCs w:val="28"/>
          <w:highlight w:val="none"/>
          <w:lang w:val="en-US" w:eastAsia="zh-CN"/>
        </w:rPr>
        <w:t>在线获取</w:t>
      </w:r>
      <w:r>
        <w:rPr>
          <w:rFonts w:hint="eastAsia" w:ascii="仿宋" w:hAnsi="仿宋" w:eastAsia="仿宋" w:cs="仿宋"/>
          <w:color w:val="auto"/>
          <w:sz w:val="28"/>
          <w:szCs w:val="28"/>
          <w:highlight w:val="none"/>
          <w:lang w:val="zh-CN"/>
        </w:rPr>
        <w:t>。</w:t>
      </w:r>
    </w:p>
    <w:p w14:paraId="5D7EDDA7">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、采购人在投标截止时间15日前，可以以书面形式对招标文件进行必要的澄清或修改，其内容均为招标文件的组成部分，并对采购及投标人起约束作用。</w:t>
      </w:r>
    </w:p>
    <w:p w14:paraId="5305FB42">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应详细阅读招标文件所有的事项、条款和规范要求等，在投标文件中对招标文件的各方面都做出实质性的响应，按照招标文件的要求提交全部资料。若投标人的投标文件未按招标文件要求提交全部资料，或没有对招标文件做出实质性响应，将导致投标被拒绝。</w:t>
      </w:r>
    </w:p>
    <w:p w14:paraId="7E7D6647">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、招标文件的澄清或修改：</w:t>
      </w:r>
    </w:p>
    <w:p w14:paraId="660627F4">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-1、投标人对招标文件如有疑问要求澄清，或认为有必要与采购人进行技术交流，应于投标文件递交截止5日前，以书面形式通知采购代理机构，采购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以书面形式予以答复。</w:t>
      </w:r>
    </w:p>
    <w:p w14:paraId="376BB31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-2、无论是采购代理机构主动对招标文件进行必要的修改，或根据投标人的要求对招标文件做出的澄清，都将于投标截止时间5日前以书面形式发送给所有合格的投标人。</w:t>
      </w:r>
    </w:p>
    <w:p w14:paraId="2A0283D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3FAD989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-4、根据招标工作进展实际情况，采购人可酌情延长递交投标文件的截止时间，若延长将另行以书面形式通知各投标人。</w:t>
      </w:r>
    </w:p>
    <w:p w14:paraId="02318EE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、投标人必须从采购代理机构购买招标文件，投标人自行转让或复制招标文件视为无效。招标文件售后不退，仅作为本次招标使用。</w:t>
      </w:r>
    </w:p>
    <w:p w14:paraId="006E4D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的解释权归采购代理机构所有。如发现</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内容中与现行的法律法规不相符合的情况，以现行的法律法规为准</w:t>
      </w:r>
      <w:r>
        <w:rPr>
          <w:rFonts w:hint="eastAsia" w:ascii="仿宋" w:hAnsi="仿宋" w:eastAsia="仿宋" w:cs="仿宋"/>
          <w:color w:val="auto"/>
          <w:sz w:val="28"/>
          <w:szCs w:val="28"/>
          <w:highlight w:val="none"/>
          <w:lang w:eastAsia="zh-CN"/>
        </w:rPr>
        <w:t>；招标中某个或多个条款依我国法律、法规被认定为非法、无效或不可执行的,该无效条款的无效、失效和不可执行,不影响亦不损害其他条款的有效性、生效性和可执行性。</w:t>
      </w:r>
    </w:p>
    <w:p w14:paraId="38B7B0EC">
      <w:pPr>
        <w:pStyle w:val="7"/>
        <w:pageBreakBefore w:val="0"/>
        <w:kinsoku/>
        <w:wordWrap/>
        <w:overflowPunct/>
        <w:topLinePunct w:val="0"/>
        <w:bidi w:val="0"/>
        <w:spacing w:before="0" w:after="0" w:line="540" w:lineRule="exact"/>
        <w:textAlignment w:val="auto"/>
        <w:rPr>
          <w:rFonts w:hint="eastAsia" w:ascii="仿宋" w:hAnsi="仿宋" w:eastAsia="仿宋" w:cs="仿宋"/>
          <w:bCs w:val="0"/>
          <w:color w:val="auto"/>
          <w:sz w:val="28"/>
          <w:szCs w:val="28"/>
          <w:highlight w:val="none"/>
        </w:rPr>
      </w:pPr>
      <w:bookmarkStart w:id="15" w:name="_Toc27390"/>
      <w:bookmarkStart w:id="16" w:name="_Toc416678739"/>
      <w:r>
        <w:rPr>
          <w:rFonts w:hint="eastAsia" w:ascii="仿宋" w:hAnsi="仿宋" w:eastAsia="仿宋" w:cs="仿宋"/>
          <w:bCs w:val="0"/>
          <w:color w:val="auto"/>
          <w:sz w:val="28"/>
          <w:szCs w:val="28"/>
          <w:highlight w:val="none"/>
        </w:rPr>
        <w:t>三、</w:t>
      </w:r>
      <w:bookmarkEnd w:id="14"/>
      <w:r>
        <w:rPr>
          <w:rFonts w:hint="eastAsia" w:ascii="仿宋" w:hAnsi="仿宋" w:eastAsia="仿宋" w:cs="仿宋"/>
          <w:color w:val="auto"/>
          <w:sz w:val="28"/>
          <w:szCs w:val="28"/>
          <w:highlight w:val="none"/>
        </w:rPr>
        <w:t>投标及投标文件</w:t>
      </w:r>
      <w:bookmarkEnd w:id="15"/>
      <w:bookmarkEnd w:id="16"/>
    </w:p>
    <w:p w14:paraId="7654992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信用记录查询及使用</w:t>
      </w:r>
    </w:p>
    <w:p w14:paraId="373060FD">
      <w:pPr>
        <w:keepNext w:val="0"/>
        <w:keepLines w:val="0"/>
        <w:pageBreakBefore w:val="0"/>
        <w:kinsoku/>
        <w:wordWrap/>
        <w:overflowPunct/>
        <w:topLinePunct w:val="0"/>
        <w:bidi w:val="0"/>
        <w:adjustRightInd/>
        <w:snapToGrid/>
        <w:spacing w:line="540" w:lineRule="exact"/>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w:t>
      </w:r>
    </w:p>
    <w:p w14:paraId="2D5F01E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color w:val="auto"/>
          <w:sz w:val="28"/>
          <w:szCs w:val="28"/>
        </w:rPr>
        <w:t>供应商须保证资质文件的真实、合法、有效，因资质产生的一切纠纷由供应商承担法律责任</w:t>
      </w:r>
      <w:r>
        <w:rPr>
          <w:rFonts w:hint="eastAsia" w:ascii="仿宋" w:hAnsi="仿宋" w:eastAsia="仿宋" w:cs="仿宋"/>
          <w:color w:val="auto"/>
          <w:sz w:val="28"/>
          <w:szCs w:val="28"/>
          <w:lang w:eastAsia="zh-CN"/>
        </w:rPr>
        <w:t>；</w:t>
      </w:r>
      <w:r>
        <w:rPr>
          <w:rFonts w:hint="eastAsia" w:ascii="仿宋" w:hAnsi="仿宋" w:eastAsia="仿宋" w:cs="仿宋"/>
          <w:b/>
          <w:bCs/>
          <w:sz w:val="28"/>
          <w:szCs w:val="28"/>
          <w:lang w:eastAsia="zh-CN"/>
        </w:rPr>
        <w:t>单位负责人为同一人或者存在控股、管理关系的不同单位，不得参加同一标段投标或者未划分标段的同一招标项目。</w:t>
      </w:r>
    </w:p>
    <w:p w14:paraId="6B8FEC30">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1）具有独立承担民事责任能力的法人或其他组织，提供合法有效的营业执照或组织机构代码证，且提供开户许可证或基本存款账户信息证明；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3）投标人需具有有效的经中国保监会批准开展政策农业保险业务许可证；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6）社保缴纳证明：提供投标截止时间前一年内已缴纳的连续三个月的社保缴纳证明（成立不足一年的提供自成立之日起的连续社保缴纳证明）；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7）投标人参加采购活动近3年内经营活动中无重大违法记录的书面声明；</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8）单位负责人为同一人或者存在直接控股、管理关系的不同供应商，不得参加同一合同项下的政府采购活动；</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10）本项目不接受联合体投标。</w:t>
      </w:r>
    </w:p>
    <w:p w14:paraId="0A353522">
      <w:pPr>
        <w:pageBreakBefore w:val="0"/>
        <w:kinsoku/>
        <w:wordWrap/>
        <w:overflowPunct/>
        <w:topLinePunct w:val="0"/>
        <w:bidi w:val="0"/>
        <w:spacing w:line="540" w:lineRule="exact"/>
        <w:ind w:firstLine="548" w:firstLineChars="196"/>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、投标文件的组成：</w:t>
      </w:r>
    </w:p>
    <w:p w14:paraId="5BC640DF">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bookmarkStart w:id="17" w:name="_Toc416530624"/>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-1、各投标人应根据招标文件要求编制投标文件。</w:t>
      </w:r>
    </w:p>
    <w:p w14:paraId="4C156E0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-2、投标文件包括：</w:t>
      </w:r>
    </w:p>
    <w:p w14:paraId="7DA080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1．投标函</w:t>
      </w:r>
    </w:p>
    <w:p w14:paraId="6256BA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2．投标报价一览表</w:t>
      </w:r>
    </w:p>
    <w:p w14:paraId="721F303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．技术偏离表</w:t>
      </w:r>
    </w:p>
    <w:p w14:paraId="065F07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．商务偏离表</w:t>
      </w:r>
    </w:p>
    <w:p w14:paraId="08DA43A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477077C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资格证明文件</w:t>
      </w:r>
    </w:p>
    <w:p w14:paraId="021DE88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7670444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投标方案</w:t>
      </w:r>
    </w:p>
    <w:p w14:paraId="6528E71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4-2-9.</w:t>
      </w:r>
      <w:r>
        <w:rPr>
          <w:rFonts w:hint="eastAsia" w:ascii="仿宋" w:hAnsi="仿宋" w:eastAsia="仿宋" w:cs="仿宋"/>
          <w:color w:val="auto"/>
          <w:sz w:val="28"/>
          <w:szCs w:val="28"/>
          <w:highlight w:val="none"/>
        </w:rPr>
        <w:t>投标人认为有必要说明的事宜</w:t>
      </w:r>
    </w:p>
    <w:p w14:paraId="3C598FE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 拒绝政府采购领域商业贿赂承诺书</w:t>
      </w:r>
    </w:p>
    <w:p w14:paraId="12CEF59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中小企业声明函</w:t>
      </w:r>
    </w:p>
    <w:p w14:paraId="7C1ADD7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、投标人应对招标文件的技术要求逐项做出注明和说明；对招标文件的商务要求完全响应，偏离处做出注明和说明。</w:t>
      </w:r>
    </w:p>
    <w:p w14:paraId="500D200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各投标人必须根据招标文件要求进行生产、供货等；不得未经同意将本项目内容进行转包实施，一经发现，立即取消其中标资格，并承担由此引起的一切经济损失；接受采购人委托的相关单位对产品内容、质量、进度、实施方案、价款支付与结算审核等的监督和管理。</w:t>
      </w:r>
    </w:p>
    <w:p w14:paraId="1215DF53">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、投标人不得以他人名义投标和串通投标。</w:t>
      </w:r>
    </w:p>
    <w:p w14:paraId="609F8D0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、投标文件填写说明</w:t>
      </w:r>
    </w:p>
    <w:p w14:paraId="5D5DE58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z w:val="28"/>
          <w:szCs w:val="28"/>
          <w:highlight w:val="none"/>
        </w:rPr>
        <w:t>投标文件：投标人提交的投标文件应当按照招标文件规定的填写，装订成册。</w:t>
      </w:r>
    </w:p>
    <w:p w14:paraId="3BE0D9C8">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、投标文件的计量单位</w:t>
      </w:r>
    </w:p>
    <w:p w14:paraId="1782490A">
      <w:pPr>
        <w:pageBreakBefore w:val="0"/>
        <w:kinsoku/>
        <w:wordWrap/>
        <w:overflowPunct/>
        <w:topLinePunct w:val="0"/>
        <w:bidi w:val="0"/>
        <w:spacing w:line="540" w:lineRule="exact"/>
        <w:ind w:left="-180" w:leftChars="-75" w:firstLine="728" w:firstLineChars="2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投标文件中所使用的计量单位，除有特殊要求外，均采用国家法定计量单位。</w:t>
      </w:r>
    </w:p>
    <w:p w14:paraId="6718F12A">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、投标报价</w:t>
      </w:r>
    </w:p>
    <w:p w14:paraId="0577CFE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-1、投标货币：人民币      单位:元。</w:t>
      </w:r>
    </w:p>
    <w:p w14:paraId="0F2F633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-2、投标人要按所报产品分项报价表内容填写产品品名、单价及总价、制造厂家等内容，并由法人代表或授权代表签署。</w:t>
      </w:r>
    </w:p>
    <w:p w14:paraId="21F764F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-3、投标报价：</w:t>
      </w:r>
    </w:p>
    <w:p w14:paraId="7E6F0F28">
      <w:pPr>
        <w:pageBreakBefore w:val="0"/>
        <w:kinsoku/>
        <w:wordWrap/>
        <w:overflowPunct/>
        <w:topLinePunct w:val="0"/>
        <w:bidi w:val="0"/>
        <w:spacing w:line="540" w:lineRule="exact"/>
        <w:ind w:firstLine="551" w:firstLineChars="196"/>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投标</w:t>
      </w:r>
      <w:r>
        <w:rPr>
          <w:rFonts w:hint="eastAsia" w:ascii="仿宋" w:hAnsi="仿宋" w:eastAsia="仿宋" w:cs="仿宋"/>
          <w:b/>
          <w:color w:val="auto"/>
          <w:sz w:val="28"/>
          <w:szCs w:val="28"/>
          <w:highlight w:val="none"/>
        </w:rPr>
        <w:t>报价（含税）=产品价+售后服务费+保险费+相关伴随费用等。</w:t>
      </w:r>
    </w:p>
    <w:p w14:paraId="4782AF5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-4、投标人须对《采购内容及技术要求》中任何货物需求和服务要求进行完整报价，采购代理机构拒绝只对部分货物或服务进行报价的投标。投标人应在投标文件中的投标分项报价表上标明对本次招标拟提供货物和服务的单价和总价。任何有选择的报价将不予接受，每种货物只允许有一个报价。</w:t>
      </w:r>
    </w:p>
    <w:p w14:paraId="77F8480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、投标人所报的投标价在合同执行过程中是固定不变的，不得以任何理由予以变更。任何包含价格调整要求的投标，将被认为是非响应性投标而予以拒绝。</w:t>
      </w:r>
    </w:p>
    <w:p w14:paraId="2EA41278">
      <w:pPr>
        <w:pageBreakBefore w:val="0"/>
        <w:widowControl/>
        <w:kinsoku/>
        <w:wordWrap/>
        <w:overflowPunct/>
        <w:topLinePunct w:val="0"/>
        <w:bidi w:val="0"/>
        <w:spacing w:line="540" w:lineRule="exact"/>
        <w:ind w:firstLine="551" w:firstLineChars="197"/>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、采购代理机构不接受投标人对任何未办理正常进口手续的货物的投标报价。</w:t>
      </w:r>
    </w:p>
    <w:p w14:paraId="38F120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、最低报价不是中标的唯一依据。</w:t>
      </w:r>
    </w:p>
    <w:p w14:paraId="5A88E738">
      <w:pPr>
        <w:pageBreakBefore w:val="0"/>
        <w:kinsoku/>
        <w:wordWrap/>
        <w:overflowPunct/>
        <w:topLinePunct w:val="0"/>
        <w:bidi w:val="0"/>
        <w:spacing w:line="5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3F4CB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、投标期间一切费用自理。</w:t>
      </w:r>
    </w:p>
    <w:p w14:paraId="200931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、投标文件的制作</w:t>
      </w:r>
    </w:p>
    <w:p w14:paraId="3F4BCE1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-1、投标文件的签署及规定</w:t>
      </w:r>
    </w:p>
    <w:p w14:paraId="5870AF84">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（1）投标文件的各项资料均应遵守本条规定。</w:t>
      </w:r>
    </w:p>
    <w:p w14:paraId="56EA3D61">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（2）投标人应按照招标文件要求进行签字</w:t>
      </w:r>
      <w:r>
        <w:rPr>
          <w:rFonts w:hint="eastAsia" w:ascii="仿宋" w:hAnsi="仿宋" w:eastAsia="仿宋" w:cs="仿宋"/>
          <w:sz w:val="28"/>
          <w:szCs w:val="28"/>
          <w:lang w:val="en-US" w:eastAsia="zh-CN"/>
        </w:rPr>
        <w:t>或</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所有内容逐页加盖单位公章，在</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文件中指定页面的落款处，签字</w:t>
      </w:r>
      <w:r>
        <w:rPr>
          <w:rFonts w:hint="eastAsia" w:ascii="仿宋" w:hAnsi="仿宋" w:eastAsia="仿宋" w:cs="仿宋"/>
          <w:sz w:val="28"/>
          <w:szCs w:val="28"/>
          <w:lang w:eastAsia="zh-CN"/>
        </w:rPr>
        <w:t>盖章</w:t>
      </w:r>
      <w:r>
        <w:rPr>
          <w:rFonts w:hint="eastAsia" w:ascii="仿宋" w:hAnsi="仿宋" w:eastAsia="仿宋" w:cs="仿宋"/>
          <w:sz w:val="28"/>
          <w:szCs w:val="28"/>
        </w:rPr>
        <w:t>必须由供应商法定代表人（或其授权代表）</w:t>
      </w:r>
      <w:r>
        <w:rPr>
          <w:rFonts w:hint="eastAsia" w:ascii="仿宋" w:hAnsi="仿宋" w:eastAsia="仿宋" w:cs="仿宋"/>
          <w:sz w:val="28"/>
          <w:szCs w:val="28"/>
          <w:lang w:eastAsia="zh-CN"/>
        </w:rPr>
        <w:t>签字或盖章</w:t>
      </w:r>
      <w:r>
        <w:rPr>
          <w:rFonts w:hint="eastAsia" w:ascii="仿宋" w:hAnsi="仿宋" w:eastAsia="仿宋" w:cs="仿宋"/>
          <w:sz w:val="28"/>
          <w:szCs w:val="28"/>
        </w:rPr>
        <w:t>。</w:t>
      </w:r>
    </w:p>
    <w:p w14:paraId="0FF8EE2A">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（3）全套投标文件应无涂改或行间插字或增删。除非这些删改是根据采购人的指示进行的，或者是投标人造成的必须修改的错误。如有修改，修改处应加盖投标人公章及法人代表或被授权人签字或盖章确认。</w:t>
      </w:r>
    </w:p>
    <w:p w14:paraId="4D80D83E">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（4）因字迹潦草或表达不清所引起的后果由投标人自行负责。</w:t>
      </w:r>
    </w:p>
    <w:p w14:paraId="4E96EE4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-2、投标文件的装订和递交</w:t>
      </w:r>
      <w:r>
        <w:rPr>
          <w:rFonts w:hint="eastAsia" w:ascii="仿宋" w:hAnsi="仿宋" w:eastAsia="仿宋" w:cs="仿宋"/>
          <w:color w:val="auto"/>
          <w:sz w:val="28"/>
          <w:szCs w:val="28"/>
          <w:highlight w:val="none"/>
        </w:rPr>
        <w:tab/>
      </w:r>
    </w:p>
    <w:p w14:paraId="31A033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（1）投标文件的装订：</w:t>
      </w:r>
    </w:p>
    <w:p w14:paraId="47E1EDC6">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a、投标时，投标人应自行将投标文件密封完好。封袋上应写明项目名称、编号、投标人名称及“正本”、“副本”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资格证明文件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业绩合同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字样，并在密封条接缝处加盖单位公章（鲜章）和法定代表人</w:t>
      </w:r>
      <w:r>
        <w:rPr>
          <w:rFonts w:hint="eastAsia" w:ascii="仿宋" w:hAnsi="仿宋" w:eastAsia="仿宋" w:cs="仿宋"/>
          <w:color w:val="auto"/>
          <w:sz w:val="28"/>
          <w:szCs w:val="28"/>
          <w:highlight w:val="none"/>
          <w:lang w:val="en-US" w:eastAsia="zh-CN"/>
        </w:rPr>
        <w:t>签字及盖章</w:t>
      </w:r>
      <w:r>
        <w:rPr>
          <w:rFonts w:hint="eastAsia" w:ascii="仿宋" w:hAnsi="仿宋" w:eastAsia="仿宋" w:cs="仿宋"/>
          <w:color w:val="auto"/>
          <w:sz w:val="28"/>
          <w:szCs w:val="28"/>
          <w:highlight w:val="none"/>
        </w:rPr>
        <w:t>；</w:t>
      </w:r>
    </w:p>
    <w:p w14:paraId="6460C388">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w:t>
      </w:r>
      <w:r>
        <w:rPr>
          <w:rFonts w:hint="eastAsia" w:ascii="仿宋" w:hAnsi="仿宋" w:eastAsia="仿宋" w:cs="仿宋"/>
          <w:color w:val="auto"/>
          <w:sz w:val="28"/>
          <w:szCs w:val="28"/>
          <w:highlight w:val="none"/>
          <w:lang w:val="en-US" w:eastAsia="zh-CN"/>
        </w:rPr>
        <w:t>除电子版提交外，</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投标文件正本和副本必须装订</w:t>
      </w:r>
      <w:r>
        <w:rPr>
          <w:rFonts w:hint="eastAsia" w:ascii="仿宋" w:hAnsi="仿宋" w:eastAsia="仿宋" w:cs="仿宋"/>
          <w:sz w:val="28"/>
          <w:szCs w:val="28"/>
          <w:lang w:eastAsia="zh-CN"/>
        </w:rPr>
        <w:t>（胶装）</w:t>
      </w:r>
      <w:r>
        <w:rPr>
          <w:rFonts w:hint="eastAsia" w:ascii="仿宋" w:hAnsi="仿宋" w:eastAsia="仿宋" w:cs="仿宋"/>
          <w:sz w:val="28"/>
          <w:szCs w:val="28"/>
        </w:rPr>
        <w:t>成册并按序编制页码</w:t>
      </w:r>
      <w:r>
        <w:rPr>
          <w:rFonts w:hint="eastAsia" w:ascii="仿宋" w:hAnsi="仿宋" w:eastAsia="仿宋" w:cs="仿宋"/>
          <w:color w:val="auto"/>
          <w:sz w:val="28"/>
          <w:szCs w:val="28"/>
          <w:highlight w:val="none"/>
        </w:rPr>
        <w:t>，其中正本一份，</w:t>
      </w:r>
      <w:r>
        <w:rPr>
          <w:rFonts w:hint="eastAsia" w:ascii="仿宋" w:hAnsi="仿宋" w:eastAsia="仿宋" w:cs="仿宋"/>
          <w:color w:val="auto"/>
          <w:sz w:val="28"/>
          <w:szCs w:val="28"/>
          <w:highlight w:val="none"/>
          <w:lang w:eastAsia="zh-CN"/>
        </w:rPr>
        <w:t>副本二份，</w:t>
      </w:r>
      <w:r>
        <w:rPr>
          <w:rFonts w:hint="eastAsia" w:ascii="仿宋" w:hAnsi="仿宋" w:eastAsia="仿宋" w:cs="仿宋"/>
          <w:color w:val="auto"/>
          <w:sz w:val="28"/>
          <w:szCs w:val="28"/>
          <w:highlight w:val="none"/>
        </w:rPr>
        <w:t>单独密封。投标文件正本须加盖鲜章，副本可以是正本的复印件。各标袋上注明“开标时启封”字样。如果正本与副本不符，以正本为准。</w:t>
      </w:r>
    </w:p>
    <w:p w14:paraId="47DB78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（2）投标文件的递交：</w:t>
      </w:r>
    </w:p>
    <w:p w14:paraId="462DC5B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a、投标人应按规定的时间、地点，于投标截止时间前递交投标文件；</w:t>
      </w:r>
    </w:p>
    <w:p w14:paraId="03C101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b、采购代理机构推迟递交投标文件截止时间时，应在投标文件截止时间3日前以书面或传真的形式通知所有投标人。采购代理机构和投标人的权利和义务将受到新的截止期的约束。</w:t>
      </w:r>
    </w:p>
    <w:p w14:paraId="67F366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c、递交投标文件截止时间止，若收到的投标文件少于3个，采购人将择日重新组织招标；</w:t>
      </w:r>
    </w:p>
    <w:p w14:paraId="771C8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d、投标人在规定的投标截止时间后递交投标文件，将被拒收。</w:t>
      </w:r>
    </w:p>
    <w:p w14:paraId="5D25C389">
      <w:pPr>
        <w:pageBreakBefore w:val="0"/>
        <w:kinsoku/>
        <w:wordWrap/>
        <w:overflowPunct/>
        <w:topLinePunct w:val="0"/>
        <w:bidi w:val="0"/>
        <w:spacing w:line="540" w:lineRule="exact"/>
        <w:ind w:firstLine="560" w:firstLineChars="200"/>
        <w:textAlignment w:val="auto"/>
        <w:rPr>
          <w:rFonts w:hint="eastAsia" w:ascii="仿宋" w:hAnsi="仿宋" w:eastAsia="仿宋" w:cs="仿宋"/>
        </w:rPr>
      </w:pPr>
      <w:r>
        <w:rPr>
          <w:rFonts w:hint="eastAsia" w:ascii="仿宋" w:hAnsi="仿宋" w:eastAsia="仿宋" w:cs="仿宋"/>
          <w:color w:val="auto"/>
          <w:sz w:val="28"/>
          <w:szCs w:val="28"/>
          <w:highlight w:val="none"/>
          <w:lang w:val="en-US" w:eastAsia="zh-CN"/>
        </w:rPr>
        <w:t>e</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投标人投标时需现场提供公司CA优盾，用于解密线上投标资料，不提供视为放弃本次投标资格。</w:t>
      </w:r>
    </w:p>
    <w:p w14:paraId="4D1A705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（3）投标文件的补充、修改与撤回：</w:t>
      </w:r>
    </w:p>
    <w:p w14:paraId="4B5E6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人在递交投标文件以后，在规定的投标截止时间之前,可以书面形式补充、修改或撤回已递交的投标文件，并以书面形式通知采购代理机构。补充、修改的内容应当按招标文件要求密封、签署、盖章，并作为投标文件的组成部分；</w:t>
      </w:r>
    </w:p>
    <w:p w14:paraId="740A183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b、投标人提出修改和撤标要求的，须在投标截止时间前密封送到采购代理机构，并在封面上加注“修改”或“撤回”字样。采购代理机构可以接受，但不退还原投标文件（包含纸质及电子版）。</w:t>
      </w:r>
    </w:p>
    <w:p w14:paraId="295C117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c、撤回投标文件应以书面形式由有权人（法人代表或授权代表）通知采购代理机构。如采取传真形式撤回投标，随后必须补充有法人代表或授权代表签署的要求撤回投标的正式文件。</w:t>
      </w:r>
    </w:p>
    <w:p w14:paraId="518F2E1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d、投标截止时间之后，投标人不得补充、修改投标文件；</w:t>
      </w:r>
    </w:p>
    <w:p w14:paraId="515F715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（4）投标文件的审查标准：</w:t>
      </w:r>
    </w:p>
    <w:p w14:paraId="0DCCB3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中报价一览表内容与</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中相应内容不一致的，以报价一览表为准;</w:t>
      </w:r>
    </w:p>
    <w:p w14:paraId="6CF9A1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b、大写金额和小写金额不一致的，以大写金额为准;</w:t>
      </w:r>
    </w:p>
    <w:p w14:paraId="7BF2D5A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c、单价金额小数点或者百分比有明显错位的，以报价一览表的总价为准，并修改单价;</w:t>
      </w:r>
    </w:p>
    <w:p w14:paraId="19929B3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d、总价金额与按单价汇总金额不一致的，以单价金额计算结果为准。</w:t>
      </w:r>
    </w:p>
    <w:p w14:paraId="446FDF19">
      <w:pPr>
        <w:pageBreakBefore w:val="0"/>
        <w:kinsoku/>
        <w:wordWrap/>
        <w:overflowPunct/>
        <w:topLinePunct w:val="0"/>
        <w:bidi w:val="0"/>
        <w:spacing w:line="540" w:lineRule="exact"/>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rPr>
        <w:t>同时出现两种以上不一致的，按照前款规定的顺序修正。修正后的报价由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应当采用书面形式的澄清、说明或者补正，并加盖公章或者由法定代表人或其授权的代表签字确认，经</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确认后产生约束力，</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不确认的，其投标无效</w:t>
      </w:r>
      <w:r>
        <w:rPr>
          <w:rFonts w:hint="eastAsia" w:ascii="仿宋" w:hAnsi="仿宋" w:eastAsia="仿宋" w:cs="仿宋"/>
          <w:b w:val="0"/>
          <w:bCs w:val="0"/>
          <w:color w:val="auto"/>
          <w:sz w:val="28"/>
          <w:szCs w:val="28"/>
          <w:highlight w:val="none"/>
          <w:lang w:eastAsia="zh-CN"/>
        </w:rPr>
        <w:t>。</w:t>
      </w:r>
    </w:p>
    <w:p w14:paraId="6619B7B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（5）投标文件的有效性：</w:t>
      </w:r>
    </w:p>
    <w:p w14:paraId="2A02A6C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a、开标时，投标文件出现下列情形之一的，应当作为无效投标文件，不得进入评标：</w:t>
      </w:r>
    </w:p>
    <w:p w14:paraId="35DB1AA7">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）投标文件未按招标文件规定要求签署、盖章的；</w:t>
      </w:r>
    </w:p>
    <w:p w14:paraId="4A4D107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）对招标文件未做实质性响应或有重大缺项漏项,或附加了采购人难以接受的条件或款项的</w:t>
      </w:r>
      <w:r>
        <w:rPr>
          <w:rFonts w:hint="eastAsia" w:ascii="仿宋" w:hAnsi="仿宋" w:eastAsia="仿宋" w:cs="仿宋"/>
          <w:color w:val="auto"/>
          <w:sz w:val="28"/>
          <w:szCs w:val="28"/>
          <w:highlight w:val="none"/>
          <w:lang w:eastAsia="zh-CN"/>
        </w:rPr>
        <w:t>；</w:t>
      </w:r>
    </w:p>
    <w:p w14:paraId="14ED0FC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）投标人有围标、串标现象，经查证属实的。 有下列情形之一的，视为投标人串通投标，其投标无效：</w:t>
      </w:r>
    </w:p>
    <w:p w14:paraId="501CDDF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①不同投标人的投标文件由同一单位或者个人编制；</w:t>
      </w:r>
    </w:p>
    <w:p w14:paraId="2AB6C66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②不同投标人委托同一单位或者个人办理投标事宜；</w:t>
      </w:r>
    </w:p>
    <w:p w14:paraId="47902821">
      <w:pPr>
        <w:keepNext w:val="0"/>
        <w:keepLines w:val="0"/>
        <w:pageBreakBefore w:val="0"/>
        <w:widowControl w:val="0"/>
        <w:kinsoku/>
        <w:wordWrap/>
        <w:overflowPunct/>
        <w:topLinePunct w:val="0"/>
        <w:autoSpaceDE/>
        <w:autoSpaceDN/>
        <w:bidi w:val="0"/>
        <w:adjustRightInd/>
        <w:snapToGrid/>
        <w:spacing w:line="540" w:lineRule="exact"/>
        <w:ind w:firstLine="516" w:firstLineChars="200"/>
        <w:textAlignment w:val="auto"/>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③不同投标人的投标文件载明的项目管理成员或者联系人员为同一人；</w:t>
      </w:r>
    </w:p>
    <w:p w14:paraId="1186E3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④不同投标人的投标文件异常一致或者投标报价呈规律性差异；</w:t>
      </w:r>
    </w:p>
    <w:p w14:paraId="0268B9D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⑤不同投标人的投标文件相互混装；</w:t>
      </w:r>
    </w:p>
    <w:p w14:paraId="71A358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⑥不符合现行法律法规和招标文件规定的其他实质性要求的。</w:t>
      </w:r>
    </w:p>
    <w:p w14:paraId="43B64BA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）不符合现行法律法规和</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文件规定的其他要求的。</w:t>
      </w:r>
    </w:p>
    <w:p w14:paraId="619809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b、投标文件的有效期：自开标之日起算90个日历日。</w:t>
      </w:r>
    </w:p>
    <w:p w14:paraId="71ADB2F5">
      <w:pPr>
        <w:pStyle w:val="7"/>
        <w:pageBreakBefore w:val="0"/>
        <w:kinsoku/>
        <w:wordWrap/>
        <w:overflowPunct/>
        <w:topLinePunct w:val="0"/>
        <w:bidi w:val="0"/>
        <w:spacing w:before="0" w:after="0" w:line="540" w:lineRule="exact"/>
        <w:ind w:firstLine="560" w:firstLineChars="200"/>
        <w:textAlignment w:val="auto"/>
        <w:rPr>
          <w:rFonts w:hint="eastAsia" w:ascii="仿宋" w:hAnsi="仿宋" w:eastAsia="仿宋" w:cs="仿宋"/>
          <w:b w:val="0"/>
          <w:color w:val="auto"/>
          <w:sz w:val="28"/>
          <w:szCs w:val="28"/>
          <w:highlight w:val="none"/>
        </w:rPr>
      </w:pPr>
      <w:bookmarkStart w:id="18" w:name="_Toc416678741"/>
      <w:bookmarkStart w:id="19" w:name="_Toc30307"/>
      <w:bookmarkStart w:id="20" w:name="_Toc416530619"/>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、开标、评标和定标</w:t>
      </w:r>
      <w:bookmarkEnd w:id="18"/>
      <w:bookmarkEnd w:id="19"/>
      <w:bookmarkEnd w:id="20"/>
    </w:p>
    <w:p w14:paraId="705BFE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w:t>
      </w:r>
    </w:p>
    <w:p w14:paraId="559B234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1-1、采购代理机构按规定的时间和地点组织公开开标会议，并通知采购人参加。</w:t>
      </w:r>
    </w:p>
    <w:p w14:paraId="2A8E636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1-2、所有参会人员应签名报到，投标单位须按时签到递交投标文件，以证明其出席。</w:t>
      </w:r>
    </w:p>
    <w:p w14:paraId="76ECFC9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1-3、合格投标单位按规定提交合格的投标文件后到开标截止时间前如中途要求撤回时，若不影响正常开标，且采购人可以接受，可退还其投标文件。</w:t>
      </w:r>
    </w:p>
    <w:p w14:paraId="17FD51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1-4、开标程序：</w:t>
      </w:r>
    </w:p>
    <w:p w14:paraId="6F9D0CC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（1）开标会议由</w:t>
      </w:r>
      <w:r>
        <w:rPr>
          <w:rFonts w:hint="eastAsia" w:ascii="仿宋" w:hAnsi="仿宋" w:eastAsia="仿宋" w:cs="仿宋"/>
          <w:color w:val="auto"/>
          <w:sz w:val="28"/>
          <w:szCs w:val="28"/>
          <w:highlight w:val="none"/>
          <w:lang w:val="en-US" w:eastAsia="zh-CN"/>
        </w:rPr>
        <w:t>采购单位代表监督，</w:t>
      </w:r>
      <w:r>
        <w:rPr>
          <w:rFonts w:hint="eastAsia" w:ascii="仿宋" w:hAnsi="仿宋" w:eastAsia="仿宋" w:cs="仿宋"/>
          <w:color w:val="auto"/>
          <w:sz w:val="28"/>
          <w:szCs w:val="28"/>
          <w:highlight w:val="none"/>
        </w:rPr>
        <w:t>采购代理机构主持。</w:t>
      </w:r>
    </w:p>
    <w:p w14:paraId="14C3A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）投标人的法人代表或授权代表与</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人当众共同查验投标文件的密封情况，签字确认并宣读检查结果。未按要求</w:t>
      </w:r>
      <w:r>
        <w:rPr>
          <w:rFonts w:hint="eastAsia" w:ascii="仿宋" w:hAnsi="仿宋" w:eastAsia="仿宋" w:cs="仿宋"/>
          <w:color w:val="auto"/>
          <w:sz w:val="28"/>
          <w:szCs w:val="28"/>
          <w:highlight w:val="none"/>
          <w:lang w:eastAsia="zh-CN"/>
        </w:rPr>
        <w:t>密封</w:t>
      </w:r>
      <w:r>
        <w:rPr>
          <w:rFonts w:hint="eastAsia" w:ascii="仿宋" w:hAnsi="仿宋" w:eastAsia="仿宋" w:cs="仿宋"/>
          <w:color w:val="auto"/>
          <w:sz w:val="28"/>
          <w:szCs w:val="28"/>
          <w:highlight w:val="none"/>
        </w:rPr>
        <w:t>的作无效文件处理，由投标人确认签字并领取本单位的投标文件。</w:t>
      </w:r>
    </w:p>
    <w:p w14:paraId="419C980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）经确认无误后，由采购代理机构依递交投标文件的摆放顺序当众拆封，宣读投标人名称、投标价格和招标文件规定的需要宣布的其他主要内容，并由投标人的法人代表或授权代表及</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人签字确认唱标内容。</w:t>
      </w:r>
    </w:p>
    <w:p w14:paraId="718D14E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）采购代理机构对开、评标过程进行摄像、文字记录，并存档备查。</w:t>
      </w:r>
    </w:p>
    <w:p w14:paraId="1644862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w:t>
      </w:r>
    </w:p>
    <w:p w14:paraId="03DD8C4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根据本次招标项目的特点，参照有关规定组建评标委员会。评标委员会专家成员在陕西省财政厅评审专家库中随机抽取，特殊情况，经主管预算单位同意，采购人或采购代理机构选定相应专业领域评标专家；采购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派代表进入评标委员会（如有）。评标委员会专家人数应占总人数的</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以上。评标委员会负责对具备实质性响应的投标文件进行评估和比较。</w:t>
      </w:r>
    </w:p>
    <w:p w14:paraId="7B7D570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2-2、评标委员会成员应当遵守并履行以下职责义务：</w:t>
      </w:r>
    </w:p>
    <w:p w14:paraId="726F5D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（1）遵纪守法，客观、公正、认真负责地履行职责，审查、评价投标文件是否符合招标文件的商务、技术等实质性要求；</w:t>
      </w:r>
    </w:p>
    <w:p w14:paraId="653970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（2）评标委员会可要求投标人对投标文件有关事项作出澄清或者说明；</w:t>
      </w:r>
    </w:p>
    <w:p w14:paraId="25DC923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（3）依据招标文件的要求和评审标准进行评审，推荐中标候选单位名单，对评标意见承担个人责任；</w:t>
      </w:r>
    </w:p>
    <w:p w14:paraId="7757F6A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（4）对评标过程及各投标人的商业机密予以保密；</w:t>
      </w:r>
    </w:p>
    <w:p w14:paraId="033976E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（5）拟定评标结果；</w:t>
      </w:r>
    </w:p>
    <w:p w14:paraId="39C4F6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（6）配合采购人、采购代理机构答复各投标人提出的质疑；</w:t>
      </w:r>
    </w:p>
    <w:p w14:paraId="782C133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（7）向采购人、采购代理机构或者有关部门报告评标中发现的违法行为。</w:t>
      </w:r>
    </w:p>
    <w:p w14:paraId="35DB9D74">
      <w:pPr>
        <w:pageBreakBefore w:val="0"/>
        <w:kinsoku/>
        <w:wordWrap/>
        <w:overflowPunct/>
        <w:topLinePunct w:val="0"/>
        <w:bidi w:val="0"/>
        <w:spacing w:line="540" w:lineRule="exact"/>
        <w:ind w:firstLine="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并配合各部门处理投诉工作。</w:t>
      </w:r>
    </w:p>
    <w:p w14:paraId="441E597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2-3、评标委员会及其成员不得有下列行为，评标委员会成员有下列第1至5项行为之一的，其评审意见无效，并不得获取评审劳务报酬和报销异地评审差旅费。</w:t>
      </w:r>
    </w:p>
    <w:p w14:paraId="4B47706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（1）确定参与评标至评标结束前私自接触投标人；</w:t>
      </w:r>
    </w:p>
    <w:p w14:paraId="48A4B9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（2）接受投标人提出的与投标文件不一致的澄清或者说明，87号令第五十一条规定的情形除外；</w:t>
      </w:r>
    </w:p>
    <w:p w14:paraId="05FAA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（3）违反评标纪律发表倾向性意见或者征询采购人的倾向性意见；</w:t>
      </w:r>
    </w:p>
    <w:p w14:paraId="2B346B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（4）对需要专业判断的主观评审因素协商评分；</w:t>
      </w:r>
    </w:p>
    <w:p w14:paraId="4FB52BC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（5）在评标过程中擅离职守，影响评标程序正常进行的；</w:t>
      </w:r>
    </w:p>
    <w:p w14:paraId="29D2C50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（6）记录、复制或者带走任何评标资料；</w:t>
      </w:r>
    </w:p>
    <w:p w14:paraId="516E3E2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（7）其他不遵守评标纪律的行为。</w:t>
      </w:r>
    </w:p>
    <w:p w14:paraId="5FDA92A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2-4、采购代理机构负责组织评标工作，并履行下列职责：</w:t>
      </w:r>
    </w:p>
    <w:p w14:paraId="519665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（1）核对评审专家身份和采购人代表授权函，对评审专家在政府采购活动中的职责履行情况予以记录，并及时将有关违法违规行为向财政部门报告；</w:t>
      </w:r>
    </w:p>
    <w:p w14:paraId="2062F1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（2）宣布评标纪律；</w:t>
      </w:r>
    </w:p>
    <w:p w14:paraId="34F155A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（3）公布投标人名单，告知评审专家应当回避的情形；</w:t>
      </w:r>
    </w:p>
    <w:p w14:paraId="6B4142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（4）组织评标委员会推选评标组长，采购人代表不得担任组长；</w:t>
      </w:r>
    </w:p>
    <w:p w14:paraId="21D85FF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（5）在评标期间采取必要的通讯管理措施，保证评标活动不受外界干扰；</w:t>
      </w:r>
    </w:p>
    <w:p w14:paraId="13741B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（6）根据评标委员会的要求介绍政府采购相关政策法规、招标文件；</w:t>
      </w:r>
    </w:p>
    <w:p w14:paraId="56680DF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（7）维护评标秩序，监督评标委员会依照招标文件规定的评标程序、方法和标准进行独立评审，及时制止和纠正采购人代表、评审专家的倾向性言论或者违法违规行为；</w:t>
      </w:r>
    </w:p>
    <w:p w14:paraId="60B5FA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（8）核对评标结果，有87号令第六十四条规定情形的，要求评标委员会复核或者书面说明理由，评标委员会拒绝的，应予记录并向本级财政部门报告；</w:t>
      </w:r>
    </w:p>
    <w:p w14:paraId="16DA37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（9）评审工作完成后，按照规定向评审专家支付劳务报酬和异地评审差旅费，不得向评审专家以外的其他人员支付评审劳务报酬；</w:t>
      </w:r>
    </w:p>
    <w:p w14:paraId="0F237C7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（10）处理与评标有关的其他事项。</w:t>
      </w:r>
    </w:p>
    <w:p w14:paraId="1A79963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采购人可以在评标前说明项目背景和采购需求，说明内容不得含有歧视性、倾向性意见，不得超出招标文件所述范围。说明应当提交书面材料，并随采购文件一并存档。</w:t>
      </w:r>
    </w:p>
    <w:p w14:paraId="0AE1FED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2-5、公开招标采购项目开标结束后，采购人应当依法对投标人的资格进行审查。</w:t>
      </w:r>
    </w:p>
    <w:p w14:paraId="2F3113D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2-6、评标纪律</w:t>
      </w:r>
    </w:p>
    <w:p w14:paraId="3E6C7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(1)所有参会人员须关闭所携带的通讯工具或将声音调至静音状态。</w:t>
      </w:r>
    </w:p>
    <w:p w14:paraId="2D3201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(2)出席评标会议的人须对评标小组成员的人员名单，评标过程及各投标人的商业机密予以保密，采购代理机构对评标过程进行全程摄像，并存档备查。</w:t>
      </w:r>
    </w:p>
    <w:p w14:paraId="4CAF618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(3)评标小组成员、采购人、采购代理机构人员及相关人员不得参加与自己有利害关系的政府采购项目评审活动。在评审项目中，对与自己有利害关系的，应主动提出回避。</w:t>
      </w:r>
    </w:p>
    <w:p w14:paraId="47AEA95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(4)评标工作必须按照《政府采购法》和有关法律法规规定，坚持公平、公正、择优、保密的原则。</w:t>
      </w:r>
    </w:p>
    <w:p w14:paraId="063E306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(5)评委必须严格按招标文件规定的评标办法进行认真评审，做到独立、客观、公平、公正，对所提出的意见承担个人责任。</w:t>
      </w:r>
    </w:p>
    <w:p w14:paraId="5B95B17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(6)出席评标会议的采购人代表不得干涉评标委员会的评标工作或发表诱导性语言。</w:t>
      </w:r>
    </w:p>
    <w:p w14:paraId="535D47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(7)评标期间，参加评标工作的评委和采购人代表不得随意出入评标地点，与外界联络或会客，不得与投标人私下交换意见。</w:t>
      </w:r>
    </w:p>
    <w:p w14:paraId="293D40F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(8)评标结束后，评标人员应将开标、评标的全部资料整理后上交采购机构，严禁将评标过程中的任何资料带出评标会场，严禁将评标情况扩散出评标小组。</w:t>
      </w:r>
    </w:p>
    <w:p w14:paraId="175C39F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2-7、采购代理机构负责组织评标工作，集中保管评标委员会成员的通讯工具；维护评标秩序，组织评标委员会依照招标文件规定的评审程序、方法和标准进行评审，核对评标结果，处理与评标有关的其他事项。</w:t>
      </w:r>
    </w:p>
    <w:p w14:paraId="780AF676">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2-8、评标过程严格保密</w:t>
      </w:r>
    </w:p>
    <w:p w14:paraId="30FA45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（1）开标后，凡属于对投标文件的审查、澄清、评价和比较的有关资料以及中标候选人的推荐情况，与评标有关的其他任何情况均严格保密；</w:t>
      </w:r>
    </w:p>
    <w:p w14:paraId="7892AA1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对评委会的评标过程或合同授予决定施加影响的任何行为都可能导致其投标被拒绝。</w:t>
      </w:r>
    </w:p>
    <w:p w14:paraId="5F7E28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3、定标</w:t>
      </w:r>
    </w:p>
    <w:p w14:paraId="5BDAFDC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21" w:name="_Toc30576"/>
      <w:bookmarkStart w:id="22" w:name="_Toc416678742"/>
      <w:bookmarkStart w:id="23" w:name="_Toc416530620"/>
      <w:r>
        <w:rPr>
          <w:rFonts w:hint="eastAsia" w:ascii="仿宋" w:hAnsi="仿宋" w:eastAsia="仿宋" w:cs="仿宋"/>
          <w:color w:val="auto"/>
          <w:sz w:val="28"/>
          <w:szCs w:val="28"/>
          <w:highlight w:val="none"/>
        </w:rPr>
        <w:t>（1）评标小组依据招标文件的要求，对投标人进行认真评审。从质量和服务均能满足招标文件实质性响应要求的投标人中，按照综合打分由高到低的顺序推荐</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名以上中标候选人。</w:t>
      </w:r>
    </w:p>
    <w:p w14:paraId="33178E6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（2）评标委员会按照评分标准进行独立记名评分，其合计即为该投标人的综合得分，并汇总排序，推荐至少</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名中标候选人。</w:t>
      </w:r>
    </w:p>
    <w:p w14:paraId="503A689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（3）采购代理机构应当在评审结束后2个工作日内将评审报告送交采购人。</w:t>
      </w:r>
    </w:p>
    <w:p w14:paraId="5874BB3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（4）采购人在收到评审报告之日起5个工作日内在评审报告推荐的中标候选人中按顺序确定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。采购人逾期未确定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且不提出异议的，视为确定评审报告提出的排名第一的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w:t>
      </w:r>
    </w:p>
    <w:p w14:paraId="5D4E732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确定后，采购人和采购代理机构对未中标原因不作任何解释，投标文件不予退还（含纸质及电子版文件）。</w:t>
      </w:r>
    </w:p>
    <w:p w14:paraId="34C5D13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（6）在招标有效期内，采购代理机构在接到采购人的“定标复函”通知后，在指定媒体上发布中标公告，同时向中标人发“中标通知书”。</w:t>
      </w:r>
    </w:p>
    <w:p w14:paraId="00CC920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（7）中标人因自身原因不按规定与使用单位签订供货合同，或未能按照规定的时间提供履约担保，则采购人将废除授标。给使用单位造成损失的，还应当予以赔偿，并依法承担相应法律责任。</w:t>
      </w:r>
    </w:p>
    <w:p w14:paraId="0FD592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（8）中标后，中标人应按照合同约定履行义务，完成招标项目的供货。</w:t>
      </w:r>
    </w:p>
    <w:p w14:paraId="52891649">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六、中标通知</w:t>
      </w:r>
      <w:bookmarkEnd w:id="21"/>
      <w:bookmarkEnd w:id="22"/>
      <w:bookmarkEnd w:id="23"/>
    </w:p>
    <w:p w14:paraId="3BD3A4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1、确定中标人</w:t>
      </w:r>
    </w:p>
    <w:p w14:paraId="56108DB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1-1、评标委员会向采购人提出书面评标报告并推荐合格的中标候选人。采购人根据评标委员会提交的评标报告和采购代理机构的《中标确认函》确定中标人。</w:t>
      </w:r>
    </w:p>
    <w:p w14:paraId="55819486">
      <w:pPr>
        <w:pageBreakBefore w:val="0"/>
        <w:kinsoku/>
        <w:wordWrap/>
        <w:overflowPunct/>
        <w:topLinePunct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1-2、采购代理机构接到采购人的定标复函后，将中标结果在陕西省政府采购网上进行公告。同时采购代理机构向中标单位发出中标通知书。</w:t>
      </w:r>
    </w:p>
    <w:p w14:paraId="458DDDB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2、采购代理机构不做未中标原因的解释。</w:t>
      </w:r>
    </w:p>
    <w:p w14:paraId="2E86B356">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4" w:name="_Toc30944"/>
      <w:bookmarkStart w:id="25" w:name="_Toc416678743"/>
      <w:bookmarkStart w:id="26" w:name="_Toc416530621"/>
      <w:r>
        <w:rPr>
          <w:rFonts w:hint="eastAsia" w:ascii="仿宋" w:hAnsi="仿宋" w:eastAsia="仿宋" w:cs="仿宋"/>
          <w:b w:val="0"/>
          <w:color w:val="auto"/>
          <w:sz w:val="28"/>
          <w:szCs w:val="28"/>
          <w:highlight w:val="none"/>
        </w:rPr>
        <w:t>七、合同授予</w:t>
      </w:r>
      <w:bookmarkEnd w:id="24"/>
      <w:bookmarkEnd w:id="25"/>
      <w:bookmarkEnd w:id="26"/>
    </w:p>
    <w:p w14:paraId="6F9238E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1、中标通知书是合同的重要组成部分</w:t>
      </w:r>
      <w:r>
        <w:rPr>
          <w:rFonts w:hint="eastAsia" w:ascii="仿宋" w:hAnsi="仿宋" w:eastAsia="仿宋" w:cs="仿宋"/>
          <w:color w:val="auto"/>
          <w:highlight w:val="none"/>
        </w:rPr>
        <w:t>。</w:t>
      </w:r>
    </w:p>
    <w:p w14:paraId="0675B0D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2、招标文件、中标人的投标文件及评议过程中有关的澄清文件均作为合同附件。</w:t>
      </w:r>
    </w:p>
    <w:p w14:paraId="0BB6345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3、签订合同</w:t>
      </w:r>
    </w:p>
    <w:p w14:paraId="6B71488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中标人在收到中标通知书后</w:t>
      </w: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rPr>
        <w:t>个日历日内，应按招标文件的要求与使用单位签订合同。</w:t>
      </w:r>
    </w:p>
    <w:p w14:paraId="790DC580">
      <w:pPr>
        <w:pStyle w:val="7"/>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7" w:name="_Toc194663910"/>
      <w:bookmarkStart w:id="28" w:name="_Toc416678745"/>
      <w:bookmarkStart w:id="29" w:name="_Toc13032"/>
      <w:bookmarkStart w:id="30" w:name="_Toc193126874"/>
      <w:bookmarkStart w:id="31" w:name="_Toc416530623"/>
      <w:bookmarkStart w:id="32" w:name="_Toc193187089"/>
      <w:bookmarkStart w:id="33" w:name="_Toc188808820"/>
      <w:r>
        <w:rPr>
          <w:rFonts w:hint="eastAsia" w:ascii="仿宋" w:hAnsi="仿宋" w:eastAsia="仿宋" w:cs="仿宋"/>
          <w:b w:val="0"/>
          <w:color w:val="auto"/>
          <w:sz w:val="28"/>
          <w:szCs w:val="28"/>
          <w:highlight w:val="none"/>
          <w:lang w:val="en-US" w:eastAsia="zh-CN"/>
        </w:rPr>
        <w:t>八</w:t>
      </w:r>
      <w:r>
        <w:rPr>
          <w:rFonts w:hint="eastAsia" w:ascii="仿宋" w:hAnsi="仿宋" w:eastAsia="仿宋" w:cs="仿宋"/>
          <w:b w:val="0"/>
          <w:color w:val="auto"/>
          <w:sz w:val="28"/>
          <w:szCs w:val="28"/>
          <w:highlight w:val="none"/>
        </w:rPr>
        <w:t>、其他</w:t>
      </w:r>
      <w:bookmarkEnd w:id="27"/>
      <w:bookmarkEnd w:id="28"/>
      <w:bookmarkEnd w:id="29"/>
      <w:bookmarkEnd w:id="30"/>
      <w:bookmarkEnd w:id="31"/>
      <w:bookmarkEnd w:id="32"/>
      <w:bookmarkEnd w:id="33"/>
    </w:p>
    <w:p w14:paraId="76A455C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1、如果发生下列情况采购代理机构将报请监督管理机构批准变更招标方式或重新组织招标：</w:t>
      </w:r>
    </w:p>
    <w:p w14:paraId="30B49F0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1-1、有效</w:t>
      </w:r>
      <w:r>
        <w:rPr>
          <w:rFonts w:hint="eastAsia" w:ascii="仿宋" w:hAnsi="仿宋" w:eastAsia="仿宋" w:cs="仿宋"/>
          <w:color w:val="auto"/>
          <w:sz w:val="28"/>
          <w:szCs w:val="28"/>
          <w:highlight w:val="none"/>
        </w:rPr>
        <w:t>投标人不足三家；</w:t>
      </w:r>
    </w:p>
    <w:p w14:paraId="36A338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1-2、评标委员会三分之二以上的评委认定所有投标报价存在价格不实的现象；</w:t>
      </w:r>
    </w:p>
    <w:p w14:paraId="72D29F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1-3、出现影响招标公正的违法、违规行为的；</w:t>
      </w:r>
    </w:p>
    <w:p w14:paraId="4C7601F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1-4、因重大变故，招标任务取消的。</w:t>
      </w:r>
    </w:p>
    <w:p w14:paraId="24B81C2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2、投标人有下列情况之一的，其投标文件也将按无效文件处理。</w:t>
      </w:r>
    </w:p>
    <w:p w14:paraId="3EAC9C8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2-1、开标现场投标人未签名报到的；</w:t>
      </w:r>
    </w:p>
    <w:p w14:paraId="4EB1A4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2-2、扰乱会场秩序，经劝阻仍无理取闹的；</w:t>
      </w:r>
    </w:p>
    <w:p w14:paraId="19D25AB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2-3、不符合法律、法规和招标文件中规定的其他实质性要求的。</w:t>
      </w:r>
    </w:p>
    <w:p w14:paraId="571E241F">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3、拒绝商业贿赂</w:t>
      </w:r>
    </w:p>
    <w:p w14:paraId="7B0E2A7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遵照陕西省财政厅的规定，采购人、采购代理机构、投标人和评审专家在招投标活动中，都要签订相应的《拒绝政府采购领域商业贿赂承诺书》，并对违反承诺的行为承担全部责任。</w:t>
      </w:r>
    </w:p>
    <w:p w14:paraId="6BE1EAED">
      <w:pPr>
        <w:pageBreakBefore w:val="0"/>
        <w:kinsoku/>
        <w:wordWrap/>
        <w:overflowPunct/>
        <w:topLinePunct w:val="0"/>
        <w:bidi w:val="0"/>
        <w:spacing w:line="540" w:lineRule="exact"/>
        <w:textAlignment w:val="auto"/>
        <w:rPr>
          <w:rFonts w:hint="eastAsia" w:ascii="仿宋" w:hAnsi="仿宋" w:eastAsia="仿宋" w:cs="仿宋"/>
          <w:color w:val="auto"/>
          <w:kern w:val="96"/>
          <w:sz w:val="28"/>
          <w:szCs w:val="28"/>
          <w:highlight w:val="none"/>
        </w:rPr>
      </w:pPr>
      <w:r>
        <w:rPr>
          <w:rFonts w:hint="eastAsia" w:ascii="仿宋" w:hAnsi="仿宋" w:eastAsia="仿宋" w:cs="仿宋"/>
          <w:color w:val="auto"/>
          <w:kern w:val="96"/>
          <w:sz w:val="28"/>
          <w:szCs w:val="28"/>
          <w:highlight w:val="none"/>
        </w:rPr>
        <w:t xml:space="preserve">    4、质疑与投诉</w:t>
      </w:r>
    </w:p>
    <w:p w14:paraId="21C5FFD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34" w:name="_Toc31293"/>
      <w:bookmarkStart w:id="35" w:name="_Toc8613"/>
      <w:r>
        <w:rPr>
          <w:rFonts w:hint="eastAsia" w:ascii="仿宋" w:hAnsi="仿宋" w:eastAsia="仿宋" w:cs="仿宋"/>
          <w:color w:val="auto"/>
          <w:sz w:val="28"/>
          <w:szCs w:val="28"/>
          <w:highlight w:val="none"/>
        </w:rPr>
        <w:t>4-1、质疑</w:t>
      </w:r>
      <w:bookmarkEnd w:id="34"/>
      <w:bookmarkEnd w:id="35"/>
    </w:p>
    <w:p w14:paraId="5CD9FC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投标人对本次招标采购活动有疑问的，按照《中华人民共和国政府采购法》及财政部第94号令的规定处理。</w:t>
      </w:r>
    </w:p>
    <w:p w14:paraId="732F589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4-2、投诉</w:t>
      </w:r>
    </w:p>
    <w:p w14:paraId="7DFA76D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投标人和其他利害关系人认为本次招标采购活动违反法律、法规和规章规定的，有权向有关行政监督机构投诉。</w:t>
      </w:r>
    </w:p>
    <w:p w14:paraId="6A065384">
      <w:pPr>
        <w:pStyle w:val="6"/>
        <w:keepNext/>
        <w:keepLines/>
        <w:pageBreakBefore w:val="0"/>
        <w:widowControl w:val="0"/>
        <w:numPr>
          <w:ilvl w:val="0"/>
          <w:numId w:val="3"/>
        </w:numPr>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sz w:val="40"/>
          <w:szCs w:val="21"/>
          <w:highlight w:val="none"/>
        </w:rPr>
      </w:pPr>
      <w:bookmarkStart w:id="36" w:name="_Toc5132"/>
      <w:r>
        <w:rPr>
          <w:rFonts w:hint="eastAsia" w:ascii="仿宋" w:hAnsi="仿宋" w:eastAsia="仿宋" w:cs="仿宋"/>
          <w:color w:val="auto"/>
          <w:kern w:val="0"/>
          <w:highlight w:val="none"/>
        </w:rPr>
        <w:br w:type="page"/>
      </w:r>
      <w:r>
        <w:rPr>
          <w:rFonts w:hint="eastAsia" w:ascii="仿宋" w:hAnsi="仿宋" w:eastAsia="仿宋" w:cs="仿宋"/>
          <w:color w:val="auto"/>
          <w:kern w:val="0"/>
          <w:highlight w:val="none"/>
        </w:rPr>
        <w:t xml:space="preserve"> </w:t>
      </w:r>
      <w:bookmarkStart w:id="37" w:name="_Toc21689"/>
      <w:r>
        <w:rPr>
          <w:rFonts w:hint="eastAsia" w:ascii="仿宋" w:hAnsi="仿宋" w:eastAsia="仿宋" w:cs="仿宋"/>
          <w:color w:val="auto"/>
          <w:kern w:val="0"/>
          <w:highlight w:val="none"/>
        </w:rPr>
        <w:t>采购内容及技术要求</w:t>
      </w:r>
      <w:bookmarkEnd w:id="17"/>
      <w:bookmarkEnd w:id="36"/>
      <w:bookmarkEnd w:id="37"/>
    </w:p>
    <w:p w14:paraId="3ED1A994">
      <w:pPr>
        <w:rPr>
          <w:rFonts w:hint="eastAsia" w:ascii="仿宋" w:hAnsi="仿宋" w:eastAsia="仿宋" w:cs="仿宋"/>
          <w:color w:val="E54C5E" w:themeColor="accent6"/>
          <w14:textFill>
            <w14:solidFill>
              <w14:schemeClr w14:val="accent6"/>
            </w14:solidFill>
          </w14:textFill>
        </w:rPr>
      </w:pPr>
      <w:bookmarkStart w:id="38" w:name="_Toc29691"/>
      <w:bookmarkStart w:id="39" w:name="_Toc416530626"/>
    </w:p>
    <w:p w14:paraId="2C1515CE">
      <w:pPr>
        <w:pageBreakBefore w:val="0"/>
        <w:kinsoku/>
        <w:wordWrap/>
        <w:overflowPunct/>
        <w:topLinePunct w:val="0"/>
        <w:bidi w:val="0"/>
        <w:snapToGrid/>
        <w:spacing w:line="560" w:lineRule="exact"/>
        <w:ind w:firstLine="562" w:firstLineChars="200"/>
        <w:jc w:val="both"/>
        <w:textAlignment w:val="baseline"/>
        <w:rPr>
          <w:rFonts w:hint="eastAsia" w:ascii="仿宋" w:hAnsi="仿宋" w:eastAsia="仿宋" w:cs="仿宋"/>
          <w:b/>
          <w:bCs/>
          <w:color w:val="000000"/>
          <w:sz w:val="28"/>
          <w:szCs w:val="18"/>
          <w:lang w:val="en-US" w:eastAsia="zh-CN"/>
        </w:rPr>
      </w:pPr>
      <w:r>
        <w:rPr>
          <w:rFonts w:hint="eastAsia" w:ascii="仿宋" w:hAnsi="仿宋" w:eastAsia="仿宋" w:cs="仿宋"/>
          <w:b/>
          <w:bCs/>
          <w:color w:val="000000"/>
          <w:sz w:val="28"/>
          <w:szCs w:val="18"/>
          <w:lang w:val="en-US" w:eastAsia="zh-CN"/>
        </w:rPr>
        <w:t>一、项目概况</w:t>
      </w:r>
    </w:p>
    <w:p w14:paraId="17831DF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根据中共吴起县委办公室、吴起县人民政府办公室关于印发《吴起县优质肉牛产业三年行动方案(试行)》的通知（吴办字</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w:t>
      </w:r>
      <w:r>
        <w:rPr>
          <w:rFonts w:hint="eastAsia" w:ascii="仿宋" w:hAnsi="仿宋" w:eastAsia="仿宋" w:cs="仿宋"/>
          <w:sz w:val="28"/>
          <w:szCs w:val="28"/>
          <w:lang w:val="en-US" w:eastAsia="zh-CN"/>
        </w:rPr>
        <w:t>47号</w:t>
      </w:r>
      <w:r>
        <w:rPr>
          <w:rFonts w:hint="eastAsia" w:ascii="仿宋" w:hAnsi="仿宋" w:eastAsia="仿宋" w:cs="仿宋"/>
          <w:color w:val="auto"/>
          <w:sz w:val="28"/>
          <w:szCs w:val="28"/>
          <w:lang w:val="en-US" w:eastAsia="zh-CN"/>
        </w:rPr>
        <w:t>）和《扶持农业产业发展的若干措施》的通知（吴办字</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w:t>
      </w:r>
      <w:r>
        <w:rPr>
          <w:rFonts w:hint="eastAsia" w:ascii="仿宋" w:hAnsi="仿宋" w:eastAsia="仿宋" w:cs="仿宋"/>
          <w:sz w:val="28"/>
          <w:szCs w:val="28"/>
          <w:lang w:val="en-US" w:eastAsia="zh-CN"/>
        </w:rPr>
        <w:t>7号</w:t>
      </w:r>
      <w:r>
        <w:rPr>
          <w:rFonts w:hint="eastAsia" w:ascii="仿宋" w:hAnsi="仿宋" w:eastAsia="仿宋" w:cs="仿宋"/>
          <w:color w:val="auto"/>
          <w:sz w:val="28"/>
          <w:szCs w:val="28"/>
          <w:lang w:val="en-US" w:eastAsia="zh-CN"/>
        </w:rPr>
        <w:t>）要求，为积极推进方案实施，促进养牛积极性，吴起县畜牧兽医服务中心预采购93人次村级动物防疫人员保险</w:t>
      </w:r>
      <w:r>
        <w:rPr>
          <w:rFonts w:hint="eastAsia" w:ascii="仿宋" w:hAnsi="仿宋" w:eastAsia="仿宋" w:cs="仿宋"/>
          <w:color w:val="auto"/>
          <w:kern w:val="2"/>
          <w:sz w:val="28"/>
          <w:szCs w:val="28"/>
          <w:highlight w:val="none"/>
          <w:lang w:val="en-US" w:eastAsia="zh-CN" w:bidi="ar-SA"/>
        </w:rPr>
        <w:t>（意外身故/伤残/医疗）</w:t>
      </w:r>
      <w:r>
        <w:rPr>
          <w:rFonts w:hint="eastAsia" w:ascii="仿宋" w:hAnsi="仿宋" w:eastAsia="仿宋" w:cs="仿宋"/>
          <w:color w:val="auto"/>
          <w:sz w:val="28"/>
          <w:szCs w:val="28"/>
          <w:lang w:val="en-US" w:eastAsia="zh-CN"/>
        </w:rPr>
        <w:t>，5000头能繁母牛保险和5000头肉犊牛保险，12月龄以上能繁母牛每头最高保额12000元。20日龄-240日龄肉犊牛每头最高保额4000元。</w:t>
      </w:r>
    </w:p>
    <w:p w14:paraId="476021A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因投保数量巨大，保险任务繁重，为了更好的提供保险服务，根据县委、县政府指示精神，引进竞争机制，向养殖场农户提供兜底服务，根据镇街地域情况，将9个镇街养殖场的能繁母牛、肉犊牛和村级动物防疫员保险划分为三个标段。</w:t>
      </w:r>
    </w:p>
    <w:p w14:paraId="37BAC5C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三标段采购内容如下：</w:t>
      </w:r>
    </w:p>
    <w:p w14:paraId="2CDA84B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p>
    <w:tbl>
      <w:tblPr>
        <w:tblStyle w:val="20"/>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2481"/>
        <w:gridCol w:w="2483"/>
        <w:gridCol w:w="2506"/>
      </w:tblGrid>
      <w:tr w14:paraId="094F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restart"/>
            <w:shd w:val="clear" w:color="auto" w:fill="auto"/>
            <w:vAlign w:val="center"/>
          </w:tcPr>
          <w:p w14:paraId="3DE6BC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标段</w:t>
            </w:r>
          </w:p>
        </w:tc>
        <w:tc>
          <w:tcPr>
            <w:tcW w:w="1248" w:type="pct"/>
            <w:vMerge w:val="restart"/>
            <w:shd w:val="clear" w:color="auto" w:fill="auto"/>
            <w:vAlign w:val="center"/>
          </w:tcPr>
          <w:p w14:paraId="07712D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镇（街道）</w:t>
            </w:r>
          </w:p>
        </w:tc>
        <w:tc>
          <w:tcPr>
            <w:tcW w:w="2508" w:type="pct"/>
            <w:gridSpan w:val="2"/>
            <w:vAlign w:val="center"/>
          </w:tcPr>
          <w:p w14:paraId="3C33E240">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sz w:val="24"/>
                <w:szCs w:val="24"/>
                <w:vertAlign w:val="baseline"/>
                <w:lang w:val="en-US" w:eastAsia="zh-CN"/>
              </w:rPr>
              <w:t>采购保险服务数量</w:t>
            </w:r>
          </w:p>
        </w:tc>
      </w:tr>
      <w:tr w14:paraId="2FF9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continue"/>
            <w:vAlign w:val="center"/>
          </w:tcPr>
          <w:p w14:paraId="685BB75C">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8" w:type="pct"/>
            <w:vMerge w:val="continue"/>
            <w:vAlign w:val="center"/>
          </w:tcPr>
          <w:p w14:paraId="6BF23FBA">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9" w:type="pct"/>
            <w:shd w:val="clear" w:color="auto" w:fill="auto"/>
            <w:vAlign w:val="center"/>
          </w:tcPr>
          <w:p w14:paraId="284C50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母牛</w:t>
            </w:r>
          </w:p>
        </w:tc>
        <w:tc>
          <w:tcPr>
            <w:tcW w:w="1259" w:type="pct"/>
            <w:shd w:val="clear" w:color="auto" w:fill="auto"/>
            <w:vAlign w:val="center"/>
          </w:tcPr>
          <w:p w14:paraId="56B5EC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犊牛</w:t>
            </w:r>
          </w:p>
        </w:tc>
      </w:tr>
      <w:tr w14:paraId="137B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restart"/>
            <w:vAlign w:val="center"/>
          </w:tcPr>
          <w:p w14:paraId="249651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sz w:val="24"/>
                <w:szCs w:val="24"/>
                <w:vertAlign w:val="baseline"/>
                <w:lang w:val="en-US" w:eastAsia="zh-CN"/>
              </w:rPr>
              <w:t>三标段</w:t>
            </w:r>
          </w:p>
        </w:tc>
        <w:tc>
          <w:tcPr>
            <w:tcW w:w="1248" w:type="pct"/>
            <w:shd w:val="clear" w:color="auto" w:fill="auto"/>
            <w:vAlign w:val="center"/>
          </w:tcPr>
          <w:p w14:paraId="1AA7CA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白 豹 镇</w:t>
            </w:r>
          </w:p>
        </w:tc>
        <w:tc>
          <w:tcPr>
            <w:tcW w:w="1249" w:type="pct"/>
            <w:vMerge w:val="restart"/>
            <w:shd w:val="clear" w:color="auto" w:fill="auto"/>
            <w:vAlign w:val="center"/>
          </w:tcPr>
          <w:p w14:paraId="57684D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1100头</w:t>
            </w:r>
          </w:p>
        </w:tc>
        <w:tc>
          <w:tcPr>
            <w:tcW w:w="1259" w:type="pct"/>
            <w:vMerge w:val="restart"/>
            <w:shd w:val="clear" w:color="auto" w:fill="auto"/>
            <w:vAlign w:val="center"/>
          </w:tcPr>
          <w:p w14:paraId="7C1EB4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1100头</w:t>
            </w:r>
          </w:p>
        </w:tc>
      </w:tr>
      <w:tr w14:paraId="18E4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continue"/>
            <w:vAlign w:val="center"/>
          </w:tcPr>
          <w:p w14:paraId="60B0DAFE">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48" w:type="pct"/>
            <w:shd w:val="clear" w:color="auto" w:fill="auto"/>
            <w:vAlign w:val="center"/>
          </w:tcPr>
          <w:p w14:paraId="799146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长官庙镇</w:t>
            </w:r>
          </w:p>
        </w:tc>
        <w:tc>
          <w:tcPr>
            <w:tcW w:w="1249" w:type="pct"/>
            <w:vMerge w:val="continue"/>
            <w:vAlign w:val="center"/>
          </w:tcPr>
          <w:p w14:paraId="297EE78B">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1259" w:type="pct"/>
            <w:vMerge w:val="continue"/>
            <w:vAlign w:val="center"/>
          </w:tcPr>
          <w:p w14:paraId="15622927">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r>
      <w:tr w14:paraId="0215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pct"/>
            <w:vMerge w:val="continue"/>
            <w:vAlign w:val="center"/>
          </w:tcPr>
          <w:p w14:paraId="03516BC3">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p>
        </w:tc>
        <w:tc>
          <w:tcPr>
            <w:tcW w:w="3757" w:type="pct"/>
            <w:gridSpan w:val="3"/>
            <w:shd w:val="clear" w:color="auto" w:fill="auto"/>
            <w:vAlign w:val="center"/>
          </w:tcPr>
          <w:p w14:paraId="732FABA9">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sz w:val="24"/>
                <w:szCs w:val="24"/>
                <w:vertAlign w:val="baseline"/>
                <w:lang w:val="en-US" w:eastAsia="zh-CN"/>
              </w:rPr>
              <w:t>村级防疫员93人</w:t>
            </w:r>
          </w:p>
        </w:tc>
      </w:tr>
    </w:tbl>
    <w:p w14:paraId="0EE174A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w:t>
      </w:r>
      <w:r>
        <w:rPr>
          <w:rFonts w:hint="eastAsia" w:ascii="仿宋" w:hAnsi="仿宋" w:eastAsia="仿宋" w:cs="仿宋"/>
          <w:color w:val="FF0000"/>
          <w:sz w:val="28"/>
          <w:szCs w:val="28"/>
          <w:lang w:val="en-US" w:eastAsia="zh-CN"/>
        </w:rPr>
        <w:t>2025年12月31日前完成目标任务，保障期限：</w:t>
      </w:r>
      <w:r>
        <w:rPr>
          <w:rFonts w:hint="eastAsia" w:ascii="仿宋" w:hAnsi="仿宋" w:eastAsia="仿宋" w:cs="仿宋"/>
          <w:color w:val="FF0000"/>
          <w:sz w:val="28"/>
          <w:szCs w:val="28"/>
          <w:lang w:val="en-US" w:eastAsia="zh-CN"/>
        </w:rPr>
        <w:fldChar w:fldCharType="begin"/>
      </w:r>
      <w:r>
        <w:rPr>
          <w:rFonts w:hint="eastAsia" w:ascii="仿宋" w:hAnsi="仿宋" w:eastAsia="仿宋" w:cs="仿宋"/>
          <w:color w:val="FF0000"/>
          <w:sz w:val="28"/>
          <w:szCs w:val="28"/>
          <w:lang w:val="en-US" w:eastAsia="zh-CN"/>
        </w:rPr>
        <w:instrText xml:space="preserve"> HYPERLINK "https://www.shenlanbao.com/he/424047" \t "https://www.shenlanbao.com/zhishi/_blank" </w:instrText>
      </w:r>
      <w:r>
        <w:rPr>
          <w:rFonts w:hint="eastAsia" w:ascii="仿宋" w:hAnsi="仿宋" w:eastAsia="仿宋" w:cs="仿宋"/>
          <w:color w:val="FF0000"/>
          <w:sz w:val="28"/>
          <w:szCs w:val="28"/>
          <w:lang w:val="en-US" w:eastAsia="zh-CN"/>
        </w:rPr>
        <w:fldChar w:fldCharType="separate"/>
      </w:r>
      <w:r>
        <w:rPr>
          <w:rFonts w:hint="eastAsia" w:ascii="仿宋" w:hAnsi="仿宋" w:eastAsia="仿宋" w:cs="仿宋"/>
          <w:color w:val="FF0000"/>
          <w:sz w:val="28"/>
          <w:szCs w:val="28"/>
          <w:lang w:val="en-US" w:eastAsia="zh-CN"/>
        </w:rPr>
        <w:t>保险生效起1</w:t>
      </w:r>
      <w:r>
        <w:rPr>
          <w:rFonts w:hint="eastAsia" w:ascii="仿宋" w:hAnsi="仿宋" w:eastAsia="仿宋" w:cs="仿宋"/>
          <w:color w:val="FF0000"/>
          <w:sz w:val="28"/>
          <w:szCs w:val="28"/>
          <w:lang w:val="en-US" w:eastAsia="zh-CN"/>
        </w:rPr>
        <w:fldChar w:fldCharType="end"/>
      </w:r>
      <w:r>
        <w:rPr>
          <w:rFonts w:hint="eastAsia" w:ascii="仿宋" w:hAnsi="仿宋" w:eastAsia="仿宋" w:cs="仿宋"/>
          <w:color w:val="FF0000"/>
          <w:sz w:val="28"/>
          <w:szCs w:val="28"/>
          <w:lang w:val="en-US" w:eastAsia="zh-CN"/>
        </w:rPr>
        <w:t>年，除另有约定外，以</w:t>
      </w:r>
      <w:r>
        <w:rPr>
          <w:rFonts w:hint="eastAsia" w:ascii="仿宋" w:hAnsi="仿宋" w:eastAsia="仿宋" w:cs="仿宋"/>
          <w:color w:val="FF0000"/>
          <w:sz w:val="28"/>
          <w:szCs w:val="28"/>
          <w:lang w:val="en-US" w:eastAsia="zh-CN"/>
        </w:rPr>
        <w:fldChar w:fldCharType="begin"/>
      </w:r>
      <w:r>
        <w:rPr>
          <w:rFonts w:hint="eastAsia" w:ascii="仿宋" w:hAnsi="仿宋" w:eastAsia="仿宋" w:cs="仿宋"/>
          <w:color w:val="FF0000"/>
          <w:sz w:val="28"/>
          <w:szCs w:val="28"/>
          <w:lang w:val="en-US" w:eastAsia="zh-CN"/>
        </w:rPr>
        <w:instrText xml:space="preserve"> HYPERLINK "https://www.shenlanbao.com/he/316165" \t "https://www.shenlanbao.com/zhishi/_blank" </w:instrText>
      </w:r>
      <w:r>
        <w:rPr>
          <w:rFonts w:hint="eastAsia" w:ascii="仿宋" w:hAnsi="仿宋" w:eastAsia="仿宋" w:cs="仿宋"/>
          <w:color w:val="FF0000"/>
          <w:sz w:val="28"/>
          <w:szCs w:val="28"/>
          <w:lang w:val="en-US" w:eastAsia="zh-CN"/>
        </w:rPr>
        <w:fldChar w:fldCharType="separate"/>
      </w:r>
      <w:r>
        <w:rPr>
          <w:rFonts w:hint="eastAsia" w:ascii="仿宋" w:hAnsi="仿宋" w:eastAsia="仿宋" w:cs="仿宋"/>
          <w:color w:val="FF0000"/>
          <w:sz w:val="28"/>
          <w:szCs w:val="28"/>
          <w:lang w:val="en-US" w:eastAsia="zh-CN"/>
        </w:rPr>
        <w:t>保险单</w:t>
      </w:r>
      <w:r>
        <w:rPr>
          <w:rFonts w:hint="eastAsia" w:ascii="仿宋" w:hAnsi="仿宋" w:eastAsia="仿宋" w:cs="仿宋"/>
          <w:color w:val="FF0000"/>
          <w:sz w:val="28"/>
          <w:szCs w:val="28"/>
          <w:lang w:val="en-US" w:eastAsia="zh-CN"/>
        </w:rPr>
        <w:fldChar w:fldCharType="end"/>
      </w:r>
      <w:r>
        <w:rPr>
          <w:rFonts w:hint="eastAsia" w:ascii="仿宋" w:hAnsi="仿宋" w:eastAsia="仿宋" w:cs="仿宋"/>
          <w:color w:val="FF0000"/>
          <w:sz w:val="28"/>
          <w:szCs w:val="28"/>
          <w:lang w:val="en-US" w:eastAsia="zh-CN"/>
        </w:rPr>
        <w:t>载明的起讫时间为准</w:t>
      </w:r>
      <w:r>
        <w:rPr>
          <w:rFonts w:hint="eastAsia" w:ascii="仿宋" w:hAnsi="仿宋" w:eastAsia="仿宋" w:cs="仿宋"/>
          <w:color w:val="auto"/>
          <w:sz w:val="28"/>
          <w:szCs w:val="28"/>
          <w:lang w:val="en-US" w:eastAsia="zh-CN"/>
        </w:rPr>
        <w:t xml:space="preserve">。 </w:t>
      </w:r>
    </w:p>
    <w:p w14:paraId="55997B31">
      <w:pPr>
        <w:keepNext w:val="0"/>
        <w:keepLines w:val="0"/>
        <w:pageBreakBefore w:val="0"/>
        <w:kinsoku/>
        <w:wordWrap/>
        <w:overflowPunct/>
        <w:topLinePunct w:val="0"/>
        <w:bidi w:val="0"/>
        <w:snapToGrid/>
        <w:spacing w:line="574" w:lineRule="exact"/>
        <w:ind w:firstLine="562" w:firstLineChars="200"/>
        <w:jc w:val="both"/>
        <w:textAlignment w:val="baseline"/>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二、保险责任</w:t>
      </w:r>
    </w:p>
    <w:p w14:paraId="6853FED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（一）、</w:t>
      </w:r>
      <w:r>
        <w:rPr>
          <w:rFonts w:hint="eastAsia" w:ascii="仿宋" w:hAnsi="仿宋" w:eastAsia="仿宋" w:cs="仿宋"/>
          <w:color w:val="auto"/>
          <w:sz w:val="28"/>
          <w:szCs w:val="28"/>
          <w:lang w:val="en-US" w:eastAsia="zh-CN"/>
        </w:rPr>
        <w:t>在保险期间内，由于下列原因直接造成保险母牛、犊牛死亡，保险人按照本保险合同的约定负责赔偿：</w:t>
      </w:r>
    </w:p>
    <w:p w14:paraId="33E3499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1、疾病、疫病</w:t>
      </w:r>
      <w:r>
        <w:rPr>
          <w:rFonts w:hint="eastAsia" w:ascii="仿宋" w:hAnsi="仿宋" w:eastAsia="仿宋" w:cs="仿宋"/>
          <w:color w:val="auto"/>
          <w:sz w:val="28"/>
          <w:szCs w:val="28"/>
          <w:lang w:val="zh-CN" w:eastAsia="zh-CN"/>
        </w:rPr>
        <w:t>；</w:t>
      </w:r>
    </w:p>
    <w:p w14:paraId="68F0857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eastAsia="zh-CN"/>
        </w:rPr>
        <w:t>洪水</w:t>
      </w:r>
      <w:r>
        <w:rPr>
          <w:rFonts w:hint="eastAsia" w:ascii="仿宋" w:hAnsi="仿宋" w:eastAsia="仿宋" w:cs="仿宋"/>
          <w:color w:val="auto"/>
          <w:sz w:val="28"/>
          <w:szCs w:val="28"/>
          <w:lang w:val="en-US" w:eastAsia="zh-CN"/>
        </w:rPr>
        <w:t>（政府行蓄洪除外）</w:t>
      </w:r>
      <w:r>
        <w:rPr>
          <w:rFonts w:hint="eastAsia" w:ascii="仿宋" w:hAnsi="仿宋" w:eastAsia="仿宋" w:cs="仿宋"/>
          <w:color w:val="auto"/>
          <w:sz w:val="28"/>
          <w:szCs w:val="28"/>
          <w:lang w:val="zh-CN" w:eastAsia="zh-CN"/>
        </w:rPr>
        <w:t>、雷击、暴风、暴雨、雹灾、雪灾、地陷、崖崩等自然灾害；</w:t>
      </w:r>
    </w:p>
    <w:p w14:paraId="0E7B436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eastAsia="zh-CN"/>
        </w:rPr>
        <w:t>火灾、爆炸、触电、空中飞行物体的坠落或建筑物体倒塌等意外事故；</w:t>
      </w:r>
    </w:p>
    <w:p w14:paraId="74F092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4、坠崖、胎产死亡</w:t>
      </w:r>
      <w:r>
        <w:rPr>
          <w:rFonts w:hint="eastAsia" w:ascii="仿宋" w:hAnsi="仿宋" w:eastAsia="仿宋" w:cs="仿宋"/>
          <w:color w:val="auto"/>
          <w:sz w:val="28"/>
          <w:szCs w:val="28"/>
          <w:lang w:val="zh-CN" w:eastAsia="zh-CN"/>
        </w:rPr>
        <w:t>；</w:t>
      </w:r>
    </w:p>
    <w:p w14:paraId="7AE4163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CN" w:eastAsia="zh-CN"/>
        </w:rPr>
        <w:t>野生动物毁损。</w:t>
      </w:r>
    </w:p>
    <w:p w14:paraId="763DE6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（二）、在保险期间内，由于发生高传染性疫病（</w:t>
      </w:r>
      <w:r>
        <w:rPr>
          <w:rFonts w:hint="eastAsia" w:ascii="仿宋" w:hAnsi="仿宋" w:eastAsia="仿宋" w:cs="仿宋"/>
          <w:color w:val="auto"/>
          <w:sz w:val="28"/>
          <w:szCs w:val="28"/>
          <w:lang w:val="zh-CN" w:eastAsia="zh-CN"/>
        </w:rPr>
        <w:t>口蹄疫、布鲁氏菌病、牛结核病、牛焦虫病、炭疽、伪狂犬病、副结核病、牛传染性鼻气管炎、牛出血性败血症、日本血吸虫病</w:t>
      </w:r>
      <w:r>
        <w:rPr>
          <w:rFonts w:hint="eastAsia" w:ascii="仿宋" w:hAnsi="仿宋" w:eastAsia="仿宋" w:cs="仿宋"/>
          <w:color w:val="auto"/>
          <w:sz w:val="28"/>
          <w:szCs w:val="28"/>
          <w:lang w:val="en-US" w:eastAsia="zh-CN"/>
        </w:rPr>
        <w:t>等），政府实施强制扑杀导致保险母牛死亡，保险人也负责赔偿，但赔偿金额以保险金额扣减政府扑杀专项补贴金额的差额为限。</w:t>
      </w:r>
    </w:p>
    <w:p w14:paraId="2C77993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三、保险责任要求：</w:t>
      </w:r>
    </w:p>
    <w:p w14:paraId="3D784B8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相关部门和镇街共同验收合格的能繁母牛和肉犊牛，保险机构在收到投保农户完整相关资料后，在2个工作日内必须出具保单，保险机构对农户投保原则上应采取分户保险、一户一单模式。因特殊原因难以实现却需采取多户同一保单的，应在保单中详细载明被保农户相关信息并利用短信等形式通知到每一位参保农户，同时进行公示(公示内容包括：参保农户姓名、参保品种、参保数量、保费缴纳数额、保险金额等）。接到保险报案后，保险机构需在10-15个工作日完成勘察、定损、公示、赔付（投保农户资料齐全）。如发生高传染性动物疫情、政府实施强制扑杀等特殊情况时，赔付时间最长不得超过60个工作日。进行理赔前，必须要有病死动物无害化处理相关证明。保险机构按合同约定期限完成任务后，填报《政策性农业保险业务单》及其汇总表，由采购方盖章确认。保险机构根据开具保单数据按品种采购方主管部门提出农业保险补贴资金拨款申请，主管部门根据保险机构提交的拨款申请，对保险数据进行全面审核（包括实地核实和资料审核等）后，县财政局再对拨款申请进行合规性审核以及随机抽查性核实，根据县财政国库资金调度情况，将农业保险补贴资金拨付相应主管部门，由主管部门拨付到承保机构。</w:t>
      </w:r>
    </w:p>
    <w:p w14:paraId="05EA4C54">
      <w:pPr>
        <w:rPr>
          <w:rFonts w:hint="eastAsia" w:ascii="仿宋" w:hAnsi="仿宋" w:eastAsia="仿宋" w:cs="仿宋"/>
          <w:color w:val="E54C5E" w:themeColor="accent6"/>
          <w14:textFill>
            <w14:solidFill>
              <w14:schemeClr w14:val="accent6"/>
            </w14:solidFill>
          </w14:textFill>
        </w:rPr>
      </w:pPr>
    </w:p>
    <w:p w14:paraId="2C84FF5B">
      <w:pPr>
        <w:rPr>
          <w:rFonts w:hint="eastAsia" w:ascii="仿宋" w:hAnsi="仿宋" w:eastAsia="仿宋" w:cs="仿宋"/>
          <w:color w:val="E54C5E" w:themeColor="accent6"/>
          <w14:textFill>
            <w14:solidFill>
              <w14:schemeClr w14:val="accent6"/>
            </w14:solidFill>
          </w14:textFill>
        </w:rPr>
      </w:pPr>
    </w:p>
    <w:p w14:paraId="405078AD">
      <w:pPr>
        <w:rPr>
          <w:rFonts w:hint="eastAsia" w:ascii="仿宋" w:hAnsi="仿宋" w:eastAsia="仿宋" w:cs="仿宋"/>
          <w:color w:val="E54C5E" w:themeColor="accent6"/>
          <w14:textFill>
            <w14:solidFill>
              <w14:schemeClr w14:val="accent6"/>
            </w14:solidFill>
          </w14:textFill>
        </w:rPr>
      </w:pPr>
    </w:p>
    <w:p w14:paraId="3D616945">
      <w:pPr>
        <w:rPr>
          <w:rFonts w:hint="eastAsia" w:ascii="仿宋" w:hAnsi="仿宋" w:eastAsia="仿宋" w:cs="仿宋"/>
          <w:color w:val="E54C5E" w:themeColor="accent6"/>
          <w14:textFill>
            <w14:solidFill>
              <w14:schemeClr w14:val="accent6"/>
            </w14:solidFill>
          </w14:textFill>
        </w:rPr>
      </w:pPr>
    </w:p>
    <w:p w14:paraId="2000D29D">
      <w:pPr>
        <w:rPr>
          <w:rFonts w:hint="eastAsia" w:ascii="仿宋" w:hAnsi="仿宋" w:eastAsia="仿宋" w:cs="仿宋"/>
          <w:color w:val="E54C5E" w:themeColor="accent6"/>
          <w14:textFill>
            <w14:solidFill>
              <w14:schemeClr w14:val="accent6"/>
            </w14:solidFill>
          </w14:textFill>
        </w:rPr>
      </w:pPr>
    </w:p>
    <w:p w14:paraId="16B54120">
      <w:pPr>
        <w:rPr>
          <w:rFonts w:hint="eastAsia" w:ascii="仿宋" w:hAnsi="仿宋" w:eastAsia="仿宋" w:cs="仿宋"/>
          <w:color w:val="E54C5E" w:themeColor="accent6"/>
          <w14:textFill>
            <w14:solidFill>
              <w14:schemeClr w14:val="accent6"/>
            </w14:solidFill>
          </w14:textFill>
        </w:rPr>
      </w:pPr>
    </w:p>
    <w:p w14:paraId="6F544826">
      <w:pPr>
        <w:rPr>
          <w:rFonts w:hint="eastAsia" w:ascii="仿宋" w:hAnsi="仿宋" w:eastAsia="仿宋" w:cs="仿宋"/>
          <w:color w:val="E54C5E" w:themeColor="accent6"/>
          <w14:textFill>
            <w14:solidFill>
              <w14:schemeClr w14:val="accent6"/>
            </w14:solidFill>
          </w14:textFill>
        </w:rPr>
      </w:pPr>
    </w:p>
    <w:p w14:paraId="589910C3">
      <w:pPr>
        <w:rPr>
          <w:rFonts w:hint="eastAsia" w:ascii="仿宋" w:hAnsi="仿宋" w:eastAsia="仿宋" w:cs="仿宋"/>
          <w:color w:val="E54C5E" w:themeColor="accent6"/>
          <w14:textFill>
            <w14:solidFill>
              <w14:schemeClr w14:val="accent6"/>
            </w14:solidFill>
          </w14:textFill>
        </w:rPr>
      </w:pPr>
    </w:p>
    <w:p w14:paraId="2810859A">
      <w:pPr>
        <w:rPr>
          <w:rFonts w:hint="eastAsia" w:ascii="仿宋" w:hAnsi="仿宋" w:eastAsia="仿宋" w:cs="仿宋"/>
          <w:color w:val="E54C5E" w:themeColor="accent6"/>
          <w14:textFill>
            <w14:solidFill>
              <w14:schemeClr w14:val="accent6"/>
            </w14:solidFill>
          </w14:textFill>
        </w:rPr>
      </w:pPr>
    </w:p>
    <w:p w14:paraId="3793F75E">
      <w:pPr>
        <w:rPr>
          <w:rFonts w:hint="eastAsia" w:ascii="仿宋" w:hAnsi="仿宋" w:eastAsia="仿宋" w:cs="仿宋"/>
          <w:color w:val="E54C5E" w:themeColor="accent6"/>
          <w14:textFill>
            <w14:solidFill>
              <w14:schemeClr w14:val="accent6"/>
            </w14:solidFill>
          </w14:textFill>
        </w:rPr>
      </w:pPr>
    </w:p>
    <w:p w14:paraId="440DD508">
      <w:pPr>
        <w:rPr>
          <w:rFonts w:hint="eastAsia" w:ascii="仿宋" w:hAnsi="仿宋" w:eastAsia="仿宋" w:cs="仿宋"/>
          <w:color w:val="E54C5E" w:themeColor="accent6"/>
          <w14:textFill>
            <w14:solidFill>
              <w14:schemeClr w14:val="accent6"/>
            </w14:solidFill>
          </w14:textFill>
        </w:rPr>
      </w:pPr>
    </w:p>
    <w:p w14:paraId="0FC5E4AD">
      <w:pPr>
        <w:rPr>
          <w:rFonts w:hint="eastAsia" w:ascii="仿宋" w:hAnsi="仿宋" w:eastAsia="仿宋" w:cs="仿宋"/>
          <w:color w:val="E54C5E" w:themeColor="accent6"/>
          <w14:textFill>
            <w14:solidFill>
              <w14:schemeClr w14:val="accent6"/>
            </w14:solidFill>
          </w14:textFill>
        </w:rPr>
      </w:pPr>
    </w:p>
    <w:p w14:paraId="188EACE7">
      <w:pPr>
        <w:rPr>
          <w:rFonts w:hint="eastAsia" w:ascii="仿宋" w:hAnsi="仿宋" w:eastAsia="仿宋" w:cs="仿宋"/>
          <w:color w:val="E54C5E" w:themeColor="accent6"/>
          <w14:textFill>
            <w14:solidFill>
              <w14:schemeClr w14:val="accent6"/>
            </w14:solidFill>
          </w14:textFill>
        </w:rPr>
      </w:pPr>
    </w:p>
    <w:p w14:paraId="1952CDAF">
      <w:pPr>
        <w:rPr>
          <w:rFonts w:hint="eastAsia" w:ascii="仿宋" w:hAnsi="仿宋" w:eastAsia="仿宋" w:cs="仿宋"/>
          <w:color w:val="E54C5E" w:themeColor="accent6"/>
          <w14:textFill>
            <w14:solidFill>
              <w14:schemeClr w14:val="accent6"/>
            </w14:solidFill>
          </w14:textFill>
        </w:rPr>
      </w:pPr>
    </w:p>
    <w:p w14:paraId="79433AC9">
      <w:pPr>
        <w:rPr>
          <w:rFonts w:hint="eastAsia" w:ascii="仿宋" w:hAnsi="仿宋" w:eastAsia="仿宋" w:cs="仿宋"/>
          <w:color w:val="E54C5E" w:themeColor="accent6"/>
          <w14:textFill>
            <w14:solidFill>
              <w14:schemeClr w14:val="accent6"/>
            </w14:solidFill>
          </w14:textFill>
        </w:rPr>
      </w:pPr>
    </w:p>
    <w:p w14:paraId="741E4732">
      <w:pPr>
        <w:rPr>
          <w:rFonts w:hint="eastAsia" w:ascii="仿宋" w:hAnsi="仿宋" w:eastAsia="仿宋" w:cs="仿宋"/>
          <w:color w:val="E54C5E" w:themeColor="accent6"/>
          <w14:textFill>
            <w14:solidFill>
              <w14:schemeClr w14:val="accent6"/>
            </w14:solidFill>
          </w14:textFill>
        </w:rPr>
      </w:pPr>
    </w:p>
    <w:p w14:paraId="61DFEF94">
      <w:pPr>
        <w:rPr>
          <w:rFonts w:hint="eastAsia" w:ascii="仿宋" w:hAnsi="仿宋" w:eastAsia="仿宋" w:cs="仿宋"/>
          <w:color w:val="E54C5E" w:themeColor="accent6"/>
          <w14:textFill>
            <w14:solidFill>
              <w14:schemeClr w14:val="accent6"/>
            </w14:solidFill>
          </w14:textFill>
        </w:rPr>
      </w:pPr>
    </w:p>
    <w:p w14:paraId="787B0829">
      <w:pPr>
        <w:rPr>
          <w:rFonts w:hint="eastAsia" w:ascii="仿宋" w:hAnsi="仿宋" w:eastAsia="仿宋" w:cs="仿宋"/>
          <w:color w:val="E54C5E" w:themeColor="accent6"/>
          <w14:textFill>
            <w14:solidFill>
              <w14:schemeClr w14:val="accent6"/>
            </w14:solidFill>
          </w14:textFill>
        </w:rPr>
      </w:pPr>
    </w:p>
    <w:p w14:paraId="162D2175">
      <w:pPr>
        <w:rPr>
          <w:rFonts w:hint="eastAsia" w:ascii="仿宋" w:hAnsi="仿宋" w:eastAsia="仿宋" w:cs="仿宋"/>
          <w:color w:val="E54C5E" w:themeColor="accent6"/>
          <w14:textFill>
            <w14:solidFill>
              <w14:schemeClr w14:val="accent6"/>
            </w14:solidFill>
          </w14:textFill>
        </w:rPr>
      </w:pPr>
    </w:p>
    <w:p w14:paraId="44AFD6B4">
      <w:pPr>
        <w:rPr>
          <w:rFonts w:hint="eastAsia" w:ascii="仿宋" w:hAnsi="仿宋" w:eastAsia="仿宋" w:cs="仿宋"/>
          <w:color w:val="E54C5E" w:themeColor="accent6"/>
          <w14:textFill>
            <w14:solidFill>
              <w14:schemeClr w14:val="accent6"/>
            </w14:solidFill>
          </w14:textFill>
        </w:rPr>
      </w:pPr>
    </w:p>
    <w:p w14:paraId="21B7A77A">
      <w:pPr>
        <w:rPr>
          <w:rFonts w:hint="eastAsia" w:ascii="仿宋" w:hAnsi="仿宋" w:eastAsia="仿宋" w:cs="仿宋"/>
          <w:color w:val="E54C5E" w:themeColor="accent6"/>
          <w14:textFill>
            <w14:solidFill>
              <w14:schemeClr w14:val="accent6"/>
            </w14:solidFill>
          </w14:textFill>
        </w:rPr>
      </w:pPr>
    </w:p>
    <w:p w14:paraId="41DA239E">
      <w:pPr>
        <w:rPr>
          <w:rFonts w:hint="eastAsia" w:ascii="仿宋" w:hAnsi="仿宋" w:eastAsia="仿宋" w:cs="仿宋"/>
          <w:color w:val="E54C5E" w:themeColor="accent6"/>
          <w14:textFill>
            <w14:solidFill>
              <w14:schemeClr w14:val="accent6"/>
            </w14:solidFill>
          </w14:textFill>
        </w:rPr>
      </w:pPr>
    </w:p>
    <w:p w14:paraId="7E2F2196">
      <w:pPr>
        <w:rPr>
          <w:rFonts w:hint="eastAsia" w:ascii="仿宋" w:hAnsi="仿宋" w:eastAsia="仿宋" w:cs="仿宋"/>
          <w:color w:val="E54C5E" w:themeColor="accent6"/>
          <w14:textFill>
            <w14:solidFill>
              <w14:schemeClr w14:val="accent6"/>
            </w14:solidFill>
          </w14:textFill>
        </w:rPr>
      </w:pPr>
    </w:p>
    <w:p w14:paraId="1060F8CD">
      <w:pPr>
        <w:rPr>
          <w:rFonts w:hint="eastAsia" w:ascii="仿宋" w:hAnsi="仿宋" w:eastAsia="仿宋" w:cs="仿宋"/>
          <w:color w:val="E54C5E" w:themeColor="accent6"/>
          <w14:textFill>
            <w14:solidFill>
              <w14:schemeClr w14:val="accent6"/>
            </w14:solidFill>
          </w14:textFill>
        </w:rPr>
      </w:pPr>
    </w:p>
    <w:p w14:paraId="5DE34F6D">
      <w:pPr>
        <w:rPr>
          <w:rFonts w:hint="eastAsia" w:ascii="仿宋" w:hAnsi="仿宋" w:eastAsia="仿宋" w:cs="仿宋"/>
          <w:color w:val="E54C5E" w:themeColor="accent6"/>
          <w14:textFill>
            <w14:solidFill>
              <w14:schemeClr w14:val="accent6"/>
            </w14:solidFill>
          </w14:textFill>
        </w:rPr>
      </w:pPr>
    </w:p>
    <w:p w14:paraId="14CAEE2F">
      <w:pPr>
        <w:rPr>
          <w:rFonts w:hint="eastAsia" w:ascii="仿宋" w:hAnsi="仿宋" w:eastAsia="仿宋" w:cs="仿宋"/>
          <w:color w:val="E54C5E" w:themeColor="accent6"/>
          <w14:textFill>
            <w14:solidFill>
              <w14:schemeClr w14:val="accent6"/>
            </w14:solidFill>
          </w14:textFill>
        </w:rPr>
      </w:pPr>
    </w:p>
    <w:p w14:paraId="2193A7D8">
      <w:pPr>
        <w:rPr>
          <w:rFonts w:hint="eastAsia" w:ascii="仿宋" w:hAnsi="仿宋" w:eastAsia="仿宋" w:cs="仿宋"/>
          <w:color w:val="E54C5E" w:themeColor="accent6"/>
          <w14:textFill>
            <w14:solidFill>
              <w14:schemeClr w14:val="accent6"/>
            </w14:solidFill>
          </w14:textFill>
        </w:rPr>
      </w:pPr>
    </w:p>
    <w:p w14:paraId="0E8E26CC">
      <w:pPr>
        <w:rPr>
          <w:rFonts w:hint="eastAsia" w:ascii="仿宋" w:hAnsi="仿宋" w:eastAsia="仿宋" w:cs="仿宋"/>
          <w:color w:val="E54C5E" w:themeColor="accent6"/>
          <w14:textFill>
            <w14:solidFill>
              <w14:schemeClr w14:val="accent6"/>
            </w14:solidFill>
          </w14:textFill>
        </w:rPr>
      </w:pPr>
    </w:p>
    <w:p w14:paraId="45344088">
      <w:pPr>
        <w:rPr>
          <w:rFonts w:hint="eastAsia" w:ascii="仿宋" w:hAnsi="仿宋" w:eastAsia="仿宋" w:cs="仿宋"/>
          <w:color w:val="E54C5E" w:themeColor="accent6"/>
          <w14:textFill>
            <w14:solidFill>
              <w14:schemeClr w14:val="accent6"/>
            </w14:solidFill>
          </w14:textFill>
        </w:rPr>
      </w:pPr>
    </w:p>
    <w:p w14:paraId="79C4EBA0">
      <w:pPr>
        <w:rPr>
          <w:rFonts w:hint="eastAsia" w:ascii="仿宋" w:hAnsi="仿宋" w:eastAsia="仿宋" w:cs="仿宋"/>
          <w:color w:val="E54C5E" w:themeColor="accent6"/>
          <w14:textFill>
            <w14:solidFill>
              <w14:schemeClr w14:val="accent6"/>
            </w14:solidFill>
          </w14:textFill>
        </w:rPr>
      </w:pPr>
    </w:p>
    <w:p w14:paraId="77448B46">
      <w:pPr>
        <w:rPr>
          <w:rFonts w:hint="eastAsia" w:ascii="仿宋" w:hAnsi="仿宋" w:eastAsia="仿宋" w:cs="仿宋"/>
          <w:color w:val="E54C5E" w:themeColor="accent6"/>
          <w14:textFill>
            <w14:solidFill>
              <w14:schemeClr w14:val="accent6"/>
            </w14:solidFill>
          </w14:textFill>
        </w:rPr>
      </w:pPr>
    </w:p>
    <w:p w14:paraId="5B5943A0">
      <w:pPr>
        <w:rPr>
          <w:rFonts w:hint="eastAsia" w:ascii="仿宋" w:hAnsi="仿宋" w:eastAsia="仿宋" w:cs="仿宋"/>
          <w:color w:val="E54C5E" w:themeColor="accent6"/>
          <w14:textFill>
            <w14:solidFill>
              <w14:schemeClr w14:val="accent6"/>
            </w14:solidFill>
          </w14:textFill>
        </w:rPr>
      </w:pPr>
    </w:p>
    <w:p w14:paraId="3224C8FF">
      <w:pPr>
        <w:rPr>
          <w:rFonts w:hint="eastAsia" w:ascii="仿宋" w:hAnsi="仿宋" w:eastAsia="仿宋" w:cs="仿宋"/>
          <w:color w:val="E54C5E" w:themeColor="accent6"/>
          <w14:textFill>
            <w14:solidFill>
              <w14:schemeClr w14:val="accent6"/>
            </w14:solidFill>
          </w14:textFill>
        </w:rPr>
      </w:pPr>
    </w:p>
    <w:p w14:paraId="4BED0D81">
      <w:pPr>
        <w:pStyle w:val="2"/>
        <w:rPr>
          <w:rFonts w:hint="eastAsia" w:ascii="仿宋" w:hAnsi="仿宋" w:eastAsia="仿宋" w:cs="仿宋"/>
          <w:color w:val="E54C5E" w:themeColor="accent6"/>
          <w14:textFill>
            <w14:solidFill>
              <w14:schemeClr w14:val="accent6"/>
            </w14:solidFill>
          </w14:textFill>
        </w:rPr>
      </w:pPr>
    </w:p>
    <w:p w14:paraId="02E006CA">
      <w:pPr>
        <w:pStyle w:val="2"/>
        <w:rPr>
          <w:rFonts w:hint="eastAsia" w:ascii="仿宋" w:hAnsi="仿宋" w:eastAsia="仿宋" w:cs="仿宋"/>
          <w:color w:val="E54C5E" w:themeColor="accent6"/>
          <w14:textFill>
            <w14:solidFill>
              <w14:schemeClr w14:val="accent6"/>
            </w14:solidFill>
          </w14:textFill>
        </w:rPr>
      </w:pPr>
    </w:p>
    <w:p w14:paraId="53A16E2E">
      <w:pPr>
        <w:pStyle w:val="6"/>
        <w:keepNext/>
        <w:keepLines/>
        <w:pageBreakBefore w:val="0"/>
        <w:widowControl w:val="0"/>
        <w:kinsoku/>
        <w:wordWrap/>
        <w:overflowPunct/>
        <w:topLinePunct w:val="0"/>
        <w:autoSpaceDE/>
        <w:autoSpaceDN/>
        <w:bidi w:val="0"/>
        <w:adjustRightInd/>
        <w:snapToGrid/>
        <w:spacing w:before="327" w:beforeLines="100" w:after="0" w:line="500" w:lineRule="exact"/>
        <w:ind w:firstLine="2650" w:firstLineChars="600"/>
        <w:jc w:val="both"/>
        <w:textAlignment w:val="auto"/>
        <w:rPr>
          <w:rFonts w:hint="eastAsia" w:ascii="仿宋" w:hAnsi="仿宋" w:eastAsia="仿宋" w:cs="仿宋"/>
          <w:color w:val="auto"/>
          <w:sz w:val="72"/>
          <w:szCs w:val="72"/>
          <w:highlight w:val="none"/>
          <w:lang w:val="en-US" w:eastAsia="zh-CN"/>
        </w:rPr>
      </w:pPr>
      <w:bookmarkStart w:id="40" w:name="_Toc1676"/>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部分  合同条款</w:t>
      </w:r>
      <w:bookmarkEnd w:id="38"/>
      <w:bookmarkEnd w:id="39"/>
      <w:r>
        <w:rPr>
          <w:rFonts w:hint="eastAsia" w:ascii="仿宋" w:hAnsi="仿宋" w:eastAsia="仿宋" w:cs="仿宋"/>
          <w:color w:val="auto"/>
          <w:highlight w:val="none"/>
          <w:lang w:val="en-US" w:eastAsia="zh-CN"/>
        </w:rPr>
        <w:t>草案</w:t>
      </w:r>
      <w:bookmarkEnd w:id="40"/>
    </w:p>
    <w:p w14:paraId="5DF5B53A">
      <w:pPr>
        <w:spacing w:line="500" w:lineRule="exact"/>
        <w:jc w:val="center"/>
        <w:rPr>
          <w:rFonts w:hint="eastAsia" w:ascii="仿宋" w:hAnsi="仿宋" w:eastAsia="仿宋" w:cs="仿宋"/>
          <w:b/>
          <w:color w:val="auto"/>
          <w:szCs w:val="24"/>
          <w:highlight w:val="none"/>
        </w:rPr>
      </w:pPr>
    </w:p>
    <w:p w14:paraId="5CAE51F3">
      <w:pPr>
        <w:spacing w:line="360" w:lineRule="auto"/>
        <w:jc w:val="left"/>
        <w:rPr>
          <w:rFonts w:hint="eastAsia" w:ascii="仿宋" w:hAnsi="仿宋" w:eastAsia="仿宋" w:cs="仿宋"/>
          <w:sz w:val="28"/>
          <w:szCs w:val="28"/>
        </w:rPr>
      </w:pPr>
      <w:bookmarkStart w:id="41" w:name="_Toc12030"/>
      <w:bookmarkStart w:id="42" w:name="_Toc416530627"/>
      <w:r>
        <w:rPr>
          <w:rFonts w:hint="eastAsia" w:ascii="仿宋" w:hAnsi="仿宋" w:eastAsia="仿宋" w:cs="仿宋"/>
          <w:sz w:val="28"/>
          <w:szCs w:val="28"/>
        </w:rPr>
        <w:t>合同编号：</w:t>
      </w:r>
    </w:p>
    <w:p w14:paraId="0C9B9B8F">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签订地点：</w:t>
      </w:r>
    </w:p>
    <w:p w14:paraId="589A520F">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签订时间：</w:t>
      </w:r>
    </w:p>
    <w:p w14:paraId="3F8C6FAD">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采购人（甲方）：                              </w:t>
      </w:r>
    </w:p>
    <w:p w14:paraId="7D11120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供应商（乙方）：                              </w:t>
      </w:r>
    </w:p>
    <w:p w14:paraId="52BB0C29">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鉴证方：</w:t>
      </w:r>
      <w:r>
        <w:rPr>
          <w:rFonts w:hint="eastAsia" w:ascii="仿宋" w:hAnsi="仿宋" w:eastAsia="仿宋" w:cs="仿宋"/>
          <w:color w:val="auto"/>
          <w:sz w:val="28"/>
          <w:szCs w:val="28"/>
          <w:lang w:eastAsia="zh-CN"/>
        </w:rPr>
        <w:t>吴起政府采购中心</w:t>
      </w:r>
    </w:p>
    <w:p w14:paraId="23939A7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依据《中华人民共和国</w:t>
      </w:r>
      <w:r>
        <w:rPr>
          <w:rFonts w:hint="eastAsia" w:ascii="仿宋" w:hAnsi="仿宋" w:eastAsia="仿宋" w:cs="仿宋"/>
          <w:sz w:val="28"/>
          <w:szCs w:val="28"/>
          <w:lang w:eastAsia="zh-CN"/>
        </w:rPr>
        <w:t>民典法</w:t>
      </w:r>
      <w:r>
        <w:rPr>
          <w:rFonts w:hint="eastAsia" w:ascii="仿宋" w:hAnsi="仿宋" w:eastAsia="仿宋" w:cs="仿宋"/>
          <w:sz w:val="28"/>
          <w:szCs w:val="28"/>
        </w:rPr>
        <w:t xml:space="preserve">》、《中华人民共和国政府采购法》与项目行业有关的法律法规，以及XXXX项目（项目编号：XXXX）的《招标文件》，乙方的《投标文件》及《中标通知书》，甲、乙双方同意签订本合同。本项目的《招标文件》、《投标文件》、《中标通知书》等均为本合同的组成部分。 </w:t>
      </w:r>
    </w:p>
    <w:p w14:paraId="11A05FB6">
      <w:pPr>
        <w:keepLines w:val="0"/>
        <w:pageBreakBefore w:val="0"/>
        <w:numPr>
          <w:ilvl w:val="0"/>
          <w:numId w:val="4"/>
        </w:numPr>
        <w:kinsoku/>
        <w:topLinePunct w:val="0"/>
        <w:bidi w:val="0"/>
        <w:adjustRightInd w:val="0"/>
        <w:snapToGrid w:val="0"/>
        <w:spacing w:line="360" w:lineRule="auto"/>
        <w:ind w:left="68" w:leftChars="0" w:firstLine="562" w:firstLineChars="0"/>
        <w:textAlignment w:val="auto"/>
        <w:rPr>
          <w:rFonts w:hint="eastAsia" w:ascii="仿宋" w:hAnsi="仿宋" w:eastAsia="仿宋" w:cs="仿宋"/>
          <w:b/>
          <w:sz w:val="28"/>
          <w:szCs w:val="28"/>
          <w:lang w:val="en-US" w:eastAsia="zh-CN"/>
        </w:rPr>
      </w:pPr>
      <w:bookmarkStart w:id="43" w:name="_Toc247334841"/>
      <w:bookmarkStart w:id="44" w:name="_Toc239568418"/>
      <w:bookmarkStart w:id="45" w:name="_Toc282696226"/>
      <w:bookmarkStart w:id="46" w:name="_Toc286993786"/>
      <w:bookmarkStart w:id="47" w:name="_Toc232492928"/>
      <w:bookmarkStart w:id="48" w:name="_Toc238984975"/>
      <w:bookmarkStart w:id="49" w:name="_Toc212019594"/>
      <w:bookmarkStart w:id="50" w:name="_Toc225244852"/>
      <w:bookmarkStart w:id="51" w:name="_Toc225670751"/>
      <w:bookmarkStart w:id="52" w:name="_Toc283019214"/>
      <w:bookmarkStart w:id="53" w:name="_Toc211854449"/>
      <w:bookmarkStart w:id="54" w:name="_Toc237145406"/>
      <w:bookmarkStart w:id="55" w:name="_Toc211911348"/>
      <w:bookmarkStart w:id="56" w:name="_Toc225654644"/>
      <w:bookmarkStart w:id="57" w:name="_Toc239233914"/>
      <w:bookmarkStart w:id="58" w:name="_Toc251768862"/>
      <w:bookmarkStart w:id="59" w:name="_Toc241833903"/>
      <w:bookmarkStart w:id="60" w:name="_Toc185395249"/>
      <w:r>
        <w:rPr>
          <w:rFonts w:hint="eastAsia" w:ascii="仿宋" w:hAnsi="仿宋" w:eastAsia="仿宋" w:cs="仿宋"/>
          <w:b/>
          <w:sz w:val="28"/>
          <w:szCs w:val="28"/>
          <w:lang w:val="en-US" w:eastAsia="zh-CN"/>
        </w:rPr>
        <w:t>合同内容及质量标准</w:t>
      </w:r>
    </w:p>
    <w:p w14:paraId="7B7530F3">
      <w:pPr>
        <w:keepLines w:val="0"/>
        <w:pageBreakBefore w:val="0"/>
        <w:numPr>
          <w:ilvl w:val="0"/>
          <w:numId w:val="0"/>
        </w:numPr>
        <w:kinsoku/>
        <w:topLinePunct w:val="0"/>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1、保险范围: 2、保险期限: 3、保险费 4、适用保险条款 5、保险方案 6、保险责任 7、特别约定</w:t>
      </w:r>
    </w:p>
    <w:p w14:paraId="6C0EFDE6">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w:t>
      </w:r>
      <w:r>
        <w:rPr>
          <w:rFonts w:hint="eastAsia" w:ascii="仿宋" w:hAnsi="仿宋" w:eastAsia="仿宋" w:cs="仿宋"/>
          <w:b/>
          <w:sz w:val="28"/>
          <w:szCs w:val="28"/>
          <w:lang w:val="en-US" w:eastAsia="zh-CN"/>
        </w:rPr>
        <w:t>合同金额及</w:t>
      </w:r>
      <w:r>
        <w:rPr>
          <w:rFonts w:hint="eastAsia" w:ascii="仿宋" w:hAnsi="仿宋" w:eastAsia="仿宋" w:cs="仿宋"/>
          <w:b/>
          <w:sz w:val="28"/>
          <w:szCs w:val="28"/>
        </w:rPr>
        <w:t>结算</w:t>
      </w:r>
      <w:r>
        <w:rPr>
          <w:rFonts w:hint="eastAsia" w:ascii="仿宋" w:hAnsi="仿宋" w:eastAsia="仿宋" w:cs="仿宋"/>
          <w:b/>
          <w:sz w:val="28"/>
          <w:szCs w:val="28"/>
          <w:lang w:val="en-US" w:eastAsia="zh-CN"/>
        </w:rPr>
        <w:t>方式</w:t>
      </w:r>
    </w:p>
    <w:p w14:paraId="3E54DDB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1、合同金额：即中标</w:t>
      </w:r>
      <w:r>
        <w:rPr>
          <w:rFonts w:hint="eastAsia" w:ascii="仿宋" w:hAnsi="仿宋" w:eastAsia="仿宋" w:cs="仿宋"/>
          <w:sz w:val="28"/>
          <w:szCs w:val="28"/>
        </w:rPr>
        <w:t>供应商的</w:t>
      </w:r>
      <w:r>
        <w:rPr>
          <w:rFonts w:hint="eastAsia" w:ascii="仿宋" w:hAnsi="仿宋" w:eastAsia="仿宋" w:cs="仿宋"/>
          <w:sz w:val="28"/>
          <w:szCs w:val="28"/>
          <w:lang w:eastAsia="zh-CN"/>
        </w:rPr>
        <w:t>投标</w:t>
      </w:r>
      <w:r>
        <w:rPr>
          <w:rFonts w:hint="eastAsia" w:ascii="仿宋" w:hAnsi="仿宋" w:eastAsia="仿宋" w:cs="仿宋"/>
          <w:sz w:val="28"/>
          <w:szCs w:val="28"/>
        </w:rPr>
        <w:t>内容</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中标</w:t>
      </w:r>
      <w:r>
        <w:rPr>
          <w:rFonts w:hint="eastAsia" w:ascii="仿宋" w:hAnsi="仿宋" w:eastAsia="仿宋" w:cs="仿宋"/>
          <w:sz w:val="28"/>
          <w:szCs w:val="28"/>
        </w:rPr>
        <w:t>总金额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指完成本次招标项目服务的全部费用。</w:t>
      </w:r>
      <w:r>
        <w:rPr>
          <w:rFonts w:hint="eastAsia" w:ascii="仿宋" w:hAnsi="仿宋" w:eastAsia="仿宋" w:cs="仿宋"/>
          <w:sz w:val="28"/>
          <w:szCs w:val="28"/>
        </w:rPr>
        <w:t>本合同总价为人民币（大写）</w:t>
      </w:r>
      <w:r>
        <w:rPr>
          <w:rFonts w:hint="eastAsia" w:ascii="仿宋" w:hAnsi="仿宋" w:eastAsia="仿宋" w:cs="仿宋"/>
          <w:sz w:val="28"/>
          <w:szCs w:val="28"/>
          <w:u w:val="single"/>
        </w:rPr>
        <w:t xml:space="preserve">               整（¥       元）。</w:t>
      </w:r>
      <w:r>
        <w:rPr>
          <w:rFonts w:hint="eastAsia" w:ascii="仿宋" w:hAnsi="仿宋" w:eastAsia="仿宋" w:cs="仿宋"/>
          <w:sz w:val="28"/>
          <w:szCs w:val="28"/>
        </w:rPr>
        <w:t xml:space="preserve"> </w:t>
      </w:r>
    </w:p>
    <w:p w14:paraId="1E7B0EBB">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、合同总价一次包死，不受市场价变化的影响。</w:t>
      </w:r>
    </w:p>
    <w:p w14:paraId="0BE609A3">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3、结算单位：</w:t>
      </w:r>
      <w:r>
        <w:rPr>
          <w:rFonts w:hint="eastAsia" w:ascii="仿宋" w:hAnsi="仿宋" w:eastAsia="仿宋" w:cs="仿宋"/>
          <w:sz w:val="28"/>
          <w:szCs w:val="28"/>
        </w:rPr>
        <w:t>由甲方</w:t>
      </w:r>
      <w:r>
        <w:rPr>
          <w:rFonts w:hint="eastAsia" w:ascii="仿宋" w:hAnsi="仿宋" w:eastAsia="仿宋" w:cs="仿宋"/>
          <w:sz w:val="28"/>
          <w:szCs w:val="28"/>
          <w:lang w:val="en-US" w:eastAsia="zh-CN"/>
        </w:rPr>
        <w:t>与中标供应商</w:t>
      </w:r>
      <w:r>
        <w:rPr>
          <w:rFonts w:hint="eastAsia" w:ascii="仿宋" w:hAnsi="仿宋" w:eastAsia="仿宋" w:cs="仿宋"/>
          <w:sz w:val="28"/>
          <w:szCs w:val="28"/>
        </w:rPr>
        <w:t>负责</w:t>
      </w:r>
      <w:r>
        <w:rPr>
          <w:rFonts w:hint="eastAsia" w:ascii="仿宋" w:hAnsi="仿宋" w:eastAsia="仿宋" w:cs="仿宋"/>
          <w:sz w:val="28"/>
          <w:szCs w:val="28"/>
          <w:lang w:val="en-US" w:eastAsia="zh-CN"/>
        </w:rPr>
        <w:t>价款</w:t>
      </w:r>
      <w:r>
        <w:rPr>
          <w:rFonts w:hint="eastAsia" w:ascii="仿宋" w:hAnsi="仿宋" w:eastAsia="仿宋" w:cs="仿宋"/>
          <w:sz w:val="28"/>
          <w:szCs w:val="28"/>
        </w:rPr>
        <w:t>结算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发票开具甲方。</w:t>
      </w:r>
    </w:p>
    <w:p w14:paraId="042E01A6">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三、商务主要条款的具体要求</w:t>
      </w:r>
    </w:p>
    <w:p w14:paraId="27B96E3B">
      <w:pPr>
        <w:pStyle w:val="29"/>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知识产权：供应商应保证</w:t>
      </w:r>
      <w:r>
        <w:rPr>
          <w:rFonts w:hint="eastAsia" w:ascii="仿宋" w:hAnsi="仿宋" w:eastAsia="仿宋" w:cs="仿宋"/>
          <w:sz w:val="28"/>
          <w:szCs w:val="28"/>
          <w:lang w:val="en-US" w:eastAsia="zh-CN"/>
        </w:rPr>
        <w:t>采购单位</w:t>
      </w:r>
      <w:r>
        <w:rPr>
          <w:rFonts w:hint="eastAsia" w:ascii="仿宋" w:hAnsi="仿宋" w:eastAsia="仿宋" w:cs="仿宋"/>
          <w:sz w:val="28"/>
          <w:szCs w:val="28"/>
        </w:rPr>
        <w:t>在使用本</w:t>
      </w:r>
      <w:r>
        <w:rPr>
          <w:rFonts w:hint="eastAsia" w:ascii="仿宋" w:hAnsi="仿宋" w:eastAsia="仿宋" w:cs="仿宋"/>
          <w:sz w:val="28"/>
          <w:szCs w:val="28"/>
          <w:lang w:val="en-US" w:eastAsia="zh-CN"/>
        </w:rPr>
        <w:t>服务时</w:t>
      </w:r>
      <w:r>
        <w:rPr>
          <w:rFonts w:hint="eastAsia" w:ascii="仿宋" w:hAnsi="仿宋" w:eastAsia="仿宋" w:cs="仿宋"/>
          <w:sz w:val="28"/>
          <w:szCs w:val="28"/>
        </w:rPr>
        <w:t>，不承担任何涉及产权法律诉讼的责任。</w:t>
      </w:r>
    </w:p>
    <w:p w14:paraId="1D25C17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000000"/>
          <w:sz w:val="28"/>
          <w:szCs w:val="28"/>
          <w:lang w:val="en-US"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服务期</w:t>
      </w:r>
      <w:r>
        <w:rPr>
          <w:rFonts w:hint="eastAsia" w:ascii="仿宋" w:hAnsi="仿宋" w:eastAsia="仿宋" w:cs="仿宋"/>
          <w:color w:val="000000"/>
          <w:sz w:val="28"/>
          <w:szCs w:val="28"/>
          <w:lang w:val="en-US" w:eastAsia="zh-CN"/>
        </w:rPr>
        <w:t>限</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2025年12月31日前完成目标任务，保障期限：</w:t>
      </w: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HYPERLINK "https://www.shenlanbao.com/he/424047" \t "https://www.shenlanbao.com/zhishi/_blank" </w:instrText>
      </w:r>
      <w:r>
        <w:rPr>
          <w:rFonts w:hint="eastAsia" w:ascii="仿宋" w:hAnsi="仿宋" w:eastAsia="仿宋" w:cs="仿宋"/>
          <w:color w:val="000000"/>
          <w:sz w:val="28"/>
          <w:szCs w:val="28"/>
          <w:lang w:val="en-US" w:eastAsia="zh-CN"/>
        </w:rPr>
        <w:fldChar w:fldCharType="separate"/>
      </w:r>
      <w:r>
        <w:rPr>
          <w:rFonts w:hint="eastAsia" w:ascii="仿宋" w:hAnsi="仿宋" w:eastAsia="仿宋" w:cs="仿宋"/>
          <w:color w:val="000000"/>
          <w:sz w:val="28"/>
          <w:szCs w:val="28"/>
          <w:lang w:val="en-US" w:eastAsia="zh-CN"/>
        </w:rPr>
        <w:t>保险生效起1</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年，除另有约定外，以</w:t>
      </w: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HYPERLINK "https://www.shenlanbao.com/he/316165" \t "https://www.shenlanbao.com/zhishi/_blank" </w:instrText>
      </w:r>
      <w:r>
        <w:rPr>
          <w:rFonts w:hint="eastAsia" w:ascii="仿宋" w:hAnsi="仿宋" w:eastAsia="仿宋" w:cs="仿宋"/>
          <w:color w:val="000000"/>
          <w:sz w:val="28"/>
          <w:szCs w:val="28"/>
          <w:lang w:val="en-US" w:eastAsia="zh-CN"/>
        </w:rPr>
        <w:fldChar w:fldCharType="separate"/>
      </w:r>
      <w:r>
        <w:rPr>
          <w:rFonts w:hint="eastAsia" w:ascii="仿宋" w:hAnsi="仿宋" w:eastAsia="仿宋" w:cs="仿宋"/>
          <w:color w:val="000000"/>
          <w:sz w:val="28"/>
          <w:szCs w:val="28"/>
          <w:lang w:val="en-US" w:eastAsia="zh-CN"/>
        </w:rPr>
        <w:t>保险单</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 xml:space="preserve">载明的起讫时间为准。 </w:t>
      </w:r>
    </w:p>
    <w:p w14:paraId="423576DF">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Cs/>
          <w:color w:val="000000"/>
          <w:sz w:val="28"/>
          <w:szCs w:val="28"/>
          <w:lang w:val="en-US" w:eastAsia="zh-CN"/>
        </w:rPr>
        <w:t>3、</w:t>
      </w:r>
      <w:r>
        <w:rPr>
          <w:rFonts w:hint="eastAsia" w:ascii="仿宋" w:hAnsi="仿宋" w:eastAsia="仿宋" w:cs="仿宋"/>
          <w:color w:val="000000"/>
          <w:sz w:val="28"/>
          <w:szCs w:val="28"/>
          <w:lang w:val="en-US" w:eastAsia="zh-CN"/>
        </w:rPr>
        <w:t>付款方式：按财政拨款进度支付。</w:t>
      </w:r>
    </w:p>
    <w:p w14:paraId="1EEA6B29">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服务地点</w:t>
      </w:r>
      <w:r>
        <w:rPr>
          <w:rFonts w:hint="eastAsia" w:ascii="仿宋" w:hAnsi="仿宋" w:eastAsia="仿宋" w:cs="仿宋"/>
          <w:sz w:val="28"/>
          <w:szCs w:val="28"/>
        </w:rPr>
        <w:t>：</w:t>
      </w:r>
      <w:r>
        <w:rPr>
          <w:rFonts w:hint="eastAsia" w:ascii="仿宋" w:hAnsi="仿宋" w:eastAsia="仿宋" w:cs="仿宋"/>
          <w:sz w:val="28"/>
          <w:szCs w:val="28"/>
          <w:lang w:val="en-US" w:eastAsia="zh-CN"/>
        </w:rPr>
        <w:t>采购单位指定地点</w:t>
      </w:r>
      <w:r>
        <w:rPr>
          <w:rFonts w:hint="eastAsia" w:ascii="仿宋" w:hAnsi="仿宋" w:eastAsia="仿宋" w:cs="仿宋"/>
          <w:sz w:val="28"/>
          <w:szCs w:val="28"/>
        </w:rPr>
        <w:t>。</w:t>
      </w:r>
    </w:p>
    <w:p w14:paraId="7F866AB7">
      <w:pPr>
        <w:pStyle w:val="6"/>
        <w:tabs>
          <w:tab w:val="left" w:pos="6901"/>
        </w:tabs>
        <w:spacing w:before="0" w:after="0" w:line="360" w:lineRule="auto"/>
        <w:ind w:firstLine="562" w:firstLineChars="200"/>
        <w:jc w:val="left"/>
        <w:rPr>
          <w:rFonts w:hint="eastAsia" w:ascii="仿宋" w:hAnsi="仿宋" w:eastAsia="仿宋" w:cs="仿宋"/>
          <w:b/>
          <w:bCs/>
          <w:sz w:val="28"/>
          <w:szCs w:val="28"/>
        </w:rPr>
      </w:pPr>
      <w:bookmarkStart w:id="61" w:name="_Toc25114"/>
      <w:r>
        <w:rPr>
          <w:rFonts w:hint="eastAsia" w:ascii="仿宋" w:hAnsi="仿宋" w:eastAsia="仿宋" w:cs="仿宋"/>
          <w:b/>
          <w:bCs/>
          <w:sz w:val="28"/>
          <w:szCs w:val="28"/>
          <w:lang w:val="en-US" w:eastAsia="zh-CN"/>
        </w:rPr>
        <w:t>四、服务承诺</w:t>
      </w:r>
      <w:bookmarkEnd w:id="61"/>
    </w:p>
    <w:p w14:paraId="651C0ADA">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1.经相关部门和镇街共同验收合格的能繁母牛和肉犊牛，保险机构在收到投保农户完整相关资料后，在2个工作日内必须出具保单。</w:t>
      </w:r>
    </w:p>
    <w:p w14:paraId="7E879317">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2.接到保险报案后，保险机构需在10-15个工作日完成勘察、定损、公示、赔付（投保农户资料齐全）。</w:t>
      </w:r>
    </w:p>
    <w:p w14:paraId="55536738">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3.发生高传染性动物疫情、政府实施强制扑杀等特殊情况时，赔付时间最长不得超过60个工作日。</w:t>
      </w:r>
    </w:p>
    <w:p w14:paraId="57842B50">
      <w:pPr>
        <w:pStyle w:val="29"/>
        <w:keepNext w:val="0"/>
        <w:keepLines w:val="0"/>
        <w:pageBreakBefore w:val="0"/>
        <w:widowControl/>
        <w:kinsoku/>
        <w:wordWrap/>
        <w:overflowPunct/>
        <w:topLinePunct w:val="0"/>
        <w:autoSpaceDE/>
        <w:autoSpaceDN/>
        <w:bidi w:val="0"/>
        <w:spacing w:line="360" w:lineRule="auto"/>
        <w:ind w:firstLine="562" w:firstLineChars="200"/>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五、理赔资料</w:t>
      </w:r>
    </w:p>
    <w:p w14:paraId="4C065585">
      <w:pPr>
        <w:pStyle w:val="29"/>
        <w:keepNext w:val="0"/>
        <w:keepLines w:val="0"/>
        <w:pageBreakBefore w:val="0"/>
        <w:widowControl/>
        <w:kinsoku/>
        <w:wordWrap/>
        <w:overflowPunct/>
        <w:topLinePunct w:val="0"/>
        <w:autoSpaceDE/>
        <w:autoSpaceDN/>
        <w:bidi w:val="0"/>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1、索赔基本原则 2、索赔资料准备 3、索赔处理</w:t>
      </w:r>
    </w:p>
    <w:p w14:paraId="0AEB3E83">
      <w:pPr>
        <w:pStyle w:val="29"/>
        <w:keepNext w:val="0"/>
        <w:keepLines w:val="0"/>
        <w:pageBreakBefore w:val="0"/>
        <w:widowControl/>
        <w:kinsoku/>
        <w:wordWrap/>
        <w:overflowPunct/>
        <w:topLinePunct w:val="0"/>
        <w:autoSpaceDE/>
        <w:autoSpaceDN/>
        <w:bidi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、甲乙</w:t>
      </w:r>
      <w:r>
        <w:rPr>
          <w:rFonts w:hint="eastAsia" w:ascii="仿宋" w:hAnsi="仿宋" w:eastAsia="仿宋"/>
          <w:b/>
          <w:sz w:val="28"/>
          <w:szCs w:val="28"/>
          <w:lang w:val="en-US" w:eastAsia="zh-CN"/>
        </w:rPr>
        <w:t>双</w:t>
      </w:r>
      <w:r>
        <w:rPr>
          <w:rFonts w:hint="eastAsia" w:ascii="仿宋" w:hAnsi="仿宋" w:eastAsia="仿宋"/>
          <w:b/>
          <w:sz w:val="28"/>
          <w:szCs w:val="28"/>
        </w:rPr>
        <w:t>方的权利和义务</w:t>
      </w:r>
    </w:p>
    <w:p w14:paraId="4FE7BE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甲方责任</w:t>
      </w:r>
    </w:p>
    <w:p w14:paraId="022863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1.负责督促指导乙方开展政策性农业保险工作，并对乙方的政策性农业保险工作的绩效考评。</w:t>
      </w:r>
    </w:p>
    <w:p w14:paraId="3B79B6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2.负责监督协助乙方做好查勘定损、理赔和技术服务等工作。</w:t>
      </w:r>
    </w:p>
    <w:p w14:paraId="7E5475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3.配合并督促乙方加强政策性农业保险宣传培训工作。</w:t>
      </w:r>
    </w:p>
    <w:p w14:paraId="1815BB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乙方责任</w:t>
      </w:r>
    </w:p>
    <w:p w14:paraId="52C258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1.按季度向甲方报送工作进展情况，期限届满前的最后一个月向甲方报送本合同期内工作开展情况，包括承保基本情况、理赔基本情况及为当地农业建设的支持与服务情况等。</w:t>
      </w:r>
    </w:p>
    <w:p w14:paraId="288A80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2.充分发挥承办主体作用，强化各项基础工作，加大险种宣传培训，提高业务管理能力，切实提高农业保险服务水平。积极配合省、市农业农村部门牵头组织开展的农业保险督导检查和绩效考评工作。</w:t>
      </w:r>
    </w:p>
    <w:p w14:paraId="19E405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3.坚持以保障投保农户合法权益为出发点，贯彻“主动、迅速、科学、合理”的原则，切实做好理赔工作。</w:t>
      </w:r>
    </w:p>
    <w:p w14:paraId="50E028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4.按照甲方要求时间内如实提供申报相关佐证资料。（如因申报延误、或提供虚假资料造成的损失，承担全部责任）。</w:t>
      </w:r>
    </w:p>
    <w:p w14:paraId="339FE8C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sz w:val="28"/>
          <w:szCs w:val="28"/>
          <w:lang w:val="en-US" w:eastAsia="zh-CN"/>
        </w:rPr>
      </w:pPr>
      <w:r>
        <w:rPr>
          <w:rFonts w:hint="default" w:ascii="仿宋" w:hAnsi="仿宋" w:eastAsia="仿宋" w:cs="仿宋"/>
          <w:kern w:val="0"/>
          <w:sz w:val="28"/>
          <w:szCs w:val="28"/>
          <w:lang w:val="en-US" w:eastAsia="zh-CN" w:bidi="ar-SA"/>
        </w:rPr>
        <w:t>……</w:t>
      </w:r>
      <w:r>
        <w:rPr>
          <w:rFonts w:hint="eastAsia" w:ascii="仿宋" w:hAnsi="仿宋" w:eastAsia="仿宋" w:cs="仿宋"/>
          <w:kern w:val="0"/>
          <w:sz w:val="28"/>
          <w:szCs w:val="28"/>
          <w:lang w:val="en-US" w:eastAsia="zh-CN" w:bidi="ar-SA"/>
        </w:rPr>
        <w:t xml:space="preserve">  </w:t>
      </w:r>
      <w:r>
        <w:rPr>
          <w:rFonts w:hint="default" w:ascii="仿宋" w:hAnsi="仿宋" w:eastAsia="仿宋" w:cs="仿宋"/>
          <w:kern w:val="0"/>
          <w:sz w:val="28"/>
          <w:szCs w:val="28"/>
          <w:lang w:val="en-US" w:eastAsia="zh-CN" w:bidi="ar-SA"/>
        </w:rPr>
        <w:t>……</w:t>
      </w:r>
      <w:r>
        <w:rPr>
          <w:rFonts w:hint="eastAsia" w:ascii="仿宋" w:hAnsi="仿宋" w:eastAsia="仿宋" w:cs="仿宋"/>
          <w:kern w:val="0"/>
          <w:sz w:val="28"/>
          <w:szCs w:val="28"/>
          <w:lang w:val="en-US" w:eastAsia="zh-CN" w:bidi="ar-SA"/>
        </w:rPr>
        <w:t xml:space="preserve">  </w:t>
      </w:r>
    </w:p>
    <w:p w14:paraId="4C07C527">
      <w:pPr>
        <w:keepNext w:val="0"/>
        <w:keepLines w:val="0"/>
        <w:pageBreakBefore w:val="0"/>
        <w:widowControl w:val="0"/>
        <w:tabs>
          <w:tab w:val="left" w:pos="3971"/>
        </w:tabs>
        <w:kinsoku/>
        <w:wordWrap/>
        <w:overflowPunct/>
        <w:topLinePunct w:val="0"/>
        <w:autoSpaceDE/>
        <w:autoSpaceDN/>
        <w:bidi w:val="0"/>
        <w:adjustRightInd w:val="0"/>
        <w:snapToGrid w:val="0"/>
        <w:spacing w:line="360" w:lineRule="auto"/>
        <w:ind w:firstLine="562" w:firstLineChars="200"/>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七</w:t>
      </w:r>
      <w:r>
        <w:rPr>
          <w:rFonts w:hint="eastAsia" w:ascii="仿宋" w:hAnsi="仿宋" w:eastAsia="仿宋"/>
          <w:b/>
          <w:sz w:val="28"/>
          <w:szCs w:val="28"/>
        </w:rPr>
        <w:t>、</w:t>
      </w:r>
      <w:r>
        <w:rPr>
          <w:rFonts w:hint="eastAsia" w:ascii="仿宋" w:hAnsi="仿宋" w:eastAsia="仿宋"/>
          <w:b/>
          <w:sz w:val="28"/>
          <w:szCs w:val="28"/>
          <w:lang w:val="en-US" w:eastAsia="zh-CN"/>
        </w:rPr>
        <w:t>不可抗力</w:t>
      </w:r>
      <w:r>
        <w:rPr>
          <w:rFonts w:hint="eastAsia" w:ascii="仿宋" w:hAnsi="仿宋" w:eastAsia="仿宋"/>
          <w:b/>
          <w:sz w:val="28"/>
          <w:szCs w:val="28"/>
          <w:lang w:val="en-US" w:eastAsia="zh-CN"/>
        </w:rPr>
        <w:tab/>
      </w:r>
    </w:p>
    <w:p w14:paraId="560A35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合同任一方由于受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14:paraId="09246DF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2、遭受不可抗力一方应在不可抗力事故发生后尽快以书面形式通知对方，并于事故发生后</w:t>
      </w:r>
      <w:r>
        <w:rPr>
          <w:rFonts w:hint="eastAsia" w:ascii="仿宋" w:hAnsi="仿宋" w:eastAsia="仿宋" w:cs="仿宋"/>
          <w:sz w:val="28"/>
          <w:szCs w:val="28"/>
          <w:lang w:val="en-US" w:eastAsia="zh-CN"/>
        </w:rPr>
        <w:t>5</w:t>
      </w:r>
      <w:r>
        <w:rPr>
          <w:rFonts w:hint="eastAsia" w:ascii="仿宋" w:hAnsi="仿宋" w:eastAsia="仿宋" w:cs="仿宋"/>
          <w:sz w:val="28"/>
          <w:szCs w:val="28"/>
        </w:rPr>
        <w:t>天内将有关部门出具的证明文件、详细情况报告以及不可抗力对履行合同影响程度的说明通知对方。</w:t>
      </w:r>
    </w:p>
    <w:p w14:paraId="2F8FB21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14:paraId="37E09D8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4、一旦不可抗力事故的影响持续</w:t>
      </w:r>
      <w:r>
        <w:rPr>
          <w:rFonts w:hint="eastAsia" w:ascii="仿宋" w:hAnsi="仿宋" w:eastAsia="仿宋" w:cs="仿宋"/>
          <w:sz w:val="28"/>
          <w:szCs w:val="28"/>
          <w:lang w:val="en-US" w:eastAsia="zh-CN"/>
        </w:rPr>
        <w:t>20</w:t>
      </w:r>
      <w:r>
        <w:rPr>
          <w:rFonts w:hint="eastAsia" w:ascii="仿宋" w:hAnsi="仿宋" w:eastAsia="仿宋" w:cs="仿宋"/>
          <w:sz w:val="28"/>
          <w:szCs w:val="28"/>
        </w:rPr>
        <w:t>天以上，甲乙双方通过友好协商，在合理的时间内达成进一步履行合同或终止合同的协议。</w:t>
      </w:r>
    </w:p>
    <w:p w14:paraId="1B662CB8">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违约责任</w:t>
      </w:r>
    </w:p>
    <w:p w14:paraId="1437F941">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bookmarkStart w:id="62" w:name="_Toc225670756"/>
      <w:bookmarkStart w:id="63" w:name="_Toc232492933"/>
      <w:bookmarkStart w:id="64" w:name="_Toc239568423"/>
      <w:bookmarkStart w:id="65" w:name="_Toc239233919"/>
      <w:bookmarkStart w:id="66" w:name="_Toc225244857"/>
      <w:bookmarkStart w:id="67" w:name="_Toc225654649"/>
      <w:bookmarkStart w:id="68" w:name="_Toc247334846"/>
      <w:bookmarkStart w:id="69" w:name="_Toc237145411"/>
      <w:bookmarkStart w:id="70" w:name="_Toc238984980"/>
      <w:bookmarkStart w:id="71" w:name="_Toc251768867"/>
      <w:bookmarkStart w:id="72" w:name="_Toc211911353"/>
      <w:bookmarkStart w:id="73" w:name="_Toc241833908"/>
      <w:bookmarkStart w:id="74" w:name="_Toc185395254"/>
      <w:bookmarkStart w:id="75" w:name="_Toc211854454"/>
      <w:bookmarkStart w:id="76" w:name="_Toc286993792"/>
      <w:bookmarkStart w:id="77" w:name="_Toc212019599"/>
      <w:r>
        <w:rPr>
          <w:rFonts w:hint="eastAsia" w:ascii="仿宋" w:hAnsi="仿宋" w:eastAsia="仿宋"/>
          <w:b w:val="0"/>
          <w:bCs/>
          <w:sz w:val="28"/>
          <w:szCs w:val="28"/>
          <w:lang w:val="en-US" w:eastAsia="zh-CN"/>
        </w:rPr>
        <w:t>1、</w:t>
      </w:r>
      <w:bookmarkStart w:id="78" w:name="_Hlk38813070"/>
      <w:r>
        <w:rPr>
          <w:rFonts w:hint="eastAsia" w:ascii="仿宋" w:hAnsi="仿宋" w:eastAsia="仿宋"/>
          <w:b w:val="0"/>
          <w:bCs/>
          <w:sz w:val="28"/>
          <w:szCs w:val="28"/>
          <w:lang w:val="en-US" w:eastAsia="zh-CN"/>
        </w:rPr>
        <w:t>乙方</w:t>
      </w:r>
      <w:bookmarkEnd w:id="78"/>
      <w:r>
        <w:rPr>
          <w:rFonts w:hint="eastAsia" w:ascii="仿宋" w:hAnsi="仿宋" w:eastAsia="仿宋"/>
          <w:b w:val="0"/>
          <w:bCs/>
          <w:sz w:val="28"/>
          <w:szCs w:val="28"/>
          <w:lang w:val="en-US" w:eastAsia="zh-CN"/>
        </w:rPr>
        <w:t>要确保数据、资料的真实性，不得弄虚，否则所造成的责任和后果由乙方承担。</w:t>
      </w:r>
    </w:p>
    <w:p w14:paraId="26FC9021">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2、当</w:t>
      </w:r>
      <w:bookmarkStart w:id="79" w:name="_Hlk38792848"/>
      <w:r>
        <w:rPr>
          <w:rFonts w:hint="eastAsia" w:ascii="仿宋" w:hAnsi="仿宋" w:eastAsia="仿宋"/>
          <w:b w:val="0"/>
          <w:bCs/>
          <w:sz w:val="28"/>
          <w:szCs w:val="28"/>
          <w:lang w:val="en-US" w:eastAsia="zh-CN"/>
        </w:rPr>
        <w:t>甲</w:t>
      </w:r>
      <w:bookmarkEnd w:id="79"/>
      <w:r>
        <w:rPr>
          <w:rFonts w:hint="eastAsia" w:ascii="仿宋" w:hAnsi="仿宋" w:eastAsia="仿宋"/>
          <w:b w:val="0"/>
          <w:bCs/>
          <w:sz w:val="28"/>
          <w:szCs w:val="28"/>
          <w:lang w:val="en-US" w:eastAsia="zh-CN"/>
        </w:rPr>
        <w:t>方不能提供必要的相关技术资料，造成</w:t>
      </w:r>
      <w:bookmarkStart w:id="80" w:name="_Hlk38812924"/>
      <w:r>
        <w:rPr>
          <w:rFonts w:hint="eastAsia" w:ascii="仿宋" w:hAnsi="仿宋" w:eastAsia="仿宋"/>
          <w:b w:val="0"/>
          <w:bCs/>
          <w:sz w:val="28"/>
          <w:szCs w:val="28"/>
          <w:lang w:val="en-US" w:eastAsia="zh-CN"/>
        </w:rPr>
        <w:t>乙方</w:t>
      </w:r>
      <w:bookmarkEnd w:id="80"/>
      <w:r>
        <w:rPr>
          <w:rFonts w:hint="eastAsia" w:ascii="仿宋" w:hAnsi="仿宋" w:eastAsia="仿宋"/>
          <w:b w:val="0"/>
          <w:bCs/>
          <w:sz w:val="28"/>
          <w:szCs w:val="28"/>
          <w:lang w:val="en-US" w:eastAsia="zh-CN"/>
        </w:rPr>
        <w:t>完成时间拖延，工期相应顺延。</w:t>
      </w:r>
    </w:p>
    <w:p w14:paraId="1FB3494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3、合同签订后，如有一方无正当理由提出终止合同，合同履行期间所发生的费用由提出终止合同得一方承担，并由提出终止方向另一方支付合同总价款20%的赔偿金；</w:t>
      </w:r>
    </w:p>
    <w:p w14:paraId="41C24BA7">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4、双方因遇到不可抗拒力不能顺利履行合同时，应及时通告对方不能履行或不能完全履行的理由，有关方面出据证明后，根据具体情况可部分或全部免除违约责任。</w:t>
      </w:r>
    </w:p>
    <w:p w14:paraId="62E7103B">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bCs w:val="0"/>
          <w:sz w:val="28"/>
          <w:szCs w:val="28"/>
          <w:lang w:val="en-US" w:eastAsia="zh-CN"/>
        </w:rPr>
      </w:pPr>
      <w:r>
        <w:rPr>
          <w:rFonts w:hint="eastAsia" w:ascii="仿宋" w:hAnsi="仿宋" w:eastAsia="仿宋"/>
          <w:b/>
          <w:bCs w:val="0"/>
          <w:sz w:val="28"/>
          <w:szCs w:val="28"/>
          <w:lang w:val="en-US" w:eastAsia="zh-CN"/>
        </w:rPr>
        <w:t>九、 资料归属及保密</w:t>
      </w:r>
    </w:p>
    <w:p w14:paraId="47CF96F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1、甲、</w:t>
      </w:r>
      <w:bookmarkStart w:id="81" w:name="_Hlk38793136"/>
      <w:r>
        <w:rPr>
          <w:rFonts w:hint="eastAsia" w:ascii="仿宋" w:hAnsi="仿宋" w:eastAsia="仿宋"/>
          <w:b w:val="0"/>
          <w:bCs/>
          <w:sz w:val="28"/>
          <w:szCs w:val="28"/>
          <w:lang w:val="en-US" w:eastAsia="zh-CN"/>
        </w:rPr>
        <w:t>乙</w:t>
      </w:r>
      <w:bookmarkEnd w:id="81"/>
      <w:r>
        <w:rPr>
          <w:rFonts w:hint="eastAsia" w:ascii="仿宋" w:hAnsi="仿宋" w:eastAsia="仿宋"/>
          <w:b w:val="0"/>
          <w:bCs/>
          <w:sz w:val="28"/>
          <w:szCs w:val="28"/>
          <w:lang w:val="en-US" w:eastAsia="zh-CN"/>
        </w:rPr>
        <w:t>双方在项目协作过程中，对互相提供的资料应恪守保密义务，对互提的技术资料未经对方同意，不得以任何形式明示或暗示地透漏给任何第三方。</w:t>
      </w:r>
    </w:p>
    <w:p w14:paraId="487FA12F">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2、本次所获得的各种原始资料、成果资料及复制资料全部归甲方所有，乙方按要求移交甲方。</w:t>
      </w:r>
    </w:p>
    <w:p w14:paraId="73D48B6A">
      <w:pPr>
        <w:keepLines w:val="0"/>
        <w:pageBreakBefore w:val="0"/>
        <w:kinsoku/>
        <w:topLinePunct w:val="0"/>
        <w:bidi w:val="0"/>
        <w:adjustRightInd w:val="0"/>
        <w:snapToGrid w:val="0"/>
        <w:spacing w:line="360" w:lineRule="auto"/>
        <w:ind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3、未经甲方书面同意，所有资料不得以任何方式、任何理由向第三方披露或提供，不得向任何人透露有关内容，也不得以此资料编写论文、书籍公开发表。</w:t>
      </w:r>
    </w:p>
    <w:p w14:paraId="48234BD2">
      <w:pPr>
        <w:keepLines w:val="0"/>
        <w:pageBreakBefore w:val="0"/>
        <w:kinsoku/>
        <w:topLinePunct w:val="0"/>
        <w:bidi w:val="0"/>
        <w:adjustRightInd w:val="0"/>
        <w:snapToGrid w:val="0"/>
        <w:spacing w:line="360" w:lineRule="auto"/>
        <w:ind w:firstLine="562" w:firstLineChars="200"/>
        <w:textAlignment w:val="auto"/>
        <w:rPr>
          <w:rFonts w:hint="eastAsia" w:ascii="仿宋" w:hAnsi="仿宋" w:eastAsia="仿宋"/>
          <w:b/>
          <w:bCs w:val="0"/>
          <w:sz w:val="28"/>
          <w:szCs w:val="28"/>
        </w:rPr>
      </w:pPr>
      <w:r>
        <w:rPr>
          <w:rFonts w:hint="eastAsia" w:ascii="仿宋" w:hAnsi="仿宋" w:eastAsia="仿宋"/>
          <w:b/>
          <w:bCs w:val="0"/>
          <w:sz w:val="28"/>
          <w:szCs w:val="28"/>
          <w:lang w:val="en-US" w:eastAsia="zh-CN"/>
        </w:rPr>
        <w:t>十</w:t>
      </w:r>
      <w:r>
        <w:rPr>
          <w:rFonts w:hint="eastAsia" w:ascii="仿宋" w:hAnsi="仿宋" w:eastAsia="仿宋"/>
          <w:b/>
          <w:bCs w:val="0"/>
          <w:sz w:val="28"/>
          <w:szCs w:val="28"/>
        </w:rPr>
        <w:t>、解决合同纠纷的方式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0577704">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1、在执行本合同中发生的或与本合同有关的争端，双方应通过友好协商解决，经协商在</w:t>
      </w:r>
      <w:r>
        <w:rPr>
          <w:rFonts w:hint="eastAsia" w:ascii="仿宋" w:hAnsi="仿宋" w:eastAsia="仿宋"/>
          <w:b w:val="0"/>
          <w:bCs/>
          <w:sz w:val="28"/>
          <w:szCs w:val="28"/>
          <w:lang w:val="en-US" w:eastAsia="zh-CN"/>
        </w:rPr>
        <w:t>5</w:t>
      </w:r>
      <w:r>
        <w:rPr>
          <w:rFonts w:hint="eastAsia" w:ascii="仿宋" w:hAnsi="仿宋" w:eastAsia="仿宋"/>
          <w:b w:val="0"/>
          <w:bCs/>
          <w:sz w:val="28"/>
          <w:szCs w:val="28"/>
        </w:rPr>
        <w:t>天内不能达成协议时，可以根据双方达成的仲裁协议申请仲裁，或直接向人民法院提起诉讼。</w:t>
      </w:r>
    </w:p>
    <w:p w14:paraId="7A0894C2">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2、仲裁裁决应为最终决定，并对双方具有约束力。</w:t>
      </w:r>
    </w:p>
    <w:p w14:paraId="7E2CA2AE">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 xml:space="preserve">3、除另有裁决外，仲裁费应由败诉方负担。 </w:t>
      </w:r>
    </w:p>
    <w:p w14:paraId="60CCA4DE">
      <w:pPr>
        <w:keepLines w:val="0"/>
        <w:pageBreakBefore w:val="0"/>
        <w:kinsoku/>
        <w:topLinePunct w:val="0"/>
        <w:bidi w:val="0"/>
        <w:adjustRightInd w:val="0"/>
        <w:snapToGrid w:val="0"/>
        <w:spacing w:line="360" w:lineRule="auto"/>
        <w:ind w:firstLine="560" w:firstLineChars="200"/>
        <w:textAlignment w:val="auto"/>
        <w:rPr>
          <w:rFonts w:hint="eastAsia" w:ascii="仿宋" w:hAnsi="仿宋" w:eastAsia="仿宋"/>
          <w:b w:val="0"/>
          <w:bCs/>
          <w:sz w:val="28"/>
          <w:szCs w:val="28"/>
        </w:rPr>
      </w:pPr>
      <w:r>
        <w:rPr>
          <w:rFonts w:hint="eastAsia" w:ascii="仿宋" w:hAnsi="仿宋" w:eastAsia="仿宋"/>
          <w:b w:val="0"/>
          <w:bCs/>
          <w:sz w:val="28"/>
          <w:szCs w:val="28"/>
        </w:rPr>
        <w:t xml:space="preserve">4、在仲裁期间，除正在进行仲裁部分外，合同其他部分继续执行。  </w:t>
      </w:r>
    </w:p>
    <w:p w14:paraId="2CCF7020">
      <w:pPr>
        <w:adjustRightInd w:val="0"/>
        <w:snapToGrid w:val="0"/>
        <w:spacing w:line="360" w:lineRule="auto"/>
        <w:ind w:firstLine="645"/>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一</w:t>
      </w:r>
      <w:r>
        <w:rPr>
          <w:rFonts w:hint="eastAsia" w:ascii="仿宋" w:hAnsi="仿宋" w:eastAsia="仿宋" w:cs="仿宋"/>
          <w:b/>
          <w:sz w:val="28"/>
          <w:szCs w:val="28"/>
        </w:rPr>
        <w:t>、合同组成</w:t>
      </w:r>
    </w:p>
    <w:p w14:paraId="002751CB">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1.中标通知书</w:t>
      </w:r>
    </w:p>
    <w:p w14:paraId="0E6A7340">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2.合同文件</w:t>
      </w:r>
    </w:p>
    <w:p w14:paraId="1810B07C">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3.国家相关规范及标准</w:t>
      </w:r>
    </w:p>
    <w:p w14:paraId="34E807A2">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4.供货产品技术规格及参数表</w:t>
      </w:r>
    </w:p>
    <w:p w14:paraId="40A59A80">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5.招标文件</w:t>
      </w:r>
    </w:p>
    <w:p w14:paraId="7EB2BE7F">
      <w:pPr>
        <w:adjustRightInd w:val="0"/>
        <w:snapToGrid w:val="0"/>
        <w:spacing w:line="360" w:lineRule="auto"/>
        <w:ind w:firstLine="645"/>
        <w:rPr>
          <w:rFonts w:hint="eastAsia" w:ascii="仿宋" w:hAnsi="仿宋" w:eastAsia="仿宋" w:cs="仿宋"/>
          <w:sz w:val="28"/>
          <w:szCs w:val="28"/>
        </w:rPr>
      </w:pPr>
      <w:r>
        <w:rPr>
          <w:rFonts w:hint="eastAsia" w:ascii="仿宋" w:hAnsi="仿宋" w:eastAsia="仿宋" w:cs="仿宋"/>
          <w:sz w:val="28"/>
          <w:szCs w:val="28"/>
        </w:rPr>
        <w:t>6.投标文件</w:t>
      </w:r>
    </w:p>
    <w:p w14:paraId="1B3E9ED7">
      <w:pPr>
        <w:widowControl/>
        <w:autoSpaceDE w:val="0"/>
        <w:autoSpaceDN w:val="0"/>
        <w:snapToGrid w:val="0"/>
        <w:spacing w:line="360" w:lineRule="auto"/>
        <w:ind w:right="893" w:firstLine="551" w:firstLineChars="196"/>
        <w:textAlignment w:val="bottom"/>
        <w:rPr>
          <w:rFonts w:hint="eastAsia" w:ascii="仿宋" w:hAnsi="仿宋" w:eastAsia="仿宋" w:cs="仿宋"/>
          <w:b/>
          <w:kern w:val="0"/>
          <w:sz w:val="28"/>
          <w:szCs w:val="28"/>
        </w:rPr>
      </w:pPr>
      <w:r>
        <w:rPr>
          <w:rFonts w:hint="eastAsia" w:ascii="仿宋" w:hAnsi="仿宋" w:eastAsia="仿宋" w:cs="仿宋"/>
          <w:b/>
          <w:kern w:val="0"/>
          <w:sz w:val="28"/>
          <w:szCs w:val="28"/>
        </w:rPr>
        <w:t>十</w:t>
      </w:r>
      <w:r>
        <w:rPr>
          <w:rFonts w:hint="eastAsia" w:ascii="仿宋" w:hAnsi="仿宋" w:eastAsia="仿宋" w:cs="仿宋"/>
          <w:b/>
          <w:kern w:val="0"/>
          <w:sz w:val="28"/>
          <w:szCs w:val="28"/>
          <w:lang w:val="en-US" w:eastAsia="zh-CN"/>
        </w:rPr>
        <w:t>二</w:t>
      </w:r>
      <w:r>
        <w:rPr>
          <w:rFonts w:hint="eastAsia" w:ascii="仿宋" w:hAnsi="仿宋" w:eastAsia="仿宋" w:cs="仿宋"/>
          <w:b/>
          <w:kern w:val="0"/>
          <w:sz w:val="28"/>
          <w:szCs w:val="28"/>
        </w:rPr>
        <w:t>、合同生效及其它</w:t>
      </w:r>
    </w:p>
    <w:p w14:paraId="71DB8081">
      <w:pPr>
        <w:widowControl/>
        <w:autoSpaceDE w:val="0"/>
        <w:autoSpaceDN w:val="0"/>
        <w:snapToGrid w:val="0"/>
        <w:spacing w:line="360" w:lineRule="auto"/>
        <w:ind w:right="-110"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1.合同未尽事宜，由甲、乙双方协商，作为合同补充，与原合同具有同等法律效力。</w:t>
      </w:r>
    </w:p>
    <w:p w14:paraId="32C87298">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2.本合同正本一式肆份，甲方、乙方、</w:t>
      </w:r>
      <w:r>
        <w:rPr>
          <w:rFonts w:hint="eastAsia" w:ascii="仿宋" w:hAnsi="仿宋" w:eastAsia="仿宋" w:cs="仿宋"/>
          <w:kern w:val="0"/>
          <w:sz w:val="28"/>
          <w:szCs w:val="28"/>
          <w:lang w:eastAsia="zh-CN"/>
        </w:rPr>
        <w:t>见</w:t>
      </w:r>
      <w:r>
        <w:rPr>
          <w:rFonts w:hint="eastAsia" w:ascii="仿宋" w:hAnsi="仿宋" w:eastAsia="仿宋" w:cs="仿宋"/>
          <w:kern w:val="0"/>
          <w:sz w:val="28"/>
          <w:szCs w:val="28"/>
        </w:rPr>
        <w:t>证方分别执壹份，备案壹份。</w:t>
      </w:r>
    </w:p>
    <w:p w14:paraId="21965015">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3.合同经甲乙双方盖章.签字并经</w:t>
      </w:r>
      <w:r>
        <w:rPr>
          <w:rFonts w:hint="eastAsia" w:ascii="仿宋" w:hAnsi="仿宋" w:eastAsia="仿宋" w:cs="仿宋"/>
          <w:kern w:val="0"/>
          <w:sz w:val="28"/>
          <w:szCs w:val="28"/>
          <w:lang w:eastAsia="zh-CN"/>
        </w:rPr>
        <w:t>见</w:t>
      </w:r>
      <w:r>
        <w:rPr>
          <w:rFonts w:hint="eastAsia" w:ascii="仿宋" w:hAnsi="仿宋" w:eastAsia="仿宋" w:cs="仿宋"/>
          <w:kern w:val="0"/>
          <w:sz w:val="28"/>
          <w:szCs w:val="28"/>
        </w:rPr>
        <w:t>证方盖章后生效，合同签订地点为甲方所在地。</w:t>
      </w:r>
    </w:p>
    <w:p w14:paraId="05D709CE">
      <w:pPr>
        <w:widowControl/>
        <w:tabs>
          <w:tab w:val="left" w:pos="8391"/>
        </w:tabs>
        <w:autoSpaceDE w:val="0"/>
        <w:autoSpaceDN w:val="0"/>
        <w:snapToGrid w:val="0"/>
        <w:spacing w:line="360" w:lineRule="auto"/>
        <w:ind w:right="-69" w:firstLine="560" w:firstLineChars="200"/>
        <w:textAlignment w:val="bottom"/>
        <w:rPr>
          <w:rFonts w:hint="eastAsia" w:ascii="仿宋" w:hAnsi="仿宋" w:eastAsia="仿宋" w:cs="仿宋"/>
          <w:kern w:val="0"/>
          <w:sz w:val="28"/>
          <w:szCs w:val="28"/>
        </w:rPr>
      </w:pPr>
      <w:r>
        <w:rPr>
          <w:rFonts w:hint="eastAsia" w:ascii="仿宋" w:hAnsi="仿宋" w:eastAsia="仿宋" w:cs="仿宋"/>
          <w:kern w:val="0"/>
          <w:sz w:val="28"/>
          <w:szCs w:val="28"/>
        </w:rPr>
        <w:t>4.生效时间：   年  月  日</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3537"/>
        <w:gridCol w:w="3260"/>
      </w:tblGrid>
      <w:tr w14:paraId="3AA4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7ECC35F0">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甲  方</w:t>
            </w:r>
          </w:p>
        </w:tc>
        <w:tc>
          <w:tcPr>
            <w:tcW w:w="3537" w:type="dxa"/>
            <w:noWrap w:val="0"/>
            <w:vAlign w:val="center"/>
          </w:tcPr>
          <w:p w14:paraId="0C0ECDF5">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乙  方</w:t>
            </w:r>
          </w:p>
        </w:tc>
        <w:tc>
          <w:tcPr>
            <w:tcW w:w="3260" w:type="dxa"/>
            <w:noWrap w:val="0"/>
            <w:vAlign w:val="center"/>
          </w:tcPr>
          <w:p w14:paraId="7464268C">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见</w:t>
            </w:r>
            <w:r>
              <w:rPr>
                <w:rFonts w:hint="eastAsia" w:ascii="仿宋" w:hAnsi="仿宋" w:eastAsia="仿宋" w:cs="仿宋"/>
                <w:sz w:val="28"/>
                <w:szCs w:val="28"/>
              </w:rPr>
              <w:t>证方</w:t>
            </w:r>
          </w:p>
        </w:tc>
      </w:tr>
      <w:tr w14:paraId="60ED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72272E17">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采购人名称</w:t>
            </w:r>
          </w:p>
          <w:p w14:paraId="65D16EFE">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537" w:type="dxa"/>
            <w:noWrap w:val="0"/>
            <w:vAlign w:val="center"/>
          </w:tcPr>
          <w:p w14:paraId="660900FF">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中标供应商全称</w:t>
            </w:r>
          </w:p>
          <w:p w14:paraId="301CC557">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260" w:type="dxa"/>
            <w:noWrap w:val="0"/>
            <w:vAlign w:val="center"/>
          </w:tcPr>
          <w:p w14:paraId="063A5A6B">
            <w:pPr>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吴起政府采购中心</w:t>
            </w:r>
          </w:p>
          <w:p w14:paraId="3946E59D">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r>
      <w:tr w14:paraId="32DD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339AF338">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537" w:type="dxa"/>
            <w:noWrap w:val="0"/>
            <w:vAlign w:val="top"/>
          </w:tcPr>
          <w:p w14:paraId="55AC586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260" w:type="dxa"/>
            <w:noWrap w:val="0"/>
            <w:vAlign w:val="top"/>
          </w:tcPr>
          <w:p w14:paraId="0F4EA392">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r>
      <w:tr w14:paraId="733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7AAB31F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p w14:paraId="569D74F8">
            <w:pPr>
              <w:snapToGrid w:val="0"/>
              <w:spacing w:line="360" w:lineRule="auto"/>
              <w:rPr>
                <w:rFonts w:hint="eastAsia" w:ascii="仿宋" w:hAnsi="仿宋" w:eastAsia="仿宋" w:cs="仿宋"/>
                <w:sz w:val="28"/>
                <w:szCs w:val="28"/>
              </w:rPr>
            </w:pPr>
          </w:p>
        </w:tc>
        <w:tc>
          <w:tcPr>
            <w:tcW w:w="3537" w:type="dxa"/>
            <w:noWrap w:val="0"/>
            <w:vAlign w:val="top"/>
          </w:tcPr>
          <w:p w14:paraId="210C05A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tc>
        <w:tc>
          <w:tcPr>
            <w:tcW w:w="3260" w:type="dxa"/>
            <w:noWrap w:val="0"/>
            <w:vAlign w:val="top"/>
          </w:tcPr>
          <w:p w14:paraId="4628BC9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经办人：（签字）</w:t>
            </w:r>
          </w:p>
        </w:tc>
      </w:tr>
      <w:tr w14:paraId="65A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6A0483FC">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537" w:type="dxa"/>
            <w:noWrap w:val="0"/>
            <w:vAlign w:val="top"/>
          </w:tcPr>
          <w:p w14:paraId="45756C7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260" w:type="dxa"/>
            <w:noWrap w:val="0"/>
            <w:vAlign w:val="top"/>
          </w:tcPr>
          <w:p w14:paraId="0BEDB3AE">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r>
      <w:tr w14:paraId="6AB6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56CBCD02">
            <w:pPr>
              <w:snapToGrid w:val="0"/>
              <w:spacing w:line="360" w:lineRule="auto"/>
              <w:rPr>
                <w:rFonts w:hint="eastAsia" w:ascii="仿宋" w:hAnsi="仿宋" w:eastAsia="仿宋" w:cs="仿宋"/>
                <w:sz w:val="28"/>
                <w:szCs w:val="28"/>
              </w:rPr>
            </w:pPr>
          </w:p>
        </w:tc>
        <w:tc>
          <w:tcPr>
            <w:tcW w:w="3537" w:type="dxa"/>
            <w:noWrap w:val="0"/>
            <w:vAlign w:val="top"/>
          </w:tcPr>
          <w:p w14:paraId="24AA546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开户银行：</w:t>
            </w:r>
          </w:p>
        </w:tc>
        <w:tc>
          <w:tcPr>
            <w:tcW w:w="3260" w:type="dxa"/>
            <w:noWrap w:val="0"/>
            <w:vAlign w:val="top"/>
          </w:tcPr>
          <w:p w14:paraId="7FA70B7A">
            <w:pPr>
              <w:snapToGrid w:val="0"/>
              <w:spacing w:line="360" w:lineRule="auto"/>
              <w:rPr>
                <w:rFonts w:hint="eastAsia" w:ascii="仿宋" w:hAnsi="仿宋" w:eastAsia="仿宋" w:cs="仿宋"/>
                <w:sz w:val="28"/>
                <w:szCs w:val="28"/>
              </w:rPr>
            </w:pPr>
          </w:p>
        </w:tc>
      </w:tr>
      <w:tr w14:paraId="1EEF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730C50DD">
            <w:pPr>
              <w:snapToGrid w:val="0"/>
              <w:spacing w:line="360" w:lineRule="auto"/>
              <w:rPr>
                <w:rFonts w:hint="eastAsia" w:ascii="仿宋" w:hAnsi="仿宋" w:eastAsia="仿宋" w:cs="仿宋"/>
                <w:sz w:val="28"/>
                <w:szCs w:val="28"/>
              </w:rPr>
            </w:pPr>
          </w:p>
        </w:tc>
        <w:tc>
          <w:tcPr>
            <w:tcW w:w="3537" w:type="dxa"/>
            <w:noWrap w:val="0"/>
            <w:vAlign w:val="top"/>
          </w:tcPr>
          <w:p w14:paraId="139CF304">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帐号：</w:t>
            </w:r>
          </w:p>
        </w:tc>
        <w:tc>
          <w:tcPr>
            <w:tcW w:w="3260" w:type="dxa"/>
            <w:noWrap w:val="0"/>
            <w:vAlign w:val="top"/>
          </w:tcPr>
          <w:p w14:paraId="55270AF1">
            <w:pPr>
              <w:snapToGrid w:val="0"/>
              <w:spacing w:line="360" w:lineRule="auto"/>
              <w:rPr>
                <w:rFonts w:hint="eastAsia" w:ascii="仿宋" w:hAnsi="仿宋" w:eastAsia="仿宋" w:cs="仿宋"/>
                <w:sz w:val="28"/>
                <w:szCs w:val="28"/>
              </w:rPr>
            </w:pPr>
          </w:p>
        </w:tc>
      </w:tr>
      <w:tr w14:paraId="0DAF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396E83C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537" w:type="dxa"/>
            <w:noWrap w:val="0"/>
            <w:vAlign w:val="top"/>
          </w:tcPr>
          <w:p w14:paraId="576F67D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260" w:type="dxa"/>
            <w:noWrap w:val="0"/>
            <w:vAlign w:val="top"/>
          </w:tcPr>
          <w:p w14:paraId="5F3C671D">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r>
      <w:bookmarkEnd w:id="41"/>
      <w:bookmarkEnd w:id="42"/>
    </w:tbl>
    <w:p w14:paraId="6F1C5B5B">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7737AD4A">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0F111F15">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1040DFD0">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5174BCEE">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347A2AE3">
      <w:pPr>
        <w:pStyle w:val="10"/>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center"/>
        <w:textAlignment w:val="auto"/>
        <w:outlineLvl w:val="0"/>
        <w:rPr>
          <w:rFonts w:hint="eastAsia" w:ascii="仿宋" w:hAnsi="仿宋" w:eastAsia="仿宋" w:cs="仿宋"/>
          <w:color w:val="auto"/>
          <w:highlight w:val="none"/>
        </w:rPr>
      </w:pPr>
      <w:bookmarkStart w:id="82" w:name="_Toc21263"/>
      <w:r>
        <w:rPr>
          <w:rFonts w:hint="eastAsia" w:ascii="仿宋" w:hAnsi="仿宋" w:eastAsia="仿宋" w:cs="仿宋"/>
          <w:b/>
          <w:bCs/>
          <w:color w:val="auto"/>
          <w:kern w:val="44"/>
          <w:sz w:val="44"/>
          <w:szCs w:val="44"/>
          <w:highlight w:val="none"/>
          <w:lang w:val="en-US" w:eastAsia="zh-CN" w:bidi="ar-SA"/>
        </w:rPr>
        <w:t>第六部分  评标办法</w:t>
      </w:r>
      <w:bookmarkEnd w:id="82"/>
    </w:p>
    <w:p w14:paraId="4D6A0B03">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根据《中华人民共和国政府采购法》及实施条例和《政府采购货物和服务招标投标管理办法》等法律法规规定，结合采购项目特点制定本评标办法。</w:t>
      </w:r>
    </w:p>
    <w:p w14:paraId="7A930747">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一、评标原则</w:t>
      </w:r>
    </w:p>
    <w:p w14:paraId="67DEF735">
      <w:pPr>
        <w:spacing w:line="500" w:lineRule="exact"/>
        <w:ind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坚持公平、公正、科学、择优；服务及时；禁止不正当竞争。</w:t>
      </w:r>
    </w:p>
    <w:p w14:paraId="5B1DE970">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二、评标办法</w:t>
      </w:r>
    </w:p>
    <w:p w14:paraId="54E4EF2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本次招标采用综合评分法（详见本部分评分标准）。</w:t>
      </w:r>
    </w:p>
    <w:p w14:paraId="42E5C743">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三、评标内容</w:t>
      </w:r>
    </w:p>
    <w:p w14:paraId="69299BE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1.本采购项目评标按照下列工作程序进行：</w:t>
      </w:r>
    </w:p>
    <w:p w14:paraId="659475B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（1）资格审查，公开招标采购项目</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唱标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结束后，采购人应当依法对投标人的资格</w:t>
      </w:r>
      <w:r>
        <w:rPr>
          <w:rFonts w:hint="eastAsia" w:ascii="仿宋" w:hAnsi="仿宋" w:eastAsia="仿宋" w:cs="仿宋"/>
          <w:color w:val="auto"/>
          <w:sz w:val="28"/>
          <w:szCs w:val="28"/>
          <w:highlight w:val="none"/>
          <w:lang w:val="en-US" w:eastAsia="zh-CN"/>
        </w:rPr>
        <w:t>证明文件原件</w:t>
      </w:r>
      <w:r>
        <w:rPr>
          <w:rFonts w:hint="eastAsia" w:ascii="仿宋" w:hAnsi="仿宋" w:eastAsia="仿宋" w:cs="仿宋"/>
          <w:color w:val="auto"/>
          <w:sz w:val="28"/>
          <w:szCs w:val="28"/>
          <w:highlight w:val="none"/>
        </w:rPr>
        <w:t>进行审查。依据投标文件，按照招标文件第二部分所述资质标准对投标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进行资质审查，以确定其是否具备相应资质。如果投标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不具备资质、不满足招标文件所规定的资质标准或提供资质证明文件不全,将被视为未实质性响应招标文件。</w:t>
      </w:r>
    </w:p>
    <w:p w14:paraId="670B3D1B">
      <w:pPr>
        <w:spacing w:line="50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2、接下来由评标委员会对资格审查通过的投标单位进行下列评审：</w:t>
      </w:r>
    </w:p>
    <w:p w14:paraId="4C45A982">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（1）投标文件初审；</w:t>
      </w:r>
    </w:p>
    <w:p w14:paraId="6CF580C5">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（2）澄清有关问题；</w:t>
      </w:r>
    </w:p>
    <w:p w14:paraId="278B43A8">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（3）比较与评价；</w:t>
      </w:r>
    </w:p>
    <w:p w14:paraId="765E4BFF">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（4）推荐中标候选单位名单；</w:t>
      </w:r>
    </w:p>
    <w:p w14:paraId="60708062">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（5）编写评标报告。 </w:t>
      </w:r>
    </w:p>
    <w:p w14:paraId="3CBA14F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2.1.1投标文件初审</w:t>
      </w:r>
    </w:p>
    <w:p w14:paraId="338CC4B0">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在资格性、符合性审查时，审查未通过的，不得进入后续评审环节。</w:t>
      </w:r>
    </w:p>
    <w:p w14:paraId="2AD71DAB">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2.1.2投标文件符合性审查</w:t>
      </w:r>
    </w:p>
    <w:p w14:paraId="7AF9B2A3">
      <w:pPr>
        <w:spacing w:line="50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标委员会依法对符合资格投标人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14:paraId="3133ED52">
      <w:pPr>
        <w:spacing w:line="5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2、评标委员会应当按下列评审标准进行符合性审查：</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585"/>
        <w:gridCol w:w="2889"/>
        <w:gridCol w:w="1887"/>
      </w:tblGrid>
      <w:tr w14:paraId="556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27" w:type="dxa"/>
            <w:noWrap w:val="0"/>
            <w:vAlign w:val="center"/>
          </w:tcPr>
          <w:p w14:paraId="4BBBA17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序号</w:t>
            </w:r>
          </w:p>
        </w:tc>
        <w:tc>
          <w:tcPr>
            <w:tcW w:w="3585" w:type="dxa"/>
            <w:noWrap w:val="0"/>
            <w:vAlign w:val="center"/>
          </w:tcPr>
          <w:p w14:paraId="49A8890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评审内容</w:t>
            </w:r>
          </w:p>
        </w:tc>
        <w:tc>
          <w:tcPr>
            <w:tcW w:w="2889" w:type="dxa"/>
            <w:noWrap w:val="0"/>
            <w:vAlign w:val="center"/>
          </w:tcPr>
          <w:p w14:paraId="1DCD8D8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评审标准</w:t>
            </w:r>
          </w:p>
        </w:tc>
        <w:tc>
          <w:tcPr>
            <w:tcW w:w="1887" w:type="dxa"/>
            <w:noWrap w:val="0"/>
            <w:vAlign w:val="center"/>
          </w:tcPr>
          <w:p w14:paraId="512D211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评审结果</w:t>
            </w:r>
          </w:p>
        </w:tc>
      </w:tr>
      <w:tr w14:paraId="3F9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927" w:type="dxa"/>
            <w:noWrap w:val="0"/>
            <w:vAlign w:val="center"/>
          </w:tcPr>
          <w:p w14:paraId="5E592602">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p>
        </w:tc>
        <w:tc>
          <w:tcPr>
            <w:tcW w:w="3585" w:type="dxa"/>
            <w:noWrap w:val="0"/>
            <w:vAlign w:val="center"/>
          </w:tcPr>
          <w:p w14:paraId="5C276EA5">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纸质投标文件正、副本数量及装订方式</w:t>
            </w:r>
          </w:p>
        </w:tc>
        <w:tc>
          <w:tcPr>
            <w:tcW w:w="2889" w:type="dxa"/>
            <w:noWrap w:val="0"/>
            <w:vAlign w:val="center"/>
          </w:tcPr>
          <w:p w14:paraId="28A0F18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18990CD">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EF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7F8A73A1">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w:t>
            </w:r>
          </w:p>
        </w:tc>
        <w:tc>
          <w:tcPr>
            <w:tcW w:w="3585" w:type="dxa"/>
            <w:noWrap w:val="0"/>
            <w:vAlign w:val="center"/>
          </w:tcPr>
          <w:p w14:paraId="567261C9">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w:t>
            </w:r>
          </w:p>
        </w:tc>
        <w:tc>
          <w:tcPr>
            <w:tcW w:w="2889" w:type="dxa"/>
            <w:noWrap w:val="0"/>
            <w:vAlign w:val="center"/>
          </w:tcPr>
          <w:p w14:paraId="160A0B8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投标文件语言符合招标文件要求。</w:t>
            </w:r>
          </w:p>
        </w:tc>
        <w:tc>
          <w:tcPr>
            <w:tcW w:w="1887" w:type="dxa"/>
            <w:noWrap w:val="0"/>
            <w:vAlign w:val="center"/>
          </w:tcPr>
          <w:p w14:paraId="653F19B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08DB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trPr>
        <w:tc>
          <w:tcPr>
            <w:tcW w:w="927" w:type="dxa"/>
            <w:noWrap w:val="0"/>
            <w:vAlign w:val="center"/>
          </w:tcPr>
          <w:p w14:paraId="66ED46B5">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w:t>
            </w:r>
          </w:p>
        </w:tc>
        <w:tc>
          <w:tcPr>
            <w:tcW w:w="3585" w:type="dxa"/>
            <w:noWrap w:val="0"/>
            <w:vAlign w:val="center"/>
          </w:tcPr>
          <w:p w14:paraId="1F06074B">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投标文件封面、投标函、法定代表人授权委托书三处的项目名称、项目编号、标段</w:t>
            </w:r>
          </w:p>
        </w:tc>
        <w:tc>
          <w:tcPr>
            <w:tcW w:w="2889" w:type="dxa"/>
            <w:noWrap w:val="0"/>
            <w:vAlign w:val="center"/>
          </w:tcPr>
          <w:p w14:paraId="298140F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三处均无遗漏，且与所投项目名称、项目编号、标段完全一致。</w:t>
            </w:r>
          </w:p>
        </w:tc>
        <w:tc>
          <w:tcPr>
            <w:tcW w:w="1887" w:type="dxa"/>
            <w:noWrap w:val="0"/>
            <w:vAlign w:val="center"/>
          </w:tcPr>
          <w:p w14:paraId="62771700">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98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064FEACD">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4</w:t>
            </w:r>
          </w:p>
        </w:tc>
        <w:tc>
          <w:tcPr>
            <w:tcW w:w="3585" w:type="dxa"/>
            <w:noWrap w:val="0"/>
            <w:vAlign w:val="center"/>
          </w:tcPr>
          <w:p w14:paraId="07914837">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w:t>
            </w:r>
            <w:r>
              <w:rPr>
                <w:rFonts w:hint="eastAsia" w:ascii="仿宋" w:hAnsi="仿宋" w:eastAsia="仿宋" w:cs="仿宋"/>
                <w:bCs/>
                <w:color w:val="auto"/>
                <w:sz w:val="28"/>
                <w:szCs w:val="28"/>
                <w:highlight w:val="none"/>
                <w:lang w:val="en-US" w:eastAsia="zh-CN"/>
              </w:rPr>
              <w:t>签署</w:t>
            </w:r>
            <w:r>
              <w:rPr>
                <w:rFonts w:hint="eastAsia" w:ascii="仿宋" w:hAnsi="仿宋" w:eastAsia="仿宋" w:cs="仿宋"/>
                <w:bCs/>
                <w:color w:val="auto"/>
                <w:sz w:val="28"/>
                <w:szCs w:val="28"/>
                <w:highlight w:val="none"/>
              </w:rPr>
              <w:t>、盖章</w:t>
            </w:r>
          </w:p>
        </w:tc>
        <w:tc>
          <w:tcPr>
            <w:tcW w:w="2889" w:type="dxa"/>
            <w:noWrap w:val="0"/>
            <w:vAlign w:val="center"/>
          </w:tcPr>
          <w:p w14:paraId="6A680187">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54D612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CC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927" w:type="dxa"/>
            <w:noWrap w:val="0"/>
            <w:vAlign w:val="center"/>
          </w:tcPr>
          <w:p w14:paraId="6D2184F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p>
        </w:tc>
        <w:tc>
          <w:tcPr>
            <w:tcW w:w="3585" w:type="dxa"/>
            <w:noWrap w:val="0"/>
            <w:vAlign w:val="center"/>
          </w:tcPr>
          <w:p w14:paraId="7FFA7F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投标文件内容</w:t>
            </w:r>
          </w:p>
        </w:tc>
        <w:tc>
          <w:tcPr>
            <w:tcW w:w="2889" w:type="dxa"/>
            <w:noWrap w:val="0"/>
            <w:vAlign w:val="center"/>
          </w:tcPr>
          <w:p w14:paraId="00E11F5F">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关键内容是否存在字迹模糊、无法辨认的情形</w:t>
            </w:r>
          </w:p>
        </w:tc>
        <w:tc>
          <w:tcPr>
            <w:tcW w:w="1887" w:type="dxa"/>
            <w:noWrap w:val="0"/>
            <w:vAlign w:val="center"/>
          </w:tcPr>
          <w:p w14:paraId="6517443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94B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927" w:type="dxa"/>
            <w:noWrap w:val="0"/>
            <w:vAlign w:val="center"/>
          </w:tcPr>
          <w:p w14:paraId="65640D96">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6</w:t>
            </w:r>
          </w:p>
        </w:tc>
        <w:tc>
          <w:tcPr>
            <w:tcW w:w="3585" w:type="dxa"/>
            <w:noWrap w:val="0"/>
            <w:vAlign w:val="center"/>
          </w:tcPr>
          <w:p w14:paraId="74F7EDBF">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投标有效期</w:t>
            </w:r>
          </w:p>
        </w:tc>
        <w:tc>
          <w:tcPr>
            <w:tcW w:w="2889" w:type="dxa"/>
            <w:noWrap w:val="0"/>
            <w:vAlign w:val="center"/>
          </w:tcPr>
          <w:p w14:paraId="4A27AE2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040A0BF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428B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trPr>
        <w:tc>
          <w:tcPr>
            <w:tcW w:w="927" w:type="dxa"/>
            <w:noWrap w:val="0"/>
            <w:vAlign w:val="center"/>
          </w:tcPr>
          <w:p w14:paraId="7FA5D3A1">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7</w:t>
            </w:r>
          </w:p>
        </w:tc>
        <w:tc>
          <w:tcPr>
            <w:tcW w:w="3585" w:type="dxa"/>
            <w:noWrap w:val="0"/>
            <w:vAlign w:val="center"/>
          </w:tcPr>
          <w:p w14:paraId="374250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w:t>
            </w:r>
          </w:p>
        </w:tc>
        <w:tc>
          <w:tcPr>
            <w:tcW w:w="2889" w:type="dxa"/>
            <w:noWrap w:val="0"/>
            <w:vAlign w:val="center"/>
          </w:tcPr>
          <w:p w14:paraId="0DC4675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投标报价是否唯一</w:t>
            </w:r>
            <w:r>
              <w:rPr>
                <w:rFonts w:hint="eastAsia" w:ascii="仿宋" w:hAnsi="仿宋" w:eastAsia="仿宋" w:cs="仿宋"/>
                <w:bCs/>
                <w:color w:val="auto"/>
                <w:sz w:val="28"/>
                <w:szCs w:val="28"/>
                <w:highlight w:val="none"/>
                <w:lang w:eastAsia="zh-CN"/>
              </w:rPr>
              <w:t>，是否</w:t>
            </w:r>
            <w:r>
              <w:rPr>
                <w:rFonts w:hint="eastAsia" w:ascii="仿宋" w:hAnsi="仿宋" w:eastAsia="仿宋" w:cs="仿宋"/>
                <w:color w:val="000000"/>
                <w:sz w:val="30"/>
                <w:szCs w:val="30"/>
              </w:rPr>
              <w:t>等于或高于本项目财政审核价格</w:t>
            </w:r>
          </w:p>
        </w:tc>
        <w:tc>
          <w:tcPr>
            <w:tcW w:w="1887" w:type="dxa"/>
            <w:noWrap w:val="0"/>
            <w:vAlign w:val="center"/>
          </w:tcPr>
          <w:p w14:paraId="70AE829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582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927" w:type="dxa"/>
            <w:noWrap w:val="0"/>
            <w:vAlign w:val="center"/>
          </w:tcPr>
          <w:p w14:paraId="0D58C8A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8</w:t>
            </w:r>
          </w:p>
        </w:tc>
        <w:tc>
          <w:tcPr>
            <w:tcW w:w="3585" w:type="dxa"/>
            <w:noWrap w:val="0"/>
            <w:vAlign w:val="center"/>
          </w:tcPr>
          <w:p w14:paraId="15C7C6B3">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技术/服务要求</w:t>
            </w:r>
          </w:p>
        </w:tc>
        <w:tc>
          <w:tcPr>
            <w:tcW w:w="2889" w:type="dxa"/>
            <w:noWrap w:val="0"/>
            <w:vAlign w:val="center"/>
          </w:tcPr>
          <w:p w14:paraId="60220908">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完全理解并接受对合格投标人、合格的货物或服务要求，技术/服务没有重大偏离和保留。</w:t>
            </w:r>
          </w:p>
        </w:tc>
        <w:tc>
          <w:tcPr>
            <w:tcW w:w="1887" w:type="dxa"/>
            <w:noWrap w:val="0"/>
            <w:vAlign w:val="center"/>
          </w:tcPr>
          <w:p w14:paraId="719EABB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B7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927" w:type="dxa"/>
            <w:noWrap w:val="0"/>
            <w:vAlign w:val="center"/>
          </w:tcPr>
          <w:p w14:paraId="37A70689">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9</w:t>
            </w:r>
          </w:p>
        </w:tc>
        <w:tc>
          <w:tcPr>
            <w:tcW w:w="3585" w:type="dxa"/>
            <w:noWrap w:val="0"/>
            <w:vAlign w:val="center"/>
          </w:tcPr>
          <w:p w14:paraId="0A5E58E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服务期</w:t>
            </w:r>
          </w:p>
        </w:tc>
        <w:tc>
          <w:tcPr>
            <w:tcW w:w="2889" w:type="dxa"/>
            <w:noWrap w:val="0"/>
            <w:vAlign w:val="center"/>
          </w:tcPr>
          <w:p w14:paraId="740B5372">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w:t>
            </w:r>
          </w:p>
          <w:p w14:paraId="05376BE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要求</w:t>
            </w:r>
          </w:p>
        </w:tc>
        <w:tc>
          <w:tcPr>
            <w:tcW w:w="1887" w:type="dxa"/>
            <w:noWrap w:val="0"/>
            <w:vAlign w:val="center"/>
          </w:tcPr>
          <w:p w14:paraId="6CE985F4">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6D36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trPr>
        <w:tc>
          <w:tcPr>
            <w:tcW w:w="927" w:type="dxa"/>
            <w:noWrap w:val="0"/>
            <w:vAlign w:val="center"/>
          </w:tcPr>
          <w:p w14:paraId="4F910E00">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w:t>
            </w:r>
          </w:p>
        </w:tc>
        <w:tc>
          <w:tcPr>
            <w:tcW w:w="3585" w:type="dxa"/>
            <w:noWrap w:val="0"/>
            <w:vAlign w:val="center"/>
          </w:tcPr>
          <w:p w14:paraId="02E97F8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投标文件响应性</w:t>
            </w:r>
          </w:p>
        </w:tc>
        <w:tc>
          <w:tcPr>
            <w:tcW w:w="2889" w:type="dxa"/>
            <w:noWrap w:val="0"/>
            <w:vAlign w:val="center"/>
          </w:tcPr>
          <w:p w14:paraId="3604FD2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是否响应招标文件</w:t>
            </w:r>
            <w:r>
              <w:rPr>
                <w:rFonts w:hint="eastAsia" w:ascii="仿宋" w:hAnsi="仿宋" w:eastAsia="仿宋" w:cs="仿宋"/>
                <w:bCs/>
                <w:color w:val="auto"/>
                <w:sz w:val="28"/>
                <w:szCs w:val="28"/>
                <w:highlight w:val="none"/>
                <w:lang w:eastAsia="zh-CN"/>
              </w:rPr>
              <w:t>全部内容</w:t>
            </w:r>
            <w:r>
              <w:rPr>
                <w:rFonts w:hint="eastAsia" w:ascii="仿宋" w:hAnsi="仿宋" w:eastAsia="仿宋" w:cs="仿宋"/>
                <w:bCs/>
                <w:color w:val="auto"/>
                <w:sz w:val="28"/>
                <w:szCs w:val="28"/>
                <w:highlight w:val="none"/>
              </w:rPr>
              <w:t>和合同主要条款内容</w:t>
            </w:r>
          </w:p>
        </w:tc>
        <w:tc>
          <w:tcPr>
            <w:tcW w:w="1887" w:type="dxa"/>
            <w:noWrap w:val="0"/>
            <w:vAlign w:val="center"/>
          </w:tcPr>
          <w:p w14:paraId="27A4F0E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2A8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trPr>
        <w:tc>
          <w:tcPr>
            <w:tcW w:w="927" w:type="dxa"/>
            <w:noWrap w:val="0"/>
            <w:vAlign w:val="center"/>
          </w:tcPr>
          <w:p w14:paraId="53B970C8">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w:t>
            </w:r>
          </w:p>
        </w:tc>
        <w:tc>
          <w:tcPr>
            <w:tcW w:w="3585" w:type="dxa"/>
            <w:noWrap w:val="0"/>
            <w:vAlign w:val="center"/>
          </w:tcPr>
          <w:p w14:paraId="20AB9BF5">
            <w:pPr>
              <w:spacing w:line="240" w:lineRule="auto"/>
              <w:ind w:firstLine="280" w:firstLineChars="100"/>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无其他招标文件或法规明确规定响应无效的事项</w:t>
            </w:r>
          </w:p>
        </w:tc>
        <w:tc>
          <w:tcPr>
            <w:tcW w:w="2889" w:type="dxa"/>
            <w:noWrap w:val="0"/>
            <w:vAlign w:val="center"/>
          </w:tcPr>
          <w:p w14:paraId="59FBD8A1">
            <w:pPr>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完全理解并接受对投标人的各项须知、规约要求和责任义务，没有不符合招标文件规定的被视为无效投标的其他条</w:t>
            </w:r>
            <w:r>
              <w:rPr>
                <w:rFonts w:hint="eastAsia" w:ascii="仿宋" w:hAnsi="仿宋" w:eastAsia="仿宋" w:cs="仿宋"/>
                <w:bCs/>
                <w:color w:val="auto"/>
                <w:sz w:val="28"/>
                <w:szCs w:val="28"/>
                <w:highlight w:val="none"/>
                <w:lang w:val="en-US" w:eastAsia="zh-CN"/>
              </w:rPr>
              <w:t>条款。</w:t>
            </w:r>
          </w:p>
        </w:tc>
        <w:tc>
          <w:tcPr>
            <w:tcW w:w="1887" w:type="dxa"/>
            <w:noWrap w:val="0"/>
            <w:vAlign w:val="center"/>
          </w:tcPr>
          <w:p w14:paraId="25BBD19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bl>
    <w:p w14:paraId="116924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说明：以上各项有1项不合格，评审不予通过，作为未实质性响应招标文件。</w:t>
      </w:r>
    </w:p>
    <w:p w14:paraId="1D4FCA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、未通过符合性检查的投标文件，不得进入后续评标环节。</w:t>
      </w:r>
    </w:p>
    <w:p w14:paraId="50E65F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2.2.1投标文件的澄清</w:t>
      </w:r>
    </w:p>
    <w:p w14:paraId="52667E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为有助于投标文件的审查、比较和评价，评标委员会可要求投标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授权代表人</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的澄清、说明或者补正不得超出投标文件的范围或者改变投标文件的实质性内容。评委会不接受投标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主动提出的澄清、说明。</w:t>
      </w:r>
    </w:p>
    <w:p w14:paraId="4441FCF9">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有效的书面澄清材料，是投标文件的补充材料，成为投标文件的组成部分。</w:t>
      </w:r>
    </w:p>
    <w:p w14:paraId="2F19EA36">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2.3.1.投标文件比较与评价</w:t>
      </w:r>
    </w:p>
    <w:p w14:paraId="18495AE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1、评委会应按照招标文件中规定的评标方法和标准，对资格性检查和符合性检查合格的投标文件进行商务和技术评估，综合比较与评价。</w:t>
      </w:r>
    </w:p>
    <w:p w14:paraId="0F7F064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评标委员会按照评分标准进行独立记名评分，其合计即为该投标人的综合得分，并汇总排序，推荐至少三名中标候选人。  </w:t>
      </w:r>
    </w:p>
    <w:p w14:paraId="500E9B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如果投标文件没有实质性响应招标文件的要求，评委会将予以拒绝。投标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不得通过修正或撤销不合要求的偏离或保留，从而使其投标成为实质性响应的投标。</w:t>
      </w:r>
    </w:p>
    <w:p w14:paraId="5F77ADD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四、评标须知</w:t>
      </w:r>
    </w:p>
    <w:p w14:paraId="304D9A99">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1、凡属于对投标文件的审查、澄清、比较和评标的有关资料、中标候选人的有关情况以及与评标有关的其他任何情况均应严格保密。</w:t>
      </w:r>
    </w:p>
    <w:p w14:paraId="0279801F">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2、在投标文件的评审和比较、中标单位的确定以及合同的签订过程中，投标人向评标委员会施加压力的任何行为，都将会导致其投标被拒绝。</w:t>
      </w:r>
    </w:p>
    <w:p w14:paraId="7D93CDE2">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了有助于投标文件的审查、评价和比较，评标委员会可要求投标人对投标文件含义不明确的内容作必要的澄清或说明。投标人应采用书面形式进行澄清或说明，并不得超出投标文件的范围或改变投标文件的实质性内容。但不得寻求或建议对投标价格和投标文件的实质进行变更。</w:t>
      </w:r>
    </w:p>
    <w:p w14:paraId="6EC8C366">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4、中标单位确定后，招标人和招标代理机构对未中标原因不做任何解释，投标文件不予退还。  </w:t>
      </w:r>
    </w:p>
    <w:p w14:paraId="01D1BCF6">
      <w:pPr>
        <w:spacing w:line="500" w:lineRule="exact"/>
        <w:ind w:firstLine="562" w:firstLineChars="200"/>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五、评分标准</w:t>
      </w:r>
    </w:p>
    <w:p w14:paraId="406EBF4D">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满分：100分，综合评分法。各分项分值分配如下：</w:t>
      </w:r>
    </w:p>
    <w:p w14:paraId="2AC49D63">
      <w:pPr>
        <w:pStyle w:val="11"/>
        <w:rPr>
          <w:rFonts w:hint="eastAsia" w:ascii="仿宋" w:hAnsi="仿宋" w:eastAsia="仿宋" w:cs="仿宋"/>
        </w:rPr>
      </w:pPr>
    </w:p>
    <w:p w14:paraId="3648F4E2">
      <w:pPr>
        <w:rPr>
          <w:rFonts w:hint="eastAsia" w:ascii="仿宋" w:hAnsi="仿宋" w:eastAsia="仿宋" w:cs="仿宋"/>
        </w:rPr>
      </w:pPr>
    </w:p>
    <w:tbl>
      <w:tblPr>
        <w:tblStyle w:val="26"/>
        <w:tblW w:w="905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8"/>
        <w:gridCol w:w="1245"/>
        <w:gridCol w:w="6496"/>
      </w:tblGrid>
      <w:tr w14:paraId="04B3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 w:hRule="atLeast"/>
        </w:trPr>
        <w:tc>
          <w:tcPr>
            <w:tcW w:w="1318" w:type="dxa"/>
            <w:vAlign w:val="top"/>
          </w:tcPr>
          <w:p w14:paraId="2157C56F">
            <w:pPr>
              <w:pStyle w:val="25"/>
              <w:spacing w:before="78" w:line="222" w:lineRule="auto"/>
              <w:jc w:val="center"/>
              <w:rPr>
                <w:rFonts w:hint="default"/>
                <w:b/>
                <w:bCs/>
                <w:sz w:val="24"/>
                <w:szCs w:val="24"/>
                <w:lang w:val="en-US" w:eastAsia="zh-CN"/>
              </w:rPr>
            </w:pPr>
            <w:r>
              <w:rPr>
                <w:rFonts w:hint="eastAsia"/>
                <w:b/>
                <w:bCs/>
                <w:sz w:val="24"/>
                <w:szCs w:val="24"/>
                <w:lang w:val="en-US" w:eastAsia="zh-CN"/>
              </w:rPr>
              <w:t>名称</w:t>
            </w:r>
          </w:p>
        </w:tc>
        <w:tc>
          <w:tcPr>
            <w:tcW w:w="1245" w:type="dxa"/>
            <w:vAlign w:val="top"/>
          </w:tcPr>
          <w:p w14:paraId="69DC28B0">
            <w:pPr>
              <w:pStyle w:val="25"/>
              <w:spacing w:before="78" w:line="180" w:lineRule="auto"/>
              <w:jc w:val="left"/>
              <w:rPr>
                <w:rFonts w:hint="default" w:eastAsia="仿宋"/>
                <w:b/>
                <w:bCs/>
                <w:spacing w:val="-7"/>
                <w:sz w:val="24"/>
                <w:szCs w:val="24"/>
                <w:lang w:val="en-US" w:eastAsia="zh-CN"/>
              </w:rPr>
            </w:pPr>
            <w:r>
              <w:rPr>
                <w:rFonts w:hint="eastAsia"/>
                <w:b/>
                <w:bCs/>
                <w:spacing w:val="-7"/>
                <w:sz w:val="24"/>
                <w:szCs w:val="24"/>
                <w:lang w:val="en-US" w:eastAsia="zh-CN"/>
              </w:rPr>
              <w:t>最高分值</w:t>
            </w:r>
          </w:p>
        </w:tc>
        <w:tc>
          <w:tcPr>
            <w:tcW w:w="6496" w:type="dxa"/>
            <w:vAlign w:val="top"/>
          </w:tcPr>
          <w:p w14:paraId="74B233DD">
            <w:pPr>
              <w:pStyle w:val="25"/>
              <w:spacing w:before="110" w:line="279" w:lineRule="auto"/>
              <w:ind w:right="110"/>
              <w:jc w:val="center"/>
              <w:rPr>
                <w:rFonts w:hint="default"/>
                <w:b/>
                <w:bCs/>
                <w:spacing w:val="-8"/>
                <w:sz w:val="24"/>
                <w:szCs w:val="24"/>
                <w:lang w:val="en-US" w:eastAsia="zh-CN"/>
              </w:rPr>
            </w:pPr>
            <w:r>
              <w:rPr>
                <w:rFonts w:hint="eastAsia"/>
                <w:b/>
                <w:bCs/>
                <w:spacing w:val="-8"/>
                <w:sz w:val="24"/>
                <w:szCs w:val="24"/>
                <w:lang w:val="en-US" w:eastAsia="zh-CN"/>
              </w:rPr>
              <w:t>评审要素</w:t>
            </w:r>
          </w:p>
        </w:tc>
      </w:tr>
      <w:tr w14:paraId="75AE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318" w:type="dxa"/>
            <w:vAlign w:val="top"/>
          </w:tcPr>
          <w:p w14:paraId="2AA74FC2">
            <w:pPr>
              <w:spacing w:line="402" w:lineRule="auto"/>
              <w:rPr>
                <w:rFonts w:ascii="Arial"/>
                <w:sz w:val="24"/>
                <w:szCs w:val="24"/>
              </w:rPr>
            </w:pPr>
          </w:p>
          <w:p w14:paraId="1C06EE90">
            <w:pPr>
              <w:pStyle w:val="25"/>
              <w:spacing w:before="78" w:line="222" w:lineRule="auto"/>
              <w:rPr>
                <w:sz w:val="24"/>
                <w:szCs w:val="24"/>
              </w:rPr>
            </w:pPr>
            <w:r>
              <w:rPr>
                <w:rFonts w:hint="eastAsia"/>
                <w:sz w:val="24"/>
                <w:szCs w:val="24"/>
                <w:lang w:val="en-US" w:eastAsia="zh-CN"/>
              </w:rPr>
              <w:t>投标报价</w:t>
            </w:r>
          </w:p>
        </w:tc>
        <w:tc>
          <w:tcPr>
            <w:tcW w:w="1245" w:type="dxa"/>
            <w:vAlign w:val="top"/>
          </w:tcPr>
          <w:p w14:paraId="074B81FA">
            <w:pPr>
              <w:pStyle w:val="25"/>
              <w:spacing w:before="78" w:line="180" w:lineRule="auto"/>
              <w:rPr>
                <w:spacing w:val="-7"/>
                <w:sz w:val="24"/>
                <w:szCs w:val="24"/>
              </w:rPr>
            </w:pPr>
          </w:p>
          <w:p w14:paraId="465BD88D">
            <w:pPr>
              <w:pStyle w:val="25"/>
              <w:spacing w:before="78" w:line="180" w:lineRule="auto"/>
              <w:ind w:left="241"/>
              <w:rPr>
                <w:spacing w:val="-7"/>
                <w:sz w:val="24"/>
                <w:szCs w:val="24"/>
              </w:rPr>
            </w:pPr>
          </w:p>
          <w:p w14:paraId="3A375E7A">
            <w:pPr>
              <w:pStyle w:val="25"/>
              <w:spacing w:before="78" w:line="180" w:lineRule="auto"/>
              <w:ind w:left="241"/>
              <w:rPr>
                <w:rFonts w:hint="default" w:eastAsia="仿宋"/>
                <w:sz w:val="24"/>
                <w:szCs w:val="24"/>
                <w:lang w:val="en-US" w:eastAsia="zh-CN"/>
              </w:rPr>
            </w:pPr>
            <w:r>
              <w:rPr>
                <w:rFonts w:hint="eastAsia"/>
                <w:spacing w:val="-7"/>
                <w:sz w:val="24"/>
                <w:szCs w:val="24"/>
                <w:lang w:val="en-US" w:eastAsia="zh-CN"/>
              </w:rPr>
              <w:t>20</w:t>
            </w:r>
          </w:p>
        </w:tc>
        <w:tc>
          <w:tcPr>
            <w:tcW w:w="6496" w:type="dxa"/>
            <w:vAlign w:val="top"/>
          </w:tcPr>
          <w:p w14:paraId="5235B6F5">
            <w:pPr>
              <w:pStyle w:val="25"/>
              <w:spacing w:before="110" w:line="279" w:lineRule="auto"/>
              <w:ind w:left="149" w:right="110" w:hanging="29"/>
              <w:jc w:val="both"/>
              <w:rPr>
                <w:spacing w:val="-8"/>
                <w:sz w:val="24"/>
                <w:szCs w:val="24"/>
              </w:rPr>
            </w:pPr>
            <w:r>
              <w:rPr>
                <w:rFonts w:hint="eastAsia"/>
                <w:spacing w:val="-8"/>
                <w:sz w:val="24"/>
                <w:szCs w:val="24"/>
                <w:lang w:val="en-US" w:eastAsia="zh-CN"/>
              </w:rPr>
              <w:t>投标报价分=（投标最低报价／投标报价）×20分（四舍五入后保留小数点后两位，投标单位的投标价明显低于正常报价的，评审组可要求投标单位在规定的期限内提供相关证明材料:投标单位不能证明其报价合理的，可视为投标无效。</w:t>
            </w:r>
            <w:r>
              <w:rPr>
                <w:rFonts w:hint="eastAsia" w:ascii="仿宋" w:hAnsi="仿宋" w:eastAsia="仿宋" w:cs="仿宋"/>
                <w:color w:val="auto"/>
                <w:kern w:val="2"/>
                <w:sz w:val="24"/>
                <w:szCs w:val="24"/>
                <w:highlight w:val="none"/>
                <w:shd w:val="clear" w:color="auto" w:fill="auto"/>
                <w:lang w:val="en-US" w:eastAsia="zh-CN" w:bidi="ar-SA"/>
              </w:rPr>
              <w:t>符合文件规定的</w:t>
            </w:r>
            <w:r>
              <w:rPr>
                <w:rFonts w:hint="eastAsia" w:cs="仿宋"/>
                <w:color w:val="auto"/>
                <w:kern w:val="2"/>
                <w:sz w:val="24"/>
                <w:szCs w:val="24"/>
                <w:highlight w:val="none"/>
                <w:shd w:val="clear" w:color="auto" w:fill="auto"/>
                <w:lang w:val="en-US" w:eastAsia="zh-CN" w:bidi="ar-SA"/>
              </w:rPr>
              <w:t>中</w:t>
            </w:r>
            <w:r>
              <w:rPr>
                <w:rFonts w:hint="eastAsia" w:ascii="仿宋" w:hAnsi="仿宋" w:eastAsia="仿宋" w:cs="仿宋"/>
                <w:color w:val="auto"/>
                <w:kern w:val="2"/>
                <w:sz w:val="24"/>
                <w:szCs w:val="24"/>
                <w:highlight w:val="none"/>
                <w:shd w:val="clear" w:color="auto" w:fill="auto"/>
                <w:lang w:val="en-US" w:eastAsia="zh-CN" w:bidi="ar-SA"/>
              </w:rPr>
              <w:t>小微企业、监狱企业、残疾人福利性单位优惠条件的供应商，价格给予10%的扣除，用扣除后的价格参与评审。</w:t>
            </w:r>
          </w:p>
        </w:tc>
      </w:tr>
      <w:tr w14:paraId="3DC7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18" w:type="dxa"/>
            <w:vAlign w:val="center"/>
          </w:tcPr>
          <w:p w14:paraId="37F00C2E">
            <w:pPr>
              <w:pStyle w:val="25"/>
              <w:spacing w:before="78" w:line="259" w:lineRule="auto"/>
              <w:ind w:right="123"/>
              <w:jc w:val="both"/>
              <w:rPr>
                <w:sz w:val="24"/>
                <w:szCs w:val="24"/>
              </w:rPr>
            </w:pPr>
            <w:r>
              <w:rPr>
                <w:rFonts w:hint="eastAsia"/>
                <w:sz w:val="24"/>
                <w:szCs w:val="24"/>
                <w:lang w:val="en-US" w:eastAsia="zh-CN"/>
              </w:rPr>
              <w:t>技术部分</w:t>
            </w:r>
          </w:p>
        </w:tc>
        <w:tc>
          <w:tcPr>
            <w:tcW w:w="1245" w:type="dxa"/>
            <w:vAlign w:val="center"/>
          </w:tcPr>
          <w:p w14:paraId="4770DBC1">
            <w:pPr>
              <w:pStyle w:val="25"/>
              <w:spacing w:before="78" w:line="180" w:lineRule="auto"/>
              <w:ind w:left="117"/>
              <w:jc w:val="center"/>
              <w:rPr>
                <w:rFonts w:hint="default" w:eastAsia="仿宋"/>
                <w:sz w:val="24"/>
                <w:szCs w:val="24"/>
                <w:lang w:val="en-US" w:eastAsia="zh-CN"/>
              </w:rPr>
            </w:pPr>
            <w:r>
              <w:rPr>
                <w:rFonts w:hint="eastAsia"/>
                <w:sz w:val="24"/>
                <w:szCs w:val="24"/>
                <w:lang w:val="en-US" w:eastAsia="zh-CN"/>
              </w:rPr>
              <w:t>47</w:t>
            </w:r>
          </w:p>
        </w:tc>
        <w:tc>
          <w:tcPr>
            <w:tcW w:w="6496" w:type="dxa"/>
            <w:vAlign w:val="top"/>
          </w:tcPr>
          <w:p w14:paraId="002FDDB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484CEFE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根据项目实际需求，提供技术实施方案，内容包含：①实施方案②风险管控方案③理赔方案及时效④工作流程⑤时间及人员安排⑥项目实施进度计划安排⑦项目组织实施体系⑧针对本项目的业务管理规章制度⑨偿付能力。</w:t>
            </w:r>
          </w:p>
          <w:p w14:paraId="7DBE46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065891D3">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1、完整性：方案必须全面，对评审内容中的各项要求有详细描述； </w:t>
            </w:r>
          </w:p>
          <w:p w14:paraId="7D1C0EF8">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2、可实施性：切合本项目实际情况，提出步骤清晰、合理的方案；</w:t>
            </w:r>
          </w:p>
          <w:p w14:paraId="3CFE81FF">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3、针对性：方案能够紧扣项目实际情况，内容科学合理。</w:t>
            </w:r>
          </w:p>
          <w:p w14:paraId="15AFF62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49038CC5">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①实施方案科学每完全满足一个评审标准得3分，满分9分；</w:t>
            </w:r>
          </w:p>
          <w:p w14:paraId="5B9C4A85">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②风险管控方案每完全满足一个评审标准得3分，满分9分；</w:t>
            </w:r>
          </w:p>
          <w:p w14:paraId="551FD130">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③理赔方案及时效每完全满足一个评审标准得3分，满分9分</w:t>
            </w:r>
          </w:p>
          <w:p w14:paraId="641D016E">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④工作流程每完全满足一个评审标准得1分，满分3分；</w:t>
            </w:r>
          </w:p>
          <w:p w14:paraId="78239DEC">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⑤时间及人员安排满足总体进度计划每完全满足一个评审标准得2分，满分6分；</w:t>
            </w:r>
          </w:p>
          <w:p w14:paraId="1872E51D">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⑥项目实施进度计划安排全面、合理每完全满足一个评审标准得1分，满分3分；</w:t>
            </w:r>
          </w:p>
          <w:p w14:paraId="35E9AD88">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⑦项目组织实施体系详尽、切实可行每完全满足一个评审标准得1分，满分3分；</w:t>
            </w:r>
          </w:p>
          <w:p w14:paraId="6A388D4C">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⑧针对本项目的业务管理规章制度完全满足一个评审标准得1分，满分3分；</w:t>
            </w:r>
          </w:p>
          <w:p w14:paraId="59F8D79E">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⑨偿付能力连续两年综合偿付能力充足率高于150%(含)得2分;</w:t>
            </w:r>
          </w:p>
        </w:tc>
      </w:tr>
      <w:tr w14:paraId="5B39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318" w:type="dxa"/>
            <w:vAlign w:val="top"/>
          </w:tcPr>
          <w:p w14:paraId="1532A5C4">
            <w:pPr>
              <w:spacing w:line="254" w:lineRule="auto"/>
              <w:rPr>
                <w:rFonts w:ascii="Arial"/>
                <w:sz w:val="24"/>
                <w:szCs w:val="24"/>
              </w:rPr>
            </w:pPr>
          </w:p>
          <w:p w14:paraId="60722BEA">
            <w:pPr>
              <w:spacing w:line="254" w:lineRule="auto"/>
              <w:rPr>
                <w:rFonts w:ascii="Arial"/>
                <w:sz w:val="24"/>
                <w:szCs w:val="24"/>
              </w:rPr>
            </w:pPr>
          </w:p>
          <w:p w14:paraId="5D44EA59">
            <w:pPr>
              <w:spacing w:line="254" w:lineRule="auto"/>
              <w:rPr>
                <w:rFonts w:ascii="Arial"/>
                <w:sz w:val="24"/>
                <w:szCs w:val="24"/>
              </w:rPr>
            </w:pPr>
          </w:p>
          <w:p w14:paraId="364718CF">
            <w:pPr>
              <w:spacing w:line="254" w:lineRule="auto"/>
              <w:rPr>
                <w:rFonts w:ascii="Arial"/>
                <w:sz w:val="24"/>
                <w:szCs w:val="24"/>
              </w:rPr>
            </w:pPr>
          </w:p>
          <w:p w14:paraId="01895D6C">
            <w:pPr>
              <w:spacing w:line="255" w:lineRule="auto"/>
              <w:rPr>
                <w:rFonts w:ascii="Arial"/>
                <w:sz w:val="24"/>
                <w:szCs w:val="24"/>
              </w:rPr>
            </w:pPr>
          </w:p>
          <w:p w14:paraId="68BB744B">
            <w:pPr>
              <w:pStyle w:val="25"/>
              <w:spacing w:before="78" w:line="250" w:lineRule="auto"/>
              <w:ind w:right="123"/>
              <w:rPr>
                <w:sz w:val="24"/>
                <w:szCs w:val="24"/>
              </w:rPr>
            </w:pPr>
            <w:r>
              <w:rPr>
                <w:rFonts w:hint="eastAsia"/>
                <w:sz w:val="24"/>
                <w:szCs w:val="24"/>
                <w:lang w:val="en-US" w:eastAsia="zh-CN"/>
              </w:rPr>
              <w:t>服务质量保证措施和信息安全管理措施</w:t>
            </w:r>
          </w:p>
        </w:tc>
        <w:tc>
          <w:tcPr>
            <w:tcW w:w="1245" w:type="dxa"/>
            <w:vAlign w:val="top"/>
          </w:tcPr>
          <w:p w14:paraId="1C8CAB5D">
            <w:pPr>
              <w:spacing w:line="248" w:lineRule="auto"/>
              <w:rPr>
                <w:rFonts w:ascii="Arial"/>
                <w:sz w:val="24"/>
                <w:szCs w:val="24"/>
              </w:rPr>
            </w:pPr>
          </w:p>
          <w:p w14:paraId="7B9B659A">
            <w:pPr>
              <w:spacing w:line="248" w:lineRule="auto"/>
              <w:rPr>
                <w:rFonts w:ascii="Arial"/>
                <w:sz w:val="24"/>
                <w:szCs w:val="24"/>
              </w:rPr>
            </w:pPr>
          </w:p>
          <w:p w14:paraId="6DFB3187">
            <w:pPr>
              <w:spacing w:line="248" w:lineRule="auto"/>
              <w:rPr>
                <w:rFonts w:ascii="Arial"/>
                <w:sz w:val="24"/>
                <w:szCs w:val="24"/>
              </w:rPr>
            </w:pPr>
          </w:p>
          <w:p w14:paraId="5268906B">
            <w:pPr>
              <w:spacing w:line="249" w:lineRule="auto"/>
              <w:rPr>
                <w:rFonts w:ascii="Arial"/>
                <w:sz w:val="24"/>
                <w:szCs w:val="24"/>
              </w:rPr>
            </w:pPr>
          </w:p>
          <w:p w14:paraId="5C19070F">
            <w:pPr>
              <w:spacing w:line="249" w:lineRule="auto"/>
              <w:rPr>
                <w:rFonts w:ascii="Arial"/>
                <w:sz w:val="24"/>
                <w:szCs w:val="24"/>
              </w:rPr>
            </w:pPr>
          </w:p>
          <w:p w14:paraId="528C2F0B">
            <w:pPr>
              <w:pStyle w:val="25"/>
              <w:spacing w:before="78" w:line="179" w:lineRule="auto"/>
              <w:ind w:firstLine="232" w:firstLineChars="100"/>
              <w:rPr>
                <w:rFonts w:hint="default" w:eastAsia="仿宋"/>
                <w:sz w:val="24"/>
                <w:szCs w:val="24"/>
                <w:lang w:val="en-US" w:eastAsia="zh-CN"/>
              </w:rPr>
            </w:pPr>
            <w:r>
              <w:rPr>
                <w:rFonts w:hint="eastAsia"/>
                <w:spacing w:val="-4"/>
                <w:sz w:val="24"/>
                <w:szCs w:val="24"/>
                <w:lang w:val="en-US" w:eastAsia="zh-CN"/>
              </w:rPr>
              <w:t>18</w:t>
            </w:r>
          </w:p>
        </w:tc>
        <w:tc>
          <w:tcPr>
            <w:tcW w:w="6496" w:type="dxa"/>
            <w:vAlign w:val="top"/>
          </w:tcPr>
          <w:p w14:paraId="37B7372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340CE8A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根据项目实际需求，提供质量保障措施，内容包含：</w:t>
            </w:r>
          </w:p>
          <w:p w14:paraId="076868F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1.投标人的质量保障计划完善；</w:t>
            </w:r>
          </w:p>
          <w:p w14:paraId="6396995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2.执行标准严格；</w:t>
            </w:r>
          </w:p>
          <w:p w14:paraId="63ABF83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3.服务程序规范；</w:t>
            </w:r>
          </w:p>
          <w:p w14:paraId="5EF16B1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4.质检措施详尽有效；</w:t>
            </w:r>
          </w:p>
          <w:p w14:paraId="3DC6BB6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5.质检措施具有针对性；</w:t>
            </w:r>
          </w:p>
          <w:p w14:paraId="4C53F92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6.项目进度及保证措施。</w:t>
            </w:r>
          </w:p>
          <w:p w14:paraId="54976B5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0CCBF84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1、完整性：质量保障措施必须全面，对评审内容中的各项要求有详细描述； </w:t>
            </w:r>
          </w:p>
          <w:p w14:paraId="661775A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2、可实施性：切合本项目实际情况，提出步骤清晰、合理的质量保障措施；</w:t>
            </w:r>
          </w:p>
          <w:p w14:paraId="2E1D773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3、针对性：质量保障措施能够紧扣项目实际情况， 内容科学合理。</w:t>
            </w:r>
          </w:p>
          <w:p w14:paraId="06F635E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1622823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1.投标人的质量保障计划完善可行每完全满足一个评审标准得1分，满分3分；</w:t>
            </w:r>
          </w:p>
          <w:p w14:paraId="23ABDA7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2.执行标准严格每完全满足一个评审标准得1分，满分3分；</w:t>
            </w:r>
          </w:p>
          <w:p w14:paraId="0038A95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3.服务程序规范每完全满足一个评审标准得1分，满分3分；</w:t>
            </w:r>
          </w:p>
          <w:p w14:paraId="12199A8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4.质检措施详尽有效每完全满足一个评审标准得1分，满分3分；</w:t>
            </w:r>
          </w:p>
          <w:p w14:paraId="0508968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5.质检措施具有针对性每完全满足一个评审标准得1分，满分3分；</w:t>
            </w:r>
          </w:p>
          <w:p w14:paraId="190795FE">
            <w:pPr>
              <w:pStyle w:val="25"/>
              <w:spacing w:before="110" w:line="279" w:lineRule="auto"/>
              <w:ind w:left="149" w:right="110" w:hanging="29"/>
              <w:jc w:val="both"/>
              <w:rPr>
                <w:rFonts w:hint="eastAsia" w:ascii="仿宋" w:hAnsi="仿宋" w:eastAsia="仿宋" w:cs="仿宋"/>
                <w:kern w:val="2"/>
                <w:sz w:val="24"/>
                <w:szCs w:val="24"/>
                <w:lang w:val="en-US" w:eastAsia="zh-CN" w:bidi="ar-SA"/>
              </w:rPr>
            </w:pPr>
            <w:r>
              <w:rPr>
                <w:rFonts w:hint="eastAsia" w:ascii="仿宋" w:hAnsi="仿宋" w:eastAsia="仿宋" w:cs="仿宋"/>
                <w:snapToGrid w:val="0"/>
                <w:color w:val="000000"/>
                <w:sz w:val="24"/>
                <w:szCs w:val="24"/>
                <w:lang w:val="en-US" w:eastAsia="zh-CN" w:bidi="ar-SA"/>
              </w:rPr>
              <w:t>6.项目进度及保证措施每完全满足一个评审标准得</w:t>
            </w:r>
            <w:ins w:id="0" w:author="甯" w:date="2025-11-05T16:40:09Z">
              <w:r>
                <w:rPr>
                  <w:rFonts w:hint="eastAsia" w:cs="仿宋"/>
                  <w:snapToGrid w:val="0"/>
                  <w:color w:val="000000"/>
                  <w:sz w:val="24"/>
                  <w:szCs w:val="24"/>
                  <w:lang w:val="en-US" w:eastAsia="zh-CN" w:bidi="ar-SA"/>
                </w:rPr>
                <w:t>1</w:t>
              </w:r>
            </w:ins>
            <w:del w:id="1" w:author="甯" w:date="2025-11-05T16:40:09Z">
              <w:r>
                <w:rPr>
                  <w:rFonts w:hint="eastAsia" w:ascii="仿宋" w:hAnsi="仿宋" w:eastAsia="仿宋" w:cs="仿宋"/>
                  <w:snapToGrid w:val="0"/>
                  <w:color w:val="000000"/>
                  <w:sz w:val="24"/>
                  <w:szCs w:val="24"/>
                  <w:lang w:val="en-US" w:eastAsia="zh-CN" w:bidi="ar-SA"/>
                </w:rPr>
                <w:delText>2</w:delText>
              </w:r>
            </w:del>
            <w:r>
              <w:rPr>
                <w:rFonts w:hint="eastAsia" w:ascii="仿宋" w:hAnsi="仿宋" w:eastAsia="仿宋" w:cs="仿宋"/>
                <w:snapToGrid w:val="0"/>
                <w:color w:val="000000"/>
                <w:sz w:val="24"/>
                <w:szCs w:val="24"/>
                <w:lang w:val="en-US" w:eastAsia="zh-CN" w:bidi="ar-SA"/>
              </w:rPr>
              <w:t>分，满分</w:t>
            </w:r>
            <w:ins w:id="2" w:author="甯" w:date="2025-11-05T16:40:11Z">
              <w:r>
                <w:rPr>
                  <w:rFonts w:hint="eastAsia" w:cs="仿宋"/>
                  <w:snapToGrid w:val="0"/>
                  <w:color w:val="000000"/>
                  <w:sz w:val="24"/>
                  <w:szCs w:val="24"/>
                  <w:lang w:val="en-US" w:eastAsia="zh-CN" w:bidi="ar-SA"/>
                </w:rPr>
                <w:t>3</w:t>
              </w:r>
            </w:ins>
            <w:del w:id="3" w:author="甯" w:date="2025-11-05T16:40:11Z">
              <w:bookmarkStart w:id="213" w:name="_GoBack"/>
              <w:bookmarkEnd w:id="213"/>
              <w:r>
                <w:rPr>
                  <w:rFonts w:hint="eastAsia" w:ascii="仿宋" w:hAnsi="仿宋" w:eastAsia="仿宋" w:cs="仿宋"/>
                  <w:snapToGrid w:val="0"/>
                  <w:color w:val="000000"/>
                  <w:sz w:val="24"/>
                  <w:szCs w:val="24"/>
                  <w:lang w:val="en-US" w:eastAsia="zh-CN" w:bidi="ar-SA"/>
                </w:rPr>
                <w:delText>6</w:delText>
              </w:r>
            </w:del>
            <w:r>
              <w:rPr>
                <w:rFonts w:hint="eastAsia" w:ascii="仿宋" w:hAnsi="仿宋" w:eastAsia="仿宋" w:cs="仿宋"/>
                <w:snapToGrid w:val="0"/>
                <w:color w:val="000000"/>
                <w:sz w:val="24"/>
                <w:szCs w:val="24"/>
                <w:lang w:val="en-US" w:eastAsia="zh-CN" w:bidi="ar-SA"/>
              </w:rPr>
              <w:t>分。</w:t>
            </w:r>
          </w:p>
        </w:tc>
      </w:tr>
      <w:tr w14:paraId="09F4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18" w:type="dxa"/>
            <w:vAlign w:val="top"/>
          </w:tcPr>
          <w:p w14:paraId="7D3A4CBF">
            <w:pPr>
              <w:pStyle w:val="25"/>
              <w:spacing w:before="78" w:line="259" w:lineRule="auto"/>
              <w:ind w:right="123"/>
              <w:jc w:val="center"/>
              <w:rPr>
                <w:rFonts w:hint="default" w:eastAsia="仿宋"/>
                <w:sz w:val="24"/>
                <w:szCs w:val="24"/>
                <w:lang w:val="en-US" w:eastAsia="zh-CN"/>
              </w:rPr>
            </w:pPr>
            <w:r>
              <w:rPr>
                <w:rFonts w:hint="eastAsia"/>
                <w:sz w:val="24"/>
                <w:szCs w:val="24"/>
                <w:lang w:val="en-US" w:eastAsia="zh-CN"/>
              </w:rPr>
              <w:t>服务承诺</w:t>
            </w:r>
          </w:p>
        </w:tc>
        <w:tc>
          <w:tcPr>
            <w:tcW w:w="1245" w:type="dxa"/>
            <w:vAlign w:val="top"/>
          </w:tcPr>
          <w:p w14:paraId="50A4A1AD">
            <w:pPr>
              <w:pStyle w:val="25"/>
              <w:spacing w:before="78" w:line="180" w:lineRule="auto"/>
              <w:ind w:left="298"/>
              <w:rPr>
                <w:rFonts w:hint="default" w:eastAsia="仿宋"/>
                <w:sz w:val="24"/>
                <w:szCs w:val="24"/>
                <w:lang w:val="en-US" w:eastAsia="zh-CN"/>
              </w:rPr>
            </w:pPr>
            <w:r>
              <w:rPr>
                <w:rFonts w:hint="eastAsia"/>
                <w:sz w:val="24"/>
                <w:szCs w:val="24"/>
                <w:lang w:val="en-US" w:eastAsia="zh-CN"/>
              </w:rPr>
              <w:t>10分</w:t>
            </w:r>
          </w:p>
        </w:tc>
        <w:tc>
          <w:tcPr>
            <w:tcW w:w="6496" w:type="dxa"/>
            <w:vAlign w:val="top"/>
          </w:tcPr>
          <w:p w14:paraId="524F73D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一、评审内容</w:t>
            </w:r>
          </w:p>
          <w:p w14:paraId="4096E07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提供完整、详细的服务承诺包括但不限于用户①现场服务响应时间②问题解决时间③应急预案④服务承诺。</w:t>
            </w:r>
          </w:p>
          <w:p w14:paraId="7A92179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二、评审标准</w:t>
            </w:r>
          </w:p>
          <w:p w14:paraId="37E5328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 xml:space="preserve">1、完整性：方案必须全面，对评审内容中的各项要求有详细描述； </w:t>
            </w:r>
          </w:p>
          <w:p w14:paraId="3727853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2、可实施性：切合本项目实际情况，提出步骤清晰、合理的方案；</w:t>
            </w:r>
          </w:p>
          <w:p w14:paraId="7FF3271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3、针对性：方案能够紧扣项目实际情况，内容科学合理。</w:t>
            </w:r>
          </w:p>
          <w:p w14:paraId="391A1B4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三、赋分依据</w:t>
            </w:r>
          </w:p>
          <w:p w14:paraId="497F6CE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①现场服务响应时间完全满足评审标准1分。</w:t>
            </w:r>
          </w:p>
          <w:p w14:paraId="4606942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②问题解决时间每完全满足一个评审标准得1分，满分3分。</w:t>
            </w:r>
          </w:p>
          <w:p w14:paraId="39EA8A0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 w:hAnsi="仿宋" w:eastAsia="仿宋" w:cs="仿宋"/>
                <w:snapToGrid w:val="0"/>
                <w:color w:val="000000"/>
                <w:sz w:val="24"/>
                <w:szCs w:val="24"/>
                <w:lang w:val="en-US" w:eastAsia="zh-CN" w:bidi="ar-SA"/>
              </w:rPr>
            </w:pPr>
            <w:r>
              <w:rPr>
                <w:rFonts w:hint="eastAsia" w:ascii="仿宋" w:hAnsi="仿宋" w:eastAsia="仿宋" w:cs="仿宋"/>
                <w:snapToGrid w:val="0"/>
                <w:color w:val="000000"/>
                <w:sz w:val="24"/>
                <w:szCs w:val="24"/>
                <w:lang w:val="en-US" w:eastAsia="zh-CN" w:bidi="ar-SA"/>
              </w:rPr>
              <w:t>③应急预案每完全满足一个评审标准得1分，满分3分。</w:t>
            </w:r>
          </w:p>
          <w:p w14:paraId="60D505FE">
            <w:pPr>
              <w:pStyle w:val="25"/>
              <w:spacing w:before="110" w:line="279" w:lineRule="auto"/>
              <w:ind w:left="358" w:leftChars="149" w:right="110" w:firstLine="208" w:firstLineChars="87"/>
              <w:jc w:val="both"/>
              <w:rPr>
                <w:rFonts w:hint="eastAsia"/>
                <w:spacing w:val="-8"/>
                <w:sz w:val="24"/>
                <w:szCs w:val="24"/>
                <w:lang w:eastAsia="zh-CN"/>
              </w:rPr>
            </w:pPr>
            <w:r>
              <w:rPr>
                <w:rFonts w:hint="eastAsia" w:ascii="仿宋" w:hAnsi="仿宋" w:eastAsia="仿宋" w:cs="仿宋"/>
                <w:snapToGrid w:val="0"/>
                <w:color w:val="000000"/>
                <w:sz w:val="24"/>
                <w:szCs w:val="24"/>
                <w:lang w:val="en-US" w:eastAsia="zh-CN" w:bidi="ar-SA"/>
              </w:rPr>
              <w:t>④服务承诺每完全满足一个评审标准得1分，满分3分。</w:t>
            </w:r>
          </w:p>
        </w:tc>
      </w:tr>
      <w:tr w14:paraId="5DD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18" w:type="dxa"/>
            <w:vAlign w:val="top"/>
          </w:tcPr>
          <w:p w14:paraId="60BDD0A3">
            <w:pPr>
              <w:pStyle w:val="25"/>
              <w:spacing w:before="78" w:line="266" w:lineRule="auto"/>
              <w:ind w:right="123" w:rightChars="0"/>
              <w:rPr>
                <w:rFonts w:hint="eastAsia" w:ascii="仿宋" w:hAnsi="仿宋" w:eastAsia="仿宋" w:cs="仿宋"/>
                <w:snapToGrid w:val="0"/>
                <w:color w:val="000000"/>
                <w:kern w:val="0"/>
                <w:sz w:val="24"/>
                <w:szCs w:val="24"/>
                <w:lang w:val="en-US" w:eastAsia="zh-CN" w:bidi="ar-SA"/>
              </w:rPr>
            </w:pPr>
            <w:r>
              <w:rPr>
                <w:rFonts w:hint="eastAsia" w:cs="仿宋"/>
                <w:snapToGrid w:val="0"/>
                <w:color w:val="000000"/>
                <w:kern w:val="0"/>
                <w:sz w:val="24"/>
                <w:szCs w:val="24"/>
                <w:lang w:val="en-US" w:eastAsia="zh-CN" w:bidi="ar-SA"/>
              </w:rPr>
              <w:t>业绩合同</w:t>
            </w:r>
          </w:p>
        </w:tc>
        <w:tc>
          <w:tcPr>
            <w:tcW w:w="1245" w:type="dxa"/>
            <w:vAlign w:val="top"/>
          </w:tcPr>
          <w:p w14:paraId="2C9525DE">
            <w:pPr>
              <w:pStyle w:val="25"/>
              <w:spacing w:before="78" w:line="180" w:lineRule="auto"/>
              <w:ind w:left="299" w:leftChars="0"/>
              <w:rPr>
                <w:rFonts w:hint="default" w:cs="仿宋"/>
                <w:snapToGrid w:val="0"/>
                <w:color w:val="000000"/>
                <w:kern w:val="0"/>
                <w:sz w:val="24"/>
                <w:szCs w:val="24"/>
                <w:lang w:val="en-US" w:eastAsia="zh-CN" w:bidi="ar-SA"/>
              </w:rPr>
            </w:pPr>
            <w:r>
              <w:rPr>
                <w:rFonts w:hint="eastAsia" w:cs="仿宋"/>
                <w:snapToGrid w:val="0"/>
                <w:color w:val="000000"/>
                <w:kern w:val="0"/>
                <w:sz w:val="24"/>
                <w:szCs w:val="24"/>
                <w:lang w:val="en-US" w:eastAsia="zh-CN" w:bidi="ar-SA"/>
              </w:rPr>
              <w:t>5</w:t>
            </w:r>
          </w:p>
        </w:tc>
        <w:tc>
          <w:tcPr>
            <w:tcW w:w="6496" w:type="dxa"/>
            <w:vAlign w:val="top"/>
          </w:tcPr>
          <w:p w14:paraId="29D521ED">
            <w:pPr>
              <w:pStyle w:val="25"/>
              <w:spacing w:before="110" w:line="279" w:lineRule="auto"/>
              <w:ind w:left="149" w:right="110" w:hanging="29"/>
              <w:jc w:val="both"/>
              <w:rPr>
                <w:rFonts w:hint="eastAsia"/>
                <w:spacing w:val="-8"/>
                <w:sz w:val="24"/>
                <w:szCs w:val="24"/>
                <w:lang w:val="en-US" w:eastAsia="zh-CN"/>
              </w:rPr>
            </w:pPr>
            <w:r>
              <w:rPr>
                <w:rFonts w:hint="eastAsia"/>
                <w:spacing w:val="-8"/>
                <w:sz w:val="24"/>
                <w:szCs w:val="24"/>
                <w:lang w:val="en-US" w:eastAsia="zh-CN"/>
              </w:rPr>
              <w:t>供应商具有 2022年1月至今类似项目业绩，投标文件中附合同证明文件，每份业绩计 1 分，满分5分。（合同证明文件以业绩原件或加盖公章的复印件为主）</w:t>
            </w:r>
          </w:p>
        </w:tc>
      </w:tr>
    </w:tbl>
    <w:p w14:paraId="34FE8899">
      <w:pPr>
        <w:pStyle w:val="3"/>
        <w:rPr>
          <w:rFonts w:hint="eastAsia" w:ascii="仿宋" w:hAnsi="仿宋" w:eastAsia="仿宋" w:cs="仿宋"/>
        </w:rPr>
      </w:pPr>
    </w:p>
    <w:p w14:paraId="7F03831B">
      <w:pPr>
        <w:pStyle w:val="3"/>
        <w:rPr>
          <w:rFonts w:hint="eastAsia" w:ascii="仿宋" w:hAnsi="仿宋" w:eastAsia="仿宋" w:cs="仿宋"/>
        </w:rPr>
      </w:pPr>
    </w:p>
    <w:p w14:paraId="2218AA1E">
      <w:pPr>
        <w:pStyle w:val="6"/>
        <w:keepNext/>
        <w:keepLines/>
        <w:pageBreakBefore w:val="0"/>
        <w:widowControl w:val="0"/>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color w:val="auto"/>
          <w:sz w:val="72"/>
          <w:szCs w:val="72"/>
          <w:highlight w:val="none"/>
        </w:rPr>
      </w:pPr>
      <w:bookmarkStart w:id="83" w:name="_Toc12611"/>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部分  投标文件格式</w:t>
      </w:r>
      <w:bookmarkEnd w:id="83"/>
    </w:p>
    <w:p w14:paraId="2E21DBFD">
      <w:pPr>
        <w:spacing w:line="500" w:lineRule="exact"/>
        <w:rPr>
          <w:rFonts w:hint="eastAsia" w:ascii="仿宋" w:hAnsi="仿宋" w:eastAsia="仿宋" w:cs="仿宋"/>
          <w:b/>
          <w:color w:val="auto"/>
          <w:szCs w:val="24"/>
          <w:highlight w:val="none"/>
        </w:rPr>
      </w:pPr>
    </w:p>
    <w:p w14:paraId="5966063A">
      <w:pPr>
        <w:spacing w:line="500" w:lineRule="exact"/>
        <w:rPr>
          <w:rFonts w:hint="eastAsia" w:ascii="仿宋" w:hAnsi="仿宋" w:eastAsia="仿宋" w:cs="仿宋"/>
          <w:b/>
          <w:bCs/>
          <w:color w:val="auto"/>
          <w:sz w:val="28"/>
          <w:szCs w:val="28"/>
          <w:highlight w:val="none"/>
        </w:rPr>
      </w:pPr>
    </w:p>
    <w:p w14:paraId="21E67F00">
      <w:pPr>
        <w:spacing w:line="500" w:lineRule="exact"/>
        <w:rPr>
          <w:rFonts w:hint="eastAsia" w:ascii="仿宋" w:hAnsi="仿宋" w:eastAsia="仿宋" w:cs="仿宋"/>
          <w:b/>
          <w:bCs/>
          <w:color w:val="auto"/>
          <w:sz w:val="28"/>
          <w:szCs w:val="28"/>
          <w:highlight w:val="none"/>
        </w:rPr>
      </w:pPr>
    </w:p>
    <w:p w14:paraId="57BEABE5">
      <w:pPr>
        <w:spacing w:line="500" w:lineRule="exact"/>
        <w:rPr>
          <w:rFonts w:hint="eastAsia" w:ascii="仿宋" w:hAnsi="仿宋" w:eastAsia="仿宋" w:cs="仿宋"/>
          <w:b/>
          <w:bCs/>
          <w:color w:val="auto"/>
          <w:sz w:val="28"/>
          <w:szCs w:val="28"/>
          <w:highlight w:val="none"/>
        </w:rPr>
      </w:pPr>
    </w:p>
    <w:p w14:paraId="6D73B62A">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投标文件编制说明</w:t>
      </w:r>
    </w:p>
    <w:p w14:paraId="0BA2D0F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1、投标人编制投标文件前，请详细阅读招标文件，根据提供的投标文件格式，理解文件中的每一项要求。</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 xml:space="preserve">    2、投标文件的编制应按照样本格式提供的内容，做出逐一明确的答复；投标人认为有必要，还可以做其它补充说明。</w:t>
      </w:r>
    </w:p>
    <w:p w14:paraId="35165F7A">
      <w:pPr>
        <w:spacing w:line="500" w:lineRule="exact"/>
        <w:ind w:firstLine="56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3、全部编制完成，并加盖印章后，按规定分别装订成册。</w:t>
      </w:r>
    </w:p>
    <w:p w14:paraId="62676EBA">
      <w:pPr>
        <w:spacing w:line="500" w:lineRule="exact"/>
        <w:rPr>
          <w:rFonts w:hint="eastAsia" w:ascii="仿宋" w:hAnsi="仿宋" w:eastAsia="仿宋" w:cs="仿宋"/>
          <w:b/>
          <w:color w:val="auto"/>
          <w:sz w:val="36"/>
          <w:szCs w:val="36"/>
          <w:highlight w:val="none"/>
        </w:rPr>
      </w:pPr>
      <w:bookmarkStart w:id="84" w:name="_Toc188808833"/>
      <w:bookmarkStart w:id="85" w:name="_Toc167591492"/>
      <w:bookmarkStart w:id="86" w:name="_Toc154482479"/>
      <w:bookmarkStart w:id="87" w:name="_Toc173549978"/>
      <w:bookmarkStart w:id="88" w:name="_Toc194663918"/>
      <w:bookmarkStart w:id="89" w:name="_Toc170980453"/>
      <w:bookmarkStart w:id="90" w:name="_Toc169846776"/>
      <w:bookmarkStart w:id="91" w:name="_Toc193126881"/>
      <w:bookmarkStart w:id="92" w:name="_Toc169838532"/>
      <w:bookmarkStart w:id="93" w:name="_Toc167849360"/>
      <w:bookmarkStart w:id="94" w:name="_Toc193187097"/>
      <w:bookmarkStart w:id="95" w:name="_Toc175032437"/>
      <w:bookmarkStart w:id="96" w:name="_Toc175033592"/>
      <w:bookmarkStart w:id="97" w:name="_Toc167591043"/>
      <w:bookmarkStart w:id="98" w:name="_Toc170980552"/>
      <w:bookmarkStart w:id="99" w:name="_Toc167591144"/>
      <w:bookmarkStart w:id="100" w:name="_Toc169846873"/>
      <w:bookmarkStart w:id="101" w:name="_Toc167591330"/>
      <w:bookmarkStart w:id="102" w:name="_Toc167590775"/>
    </w:p>
    <w:p w14:paraId="4D11E11A">
      <w:pPr>
        <w:spacing w:line="500" w:lineRule="exact"/>
        <w:ind w:firstLine="7590" w:firstLineChars="2100"/>
        <w:rPr>
          <w:rFonts w:hint="eastAsia" w:ascii="仿宋" w:hAnsi="仿宋" w:eastAsia="仿宋" w:cs="仿宋"/>
          <w:b/>
          <w:color w:val="auto"/>
          <w:sz w:val="36"/>
          <w:szCs w:val="36"/>
          <w:highlight w:val="none"/>
        </w:rPr>
      </w:pPr>
    </w:p>
    <w:p w14:paraId="2B894796">
      <w:pPr>
        <w:pStyle w:val="3"/>
        <w:rPr>
          <w:rFonts w:hint="eastAsia" w:ascii="仿宋" w:hAnsi="仿宋" w:eastAsia="仿宋" w:cs="仿宋"/>
          <w:b/>
          <w:color w:val="auto"/>
          <w:sz w:val="36"/>
          <w:szCs w:val="36"/>
          <w:highlight w:val="none"/>
        </w:rPr>
      </w:pPr>
    </w:p>
    <w:p w14:paraId="1DC28A68">
      <w:pPr>
        <w:pStyle w:val="3"/>
        <w:rPr>
          <w:rFonts w:hint="eastAsia" w:ascii="仿宋" w:hAnsi="仿宋" w:eastAsia="仿宋" w:cs="仿宋"/>
          <w:b/>
          <w:color w:val="auto"/>
          <w:sz w:val="36"/>
          <w:szCs w:val="36"/>
          <w:highlight w:val="none"/>
        </w:rPr>
      </w:pPr>
    </w:p>
    <w:p w14:paraId="3D80B828">
      <w:pPr>
        <w:pStyle w:val="3"/>
        <w:rPr>
          <w:rFonts w:hint="eastAsia" w:ascii="仿宋" w:hAnsi="仿宋" w:eastAsia="仿宋" w:cs="仿宋"/>
          <w:b/>
          <w:color w:val="auto"/>
          <w:sz w:val="36"/>
          <w:szCs w:val="36"/>
          <w:highlight w:val="none"/>
        </w:rPr>
      </w:pPr>
    </w:p>
    <w:p w14:paraId="0CF5F49E">
      <w:pPr>
        <w:pStyle w:val="5"/>
        <w:rPr>
          <w:rFonts w:hint="eastAsia" w:ascii="仿宋" w:hAnsi="仿宋" w:eastAsia="仿宋" w:cs="仿宋"/>
          <w:b/>
          <w:color w:val="auto"/>
          <w:sz w:val="36"/>
          <w:szCs w:val="36"/>
          <w:highlight w:val="none"/>
        </w:rPr>
      </w:pPr>
    </w:p>
    <w:p w14:paraId="71594812">
      <w:pPr>
        <w:pStyle w:val="3"/>
        <w:rPr>
          <w:rFonts w:hint="eastAsia" w:ascii="仿宋" w:hAnsi="仿宋" w:eastAsia="仿宋" w:cs="仿宋"/>
          <w:b/>
          <w:color w:val="auto"/>
          <w:sz w:val="36"/>
          <w:szCs w:val="36"/>
          <w:highlight w:val="none"/>
        </w:rPr>
      </w:pPr>
    </w:p>
    <w:p w14:paraId="4AA5DCB8">
      <w:pPr>
        <w:pStyle w:val="5"/>
        <w:rPr>
          <w:rFonts w:hint="eastAsia" w:ascii="仿宋" w:hAnsi="仿宋" w:eastAsia="仿宋" w:cs="仿宋"/>
          <w:b/>
          <w:color w:val="auto"/>
          <w:sz w:val="36"/>
          <w:szCs w:val="36"/>
          <w:highlight w:val="none"/>
        </w:rPr>
      </w:pPr>
    </w:p>
    <w:p w14:paraId="5AF793D2">
      <w:pPr>
        <w:pStyle w:val="3"/>
        <w:rPr>
          <w:rFonts w:hint="eastAsia" w:ascii="仿宋" w:hAnsi="仿宋" w:eastAsia="仿宋" w:cs="仿宋"/>
          <w:b/>
          <w:color w:val="auto"/>
          <w:sz w:val="36"/>
          <w:szCs w:val="36"/>
          <w:highlight w:val="none"/>
        </w:rPr>
      </w:pPr>
    </w:p>
    <w:p w14:paraId="3D19361F">
      <w:pPr>
        <w:pStyle w:val="5"/>
        <w:rPr>
          <w:rFonts w:hint="eastAsia" w:ascii="仿宋" w:hAnsi="仿宋" w:eastAsia="仿宋" w:cs="仿宋"/>
          <w:b/>
          <w:color w:val="auto"/>
          <w:sz w:val="36"/>
          <w:szCs w:val="36"/>
          <w:highlight w:val="none"/>
        </w:rPr>
      </w:pPr>
    </w:p>
    <w:p w14:paraId="25A8CC0D">
      <w:pPr>
        <w:pStyle w:val="3"/>
        <w:rPr>
          <w:rFonts w:hint="eastAsia"/>
        </w:rPr>
      </w:pPr>
    </w:p>
    <w:p w14:paraId="7E6A346F">
      <w:pPr>
        <w:pStyle w:val="3"/>
        <w:rPr>
          <w:rFonts w:hint="eastAsia" w:ascii="仿宋" w:hAnsi="仿宋" w:eastAsia="仿宋" w:cs="仿宋"/>
          <w:b/>
          <w:color w:val="auto"/>
          <w:sz w:val="36"/>
          <w:szCs w:val="36"/>
          <w:highlight w:val="none"/>
        </w:rPr>
      </w:pPr>
    </w:p>
    <w:p w14:paraId="21961D56">
      <w:pPr>
        <w:pStyle w:val="3"/>
        <w:rPr>
          <w:rFonts w:hint="eastAsia" w:ascii="仿宋" w:hAnsi="仿宋" w:eastAsia="仿宋" w:cs="仿宋"/>
          <w:b/>
          <w:color w:val="auto"/>
          <w:sz w:val="36"/>
          <w:szCs w:val="36"/>
          <w:highlight w:val="none"/>
        </w:rPr>
      </w:pPr>
    </w:p>
    <w:p w14:paraId="3478CFE2">
      <w:pPr>
        <w:pStyle w:val="3"/>
        <w:rPr>
          <w:rFonts w:hint="eastAsia" w:ascii="仿宋" w:hAnsi="仿宋" w:eastAsia="仿宋" w:cs="仿宋"/>
          <w:b/>
          <w:color w:val="auto"/>
          <w:sz w:val="36"/>
          <w:szCs w:val="36"/>
          <w:highlight w:val="none"/>
        </w:rPr>
      </w:pPr>
    </w:p>
    <w:p w14:paraId="255B5620">
      <w:pPr>
        <w:spacing w:line="500" w:lineRule="exact"/>
        <w:rPr>
          <w:rFonts w:hint="eastAsia" w:ascii="仿宋" w:hAnsi="仿宋" w:eastAsia="仿宋" w:cs="仿宋"/>
          <w:b/>
          <w:color w:val="auto"/>
          <w:sz w:val="36"/>
          <w:szCs w:val="36"/>
          <w:highlight w:val="none"/>
        </w:rPr>
      </w:pPr>
    </w:p>
    <w:p w14:paraId="135D4830">
      <w:pPr>
        <w:spacing w:line="500" w:lineRule="exac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政府采购项目</w:t>
      </w:r>
    </w:p>
    <w:p w14:paraId="5D5E452E">
      <w:pPr>
        <w:spacing w:line="500" w:lineRule="exact"/>
        <w:ind w:firstLine="7590" w:firstLineChars="2100"/>
        <w:rPr>
          <w:rFonts w:hint="eastAsia" w:ascii="仿宋" w:hAnsi="仿宋" w:eastAsia="仿宋" w:cs="仿宋"/>
          <w:b/>
          <w:color w:val="auto"/>
          <w:sz w:val="36"/>
          <w:szCs w:val="36"/>
          <w:highlight w:val="none"/>
        </w:rPr>
      </w:pPr>
    </w:p>
    <w:p w14:paraId="3E9F82A7">
      <w:pPr>
        <w:spacing w:line="500" w:lineRule="exact"/>
        <w:ind w:firstLine="7590" w:firstLineChars="210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正/副</w:t>
      </w:r>
      <w:r>
        <w:rPr>
          <w:rFonts w:hint="eastAsia" w:ascii="仿宋" w:hAnsi="仿宋" w:eastAsia="仿宋" w:cs="仿宋"/>
          <w:b/>
          <w:color w:val="auto"/>
          <w:sz w:val="36"/>
          <w:szCs w:val="36"/>
          <w:highlight w:val="none"/>
          <w:lang w:eastAsia="zh-CN"/>
        </w:rPr>
        <w:t>本</w:t>
      </w:r>
    </w:p>
    <w:p w14:paraId="4614A903">
      <w:pPr>
        <w:spacing w:line="500" w:lineRule="exact"/>
        <w:ind w:firstLine="3961" w:firstLineChars="1096"/>
        <w:jc w:val="right"/>
        <w:rPr>
          <w:rFonts w:hint="eastAsia" w:ascii="仿宋" w:hAnsi="仿宋" w:eastAsia="仿宋" w:cs="仿宋"/>
          <w:b/>
          <w:bCs/>
          <w:color w:val="auto"/>
          <w:sz w:val="48"/>
          <w:szCs w:val="48"/>
          <w:highlight w:val="none"/>
          <w:lang w:val="en-US" w:eastAsia="zh-CN"/>
        </w:rPr>
      </w:pPr>
      <w:r>
        <w:rPr>
          <w:rFonts w:hint="eastAsia" w:ascii="仿宋" w:hAnsi="仿宋" w:eastAsia="仿宋" w:cs="仿宋"/>
          <w:b/>
          <w:color w:val="auto"/>
          <w:sz w:val="36"/>
          <w:szCs w:val="36"/>
          <w:highlight w:val="none"/>
        </w:rPr>
        <w:t xml:space="preserve"> </w:t>
      </w:r>
    </w:p>
    <w:p w14:paraId="308D596F">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实施能繁母牛、肉犊牛和村级防疫员保险采购项目（三标段）投标文件</w:t>
      </w:r>
    </w:p>
    <w:p w14:paraId="172AC29E">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p>
    <w:p w14:paraId="0D56569D">
      <w:pPr>
        <w:spacing w:line="500" w:lineRule="exact"/>
        <w:ind w:firstLine="2168" w:firstLineChars="600"/>
        <w:jc w:val="both"/>
        <w:rPr>
          <w:rFonts w:hint="eastAsia" w:ascii="仿宋" w:hAnsi="仿宋" w:eastAsia="仿宋" w:cs="仿宋"/>
          <w:b/>
          <w:color w:val="auto"/>
          <w:sz w:val="36"/>
          <w:szCs w:val="36"/>
          <w:highlight w:val="none"/>
        </w:rPr>
      </w:pPr>
    </w:p>
    <w:p w14:paraId="2A2CDEB9">
      <w:pPr>
        <w:spacing w:line="500" w:lineRule="exact"/>
        <w:ind w:firstLine="2168" w:firstLineChars="600"/>
        <w:jc w:val="both"/>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项目编号: </w:t>
      </w:r>
      <w:r>
        <w:rPr>
          <w:rFonts w:hint="eastAsia" w:ascii="仿宋" w:hAnsi="仿宋" w:eastAsia="仿宋" w:cs="仿宋"/>
          <w:b/>
          <w:color w:val="auto"/>
          <w:sz w:val="36"/>
          <w:szCs w:val="36"/>
          <w:highlight w:val="none"/>
          <w:lang w:eastAsia="zh-CN"/>
        </w:rPr>
        <w:t>HC-ZFCG-2025-040</w:t>
      </w:r>
    </w:p>
    <w:p w14:paraId="1D4E6ED3">
      <w:pPr>
        <w:pStyle w:val="12"/>
        <w:ind w:left="0" w:leftChars="0" w:firstLine="0" w:firstLineChars="0"/>
        <w:rPr>
          <w:rFonts w:hint="eastAsia" w:ascii="仿宋" w:hAnsi="仿宋" w:eastAsia="仿宋" w:cs="仿宋"/>
          <w:b/>
          <w:bCs/>
          <w:color w:val="auto"/>
          <w:sz w:val="52"/>
          <w:szCs w:val="52"/>
          <w:highlight w:val="none"/>
          <w:lang w:val="en-US" w:eastAsia="zh-CN"/>
        </w:rPr>
      </w:pPr>
    </w:p>
    <w:p w14:paraId="324FC274">
      <w:pPr>
        <w:spacing w:before="120" w:beforeLines="50" w:line="800" w:lineRule="exact"/>
        <w:ind w:right="48" w:rightChars="20"/>
        <w:jc w:val="both"/>
        <w:rPr>
          <w:rFonts w:hint="eastAsia" w:ascii="仿宋" w:hAnsi="仿宋" w:eastAsia="仿宋" w:cs="仿宋"/>
          <w:b/>
          <w:bCs/>
          <w:color w:val="auto"/>
          <w:spacing w:val="20"/>
          <w:kern w:val="0"/>
          <w:sz w:val="84"/>
          <w:szCs w:val="84"/>
          <w:highlight w:val="none"/>
        </w:rPr>
      </w:pPr>
    </w:p>
    <w:p w14:paraId="11C580A8">
      <w:pPr>
        <w:spacing w:line="500" w:lineRule="exact"/>
        <w:rPr>
          <w:rFonts w:hint="eastAsia" w:ascii="仿宋" w:hAnsi="仿宋" w:eastAsia="仿宋" w:cs="仿宋"/>
          <w:color w:val="auto"/>
          <w:sz w:val="32"/>
          <w:highlight w:val="none"/>
        </w:rPr>
      </w:pPr>
    </w:p>
    <w:p w14:paraId="1189CB3A">
      <w:pPr>
        <w:spacing w:before="168" w:beforeLines="70" w:line="50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（盖章）   </w:t>
      </w:r>
    </w:p>
    <w:p w14:paraId="002F6CCC">
      <w:pPr>
        <w:spacing w:before="168" w:beforeLines="70" w:line="50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p>
    <w:p w14:paraId="68CB2DEF">
      <w:pPr>
        <w:spacing w:line="500" w:lineRule="exact"/>
        <w:jc w:val="both"/>
        <w:rPr>
          <w:rFonts w:hint="eastAsia" w:ascii="仿宋" w:hAnsi="仿宋" w:eastAsia="仿宋" w:cs="仿宋"/>
          <w:b/>
          <w:color w:val="auto"/>
          <w:sz w:val="44"/>
          <w:szCs w:val="44"/>
          <w:highlight w:val="none"/>
        </w:rPr>
      </w:pPr>
    </w:p>
    <w:p w14:paraId="3FE6A04A">
      <w:pPr>
        <w:rPr>
          <w:rFonts w:hint="eastAsia" w:ascii="仿宋" w:hAnsi="仿宋" w:eastAsia="仿宋" w:cs="仿宋"/>
        </w:rPr>
      </w:pPr>
    </w:p>
    <w:p w14:paraId="0B50C4E5">
      <w:pPr>
        <w:spacing w:line="500" w:lineRule="exact"/>
        <w:jc w:val="both"/>
        <w:rPr>
          <w:rFonts w:hint="eastAsia" w:ascii="仿宋" w:hAnsi="仿宋" w:eastAsia="仿宋" w:cs="仿宋"/>
          <w:b/>
          <w:color w:val="auto"/>
          <w:sz w:val="44"/>
          <w:szCs w:val="44"/>
          <w:highlight w:val="none"/>
        </w:rPr>
      </w:pPr>
    </w:p>
    <w:p w14:paraId="2D1301B7">
      <w:pPr>
        <w:pStyle w:val="3"/>
        <w:rPr>
          <w:rFonts w:hint="eastAsia"/>
        </w:rPr>
      </w:pPr>
    </w:p>
    <w:p w14:paraId="6661B45B">
      <w:pPr>
        <w:pStyle w:val="5"/>
        <w:rPr>
          <w:rFonts w:hint="eastAsia"/>
        </w:rPr>
      </w:pPr>
    </w:p>
    <w:p w14:paraId="4E2CED24">
      <w:pPr>
        <w:pStyle w:val="3"/>
        <w:rPr>
          <w:rFonts w:hint="eastAsia"/>
        </w:rPr>
      </w:pPr>
    </w:p>
    <w:p w14:paraId="5F17EEC7">
      <w:pPr>
        <w:pStyle w:val="3"/>
        <w:rPr>
          <w:rFonts w:hint="eastAsia"/>
        </w:rPr>
      </w:pPr>
    </w:p>
    <w:p w14:paraId="5A18D608">
      <w:pPr>
        <w:pStyle w:val="3"/>
        <w:rPr>
          <w:rFonts w:hint="eastAsia"/>
        </w:rPr>
      </w:pPr>
    </w:p>
    <w:p w14:paraId="1DC7562C">
      <w:pPr>
        <w:spacing w:line="500" w:lineRule="exact"/>
        <w:jc w:val="center"/>
        <w:rPr>
          <w:rFonts w:hint="eastAsia" w:ascii="仿宋" w:hAnsi="仿宋" w:eastAsia="仿宋" w:cs="仿宋"/>
          <w:b/>
          <w:color w:val="auto"/>
          <w:sz w:val="44"/>
          <w:szCs w:val="44"/>
          <w:highlight w:val="none"/>
        </w:rPr>
      </w:pPr>
    </w:p>
    <w:p w14:paraId="5894254B">
      <w:pPr>
        <w:spacing w:line="50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182E9846">
      <w:pPr>
        <w:spacing w:line="500" w:lineRule="exact"/>
        <w:ind w:left="240" w:leftChars="100"/>
        <w:rPr>
          <w:rFonts w:hint="eastAsia" w:ascii="仿宋" w:hAnsi="仿宋" w:eastAsia="仿宋" w:cs="仿宋"/>
          <w:color w:val="auto"/>
          <w:highlight w:val="none"/>
        </w:rPr>
      </w:pP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7526C4C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bookmarkStart w:id="103" w:name="_Toc193187098"/>
      <w:bookmarkStart w:id="104" w:name="_Toc193126882"/>
      <w:bookmarkStart w:id="105" w:name="_Toc188808834"/>
      <w:bookmarkStart w:id="106" w:name="_Toc194663919"/>
      <w:r>
        <w:rPr>
          <w:rFonts w:hint="eastAsia" w:ascii="仿宋" w:hAnsi="仿宋" w:eastAsia="仿宋" w:cs="仿宋"/>
          <w:color w:val="auto"/>
          <w:sz w:val="28"/>
          <w:szCs w:val="28"/>
          <w:highlight w:val="none"/>
        </w:rPr>
        <w:t>投标函</w:t>
      </w:r>
    </w:p>
    <w:p w14:paraId="723E77FB">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投标报价一览表</w:t>
      </w:r>
    </w:p>
    <w:p w14:paraId="17487B82">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技术偏离表</w:t>
      </w:r>
    </w:p>
    <w:p w14:paraId="7136C822">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商务偏离表</w:t>
      </w:r>
    </w:p>
    <w:p w14:paraId="3F136061">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2B959090">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3F6D3DD7">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0FB0E8F6">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方案</w:t>
      </w:r>
    </w:p>
    <w:p w14:paraId="70BC6113">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 投标人认为有必要说明的事宜</w:t>
      </w:r>
    </w:p>
    <w:p w14:paraId="058D5FFB">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 拒绝政府采购领域商业贿赂承诺书</w:t>
      </w:r>
    </w:p>
    <w:p w14:paraId="28B07604">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 中小企业声明函</w:t>
      </w:r>
    </w:p>
    <w:p w14:paraId="6D135E4F">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p>
    <w:p w14:paraId="26D9B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rPr>
        <w:br w:type="page"/>
      </w:r>
      <w:bookmarkStart w:id="107" w:name="_Toc416678751"/>
      <w:bookmarkStart w:id="108" w:name="_Toc11837"/>
      <w:bookmarkStart w:id="109" w:name="_Toc416530629"/>
      <w:r>
        <w:rPr>
          <w:rFonts w:hint="eastAsia" w:ascii="仿宋" w:hAnsi="仿宋" w:eastAsia="仿宋" w:cs="仿宋"/>
          <w:bCs/>
          <w:color w:val="auto"/>
          <w:sz w:val="28"/>
          <w:szCs w:val="28"/>
          <w:highlight w:val="none"/>
        </w:rPr>
        <w:t>1.投标函（</w:t>
      </w:r>
      <w:r>
        <w:rPr>
          <w:rFonts w:hint="eastAsia" w:ascii="仿宋" w:hAnsi="仿宋" w:eastAsia="仿宋" w:cs="仿宋"/>
          <w:color w:val="auto"/>
          <w:sz w:val="28"/>
          <w:szCs w:val="28"/>
          <w:highlight w:val="none"/>
        </w:rPr>
        <w:t>格式）</w:t>
      </w:r>
      <w:bookmarkEnd w:id="107"/>
      <w:bookmarkEnd w:id="108"/>
      <w:bookmarkEnd w:id="109"/>
    </w:p>
    <w:p w14:paraId="5F800CFE">
      <w:pPr>
        <w:spacing w:line="500" w:lineRule="exact"/>
        <w:ind w:left="240" w:leftChars="100"/>
        <w:jc w:val="center"/>
        <w:rPr>
          <w:rFonts w:hint="eastAsia" w:ascii="仿宋" w:hAnsi="仿宋" w:eastAsia="仿宋" w:cs="仿宋"/>
          <w:color w:val="auto"/>
          <w:szCs w:val="21"/>
          <w:highlight w:val="none"/>
        </w:rPr>
      </w:pPr>
      <w:r>
        <w:rPr>
          <w:rFonts w:hint="eastAsia" w:ascii="仿宋" w:hAnsi="仿宋" w:eastAsia="仿宋" w:cs="仿宋"/>
          <w:b/>
          <w:bCs/>
          <w:color w:val="auto"/>
          <w:sz w:val="44"/>
          <w:szCs w:val="44"/>
          <w:highlight w:val="none"/>
        </w:rPr>
        <w:t>投 标 函</w:t>
      </w:r>
    </w:p>
    <w:p w14:paraId="7D78B5A9">
      <w:pPr>
        <w:spacing w:line="500" w:lineRule="exact"/>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rPr>
        <w:t>致：</w:t>
      </w:r>
      <w:r>
        <w:rPr>
          <w:rFonts w:hint="eastAsia" w:ascii="仿宋" w:hAnsi="仿宋" w:eastAsia="仿宋" w:cs="仿宋"/>
          <w:b/>
          <w:color w:val="auto"/>
          <w:sz w:val="28"/>
          <w:szCs w:val="28"/>
          <w:highlight w:val="none"/>
          <w:u w:val="single"/>
          <w:lang w:val="en-US" w:eastAsia="zh-CN"/>
        </w:rPr>
        <w:t xml:space="preserve">   华春建设工程项目管理有限责任公司  </w:t>
      </w:r>
    </w:p>
    <w:p w14:paraId="27D5EF6B">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color w:val="auto"/>
          <w:sz w:val="28"/>
          <w:szCs w:val="28"/>
          <w:highlight w:val="none"/>
        </w:rPr>
        <w:t>的招标文件，我方代表</w:t>
      </w:r>
      <w:r>
        <w:rPr>
          <w:rFonts w:hint="eastAsia" w:ascii="仿宋" w:hAnsi="仿宋" w:eastAsia="仿宋" w:cs="仿宋"/>
          <w:color w:val="auto"/>
          <w:sz w:val="28"/>
          <w:szCs w:val="28"/>
          <w:highlight w:val="none"/>
          <w:u w:val="single"/>
        </w:rPr>
        <w:t xml:space="preserve">   （姓名、职务）   </w:t>
      </w:r>
      <w:r>
        <w:rPr>
          <w:rFonts w:hint="eastAsia" w:ascii="仿宋" w:hAnsi="仿宋" w:eastAsia="仿宋" w:cs="仿宋"/>
          <w:color w:val="auto"/>
          <w:sz w:val="28"/>
          <w:szCs w:val="28"/>
          <w:highlight w:val="none"/>
        </w:rPr>
        <w:t>经正式授权并代表</w:t>
      </w:r>
      <w:r>
        <w:rPr>
          <w:rFonts w:hint="eastAsia" w:ascii="仿宋" w:hAnsi="仿宋" w:eastAsia="仿宋" w:cs="仿宋"/>
          <w:color w:val="auto"/>
          <w:sz w:val="28"/>
          <w:szCs w:val="28"/>
          <w:highlight w:val="none"/>
          <w:u w:val="single"/>
        </w:rPr>
        <w:t xml:space="preserve">     （投标人名称）     </w:t>
      </w:r>
      <w:r>
        <w:rPr>
          <w:rFonts w:hint="eastAsia" w:ascii="仿宋" w:hAnsi="仿宋" w:eastAsia="仿宋" w:cs="仿宋"/>
          <w:color w:val="auto"/>
          <w:sz w:val="28"/>
          <w:szCs w:val="28"/>
          <w:highlight w:val="none"/>
        </w:rPr>
        <w:t>就该项目进行投标。</w:t>
      </w:r>
    </w:p>
    <w:p w14:paraId="2C22875A">
      <w:pPr>
        <w:spacing w:line="500" w:lineRule="exact"/>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在此，我方郑重声明以下诸点，并负法律责任：</w:t>
      </w:r>
    </w:p>
    <w:p w14:paraId="2049763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1、我方提交的投标文件</w:t>
      </w:r>
      <w:r>
        <w:rPr>
          <w:rFonts w:hint="eastAsia" w:ascii="仿宋" w:hAnsi="仿宋" w:eastAsia="仿宋" w:cs="仿宋"/>
          <w:color w:val="auto"/>
          <w:sz w:val="28"/>
          <w:szCs w:val="28"/>
          <w:highlight w:val="none"/>
          <w:lang w:val="en-US" w:eastAsia="zh-CN"/>
        </w:rPr>
        <w:t>电子版一份和纸质版</w:t>
      </w:r>
      <w:r>
        <w:rPr>
          <w:rFonts w:hint="eastAsia" w:ascii="仿宋" w:hAnsi="仿宋" w:eastAsia="仿宋" w:cs="仿宋"/>
          <w:color w:val="auto"/>
          <w:sz w:val="28"/>
          <w:szCs w:val="28"/>
          <w:highlight w:val="none"/>
        </w:rPr>
        <w:t>一式</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正本一份，</w:t>
      </w:r>
      <w:r>
        <w:rPr>
          <w:rFonts w:hint="eastAsia" w:ascii="仿宋" w:hAnsi="仿宋" w:eastAsia="仿宋" w:cs="仿宋"/>
          <w:color w:val="auto"/>
          <w:sz w:val="28"/>
          <w:szCs w:val="28"/>
          <w:highlight w:val="none"/>
          <w:lang w:eastAsia="zh-CN"/>
        </w:rPr>
        <w:t>副本二份）</w:t>
      </w:r>
      <w:r>
        <w:rPr>
          <w:rFonts w:hint="eastAsia" w:ascii="仿宋" w:hAnsi="仿宋" w:eastAsia="仿宋" w:cs="仿宋"/>
          <w:color w:val="auto"/>
          <w:sz w:val="28"/>
          <w:szCs w:val="28"/>
          <w:highlight w:val="none"/>
        </w:rPr>
        <w:t>。</w:t>
      </w:r>
    </w:p>
    <w:p w14:paraId="12E242F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2、我方所附投标报价表中应提交和交付的货物/服务投标</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投标总价为人民币：</w:t>
      </w:r>
      <w:r>
        <w:rPr>
          <w:rFonts w:hint="eastAsia" w:ascii="仿宋" w:hAnsi="仿宋" w:eastAsia="仿宋" w:cs="仿宋"/>
          <w:color w:val="auto"/>
          <w:sz w:val="28"/>
          <w:szCs w:val="28"/>
          <w:highlight w:val="none"/>
          <w:u w:val="single"/>
        </w:rPr>
        <w:t>（同时用汉字大写和数字表示）</w:t>
      </w:r>
      <w:r>
        <w:rPr>
          <w:rFonts w:hint="eastAsia" w:ascii="仿宋" w:hAnsi="仿宋" w:eastAsia="仿宋" w:cs="仿宋"/>
          <w:color w:val="auto"/>
          <w:sz w:val="28"/>
          <w:szCs w:val="28"/>
          <w:highlight w:val="none"/>
        </w:rPr>
        <w:t>。该报价一次报死，不受市场因素的影响。</w:t>
      </w:r>
    </w:p>
    <w:p w14:paraId="7AD0DDC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3、我方已详细阅读和审核全部招标文件，完全理解并同意放弃对这方面有不明及误解质疑的权力。</w:t>
      </w:r>
    </w:p>
    <w:p w14:paraId="33395CDC">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4、我方同意按照要求提供投标有关的一切数据或资料。</w:t>
      </w:r>
    </w:p>
    <w:p w14:paraId="3A174A31">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、我方将按招标文件的规定履行合同责任和义务。</w:t>
      </w:r>
    </w:p>
    <w:p w14:paraId="07C423D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、我方承诺本次参与投标的所有产品均为正品，因此产生的一切问题由我方自行承担。</w:t>
      </w:r>
    </w:p>
    <w:p w14:paraId="7BB8CED4">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、我方完全理解最低报价不是中标的唯一条件，尊重评标委员会的评审结果，并同意放弃对这方面有不明及误解质疑的权力。</w:t>
      </w:r>
    </w:p>
    <w:p w14:paraId="7A7FBA9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、我方同意按招标文件规定，遵守贵方有关招标的各项规定。</w:t>
      </w:r>
    </w:p>
    <w:p w14:paraId="550C9D82">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、投标有效期为自开标日起90个日历日。</w:t>
      </w:r>
    </w:p>
    <w:p w14:paraId="65DD68A7">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、所有关于本项目的函电，请按下列地址联系：</w:t>
      </w:r>
    </w:p>
    <w:p w14:paraId="25F51E98">
      <w:p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详 细 地 址：</w:t>
      </w:r>
      <w:r>
        <w:rPr>
          <w:rFonts w:hint="eastAsia" w:ascii="仿宋" w:hAnsi="仿宋" w:eastAsia="仿宋" w:cs="仿宋"/>
          <w:color w:val="auto"/>
          <w:sz w:val="28"/>
          <w:szCs w:val="28"/>
          <w:highlight w:val="none"/>
          <w:u w:val="single"/>
        </w:rPr>
        <w:t xml:space="preserve">                </w:t>
      </w:r>
    </w:p>
    <w:p w14:paraId="27A7429F">
      <w:pPr>
        <w:spacing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开 户 银 行：</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帐       号：</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zh-CN"/>
        </w:rPr>
        <w:t xml:space="preserve">    </w:t>
      </w:r>
    </w:p>
    <w:p w14:paraId="7A209255">
      <w:pPr>
        <w:autoSpaceDE w:val="0"/>
        <w:autoSpaceDN w:val="0"/>
        <w:adjustRightInd w:val="0"/>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zh-CN"/>
        </w:rPr>
        <w:t>法定代表人或授权代表（签字或盖章）：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p>
    <w:p w14:paraId="60A23C59">
      <w:pPr>
        <w:spacing w:line="500" w:lineRule="exact"/>
        <w:ind w:left="240" w:leftChars="100"/>
        <w:jc w:val="center"/>
        <w:rPr>
          <w:rFonts w:hint="eastAsia" w:ascii="仿宋" w:hAnsi="仿宋" w:eastAsia="仿宋" w:cs="仿宋"/>
          <w:color w:val="auto"/>
          <w:sz w:val="28"/>
          <w:szCs w:val="28"/>
          <w:highlight w:val="none"/>
        </w:rPr>
        <w:sectPr>
          <w:footerReference r:id="rId6" w:type="first"/>
          <w:footerReference r:id="rId5" w:type="default"/>
          <w:pgSz w:w="11907" w:h="16840"/>
          <w:pgMar w:top="1440" w:right="1080" w:bottom="1440" w:left="1080" w:header="624" w:footer="1020" w:gutter="0"/>
          <w:pgNumType w:fmt="decimal" w:start="1"/>
          <w:cols w:space="720" w:num="1"/>
          <w:titlePg/>
          <w:docGrid w:linePitch="326" w:charSpace="0"/>
        </w:sect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bookmarkEnd w:id="103"/>
    <w:bookmarkEnd w:id="104"/>
    <w:bookmarkEnd w:id="105"/>
    <w:bookmarkEnd w:id="106"/>
    <w:p w14:paraId="3D56F5BD">
      <w:pPr>
        <w:pStyle w:val="7"/>
        <w:spacing w:line="500" w:lineRule="exact"/>
        <w:rPr>
          <w:rFonts w:hint="eastAsia" w:ascii="仿宋" w:hAnsi="仿宋" w:eastAsia="仿宋" w:cs="仿宋"/>
          <w:color w:val="auto"/>
          <w:sz w:val="28"/>
          <w:szCs w:val="28"/>
          <w:highlight w:val="none"/>
        </w:rPr>
      </w:pPr>
      <w:bookmarkStart w:id="110" w:name="_Toc5593"/>
      <w:bookmarkStart w:id="111" w:name="_Toc416678752"/>
      <w:bookmarkStart w:id="112" w:name="_Toc416530630"/>
      <w:bookmarkStart w:id="113" w:name="_Toc193126889"/>
      <w:bookmarkStart w:id="114" w:name="_Toc188808840"/>
      <w:bookmarkStart w:id="115" w:name="_Toc194663926"/>
      <w:bookmarkStart w:id="116" w:name="_Toc193187105"/>
      <w:r>
        <w:rPr>
          <w:rFonts w:hint="eastAsia" w:ascii="仿宋" w:hAnsi="仿宋" w:eastAsia="仿宋" w:cs="仿宋"/>
          <w:color w:val="auto"/>
          <w:sz w:val="28"/>
          <w:szCs w:val="28"/>
          <w:highlight w:val="none"/>
        </w:rPr>
        <w:t>2.投标报价一览表（格式）</w:t>
      </w:r>
      <w:bookmarkEnd w:id="110"/>
      <w:bookmarkEnd w:id="111"/>
      <w:bookmarkEnd w:id="112"/>
    </w:p>
    <w:p w14:paraId="507CFD88">
      <w:pPr>
        <w:spacing w:line="500" w:lineRule="exact"/>
        <w:ind w:left="240" w:leftChars="100"/>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投标报价一览表</w:t>
      </w:r>
    </w:p>
    <w:p w14:paraId="1012DF57">
      <w:pPr>
        <w:spacing w:line="500" w:lineRule="exact"/>
        <w:ind w:left="240" w:leftChars="100"/>
        <w:jc w:val="center"/>
        <w:rPr>
          <w:rFonts w:hint="eastAsia" w:ascii="仿宋" w:hAnsi="仿宋" w:eastAsia="仿宋" w:cs="仿宋"/>
          <w:b/>
          <w:bCs/>
          <w:color w:val="auto"/>
          <w:sz w:val="36"/>
          <w:szCs w:val="21"/>
          <w:highlight w:val="none"/>
        </w:rPr>
      </w:pPr>
    </w:p>
    <w:p w14:paraId="0922AC7F">
      <w:pPr>
        <w:spacing w:line="500" w:lineRule="exact"/>
        <w:ind w:firstLine="140" w:firstLineChars="50"/>
        <w:rPr>
          <w:rFonts w:hint="eastAsia" w:ascii="仿宋" w:hAnsi="仿宋" w:eastAsia="仿宋" w:cs="仿宋"/>
          <w:bCs/>
          <w:color w:val="auto"/>
          <w:kern w:val="0"/>
          <w:sz w:val="28"/>
          <w:szCs w:val="28"/>
          <w:highlight w:val="none"/>
          <w:u w:val="single"/>
        </w:rPr>
      </w:pPr>
      <w:r>
        <w:rPr>
          <w:rFonts w:hint="eastAsia" w:ascii="仿宋" w:hAnsi="仿宋" w:eastAsia="仿宋" w:cs="仿宋"/>
          <w:bCs/>
          <w:color w:val="auto"/>
          <w:kern w:val="0"/>
          <w:sz w:val="28"/>
          <w:szCs w:val="28"/>
          <w:highlight w:val="none"/>
        </w:rPr>
        <w:t>投标人名称：</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w:t>
      </w:r>
    </w:p>
    <w:tbl>
      <w:tblPr>
        <w:tblStyle w:val="19"/>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48"/>
        <w:gridCol w:w="2400"/>
        <w:gridCol w:w="3706"/>
        <w:gridCol w:w="2325"/>
        <w:gridCol w:w="3388"/>
      </w:tblGrid>
      <w:tr w14:paraId="110A4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tcBorders>
              <w:top w:val="single" w:color="auto" w:sz="4" w:space="0"/>
              <w:left w:val="single" w:color="auto" w:sz="4" w:space="0"/>
            </w:tcBorders>
            <w:noWrap w:val="0"/>
            <w:vAlign w:val="center"/>
          </w:tcPr>
          <w:p w14:paraId="504C2E2C">
            <w:pPr>
              <w:spacing w:line="500" w:lineRule="exact"/>
              <w:ind w:right="163" w:rightChars="68" w:firstLine="138" w:firstLineChars="49"/>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投标产品名称</w:t>
            </w:r>
          </w:p>
        </w:tc>
        <w:tc>
          <w:tcPr>
            <w:tcW w:w="2400" w:type="dxa"/>
            <w:tcBorders>
              <w:top w:val="single" w:color="auto" w:sz="4" w:space="0"/>
            </w:tcBorders>
            <w:noWrap w:val="0"/>
            <w:vAlign w:val="center"/>
          </w:tcPr>
          <w:p w14:paraId="1A84E786">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tc>
        <w:tc>
          <w:tcPr>
            <w:tcW w:w="3706" w:type="dxa"/>
            <w:tcBorders>
              <w:top w:val="single" w:color="auto" w:sz="4" w:space="0"/>
            </w:tcBorders>
            <w:noWrap w:val="0"/>
            <w:vAlign w:val="center"/>
          </w:tcPr>
          <w:p w14:paraId="41DA8F8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数</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lang w:eastAsia="zh-CN"/>
              </w:rPr>
              <w:t>量</w:t>
            </w:r>
          </w:p>
        </w:tc>
        <w:tc>
          <w:tcPr>
            <w:tcW w:w="2325" w:type="dxa"/>
            <w:tcBorders>
              <w:top w:val="single" w:color="auto" w:sz="4" w:space="0"/>
            </w:tcBorders>
            <w:noWrap w:val="0"/>
            <w:tcMar>
              <w:top w:w="57" w:type="dxa"/>
              <w:left w:w="28" w:type="dxa"/>
              <w:bottom w:w="57" w:type="dxa"/>
              <w:right w:w="28" w:type="dxa"/>
            </w:tcMar>
            <w:vAlign w:val="center"/>
          </w:tcPr>
          <w:p w14:paraId="38F1CD7C">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投标总价</w:t>
            </w:r>
          </w:p>
          <w:p w14:paraId="20795385">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（人民币:元）</w:t>
            </w:r>
          </w:p>
        </w:tc>
        <w:tc>
          <w:tcPr>
            <w:tcW w:w="3388" w:type="dxa"/>
            <w:tcBorders>
              <w:top w:val="single" w:color="auto" w:sz="4" w:space="0"/>
              <w:right w:val="single" w:color="auto" w:sz="4" w:space="0"/>
            </w:tcBorders>
            <w:noWrap w:val="0"/>
            <w:tcMar>
              <w:top w:w="57" w:type="dxa"/>
              <w:left w:w="28" w:type="dxa"/>
              <w:bottom w:w="57" w:type="dxa"/>
              <w:right w:w="28" w:type="dxa"/>
            </w:tcMar>
            <w:vAlign w:val="center"/>
          </w:tcPr>
          <w:p w14:paraId="478C752C">
            <w:pPr>
              <w:spacing w:line="500" w:lineRule="exact"/>
              <w:ind w:left="240" w:leftChars="10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服务期</w:t>
            </w:r>
          </w:p>
        </w:tc>
      </w:tr>
      <w:tr w14:paraId="68CB2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restart"/>
            <w:tcBorders>
              <w:left w:val="single" w:color="auto" w:sz="4" w:space="0"/>
            </w:tcBorders>
            <w:noWrap w:val="0"/>
            <w:vAlign w:val="center"/>
          </w:tcPr>
          <w:p w14:paraId="093BF076">
            <w:pPr>
              <w:spacing w:line="50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实施能繁母牛、肉犊牛和村级防疫员保险采购项目（三标段）</w:t>
            </w:r>
          </w:p>
        </w:tc>
        <w:tc>
          <w:tcPr>
            <w:tcW w:w="2400" w:type="dxa"/>
            <w:noWrap w:val="0"/>
            <w:vAlign w:val="center"/>
          </w:tcPr>
          <w:p w14:paraId="24F77DA0">
            <w:pPr>
              <w:spacing w:line="500" w:lineRule="exact"/>
              <w:ind w:left="240" w:leftChars="1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HC-ZFCG-2025-040</w:t>
            </w:r>
          </w:p>
        </w:tc>
        <w:tc>
          <w:tcPr>
            <w:tcW w:w="3706" w:type="dxa"/>
            <w:noWrap w:val="0"/>
            <w:vAlign w:val="center"/>
          </w:tcPr>
          <w:p w14:paraId="3E386EF8">
            <w:pPr>
              <w:spacing w:line="500" w:lineRule="exact"/>
              <w:ind w:left="240" w:leftChars="100" w:firstLine="1446" w:firstLineChars="6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1项</w:t>
            </w:r>
          </w:p>
        </w:tc>
        <w:tc>
          <w:tcPr>
            <w:tcW w:w="2325" w:type="dxa"/>
            <w:noWrap w:val="0"/>
            <w:tcMar>
              <w:top w:w="57" w:type="dxa"/>
              <w:left w:w="28" w:type="dxa"/>
              <w:bottom w:w="57" w:type="dxa"/>
              <w:right w:w="28" w:type="dxa"/>
            </w:tcMar>
            <w:vAlign w:val="center"/>
          </w:tcPr>
          <w:p w14:paraId="36B14F9F">
            <w:pPr>
              <w:spacing w:line="500" w:lineRule="exact"/>
              <w:ind w:left="240" w:leftChars="100"/>
              <w:rPr>
                <w:rFonts w:hint="eastAsia" w:ascii="仿宋" w:hAnsi="仿宋" w:eastAsia="仿宋" w:cs="仿宋"/>
                <w:b/>
                <w:sz w:val="24"/>
                <w:szCs w:val="24"/>
                <w:lang w:val="en-US" w:eastAsia="zh-CN"/>
              </w:rPr>
            </w:pPr>
          </w:p>
        </w:tc>
        <w:tc>
          <w:tcPr>
            <w:tcW w:w="3388" w:type="dxa"/>
            <w:tcBorders>
              <w:right w:val="single" w:color="auto" w:sz="4" w:space="0"/>
            </w:tcBorders>
            <w:noWrap w:val="0"/>
            <w:tcMar>
              <w:top w:w="57" w:type="dxa"/>
              <w:left w:w="28" w:type="dxa"/>
              <w:bottom w:w="57" w:type="dxa"/>
              <w:right w:w="28" w:type="dxa"/>
            </w:tcMar>
            <w:vAlign w:val="center"/>
          </w:tcPr>
          <w:p w14:paraId="6289532F">
            <w:pPr>
              <w:spacing w:line="500" w:lineRule="exact"/>
              <w:ind w:left="240" w:leftChars="100"/>
              <w:rPr>
                <w:rFonts w:hint="eastAsia" w:ascii="仿宋" w:hAnsi="仿宋" w:eastAsia="仿宋" w:cs="仿宋"/>
                <w:b/>
                <w:sz w:val="24"/>
                <w:szCs w:val="24"/>
                <w:lang w:val="en-US" w:eastAsia="zh-CN"/>
              </w:rPr>
            </w:pPr>
          </w:p>
        </w:tc>
      </w:tr>
      <w:tr w14:paraId="573E5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continue"/>
            <w:tcBorders>
              <w:left w:val="single" w:color="auto" w:sz="4" w:space="0"/>
              <w:bottom w:val="single" w:color="auto" w:sz="4" w:space="0"/>
            </w:tcBorders>
            <w:noWrap w:val="0"/>
            <w:tcMar>
              <w:top w:w="57" w:type="dxa"/>
              <w:left w:w="28" w:type="dxa"/>
              <w:bottom w:w="57" w:type="dxa"/>
              <w:right w:w="28" w:type="dxa"/>
            </w:tcMar>
            <w:vAlign w:val="center"/>
          </w:tcPr>
          <w:p w14:paraId="787A01D8">
            <w:pPr>
              <w:spacing w:line="500" w:lineRule="exact"/>
              <w:ind w:left="240" w:leftChars="100"/>
              <w:rPr>
                <w:rFonts w:hint="eastAsia" w:ascii="仿宋" w:hAnsi="仿宋" w:eastAsia="仿宋" w:cs="仿宋"/>
                <w:b/>
                <w:sz w:val="28"/>
                <w:szCs w:val="28"/>
              </w:rPr>
            </w:pPr>
          </w:p>
        </w:tc>
        <w:tc>
          <w:tcPr>
            <w:tcW w:w="11819" w:type="dxa"/>
            <w:gridSpan w:val="4"/>
            <w:tcBorders>
              <w:top w:val="single" w:color="auto" w:sz="4" w:space="0"/>
              <w:bottom w:val="single" w:color="auto" w:sz="4" w:space="0"/>
              <w:right w:val="single" w:color="auto" w:sz="4" w:space="0"/>
            </w:tcBorders>
            <w:noWrap w:val="0"/>
            <w:vAlign w:val="center"/>
          </w:tcPr>
          <w:p w14:paraId="46649A11">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投标总价（小写）：                                  </w:t>
            </w:r>
          </w:p>
          <w:p w14:paraId="7503F12A">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投标总价（大写）：                                                                  </w:t>
            </w:r>
          </w:p>
        </w:tc>
      </w:tr>
    </w:tbl>
    <w:p w14:paraId="168A933A">
      <w:pPr>
        <w:spacing w:line="500" w:lineRule="exact"/>
        <w:rPr>
          <w:rFonts w:hint="eastAsia" w:ascii="仿宋" w:hAnsi="仿宋" w:eastAsia="仿宋" w:cs="仿宋"/>
          <w:iCs/>
          <w:color w:val="auto"/>
          <w:highlight w:val="none"/>
        </w:rPr>
      </w:pPr>
      <w:r>
        <w:rPr>
          <w:rFonts w:hint="eastAsia" w:ascii="仿宋" w:hAnsi="仿宋" w:eastAsia="仿宋" w:cs="仿宋"/>
          <w:iCs/>
          <w:color w:val="auto"/>
          <w:highlight w:val="none"/>
        </w:rPr>
        <w:t>注：1、本表价格应按投标总价填写，同时应保证投标文件的正、副本中仍有此表且</w:t>
      </w:r>
      <w:r>
        <w:rPr>
          <w:rFonts w:hint="eastAsia" w:ascii="仿宋" w:hAnsi="仿宋" w:eastAsia="仿宋" w:cs="仿宋"/>
          <w:iCs/>
          <w:color w:val="auto"/>
          <w:highlight w:val="none"/>
          <w:lang w:val="en-US" w:eastAsia="zh-CN"/>
        </w:rPr>
        <w:t>名称和报价相符</w:t>
      </w:r>
      <w:r>
        <w:rPr>
          <w:rFonts w:hint="eastAsia" w:ascii="仿宋" w:hAnsi="仿宋" w:eastAsia="仿宋" w:cs="仿宋"/>
          <w:iCs/>
          <w:color w:val="auto"/>
          <w:highlight w:val="none"/>
        </w:rPr>
        <w:t>。</w:t>
      </w:r>
    </w:p>
    <w:p w14:paraId="69706E42">
      <w:pPr>
        <w:spacing w:line="400" w:lineRule="exact"/>
        <w:ind w:firstLine="480" w:firstLineChars="200"/>
        <w:rPr>
          <w:rFonts w:hint="eastAsia" w:ascii="仿宋" w:hAnsi="仿宋" w:eastAsia="仿宋" w:cs="仿宋"/>
          <w:iCs/>
          <w:lang w:eastAsia="zh-CN"/>
        </w:rPr>
      </w:pPr>
      <w:r>
        <w:rPr>
          <w:rFonts w:hint="eastAsia" w:ascii="仿宋" w:hAnsi="仿宋" w:eastAsia="仿宋" w:cs="仿宋"/>
          <w:iCs/>
        </w:rPr>
        <w:t>2、投标报价（含税）=</w:t>
      </w:r>
      <w:r>
        <w:rPr>
          <w:rFonts w:hint="eastAsia" w:ascii="仿宋" w:hAnsi="仿宋" w:eastAsia="仿宋" w:cs="仿宋"/>
          <w:iCs/>
          <w:color w:val="FF0000"/>
        </w:rPr>
        <w:t>产品价+售后服务费+保险费+相关伴随费用等</w:t>
      </w:r>
      <w:r>
        <w:rPr>
          <w:rFonts w:hint="eastAsia" w:ascii="仿宋" w:hAnsi="仿宋" w:eastAsia="仿宋" w:cs="仿宋"/>
          <w:iCs/>
          <w:lang w:eastAsia="zh-CN"/>
        </w:rPr>
        <w:t>。</w:t>
      </w:r>
    </w:p>
    <w:p w14:paraId="67AAE31E">
      <w:pPr>
        <w:spacing w:line="500" w:lineRule="exact"/>
        <w:rPr>
          <w:rFonts w:hint="eastAsia" w:ascii="仿宋" w:hAnsi="仿宋" w:eastAsia="仿宋" w:cs="仿宋"/>
          <w:color w:val="auto"/>
          <w:highlight w:val="none"/>
        </w:rPr>
      </w:pPr>
    </w:p>
    <w:p w14:paraId="70DF4D4C">
      <w:pPr>
        <w:spacing w:line="4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（投标人单位公章）                              日 期：</w:t>
      </w:r>
      <w:r>
        <w:rPr>
          <w:rFonts w:hint="eastAsia" w:ascii="仿宋" w:hAnsi="仿宋" w:eastAsia="仿宋" w:cs="仿宋"/>
          <w:color w:val="auto"/>
          <w:highlight w:val="none"/>
          <w:u w:val="single"/>
        </w:rPr>
        <w:t xml:space="preserve">            </w:t>
      </w:r>
      <w:bookmarkStart w:id="117" w:name="_Toc167591047"/>
      <w:bookmarkStart w:id="118" w:name="_Toc170980556"/>
      <w:bookmarkStart w:id="119" w:name="_Toc173549982"/>
      <w:bookmarkStart w:id="120" w:name="_Toc193126885"/>
      <w:bookmarkStart w:id="121" w:name="_Toc167590779"/>
      <w:bookmarkStart w:id="122" w:name="_Toc169838536"/>
      <w:bookmarkStart w:id="123" w:name="_Toc169846877"/>
      <w:bookmarkStart w:id="124" w:name="_Toc167591334"/>
      <w:bookmarkStart w:id="125" w:name="_Toc175033596"/>
      <w:bookmarkStart w:id="126" w:name="_Toc175032441"/>
      <w:bookmarkStart w:id="127" w:name="_Toc193187101"/>
      <w:bookmarkStart w:id="128" w:name="_Toc188808836"/>
      <w:bookmarkStart w:id="129" w:name="_Toc167591148"/>
      <w:bookmarkStart w:id="130" w:name="_Toc154482483"/>
      <w:bookmarkStart w:id="131" w:name="_Toc170980457"/>
      <w:bookmarkStart w:id="132" w:name="_Toc167591496"/>
      <w:bookmarkStart w:id="133" w:name="_Toc169846780"/>
      <w:bookmarkStart w:id="134" w:name="_Toc194663922"/>
      <w:bookmarkStart w:id="135" w:name="_Toc167849364"/>
      <w:r>
        <w:rPr>
          <w:rFonts w:hint="eastAsia" w:ascii="仿宋" w:hAnsi="仿宋" w:eastAsia="仿宋" w:cs="仿宋"/>
          <w:color w:val="auto"/>
          <w:highlight w:val="none"/>
        </w:rPr>
        <w:t xml:space="preserve">        </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6" w:name="_Toc188808837"/>
      <w:bookmarkStart w:id="137" w:name="_Toc193187102"/>
      <w:bookmarkStart w:id="138" w:name="_Toc194663923"/>
      <w:bookmarkStart w:id="139" w:name="_Toc193126886"/>
    </w:p>
    <w:p w14:paraId="08E31FC0">
      <w:pPr>
        <w:spacing w:line="420" w:lineRule="exact"/>
        <w:jc w:val="both"/>
        <w:rPr>
          <w:rFonts w:hint="eastAsia" w:ascii="仿宋" w:hAnsi="仿宋" w:eastAsia="仿宋" w:cs="仿宋"/>
          <w:color w:val="auto"/>
          <w:highlight w:val="none"/>
        </w:rPr>
      </w:pPr>
    </w:p>
    <w:p w14:paraId="3F895F56">
      <w:pPr>
        <w:pStyle w:val="2"/>
        <w:rPr>
          <w:rFonts w:hint="eastAsia"/>
        </w:rPr>
      </w:pPr>
    </w:p>
    <w:p w14:paraId="6F8FA7A6">
      <w:pPr>
        <w:spacing w:line="42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投标分项报价表</w:t>
      </w:r>
    </w:p>
    <w:p w14:paraId="4184D6D4">
      <w:pPr>
        <w:spacing w:line="300" w:lineRule="exact"/>
        <w:ind w:left="240" w:leftChars="100"/>
        <w:jc w:val="center"/>
        <w:rPr>
          <w:rFonts w:hint="eastAsia" w:ascii="仿宋" w:hAnsi="仿宋" w:eastAsia="仿宋" w:cs="仿宋"/>
          <w:color w:val="auto"/>
          <w:highlight w:val="none"/>
        </w:rPr>
      </w:pPr>
    </w:p>
    <w:p w14:paraId="57905989">
      <w:pPr>
        <w:spacing w:line="300" w:lineRule="exact"/>
        <w:ind w:left="240" w:leftChars="10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格式自拟</w:t>
      </w:r>
      <w:r>
        <w:rPr>
          <w:rFonts w:hint="eastAsia" w:ascii="仿宋" w:hAnsi="仿宋" w:eastAsia="仿宋" w:cs="仿宋"/>
          <w:color w:val="auto"/>
          <w:highlight w:val="none"/>
          <w:lang w:eastAsia="zh-CN"/>
        </w:rPr>
        <w:t>）</w:t>
      </w:r>
    </w:p>
    <w:p w14:paraId="77ED341A">
      <w:pPr>
        <w:spacing w:line="300" w:lineRule="exact"/>
        <w:ind w:left="240" w:leftChars="100"/>
        <w:rPr>
          <w:rFonts w:hint="eastAsia" w:ascii="仿宋" w:hAnsi="仿宋" w:eastAsia="仿宋" w:cs="仿宋"/>
          <w:color w:val="auto"/>
          <w:highlight w:val="none"/>
        </w:rPr>
      </w:pPr>
    </w:p>
    <w:p w14:paraId="4B171526">
      <w:pPr>
        <w:spacing w:line="300" w:lineRule="exact"/>
        <w:ind w:left="240" w:leftChars="100"/>
        <w:rPr>
          <w:rFonts w:hint="eastAsia" w:ascii="仿宋" w:hAnsi="仿宋" w:eastAsia="仿宋" w:cs="仿宋"/>
          <w:color w:val="auto"/>
          <w:highlight w:val="none"/>
        </w:rPr>
      </w:pPr>
    </w:p>
    <w:p w14:paraId="71F72D0B">
      <w:pPr>
        <w:spacing w:line="300" w:lineRule="exact"/>
        <w:ind w:left="240" w:leftChars="100"/>
        <w:rPr>
          <w:rFonts w:hint="eastAsia" w:ascii="仿宋" w:hAnsi="仿宋" w:eastAsia="仿宋" w:cs="仿宋"/>
          <w:color w:val="auto"/>
          <w:highlight w:val="none"/>
        </w:rPr>
      </w:pPr>
    </w:p>
    <w:p w14:paraId="7A66F7A0">
      <w:pPr>
        <w:spacing w:line="300" w:lineRule="exact"/>
        <w:ind w:left="240" w:leftChars="100"/>
        <w:rPr>
          <w:rFonts w:hint="eastAsia" w:ascii="仿宋" w:hAnsi="仿宋" w:eastAsia="仿宋" w:cs="仿宋"/>
          <w:color w:val="auto"/>
          <w:highlight w:val="none"/>
        </w:rPr>
      </w:pPr>
    </w:p>
    <w:p w14:paraId="40B2FC98">
      <w:pPr>
        <w:spacing w:line="300" w:lineRule="exact"/>
        <w:ind w:left="240" w:leftChars="100"/>
        <w:rPr>
          <w:rFonts w:hint="eastAsia" w:ascii="仿宋" w:hAnsi="仿宋" w:eastAsia="仿宋" w:cs="仿宋"/>
          <w:color w:val="auto"/>
          <w:highlight w:val="none"/>
        </w:rPr>
      </w:pPr>
    </w:p>
    <w:p w14:paraId="7EE95358">
      <w:pPr>
        <w:spacing w:line="300" w:lineRule="exact"/>
        <w:ind w:left="240" w:leftChars="100"/>
        <w:rPr>
          <w:rFonts w:hint="eastAsia" w:ascii="仿宋" w:hAnsi="仿宋" w:eastAsia="仿宋" w:cs="仿宋"/>
          <w:color w:val="auto"/>
          <w:highlight w:val="none"/>
        </w:rPr>
      </w:pPr>
    </w:p>
    <w:p w14:paraId="313583C0">
      <w:pPr>
        <w:spacing w:line="300" w:lineRule="exact"/>
        <w:ind w:left="240" w:leftChars="100"/>
        <w:rPr>
          <w:rFonts w:hint="eastAsia" w:ascii="仿宋" w:hAnsi="仿宋" w:eastAsia="仿宋" w:cs="仿宋"/>
          <w:color w:val="auto"/>
          <w:highlight w:val="none"/>
        </w:rPr>
      </w:pPr>
    </w:p>
    <w:p w14:paraId="59B12ACC">
      <w:pPr>
        <w:spacing w:line="300" w:lineRule="exact"/>
        <w:ind w:left="240" w:leftChars="100"/>
        <w:rPr>
          <w:rFonts w:hint="eastAsia" w:ascii="仿宋" w:hAnsi="仿宋" w:eastAsia="仿宋" w:cs="仿宋"/>
          <w:color w:val="auto"/>
          <w:highlight w:val="none"/>
        </w:rPr>
      </w:pPr>
    </w:p>
    <w:p w14:paraId="3A7F9A1E">
      <w:pPr>
        <w:spacing w:line="300" w:lineRule="exact"/>
        <w:ind w:left="240" w:leftChars="100"/>
        <w:rPr>
          <w:rFonts w:hint="eastAsia" w:ascii="仿宋" w:hAnsi="仿宋" w:eastAsia="仿宋" w:cs="仿宋"/>
          <w:color w:val="auto"/>
          <w:highlight w:val="none"/>
        </w:rPr>
      </w:pPr>
    </w:p>
    <w:p w14:paraId="57F044F4">
      <w:pPr>
        <w:spacing w:line="300" w:lineRule="exact"/>
        <w:ind w:left="240" w:leftChars="100"/>
        <w:rPr>
          <w:rFonts w:hint="eastAsia" w:ascii="仿宋" w:hAnsi="仿宋" w:eastAsia="仿宋" w:cs="仿宋"/>
          <w:color w:val="auto"/>
          <w:highlight w:val="none"/>
        </w:rPr>
      </w:pPr>
    </w:p>
    <w:p w14:paraId="73C5A6E9">
      <w:pPr>
        <w:spacing w:line="300" w:lineRule="exact"/>
        <w:ind w:left="240" w:leftChars="100"/>
        <w:rPr>
          <w:rFonts w:hint="eastAsia" w:ascii="仿宋" w:hAnsi="仿宋" w:eastAsia="仿宋" w:cs="仿宋"/>
          <w:color w:val="auto"/>
          <w:highlight w:val="none"/>
        </w:rPr>
      </w:pPr>
    </w:p>
    <w:p w14:paraId="6C7B024F">
      <w:pPr>
        <w:spacing w:line="300" w:lineRule="exact"/>
        <w:ind w:left="240" w:leftChars="100"/>
        <w:rPr>
          <w:rFonts w:hint="eastAsia" w:ascii="仿宋" w:hAnsi="仿宋" w:eastAsia="仿宋" w:cs="仿宋"/>
          <w:color w:val="auto"/>
          <w:highlight w:val="none"/>
        </w:rPr>
      </w:pPr>
    </w:p>
    <w:p w14:paraId="6B04CEC5">
      <w:pPr>
        <w:spacing w:line="300" w:lineRule="exact"/>
        <w:ind w:left="240" w:leftChars="100"/>
        <w:rPr>
          <w:rFonts w:hint="eastAsia" w:ascii="仿宋" w:hAnsi="仿宋" w:eastAsia="仿宋" w:cs="仿宋"/>
          <w:color w:val="auto"/>
          <w:highlight w:val="none"/>
        </w:rPr>
      </w:pPr>
    </w:p>
    <w:p w14:paraId="3EDCDA3A">
      <w:pPr>
        <w:spacing w:line="300" w:lineRule="exact"/>
        <w:ind w:left="240" w:leftChars="100"/>
        <w:rPr>
          <w:rFonts w:hint="eastAsia" w:ascii="仿宋" w:hAnsi="仿宋" w:eastAsia="仿宋" w:cs="仿宋"/>
          <w:color w:val="auto"/>
          <w:highlight w:val="none"/>
        </w:rPr>
      </w:pPr>
    </w:p>
    <w:p w14:paraId="090BDB04">
      <w:pPr>
        <w:spacing w:line="300" w:lineRule="exact"/>
        <w:ind w:left="240" w:leftChars="100"/>
        <w:rPr>
          <w:rFonts w:hint="eastAsia" w:ascii="仿宋" w:hAnsi="仿宋" w:eastAsia="仿宋" w:cs="仿宋"/>
          <w:color w:val="auto"/>
          <w:highlight w:val="none"/>
        </w:rPr>
      </w:pPr>
    </w:p>
    <w:p w14:paraId="25180468">
      <w:pPr>
        <w:spacing w:line="300" w:lineRule="exact"/>
        <w:ind w:left="240" w:leftChars="100"/>
        <w:rPr>
          <w:rFonts w:hint="eastAsia" w:ascii="仿宋" w:hAnsi="仿宋" w:eastAsia="仿宋" w:cs="仿宋"/>
          <w:color w:val="auto"/>
          <w:highlight w:val="none"/>
        </w:rPr>
      </w:pPr>
    </w:p>
    <w:p w14:paraId="3CD09F41">
      <w:pPr>
        <w:spacing w:line="300" w:lineRule="exact"/>
        <w:ind w:left="240" w:leftChars="100"/>
        <w:rPr>
          <w:rFonts w:hint="eastAsia" w:ascii="仿宋" w:hAnsi="仿宋" w:eastAsia="仿宋" w:cs="仿宋"/>
          <w:color w:val="auto"/>
          <w:highlight w:val="none"/>
        </w:rPr>
      </w:pPr>
    </w:p>
    <w:p w14:paraId="4B06FC11">
      <w:pPr>
        <w:spacing w:line="300" w:lineRule="exact"/>
        <w:ind w:left="240" w:leftChars="100"/>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78C757B0">
      <w:pPr>
        <w:spacing w:line="500" w:lineRule="exact"/>
        <w:rPr>
          <w:rFonts w:hint="eastAsia" w:ascii="仿宋" w:hAnsi="仿宋" w:eastAsia="仿宋" w:cs="仿宋"/>
          <w:color w:val="auto"/>
          <w:highlight w:val="none"/>
          <w:u w:val="single"/>
        </w:rPr>
        <w:sectPr>
          <w:headerReference r:id="rId8" w:type="first"/>
          <w:footerReference r:id="rId10" w:type="first"/>
          <w:headerReference r:id="rId7" w:type="default"/>
          <w:footerReference r:id="rId9" w:type="default"/>
          <w:pgSz w:w="16840" w:h="11907" w:orient="landscape"/>
          <w:pgMar w:top="1440" w:right="1080" w:bottom="1440" w:left="1080" w:header="624" w:footer="1021" w:gutter="0"/>
          <w:pgNumType w:fmt="decimal"/>
          <w:cols w:space="720" w:num="1"/>
          <w:titlePg/>
          <w:docGrid w:linePitch="312" w:charSpace="0"/>
        </w:sect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bookmarkEnd w:id="136"/>
    <w:bookmarkEnd w:id="137"/>
    <w:bookmarkEnd w:id="138"/>
    <w:bookmarkEnd w:id="139"/>
    <w:p w14:paraId="048D1194">
      <w:pPr>
        <w:pStyle w:val="7"/>
        <w:spacing w:before="0" w:after="0" w:line="500" w:lineRule="exact"/>
        <w:rPr>
          <w:rFonts w:hint="eastAsia" w:ascii="仿宋" w:hAnsi="仿宋" w:eastAsia="仿宋" w:cs="仿宋"/>
          <w:color w:val="auto"/>
          <w:sz w:val="28"/>
          <w:szCs w:val="28"/>
          <w:highlight w:val="none"/>
        </w:rPr>
      </w:pPr>
      <w:bookmarkStart w:id="140" w:name="_Toc32598"/>
      <w:bookmarkStart w:id="141" w:name="_Toc416678756"/>
      <w:bookmarkStart w:id="142" w:name="_Toc416530634"/>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偏离表（格式）</w:t>
      </w:r>
      <w:bookmarkEnd w:id="140"/>
      <w:bookmarkEnd w:id="141"/>
      <w:bookmarkEnd w:id="142"/>
    </w:p>
    <w:p w14:paraId="0E813EA5">
      <w:pPr>
        <w:spacing w:line="400" w:lineRule="exact"/>
        <w:ind w:left="240" w:leftChars="10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6"/>
          <w:szCs w:val="21"/>
          <w:highlight w:val="none"/>
          <w:lang w:val="en-US" w:eastAsia="zh-CN"/>
        </w:rPr>
        <w:t>技术（服务）</w:t>
      </w:r>
      <w:r>
        <w:rPr>
          <w:rFonts w:hint="eastAsia" w:ascii="仿宋" w:hAnsi="仿宋" w:eastAsia="仿宋" w:cs="仿宋"/>
          <w:b/>
          <w:bCs/>
          <w:color w:val="auto"/>
          <w:sz w:val="36"/>
          <w:szCs w:val="21"/>
          <w:highlight w:val="none"/>
        </w:rPr>
        <w:t>偏离表</w:t>
      </w:r>
    </w:p>
    <w:p w14:paraId="2DB2EF69">
      <w:pPr>
        <w:autoSpaceDE w:val="0"/>
        <w:autoSpaceDN w:val="0"/>
        <w:adjustRightInd w:val="0"/>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29B6551A">
      <w:pPr>
        <w:autoSpaceDE w:val="0"/>
        <w:autoSpaceDN w:val="0"/>
        <w:adjustRightInd w:val="0"/>
        <w:snapToGrid w:val="0"/>
        <w:spacing w:line="360" w:lineRule="auto"/>
        <w:jc w:val="both"/>
        <w:rPr>
          <w:rFonts w:hint="eastAsia" w:ascii="仿宋" w:hAnsi="仿宋" w:eastAsia="仿宋" w:cs="仿宋"/>
          <w:b/>
          <w:bCs/>
          <w:sz w:val="28"/>
          <w:szCs w:val="28"/>
          <w:u w:val="single"/>
          <w:lang w:val="en-US" w:eastAsia="zh-CN"/>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lang w:val="en-US" w:eastAsia="zh-CN"/>
        </w:rPr>
        <w:t xml:space="preserve">                     </w:t>
      </w:r>
    </w:p>
    <w:p w14:paraId="2F88B021">
      <w:pPr>
        <w:autoSpaceDE w:val="0"/>
        <w:autoSpaceDN w:val="0"/>
        <w:adjustRightInd w:val="0"/>
        <w:snapToGrid w:val="0"/>
        <w:spacing w:line="360" w:lineRule="auto"/>
        <w:jc w:val="right"/>
        <w:rPr>
          <w:rFonts w:hint="eastAsia" w:ascii="仿宋" w:hAnsi="仿宋" w:eastAsia="仿宋" w:cs="仿宋"/>
          <w:sz w:val="28"/>
          <w:szCs w:val="28"/>
        </w:rPr>
      </w:pPr>
    </w:p>
    <w:p w14:paraId="64CA9E13">
      <w:pPr>
        <w:autoSpaceDE w:val="0"/>
        <w:autoSpaceDN w:val="0"/>
        <w:adjustRightInd w:val="0"/>
        <w:snapToGrid w:val="0"/>
        <w:spacing w:line="360" w:lineRule="auto"/>
        <w:jc w:val="right"/>
        <w:rPr>
          <w:rFonts w:hint="eastAsia" w:ascii="仿宋" w:hAnsi="仿宋" w:eastAsia="仿宋" w:cs="仿宋"/>
          <w:b/>
          <w:bCs/>
          <w:sz w:val="28"/>
          <w:szCs w:val="28"/>
        </w:rPr>
      </w:pPr>
      <w:r>
        <w:rPr>
          <w:rFonts w:hint="eastAsia" w:ascii="仿宋" w:hAnsi="仿宋" w:eastAsia="仿宋" w:cs="仿宋"/>
          <w:sz w:val="28"/>
          <w:szCs w:val="28"/>
        </w:rPr>
        <w:t xml:space="preserve">第  </w:t>
      </w:r>
      <w:r>
        <w:rPr>
          <w:rFonts w:hint="eastAsia" w:ascii="仿宋" w:hAnsi="仿宋" w:eastAsia="仿宋" w:cs="仿宋"/>
          <w:sz w:val="28"/>
          <w:szCs w:val="28"/>
          <w:lang w:val="zh-CN"/>
        </w:rPr>
        <w:t>页</w:t>
      </w:r>
      <w:r>
        <w:rPr>
          <w:rFonts w:hint="eastAsia" w:ascii="仿宋" w:hAnsi="仿宋" w:eastAsia="仿宋" w:cs="仿宋"/>
          <w:sz w:val="28"/>
          <w:szCs w:val="28"/>
        </w:rPr>
        <w:t>，共  页</w:t>
      </w:r>
    </w:p>
    <w:tbl>
      <w:tblPr>
        <w:tblStyle w:val="1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216"/>
        <w:gridCol w:w="1688"/>
        <w:gridCol w:w="1819"/>
        <w:gridCol w:w="1538"/>
      </w:tblGrid>
      <w:tr w14:paraId="14B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14:paraId="7E462E3F">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37" w:type="dxa"/>
            <w:noWrap w:val="0"/>
            <w:vAlign w:val="center"/>
          </w:tcPr>
          <w:p w14:paraId="3F3C66E3">
            <w:pPr>
              <w:adjustRightInd w:val="0"/>
              <w:snapToGrid w:val="0"/>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tc>
        <w:tc>
          <w:tcPr>
            <w:tcW w:w="1216" w:type="dxa"/>
            <w:noWrap w:val="0"/>
            <w:vAlign w:val="center"/>
          </w:tcPr>
          <w:p w14:paraId="67CDD2D6">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88" w:type="dxa"/>
            <w:noWrap w:val="0"/>
            <w:vAlign w:val="center"/>
          </w:tcPr>
          <w:p w14:paraId="037FFAAB">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招标文件</w:t>
            </w:r>
          </w:p>
          <w:p w14:paraId="6DAAE7A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要求</w:t>
            </w:r>
          </w:p>
        </w:tc>
        <w:tc>
          <w:tcPr>
            <w:tcW w:w="1819" w:type="dxa"/>
            <w:noWrap w:val="0"/>
            <w:vAlign w:val="center"/>
          </w:tcPr>
          <w:p w14:paraId="7C747737">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投标文件</w:t>
            </w:r>
          </w:p>
          <w:p w14:paraId="218BB991">
            <w:pPr>
              <w:adjustRightInd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实际</w:t>
            </w:r>
            <w:r>
              <w:rPr>
                <w:rFonts w:hint="eastAsia" w:ascii="仿宋" w:hAnsi="仿宋" w:eastAsia="仿宋" w:cs="仿宋"/>
                <w:sz w:val="28"/>
                <w:szCs w:val="28"/>
                <w:lang w:val="en-US" w:eastAsia="zh-CN"/>
              </w:rPr>
              <w:t>内容</w:t>
            </w:r>
          </w:p>
        </w:tc>
        <w:tc>
          <w:tcPr>
            <w:tcW w:w="1538" w:type="dxa"/>
            <w:noWrap w:val="0"/>
            <w:vAlign w:val="center"/>
          </w:tcPr>
          <w:p w14:paraId="45747F9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w:t>
            </w:r>
          </w:p>
          <w:p w14:paraId="70B6B63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说明</w:t>
            </w:r>
          </w:p>
        </w:tc>
      </w:tr>
      <w:tr w14:paraId="1B7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E5AA5C3">
            <w:pPr>
              <w:adjustRightInd w:val="0"/>
              <w:snapToGrid w:val="0"/>
              <w:spacing w:line="360" w:lineRule="auto"/>
              <w:rPr>
                <w:rFonts w:hint="eastAsia" w:ascii="仿宋" w:hAnsi="仿宋" w:eastAsia="仿宋" w:cs="仿宋"/>
                <w:sz w:val="28"/>
                <w:szCs w:val="28"/>
              </w:rPr>
            </w:pPr>
          </w:p>
        </w:tc>
        <w:tc>
          <w:tcPr>
            <w:tcW w:w="1237" w:type="dxa"/>
            <w:noWrap w:val="0"/>
            <w:vAlign w:val="top"/>
          </w:tcPr>
          <w:p w14:paraId="3374C075">
            <w:pPr>
              <w:adjustRightInd w:val="0"/>
              <w:snapToGrid w:val="0"/>
              <w:spacing w:line="360" w:lineRule="auto"/>
              <w:rPr>
                <w:rFonts w:hint="eastAsia" w:ascii="仿宋" w:hAnsi="仿宋" w:eastAsia="仿宋" w:cs="仿宋"/>
                <w:sz w:val="28"/>
                <w:szCs w:val="28"/>
              </w:rPr>
            </w:pPr>
          </w:p>
        </w:tc>
        <w:tc>
          <w:tcPr>
            <w:tcW w:w="1216" w:type="dxa"/>
            <w:noWrap w:val="0"/>
            <w:vAlign w:val="top"/>
          </w:tcPr>
          <w:p w14:paraId="21E41EB2">
            <w:pPr>
              <w:adjustRightInd w:val="0"/>
              <w:snapToGrid w:val="0"/>
              <w:spacing w:line="360" w:lineRule="auto"/>
              <w:rPr>
                <w:rFonts w:hint="eastAsia" w:ascii="仿宋" w:hAnsi="仿宋" w:eastAsia="仿宋" w:cs="仿宋"/>
                <w:sz w:val="28"/>
                <w:szCs w:val="28"/>
              </w:rPr>
            </w:pPr>
          </w:p>
        </w:tc>
        <w:tc>
          <w:tcPr>
            <w:tcW w:w="1688" w:type="dxa"/>
            <w:noWrap w:val="0"/>
            <w:vAlign w:val="top"/>
          </w:tcPr>
          <w:p w14:paraId="53F9BBEB">
            <w:pPr>
              <w:adjustRightInd w:val="0"/>
              <w:snapToGrid w:val="0"/>
              <w:spacing w:line="360" w:lineRule="auto"/>
              <w:rPr>
                <w:rFonts w:hint="eastAsia" w:ascii="仿宋" w:hAnsi="仿宋" w:eastAsia="仿宋" w:cs="仿宋"/>
                <w:sz w:val="28"/>
                <w:szCs w:val="28"/>
              </w:rPr>
            </w:pPr>
          </w:p>
        </w:tc>
        <w:tc>
          <w:tcPr>
            <w:tcW w:w="1819" w:type="dxa"/>
            <w:noWrap w:val="0"/>
            <w:vAlign w:val="top"/>
          </w:tcPr>
          <w:p w14:paraId="3EA4A668">
            <w:pPr>
              <w:adjustRightInd w:val="0"/>
              <w:snapToGrid w:val="0"/>
              <w:spacing w:line="360" w:lineRule="auto"/>
              <w:rPr>
                <w:rFonts w:hint="eastAsia" w:ascii="仿宋" w:hAnsi="仿宋" w:eastAsia="仿宋" w:cs="仿宋"/>
                <w:sz w:val="28"/>
                <w:szCs w:val="28"/>
              </w:rPr>
            </w:pPr>
          </w:p>
        </w:tc>
        <w:tc>
          <w:tcPr>
            <w:tcW w:w="1538" w:type="dxa"/>
            <w:noWrap w:val="0"/>
            <w:vAlign w:val="top"/>
          </w:tcPr>
          <w:p w14:paraId="4DFA3345">
            <w:pPr>
              <w:adjustRightInd w:val="0"/>
              <w:snapToGrid w:val="0"/>
              <w:spacing w:line="360" w:lineRule="auto"/>
              <w:rPr>
                <w:rFonts w:hint="eastAsia" w:ascii="仿宋" w:hAnsi="仿宋" w:eastAsia="仿宋" w:cs="仿宋"/>
                <w:sz w:val="28"/>
                <w:szCs w:val="28"/>
              </w:rPr>
            </w:pPr>
          </w:p>
        </w:tc>
      </w:tr>
      <w:tr w14:paraId="1146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B7650AD">
            <w:pPr>
              <w:adjustRightInd w:val="0"/>
              <w:snapToGrid w:val="0"/>
              <w:spacing w:line="360" w:lineRule="auto"/>
              <w:rPr>
                <w:rFonts w:hint="eastAsia" w:ascii="仿宋" w:hAnsi="仿宋" w:eastAsia="仿宋" w:cs="仿宋"/>
                <w:sz w:val="28"/>
                <w:szCs w:val="28"/>
              </w:rPr>
            </w:pPr>
          </w:p>
        </w:tc>
        <w:tc>
          <w:tcPr>
            <w:tcW w:w="1237" w:type="dxa"/>
            <w:noWrap w:val="0"/>
            <w:vAlign w:val="top"/>
          </w:tcPr>
          <w:p w14:paraId="7BBF866E">
            <w:pPr>
              <w:adjustRightInd w:val="0"/>
              <w:snapToGrid w:val="0"/>
              <w:spacing w:line="360" w:lineRule="auto"/>
              <w:rPr>
                <w:rFonts w:hint="eastAsia" w:ascii="仿宋" w:hAnsi="仿宋" w:eastAsia="仿宋" w:cs="仿宋"/>
                <w:sz w:val="28"/>
                <w:szCs w:val="28"/>
              </w:rPr>
            </w:pPr>
          </w:p>
        </w:tc>
        <w:tc>
          <w:tcPr>
            <w:tcW w:w="1216" w:type="dxa"/>
            <w:noWrap w:val="0"/>
            <w:vAlign w:val="top"/>
          </w:tcPr>
          <w:p w14:paraId="3AAB8DDB">
            <w:pPr>
              <w:adjustRightInd w:val="0"/>
              <w:snapToGrid w:val="0"/>
              <w:spacing w:line="360" w:lineRule="auto"/>
              <w:rPr>
                <w:rFonts w:hint="eastAsia" w:ascii="仿宋" w:hAnsi="仿宋" w:eastAsia="仿宋" w:cs="仿宋"/>
                <w:sz w:val="28"/>
                <w:szCs w:val="28"/>
              </w:rPr>
            </w:pPr>
          </w:p>
        </w:tc>
        <w:tc>
          <w:tcPr>
            <w:tcW w:w="1688" w:type="dxa"/>
            <w:noWrap w:val="0"/>
            <w:vAlign w:val="top"/>
          </w:tcPr>
          <w:p w14:paraId="7C381351">
            <w:pPr>
              <w:adjustRightInd w:val="0"/>
              <w:snapToGrid w:val="0"/>
              <w:spacing w:line="360" w:lineRule="auto"/>
              <w:rPr>
                <w:rFonts w:hint="eastAsia" w:ascii="仿宋" w:hAnsi="仿宋" w:eastAsia="仿宋" w:cs="仿宋"/>
                <w:sz w:val="28"/>
                <w:szCs w:val="28"/>
              </w:rPr>
            </w:pPr>
          </w:p>
        </w:tc>
        <w:tc>
          <w:tcPr>
            <w:tcW w:w="1819" w:type="dxa"/>
            <w:noWrap w:val="0"/>
            <w:vAlign w:val="top"/>
          </w:tcPr>
          <w:p w14:paraId="2DC3305E">
            <w:pPr>
              <w:adjustRightInd w:val="0"/>
              <w:snapToGrid w:val="0"/>
              <w:spacing w:line="360" w:lineRule="auto"/>
              <w:rPr>
                <w:rFonts w:hint="eastAsia" w:ascii="仿宋" w:hAnsi="仿宋" w:eastAsia="仿宋" w:cs="仿宋"/>
                <w:sz w:val="28"/>
                <w:szCs w:val="28"/>
              </w:rPr>
            </w:pPr>
          </w:p>
        </w:tc>
        <w:tc>
          <w:tcPr>
            <w:tcW w:w="1538" w:type="dxa"/>
            <w:noWrap w:val="0"/>
            <w:vAlign w:val="top"/>
          </w:tcPr>
          <w:p w14:paraId="7578E96D">
            <w:pPr>
              <w:adjustRightInd w:val="0"/>
              <w:snapToGrid w:val="0"/>
              <w:spacing w:line="360" w:lineRule="auto"/>
              <w:rPr>
                <w:rFonts w:hint="eastAsia" w:ascii="仿宋" w:hAnsi="仿宋" w:eastAsia="仿宋" w:cs="仿宋"/>
                <w:sz w:val="28"/>
                <w:szCs w:val="28"/>
              </w:rPr>
            </w:pPr>
          </w:p>
        </w:tc>
      </w:tr>
      <w:tr w14:paraId="157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578070FC">
            <w:pPr>
              <w:adjustRightInd w:val="0"/>
              <w:snapToGrid w:val="0"/>
              <w:spacing w:line="360" w:lineRule="auto"/>
              <w:rPr>
                <w:rFonts w:hint="eastAsia" w:ascii="仿宋" w:hAnsi="仿宋" w:eastAsia="仿宋" w:cs="仿宋"/>
                <w:sz w:val="28"/>
                <w:szCs w:val="28"/>
              </w:rPr>
            </w:pPr>
          </w:p>
        </w:tc>
        <w:tc>
          <w:tcPr>
            <w:tcW w:w="1237" w:type="dxa"/>
            <w:noWrap w:val="0"/>
            <w:vAlign w:val="top"/>
          </w:tcPr>
          <w:p w14:paraId="502D2A21">
            <w:pPr>
              <w:adjustRightInd w:val="0"/>
              <w:snapToGrid w:val="0"/>
              <w:spacing w:line="360" w:lineRule="auto"/>
              <w:rPr>
                <w:rFonts w:hint="eastAsia" w:ascii="仿宋" w:hAnsi="仿宋" w:eastAsia="仿宋" w:cs="仿宋"/>
                <w:sz w:val="28"/>
                <w:szCs w:val="28"/>
              </w:rPr>
            </w:pPr>
          </w:p>
        </w:tc>
        <w:tc>
          <w:tcPr>
            <w:tcW w:w="1216" w:type="dxa"/>
            <w:noWrap w:val="0"/>
            <w:vAlign w:val="top"/>
          </w:tcPr>
          <w:p w14:paraId="587A2DA1">
            <w:pPr>
              <w:adjustRightInd w:val="0"/>
              <w:snapToGrid w:val="0"/>
              <w:spacing w:line="360" w:lineRule="auto"/>
              <w:rPr>
                <w:rFonts w:hint="eastAsia" w:ascii="仿宋" w:hAnsi="仿宋" w:eastAsia="仿宋" w:cs="仿宋"/>
                <w:sz w:val="28"/>
                <w:szCs w:val="28"/>
              </w:rPr>
            </w:pPr>
          </w:p>
        </w:tc>
        <w:tc>
          <w:tcPr>
            <w:tcW w:w="1688" w:type="dxa"/>
            <w:noWrap w:val="0"/>
            <w:vAlign w:val="top"/>
          </w:tcPr>
          <w:p w14:paraId="2AEF4E9A">
            <w:pPr>
              <w:adjustRightInd w:val="0"/>
              <w:snapToGrid w:val="0"/>
              <w:spacing w:line="360" w:lineRule="auto"/>
              <w:rPr>
                <w:rFonts w:hint="eastAsia" w:ascii="仿宋" w:hAnsi="仿宋" w:eastAsia="仿宋" w:cs="仿宋"/>
                <w:sz w:val="28"/>
                <w:szCs w:val="28"/>
              </w:rPr>
            </w:pPr>
          </w:p>
        </w:tc>
        <w:tc>
          <w:tcPr>
            <w:tcW w:w="1819" w:type="dxa"/>
            <w:noWrap w:val="0"/>
            <w:vAlign w:val="top"/>
          </w:tcPr>
          <w:p w14:paraId="76BF4826">
            <w:pPr>
              <w:adjustRightInd w:val="0"/>
              <w:snapToGrid w:val="0"/>
              <w:spacing w:line="360" w:lineRule="auto"/>
              <w:rPr>
                <w:rFonts w:hint="eastAsia" w:ascii="仿宋" w:hAnsi="仿宋" w:eastAsia="仿宋" w:cs="仿宋"/>
                <w:sz w:val="28"/>
                <w:szCs w:val="28"/>
              </w:rPr>
            </w:pPr>
          </w:p>
        </w:tc>
        <w:tc>
          <w:tcPr>
            <w:tcW w:w="1538" w:type="dxa"/>
            <w:noWrap w:val="0"/>
            <w:vAlign w:val="top"/>
          </w:tcPr>
          <w:p w14:paraId="56C1F7FF">
            <w:pPr>
              <w:adjustRightInd w:val="0"/>
              <w:snapToGrid w:val="0"/>
              <w:spacing w:line="360" w:lineRule="auto"/>
              <w:rPr>
                <w:rFonts w:hint="eastAsia" w:ascii="仿宋" w:hAnsi="仿宋" w:eastAsia="仿宋" w:cs="仿宋"/>
                <w:sz w:val="28"/>
                <w:szCs w:val="28"/>
              </w:rPr>
            </w:pPr>
          </w:p>
        </w:tc>
      </w:tr>
      <w:tr w14:paraId="4122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7E4E2E0">
            <w:pPr>
              <w:adjustRightInd w:val="0"/>
              <w:snapToGrid w:val="0"/>
              <w:spacing w:line="360" w:lineRule="auto"/>
              <w:rPr>
                <w:rFonts w:hint="eastAsia" w:ascii="仿宋" w:hAnsi="仿宋" w:eastAsia="仿宋" w:cs="仿宋"/>
                <w:sz w:val="28"/>
                <w:szCs w:val="28"/>
              </w:rPr>
            </w:pPr>
          </w:p>
        </w:tc>
        <w:tc>
          <w:tcPr>
            <w:tcW w:w="1237" w:type="dxa"/>
            <w:noWrap w:val="0"/>
            <w:vAlign w:val="top"/>
          </w:tcPr>
          <w:p w14:paraId="435AEF2C">
            <w:pPr>
              <w:adjustRightInd w:val="0"/>
              <w:snapToGrid w:val="0"/>
              <w:spacing w:line="360" w:lineRule="auto"/>
              <w:rPr>
                <w:rFonts w:hint="eastAsia" w:ascii="仿宋" w:hAnsi="仿宋" w:eastAsia="仿宋" w:cs="仿宋"/>
                <w:sz w:val="28"/>
                <w:szCs w:val="28"/>
              </w:rPr>
            </w:pPr>
          </w:p>
        </w:tc>
        <w:tc>
          <w:tcPr>
            <w:tcW w:w="1216" w:type="dxa"/>
            <w:noWrap w:val="0"/>
            <w:vAlign w:val="top"/>
          </w:tcPr>
          <w:p w14:paraId="58C6F772">
            <w:pPr>
              <w:adjustRightInd w:val="0"/>
              <w:snapToGrid w:val="0"/>
              <w:spacing w:line="360" w:lineRule="auto"/>
              <w:rPr>
                <w:rFonts w:hint="eastAsia" w:ascii="仿宋" w:hAnsi="仿宋" w:eastAsia="仿宋" w:cs="仿宋"/>
                <w:sz w:val="28"/>
                <w:szCs w:val="28"/>
              </w:rPr>
            </w:pPr>
          </w:p>
        </w:tc>
        <w:tc>
          <w:tcPr>
            <w:tcW w:w="1688" w:type="dxa"/>
            <w:noWrap w:val="0"/>
            <w:vAlign w:val="top"/>
          </w:tcPr>
          <w:p w14:paraId="32651E34">
            <w:pPr>
              <w:adjustRightInd w:val="0"/>
              <w:snapToGrid w:val="0"/>
              <w:spacing w:line="360" w:lineRule="auto"/>
              <w:rPr>
                <w:rFonts w:hint="eastAsia" w:ascii="仿宋" w:hAnsi="仿宋" w:eastAsia="仿宋" w:cs="仿宋"/>
                <w:sz w:val="28"/>
                <w:szCs w:val="28"/>
              </w:rPr>
            </w:pPr>
          </w:p>
        </w:tc>
        <w:tc>
          <w:tcPr>
            <w:tcW w:w="1819" w:type="dxa"/>
            <w:noWrap w:val="0"/>
            <w:vAlign w:val="top"/>
          </w:tcPr>
          <w:p w14:paraId="2D3496B6">
            <w:pPr>
              <w:adjustRightInd w:val="0"/>
              <w:snapToGrid w:val="0"/>
              <w:spacing w:line="360" w:lineRule="auto"/>
              <w:rPr>
                <w:rFonts w:hint="eastAsia" w:ascii="仿宋" w:hAnsi="仿宋" w:eastAsia="仿宋" w:cs="仿宋"/>
                <w:sz w:val="28"/>
                <w:szCs w:val="28"/>
              </w:rPr>
            </w:pPr>
          </w:p>
        </w:tc>
        <w:tc>
          <w:tcPr>
            <w:tcW w:w="1538" w:type="dxa"/>
            <w:noWrap w:val="0"/>
            <w:vAlign w:val="top"/>
          </w:tcPr>
          <w:p w14:paraId="2FAC7D6D">
            <w:pPr>
              <w:adjustRightInd w:val="0"/>
              <w:snapToGrid w:val="0"/>
              <w:spacing w:line="360" w:lineRule="auto"/>
              <w:rPr>
                <w:rFonts w:hint="eastAsia" w:ascii="仿宋" w:hAnsi="仿宋" w:eastAsia="仿宋" w:cs="仿宋"/>
                <w:sz w:val="28"/>
                <w:szCs w:val="28"/>
              </w:rPr>
            </w:pPr>
          </w:p>
        </w:tc>
      </w:tr>
      <w:tr w14:paraId="1B17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7FF0B915">
            <w:pPr>
              <w:adjustRightInd w:val="0"/>
              <w:snapToGrid w:val="0"/>
              <w:spacing w:line="360" w:lineRule="auto"/>
              <w:rPr>
                <w:rFonts w:hint="eastAsia" w:ascii="仿宋" w:hAnsi="仿宋" w:eastAsia="仿宋" w:cs="仿宋"/>
                <w:sz w:val="28"/>
                <w:szCs w:val="28"/>
              </w:rPr>
            </w:pPr>
          </w:p>
        </w:tc>
        <w:tc>
          <w:tcPr>
            <w:tcW w:w="1237" w:type="dxa"/>
            <w:noWrap w:val="0"/>
            <w:vAlign w:val="top"/>
          </w:tcPr>
          <w:p w14:paraId="6585732D">
            <w:pPr>
              <w:adjustRightInd w:val="0"/>
              <w:snapToGrid w:val="0"/>
              <w:spacing w:line="360" w:lineRule="auto"/>
              <w:rPr>
                <w:rFonts w:hint="eastAsia" w:ascii="仿宋" w:hAnsi="仿宋" w:eastAsia="仿宋" w:cs="仿宋"/>
                <w:sz w:val="28"/>
                <w:szCs w:val="28"/>
              </w:rPr>
            </w:pPr>
          </w:p>
        </w:tc>
        <w:tc>
          <w:tcPr>
            <w:tcW w:w="1216" w:type="dxa"/>
            <w:noWrap w:val="0"/>
            <w:vAlign w:val="top"/>
          </w:tcPr>
          <w:p w14:paraId="672E205C">
            <w:pPr>
              <w:adjustRightInd w:val="0"/>
              <w:snapToGrid w:val="0"/>
              <w:spacing w:line="360" w:lineRule="auto"/>
              <w:rPr>
                <w:rFonts w:hint="eastAsia" w:ascii="仿宋" w:hAnsi="仿宋" w:eastAsia="仿宋" w:cs="仿宋"/>
                <w:sz w:val="28"/>
                <w:szCs w:val="28"/>
              </w:rPr>
            </w:pPr>
          </w:p>
        </w:tc>
        <w:tc>
          <w:tcPr>
            <w:tcW w:w="1688" w:type="dxa"/>
            <w:noWrap w:val="0"/>
            <w:vAlign w:val="top"/>
          </w:tcPr>
          <w:p w14:paraId="117DF85B">
            <w:pPr>
              <w:adjustRightInd w:val="0"/>
              <w:snapToGrid w:val="0"/>
              <w:spacing w:line="360" w:lineRule="auto"/>
              <w:rPr>
                <w:rFonts w:hint="eastAsia" w:ascii="仿宋" w:hAnsi="仿宋" w:eastAsia="仿宋" w:cs="仿宋"/>
                <w:sz w:val="28"/>
                <w:szCs w:val="28"/>
              </w:rPr>
            </w:pPr>
          </w:p>
        </w:tc>
        <w:tc>
          <w:tcPr>
            <w:tcW w:w="1819" w:type="dxa"/>
            <w:noWrap w:val="0"/>
            <w:vAlign w:val="top"/>
          </w:tcPr>
          <w:p w14:paraId="367DBEA9">
            <w:pPr>
              <w:adjustRightInd w:val="0"/>
              <w:snapToGrid w:val="0"/>
              <w:spacing w:line="360" w:lineRule="auto"/>
              <w:rPr>
                <w:rFonts w:hint="eastAsia" w:ascii="仿宋" w:hAnsi="仿宋" w:eastAsia="仿宋" w:cs="仿宋"/>
                <w:sz w:val="28"/>
                <w:szCs w:val="28"/>
              </w:rPr>
            </w:pPr>
          </w:p>
        </w:tc>
        <w:tc>
          <w:tcPr>
            <w:tcW w:w="1538" w:type="dxa"/>
            <w:noWrap w:val="0"/>
            <w:vAlign w:val="top"/>
          </w:tcPr>
          <w:p w14:paraId="36F38A2D">
            <w:pPr>
              <w:adjustRightInd w:val="0"/>
              <w:snapToGrid w:val="0"/>
              <w:spacing w:line="360" w:lineRule="auto"/>
              <w:rPr>
                <w:rFonts w:hint="eastAsia" w:ascii="仿宋" w:hAnsi="仿宋" w:eastAsia="仿宋" w:cs="仿宋"/>
                <w:sz w:val="28"/>
                <w:szCs w:val="28"/>
              </w:rPr>
            </w:pPr>
          </w:p>
        </w:tc>
      </w:tr>
      <w:tr w14:paraId="6EBC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4AE837E7">
            <w:pPr>
              <w:adjustRightInd w:val="0"/>
              <w:snapToGrid w:val="0"/>
              <w:spacing w:line="360" w:lineRule="auto"/>
              <w:rPr>
                <w:rFonts w:hint="eastAsia" w:ascii="仿宋" w:hAnsi="仿宋" w:eastAsia="仿宋" w:cs="仿宋"/>
                <w:sz w:val="28"/>
                <w:szCs w:val="28"/>
              </w:rPr>
            </w:pPr>
          </w:p>
        </w:tc>
        <w:tc>
          <w:tcPr>
            <w:tcW w:w="1237" w:type="dxa"/>
            <w:noWrap w:val="0"/>
            <w:vAlign w:val="top"/>
          </w:tcPr>
          <w:p w14:paraId="7B077355">
            <w:pPr>
              <w:adjustRightInd w:val="0"/>
              <w:snapToGrid w:val="0"/>
              <w:spacing w:line="360" w:lineRule="auto"/>
              <w:rPr>
                <w:rFonts w:hint="eastAsia" w:ascii="仿宋" w:hAnsi="仿宋" w:eastAsia="仿宋" w:cs="仿宋"/>
                <w:sz w:val="28"/>
                <w:szCs w:val="28"/>
              </w:rPr>
            </w:pPr>
          </w:p>
        </w:tc>
        <w:tc>
          <w:tcPr>
            <w:tcW w:w="1216" w:type="dxa"/>
            <w:noWrap w:val="0"/>
            <w:vAlign w:val="top"/>
          </w:tcPr>
          <w:p w14:paraId="13485420">
            <w:pPr>
              <w:adjustRightInd w:val="0"/>
              <w:snapToGrid w:val="0"/>
              <w:spacing w:line="360" w:lineRule="auto"/>
              <w:rPr>
                <w:rFonts w:hint="eastAsia" w:ascii="仿宋" w:hAnsi="仿宋" w:eastAsia="仿宋" w:cs="仿宋"/>
                <w:sz w:val="28"/>
                <w:szCs w:val="28"/>
              </w:rPr>
            </w:pPr>
          </w:p>
        </w:tc>
        <w:tc>
          <w:tcPr>
            <w:tcW w:w="1688" w:type="dxa"/>
            <w:noWrap w:val="0"/>
            <w:vAlign w:val="top"/>
          </w:tcPr>
          <w:p w14:paraId="7441CA27">
            <w:pPr>
              <w:adjustRightInd w:val="0"/>
              <w:snapToGrid w:val="0"/>
              <w:spacing w:line="360" w:lineRule="auto"/>
              <w:rPr>
                <w:rFonts w:hint="eastAsia" w:ascii="仿宋" w:hAnsi="仿宋" w:eastAsia="仿宋" w:cs="仿宋"/>
                <w:sz w:val="28"/>
                <w:szCs w:val="28"/>
              </w:rPr>
            </w:pPr>
          </w:p>
        </w:tc>
        <w:tc>
          <w:tcPr>
            <w:tcW w:w="1819" w:type="dxa"/>
            <w:noWrap w:val="0"/>
            <w:vAlign w:val="top"/>
          </w:tcPr>
          <w:p w14:paraId="323D324E">
            <w:pPr>
              <w:adjustRightInd w:val="0"/>
              <w:snapToGrid w:val="0"/>
              <w:spacing w:line="360" w:lineRule="auto"/>
              <w:rPr>
                <w:rFonts w:hint="eastAsia" w:ascii="仿宋" w:hAnsi="仿宋" w:eastAsia="仿宋" w:cs="仿宋"/>
                <w:sz w:val="28"/>
                <w:szCs w:val="28"/>
              </w:rPr>
            </w:pPr>
          </w:p>
        </w:tc>
        <w:tc>
          <w:tcPr>
            <w:tcW w:w="1538" w:type="dxa"/>
            <w:noWrap w:val="0"/>
            <w:vAlign w:val="top"/>
          </w:tcPr>
          <w:p w14:paraId="7EBEFCF7">
            <w:pPr>
              <w:adjustRightInd w:val="0"/>
              <w:snapToGrid w:val="0"/>
              <w:spacing w:line="360" w:lineRule="auto"/>
              <w:rPr>
                <w:rFonts w:hint="eastAsia" w:ascii="仿宋" w:hAnsi="仿宋" w:eastAsia="仿宋" w:cs="仿宋"/>
                <w:sz w:val="28"/>
                <w:szCs w:val="28"/>
              </w:rPr>
            </w:pPr>
          </w:p>
        </w:tc>
      </w:tr>
      <w:tr w14:paraId="2EB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115A5195">
            <w:pPr>
              <w:adjustRightInd w:val="0"/>
              <w:snapToGrid w:val="0"/>
              <w:spacing w:line="360" w:lineRule="auto"/>
              <w:rPr>
                <w:rFonts w:hint="eastAsia" w:ascii="仿宋" w:hAnsi="仿宋" w:eastAsia="仿宋" w:cs="仿宋"/>
                <w:sz w:val="28"/>
                <w:szCs w:val="28"/>
              </w:rPr>
            </w:pPr>
          </w:p>
        </w:tc>
        <w:tc>
          <w:tcPr>
            <w:tcW w:w="1237" w:type="dxa"/>
            <w:noWrap w:val="0"/>
            <w:vAlign w:val="top"/>
          </w:tcPr>
          <w:p w14:paraId="50422D75">
            <w:pPr>
              <w:adjustRightInd w:val="0"/>
              <w:snapToGrid w:val="0"/>
              <w:spacing w:line="360" w:lineRule="auto"/>
              <w:rPr>
                <w:rFonts w:hint="eastAsia" w:ascii="仿宋" w:hAnsi="仿宋" w:eastAsia="仿宋" w:cs="仿宋"/>
                <w:sz w:val="28"/>
                <w:szCs w:val="28"/>
              </w:rPr>
            </w:pPr>
          </w:p>
        </w:tc>
        <w:tc>
          <w:tcPr>
            <w:tcW w:w="1216" w:type="dxa"/>
            <w:noWrap w:val="0"/>
            <w:vAlign w:val="top"/>
          </w:tcPr>
          <w:p w14:paraId="5B92309F">
            <w:pPr>
              <w:adjustRightInd w:val="0"/>
              <w:snapToGrid w:val="0"/>
              <w:spacing w:line="360" w:lineRule="auto"/>
              <w:rPr>
                <w:rFonts w:hint="eastAsia" w:ascii="仿宋" w:hAnsi="仿宋" w:eastAsia="仿宋" w:cs="仿宋"/>
                <w:sz w:val="28"/>
                <w:szCs w:val="28"/>
              </w:rPr>
            </w:pPr>
          </w:p>
        </w:tc>
        <w:tc>
          <w:tcPr>
            <w:tcW w:w="1688" w:type="dxa"/>
            <w:noWrap w:val="0"/>
            <w:vAlign w:val="top"/>
          </w:tcPr>
          <w:p w14:paraId="42102F4A">
            <w:pPr>
              <w:adjustRightInd w:val="0"/>
              <w:snapToGrid w:val="0"/>
              <w:spacing w:line="360" w:lineRule="auto"/>
              <w:rPr>
                <w:rFonts w:hint="eastAsia" w:ascii="仿宋" w:hAnsi="仿宋" w:eastAsia="仿宋" w:cs="仿宋"/>
                <w:sz w:val="28"/>
                <w:szCs w:val="28"/>
              </w:rPr>
            </w:pPr>
          </w:p>
        </w:tc>
        <w:tc>
          <w:tcPr>
            <w:tcW w:w="1819" w:type="dxa"/>
            <w:noWrap w:val="0"/>
            <w:vAlign w:val="top"/>
          </w:tcPr>
          <w:p w14:paraId="60BB0558">
            <w:pPr>
              <w:adjustRightInd w:val="0"/>
              <w:snapToGrid w:val="0"/>
              <w:spacing w:line="360" w:lineRule="auto"/>
              <w:rPr>
                <w:rFonts w:hint="eastAsia" w:ascii="仿宋" w:hAnsi="仿宋" w:eastAsia="仿宋" w:cs="仿宋"/>
                <w:sz w:val="28"/>
                <w:szCs w:val="28"/>
              </w:rPr>
            </w:pPr>
          </w:p>
        </w:tc>
        <w:tc>
          <w:tcPr>
            <w:tcW w:w="1538" w:type="dxa"/>
            <w:noWrap w:val="0"/>
            <w:vAlign w:val="top"/>
          </w:tcPr>
          <w:p w14:paraId="6CA3CD3A">
            <w:pPr>
              <w:adjustRightInd w:val="0"/>
              <w:snapToGrid w:val="0"/>
              <w:spacing w:line="360" w:lineRule="auto"/>
              <w:rPr>
                <w:rFonts w:hint="eastAsia" w:ascii="仿宋" w:hAnsi="仿宋" w:eastAsia="仿宋" w:cs="仿宋"/>
                <w:sz w:val="28"/>
                <w:szCs w:val="28"/>
              </w:rPr>
            </w:pPr>
          </w:p>
        </w:tc>
      </w:tr>
      <w:tr w14:paraId="287B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E135F91">
            <w:pPr>
              <w:adjustRightInd w:val="0"/>
              <w:snapToGrid w:val="0"/>
              <w:spacing w:line="360" w:lineRule="auto"/>
              <w:rPr>
                <w:rFonts w:hint="eastAsia" w:ascii="仿宋" w:hAnsi="仿宋" w:eastAsia="仿宋" w:cs="仿宋"/>
                <w:sz w:val="28"/>
                <w:szCs w:val="28"/>
              </w:rPr>
            </w:pPr>
          </w:p>
        </w:tc>
        <w:tc>
          <w:tcPr>
            <w:tcW w:w="1237" w:type="dxa"/>
            <w:noWrap w:val="0"/>
            <w:vAlign w:val="top"/>
          </w:tcPr>
          <w:p w14:paraId="4172F3B5">
            <w:pPr>
              <w:adjustRightInd w:val="0"/>
              <w:snapToGrid w:val="0"/>
              <w:spacing w:line="360" w:lineRule="auto"/>
              <w:rPr>
                <w:rFonts w:hint="eastAsia" w:ascii="仿宋" w:hAnsi="仿宋" w:eastAsia="仿宋" w:cs="仿宋"/>
                <w:sz w:val="28"/>
                <w:szCs w:val="28"/>
              </w:rPr>
            </w:pPr>
          </w:p>
        </w:tc>
        <w:tc>
          <w:tcPr>
            <w:tcW w:w="1216" w:type="dxa"/>
            <w:noWrap w:val="0"/>
            <w:vAlign w:val="top"/>
          </w:tcPr>
          <w:p w14:paraId="36B8DD1C">
            <w:pPr>
              <w:adjustRightInd w:val="0"/>
              <w:snapToGrid w:val="0"/>
              <w:spacing w:line="360" w:lineRule="auto"/>
              <w:rPr>
                <w:rFonts w:hint="eastAsia" w:ascii="仿宋" w:hAnsi="仿宋" w:eastAsia="仿宋" w:cs="仿宋"/>
                <w:sz w:val="28"/>
                <w:szCs w:val="28"/>
              </w:rPr>
            </w:pPr>
          </w:p>
        </w:tc>
        <w:tc>
          <w:tcPr>
            <w:tcW w:w="1688" w:type="dxa"/>
            <w:noWrap w:val="0"/>
            <w:vAlign w:val="top"/>
          </w:tcPr>
          <w:p w14:paraId="79961D3B">
            <w:pPr>
              <w:adjustRightInd w:val="0"/>
              <w:snapToGrid w:val="0"/>
              <w:spacing w:line="360" w:lineRule="auto"/>
              <w:rPr>
                <w:rFonts w:hint="eastAsia" w:ascii="仿宋" w:hAnsi="仿宋" w:eastAsia="仿宋" w:cs="仿宋"/>
                <w:sz w:val="28"/>
                <w:szCs w:val="28"/>
              </w:rPr>
            </w:pPr>
          </w:p>
        </w:tc>
        <w:tc>
          <w:tcPr>
            <w:tcW w:w="1819" w:type="dxa"/>
            <w:noWrap w:val="0"/>
            <w:vAlign w:val="top"/>
          </w:tcPr>
          <w:p w14:paraId="02349088">
            <w:pPr>
              <w:adjustRightInd w:val="0"/>
              <w:snapToGrid w:val="0"/>
              <w:spacing w:line="360" w:lineRule="auto"/>
              <w:rPr>
                <w:rFonts w:hint="eastAsia" w:ascii="仿宋" w:hAnsi="仿宋" w:eastAsia="仿宋" w:cs="仿宋"/>
                <w:sz w:val="28"/>
                <w:szCs w:val="28"/>
              </w:rPr>
            </w:pPr>
          </w:p>
        </w:tc>
        <w:tc>
          <w:tcPr>
            <w:tcW w:w="1538" w:type="dxa"/>
            <w:noWrap w:val="0"/>
            <w:vAlign w:val="top"/>
          </w:tcPr>
          <w:p w14:paraId="2CAE72DA">
            <w:pPr>
              <w:adjustRightInd w:val="0"/>
              <w:snapToGrid w:val="0"/>
              <w:spacing w:line="360" w:lineRule="auto"/>
              <w:rPr>
                <w:rFonts w:hint="eastAsia" w:ascii="仿宋" w:hAnsi="仿宋" w:eastAsia="仿宋" w:cs="仿宋"/>
                <w:sz w:val="28"/>
                <w:szCs w:val="28"/>
              </w:rPr>
            </w:pPr>
          </w:p>
        </w:tc>
      </w:tr>
    </w:tbl>
    <w:p w14:paraId="5E6B6065">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说明：响应说明填写：优于、相同</w:t>
      </w:r>
    </w:p>
    <w:p w14:paraId="7314772B">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313EB7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注：如有漏报、瞒报招标文件所要求的性能指标等将视为没有实质性响应招标文件。</w:t>
      </w:r>
    </w:p>
    <w:p w14:paraId="13A9C528">
      <w:pPr>
        <w:spacing w:line="400" w:lineRule="exact"/>
        <w:rPr>
          <w:rFonts w:hint="eastAsia" w:ascii="仿宋" w:hAnsi="仿宋" w:eastAsia="仿宋" w:cs="仿宋"/>
          <w:color w:val="auto"/>
          <w:szCs w:val="24"/>
          <w:highlight w:val="none"/>
        </w:rPr>
      </w:pPr>
    </w:p>
    <w:p w14:paraId="076436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14:paraId="7206A010">
      <w:pPr>
        <w:spacing w:line="400" w:lineRule="exact"/>
        <w:ind w:firstLine="6000" w:firstLineChars="2500"/>
        <w:rPr>
          <w:rFonts w:hint="eastAsia" w:ascii="仿宋" w:hAnsi="仿宋" w:eastAsia="仿宋" w:cs="仿宋"/>
          <w:b/>
          <w:color w:val="auto"/>
          <w:sz w:val="28"/>
          <w:szCs w:val="28"/>
          <w:highlight w:val="none"/>
        </w:rPr>
      </w:pPr>
      <w:r>
        <w:rPr>
          <w:rFonts w:hint="eastAsia" w:ascii="仿宋" w:hAnsi="仿宋" w:eastAsia="仿宋" w:cs="仿宋"/>
          <w:color w:val="auto"/>
          <w:szCs w:val="24"/>
          <w:highlight w:val="none"/>
        </w:rPr>
        <w:t xml:space="preserve"> 日 期：</w:t>
      </w:r>
      <w:r>
        <w:rPr>
          <w:rFonts w:hint="eastAsia" w:ascii="仿宋" w:hAnsi="仿宋" w:eastAsia="仿宋" w:cs="仿宋"/>
          <w:color w:val="auto"/>
          <w:szCs w:val="24"/>
          <w:highlight w:val="none"/>
          <w:u w:val="single"/>
        </w:rPr>
        <w:t xml:space="preserve">               </w:t>
      </w:r>
      <w:bookmarkStart w:id="143" w:name="_Toc32689"/>
      <w:bookmarkStart w:id="144" w:name="_Toc193126887"/>
      <w:bookmarkStart w:id="145" w:name="_Toc416530635"/>
      <w:bookmarkStart w:id="146" w:name="_Toc188808838"/>
      <w:bookmarkStart w:id="147" w:name="_Toc193187103"/>
      <w:bookmarkStart w:id="148" w:name="_Toc416678757"/>
      <w:bookmarkStart w:id="149" w:name="_Toc194663924"/>
    </w:p>
    <w:p w14:paraId="43A15D04">
      <w:pPr>
        <w:pStyle w:val="7"/>
        <w:spacing w:before="0" w:after="0" w:line="500" w:lineRule="exact"/>
        <w:rPr>
          <w:rFonts w:hint="eastAsia" w:ascii="仿宋" w:hAnsi="仿宋" w:eastAsia="仿宋" w:cs="仿宋"/>
          <w:b/>
          <w:bCs w:val="0"/>
          <w:color w:val="auto"/>
          <w:szCs w:val="24"/>
          <w:highlight w:val="none"/>
          <w:u w:val="single"/>
        </w:rPr>
      </w:pPr>
      <w:r>
        <w:rPr>
          <w:rFonts w:hint="eastAsia" w:ascii="仿宋" w:hAnsi="仿宋" w:eastAsia="仿宋" w:cs="仿宋"/>
          <w:b w:val="0"/>
          <w:color w:val="auto"/>
          <w:sz w:val="28"/>
          <w:szCs w:val="28"/>
          <w:highlight w:val="none"/>
        </w:rPr>
        <w:br w:type="page"/>
      </w:r>
      <w:r>
        <w:rPr>
          <w:rFonts w:hint="eastAsia" w:ascii="仿宋" w:hAnsi="仿宋" w:eastAsia="仿宋" w:cs="仿宋"/>
          <w:b/>
          <w:bCs w:val="0"/>
          <w:color w:val="auto"/>
          <w:sz w:val="28"/>
          <w:szCs w:val="28"/>
          <w:highlight w:val="none"/>
          <w:lang w:val="en-US" w:eastAsia="zh-CN"/>
        </w:rPr>
        <w:t>4</w:t>
      </w:r>
      <w:r>
        <w:rPr>
          <w:rFonts w:hint="eastAsia" w:ascii="仿宋" w:hAnsi="仿宋" w:eastAsia="仿宋" w:cs="仿宋"/>
          <w:b/>
          <w:bCs w:val="0"/>
          <w:color w:val="auto"/>
          <w:sz w:val="28"/>
          <w:szCs w:val="28"/>
          <w:highlight w:val="none"/>
        </w:rPr>
        <w:t>.商务偏离表（格式）</w:t>
      </w:r>
      <w:bookmarkEnd w:id="143"/>
      <w:bookmarkEnd w:id="144"/>
      <w:bookmarkEnd w:id="145"/>
      <w:bookmarkEnd w:id="146"/>
      <w:bookmarkEnd w:id="147"/>
      <w:bookmarkEnd w:id="148"/>
      <w:bookmarkEnd w:id="149"/>
    </w:p>
    <w:p w14:paraId="7BEFCB3F">
      <w:pPr>
        <w:spacing w:line="460" w:lineRule="exact"/>
        <w:ind w:left="240" w:leftChars="100"/>
        <w:jc w:val="center"/>
        <w:rPr>
          <w:rFonts w:hint="eastAsia"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商务偏离表</w:t>
      </w:r>
    </w:p>
    <w:p w14:paraId="37433787">
      <w:pPr>
        <w:spacing w:line="460" w:lineRule="exact"/>
        <w:ind w:firstLine="280" w:firstLineChars="1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项目编号：</w:t>
      </w:r>
      <w:r>
        <w:rPr>
          <w:rFonts w:hint="eastAsia" w:ascii="仿宋" w:hAnsi="仿宋" w:eastAsia="仿宋" w:cs="仿宋"/>
          <w:color w:val="auto"/>
          <w:sz w:val="28"/>
          <w:szCs w:val="28"/>
          <w:highlight w:val="none"/>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07457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tcBorders>
            <w:noWrap w:val="0"/>
            <w:tcMar>
              <w:top w:w="57" w:type="dxa"/>
              <w:left w:w="28" w:type="dxa"/>
              <w:bottom w:w="57" w:type="dxa"/>
              <w:right w:w="28" w:type="dxa"/>
            </w:tcMar>
            <w:vAlign w:val="center"/>
          </w:tcPr>
          <w:p w14:paraId="7BB23266">
            <w:pPr>
              <w:spacing w:line="460" w:lineRule="exact"/>
              <w:ind w:left="-110" w:leftChars="-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序号</w:t>
            </w:r>
          </w:p>
        </w:tc>
        <w:tc>
          <w:tcPr>
            <w:tcW w:w="2950" w:type="dxa"/>
            <w:tcBorders>
              <w:top w:val="single" w:color="auto" w:sz="4" w:space="0"/>
            </w:tcBorders>
            <w:noWrap w:val="0"/>
            <w:tcMar>
              <w:top w:w="57" w:type="dxa"/>
              <w:left w:w="28" w:type="dxa"/>
              <w:bottom w:w="57" w:type="dxa"/>
              <w:right w:w="28" w:type="dxa"/>
            </w:tcMar>
            <w:vAlign w:val="center"/>
          </w:tcPr>
          <w:p w14:paraId="5A92C3AB">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招标文件商务要求</w:t>
            </w:r>
          </w:p>
        </w:tc>
        <w:tc>
          <w:tcPr>
            <w:tcW w:w="2635" w:type="dxa"/>
            <w:tcBorders>
              <w:top w:val="single" w:color="auto" w:sz="4" w:space="0"/>
            </w:tcBorders>
            <w:noWrap w:val="0"/>
            <w:tcMar>
              <w:top w:w="57" w:type="dxa"/>
              <w:left w:w="28" w:type="dxa"/>
              <w:bottom w:w="57" w:type="dxa"/>
              <w:right w:w="28" w:type="dxa"/>
            </w:tcMar>
            <w:vAlign w:val="center"/>
          </w:tcPr>
          <w:p w14:paraId="0081A950">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投标文件商务响应</w:t>
            </w:r>
          </w:p>
        </w:tc>
        <w:tc>
          <w:tcPr>
            <w:tcW w:w="1701" w:type="dxa"/>
            <w:tcBorders>
              <w:top w:val="single" w:color="auto" w:sz="4" w:space="0"/>
            </w:tcBorders>
            <w:noWrap w:val="0"/>
            <w:tcMar>
              <w:top w:w="57" w:type="dxa"/>
              <w:left w:w="28" w:type="dxa"/>
              <w:bottom w:w="57" w:type="dxa"/>
              <w:right w:w="28" w:type="dxa"/>
            </w:tcMar>
            <w:vAlign w:val="center"/>
          </w:tcPr>
          <w:p w14:paraId="513E8655">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偏离情况</w:t>
            </w:r>
          </w:p>
        </w:tc>
        <w:tc>
          <w:tcPr>
            <w:tcW w:w="1131" w:type="dxa"/>
            <w:tcBorders>
              <w:top w:val="single" w:color="auto" w:sz="4" w:space="0"/>
              <w:right w:val="single" w:color="auto" w:sz="4" w:space="0"/>
            </w:tcBorders>
            <w:noWrap w:val="0"/>
            <w:vAlign w:val="center"/>
          </w:tcPr>
          <w:p w14:paraId="409C77C7">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说明</w:t>
            </w:r>
          </w:p>
        </w:tc>
      </w:tr>
      <w:tr w14:paraId="602BF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30142223">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3166BB1">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57B848A2">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315CD6F6">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ED66A93">
            <w:pPr>
              <w:spacing w:line="460" w:lineRule="exact"/>
              <w:ind w:left="240" w:leftChars="100"/>
              <w:rPr>
                <w:rFonts w:hint="eastAsia" w:ascii="仿宋" w:hAnsi="仿宋" w:eastAsia="仿宋" w:cs="仿宋"/>
                <w:color w:val="auto"/>
                <w:sz w:val="28"/>
                <w:szCs w:val="28"/>
                <w:highlight w:val="none"/>
              </w:rPr>
            </w:pPr>
          </w:p>
        </w:tc>
      </w:tr>
      <w:tr w14:paraId="4A144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9A543B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1936114">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3B949751">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7B4618FA">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22E096E">
            <w:pPr>
              <w:spacing w:line="460" w:lineRule="exact"/>
              <w:ind w:left="240" w:leftChars="100"/>
              <w:rPr>
                <w:rFonts w:hint="eastAsia" w:ascii="仿宋" w:hAnsi="仿宋" w:eastAsia="仿宋" w:cs="仿宋"/>
                <w:color w:val="auto"/>
                <w:sz w:val="28"/>
                <w:szCs w:val="28"/>
                <w:highlight w:val="none"/>
              </w:rPr>
            </w:pPr>
          </w:p>
        </w:tc>
      </w:tr>
      <w:tr w14:paraId="59C21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51A83BA">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2694A8B6">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FC73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EDC798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404157F9">
            <w:pPr>
              <w:spacing w:line="460" w:lineRule="exact"/>
              <w:ind w:left="240" w:leftChars="100"/>
              <w:rPr>
                <w:rFonts w:hint="eastAsia" w:ascii="仿宋" w:hAnsi="仿宋" w:eastAsia="仿宋" w:cs="仿宋"/>
                <w:color w:val="auto"/>
                <w:sz w:val="28"/>
                <w:szCs w:val="28"/>
                <w:highlight w:val="none"/>
              </w:rPr>
            </w:pPr>
          </w:p>
        </w:tc>
      </w:tr>
      <w:tr w14:paraId="31C21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F0717D1">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2CF83F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6DCF618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CACAE0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347D1B6F">
            <w:pPr>
              <w:spacing w:line="460" w:lineRule="exact"/>
              <w:ind w:left="240" w:leftChars="100"/>
              <w:rPr>
                <w:rFonts w:hint="eastAsia" w:ascii="仿宋" w:hAnsi="仿宋" w:eastAsia="仿宋" w:cs="仿宋"/>
                <w:color w:val="auto"/>
                <w:sz w:val="28"/>
                <w:szCs w:val="28"/>
                <w:highlight w:val="none"/>
              </w:rPr>
            </w:pPr>
          </w:p>
        </w:tc>
      </w:tr>
      <w:tr w14:paraId="57993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8919DD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87612BE">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6A4A00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C555380">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C8240CD">
            <w:pPr>
              <w:spacing w:line="460" w:lineRule="exact"/>
              <w:ind w:left="240" w:leftChars="100"/>
              <w:rPr>
                <w:rFonts w:hint="eastAsia" w:ascii="仿宋" w:hAnsi="仿宋" w:eastAsia="仿宋" w:cs="仿宋"/>
                <w:color w:val="auto"/>
                <w:sz w:val="28"/>
                <w:szCs w:val="28"/>
                <w:highlight w:val="none"/>
              </w:rPr>
            </w:pPr>
          </w:p>
        </w:tc>
      </w:tr>
      <w:tr w14:paraId="5B6F1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C7D12F3">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F20236F">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5D5F3A6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7A5966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ABCB519">
            <w:pPr>
              <w:spacing w:line="460" w:lineRule="exact"/>
              <w:ind w:left="240" w:leftChars="100"/>
              <w:rPr>
                <w:rFonts w:hint="eastAsia" w:ascii="仿宋" w:hAnsi="仿宋" w:eastAsia="仿宋" w:cs="仿宋"/>
                <w:color w:val="auto"/>
                <w:sz w:val="28"/>
                <w:szCs w:val="28"/>
                <w:highlight w:val="none"/>
              </w:rPr>
            </w:pPr>
          </w:p>
        </w:tc>
      </w:tr>
      <w:tr w14:paraId="4707E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D1BC517">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5C9358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416468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4F0398F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7F047FC">
            <w:pPr>
              <w:spacing w:line="460" w:lineRule="exact"/>
              <w:ind w:left="240" w:leftChars="100"/>
              <w:rPr>
                <w:rFonts w:hint="eastAsia" w:ascii="仿宋" w:hAnsi="仿宋" w:eastAsia="仿宋" w:cs="仿宋"/>
                <w:color w:val="auto"/>
                <w:sz w:val="28"/>
                <w:szCs w:val="28"/>
                <w:highlight w:val="none"/>
              </w:rPr>
            </w:pPr>
          </w:p>
        </w:tc>
      </w:tr>
      <w:tr w14:paraId="7453E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67852F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7970FF3">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D7B3F2B">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96F4D2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22013A51">
            <w:pPr>
              <w:spacing w:line="460" w:lineRule="exact"/>
              <w:ind w:left="240" w:leftChars="100"/>
              <w:rPr>
                <w:rFonts w:hint="eastAsia" w:ascii="仿宋" w:hAnsi="仿宋" w:eastAsia="仿宋" w:cs="仿宋"/>
                <w:color w:val="auto"/>
                <w:sz w:val="28"/>
                <w:szCs w:val="28"/>
                <w:highlight w:val="none"/>
              </w:rPr>
            </w:pPr>
          </w:p>
        </w:tc>
      </w:tr>
      <w:tr w14:paraId="21E2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7815C49">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9BF637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82CB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11C700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8888A3A">
            <w:pPr>
              <w:spacing w:line="460" w:lineRule="exact"/>
              <w:ind w:left="240" w:leftChars="100"/>
              <w:rPr>
                <w:rFonts w:hint="eastAsia" w:ascii="仿宋" w:hAnsi="仿宋" w:eastAsia="仿宋" w:cs="仿宋"/>
                <w:color w:val="auto"/>
                <w:sz w:val="28"/>
                <w:szCs w:val="28"/>
                <w:highlight w:val="none"/>
              </w:rPr>
            </w:pPr>
          </w:p>
        </w:tc>
      </w:tr>
      <w:tr w14:paraId="7D604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B6F85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5C08A2A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104836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864D11D">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DDC3EE8">
            <w:pPr>
              <w:spacing w:line="460" w:lineRule="exact"/>
              <w:ind w:left="240" w:leftChars="100"/>
              <w:rPr>
                <w:rFonts w:hint="eastAsia" w:ascii="仿宋" w:hAnsi="仿宋" w:eastAsia="仿宋" w:cs="仿宋"/>
                <w:color w:val="auto"/>
                <w:sz w:val="28"/>
                <w:szCs w:val="28"/>
                <w:highlight w:val="none"/>
              </w:rPr>
            </w:pPr>
          </w:p>
        </w:tc>
      </w:tr>
      <w:tr w14:paraId="758C3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F94CEE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7D0C6F9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A0EECA3">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264FE4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83871F3">
            <w:pPr>
              <w:spacing w:line="460" w:lineRule="exact"/>
              <w:ind w:left="240" w:leftChars="100"/>
              <w:rPr>
                <w:rFonts w:hint="eastAsia" w:ascii="仿宋" w:hAnsi="仿宋" w:eastAsia="仿宋" w:cs="仿宋"/>
                <w:color w:val="auto"/>
                <w:sz w:val="28"/>
                <w:szCs w:val="28"/>
                <w:highlight w:val="none"/>
              </w:rPr>
            </w:pPr>
          </w:p>
        </w:tc>
      </w:tr>
      <w:tr w14:paraId="008D7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5C09A43A">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B88B460">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68A8BB3F">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4A23C587">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65BFE107">
            <w:pPr>
              <w:spacing w:line="460" w:lineRule="exact"/>
              <w:ind w:left="240" w:leftChars="100"/>
              <w:rPr>
                <w:rFonts w:hint="eastAsia" w:ascii="仿宋" w:hAnsi="仿宋" w:eastAsia="仿宋" w:cs="仿宋"/>
                <w:color w:val="auto"/>
                <w:sz w:val="28"/>
                <w:szCs w:val="28"/>
                <w:highlight w:val="none"/>
              </w:rPr>
            </w:pPr>
          </w:p>
        </w:tc>
      </w:tr>
      <w:tr w14:paraId="34163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26663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7D13E8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674B0B4">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F29C96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246470A">
            <w:pPr>
              <w:spacing w:line="460" w:lineRule="exact"/>
              <w:ind w:left="240" w:leftChars="100"/>
              <w:rPr>
                <w:rFonts w:hint="eastAsia" w:ascii="仿宋" w:hAnsi="仿宋" w:eastAsia="仿宋" w:cs="仿宋"/>
                <w:color w:val="auto"/>
                <w:sz w:val="28"/>
                <w:szCs w:val="28"/>
                <w:highlight w:val="none"/>
              </w:rPr>
            </w:pPr>
          </w:p>
        </w:tc>
      </w:tr>
      <w:tr w14:paraId="5125D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E6F82F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AA4FF87">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3E97670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6738605">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1617C7B">
            <w:pPr>
              <w:spacing w:line="460" w:lineRule="exact"/>
              <w:ind w:left="240" w:leftChars="100"/>
              <w:rPr>
                <w:rFonts w:hint="eastAsia" w:ascii="仿宋" w:hAnsi="仿宋" w:eastAsia="仿宋" w:cs="仿宋"/>
                <w:color w:val="auto"/>
                <w:sz w:val="28"/>
                <w:szCs w:val="28"/>
                <w:highlight w:val="none"/>
              </w:rPr>
            </w:pPr>
          </w:p>
        </w:tc>
      </w:tr>
      <w:tr w14:paraId="4698F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678324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C4A7428">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02912E78">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07FE2AEB">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26CC2C38">
            <w:pPr>
              <w:spacing w:line="460" w:lineRule="exact"/>
              <w:ind w:left="240" w:leftChars="100"/>
              <w:rPr>
                <w:rFonts w:hint="eastAsia" w:ascii="仿宋" w:hAnsi="仿宋" w:eastAsia="仿宋" w:cs="仿宋"/>
                <w:color w:val="auto"/>
                <w:sz w:val="28"/>
                <w:szCs w:val="28"/>
                <w:highlight w:val="none"/>
              </w:rPr>
            </w:pPr>
          </w:p>
        </w:tc>
      </w:tr>
    </w:tbl>
    <w:p w14:paraId="3AC8F80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说明：响应说明填写：优于、相同</w:t>
      </w:r>
    </w:p>
    <w:p w14:paraId="0A9730FF">
      <w:pPr>
        <w:spacing w:line="460" w:lineRule="exact"/>
        <w:rPr>
          <w:rFonts w:hint="eastAsia" w:ascii="仿宋" w:hAnsi="仿宋" w:eastAsia="仿宋" w:cs="仿宋"/>
          <w:color w:val="auto"/>
          <w:highlight w:val="none"/>
        </w:rPr>
      </w:pPr>
    </w:p>
    <w:p w14:paraId="007E7D95">
      <w:pPr>
        <w:spacing w:line="460" w:lineRule="exact"/>
        <w:rPr>
          <w:rFonts w:hint="eastAsia" w:ascii="仿宋" w:hAnsi="仿宋" w:eastAsia="仿宋" w:cs="仿宋"/>
          <w:color w:val="auto"/>
          <w:highlight w:val="none"/>
        </w:rPr>
      </w:pPr>
    </w:p>
    <w:p w14:paraId="2EB721E1">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23E49CA2">
      <w:pPr>
        <w:spacing w:line="460" w:lineRule="exact"/>
        <w:ind w:firstLine="6000" w:firstLineChars="25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6A34D96D">
      <w:pPr>
        <w:pStyle w:val="7"/>
        <w:spacing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Cs w:val="21"/>
          <w:highlight w:val="none"/>
          <w:u w:val="single"/>
        </w:rPr>
        <w:br w:type="page"/>
      </w:r>
      <w:bookmarkStart w:id="150" w:name="_Toc47418938"/>
      <w:bookmarkStart w:id="151" w:name="_Toc49019497"/>
      <w:bookmarkStart w:id="152" w:name="_Toc49019236"/>
      <w:bookmarkStart w:id="153" w:name="_Toc48791235"/>
      <w:bookmarkStart w:id="154" w:name="_Toc47418255"/>
      <w:bookmarkStart w:id="155" w:name="_Toc47261690"/>
      <w:bookmarkStart w:id="156" w:name="_Toc48995851"/>
      <w:bookmarkStart w:id="157" w:name="_Toc47418731"/>
      <w:bookmarkStart w:id="158" w:name="_Toc47261885"/>
      <w:bookmarkStart w:id="159" w:name="_Toc47262069"/>
      <w:bookmarkStart w:id="160" w:name="_Toc416530636"/>
      <w:bookmarkStart w:id="161" w:name="_Toc7604"/>
      <w:bookmarkStart w:id="162" w:name="_Toc193126888"/>
      <w:bookmarkStart w:id="163" w:name="_Toc194663925"/>
      <w:bookmarkStart w:id="164" w:name="_Toc416678758"/>
      <w:bookmarkStart w:id="165" w:name="_Toc193187104"/>
      <w:bookmarkStart w:id="166" w:name="_Toc188808839"/>
      <w:r>
        <w:rPr>
          <w:rFonts w:hint="eastAsia" w:ascii="仿宋" w:hAnsi="仿宋" w:eastAsia="仿宋" w:cs="仿宋"/>
          <w:bCs w:val="0"/>
          <w:color w:val="auto"/>
          <w:sz w:val="28"/>
          <w:szCs w:val="28"/>
          <w:highlight w:val="none"/>
          <w:lang w:val="en-US" w:eastAsia="zh-CN"/>
        </w:rPr>
        <w:t>5</w:t>
      </w:r>
      <w:r>
        <w:rPr>
          <w:rFonts w:hint="eastAsia" w:ascii="仿宋" w:hAnsi="仿宋" w:eastAsia="仿宋" w:cs="仿宋"/>
          <w:bCs w:val="0"/>
          <w:color w:val="auto"/>
          <w:sz w:val="28"/>
          <w:szCs w:val="28"/>
          <w:highlight w:val="none"/>
        </w:rPr>
        <w:t>.法定代表人</w:t>
      </w:r>
      <w:bookmarkEnd w:id="150"/>
      <w:bookmarkEnd w:id="151"/>
      <w:bookmarkEnd w:id="152"/>
      <w:bookmarkEnd w:id="153"/>
      <w:bookmarkEnd w:id="154"/>
      <w:bookmarkEnd w:id="155"/>
      <w:bookmarkEnd w:id="156"/>
      <w:bookmarkEnd w:id="157"/>
      <w:bookmarkEnd w:id="158"/>
      <w:bookmarkEnd w:id="159"/>
      <w:r>
        <w:rPr>
          <w:rFonts w:hint="eastAsia" w:ascii="仿宋" w:hAnsi="仿宋" w:eastAsia="仿宋" w:cs="仿宋"/>
          <w:b/>
          <w:bCs/>
          <w:color w:val="auto"/>
          <w:sz w:val="28"/>
          <w:szCs w:val="28"/>
          <w:highlight w:val="none"/>
        </w:rPr>
        <w:t>证明书</w:t>
      </w:r>
      <w:r>
        <w:rPr>
          <w:rFonts w:hint="eastAsia" w:ascii="仿宋" w:hAnsi="仿宋" w:eastAsia="仿宋" w:cs="仿宋"/>
          <w:color w:val="auto"/>
          <w:sz w:val="28"/>
          <w:szCs w:val="28"/>
          <w:highlight w:val="none"/>
        </w:rPr>
        <w:t>（格式）</w:t>
      </w:r>
      <w:bookmarkEnd w:id="160"/>
      <w:bookmarkEnd w:id="161"/>
      <w:bookmarkEnd w:id="162"/>
      <w:bookmarkEnd w:id="163"/>
      <w:bookmarkEnd w:id="164"/>
      <w:bookmarkEnd w:id="165"/>
      <w:bookmarkEnd w:id="166"/>
    </w:p>
    <w:p w14:paraId="4FAD423D">
      <w:pPr>
        <w:spacing w:line="500" w:lineRule="exact"/>
        <w:jc w:val="center"/>
        <w:outlineLvl w:val="1"/>
        <w:rPr>
          <w:rFonts w:hint="eastAsia" w:ascii="仿宋" w:hAnsi="仿宋" w:eastAsia="仿宋" w:cs="仿宋"/>
          <w:b/>
          <w:sz w:val="32"/>
          <w:szCs w:val="32"/>
          <w:u w:val="single"/>
        </w:rPr>
      </w:pPr>
      <w:bookmarkStart w:id="167" w:name="_Toc48791236"/>
      <w:bookmarkStart w:id="168" w:name="_Toc49019237"/>
      <w:bookmarkStart w:id="169" w:name="_Toc47418939"/>
      <w:bookmarkStart w:id="170" w:name="_Toc48995852"/>
      <w:bookmarkStart w:id="171" w:name="_Toc47261691"/>
      <w:bookmarkStart w:id="172" w:name="_Toc47261886"/>
      <w:bookmarkStart w:id="173" w:name="_Toc49019498"/>
      <w:bookmarkStart w:id="174" w:name="_Toc47262070"/>
      <w:bookmarkStart w:id="175" w:name="_Toc47418256"/>
      <w:bookmarkStart w:id="176" w:name="_Toc47418732"/>
      <w:r>
        <w:rPr>
          <w:rFonts w:hint="eastAsia" w:ascii="仿宋" w:hAnsi="仿宋" w:eastAsia="仿宋" w:cs="仿宋"/>
          <w:b/>
          <w:bCs/>
          <w:color w:val="auto"/>
          <w:sz w:val="28"/>
          <w:szCs w:val="28"/>
          <w:highlight w:val="none"/>
        </w:rPr>
        <w:t>（1）</w:t>
      </w:r>
      <w:bookmarkStart w:id="177" w:name="_Toc416530637"/>
      <w:bookmarkStart w:id="178" w:name="_Toc416678759"/>
      <w:r>
        <w:rPr>
          <w:rFonts w:hint="eastAsia" w:ascii="仿宋" w:hAnsi="仿宋" w:eastAsia="仿宋" w:cs="仿宋"/>
          <w:b/>
          <w:sz w:val="32"/>
          <w:szCs w:val="32"/>
          <w:u w:val="single"/>
        </w:rPr>
        <w:t>法定代表人证明书</w:t>
      </w:r>
    </w:p>
    <w:p w14:paraId="3D1E2297">
      <w:pPr>
        <w:tabs>
          <w:tab w:val="left" w:pos="1155"/>
        </w:tabs>
        <w:snapToGrid w:val="0"/>
        <w:spacing w:line="360" w:lineRule="auto"/>
        <w:rPr>
          <w:rFonts w:hint="eastAsia" w:ascii="仿宋" w:hAnsi="仿宋" w:eastAsia="仿宋" w:cs="仿宋"/>
          <w:sz w:val="10"/>
          <w:szCs w:val="10"/>
        </w:rPr>
      </w:pP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12"/>
        <w:gridCol w:w="2303"/>
        <w:gridCol w:w="1"/>
        <w:gridCol w:w="1752"/>
        <w:gridCol w:w="2169"/>
      </w:tblGrid>
      <w:tr w14:paraId="09BF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80" w:type="dxa"/>
            <w:gridSpan w:val="6"/>
            <w:noWrap w:val="0"/>
            <w:vAlign w:val="center"/>
          </w:tcPr>
          <w:p w14:paraId="7B91D184">
            <w:pPr>
              <w:tabs>
                <w:tab w:val="left" w:pos="1260"/>
              </w:tabs>
              <w:snapToGrid w:val="0"/>
              <w:spacing w:line="360" w:lineRule="auto"/>
              <w:rPr>
                <w:rFonts w:hint="eastAsia" w:ascii="仿宋" w:hAnsi="仿宋" w:eastAsia="仿宋" w:cs="仿宋"/>
                <w:b/>
                <w:bCs/>
                <w:sz w:val="21"/>
                <w:szCs w:val="21"/>
                <w:lang w:eastAsia="zh-CN"/>
              </w:rPr>
            </w:pPr>
            <w:r>
              <w:rPr>
                <w:rFonts w:hint="eastAsia" w:ascii="仿宋" w:hAnsi="仿宋" w:eastAsia="仿宋" w:cs="仿宋"/>
                <w:sz w:val="21"/>
                <w:szCs w:val="21"/>
              </w:rPr>
              <w:t>致：</w:t>
            </w:r>
            <w:r>
              <w:rPr>
                <w:rFonts w:hint="eastAsia" w:ascii="仿宋" w:hAnsi="仿宋" w:eastAsia="仿宋" w:cs="仿宋"/>
                <w:sz w:val="21"/>
                <w:szCs w:val="21"/>
                <w:lang w:eastAsia="zh-CN"/>
              </w:rPr>
              <w:t>华春建设工程项目管理有限责任公司</w:t>
            </w:r>
          </w:p>
        </w:tc>
      </w:tr>
      <w:tr w14:paraId="5F73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4353B9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w:t>
            </w:r>
          </w:p>
          <w:p w14:paraId="5E268F8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业</w:t>
            </w:r>
          </w:p>
          <w:p w14:paraId="30ACB22D">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w:t>
            </w:r>
          </w:p>
          <w:p w14:paraId="6D4DB901">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人</w:t>
            </w:r>
          </w:p>
        </w:tc>
        <w:tc>
          <w:tcPr>
            <w:tcW w:w="2012" w:type="dxa"/>
            <w:noWrap w:val="0"/>
            <w:vAlign w:val="center"/>
          </w:tcPr>
          <w:p w14:paraId="6559763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企业名称</w:t>
            </w:r>
          </w:p>
        </w:tc>
        <w:tc>
          <w:tcPr>
            <w:tcW w:w="6225" w:type="dxa"/>
            <w:gridSpan w:val="4"/>
            <w:noWrap w:val="0"/>
            <w:vAlign w:val="center"/>
          </w:tcPr>
          <w:p w14:paraId="3640D8F0">
            <w:pPr>
              <w:tabs>
                <w:tab w:val="left" w:pos="1260"/>
              </w:tabs>
              <w:snapToGrid w:val="0"/>
              <w:spacing w:line="360" w:lineRule="auto"/>
              <w:jc w:val="center"/>
              <w:rPr>
                <w:rFonts w:hint="eastAsia" w:ascii="仿宋" w:hAnsi="仿宋" w:eastAsia="仿宋" w:cs="仿宋"/>
                <w:b/>
                <w:bCs/>
                <w:sz w:val="21"/>
                <w:szCs w:val="21"/>
              </w:rPr>
            </w:pPr>
          </w:p>
        </w:tc>
      </w:tr>
      <w:tr w14:paraId="42B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27B05C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31BD29C">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法定地址</w:t>
            </w:r>
          </w:p>
        </w:tc>
        <w:tc>
          <w:tcPr>
            <w:tcW w:w="6225" w:type="dxa"/>
            <w:gridSpan w:val="4"/>
            <w:noWrap w:val="0"/>
            <w:vAlign w:val="center"/>
          </w:tcPr>
          <w:p w14:paraId="4652FCD8">
            <w:pPr>
              <w:tabs>
                <w:tab w:val="left" w:pos="1260"/>
              </w:tabs>
              <w:snapToGrid w:val="0"/>
              <w:spacing w:line="360" w:lineRule="auto"/>
              <w:jc w:val="center"/>
              <w:rPr>
                <w:rFonts w:hint="eastAsia" w:ascii="仿宋" w:hAnsi="仿宋" w:eastAsia="仿宋" w:cs="仿宋"/>
                <w:b/>
                <w:bCs/>
                <w:sz w:val="21"/>
                <w:szCs w:val="21"/>
              </w:rPr>
            </w:pPr>
          </w:p>
        </w:tc>
      </w:tr>
      <w:tr w14:paraId="4F9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5508D1E8">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DA4A6D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邮政编码</w:t>
            </w:r>
          </w:p>
        </w:tc>
        <w:tc>
          <w:tcPr>
            <w:tcW w:w="6225" w:type="dxa"/>
            <w:gridSpan w:val="4"/>
            <w:noWrap w:val="0"/>
            <w:vAlign w:val="center"/>
          </w:tcPr>
          <w:p w14:paraId="2700E907">
            <w:pPr>
              <w:tabs>
                <w:tab w:val="left" w:pos="1260"/>
              </w:tabs>
              <w:snapToGrid w:val="0"/>
              <w:spacing w:line="360" w:lineRule="auto"/>
              <w:jc w:val="center"/>
              <w:rPr>
                <w:rFonts w:hint="eastAsia" w:ascii="仿宋" w:hAnsi="仿宋" w:eastAsia="仿宋" w:cs="仿宋"/>
                <w:b/>
                <w:bCs/>
                <w:sz w:val="21"/>
                <w:szCs w:val="21"/>
              </w:rPr>
            </w:pPr>
          </w:p>
        </w:tc>
      </w:tr>
      <w:tr w14:paraId="2BD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6AF787B">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6D67348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网    址</w:t>
            </w:r>
          </w:p>
        </w:tc>
        <w:tc>
          <w:tcPr>
            <w:tcW w:w="6225" w:type="dxa"/>
            <w:gridSpan w:val="4"/>
            <w:noWrap w:val="0"/>
            <w:vAlign w:val="center"/>
          </w:tcPr>
          <w:p w14:paraId="6C438D9A">
            <w:pPr>
              <w:tabs>
                <w:tab w:val="left" w:pos="1260"/>
              </w:tabs>
              <w:snapToGrid w:val="0"/>
              <w:spacing w:line="360" w:lineRule="auto"/>
              <w:jc w:val="center"/>
              <w:rPr>
                <w:rFonts w:hint="eastAsia" w:ascii="仿宋" w:hAnsi="仿宋" w:eastAsia="仿宋" w:cs="仿宋"/>
                <w:b/>
                <w:bCs/>
                <w:sz w:val="21"/>
                <w:szCs w:val="21"/>
              </w:rPr>
            </w:pPr>
          </w:p>
        </w:tc>
      </w:tr>
      <w:tr w14:paraId="5512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7C419717">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E68E6E9">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登记机关</w:t>
            </w:r>
          </w:p>
        </w:tc>
        <w:tc>
          <w:tcPr>
            <w:tcW w:w="6225" w:type="dxa"/>
            <w:gridSpan w:val="4"/>
            <w:noWrap w:val="0"/>
            <w:vAlign w:val="center"/>
          </w:tcPr>
          <w:p w14:paraId="67743B77">
            <w:pPr>
              <w:tabs>
                <w:tab w:val="left" w:pos="1260"/>
              </w:tabs>
              <w:snapToGrid w:val="0"/>
              <w:spacing w:line="360" w:lineRule="auto"/>
              <w:jc w:val="center"/>
              <w:rPr>
                <w:rFonts w:hint="eastAsia" w:ascii="仿宋" w:hAnsi="仿宋" w:eastAsia="仿宋" w:cs="仿宋"/>
                <w:b/>
                <w:bCs/>
                <w:sz w:val="21"/>
                <w:szCs w:val="21"/>
              </w:rPr>
            </w:pPr>
          </w:p>
        </w:tc>
      </w:tr>
      <w:tr w14:paraId="44E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3BF9C16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8EAEB1F">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机构代码证号</w:t>
            </w:r>
          </w:p>
        </w:tc>
        <w:tc>
          <w:tcPr>
            <w:tcW w:w="6225" w:type="dxa"/>
            <w:gridSpan w:val="4"/>
            <w:noWrap w:val="0"/>
            <w:vAlign w:val="center"/>
          </w:tcPr>
          <w:p w14:paraId="799EF86A">
            <w:pPr>
              <w:tabs>
                <w:tab w:val="left" w:pos="1260"/>
              </w:tabs>
              <w:snapToGrid w:val="0"/>
              <w:spacing w:line="360" w:lineRule="auto"/>
              <w:jc w:val="center"/>
              <w:rPr>
                <w:rFonts w:hint="eastAsia" w:ascii="仿宋" w:hAnsi="仿宋" w:eastAsia="仿宋" w:cs="仿宋"/>
                <w:b/>
                <w:bCs/>
                <w:sz w:val="21"/>
                <w:szCs w:val="21"/>
              </w:rPr>
            </w:pPr>
          </w:p>
        </w:tc>
      </w:tr>
      <w:tr w14:paraId="7EC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2E298F3">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法定代表人</w:t>
            </w:r>
          </w:p>
        </w:tc>
        <w:tc>
          <w:tcPr>
            <w:tcW w:w="2012" w:type="dxa"/>
            <w:noWrap w:val="0"/>
            <w:vAlign w:val="center"/>
          </w:tcPr>
          <w:p w14:paraId="67AAA64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姓    名</w:t>
            </w:r>
          </w:p>
        </w:tc>
        <w:tc>
          <w:tcPr>
            <w:tcW w:w="2303" w:type="dxa"/>
            <w:noWrap w:val="0"/>
            <w:vAlign w:val="center"/>
          </w:tcPr>
          <w:p w14:paraId="69CC81E2">
            <w:pPr>
              <w:tabs>
                <w:tab w:val="left" w:pos="1260"/>
              </w:tabs>
              <w:snapToGrid w:val="0"/>
              <w:spacing w:line="360" w:lineRule="auto"/>
              <w:jc w:val="center"/>
              <w:rPr>
                <w:rFonts w:hint="eastAsia" w:ascii="仿宋" w:hAnsi="仿宋" w:eastAsia="仿宋" w:cs="仿宋"/>
                <w:sz w:val="21"/>
                <w:szCs w:val="21"/>
                <w:lang w:val="en-US" w:eastAsia="zh-CN"/>
              </w:rPr>
            </w:pPr>
          </w:p>
        </w:tc>
        <w:tc>
          <w:tcPr>
            <w:tcW w:w="1753" w:type="dxa"/>
            <w:gridSpan w:val="2"/>
            <w:noWrap w:val="0"/>
            <w:vAlign w:val="center"/>
          </w:tcPr>
          <w:p w14:paraId="627CEAC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性    别</w:t>
            </w:r>
          </w:p>
        </w:tc>
        <w:tc>
          <w:tcPr>
            <w:tcW w:w="2169" w:type="dxa"/>
            <w:noWrap w:val="0"/>
            <w:vAlign w:val="center"/>
          </w:tcPr>
          <w:p w14:paraId="3845F8FE">
            <w:pPr>
              <w:tabs>
                <w:tab w:val="left" w:pos="1260"/>
              </w:tabs>
              <w:snapToGrid w:val="0"/>
              <w:spacing w:line="360" w:lineRule="auto"/>
              <w:jc w:val="center"/>
              <w:rPr>
                <w:rFonts w:hint="eastAsia" w:ascii="仿宋" w:hAnsi="仿宋" w:eastAsia="仿宋" w:cs="仿宋"/>
                <w:sz w:val="21"/>
                <w:szCs w:val="21"/>
              </w:rPr>
            </w:pPr>
          </w:p>
        </w:tc>
      </w:tr>
      <w:tr w14:paraId="25DF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0C0A0A8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74B1FE38">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职    务</w:t>
            </w:r>
          </w:p>
        </w:tc>
        <w:tc>
          <w:tcPr>
            <w:tcW w:w="2303" w:type="dxa"/>
            <w:noWrap w:val="0"/>
            <w:vAlign w:val="center"/>
          </w:tcPr>
          <w:p w14:paraId="00345C51">
            <w:pPr>
              <w:tabs>
                <w:tab w:val="left" w:pos="1260"/>
              </w:tabs>
              <w:snapToGrid w:val="0"/>
              <w:spacing w:line="360" w:lineRule="auto"/>
              <w:jc w:val="center"/>
              <w:rPr>
                <w:rFonts w:hint="eastAsia" w:ascii="仿宋" w:hAnsi="仿宋" w:eastAsia="仿宋" w:cs="仿宋"/>
                <w:sz w:val="21"/>
                <w:szCs w:val="21"/>
              </w:rPr>
            </w:pPr>
          </w:p>
        </w:tc>
        <w:tc>
          <w:tcPr>
            <w:tcW w:w="1753" w:type="dxa"/>
            <w:gridSpan w:val="2"/>
            <w:noWrap w:val="0"/>
            <w:vAlign w:val="center"/>
          </w:tcPr>
          <w:p w14:paraId="3023EED7">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联系电话</w:t>
            </w:r>
          </w:p>
        </w:tc>
        <w:tc>
          <w:tcPr>
            <w:tcW w:w="2169" w:type="dxa"/>
            <w:noWrap w:val="0"/>
            <w:vAlign w:val="center"/>
          </w:tcPr>
          <w:p w14:paraId="4F3BD93B">
            <w:pPr>
              <w:tabs>
                <w:tab w:val="left" w:pos="1260"/>
              </w:tabs>
              <w:snapToGrid w:val="0"/>
              <w:spacing w:line="360" w:lineRule="auto"/>
              <w:jc w:val="center"/>
              <w:rPr>
                <w:rFonts w:hint="eastAsia" w:ascii="仿宋" w:hAnsi="仿宋" w:eastAsia="仿宋" w:cs="仿宋"/>
                <w:sz w:val="21"/>
                <w:szCs w:val="21"/>
              </w:rPr>
            </w:pPr>
          </w:p>
        </w:tc>
      </w:tr>
      <w:tr w14:paraId="37A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EEFB7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052FADA6">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传    真</w:t>
            </w:r>
          </w:p>
        </w:tc>
        <w:tc>
          <w:tcPr>
            <w:tcW w:w="6225" w:type="dxa"/>
            <w:gridSpan w:val="4"/>
            <w:noWrap w:val="0"/>
            <w:vAlign w:val="center"/>
          </w:tcPr>
          <w:p w14:paraId="74C37BB4">
            <w:pPr>
              <w:tabs>
                <w:tab w:val="left" w:pos="1260"/>
              </w:tabs>
              <w:snapToGrid w:val="0"/>
              <w:spacing w:line="360" w:lineRule="auto"/>
              <w:jc w:val="center"/>
              <w:rPr>
                <w:rFonts w:hint="eastAsia" w:ascii="仿宋" w:hAnsi="仿宋" w:eastAsia="仿宋" w:cs="仿宋"/>
                <w:sz w:val="21"/>
                <w:szCs w:val="21"/>
              </w:rPr>
            </w:pPr>
          </w:p>
        </w:tc>
      </w:tr>
      <w:tr w14:paraId="3C0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trPr>
        <w:tc>
          <w:tcPr>
            <w:tcW w:w="943" w:type="dxa"/>
            <w:vMerge w:val="restart"/>
            <w:noWrap w:val="0"/>
            <w:vAlign w:val="center"/>
          </w:tcPr>
          <w:p w14:paraId="7E3438BF">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法定代表人身份证复印件</w:t>
            </w:r>
          </w:p>
        </w:tc>
        <w:tc>
          <w:tcPr>
            <w:tcW w:w="4316" w:type="dxa"/>
            <w:gridSpan w:val="3"/>
            <w:vMerge w:val="restart"/>
            <w:noWrap w:val="0"/>
            <w:vAlign w:val="center"/>
          </w:tcPr>
          <w:p w14:paraId="74F9D358">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w:t>
            </w:r>
            <w:r>
              <w:rPr>
                <w:rFonts w:hint="eastAsia" w:ascii="仿宋" w:hAnsi="仿宋" w:eastAsia="仿宋" w:cs="仿宋"/>
                <w:sz w:val="21"/>
                <w:szCs w:val="21"/>
                <w:lang w:eastAsia="zh-CN"/>
              </w:rPr>
              <w:t>正反面</w:t>
            </w:r>
            <w:r>
              <w:rPr>
                <w:rFonts w:hint="eastAsia" w:ascii="仿宋" w:hAnsi="仿宋" w:eastAsia="仿宋" w:cs="仿宋"/>
                <w:sz w:val="21"/>
                <w:szCs w:val="21"/>
              </w:rPr>
              <w:t>）</w:t>
            </w:r>
          </w:p>
        </w:tc>
        <w:tc>
          <w:tcPr>
            <w:tcW w:w="3921" w:type="dxa"/>
            <w:gridSpan w:val="2"/>
            <w:noWrap w:val="0"/>
            <w:vAlign w:val="center"/>
          </w:tcPr>
          <w:p w14:paraId="3416EA62">
            <w:pPr>
              <w:tabs>
                <w:tab w:val="left" w:pos="1260"/>
              </w:tabs>
              <w:snapToGrid w:val="0"/>
              <w:spacing w:line="360" w:lineRule="auto"/>
              <w:jc w:val="center"/>
              <w:rPr>
                <w:rFonts w:hint="eastAsia" w:ascii="仿宋" w:hAnsi="仿宋" w:eastAsia="仿宋" w:cs="仿宋"/>
                <w:b/>
                <w:sz w:val="21"/>
                <w:szCs w:val="21"/>
                <w:lang w:eastAsia="zh-CN"/>
              </w:rPr>
            </w:pPr>
            <w:r>
              <w:rPr>
                <w:rFonts w:hint="eastAsia" w:ascii="仿宋" w:hAnsi="仿宋" w:eastAsia="仿宋" w:cs="仿宋"/>
                <w:b/>
                <w:sz w:val="21"/>
                <w:szCs w:val="21"/>
              </w:rPr>
              <w:t>法定代表人</w:t>
            </w:r>
            <w:r>
              <w:rPr>
                <w:rFonts w:hint="eastAsia" w:ascii="仿宋" w:hAnsi="仿宋" w:eastAsia="仿宋" w:cs="仿宋"/>
                <w:b/>
                <w:sz w:val="21"/>
                <w:szCs w:val="21"/>
                <w:lang w:eastAsia="zh-CN"/>
              </w:rPr>
              <w:t>签字或盖章</w:t>
            </w:r>
          </w:p>
        </w:tc>
      </w:tr>
      <w:tr w14:paraId="2E1F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trPr>
        <w:tc>
          <w:tcPr>
            <w:tcW w:w="943" w:type="dxa"/>
            <w:vMerge w:val="continue"/>
            <w:noWrap w:val="0"/>
            <w:vAlign w:val="center"/>
          </w:tcPr>
          <w:p w14:paraId="0B2FC60D">
            <w:pPr>
              <w:tabs>
                <w:tab w:val="left" w:pos="1260"/>
              </w:tabs>
              <w:snapToGrid w:val="0"/>
              <w:spacing w:line="360" w:lineRule="auto"/>
              <w:jc w:val="center"/>
              <w:rPr>
                <w:rFonts w:hint="eastAsia" w:ascii="仿宋" w:hAnsi="仿宋" w:eastAsia="仿宋" w:cs="仿宋"/>
                <w:b/>
                <w:bCs/>
                <w:sz w:val="21"/>
                <w:szCs w:val="21"/>
              </w:rPr>
            </w:pPr>
          </w:p>
        </w:tc>
        <w:tc>
          <w:tcPr>
            <w:tcW w:w="4316" w:type="dxa"/>
            <w:gridSpan w:val="3"/>
            <w:vMerge w:val="continue"/>
            <w:noWrap w:val="0"/>
            <w:vAlign w:val="center"/>
          </w:tcPr>
          <w:p w14:paraId="6DF8D8D6">
            <w:pPr>
              <w:tabs>
                <w:tab w:val="left" w:pos="1260"/>
              </w:tabs>
              <w:snapToGrid w:val="0"/>
              <w:spacing w:line="360" w:lineRule="auto"/>
              <w:jc w:val="center"/>
              <w:rPr>
                <w:rFonts w:hint="eastAsia" w:ascii="仿宋" w:hAnsi="仿宋" w:eastAsia="仿宋" w:cs="仿宋"/>
                <w:b/>
                <w:bCs/>
                <w:sz w:val="21"/>
                <w:szCs w:val="21"/>
              </w:rPr>
            </w:pPr>
          </w:p>
        </w:tc>
        <w:tc>
          <w:tcPr>
            <w:tcW w:w="3921" w:type="dxa"/>
            <w:gridSpan w:val="2"/>
            <w:noWrap w:val="0"/>
            <w:vAlign w:val="center"/>
          </w:tcPr>
          <w:p w14:paraId="38A3ACE5">
            <w:pPr>
              <w:tabs>
                <w:tab w:val="left" w:pos="1260"/>
              </w:tabs>
              <w:snapToGrid w:val="0"/>
              <w:spacing w:line="360" w:lineRule="auto"/>
              <w:jc w:val="center"/>
              <w:rPr>
                <w:rFonts w:hint="eastAsia" w:ascii="仿宋" w:hAnsi="仿宋" w:eastAsia="仿宋" w:cs="仿宋"/>
                <w:sz w:val="21"/>
                <w:szCs w:val="21"/>
              </w:rPr>
            </w:pPr>
          </w:p>
          <w:p w14:paraId="08175F8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（法人公章）</w:t>
            </w:r>
          </w:p>
          <w:p w14:paraId="6FA5D8B7">
            <w:pPr>
              <w:tabs>
                <w:tab w:val="left" w:pos="1260"/>
              </w:tabs>
              <w:snapToGrid w:val="0"/>
              <w:spacing w:line="360" w:lineRule="auto"/>
              <w:ind w:right="280" w:firstLine="459"/>
              <w:jc w:val="center"/>
              <w:rPr>
                <w:rFonts w:hint="eastAsia" w:ascii="仿宋" w:hAnsi="仿宋" w:eastAsia="仿宋" w:cs="仿宋"/>
                <w:sz w:val="21"/>
                <w:szCs w:val="21"/>
              </w:rPr>
            </w:pPr>
            <w:r>
              <w:rPr>
                <w:rFonts w:hint="eastAsia" w:ascii="仿宋" w:hAnsi="仿宋" w:eastAsia="仿宋" w:cs="仿宋"/>
                <w:sz w:val="21"/>
                <w:szCs w:val="21"/>
              </w:rPr>
              <w:t>年   月   日</w:t>
            </w:r>
          </w:p>
        </w:tc>
      </w:tr>
    </w:tbl>
    <w:p w14:paraId="11F71D02">
      <w:pPr>
        <w:spacing w:line="500" w:lineRule="exact"/>
        <w:jc w:val="center"/>
        <w:outlineLvl w:val="1"/>
        <w:rPr>
          <w:rFonts w:hint="eastAsia" w:ascii="仿宋" w:hAnsi="仿宋" w:eastAsia="仿宋" w:cs="仿宋"/>
          <w:b/>
          <w:bCs/>
          <w:color w:val="auto"/>
          <w:sz w:val="28"/>
          <w:szCs w:val="28"/>
          <w:highlight w:val="none"/>
        </w:rPr>
      </w:pPr>
      <w:bookmarkStart w:id="179" w:name="_Toc29984"/>
    </w:p>
    <w:p w14:paraId="0A1B6B08">
      <w:pPr>
        <w:spacing w:line="500" w:lineRule="exact"/>
        <w:jc w:val="center"/>
        <w:outlineLvl w:val="1"/>
        <w:rPr>
          <w:rFonts w:hint="eastAsia" w:ascii="仿宋" w:hAnsi="仿宋" w:eastAsia="仿宋" w:cs="仿宋"/>
          <w:b/>
          <w:sz w:val="32"/>
          <w:szCs w:val="32"/>
          <w:u w:val="single"/>
          <w:lang w:eastAsia="zh-CN"/>
        </w:rPr>
      </w:pPr>
      <w:r>
        <w:rPr>
          <w:rFonts w:hint="eastAsia" w:ascii="仿宋" w:hAnsi="仿宋" w:eastAsia="仿宋" w:cs="仿宋"/>
          <w:b/>
          <w:bCs/>
          <w:color w:val="auto"/>
          <w:sz w:val="28"/>
          <w:szCs w:val="28"/>
          <w:highlight w:val="none"/>
        </w:rPr>
        <w:t>（2）</w:t>
      </w:r>
      <w:bookmarkEnd w:id="167"/>
      <w:bookmarkEnd w:id="168"/>
      <w:bookmarkEnd w:id="169"/>
      <w:bookmarkEnd w:id="170"/>
      <w:bookmarkEnd w:id="171"/>
      <w:bookmarkEnd w:id="172"/>
      <w:bookmarkEnd w:id="173"/>
      <w:bookmarkEnd w:id="174"/>
      <w:bookmarkEnd w:id="175"/>
      <w:bookmarkEnd w:id="176"/>
      <w:bookmarkEnd w:id="177"/>
      <w:bookmarkEnd w:id="178"/>
      <w:bookmarkEnd w:id="179"/>
      <w:bookmarkStart w:id="180" w:name="_Toc416678760"/>
      <w:bookmarkStart w:id="181" w:name="_Toc416530638"/>
      <w:bookmarkStart w:id="182" w:name="_Toc28273"/>
      <w:r>
        <w:rPr>
          <w:rFonts w:hint="eastAsia" w:ascii="仿宋" w:hAnsi="仿宋" w:eastAsia="仿宋" w:cs="仿宋"/>
          <w:b/>
          <w:sz w:val="32"/>
          <w:szCs w:val="32"/>
          <w:u w:val="single"/>
          <w:lang w:val="en-US" w:eastAsia="zh-CN"/>
        </w:rPr>
        <w:t>法定代表人</w:t>
      </w:r>
      <w:r>
        <w:rPr>
          <w:rFonts w:hint="eastAsia" w:ascii="仿宋" w:hAnsi="仿宋" w:eastAsia="仿宋" w:cs="仿宋"/>
          <w:b/>
          <w:sz w:val="32"/>
          <w:szCs w:val="32"/>
          <w:u w:val="single"/>
          <w:lang w:eastAsia="zh-CN"/>
        </w:rPr>
        <w:t>授权</w:t>
      </w:r>
      <w:r>
        <w:rPr>
          <w:rFonts w:hint="eastAsia" w:ascii="仿宋" w:hAnsi="仿宋" w:eastAsia="仿宋" w:cs="仿宋"/>
          <w:b/>
          <w:sz w:val="32"/>
          <w:szCs w:val="32"/>
          <w:u w:val="single"/>
          <w:lang w:val="en-US" w:eastAsia="zh-CN"/>
        </w:rPr>
        <w:t>委托</w:t>
      </w:r>
      <w:r>
        <w:rPr>
          <w:rFonts w:hint="eastAsia" w:ascii="仿宋" w:hAnsi="仿宋" w:eastAsia="仿宋" w:cs="仿宋"/>
          <w:b/>
          <w:sz w:val="32"/>
          <w:szCs w:val="32"/>
          <w:u w:val="single"/>
          <w:lang w:eastAsia="zh-CN"/>
        </w:rPr>
        <w:t>书</w:t>
      </w:r>
    </w:p>
    <w:p w14:paraId="3F0A6866">
      <w:pPr>
        <w:widowControl w:val="0"/>
        <w:adjustRightInd w:val="0"/>
        <w:snapToGrid w:val="0"/>
        <w:spacing w:line="360" w:lineRule="auto"/>
        <w:rPr>
          <w:rFonts w:hint="eastAsia" w:ascii="仿宋" w:hAnsi="仿宋" w:eastAsia="仿宋" w:cs="仿宋"/>
          <w:color w:val="000000"/>
        </w:rPr>
      </w:pPr>
    </w:p>
    <w:p w14:paraId="44425356">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华春建设工程项目管理有限责任公司</w:t>
      </w:r>
      <w:r>
        <w:rPr>
          <w:rFonts w:hint="eastAsia" w:ascii="仿宋" w:hAnsi="仿宋" w:eastAsia="仿宋" w:cs="仿宋"/>
          <w:b/>
          <w:color w:val="000000"/>
          <w:sz w:val="28"/>
          <w:szCs w:val="28"/>
        </w:rPr>
        <w:t>：</w:t>
      </w:r>
    </w:p>
    <w:p w14:paraId="6B464C76">
      <w:pPr>
        <w:widowControl w:val="0"/>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注册于</w:t>
      </w:r>
      <w:r>
        <w:rPr>
          <w:rFonts w:hint="eastAsia" w:ascii="仿宋" w:hAnsi="仿宋" w:eastAsia="仿宋" w:cs="仿宋"/>
          <w:color w:val="000000"/>
          <w:sz w:val="28"/>
          <w:szCs w:val="28"/>
          <w:u w:val="single"/>
        </w:rPr>
        <w:t>（行政管理局名称）</w:t>
      </w:r>
      <w:r>
        <w:rPr>
          <w:rFonts w:hint="eastAsia" w:ascii="仿宋" w:hAnsi="仿宋" w:eastAsia="仿宋" w:cs="仿宋"/>
          <w:color w:val="000000"/>
          <w:sz w:val="28"/>
          <w:szCs w:val="28"/>
        </w:rPr>
        <w:t>之</w:t>
      </w:r>
      <w:r>
        <w:rPr>
          <w:rFonts w:hint="eastAsia" w:ascii="仿宋" w:hAnsi="仿宋" w:eastAsia="仿宋" w:cs="仿宋"/>
          <w:color w:val="000000"/>
          <w:sz w:val="28"/>
          <w:szCs w:val="28"/>
          <w:u w:val="single"/>
        </w:rPr>
        <w:t>（投标单位全称）</w:t>
      </w:r>
      <w:r>
        <w:rPr>
          <w:rFonts w:hint="eastAsia" w:ascii="仿宋" w:hAnsi="仿宋" w:eastAsia="仿宋" w:cs="仿宋"/>
          <w:color w:val="000000"/>
          <w:sz w:val="28"/>
          <w:szCs w:val="28"/>
        </w:rPr>
        <w:t>法人代表</w:t>
      </w:r>
      <w:r>
        <w:rPr>
          <w:rFonts w:hint="eastAsia" w:ascii="仿宋" w:hAnsi="仿宋" w:eastAsia="仿宋" w:cs="仿宋"/>
          <w:color w:val="000000"/>
          <w:sz w:val="28"/>
          <w:szCs w:val="28"/>
          <w:u w:val="single"/>
        </w:rPr>
        <w:t>（姓名、职务）</w:t>
      </w:r>
      <w:r>
        <w:rPr>
          <w:rFonts w:hint="eastAsia" w:ascii="仿宋" w:hAnsi="仿宋" w:eastAsia="仿宋" w:cs="仿宋"/>
          <w:color w:val="000000"/>
          <w:sz w:val="28"/>
          <w:szCs w:val="28"/>
        </w:rPr>
        <w:t>授权</w:t>
      </w:r>
      <w:r>
        <w:rPr>
          <w:rFonts w:hint="eastAsia" w:ascii="仿宋" w:hAnsi="仿宋" w:eastAsia="仿宋" w:cs="仿宋"/>
          <w:color w:val="000000"/>
          <w:sz w:val="28"/>
          <w:szCs w:val="28"/>
          <w:u w:val="single"/>
        </w:rPr>
        <w:t>（被授权人姓名、职务）</w:t>
      </w:r>
      <w:r>
        <w:rPr>
          <w:rFonts w:hint="eastAsia" w:ascii="仿宋" w:hAnsi="仿宋" w:eastAsia="仿宋" w:cs="仿宋"/>
          <w:color w:val="000000"/>
          <w:sz w:val="28"/>
          <w:szCs w:val="28"/>
        </w:rPr>
        <w:t>为本公司的合法代理人，就</w:t>
      </w:r>
      <w:r>
        <w:rPr>
          <w:rFonts w:hint="eastAsia" w:ascii="仿宋" w:hAnsi="仿宋" w:eastAsia="仿宋" w:cs="仿宋"/>
          <w:color w:val="000000"/>
          <w:sz w:val="28"/>
          <w:szCs w:val="28"/>
          <w:u w:val="single"/>
          <w:lang w:val="en-US" w:eastAsia="zh-CN"/>
        </w:rPr>
        <w:t xml:space="preserve">  （项目名称、项目编号）      </w:t>
      </w:r>
      <w:r>
        <w:rPr>
          <w:rFonts w:hint="eastAsia" w:ascii="仿宋" w:hAnsi="仿宋" w:eastAsia="仿宋" w:cs="仿宋"/>
          <w:color w:val="000000"/>
          <w:sz w:val="28"/>
          <w:szCs w:val="28"/>
        </w:rPr>
        <w:t>的招标及合同的执行和完成，以本公司的名义处理一切与之有关的事宜。</w:t>
      </w:r>
    </w:p>
    <w:p w14:paraId="7730DAC2">
      <w:pPr>
        <w:widowControl w:val="0"/>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本授权有效期为</w:t>
      </w:r>
      <w:r>
        <w:rPr>
          <w:rFonts w:hint="eastAsia" w:ascii="仿宋" w:hAnsi="仿宋" w:eastAsia="仿宋" w:cs="仿宋"/>
          <w:color w:val="000000"/>
          <w:sz w:val="28"/>
          <w:szCs w:val="28"/>
          <w:lang w:val="en-US" w:eastAsia="zh-CN"/>
        </w:rPr>
        <w:t xml:space="preserve">   年  月  日  -    年  月  日。</w:t>
      </w:r>
    </w:p>
    <w:p w14:paraId="3AC501E4">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附：全权代表姓名：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岁，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p>
    <w:p w14:paraId="63228E37">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1FFF6DC5">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通讯地址：</w:t>
      </w:r>
      <w:r>
        <w:rPr>
          <w:rFonts w:hint="eastAsia" w:ascii="仿宋" w:hAnsi="仿宋" w:eastAsia="仿宋" w:cs="仿宋"/>
          <w:color w:val="000000"/>
          <w:sz w:val="28"/>
          <w:szCs w:val="28"/>
          <w:u w:val="single"/>
        </w:rPr>
        <w:t xml:space="preserve">                                                                         </w:t>
      </w:r>
    </w:p>
    <w:p w14:paraId="08FF1F27">
      <w:pPr>
        <w:widowControl w:val="0"/>
        <w:adjustRightInd w:val="0"/>
        <w:snapToGrid w:val="0"/>
        <w:spacing w:line="360" w:lineRule="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58FF4C3D">
      <w:pPr>
        <w:widowControl w:val="0"/>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法定代表人/授权代表身份证复印件</w:t>
      </w:r>
    </w:p>
    <w:tbl>
      <w:tblPr>
        <w:tblStyle w:val="19"/>
        <w:tblW w:w="8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7"/>
        <w:gridCol w:w="4395"/>
      </w:tblGrid>
      <w:tr w14:paraId="77C9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9"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7AAEC4AA">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2E86EF2C">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授权代表身份证复印件</w:t>
            </w:r>
          </w:p>
        </w:tc>
      </w:tr>
      <w:tr w14:paraId="3F0A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2"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6D3A0340">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1ACA101F">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授权代表身份证复印件</w:t>
            </w:r>
          </w:p>
        </w:tc>
      </w:tr>
    </w:tbl>
    <w:p w14:paraId="74F44DA7">
      <w:pPr>
        <w:pStyle w:val="13"/>
        <w:numPr>
          <w:ilvl w:val="0"/>
          <w:numId w:val="6"/>
        </w:numPr>
        <w:spacing w:line="300" w:lineRule="exact"/>
        <w:ind w:firstLine="480" w:firstLineChars="200"/>
        <w:rPr>
          <w:rFonts w:hint="eastAsia" w:ascii="仿宋" w:hAnsi="仿宋" w:eastAsia="仿宋" w:cs="仿宋"/>
          <w:sz w:val="24"/>
        </w:rPr>
      </w:pPr>
      <w:r>
        <w:rPr>
          <w:rFonts w:hint="eastAsia" w:ascii="仿宋" w:hAnsi="仿宋" w:eastAsia="仿宋" w:cs="仿宋"/>
          <w:sz w:val="24"/>
        </w:rPr>
        <w:t>本授权书有效期自开标大会之日计算不得少于九十天。</w:t>
      </w:r>
    </w:p>
    <w:p w14:paraId="2BAC875A">
      <w:pPr>
        <w:pStyle w:val="13"/>
        <w:numPr>
          <w:ilvl w:val="0"/>
          <w:numId w:val="6"/>
        </w:numPr>
        <w:spacing w:line="300" w:lineRule="exact"/>
        <w:ind w:left="0" w:leftChars="0" w:firstLine="480" w:firstLineChars="200"/>
        <w:rPr>
          <w:rFonts w:hint="eastAsia" w:ascii="仿宋" w:hAnsi="仿宋" w:eastAsia="仿宋" w:cs="仿宋"/>
          <w:sz w:val="24"/>
        </w:rPr>
      </w:pPr>
      <w:r>
        <w:rPr>
          <w:rFonts w:hint="eastAsia" w:ascii="仿宋" w:hAnsi="仿宋" w:eastAsia="仿宋" w:cs="仿宋"/>
          <w:sz w:val="24"/>
        </w:rPr>
        <w:t>授权书内容填写要明确，文字要工整清楚，涂改无效。</w:t>
      </w:r>
    </w:p>
    <w:p w14:paraId="7C52DD65">
      <w:pPr>
        <w:adjustRightInd w:val="0"/>
        <w:snapToGrid w:val="0"/>
        <w:spacing w:line="360" w:lineRule="auto"/>
        <w:ind w:firstLine="480" w:firstLineChars="200"/>
        <w:rPr>
          <w:rFonts w:hint="eastAsia" w:ascii="仿宋" w:hAnsi="仿宋" w:eastAsia="仿宋" w:cs="仿宋"/>
          <w:color w:val="000000"/>
          <w:sz w:val="28"/>
          <w:szCs w:val="28"/>
        </w:rPr>
      </w:pPr>
      <w:r>
        <w:rPr>
          <w:rFonts w:hint="eastAsia" w:ascii="仿宋" w:hAnsi="仿宋" w:eastAsia="仿宋" w:cs="仿宋"/>
          <w:sz w:val="24"/>
          <w:lang w:val="en-US" w:eastAsia="zh-CN"/>
        </w:rPr>
        <w:t>3.</w:t>
      </w:r>
      <w:r>
        <w:rPr>
          <w:rFonts w:hint="eastAsia" w:ascii="仿宋" w:hAnsi="仿宋" w:eastAsia="仿宋" w:cs="仿宋"/>
          <w:sz w:val="24"/>
          <w:lang w:eastAsia="zh-CN"/>
        </w:rPr>
        <w:t>未按授权格式填写，视为无效授权，按无效标处理。</w:t>
      </w:r>
    </w:p>
    <w:p w14:paraId="701C322C">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单位名称（公章）：              法</w:t>
      </w:r>
      <w:r>
        <w:rPr>
          <w:rFonts w:hint="eastAsia" w:ascii="仿宋" w:hAnsi="仿宋" w:eastAsia="仿宋" w:cs="仿宋"/>
          <w:color w:val="000000"/>
          <w:sz w:val="28"/>
          <w:szCs w:val="28"/>
          <w:lang w:eastAsia="zh-CN"/>
        </w:rPr>
        <w:t>定代表</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签字或盖章</w:t>
      </w:r>
      <w:r>
        <w:rPr>
          <w:rFonts w:hint="eastAsia" w:ascii="仿宋" w:hAnsi="仿宋" w:eastAsia="仿宋" w:cs="仿宋"/>
          <w:color w:val="000000"/>
          <w:sz w:val="28"/>
          <w:szCs w:val="28"/>
        </w:rPr>
        <w:t>）：</w:t>
      </w:r>
    </w:p>
    <w:p w14:paraId="4B7B0047">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789B13D6">
      <w:pPr>
        <w:widowControl w:val="0"/>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月   日</w:t>
      </w:r>
    </w:p>
    <w:p w14:paraId="29F71A45">
      <w:pPr>
        <w:pStyle w:val="7"/>
        <w:spacing w:before="0" w:after="0"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Cs w:val="0"/>
          <w:color w:val="auto"/>
          <w:sz w:val="28"/>
          <w:szCs w:val="28"/>
          <w:highlight w:val="none"/>
        </w:rPr>
        <w:t>资格证明文件</w:t>
      </w:r>
      <w:bookmarkEnd w:id="113"/>
      <w:bookmarkEnd w:id="114"/>
      <w:bookmarkEnd w:id="115"/>
      <w:bookmarkEnd w:id="116"/>
      <w:bookmarkEnd w:id="180"/>
      <w:bookmarkEnd w:id="181"/>
      <w:bookmarkEnd w:id="182"/>
    </w:p>
    <w:p w14:paraId="6423FEF0">
      <w:pPr>
        <w:keepNext w:val="0"/>
        <w:keepLines w:val="0"/>
        <w:pageBreakBefore w:val="0"/>
        <w:widowControl w:val="0"/>
        <w:tabs>
          <w:tab w:val="left" w:pos="5250"/>
        </w:tabs>
        <w:kinsoku/>
        <w:wordWrap/>
        <w:overflowPunct/>
        <w:topLinePunct w:val="0"/>
        <w:autoSpaceDE/>
        <w:autoSpaceDN/>
        <w:bidi w:val="0"/>
        <w:adjustRightInd/>
        <w:snapToGrid/>
        <w:spacing w:line="700" w:lineRule="exact"/>
        <w:jc w:val="left"/>
        <w:textAlignment w:val="auto"/>
        <w:outlineLvl w:val="1"/>
        <w:rPr>
          <w:rFonts w:hint="eastAsia" w:ascii="仿宋" w:hAnsi="仿宋" w:eastAsia="仿宋" w:cs="仿宋"/>
          <w:b w:val="0"/>
          <w:bCs w:val="0"/>
          <w:color w:val="auto"/>
          <w:kern w:val="0"/>
          <w:sz w:val="28"/>
          <w:szCs w:val="28"/>
          <w:highlight w:val="none"/>
          <w:lang w:val="en-US" w:eastAsia="zh-CN" w:bidi="ar-SA"/>
        </w:rPr>
      </w:pPr>
      <w:bookmarkStart w:id="183" w:name="_Toc416678762"/>
      <w:bookmarkStart w:id="184" w:name="_Toc193126891"/>
      <w:bookmarkStart w:id="185" w:name="_Toc188808842"/>
      <w:bookmarkStart w:id="186" w:name="_Toc416530640"/>
      <w:r>
        <w:rPr>
          <w:rFonts w:hint="eastAsia" w:ascii="仿宋" w:hAnsi="仿宋" w:eastAsia="仿宋" w:cs="仿宋"/>
          <w:b w:val="0"/>
          <w:bCs w:val="0"/>
          <w:color w:val="auto"/>
          <w:kern w:val="0"/>
          <w:sz w:val="28"/>
          <w:szCs w:val="28"/>
          <w:highlight w:val="none"/>
          <w:lang w:val="en-US" w:eastAsia="zh-CN" w:bidi="ar-SA"/>
        </w:rPr>
        <w:t>1.具有独立承担民事责任能力的法人或其他组织，提供合法有效的营业执照或组织机构代码证，且提供开户许可证或基本存款账户信息证明；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2.法定代表人或法定负责人参加投标的，须出示身份证；法定代表人或法定负责人授权他人参加投标的，须提供法定代表人或法定负责人授权委托书及被授权人身份证；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3.投标人需具有有效的经中国保监会批准开展政策农业保险业务许可证；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4.财务状况报告：2024年财务审计报告（至少包括审计报告、资产负债表和利润表，成立时间不足一年的可提供成立后任意时段的资产负债表）或其基本存款账户开户银行出具的资信良好证明及基本户证明材料；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6.社保缴纳证明：提供投标截止时间前一年内已缴纳的连续三个月的社保缴纳证明（成立不足一年的提供自成立之日起的连续社保缴纳证明）；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7.投标人参加采购活动近3年内经营活动中无重大违法记录的书面声明；</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8.单位负责人为同一人或者存在直接控股、管理关系的不同供应商，不得参加同一合同项下的政府采购活动；</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9.通过“信用中国”网站、中国政府采购网查询相关主体信用记录，未被列入失信被执行人、重大税收违法失信主体、政府采购严重违法失信行为记录名单（提供查询结果网页截图并加盖供应商公章）；</w:t>
      </w:r>
      <w:r>
        <w:rPr>
          <w:rFonts w:hint="eastAsia" w:ascii="仿宋" w:hAnsi="仿宋" w:eastAsia="仿宋" w:cs="仿宋"/>
          <w:b w:val="0"/>
          <w:bCs w:val="0"/>
          <w:color w:val="auto"/>
          <w:kern w:val="0"/>
          <w:sz w:val="28"/>
          <w:szCs w:val="28"/>
          <w:highlight w:val="none"/>
          <w:lang w:val="en-US" w:eastAsia="zh-CN" w:bidi="ar-SA"/>
        </w:rPr>
        <w:br w:type="textWrapping"/>
      </w:r>
      <w:r>
        <w:rPr>
          <w:rFonts w:hint="eastAsia" w:ascii="仿宋" w:hAnsi="仿宋" w:eastAsia="仿宋" w:cs="仿宋"/>
          <w:b w:val="0"/>
          <w:bCs w:val="0"/>
          <w:color w:val="auto"/>
          <w:kern w:val="0"/>
          <w:sz w:val="28"/>
          <w:szCs w:val="28"/>
          <w:highlight w:val="none"/>
          <w:lang w:val="en-US" w:eastAsia="zh-CN" w:bidi="ar-SA"/>
        </w:rPr>
        <w:t>10.本项目不接受联合体投标。</w:t>
      </w:r>
    </w:p>
    <w:p w14:paraId="6A7CC67D">
      <w:pPr>
        <w:keepNext w:val="0"/>
        <w:keepLines w:val="0"/>
        <w:pageBreakBefore w:val="0"/>
        <w:widowControl w:val="0"/>
        <w:tabs>
          <w:tab w:val="left" w:pos="5250"/>
        </w:tabs>
        <w:kinsoku/>
        <w:wordWrap/>
        <w:overflowPunct/>
        <w:topLinePunct w:val="0"/>
        <w:autoSpaceDE/>
        <w:autoSpaceDN/>
        <w:bidi w:val="0"/>
        <w:adjustRightInd/>
        <w:snapToGrid/>
        <w:spacing w:line="700" w:lineRule="exact"/>
        <w:ind w:firstLine="560" w:firstLineChars="200"/>
        <w:jc w:val="left"/>
        <w:textAlignment w:val="auto"/>
        <w:outlineLvl w:val="1"/>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 xml:space="preserve"> </w:t>
      </w:r>
    </w:p>
    <w:p w14:paraId="560C3DB4">
      <w:pPr>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br w:type="page"/>
      </w:r>
    </w:p>
    <w:p w14:paraId="20813BDA">
      <w:pPr>
        <w:keepNext w:val="0"/>
        <w:keepLines w:val="0"/>
        <w:pageBreakBefore w:val="0"/>
        <w:widowControl w:val="0"/>
        <w:tabs>
          <w:tab w:val="left" w:pos="5250"/>
        </w:tabs>
        <w:kinsoku/>
        <w:wordWrap/>
        <w:overflowPunct/>
        <w:topLinePunct w:val="0"/>
        <w:autoSpaceDE/>
        <w:autoSpaceDN/>
        <w:bidi w:val="0"/>
        <w:adjustRightInd/>
        <w:snapToGrid/>
        <w:spacing w:line="700" w:lineRule="exact"/>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bCs/>
          <w:color w:val="auto"/>
          <w:kern w:val="0"/>
          <w:sz w:val="28"/>
          <w:szCs w:val="28"/>
          <w:highlight w:val="none"/>
          <w:lang w:val="en-US" w:eastAsia="zh-CN" w:bidi="ar-SA"/>
        </w:rPr>
        <w:t>7.具有履行合同所必需的设备和专业技术能力的说明及承诺（格式）</w:t>
      </w:r>
    </w:p>
    <w:p w14:paraId="6EADE607">
      <w:pPr>
        <w:pStyle w:val="13"/>
        <w:adjustRightInd w:val="0"/>
        <w:snapToGrid w:val="0"/>
        <w:ind w:firstLine="883"/>
        <w:jc w:val="center"/>
        <w:rPr>
          <w:rFonts w:hint="eastAsia" w:ascii="仿宋" w:hAnsi="仿宋" w:eastAsia="仿宋" w:cs="仿宋"/>
          <w:b/>
          <w:color w:val="auto"/>
          <w:sz w:val="44"/>
          <w:szCs w:val="44"/>
          <w:highlight w:val="none"/>
        </w:rPr>
      </w:pPr>
    </w:p>
    <w:p w14:paraId="7F96C6E2">
      <w:pPr>
        <w:pStyle w:val="13"/>
        <w:adjustRightInd w:val="0"/>
        <w:snapToGrid w:val="0"/>
        <w:ind w:firstLine="883"/>
        <w:jc w:val="center"/>
        <w:rPr>
          <w:rFonts w:hint="eastAsia" w:ascii="仿宋" w:hAnsi="仿宋" w:eastAsia="仿宋" w:cs="仿宋"/>
          <w:b/>
          <w:color w:val="auto"/>
          <w:sz w:val="44"/>
          <w:szCs w:val="44"/>
          <w:highlight w:val="none"/>
        </w:rPr>
      </w:pPr>
    </w:p>
    <w:p w14:paraId="2D6D545A">
      <w:pPr>
        <w:spacing w:line="480" w:lineRule="auto"/>
        <w:rPr>
          <w:rFonts w:hint="eastAsia" w:ascii="仿宋" w:hAnsi="仿宋" w:eastAsia="仿宋" w:cs="仿宋"/>
          <w:b w:val="0"/>
          <w:bCs w:val="0"/>
          <w:color w:val="auto"/>
          <w:spacing w:val="4"/>
          <w:sz w:val="28"/>
          <w:szCs w:val="28"/>
          <w:highlight w:val="none"/>
          <w:u w:val="none"/>
          <w:lang w:eastAsia="zh-CN"/>
        </w:rPr>
      </w:pPr>
      <w:r>
        <w:rPr>
          <w:rFonts w:hint="eastAsia" w:ascii="仿宋" w:hAnsi="仿宋" w:eastAsia="仿宋" w:cs="仿宋"/>
          <w:b w:val="0"/>
          <w:bCs w:val="0"/>
          <w:color w:val="auto"/>
          <w:spacing w:val="4"/>
          <w:sz w:val="28"/>
          <w:szCs w:val="28"/>
          <w:highlight w:val="none"/>
          <w:u w:val="none"/>
          <w:lang w:val="en-US" w:eastAsia="zh-CN"/>
        </w:rPr>
        <w:t>华春建设工程项目管理有限责任公司</w:t>
      </w:r>
      <w:r>
        <w:rPr>
          <w:rFonts w:hint="eastAsia" w:ascii="仿宋" w:hAnsi="仿宋" w:eastAsia="仿宋" w:cs="仿宋"/>
          <w:b w:val="0"/>
          <w:bCs w:val="0"/>
          <w:color w:val="auto"/>
          <w:spacing w:val="4"/>
          <w:sz w:val="28"/>
          <w:szCs w:val="28"/>
          <w:highlight w:val="none"/>
          <w:u w:val="none"/>
          <w:lang w:eastAsia="zh-CN"/>
        </w:rPr>
        <w:t>：</w:t>
      </w:r>
    </w:p>
    <w:p w14:paraId="5BB32FD5">
      <w:pPr>
        <w:pStyle w:val="13"/>
        <w:adjustRightInd w:val="0"/>
        <w:snapToGrid w:val="0"/>
        <w:spacing w:line="480" w:lineRule="auto"/>
        <w:ind w:firstLine="496"/>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u w:val="single"/>
        </w:rPr>
        <w:t xml:space="preserve">      （投标人名称）    </w:t>
      </w:r>
      <w:r>
        <w:rPr>
          <w:rFonts w:hint="eastAsia" w:ascii="仿宋" w:hAnsi="仿宋" w:eastAsia="仿宋" w:cs="仿宋"/>
          <w:color w:val="auto"/>
          <w:spacing w:val="4"/>
          <w:sz w:val="28"/>
          <w:szCs w:val="28"/>
          <w:highlight w:val="none"/>
        </w:rPr>
        <w:t xml:space="preserve"> 于</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年</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日在中华人民共和国境内</w:t>
      </w:r>
      <w:r>
        <w:rPr>
          <w:rFonts w:hint="eastAsia" w:ascii="仿宋" w:hAnsi="仿宋" w:eastAsia="仿宋" w:cs="仿宋"/>
          <w:color w:val="auto"/>
          <w:spacing w:val="4"/>
          <w:sz w:val="28"/>
          <w:szCs w:val="28"/>
          <w:highlight w:val="none"/>
          <w:u w:val="single"/>
        </w:rPr>
        <w:t xml:space="preserve">     （详细注册地址）     </w:t>
      </w:r>
      <w:r>
        <w:rPr>
          <w:rFonts w:hint="eastAsia" w:ascii="仿宋" w:hAnsi="仿宋" w:eastAsia="仿宋" w:cs="仿宋"/>
          <w:color w:val="auto"/>
          <w:spacing w:val="4"/>
          <w:sz w:val="28"/>
          <w:szCs w:val="28"/>
          <w:highlight w:val="none"/>
        </w:rPr>
        <w:t>合法注册并经营，公司主营业务为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，营业（生产经营）面积为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，现有员工数量为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，本公司郑重承诺，具有履行本合同所必需的设备和专业技术能力。</w:t>
      </w:r>
    </w:p>
    <w:p w14:paraId="21E33F47">
      <w:pPr>
        <w:pStyle w:val="13"/>
        <w:adjustRightInd w:val="0"/>
        <w:snapToGrid w:val="0"/>
        <w:ind w:firstLine="496"/>
        <w:rPr>
          <w:rFonts w:hint="eastAsia" w:ascii="仿宋" w:hAnsi="仿宋" w:eastAsia="仿宋" w:cs="仿宋"/>
          <w:color w:val="auto"/>
          <w:spacing w:val="4"/>
          <w:sz w:val="28"/>
          <w:szCs w:val="28"/>
          <w:highlight w:val="none"/>
        </w:rPr>
      </w:pPr>
    </w:p>
    <w:p w14:paraId="34E96C6A">
      <w:pPr>
        <w:pStyle w:val="13"/>
        <w:adjustRightInd w:val="0"/>
        <w:snapToGrid w:val="0"/>
        <w:ind w:firstLine="496"/>
        <w:rPr>
          <w:rFonts w:hint="eastAsia" w:ascii="仿宋" w:hAnsi="仿宋" w:eastAsia="仿宋" w:cs="仿宋"/>
          <w:color w:val="auto"/>
          <w:spacing w:val="4"/>
          <w:sz w:val="28"/>
          <w:szCs w:val="28"/>
          <w:highlight w:val="none"/>
        </w:rPr>
      </w:pPr>
    </w:p>
    <w:p w14:paraId="32D92806">
      <w:pPr>
        <w:pStyle w:val="13"/>
        <w:adjustRightInd w:val="0"/>
        <w:snapToGrid w:val="0"/>
        <w:ind w:firstLine="496"/>
        <w:rPr>
          <w:rFonts w:hint="eastAsia" w:ascii="仿宋" w:hAnsi="仿宋" w:eastAsia="仿宋" w:cs="仿宋"/>
          <w:color w:val="auto"/>
          <w:spacing w:val="4"/>
          <w:sz w:val="28"/>
          <w:szCs w:val="28"/>
          <w:highlight w:val="none"/>
        </w:rPr>
      </w:pPr>
    </w:p>
    <w:p w14:paraId="6D4A4E3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（公章）                        </w:t>
      </w:r>
    </w:p>
    <w:p w14:paraId="310DA2C8">
      <w:pPr>
        <w:spacing w:line="360" w:lineRule="auto"/>
        <w:ind w:firstLine="211"/>
        <w:rPr>
          <w:rFonts w:hint="eastAsia" w:ascii="仿宋" w:hAnsi="仿宋" w:eastAsia="仿宋" w:cs="仿宋"/>
          <w:color w:val="auto"/>
          <w:sz w:val="28"/>
          <w:szCs w:val="28"/>
          <w:highlight w:val="none"/>
        </w:rPr>
      </w:pPr>
    </w:p>
    <w:p w14:paraId="6F3B536D">
      <w:pPr>
        <w:spacing w:line="360" w:lineRule="auto"/>
        <w:rPr>
          <w:rFonts w:hint="eastAsia" w:ascii="仿宋" w:hAnsi="仿宋" w:eastAsia="仿宋" w:cs="仿宋"/>
          <w:color w:val="auto"/>
          <w:sz w:val="28"/>
          <w:szCs w:val="28"/>
          <w:highlight w:val="none"/>
        </w:rPr>
      </w:pPr>
    </w:p>
    <w:p w14:paraId="535755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r>
        <w:rPr>
          <w:rFonts w:hint="eastAsia" w:ascii="仿宋" w:hAnsi="仿宋" w:eastAsia="仿宋" w:cs="仿宋"/>
          <w:color w:val="000000"/>
          <w:sz w:val="28"/>
          <w:szCs w:val="28"/>
          <w:lang w:eastAsia="zh-CN"/>
        </w:rPr>
        <w:t>签字或盖章</w:t>
      </w:r>
      <w:r>
        <w:rPr>
          <w:rFonts w:hint="eastAsia" w:ascii="仿宋" w:hAnsi="仿宋" w:eastAsia="仿宋" w:cs="仿宋"/>
          <w:color w:val="auto"/>
          <w:sz w:val="28"/>
          <w:szCs w:val="28"/>
          <w:highlight w:val="none"/>
        </w:rPr>
        <w:t>)：</w:t>
      </w:r>
    </w:p>
    <w:p w14:paraId="21EC4E31">
      <w:pPr>
        <w:spacing w:line="360" w:lineRule="auto"/>
        <w:ind w:firstLine="211"/>
        <w:rPr>
          <w:rFonts w:hint="eastAsia" w:ascii="仿宋" w:hAnsi="仿宋" w:eastAsia="仿宋" w:cs="仿宋"/>
          <w:color w:val="auto"/>
          <w:sz w:val="28"/>
          <w:szCs w:val="28"/>
          <w:highlight w:val="none"/>
        </w:rPr>
      </w:pPr>
    </w:p>
    <w:p w14:paraId="65EBD24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D37A4FE">
      <w:pPr>
        <w:spacing w:line="500" w:lineRule="exact"/>
        <w:ind w:firstLine="6160" w:firstLineChars="2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242319DE">
      <w:pPr>
        <w:pStyle w:val="7"/>
        <w:numPr>
          <w:ilvl w:val="0"/>
          <w:numId w:val="7"/>
        </w:numPr>
        <w:spacing w:line="500" w:lineRule="exact"/>
        <w:rPr>
          <w:rFonts w:hint="eastAsia" w:ascii="仿宋" w:hAnsi="仿宋" w:eastAsia="仿宋" w:cs="仿宋"/>
          <w:color w:val="auto"/>
          <w:sz w:val="28"/>
          <w:szCs w:val="28"/>
          <w:highlight w:val="none"/>
        </w:rPr>
      </w:pPr>
      <w:bookmarkStart w:id="187" w:name="_Toc2035"/>
      <w:r>
        <w:rPr>
          <w:rFonts w:hint="eastAsia" w:ascii="仿宋" w:hAnsi="仿宋" w:eastAsia="仿宋" w:cs="仿宋"/>
          <w:color w:val="auto"/>
          <w:sz w:val="28"/>
          <w:szCs w:val="28"/>
          <w:highlight w:val="none"/>
          <w:lang w:val="en-US" w:eastAsia="zh-CN"/>
        </w:rPr>
        <w:br w:type="page"/>
      </w:r>
      <w:bookmarkEnd w:id="183"/>
      <w:bookmarkEnd w:id="184"/>
      <w:bookmarkEnd w:id="185"/>
      <w:bookmarkEnd w:id="186"/>
      <w:bookmarkEnd w:id="187"/>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根据评分标准</w:t>
      </w:r>
      <w:r>
        <w:rPr>
          <w:rFonts w:hint="eastAsia" w:ascii="仿宋" w:hAnsi="仿宋" w:eastAsia="仿宋" w:cs="仿宋"/>
          <w:color w:val="auto"/>
          <w:sz w:val="28"/>
          <w:szCs w:val="28"/>
          <w:highlight w:val="none"/>
          <w:lang w:eastAsia="zh-CN"/>
        </w:rPr>
        <w:t>编制）</w:t>
      </w:r>
    </w:p>
    <w:p w14:paraId="65E2F3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1）</w:t>
      </w:r>
      <w:r>
        <w:rPr>
          <w:rFonts w:hint="eastAsia"/>
          <w:sz w:val="24"/>
          <w:szCs w:val="24"/>
          <w:lang w:val="en-US" w:eastAsia="zh-CN"/>
        </w:rPr>
        <w:t>技术部分；</w:t>
      </w:r>
    </w:p>
    <w:p w14:paraId="05396B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 xml:space="preserve"> 2</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服务质量保证措施和信息安全管理措施</w:t>
      </w:r>
      <w:r>
        <w:rPr>
          <w:rFonts w:hint="eastAsia"/>
          <w:sz w:val="24"/>
          <w:szCs w:val="24"/>
          <w:lang w:val="en-US" w:eastAsia="zh-CN"/>
        </w:rPr>
        <w:t>；</w:t>
      </w:r>
    </w:p>
    <w:p w14:paraId="744F66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 xml:space="preserve"> 3</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服务承诺</w:t>
      </w:r>
      <w:r>
        <w:rPr>
          <w:rFonts w:hint="eastAsia"/>
          <w:sz w:val="24"/>
          <w:szCs w:val="24"/>
          <w:lang w:val="en-US" w:eastAsia="zh-CN"/>
        </w:rPr>
        <w:t>；</w:t>
      </w:r>
    </w:p>
    <w:p w14:paraId="050F8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s="Times New Roman"/>
          <w:kern w:val="2"/>
          <w:sz w:val="24"/>
          <w:szCs w:val="24"/>
          <w:lang w:val="en-US" w:eastAsia="zh-CN" w:bidi="ar-SA"/>
        </w:rPr>
        <w:t xml:space="preserve"> 4</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业绩合</w:t>
      </w:r>
      <w:r>
        <w:rPr>
          <w:rFonts w:hint="eastAsia" w:cs="仿宋"/>
          <w:snapToGrid w:val="0"/>
          <w:color w:val="000000"/>
          <w:kern w:val="0"/>
          <w:sz w:val="24"/>
          <w:szCs w:val="24"/>
          <w:lang w:val="en-US" w:eastAsia="zh-CN" w:bidi="ar-SA"/>
        </w:rPr>
        <w:t>同。</w:t>
      </w:r>
    </w:p>
    <w:p w14:paraId="57821896">
      <w:pPr>
        <w:rPr>
          <w:rFonts w:hint="eastAsia"/>
        </w:rPr>
      </w:pPr>
    </w:p>
    <w:p w14:paraId="7379981A">
      <w:pPr>
        <w:numPr>
          <w:ilvl w:val="0"/>
          <w:numId w:val="0"/>
        </w:numPr>
        <w:rPr>
          <w:rFonts w:hint="eastAsia"/>
        </w:rPr>
      </w:pPr>
    </w:p>
    <w:p w14:paraId="117862CC">
      <w:pPr>
        <w:spacing w:line="500" w:lineRule="exact"/>
        <w:rPr>
          <w:rFonts w:hint="eastAsia" w:ascii="仿宋" w:hAnsi="仿宋" w:eastAsia="仿宋" w:cs="仿宋"/>
          <w:b/>
          <w:color w:val="auto"/>
          <w:sz w:val="28"/>
          <w:szCs w:val="28"/>
          <w:highlight w:val="none"/>
        </w:rPr>
      </w:pPr>
    </w:p>
    <w:p w14:paraId="476FB457">
      <w:pPr>
        <w:spacing w:line="500" w:lineRule="exact"/>
        <w:outlineLvl w:val="9"/>
        <w:rPr>
          <w:rFonts w:hint="eastAsia" w:ascii="仿宋" w:hAnsi="仿宋" w:eastAsia="仿宋" w:cs="仿宋"/>
          <w:color w:val="auto"/>
          <w:sz w:val="28"/>
          <w:szCs w:val="28"/>
          <w:highlight w:val="none"/>
        </w:rPr>
      </w:pPr>
      <w:bookmarkStart w:id="188" w:name="_Toc5996"/>
      <w:bookmarkStart w:id="189" w:name="_Toc416530641"/>
      <w:bookmarkStart w:id="190" w:name="_Toc416678763"/>
    </w:p>
    <w:p w14:paraId="0EE3B527">
      <w:pPr>
        <w:pStyle w:val="13"/>
        <w:rPr>
          <w:rFonts w:hint="eastAsia" w:ascii="仿宋" w:hAnsi="仿宋" w:eastAsia="仿宋" w:cs="仿宋"/>
          <w:color w:val="auto"/>
          <w:sz w:val="28"/>
          <w:szCs w:val="28"/>
          <w:highlight w:val="none"/>
        </w:rPr>
      </w:pPr>
    </w:p>
    <w:p w14:paraId="75D273CC">
      <w:pPr>
        <w:pStyle w:val="13"/>
        <w:rPr>
          <w:rFonts w:hint="eastAsia" w:ascii="仿宋" w:hAnsi="仿宋" w:eastAsia="仿宋" w:cs="仿宋"/>
          <w:color w:val="auto"/>
          <w:sz w:val="28"/>
          <w:szCs w:val="28"/>
          <w:highlight w:val="none"/>
        </w:rPr>
      </w:pPr>
    </w:p>
    <w:bookmarkEnd w:id="188"/>
    <w:bookmarkEnd w:id="189"/>
    <w:bookmarkEnd w:id="190"/>
    <w:p w14:paraId="74948169">
      <w:pPr>
        <w:spacing w:line="500" w:lineRule="exact"/>
        <w:rPr>
          <w:rFonts w:hint="eastAsia" w:ascii="仿宋" w:hAnsi="仿宋" w:eastAsia="仿宋" w:cs="仿宋"/>
          <w:color w:val="auto"/>
          <w:highlight w:val="none"/>
        </w:rPr>
      </w:pPr>
      <w:bookmarkStart w:id="191" w:name="_Toc193126902"/>
      <w:bookmarkStart w:id="192" w:name="_Toc194663939"/>
      <w:bookmarkStart w:id="193" w:name="_Toc188808852"/>
      <w:bookmarkStart w:id="194" w:name="_Toc193187108"/>
    </w:p>
    <w:p w14:paraId="0955A211">
      <w:pPr>
        <w:spacing w:line="500" w:lineRule="exact"/>
        <w:rPr>
          <w:rFonts w:hint="eastAsia" w:ascii="仿宋" w:hAnsi="仿宋" w:eastAsia="仿宋" w:cs="仿宋"/>
          <w:color w:val="auto"/>
          <w:highlight w:val="none"/>
        </w:rPr>
      </w:pPr>
    </w:p>
    <w:p w14:paraId="038A22FE">
      <w:pPr>
        <w:pStyle w:val="12"/>
        <w:rPr>
          <w:rFonts w:hint="eastAsia" w:ascii="仿宋" w:hAnsi="仿宋" w:eastAsia="仿宋" w:cs="仿宋"/>
          <w:color w:val="auto"/>
          <w:highlight w:val="none"/>
        </w:rPr>
      </w:pPr>
    </w:p>
    <w:p w14:paraId="59504155">
      <w:pPr>
        <w:spacing w:line="500" w:lineRule="exact"/>
        <w:rPr>
          <w:rFonts w:hint="eastAsia" w:ascii="仿宋" w:hAnsi="仿宋" w:eastAsia="仿宋" w:cs="仿宋"/>
          <w:color w:val="auto"/>
          <w:highlight w:val="none"/>
        </w:rPr>
      </w:pPr>
    </w:p>
    <w:p w14:paraId="7A7595F1">
      <w:pPr>
        <w:spacing w:line="500" w:lineRule="exact"/>
        <w:rPr>
          <w:rFonts w:hint="eastAsia" w:ascii="仿宋" w:hAnsi="仿宋" w:eastAsia="仿宋" w:cs="仿宋"/>
          <w:color w:val="auto"/>
          <w:highlight w:val="none"/>
        </w:rPr>
      </w:pPr>
    </w:p>
    <w:p w14:paraId="099FBB22">
      <w:pPr>
        <w:spacing w:line="500" w:lineRule="exact"/>
        <w:rPr>
          <w:rFonts w:hint="eastAsia" w:ascii="仿宋" w:hAnsi="仿宋" w:eastAsia="仿宋" w:cs="仿宋"/>
          <w:color w:val="auto"/>
          <w:highlight w:val="none"/>
        </w:rPr>
      </w:pPr>
    </w:p>
    <w:p w14:paraId="14A86EC8">
      <w:pPr>
        <w:pStyle w:val="10"/>
        <w:rPr>
          <w:rFonts w:hint="eastAsia" w:ascii="仿宋" w:hAnsi="仿宋" w:eastAsia="仿宋" w:cs="仿宋"/>
          <w:color w:val="auto"/>
          <w:highlight w:val="none"/>
        </w:rPr>
      </w:pPr>
    </w:p>
    <w:p w14:paraId="43CFFEE8">
      <w:pPr>
        <w:pStyle w:val="10"/>
        <w:rPr>
          <w:rFonts w:hint="eastAsia" w:ascii="仿宋" w:hAnsi="仿宋" w:eastAsia="仿宋" w:cs="仿宋"/>
          <w:color w:val="auto"/>
          <w:highlight w:val="none"/>
        </w:rPr>
      </w:pPr>
    </w:p>
    <w:bookmarkEnd w:id="191"/>
    <w:bookmarkEnd w:id="192"/>
    <w:bookmarkEnd w:id="193"/>
    <w:bookmarkEnd w:id="194"/>
    <w:p w14:paraId="3E0AD4A5">
      <w:pPr>
        <w:rPr>
          <w:rFonts w:hint="eastAsia" w:ascii="仿宋" w:hAnsi="仿宋" w:eastAsia="仿宋" w:cs="仿宋"/>
          <w:color w:val="auto"/>
          <w:highlight w:val="none"/>
        </w:rPr>
      </w:pPr>
      <w:bookmarkStart w:id="195" w:name="_Toc188808855"/>
      <w:bookmarkStart w:id="196" w:name="_Toc194663942"/>
      <w:bookmarkStart w:id="197" w:name="_Toc193126905"/>
      <w:bookmarkStart w:id="198" w:name="_Toc193187111"/>
    </w:p>
    <w:p w14:paraId="24F2EEC5">
      <w:pPr>
        <w:rPr>
          <w:rFonts w:hint="eastAsia" w:ascii="仿宋" w:hAnsi="仿宋" w:eastAsia="仿宋" w:cs="仿宋"/>
          <w:color w:val="auto"/>
          <w:highlight w:val="none"/>
        </w:rPr>
      </w:pPr>
    </w:p>
    <w:p w14:paraId="699C4A9D">
      <w:pPr>
        <w:spacing w:line="500" w:lineRule="exact"/>
        <w:outlineLvl w:val="9"/>
        <w:rPr>
          <w:rFonts w:hint="eastAsia" w:ascii="仿宋" w:hAnsi="仿宋" w:eastAsia="仿宋" w:cs="仿宋"/>
          <w:color w:val="auto"/>
          <w:sz w:val="28"/>
          <w:szCs w:val="28"/>
          <w:highlight w:val="none"/>
          <w:lang w:val="en-US" w:eastAsia="zh-CN"/>
        </w:rPr>
      </w:pPr>
      <w:bookmarkStart w:id="199" w:name="_Toc416530646"/>
      <w:bookmarkStart w:id="200" w:name="_Toc28964"/>
      <w:bookmarkStart w:id="201" w:name="_Toc416678768"/>
    </w:p>
    <w:p w14:paraId="2E95EAC8">
      <w:pPr>
        <w:pStyle w:val="7"/>
        <w:spacing w:line="500" w:lineRule="exact"/>
        <w:rPr>
          <w:rFonts w:hint="eastAsia" w:ascii="仿宋" w:hAnsi="仿宋" w:eastAsia="仿宋" w:cs="仿宋"/>
          <w:color w:val="auto"/>
          <w:sz w:val="28"/>
          <w:szCs w:val="28"/>
          <w:highlight w:val="none"/>
          <w:lang w:val="en-US" w:eastAsia="zh-CN"/>
        </w:rPr>
      </w:pPr>
    </w:p>
    <w:p w14:paraId="24D22863">
      <w:pPr>
        <w:pStyle w:val="7"/>
        <w:spacing w:line="500" w:lineRule="exact"/>
        <w:rPr>
          <w:rFonts w:hint="eastAsia" w:ascii="仿宋" w:hAnsi="仿宋" w:eastAsia="仿宋" w:cs="仿宋"/>
          <w:color w:val="auto"/>
          <w:sz w:val="28"/>
          <w:szCs w:val="28"/>
          <w:highlight w:val="none"/>
          <w:lang w:val="en-US" w:eastAsia="zh-CN"/>
        </w:rPr>
      </w:pPr>
    </w:p>
    <w:p w14:paraId="4AD113D4">
      <w:pPr>
        <w:pStyle w:val="7"/>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bookmarkEnd w:id="199"/>
      <w:r>
        <w:rPr>
          <w:rFonts w:hint="eastAsia" w:ascii="仿宋" w:hAnsi="仿宋" w:eastAsia="仿宋" w:cs="仿宋"/>
          <w:color w:val="auto"/>
          <w:sz w:val="28"/>
          <w:szCs w:val="28"/>
          <w:highlight w:val="none"/>
        </w:rPr>
        <w:t>投标人认为有必要说明的事宜</w:t>
      </w:r>
      <w:bookmarkEnd w:id="200"/>
      <w:bookmarkEnd w:id="201"/>
    </w:p>
    <w:p w14:paraId="2936D211">
      <w:pPr>
        <w:spacing w:line="500" w:lineRule="exact"/>
        <w:rPr>
          <w:rFonts w:hint="eastAsia" w:ascii="仿宋" w:hAnsi="仿宋" w:eastAsia="仿宋" w:cs="仿宋"/>
          <w:b/>
          <w:color w:val="auto"/>
          <w:sz w:val="28"/>
          <w:szCs w:val="28"/>
          <w:highlight w:val="none"/>
        </w:rPr>
      </w:pPr>
    </w:p>
    <w:p w14:paraId="06D181F3">
      <w:pPr>
        <w:pStyle w:val="7"/>
        <w:spacing w:before="0" w:after="0" w:line="480" w:lineRule="exact"/>
        <w:rPr>
          <w:rFonts w:hint="eastAsia" w:ascii="仿宋" w:hAnsi="仿宋" w:eastAsia="仿宋" w:cs="仿宋"/>
          <w:color w:val="auto"/>
          <w:sz w:val="28"/>
          <w:szCs w:val="28"/>
          <w:highlight w:val="none"/>
        </w:rPr>
      </w:pPr>
      <w:bookmarkStart w:id="202" w:name="_Toc416530647"/>
      <w:bookmarkStart w:id="203" w:name="_Toc416678769"/>
      <w:bookmarkStart w:id="204" w:name="_Toc388"/>
      <w:r>
        <w:rPr>
          <w:rFonts w:hint="eastAsia" w:ascii="仿宋" w:hAnsi="仿宋" w:eastAsia="仿宋" w:cs="仿宋"/>
          <w:bCs w:val="0"/>
          <w:color w:val="auto"/>
          <w:sz w:val="28"/>
          <w:szCs w:val="28"/>
          <w:highlight w:val="none"/>
        </w:rPr>
        <w:br w:type="page"/>
      </w:r>
      <w:r>
        <w:rPr>
          <w:rFonts w:hint="eastAsia" w:ascii="仿宋" w:hAnsi="仿宋" w:eastAsia="仿宋" w:cs="仿宋"/>
          <w:bCs w:val="0"/>
          <w:color w:val="auto"/>
          <w:sz w:val="28"/>
          <w:szCs w:val="28"/>
          <w:highlight w:val="none"/>
          <w:lang w:val="en-US" w:eastAsia="zh-CN"/>
        </w:rPr>
        <w:t>10</w:t>
      </w:r>
      <w:r>
        <w:rPr>
          <w:rFonts w:hint="eastAsia" w:ascii="仿宋" w:hAnsi="仿宋" w:eastAsia="仿宋" w:cs="仿宋"/>
          <w:bCs w:val="0"/>
          <w:color w:val="auto"/>
          <w:sz w:val="28"/>
          <w:szCs w:val="28"/>
          <w:highlight w:val="none"/>
        </w:rPr>
        <w:t>.</w:t>
      </w:r>
      <w:r>
        <w:rPr>
          <w:rFonts w:hint="eastAsia" w:ascii="仿宋" w:hAnsi="仿宋" w:eastAsia="仿宋" w:cs="仿宋"/>
          <w:color w:val="auto"/>
          <w:sz w:val="28"/>
          <w:szCs w:val="28"/>
          <w:highlight w:val="none"/>
        </w:rPr>
        <w:t>《拒绝政府采购领域商业贿赂承诺书》（格式）</w:t>
      </w:r>
      <w:bookmarkEnd w:id="195"/>
      <w:bookmarkEnd w:id="196"/>
      <w:bookmarkEnd w:id="197"/>
      <w:bookmarkEnd w:id="198"/>
      <w:bookmarkEnd w:id="202"/>
      <w:bookmarkEnd w:id="203"/>
      <w:bookmarkEnd w:id="204"/>
    </w:p>
    <w:p w14:paraId="1D6AD67E">
      <w:pPr>
        <w:widowControl/>
        <w:spacing w:line="500" w:lineRule="exac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陕西省政府采购投标人</w:t>
      </w:r>
    </w:p>
    <w:p w14:paraId="391E23DB">
      <w:pPr>
        <w:widowControl/>
        <w:spacing w:line="50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拒绝政府采购领域商业贿赂承诺书</w:t>
      </w:r>
    </w:p>
    <w:p w14:paraId="480C92CC">
      <w:pPr>
        <w:widowControl/>
        <w:spacing w:line="500" w:lineRule="exact"/>
        <w:ind w:firstLine="480" w:firstLineChars="200"/>
        <w:jc w:val="left"/>
        <w:rPr>
          <w:rFonts w:hint="eastAsia" w:ascii="仿宋" w:hAnsi="仿宋" w:eastAsia="仿宋" w:cs="仿宋"/>
          <w:color w:val="auto"/>
          <w:kern w:val="0"/>
          <w:highlight w:val="none"/>
        </w:rPr>
      </w:pPr>
    </w:p>
    <w:p w14:paraId="7619F094">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为响应党中央、国务院关于治理政府采购领域商业贿赂行为的号召，我单位在此庄严承诺： </w:t>
      </w:r>
    </w:p>
    <w:p w14:paraId="3852B404">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1、在参与政府采购活动中遵纪守法、诚信经营、公平竞标。 </w:t>
      </w:r>
    </w:p>
    <w:p w14:paraId="27898323">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2、不向采购人、采购代理机构和政府采购评审专家进行任何形式的商业贿赂以谋取交易机会。 </w:t>
      </w:r>
    </w:p>
    <w:p w14:paraId="792C8FEE">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3、不向政府采购采购代理机构和采购人提供虚假资质文件或采用虚假应标方式参与政府采购市场竞争并谋取中标、成交。 </w:t>
      </w:r>
    </w:p>
    <w:p w14:paraId="12A9F016">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4、不采取“围标、陪标”等商业欺诈手段获得政府采购定单。 </w:t>
      </w:r>
    </w:p>
    <w:p w14:paraId="3C98FB4F">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5、不采取不正当手段诋毁、排挤其他投标人。 </w:t>
      </w:r>
    </w:p>
    <w:p w14:paraId="3769B97D">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6、不在提供商品和服务时“偷梁换柱、以次充好”损害采购人的合法权益。 </w:t>
      </w:r>
    </w:p>
    <w:p w14:paraId="0D5845F2">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7、不与采购人、采购代理机构政府采购评审专家或其它投标人恶意串通，进行质疑和投诉，维护政府采购市场秩序。 </w:t>
      </w:r>
    </w:p>
    <w:p w14:paraId="3A0EC01E">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8、尊重和接受政府采购监督管理部门的监督和政府采购代理机构招标要求，承担因违约行为给采购人造成的损失。 </w:t>
      </w:r>
    </w:p>
    <w:p w14:paraId="2BA7D035">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9、不发生其他有悖于政府采购公开、公平、公正和诚信原则的行为。</w:t>
      </w:r>
    </w:p>
    <w:p w14:paraId="0B590B1B">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承诺单位：</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（盖章）</w:t>
      </w:r>
    </w:p>
    <w:p w14:paraId="34E82D26">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法定代表人：</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eastAsia="zh-CN"/>
        </w:rPr>
        <w:t>签字或盖章</w:t>
      </w:r>
      <w:r>
        <w:rPr>
          <w:rFonts w:hint="eastAsia" w:ascii="仿宋" w:hAnsi="仿宋" w:eastAsia="仿宋" w:cs="仿宋"/>
          <w:color w:val="auto"/>
          <w:kern w:val="0"/>
          <w:sz w:val="28"/>
          <w:szCs w:val="28"/>
          <w:highlight w:val="none"/>
        </w:rPr>
        <w:t xml:space="preserve">） </w:t>
      </w:r>
    </w:p>
    <w:p w14:paraId="10E00457">
      <w:pPr>
        <w:widowControl/>
        <w:spacing w:line="500" w:lineRule="exac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       地　　址：</w:t>
      </w:r>
      <w:r>
        <w:rPr>
          <w:rFonts w:hint="eastAsia" w:ascii="仿宋" w:hAnsi="仿宋" w:eastAsia="仿宋" w:cs="仿宋"/>
          <w:color w:val="auto"/>
          <w:kern w:val="0"/>
          <w:sz w:val="28"/>
          <w:szCs w:val="28"/>
          <w:highlight w:val="none"/>
          <w:u w:val="single"/>
        </w:rPr>
        <w:t xml:space="preserve">                       </w:t>
      </w:r>
    </w:p>
    <w:p w14:paraId="6A5AFABA">
      <w:pPr>
        <w:widowControl/>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电　　话：</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p>
    <w:p w14:paraId="3FF16B87">
      <w:pPr>
        <w:widowControl/>
        <w:spacing w:line="500" w:lineRule="exact"/>
        <w:ind w:firstLine="560" w:firstLineChars="200"/>
        <w:rPr>
          <w:rFonts w:hint="eastAsia" w:ascii="仿宋" w:hAnsi="仿宋" w:eastAsia="仿宋" w:cs="仿宋"/>
          <w:color w:val="auto"/>
          <w:kern w:val="0"/>
          <w:sz w:val="28"/>
          <w:szCs w:val="28"/>
          <w:highlight w:val="none"/>
        </w:rPr>
      </w:pPr>
    </w:p>
    <w:p w14:paraId="54DA1CB1">
      <w:pPr>
        <w:spacing w:line="500" w:lineRule="exact"/>
        <w:ind w:firstLine="5740" w:firstLineChars="2050"/>
        <w:rPr>
          <w:rFonts w:hint="eastAsia" w:ascii="仿宋" w:hAnsi="仿宋" w:eastAsia="仿宋" w:cs="仿宋"/>
          <w:color w:val="auto"/>
          <w:kern w:val="0"/>
          <w:sz w:val="28"/>
          <w:szCs w:val="28"/>
          <w:highlight w:val="none"/>
          <w:lang w:val="en-US" w:eastAsia="zh-CN"/>
        </w:rPr>
        <w:sectPr>
          <w:headerReference r:id="rId12" w:type="first"/>
          <w:footerReference r:id="rId14" w:type="first"/>
          <w:headerReference r:id="rId11" w:type="default"/>
          <w:footerReference r:id="rId13" w:type="default"/>
          <w:pgSz w:w="11907" w:h="16840"/>
          <w:pgMar w:top="1440" w:right="1080" w:bottom="1440" w:left="1080" w:header="568" w:footer="1021" w:gutter="0"/>
          <w:pgNumType w:fmt="decimal"/>
          <w:cols w:space="720" w:num="1"/>
          <w:titlePg/>
          <w:docGrid w:linePitch="326" w:charSpace="0"/>
        </w:sectPr>
      </w:pPr>
      <w:r>
        <w:rPr>
          <w:rFonts w:hint="eastAsia" w:ascii="仿宋" w:hAnsi="仿宋" w:eastAsia="仿宋" w:cs="仿宋"/>
          <w:color w:val="auto"/>
          <w:kern w:val="0"/>
          <w:sz w:val="28"/>
          <w:szCs w:val="28"/>
          <w:highlight w:val="none"/>
        </w:rPr>
        <w:t>年　　月　</w:t>
      </w:r>
      <w:r>
        <w:rPr>
          <w:rFonts w:hint="eastAsia" w:ascii="仿宋" w:hAnsi="仿宋" w:eastAsia="仿宋" w:cs="仿宋"/>
          <w:color w:val="auto"/>
          <w:kern w:val="0"/>
          <w:sz w:val="28"/>
          <w:szCs w:val="28"/>
          <w:highlight w:val="none"/>
          <w:lang w:val="en-US" w:eastAsia="zh-CN"/>
        </w:rPr>
        <w:t xml:space="preserve">  日</w:t>
      </w:r>
    </w:p>
    <w:p w14:paraId="785179B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outlineLvl w:val="9"/>
        <w:rPr>
          <w:rFonts w:hint="eastAsia" w:ascii="仿宋" w:hAnsi="仿宋" w:eastAsia="仿宋" w:cs="仿宋"/>
          <w:b/>
          <w:bCs/>
          <w:color w:val="auto"/>
          <w:kern w:val="0"/>
          <w:sz w:val="28"/>
          <w:szCs w:val="28"/>
          <w:highlight w:val="none"/>
          <w:lang w:val="en-US" w:eastAsia="zh-CN" w:bidi="ar-SA"/>
        </w:rPr>
      </w:pPr>
      <w:bookmarkStart w:id="205" w:name="_Toc32074"/>
      <w:bookmarkStart w:id="206" w:name="_Toc21673"/>
      <w:bookmarkStart w:id="207" w:name="_Toc24798"/>
      <w:bookmarkStart w:id="208" w:name="_Toc13396"/>
      <w:bookmarkStart w:id="209" w:name="_Toc22013"/>
      <w:bookmarkStart w:id="210" w:name="_Toc612"/>
      <w:r>
        <w:rPr>
          <w:rFonts w:hint="eastAsia" w:ascii="仿宋" w:hAnsi="仿宋" w:eastAsia="仿宋" w:cs="仿宋"/>
          <w:b/>
          <w:bCs/>
          <w:color w:val="auto"/>
          <w:kern w:val="0"/>
          <w:sz w:val="28"/>
          <w:szCs w:val="28"/>
          <w:highlight w:val="none"/>
          <w:lang w:val="en-US" w:eastAsia="zh-CN" w:bidi="ar-SA"/>
        </w:rPr>
        <w:t>11.</w:t>
      </w:r>
      <w:bookmarkEnd w:id="205"/>
      <w:bookmarkEnd w:id="206"/>
      <w:bookmarkEnd w:id="207"/>
      <w:bookmarkEnd w:id="208"/>
      <w:bookmarkEnd w:id="209"/>
      <w:bookmarkEnd w:id="210"/>
      <w:r>
        <w:rPr>
          <w:rFonts w:hint="eastAsia" w:ascii="仿宋" w:hAnsi="仿宋" w:eastAsia="仿宋" w:cs="仿宋"/>
          <w:b/>
          <w:bCs/>
          <w:color w:val="auto"/>
          <w:kern w:val="0"/>
          <w:sz w:val="28"/>
          <w:szCs w:val="28"/>
          <w:highlight w:val="none"/>
          <w:lang w:val="en-US" w:eastAsia="zh-CN" w:bidi="ar-SA"/>
        </w:rPr>
        <w:t>中小企业声明函</w:t>
      </w:r>
      <w:r>
        <w:rPr>
          <w:rFonts w:hint="eastAsia" w:ascii="仿宋" w:hAnsi="仿宋" w:eastAsia="仿宋" w:cs="仿宋"/>
          <w:b/>
          <w:bCs/>
          <w:kern w:val="2"/>
          <w:sz w:val="28"/>
          <w:szCs w:val="28"/>
          <w:lang w:val="en-US" w:eastAsia="zh-CN" w:bidi="ar-SA"/>
        </w:rPr>
        <w:t>（是/否）</w:t>
      </w:r>
      <w:r>
        <w:rPr>
          <w:rFonts w:hint="eastAsia" w:ascii="仿宋" w:hAnsi="仿宋" w:eastAsia="仿宋" w:cs="仿宋"/>
          <w:b/>
          <w:bCs/>
          <w:color w:val="auto"/>
          <w:kern w:val="0"/>
          <w:sz w:val="28"/>
          <w:szCs w:val="28"/>
          <w:highlight w:val="none"/>
          <w:lang w:val="en-US" w:eastAsia="zh-CN" w:bidi="ar-SA"/>
        </w:rPr>
        <w:t>（格式）</w:t>
      </w:r>
    </w:p>
    <w:p w14:paraId="1223D161">
      <w:pPr>
        <w:keepNext w:val="0"/>
        <w:keepLines w:val="0"/>
        <w:pageBreakBefore w:val="0"/>
        <w:widowControl/>
        <w:kinsoku/>
        <w:wordWrap/>
        <w:overflowPunct/>
        <w:topLinePunct w:val="0"/>
        <w:autoSpaceDE/>
        <w:autoSpaceDN/>
        <w:bidi w:val="0"/>
        <w:spacing w:before="120" w:beforeLines="50" w:after="240" w:line="288" w:lineRule="auto"/>
        <w:jc w:val="left"/>
        <w:textAlignment w:val="baseline"/>
        <w:rPr>
          <w:rFonts w:hint="eastAsia" w:ascii="仿宋" w:hAnsi="仿宋" w:eastAsia="仿宋" w:cs="Times New Roman"/>
          <w:b/>
          <w:bCs/>
          <w:kern w:val="2"/>
          <w:sz w:val="28"/>
          <w:szCs w:val="28"/>
          <w:lang w:val="en-US" w:eastAsia="zh-CN" w:bidi="ar-SA"/>
        </w:rPr>
      </w:pPr>
      <w:bookmarkStart w:id="211" w:name="_Toc150_WPSOffice_Level1"/>
      <w:r>
        <w:rPr>
          <w:rFonts w:hint="eastAsia" w:ascii="仿宋" w:hAnsi="仿宋" w:eastAsia="仿宋" w:cs="Times New Roman"/>
          <w:b/>
          <w:bCs/>
          <w:kern w:val="2"/>
          <w:sz w:val="28"/>
          <w:szCs w:val="28"/>
          <w:lang w:val="en-US" w:eastAsia="zh-CN" w:bidi="ar-SA"/>
        </w:rPr>
        <w:t>吴起县畜牧兽医服务中心：</w:t>
      </w:r>
    </w:p>
    <w:p w14:paraId="2D135B25">
      <w:pPr>
        <w:keepNext w:val="0"/>
        <w:keepLines w:val="0"/>
        <w:pageBreakBefore w:val="0"/>
        <w:widowControl/>
        <w:kinsoku/>
        <w:wordWrap/>
        <w:overflowPunct/>
        <w:topLinePunct w:val="0"/>
        <w:autoSpaceDE/>
        <w:autoSpaceDN/>
        <w:bidi w:val="0"/>
        <w:spacing w:before="120" w:beforeLines="50" w:after="240" w:line="288" w:lineRule="auto"/>
        <w:ind w:firstLine="560" w:firstLineChars="200"/>
        <w:jc w:val="left"/>
        <w:textAlignment w:val="baseline"/>
        <w:rPr>
          <w:rFonts w:hint="eastAsia" w:ascii="仿宋" w:hAnsi="仿宋" w:eastAsia="仿宋"/>
          <w:sz w:val="28"/>
          <w:szCs w:val="28"/>
          <w:lang w:val="en-US" w:eastAsia="zh-CN"/>
        </w:rPr>
      </w:pPr>
      <w:r>
        <w:rPr>
          <w:rFonts w:hint="eastAsia" w:ascii="仿宋" w:hAnsi="仿宋" w:eastAsia="仿宋"/>
          <w:sz w:val="28"/>
          <w:szCs w:val="28"/>
          <w:lang w:val="en-US" w:eastAsia="zh-CN"/>
        </w:rPr>
        <w:t>本公司（联合体）郑重声明，根据《政府采购促进中小企业发展管理办法》（财库﹝2020﹞46 号）的规定，本公司（联合体）参加</w:t>
      </w:r>
      <w:r>
        <w:rPr>
          <w:rFonts w:hint="eastAsia" w:ascii="仿宋" w:hAnsi="仿宋" w:eastAsia="仿宋"/>
          <w:sz w:val="28"/>
          <w:szCs w:val="28"/>
          <w:u w:val="single"/>
          <w:lang w:val="en-US" w:eastAsia="zh-CN"/>
        </w:rPr>
        <w:t>（单位名称</w:t>
      </w:r>
      <w:r>
        <w:rPr>
          <w:rFonts w:hint="eastAsia" w:ascii="仿宋" w:hAnsi="仿宋" w:eastAsia="仿宋"/>
          <w:sz w:val="28"/>
          <w:szCs w:val="28"/>
          <w:lang w:val="en-US" w:eastAsia="zh-CN"/>
        </w:rPr>
        <w:t>）的</w:t>
      </w:r>
      <w:r>
        <w:rPr>
          <w:rFonts w:hint="eastAsia" w:ascii="仿宋" w:hAnsi="仿宋" w:eastAsia="仿宋"/>
          <w:sz w:val="28"/>
          <w:szCs w:val="28"/>
          <w:u w:val="single"/>
          <w:lang w:val="en-US" w:eastAsia="zh-CN"/>
        </w:rPr>
        <w:t>（项目名称）</w:t>
      </w:r>
      <w:r>
        <w:rPr>
          <w:rFonts w:hint="eastAsia" w:ascii="仿宋" w:hAnsi="仿宋" w:eastAsia="仿宋"/>
          <w:sz w:val="28"/>
          <w:szCs w:val="28"/>
          <w:lang w:val="en-US" w:eastAsia="zh-CN"/>
        </w:rPr>
        <w:t>采购活动，项目的实施单位全部为符合政策要求的中小企业（或者：服务全部由符合政策要求的中小企业承接）。相关企业（含联合体中的中小企业、签订分包意向协议的中小企业）的具体情况如下：</w:t>
      </w:r>
    </w:p>
    <w:p w14:paraId="5F6135FD">
      <w:pPr>
        <w:numPr>
          <w:ilvl w:val="0"/>
          <w:numId w:val="8"/>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（其他未列明行业）</w:t>
      </w:r>
      <w:r>
        <w:rPr>
          <w:rFonts w:hint="eastAsia" w:ascii="仿宋" w:hAnsi="仿宋" w:eastAsia="仿宋"/>
          <w:sz w:val="28"/>
          <w:szCs w:val="28"/>
          <w:u w:val="none"/>
          <w:lang w:val="en-US" w:eastAsia="zh-CN"/>
        </w:rPr>
        <w:t>；承建（承接）企业为为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万元，属于（中型企业、小型企业、微型企业）；</w:t>
      </w:r>
    </w:p>
    <w:p w14:paraId="7566CFDC">
      <w:pPr>
        <w:numPr>
          <w:ilvl w:val="0"/>
          <w:numId w:val="8"/>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               ）行业</w:t>
      </w:r>
      <w:r>
        <w:rPr>
          <w:rFonts w:hint="eastAsia" w:ascii="仿宋" w:hAnsi="仿宋" w:eastAsia="仿宋"/>
          <w:sz w:val="28"/>
          <w:szCs w:val="28"/>
          <w:u w:val="none"/>
          <w:lang w:val="en-US" w:eastAsia="zh-CN"/>
        </w:rPr>
        <w:t>；承建（承接）企业为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万元，属于（中型企业、小型企业、微型企业）；</w:t>
      </w:r>
    </w:p>
    <w:p w14:paraId="00AAA429">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w:t>
      </w:r>
    </w:p>
    <w:p w14:paraId="18FB4650">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以上企业，不属于大型企业的分支机构，不存在控股股东为大企业的情形，也不存在与大企业的负责人为同一人的情形。</w:t>
      </w:r>
    </w:p>
    <w:p w14:paraId="629C8E92">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本企业对上述声明内容的真实性负责。如有虚假，将依法承担相应责任。</w:t>
      </w:r>
    </w:p>
    <w:p w14:paraId="6866292E">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声  明  人:                 (供应商名称、公章)</w:t>
      </w:r>
    </w:p>
    <w:p w14:paraId="57521538">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法定代表人（负责人）：      （签名或盖章）</w:t>
      </w:r>
    </w:p>
    <w:p w14:paraId="6D95D97F">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日      期：</w:t>
      </w:r>
    </w:p>
    <w:p w14:paraId="4786F1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0B7445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kern w:val="2"/>
          <w:sz w:val="28"/>
          <w:szCs w:val="28"/>
          <w:lang w:val="en-US" w:eastAsia="zh-CN" w:bidi="ar-SA"/>
        </w:rPr>
      </w:pPr>
    </w:p>
    <w:p w14:paraId="064FA64A">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B5C953F">
      <w:pPr>
        <w:pStyle w:val="2"/>
        <w:ind w:left="0" w:leftChars="0" w:firstLine="0" w:firstLineChars="0"/>
        <w:rPr>
          <w:rFonts w:hint="eastAsia" w:ascii="仿宋" w:hAnsi="仿宋" w:eastAsia="仿宋" w:cs="仿宋"/>
          <w:b/>
          <w:bCs/>
          <w:kern w:val="2"/>
          <w:sz w:val="28"/>
          <w:szCs w:val="28"/>
          <w:lang w:val="en-US" w:eastAsia="zh-CN" w:bidi="ar-SA"/>
        </w:rPr>
      </w:pPr>
    </w:p>
    <w:p w14:paraId="128E26D1">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残疾人福利性单位声明函（是/否）</w:t>
      </w:r>
      <w:bookmarkEnd w:id="211"/>
      <w:r>
        <w:rPr>
          <w:rFonts w:hint="eastAsia" w:ascii="仿宋" w:hAnsi="仿宋" w:eastAsia="仿宋" w:cs="仿宋"/>
          <w:b/>
          <w:bCs/>
          <w:kern w:val="2"/>
          <w:sz w:val="28"/>
          <w:szCs w:val="28"/>
          <w:lang w:val="en-US" w:eastAsia="zh-CN" w:bidi="ar-SA"/>
        </w:rPr>
        <w:t>（格式）</w:t>
      </w:r>
    </w:p>
    <w:p w14:paraId="545CB418">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吴起县畜牧兽医服务中心：</w:t>
      </w:r>
    </w:p>
    <w:p w14:paraId="2C44535B">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本公司郑重声明，根据《财政部 民政部 中国残疾人联合会关于促进残疾人就业政府采购政策的通知》（财库〔2017〕141号）的规定，本单位为符合条件的残疾人福利性单位，且本公司参加          （采购人）的         项目采购活动提供本公司制造的货物（由本单位承担工程/提供服务），或者提供其他残疾人福利性单位制造的货物（不包括使用非残疾人福利性单位注册商标的货物）。</w:t>
      </w:r>
    </w:p>
    <w:p w14:paraId="17EE92D6">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21339706">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36CCD7D2">
      <w:pPr>
        <w:pStyle w:val="10"/>
        <w:spacing w:line="360" w:lineRule="auto"/>
        <w:ind w:firstLine="570"/>
        <w:rPr>
          <w:rFonts w:hint="eastAsia" w:ascii="仿宋" w:hAnsi="仿宋" w:eastAsia="仿宋" w:cs="仿宋"/>
          <w:kern w:val="2"/>
          <w:sz w:val="28"/>
          <w:szCs w:val="28"/>
          <w:lang w:val="en-US" w:eastAsia="zh-CN" w:bidi="ar-SA"/>
        </w:rPr>
      </w:pPr>
    </w:p>
    <w:p w14:paraId="71CFE925">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7B17C4BF">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6E243BBB">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34E51C8A">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bookmarkStart w:id="212" w:name="_Toc27208_WPSOffice_Level1"/>
    </w:p>
    <w:p w14:paraId="241EEF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3D74A9BA">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E4B2CAB">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4A1473D">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4E3A6E85">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p>
    <w:p w14:paraId="489D8EA7">
      <w:pPr>
        <w:pStyle w:val="3"/>
        <w:rPr>
          <w:rFonts w:hint="eastAsia" w:ascii="仿宋" w:hAnsi="仿宋" w:eastAsia="仿宋" w:cs="仿宋"/>
          <w:b/>
          <w:bCs/>
          <w:kern w:val="2"/>
          <w:sz w:val="28"/>
          <w:szCs w:val="28"/>
          <w:lang w:val="en-US" w:eastAsia="zh-CN" w:bidi="ar-SA"/>
        </w:rPr>
      </w:pPr>
    </w:p>
    <w:p w14:paraId="57C205D7">
      <w:pPr>
        <w:rPr>
          <w:rFonts w:hint="eastAsia"/>
          <w:lang w:val="en-US" w:eastAsia="zh-CN"/>
        </w:rPr>
      </w:pPr>
    </w:p>
    <w:p w14:paraId="56479072">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监狱企业证明函（是/否）</w:t>
      </w:r>
      <w:bookmarkEnd w:id="212"/>
      <w:r>
        <w:rPr>
          <w:rFonts w:hint="eastAsia" w:ascii="仿宋" w:hAnsi="仿宋" w:eastAsia="仿宋" w:cs="仿宋"/>
          <w:b/>
          <w:bCs/>
          <w:kern w:val="2"/>
          <w:sz w:val="28"/>
          <w:szCs w:val="28"/>
          <w:lang w:val="en-US" w:eastAsia="zh-CN" w:bidi="ar-SA"/>
        </w:rPr>
        <w:t>（格式）</w:t>
      </w:r>
    </w:p>
    <w:p w14:paraId="034F7A44">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吴起县畜牧兽医服务中心：</w:t>
      </w:r>
    </w:p>
    <w:p w14:paraId="50ECCB66">
      <w:pPr>
        <w:widowControl/>
        <w:spacing w:before="120" w:beforeLines="50" w:after="240" w:line="360" w:lineRule="auto"/>
        <w:ind w:firstLine="560" w:firstLineChars="20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157AEB">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监狱企业参加政府采购活动时，应当提供由省级以上监狱管理局、戒毒管理局（含新疆生产建设兵团）出具的属于监狱企业的证明文件。</w:t>
      </w:r>
    </w:p>
    <w:p w14:paraId="3B1ECF67">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485AED44">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0D9FF904">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469980C1">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59C9F45E">
      <w:pPr>
        <w:pStyle w:val="10"/>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625F1CA6">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606D46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此声明函根据企业性质选择是或否，选择是需完善内容，选择否内容可不填写格式保留，未按上述要求提供、填写的，评审时不予政策考虑。</w:t>
      </w:r>
    </w:p>
    <w:p w14:paraId="02F721FA">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190B8493">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15EBAE08">
      <w:pPr>
        <w:pStyle w:val="3"/>
        <w:rPr>
          <w:rFonts w:hint="eastAsia" w:ascii="仿宋" w:hAnsi="仿宋" w:eastAsia="仿宋" w:cs="仿宋"/>
          <w:sz w:val="28"/>
          <w:szCs w:val="28"/>
          <w:lang w:val="en-US" w:eastAsia="zh-CN"/>
        </w:rPr>
      </w:pPr>
    </w:p>
    <w:p w14:paraId="50B3075A">
      <w:pPr>
        <w:rPr>
          <w:rFonts w:hint="eastAsia" w:ascii="仿宋" w:hAnsi="仿宋" w:eastAsia="仿宋" w:cs="仿宋"/>
          <w:sz w:val="28"/>
          <w:szCs w:val="28"/>
          <w:lang w:val="en-US" w:eastAsia="zh-CN"/>
        </w:rPr>
      </w:pPr>
    </w:p>
    <w:p w14:paraId="74EF867D">
      <w:pPr>
        <w:pStyle w:val="3"/>
        <w:rPr>
          <w:rFonts w:hint="eastAsia"/>
          <w:lang w:val="en-US" w:eastAsia="zh-CN"/>
        </w:rPr>
      </w:pPr>
    </w:p>
    <w:p w14:paraId="32B2C9D6">
      <w:pPr>
        <w:pStyle w:val="2"/>
        <w:rPr>
          <w:rFonts w:hint="eastAsia"/>
          <w:lang w:val="en-US" w:eastAsia="zh-CN"/>
        </w:rPr>
      </w:pPr>
    </w:p>
    <w:p w14:paraId="60047610">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纸质版的文件封袋标识：</w:t>
      </w:r>
    </w:p>
    <w:p w14:paraId="5197F06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格式A</w: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368300</wp:posOffset>
                </wp:positionV>
                <wp:extent cx="5383530" cy="3070860"/>
                <wp:effectExtent l="5080" t="4445" r="21590" b="10795"/>
                <wp:wrapNone/>
                <wp:docPr id="9" name="文本框 9"/>
                <wp:cNvGraphicFramePr/>
                <a:graphic xmlns:a="http://schemas.openxmlformats.org/drawingml/2006/main">
                  <a:graphicData uri="http://schemas.microsoft.com/office/word/2010/wordprocessingShape">
                    <wps:wsp>
                      <wps:cNvSpPr txBox="1"/>
                      <wps:spPr>
                        <a:xfrm>
                          <a:off x="0" y="0"/>
                          <a:ext cx="5383530" cy="307086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4220FD1C">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1D0715CD">
                            <w:pPr>
                              <w:spacing w:line="440" w:lineRule="exact"/>
                              <w:rPr>
                                <w:rFonts w:ascii="仿宋_GB2312" w:eastAsia="仿宋_GB2312"/>
                              </w:rPr>
                            </w:pPr>
                            <w:r>
                              <w:rPr>
                                <w:rFonts w:hint="eastAsia" w:ascii="仿宋_GB2312" w:eastAsia="仿宋_GB2312"/>
                              </w:rPr>
                              <w:t>项目编号：</w:t>
                            </w:r>
                          </w:p>
                          <w:p w14:paraId="1C7EF1D2">
                            <w:pPr>
                              <w:spacing w:line="440" w:lineRule="exact"/>
                              <w:rPr>
                                <w:rFonts w:ascii="仿宋_GB2312" w:eastAsia="仿宋_GB2312"/>
                              </w:rPr>
                            </w:pPr>
                            <w:r>
                              <w:rPr>
                                <w:rFonts w:hint="eastAsia" w:ascii="仿宋_GB2312" w:eastAsia="仿宋_GB2312"/>
                              </w:rPr>
                              <w:t>项目名称：</w:t>
                            </w:r>
                          </w:p>
                          <w:p w14:paraId="20E064FE">
                            <w:pPr>
                              <w:spacing w:line="440" w:lineRule="exact"/>
                              <w:jc w:val="center"/>
                              <w:rPr>
                                <w:rFonts w:ascii="仿宋_GB2312" w:eastAsia="仿宋_GB2312"/>
                                <w:sz w:val="36"/>
                                <w:szCs w:val="36"/>
                              </w:rPr>
                            </w:pPr>
                          </w:p>
                          <w:p w14:paraId="0824ED8C">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5A70914B">
                            <w:pPr>
                              <w:spacing w:line="440" w:lineRule="exact"/>
                              <w:jc w:val="center"/>
                              <w:rPr>
                                <w:rFonts w:ascii="仿宋_GB2312" w:eastAsia="仿宋_GB2312"/>
                                <w:szCs w:val="21"/>
                              </w:rPr>
                            </w:pPr>
                            <w:r>
                              <w:rPr>
                                <w:rFonts w:hint="eastAsia" w:ascii="仿宋_GB2312" w:eastAsia="仿宋_GB2312"/>
                                <w:szCs w:val="21"/>
                              </w:rPr>
                              <w:t>（非开标大会不得启封）</w:t>
                            </w:r>
                          </w:p>
                          <w:p w14:paraId="3B7694B2">
                            <w:pPr>
                              <w:spacing w:line="440" w:lineRule="exact"/>
                              <w:rPr>
                                <w:rFonts w:ascii="仿宋_GB2312" w:eastAsia="仿宋_GB2312"/>
                                <w:szCs w:val="21"/>
                              </w:rPr>
                            </w:pPr>
                          </w:p>
                          <w:p w14:paraId="23D2DC1C">
                            <w:pPr>
                              <w:spacing w:line="440" w:lineRule="exact"/>
                              <w:rPr>
                                <w:rFonts w:ascii="仿宋_GB2312" w:eastAsia="仿宋_GB2312"/>
                                <w:szCs w:val="21"/>
                              </w:rPr>
                            </w:pPr>
                            <w:r>
                              <w:rPr>
                                <w:rFonts w:hint="eastAsia" w:ascii="仿宋_GB2312" w:eastAsia="仿宋_GB2312"/>
                                <w:szCs w:val="21"/>
                              </w:rPr>
                              <w:t>投标人名称：（公章）</w:t>
                            </w:r>
                          </w:p>
                          <w:p w14:paraId="6C54E9A5">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wps:txbx>
                      <wps:bodyPr upright="1"/>
                    </wps:wsp>
                  </a:graphicData>
                </a:graphic>
              </wp:anchor>
            </w:drawing>
          </mc:Choice>
          <mc:Fallback>
            <w:pict>
              <v:shape id="_x0000_s1026" o:spid="_x0000_s1026" o:spt="202" type="#_x0000_t202" style="position:absolute;left:0pt;margin-left:18pt;margin-top:29pt;height:241.8pt;width:423.9pt;z-index:251662336;mso-width-relative:page;mso-height-relative:page;" fillcolor="#FFFFFF" filled="t" stroked="t" coordsize="21600,21600" o:gfxdata="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CjLKNcAAAAJAQAADwAAAAAAAAABACAA&#10;AAAiAAAAZHJzL2Rvd25yZXYueG1sUEsBAhQAFAAAAAgAh07iQCT3gZ8OAgAANwQAAA4AAAAAAAAA&#10;AQAgAAAAJgEAAGRycy9lMm9Eb2MueG1sUEsFBgAAAAAGAAYAWQEAAKYFAAAAAA==&#10;">
                <v:fill on="t" focussize="0,0"/>
                <v:stroke color="#000000" linestyle="thinThin" joinstyle="miter"/>
                <v:imagedata o:title=""/>
                <o:lock v:ext="edit" aspectratio="f"/>
                <v:textbox>
                  <w:txbxContent>
                    <w:p w14:paraId="4220FD1C">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1D0715CD">
                      <w:pPr>
                        <w:spacing w:line="440" w:lineRule="exact"/>
                        <w:rPr>
                          <w:rFonts w:ascii="仿宋_GB2312" w:eastAsia="仿宋_GB2312"/>
                        </w:rPr>
                      </w:pPr>
                      <w:r>
                        <w:rPr>
                          <w:rFonts w:hint="eastAsia" w:ascii="仿宋_GB2312" w:eastAsia="仿宋_GB2312"/>
                        </w:rPr>
                        <w:t>项目编号：</w:t>
                      </w:r>
                    </w:p>
                    <w:p w14:paraId="1C7EF1D2">
                      <w:pPr>
                        <w:spacing w:line="440" w:lineRule="exact"/>
                        <w:rPr>
                          <w:rFonts w:ascii="仿宋_GB2312" w:eastAsia="仿宋_GB2312"/>
                        </w:rPr>
                      </w:pPr>
                      <w:r>
                        <w:rPr>
                          <w:rFonts w:hint="eastAsia" w:ascii="仿宋_GB2312" w:eastAsia="仿宋_GB2312"/>
                        </w:rPr>
                        <w:t>项目名称：</w:t>
                      </w:r>
                    </w:p>
                    <w:p w14:paraId="20E064FE">
                      <w:pPr>
                        <w:spacing w:line="440" w:lineRule="exact"/>
                        <w:jc w:val="center"/>
                        <w:rPr>
                          <w:rFonts w:ascii="仿宋_GB2312" w:eastAsia="仿宋_GB2312"/>
                          <w:sz w:val="36"/>
                          <w:szCs w:val="36"/>
                        </w:rPr>
                      </w:pPr>
                    </w:p>
                    <w:p w14:paraId="0824ED8C">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5A70914B">
                      <w:pPr>
                        <w:spacing w:line="440" w:lineRule="exact"/>
                        <w:jc w:val="center"/>
                        <w:rPr>
                          <w:rFonts w:ascii="仿宋_GB2312" w:eastAsia="仿宋_GB2312"/>
                          <w:szCs w:val="21"/>
                        </w:rPr>
                      </w:pPr>
                      <w:r>
                        <w:rPr>
                          <w:rFonts w:hint="eastAsia" w:ascii="仿宋_GB2312" w:eastAsia="仿宋_GB2312"/>
                          <w:szCs w:val="21"/>
                        </w:rPr>
                        <w:t>（非开标大会不得启封）</w:t>
                      </w:r>
                    </w:p>
                    <w:p w14:paraId="3B7694B2">
                      <w:pPr>
                        <w:spacing w:line="440" w:lineRule="exact"/>
                        <w:rPr>
                          <w:rFonts w:ascii="仿宋_GB2312" w:eastAsia="仿宋_GB2312"/>
                          <w:szCs w:val="21"/>
                        </w:rPr>
                      </w:pPr>
                    </w:p>
                    <w:p w14:paraId="23D2DC1C">
                      <w:pPr>
                        <w:spacing w:line="440" w:lineRule="exact"/>
                        <w:rPr>
                          <w:rFonts w:ascii="仿宋_GB2312" w:eastAsia="仿宋_GB2312"/>
                          <w:szCs w:val="21"/>
                        </w:rPr>
                      </w:pPr>
                      <w:r>
                        <w:rPr>
                          <w:rFonts w:hint="eastAsia" w:ascii="仿宋_GB2312" w:eastAsia="仿宋_GB2312"/>
                          <w:szCs w:val="21"/>
                        </w:rPr>
                        <w:t>投标人名称：（公章）</w:t>
                      </w:r>
                    </w:p>
                    <w:p w14:paraId="6C54E9A5">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v:textbox>
              </v:shape>
            </w:pict>
          </mc:Fallback>
        </mc:AlternateContent>
      </w:r>
      <w:r>
        <w:rPr>
          <w:rFonts w:hint="eastAsia" w:ascii="仿宋" w:hAnsi="仿宋" w:eastAsia="仿宋" w:cs="仿宋"/>
          <w:sz w:val="28"/>
          <w:szCs w:val="28"/>
        </w:rPr>
        <w:t>：</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投标文件封袋正面标识式样</w:t>
      </w:r>
    </w:p>
    <w:p w14:paraId="255CAAB6">
      <w:pPr>
        <w:adjustRightInd w:val="0"/>
        <w:snapToGrid w:val="0"/>
        <w:spacing w:line="360" w:lineRule="auto"/>
        <w:ind w:firstLine="640" w:firstLineChars="200"/>
        <w:jc w:val="left"/>
        <w:rPr>
          <w:rFonts w:hint="eastAsia" w:ascii="仿宋" w:hAnsi="仿宋" w:eastAsia="仿宋" w:cs="仿宋"/>
          <w:sz w:val="32"/>
          <w:szCs w:val="32"/>
        </w:rPr>
      </w:pPr>
    </w:p>
    <w:p w14:paraId="6D76CA97">
      <w:pPr>
        <w:adjustRightInd w:val="0"/>
        <w:snapToGrid w:val="0"/>
        <w:spacing w:line="360" w:lineRule="auto"/>
        <w:ind w:firstLine="640" w:firstLineChars="200"/>
        <w:jc w:val="left"/>
        <w:rPr>
          <w:rFonts w:hint="eastAsia" w:ascii="仿宋" w:hAnsi="仿宋" w:eastAsia="仿宋" w:cs="仿宋"/>
          <w:sz w:val="32"/>
          <w:szCs w:val="32"/>
        </w:rPr>
      </w:pPr>
    </w:p>
    <w:p w14:paraId="1063A851">
      <w:pPr>
        <w:kinsoku w:val="0"/>
        <w:adjustRightInd w:val="0"/>
        <w:snapToGrid w:val="0"/>
        <w:spacing w:line="360" w:lineRule="auto"/>
        <w:ind w:firstLine="560" w:firstLineChars="200"/>
        <w:jc w:val="left"/>
        <w:rPr>
          <w:rFonts w:hint="eastAsia" w:ascii="仿宋" w:hAnsi="仿宋" w:eastAsia="仿宋" w:cs="仿宋"/>
          <w:sz w:val="28"/>
          <w:szCs w:val="28"/>
        </w:rPr>
      </w:pPr>
    </w:p>
    <w:p w14:paraId="50D03282">
      <w:pPr>
        <w:kinsoku w:val="0"/>
        <w:adjustRightInd w:val="0"/>
        <w:snapToGrid w:val="0"/>
        <w:spacing w:line="360" w:lineRule="auto"/>
        <w:ind w:firstLine="560" w:firstLineChars="200"/>
        <w:jc w:val="left"/>
        <w:rPr>
          <w:rFonts w:hint="eastAsia" w:ascii="仿宋" w:hAnsi="仿宋" w:eastAsia="仿宋" w:cs="仿宋"/>
          <w:sz w:val="28"/>
          <w:szCs w:val="28"/>
        </w:rPr>
      </w:pPr>
    </w:p>
    <w:p w14:paraId="7F9F230B">
      <w:pPr>
        <w:kinsoku w:val="0"/>
        <w:adjustRightInd w:val="0"/>
        <w:snapToGrid w:val="0"/>
        <w:spacing w:line="360" w:lineRule="auto"/>
        <w:ind w:firstLine="560" w:firstLineChars="200"/>
        <w:jc w:val="left"/>
        <w:rPr>
          <w:rFonts w:hint="eastAsia" w:ascii="仿宋" w:hAnsi="仿宋" w:eastAsia="仿宋" w:cs="仿宋"/>
          <w:sz w:val="28"/>
          <w:szCs w:val="28"/>
        </w:rPr>
      </w:pPr>
    </w:p>
    <w:p w14:paraId="57E4E517">
      <w:pPr>
        <w:kinsoku w:val="0"/>
        <w:adjustRightInd w:val="0"/>
        <w:snapToGrid w:val="0"/>
        <w:spacing w:line="360" w:lineRule="auto"/>
        <w:ind w:firstLine="560" w:firstLineChars="200"/>
        <w:jc w:val="left"/>
        <w:rPr>
          <w:rFonts w:hint="eastAsia" w:ascii="仿宋" w:hAnsi="仿宋" w:eastAsia="仿宋" w:cs="仿宋"/>
          <w:sz w:val="28"/>
          <w:szCs w:val="28"/>
        </w:rPr>
      </w:pPr>
    </w:p>
    <w:p w14:paraId="697AB11B">
      <w:pPr>
        <w:kinsoku w:val="0"/>
        <w:adjustRightInd w:val="0"/>
        <w:snapToGrid w:val="0"/>
        <w:spacing w:line="360" w:lineRule="auto"/>
        <w:ind w:firstLine="560" w:firstLineChars="200"/>
        <w:jc w:val="left"/>
        <w:rPr>
          <w:rFonts w:hint="eastAsia" w:ascii="仿宋" w:hAnsi="仿宋" w:eastAsia="仿宋" w:cs="仿宋"/>
          <w:sz w:val="28"/>
          <w:szCs w:val="28"/>
        </w:rPr>
      </w:pPr>
    </w:p>
    <w:p w14:paraId="029E3677">
      <w:pPr>
        <w:kinsoku w:val="0"/>
        <w:adjustRightInd w:val="0"/>
        <w:snapToGrid w:val="0"/>
        <w:spacing w:line="360" w:lineRule="auto"/>
        <w:ind w:firstLine="560" w:firstLineChars="200"/>
        <w:jc w:val="left"/>
        <w:rPr>
          <w:rFonts w:hint="eastAsia" w:ascii="仿宋" w:hAnsi="仿宋" w:eastAsia="仿宋" w:cs="仿宋"/>
          <w:sz w:val="28"/>
          <w:szCs w:val="28"/>
        </w:rPr>
      </w:pPr>
    </w:p>
    <w:p w14:paraId="46D61C0A">
      <w:pPr>
        <w:kinsoku w:val="0"/>
        <w:adjustRightInd w:val="0"/>
        <w:snapToGrid w:val="0"/>
        <w:spacing w:line="360" w:lineRule="auto"/>
        <w:ind w:firstLine="560" w:firstLineChars="200"/>
        <w:jc w:val="left"/>
        <w:rPr>
          <w:rFonts w:hint="eastAsia" w:ascii="仿宋" w:hAnsi="仿宋" w:eastAsia="仿宋" w:cs="仿宋"/>
          <w:sz w:val="28"/>
          <w:szCs w:val="28"/>
        </w:rPr>
      </w:pPr>
    </w:p>
    <w:p w14:paraId="5721A031">
      <w:pPr>
        <w:kinsoku w:val="0"/>
        <w:adjustRightInd w:val="0"/>
        <w:snapToGrid w:val="0"/>
        <w:spacing w:line="360" w:lineRule="auto"/>
        <w:ind w:firstLine="560" w:firstLineChars="200"/>
        <w:jc w:val="left"/>
        <w:rPr>
          <w:rFonts w:hint="eastAsia" w:ascii="仿宋" w:hAnsi="仿宋" w:eastAsia="仿宋" w:cs="仿宋"/>
          <w:sz w:val="28"/>
          <w:szCs w:val="28"/>
        </w:rPr>
      </w:pPr>
    </w:p>
    <w:p w14:paraId="2CFD5988">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格式B：</w:t>
      </w:r>
      <w:r>
        <w:rPr>
          <w:rFonts w:hint="eastAsia" w:ascii="仿宋" w:hAnsi="仿宋" w:eastAsia="仿宋" w:cs="仿宋"/>
          <w:sz w:val="28"/>
          <w:szCs w:val="28"/>
          <w:lang w:val="en-US" w:eastAsia="zh-CN"/>
        </w:rPr>
        <w:t>纸质版的</w:t>
      </w:r>
      <w:r>
        <w:rPr>
          <w:rFonts w:hint="eastAsia" w:ascii="仿宋" w:hAnsi="仿宋" w:eastAsia="仿宋" w:cs="仿宋"/>
          <w:sz w:val="28"/>
          <w:szCs w:val="28"/>
        </w:rPr>
        <w:t>开标一览表封袋正面标识式</w:t>
      </w:r>
      <w:r>
        <w:rPr>
          <w:rFonts w:hint="eastAsia" w:ascii="仿宋" w:hAnsi="仿宋" w:eastAsia="仿宋" w:cs="仿宋"/>
          <w:sz w:val="28"/>
          <w:szCs w:val="28"/>
          <w:lang w:eastAsia="zh-CN"/>
        </w:rPr>
        <w:t>样</w:t>
      </w:r>
    </w:p>
    <w:p w14:paraId="329D0F52">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3360"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0" name="文本框 10"/>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0A25BF21">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41608C0F">
                            <w:pPr>
                              <w:spacing w:line="440" w:lineRule="exact"/>
                              <w:rPr>
                                <w:rFonts w:ascii="仿宋_GB2312" w:eastAsia="仿宋_GB2312"/>
                              </w:rPr>
                            </w:pPr>
                            <w:r>
                              <w:rPr>
                                <w:rFonts w:hint="eastAsia" w:ascii="仿宋_GB2312" w:eastAsia="仿宋_GB2312"/>
                              </w:rPr>
                              <w:t>项目编号：</w:t>
                            </w:r>
                          </w:p>
                          <w:p w14:paraId="68D00A0E">
                            <w:pPr>
                              <w:spacing w:line="440" w:lineRule="exact"/>
                              <w:rPr>
                                <w:rFonts w:ascii="仿宋_GB2312" w:eastAsia="仿宋_GB2312"/>
                              </w:rPr>
                            </w:pPr>
                            <w:r>
                              <w:rPr>
                                <w:rFonts w:hint="eastAsia" w:ascii="仿宋_GB2312" w:eastAsia="仿宋_GB2312"/>
                              </w:rPr>
                              <w:t>项目名称：</w:t>
                            </w:r>
                          </w:p>
                          <w:p w14:paraId="2F14DFFC">
                            <w:pPr>
                              <w:spacing w:line="440" w:lineRule="exact"/>
                              <w:jc w:val="center"/>
                              <w:rPr>
                                <w:rFonts w:ascii="仿宋_GB2312" w:eastAsia="仿宋_GB2312"/>
                                <w:sz w:val="36"/>
                                <w:szCs w:val="36"/>
                              </w:rPr>
                            </w:pPr>
                          </w:p>
                          <w:p w14:paraId="6DBBA971">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20573F6F">
                            <w:pPr>
                              <w:spacing w:line="440" w:lineRule="exact"/>
                              <w:jc w:val="center"/>
                              <w:rPr>
                                <w:rFonts w:ascii="仿宋_GB2312" w:eastAsia="仿宋_GB2312"/>
                                <w:szCs w:val="21"/>
                              </w:rPr>
                            </w:pPr>
                            <w:r>
                              <w:rPr>
                                <w:rFonts w:hint="eastAsia" w:ascii="仿宋_GB2312" w:eastAsia="仿宋_GB2312"/>
                                <w:szCs w:val="21"/>
                              </w:rPr>
                              <w:t>（非公开唱标不得启封）</w:t>
                            </w:r>
                          </w:p>
                          <w:p w14:paraId="6A2F3172">
                            <w:pPr>
                              <w:jc w:val="center"/>
                              <w:rPr>
                                <w:rFonts w:ascii="仿宋_GB2312" w:eastAsia="仿宋_GB2312"/>
                                <w:szCs w:val="21"/>
                              </w:rPr>
                            </w:pPr>
                          </w:p>
                          <w:p w14:paraId="2F11728C">
                            <w:pPr>
                              <w:spacing w:line="440" w:lineRule="exact"/>
                              <w:rPr>
                                <w:rFonts w:ascii="仿宋_GB2312" w:eastAsia="仿宋_GB2312"/>
                                <w:szCs w:val="21"/>
                              </w:rPr>
                            </w:pPr>
                            <w:r>
                              <w:rPr>
                                <w:rFonts w:hint="eastAsia" w:ascii="仿宋_GB2312" w:eastAsia="仿宋_GB2312"/>
                                <w:szCs w:val="21"/>
                              </w:rPr>
                              <w:t>投标人名称：（公章）</w:t>
                            </w:r>
                          </w:p>
                          <w:p w14:paraId="5F2FCAA1">
                            <w:pPr>
                              <w:rPr>
                                <w:rFonts w:ascii="仿宋_GB2312" w:eastAsia="仿宋_GB2312"/>
                                <w:szCs w:val="21"/>
                              </w:rPr>
                            </w:pPr>
                            <w:r>
                              <w:rPr>
                                <w:rFonts w:hint="eastAsia" w:ascii="仿宋_GB2312" w:eastAsia="仿宋_GB2312"/>
                                <w:szCs w:val="21"/>
                              </w:rPr>
                              <w:t>封装内容：投标报价总表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3360;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MuQvfYAAAACQEAAA8AAAAAAAAAAQAg&#10;AAAAIgAAAGRycy9kb3ducmV2LnhtbFBLAQIUABQAAAAIAIdO4kBDlNeEDgIAADkEAAAOAAAAAAAA&#10;AAEAIAAAACcBAABkcnMvZTJvRG9jLnhtbFBLBQYAAAAABgAGAFkBAACnBQAAAAA=&#10;">
                <v:fill on="t" focussize="0,0"/>
                <v:stroke color="#000000" linestyle="thinThin" joinstyle="miter"/>
                <v:imagedata o:title=""/>
                <o:lock v:ext="edit" aspectratio="f"/>
                <v:textbox>
                  <w:txbxContent>
                    <w:p w14:paraId="0A25BF21">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41608C0F">
                      <w:pPr>
                        <w:spacing w:line="440" w:lineRule="exact"/>
                        <w:rPr>
                          <w:rFonts w:ascii="仿宋_GB2312" w:eastAsia="仿宋_GB2312"/>
                        </w:rPr>
                      </w:pPr>
                      <w:r>
                        <w:rPr>
                          <w:rFonts w:hint="eastAsia" w:ascii="仿宋_GB2312" w:eastAsia="仿宋_GB2312"/>
                        </w:rPr>
                        <w:t>项目编号：</w:t>
                      </w:r>
                    </w:p>
                    <w:p w14:paraId="68D00A0E">
                      <w:pPr>
                        <w:spacing w:line="440" w:lineRule="exact"/>
                        <w:rPr>
                          <w:rFonts w:ascii="仿宋_GB2312" w:eastAsia="仿宋_GB2312"/>
                        </w:rPr>
                      </w:pPr>
                      <w:r>
                        <w:rPr>
                          <w:rFonts w:hint="eastAsia" w:ascii="仿宋_GB2312" w:eastAsia="仿宋_GB2312"/>
                        </w:rPr>
                        <w:t>项目名称：</w:t>
                      </w:r>
                    </w:p>
                    <w:p w14:paraId="2F14DFFC">
                      <w:pPr>
                        <w:spacing w:line="440" w:lineRule="exact"/>
                        <w:jc w:val="center"/>
                        <w:rPr>
                          <w:rFonts w:ascii="仿宋_GB2312" w:eastAsia="仿宋_GB2312"/>
                          <w:sz w:val="36"/>
                          <w:szCs w:val="36"/>
                        </w:rPr>
                      </w:pPr>
                    </w:p>
                    <w:p w14:paraId="6DBBA971">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20573F6F">
                      <w:pPr>
                        <w:spacing w:line="440" w:lineRule="exact"/>
                        <w:jc w:val="center"/>
                        <w:rPr>
                          <w:rFonts w:ascii="仿宋_GB2312" w:eastAsia="仿宋_GB2312"/>
                          <w:szCs w:val="21"/>
                        </w:rPr>
                      </w:pPr>
                      <w:r>
                        <w:rPr>
                          <w:rFonts w:hint="eastAsia" w:ascii="仿宋_GB2312" w:eastAsia="仿宋_GB2312"/>
                          <w:szCs w:val="21"/>
                        </w:rPr>
                        <w:t>（非公开唱标不得启封）</w:t>
                      </w:r>
                    </w:p>
                    <w:p w14:paraId="6A2F3172">
                      <w:pPr>
                        <w:jc w:val="center"/>
                        <w:rPr>
                          <w:rFonts w:ascii="仿宋_GB2312" w:eastAsia="仿宋_GB2312"/>
                          <w:szCs w:val="21"/>
                        </w:rPr>
                      </w:pPr>
                    </w:p>
                    <w:p w14:paraId="2F11728C">
                      <w:pPr>
                        <w:spacing w:line="440" w:lineRule="exact"/>
                        <w:rPr>
                          <w:rFonts w:ascii="仿宋_GB2312" w:eastAsia="仿宋_GB2312"/>
                          <w:szCs w:val="21"/>
                        </w:rPr>
                      </w:pPr>
                      <w:r>
                        <w:rPr>
                          <w:rFonts w:hint="eastAsia" w:ascii="仿宋_GB2312" w:eastAsia="仿宋_GB2312"/>
                          <w:szCs w:val="21"/>
                        </w:rPr>
                        <w:t>投标人名称：（公章）</w:t>
                      </w:r>
                    </w:p>
                    <w:p w14:paraId="5F2FCAA1">
                      <w:pPr>
                        <w:rPr>
                          <w:rFonts w:ascii="仿宋_GB2312" w:eastAsia="仿宋_GB2312"/>
                          <w:szCs w:val="21"/>
                        </w:rPr>
                      </w:pPr>
                      <w:r>
                        <w:rPr>
                          <w:rFonts w:hint="eastAsia" w:ascii="仿宋_GB2312" w:eastAsia="仿宋_GB2312"/>
                          <w:szCs w:val="21"/>
                        </w:rPr>
                        <w:t>封装内容：投标报价总表          联系人电话：</w:t>
                      </w:r>
                    </w:p>
                  </w:txbxContent>
                </v:textbox>
              </v:shape>
            </w:pict>
          </mc:Fallback>
        </mc:AlternateContent>
      </w:r>
    </w:p>
    <w:p w14:paraId="7515FB6F">
      <w:pPr>
        <w:rPr>
          <w:rFonts w:hint="eastAsia" w:ascii="仿宋" w:hAnsi="仿宋" w:eastAsia="仿宋" w:cs="仿宋"/>
        </w:rPr>
      </w:pPr>
    </w:p>
    <w:p w14:paraId="06FC66E0">
      <w:pPr>
        <w:pStyle w:val="14"/>
        <w:rPr>
          <w:rFonts w:hint="eastAsia" w:ascii="仿宋" w:hAnsi="仿宋" w:eastAsia="仿宋" w:cs="仿宋"/>
        </w:rPr>
      </w:pPr>
    </w:p>
    <w:p w14:paraId="29D99067">
      <w:pPr>
        <w:pStyle w:val="14"/>
        <w:rPr>
          <w:rFonts w:hint="eastAsia" w:ascii="仿宋" w:hAnsi="仿宋" w:eastAsia="仿宋" w:cs="仿宋"/>
        </w:rPr>
      </w:pPr>
    </w:p>
    <w:p w14:paraId="4060FFF1">
      <w:pPr>
        <w:pStyle w:val="14"/>
        <w:rPr>
          <w:rFonts w:hint="eastAsia" w:ascii="仿宋" w:hAnsi="仿宋" w:eastAsia="仿宋" w:cs="仿宋"/>
        </w:rPr>
      </w:pPr>
    </w:p>
    <w:p w14:paraId="3C22091A">
      <w:pPr>
        <w:rPr>
          <w:rFonts w:hint="eastAsia" w:ascii="仿宋" w:hAnsi="仿宋" w:eastAsia="仿宋" w:cs="仿宋"/>
        </w:rPr>
      </w:pPr>
    </w:p>
    <w:p w14:paraId="4DC67E98">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5052258B">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41295CF5">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4D60B74A">
      <w:pPr>
        <w:rPr>
          <w:rFonts w:hint="eastAsia" w:ascii="仿宋" w:hAnsi="仿宋" w:eastAsia="仿宋" w:cs="仿宋"/>
        </w:rPr>
      </w:pPr>
    </w:p>
    <w:p w14:paraId="1CA0259D">
      <w:pPr>
        <w:pStyle w:val="3"/>
        <w:rPr>
          <w:rFonts w:hint="eastAsia" w:ascii="仿宋" w:hAnsi="仿宋" w:eastAsia="仿宋" w:cs="仿宋"/>
        </w:rPr>
      </w:pPr>
    </w:p>
    <w:p w14:paraId="7521ED8D">
      <w:pPr>
        <w:rPr>
          <w:rFonts w:hint="eastAsia" w:ascii="仿宋" w:hAnsi="仿宋" w:eastAsia="仿宋" w:cs="仿宋"/>
        </w:rPr>
      </w:pPr>
    </w:p>
    <w:p w14:paraId="0193459C">
      <w:pPr>
        <w:pStyle w:val="3"/>
        <w:rPr>
          <w:rFonts w:hint="eastAsia" w:ascii="仿宋" w:hAnsi="仿宋" w:eastAsia="仿宋" w:cs="仿宋"/>
        </w:rPr>
      </w:pPr>
    </w:p>
    <w:p w14:paraId="7D940B3B">
      <w:pPr>
        <w:rPr>
          <w:rFonts w:hint="eastAsia"/>
        </w:rPr>
      </w:pPr>
    </w:p>
    <w:p w14:paraId="45647CD0">
      <w:pPr>
        <w:rPr>
          <w:rFonts w:hint="eastAsia" w:ascii="仿宋" w:hAnsi="仿宋" w:eastAsia="仿宋" w:cs="仿宋"/>
        </w:rPr>
      </w:pPr>
    </w:p>
    <w:p w14:paraId="0BE54712">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w:t>
      </w:r>
      <w:r>
        <w:rPr>
          <w:rFonts w:hint="eastAsia" w:ascii="仿宋" w:hAnsi="仿宋" w:eastAsia="仿宋" w:cs="仿宋"/>
          <w:sz w:val="28"/>
          <w:szCs w:val="28"/>
          <w:lang w:val="en-US" w:eastAsia="zh-CN"/>
        </w:rPr>
        <w:t>C</w:t>
      </w:r>
      <w:r>
        <w:rPr>
          <w:rFonts w:hint="eastAsia" w:ascii="仿宋" w:hAnsi="仿宋" w:eastAsia="仿宋" w:cs="仿宋"/>
          <w:sz w:val="28"/>
          <w:szCs w:val="28"/>
        </w:rPr>
        <w:t>：</w:t>
      </w:r>
      <w:r>
        <w:rPr>
          <w:rFonts w:hint="eastAsia" w:ascii="仿宋" w:hAnsi="仿宋" w:eastAsia="仿宋" w:cs="仿宋"/>
          <w:sz w:val="28"/>
          <w:szCs w:val="28"/>
          <w:lang w:val="en-US" w:eastAsia="zh-CN"/>
        </w:rPr>
        <w:t>纸质版的其他证明文件</w:t>
      </w:r>
      <w:r>
        <w:rPr>
          <w:rFonts w:hint="eastAsia" w:ascii="仿宋" w:hAnsi="仿宋" w:eastAsia="仿宋" w:cs="仿宋"/>
          <w:sz w:val="28"/>
          <w:szCs w:val="28"/>
        </w:rPr>
        <w:t>封袋正面标识式</w:t>
      </w:r>
      <w:r>
        <w:rPr>
          <w:rFonts w:hint="eastAsia" w:ascii="仿宋" w:hAnsi="仿宋" w:eastAsia="仿宋" w:cs="仿宋"/>
          <w:sz w:val="28"/>
          <w:szCs w:val="28"/>
          <w:lang w:eastAsia="zh-CN"/>
        </w:rPr>
        <w:t>样</w:t>
      </w:r>
    </w:p>
    <w:p w14:paraId="5A4083F8">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6432"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1" name="文本框 11"/>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0604A10B">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32567BBF">
                            <w:pPr>
                              <w:spacing w:line="440" w:lineRule="exact"/>
                              <w:rPr>
                                <w:rFonts w:ascii="仿宋_GB2312" w:eastAsia="仿宋_GB2312"/>
                              </w:rPr>
                            </w:pPr>
                            <w:r>
                              <w:rPr>
                                <w:rFonts w:hint="eastAsia" w:ascii="仿宋_GB2312" w:eastAsia="仿宋_GB2312"/>
                              </w:rPr>
                              <w:t>项目编号：</w:t>
                            </w:r>
                          </w:p>
                          <w:p w14:paraId="621B4A17">
                            <w:pPr>
                              <w:spacing w:line="440" w:lineRule="exact"/>
                              <w:rPr>
                                <w:rFonts w:ascii="仿宋_GB2312" w:eastAsia="仿宋_GB2312"/>
                              </w:rPr>
                            </w:pPr>
                            <w:r>
                              <w:rPr>
                                <w:rFonts w:hint="eastAsia" w:ascii="仿宋_GB2312" w:eastAsia="仿宋_GB2312"/>
                              </w:rPr>
                              <w:t>项目名称：</w:t>
                            </w:r>
                          </w:p>
                          <w:p w14:paraId="093A8204">
                            <w:pPr>
                              <w:spacing w:line="440" w:lineRule="exact"/>
                              <w:jc w:val="center"/>
                              <w:rPr>
                                <w:rFonts w:ascii="仿宋_GB2312" w:eastAsia="仿宋_GB2312"/>
                                <w:sz w:val="36"/>
                                <w:szCs w:val="36"/>
                              </w:rPr>
                            </w:pPr>
                          </w:p>
                          <w:p w14:paraId="37992E2A">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135E37A7">
                            <w:pPr>
                              <w:spacing w:line="440" w:lineRule="exact"/>
                              <w:jc w:val="center"/>
                              <w:rPr>
                                <w:rFonts w:ascii="仿宋_GB2312" w:eastAsia="仿宋_GB2312"/>
                                <w:szCs w:val="21"/>
                              </w:rPr>
                            </w:pPr>
                            <w:r>
                              <w:rPr>
                                <w:rFonts w:hint="eastAsia" w:ascii="仿宋_GB2312" w:eastAsia="仿宋_GB2312"/>
                                <w:szCs w:val="21"/>
                              </w:rPr>
                              <w:t>（非公开唱标不得启封）</w:t>
                            </w:r>
                          </w:p>
                          <w:p w14:paraId="59DA5290">
                            <w:pPr>
                              <w:jc w:val="center"/>
                              <w:rPr>
                                <w:rFonts w:ascii="仿宋_GB2312" w:eastAsia="仿宋_GB2312"/>
                                <w:szCs w:val="21"/>
                              </w:rPr>
                            </w:pPr>
                          </w:p>
                          <w:p w14:paraId="2DACF85E">
                            <w:pPr>
                              <w:spacing w:line="440" w:lineRule="exact"/>
                              <w:rPr>
                                <w:rFonts w:ascii="仿宋_GB2312" w:eastAsia="仿宋_GB2312"/>
                                <w:szCs w:val="21"/>
                              </w:rPr>
                            </w:pPr>
                            <w:r>
                              <w:rPr>
                                <w:rFonts w:hint="eastAsia" w:ascii="仿宋_GB2312" w:eastAsia="仿宋_GB2312"/>
                                <w:szCs w:val="21"/>
                              </w:rPr>
                              <w:t>投标人名称：（公章）</w:t>
                            </w:r>
                          </w:p>
                          <w:p w14:paraId="5884996D">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w:t>
                            </w: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6432;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LkL32AAAAAkBAAAPAAAAAAAAAAEA&#10;IAAAACIAAABkcnMvZG93bnJldi54bWxQSwECFAAUAAAACACHTuJAP9+UEw8CAAA5BAAADgAAAAAA&#10;AAABACAAAAAnAQAAZHJzL2Uyb0RvYy54bWxQSwUGAAAAAAYABgBZAQAAqAUAAAAA&#10;">
                <v:fill on="t" focussize="0,0"/>
                <v:stroke color="#000000" linestyle="thinThin" joinstyle="miter"/>
                <v:imagedata o:title=""/>
                <o:lock v:ext="edit" aspectratio="f"/>
                <v:textbox>
                  <w:txbxContent>
                    <w:p w14:paraId="0604A10B">
                      <w:pPr>
                        <w:spacing w:line="440" w:lineRule="exact"/>
                        <w:rPr>
                          <w:rFonts w:hint="eastAsia" w:ascii="仿宋_GB2312" w:hAnsi="宋体" w:eastAsia="仿宋_GB2312"/>
                          <w:lang w:eastAsia="zh-CN"/>
                        </w:rPr>
                      </w:pPr>
                      <w:r>
                        <w:rPr>
                          <w:rFonts w:hint="eastAsia" w:ascii="仿宋_GB2312" w:eastAsia="仿宋_GB2312"/>
                        </w:rPr>
                        <w:t>致：</w:t>
                      </w:r>
                      <w:r>
                        <w:rPr>
                          <w:rFonts w:hint="eastAsia" w:ascii="仿宋_GB2312" w:eastAsia="仿宋_GB2312"/>
                          <w:lang w:eastAsia="zh-CN"/>
                        </w:rPr>
                        <w:t>华春建设工程项目管理有限责任公司</w:t>
                      </w:r>
                    </w:p>
                    <w:p w14:paraId="32567BBF">
                      <w:pPr>
                        <w:spacing w:line="440" w:lineRule="exact"/>
                        <w:rPr>
                          <w:rFonts w:ascii="仿宋_GB2312" w:eastAsia="仿宋_GB2312"/>
                        </w:rPr>
                      </w:pPr>
                      <w:r>
                        <w:rPr>
                          <w:rFonts w:hint="eastAsia" w:ascii="仿宋_GB2312" w:eastAsia="仿宋_GB2312"/>
                        </w:rPr>
                        <w:t>项目编号：</w:t>
                      </w:r>
                    </w:p>
                    <w:p w14:paraId="621B4A17">
                      <w:pPr>
                        <w:spacing w:line="440" w:lineRule="exact"/>
                        <w:rPr>
                          <w:rFonts w:ascii="仿宋_GB2312" w:eastAsia="仿宋_GB2312"/>
                        </w:rPr>
                      </w:pPr>
                      <w:r>
                        <w:rPr>
                          <w:rFonts w:hint="eastAsia" w:ascii="仿宋_GB2312" w:eastAsia="仿宋_GB2312"/>
                        </w:rPr>
                        <w:t>项目名称：</w:t>
                      </w:r>
                    </w:p>
                    <w:p w14:paraId="093A8204">
                      <w:pPr>
                        <w:spacing w:line="440" w:lineRule="exact"/>
                        <w:jc w:val="center"/>
                        <w:rPr>
                          <w:rFonts w:ascii="仿宋_GB2312" w:eastAsia="仿宋_GB2312"/>
                          <w:sz w:val="36"/>
                          <w:szCs w:val="36"/>
                        </w:rPr>
                      </w:pPr>
                    </w:p>
                    <w:p w14:paraId="37992E2A">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135E37A7">
                      <w:pPr>
                        <w:spacing w:line="440" w:lineRule="exact"/>
                        <w:jc w:val="center"/>
                        <w:rPr>
                          <w:rFonts w:ascii="仿宋_GB2312" w:eastAsia="仿宋_GB2312"/>
                          <w:szCs w:val="21"/>
                        </w:rPr>
                      </w:pPr>
                      <w:r>
                        <w:rPr>
                          <w:rFonts w:hint="eastAsia" w:ascii="仿宋_GB2312" w:eastAsia="仿宋_GB2312"/>
                          <w:szCs w:val="21"/>
                        </w:rPr>
                        <w:t>（非公开唱标不得启封）</w:t>
                      </w:r>
                    </w:p>
                    <w:p w14:paraId="59DA5290">
                      <w:pPr>
                        <w:jc w:val="center"/>
                        <w:rPr>
                          <w:rFonts w:ascii="仿宋_GB2312" w:eastAsia="仿宋_GB2312"/>
                          <w:szCs w:val="21"/>
                        </w:rPr>
                      </w:pPr>
                    </w:p>
                    <w:p w14:paraId="2DACF85E">
                      <w:pPr>
                        <w:spacing w:line="440" w:lineRule="exact"/>
                        <w:rPr>
                          <w:rFonts w:ascii="仿宋_GB2312" w:eastAsia="仿宋_GB2312"/>
                          <w:szCs w:val="21"/>
                        </w:rPr>
                      </w:pPr>
                      <w:r>
                        <w:rPr>
                          <w:rFonts w:hint="eastAsia" w:ascii="仿宋_GB2312" w:eastAsia="仿宋_GB2312"/>
                          <w:szCs w:val="21"/>
                        </w:rPr>
                        <w:t>投标人名称：（公章）</w:t>
                      </w:r>
                    </w:p>
                    <w:p w14:paraId="5884996D">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w:t>
                      </w: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联系人电话：</w:t>
                      </w:r>
                    </w:p>
                  </w:txbxContent>
                </v:textbox>
              </v:shape>
            </w:pict>
          </mc:Fallback>
        </mc:AlternateContent>
      </w:r>
    </w:p>
    <w:p w14:paraId="00CB11E9">
      <w:pPr>
        <w:rPr>
          <w:rFonts w:hint="eastAsia" w:ascii="仿宋" w:hAnsi="仿宋" w:eastAsia="仿宋" w:cs="仿宋"/>
        </w:rPr>
      </w:pPr>
    </w:p>
    <w:p w14:paraId="4409A10D">
      <w:pPr>
        <w:pStyle w:val="14"/>
        <w:rPr>
          <w:rFonts w:hint="eastAsia" w:ascii="仿宋" w:hAnsi="仿宋" w:eastAsia="仿宋" w:cs="仿宋"/>
        </w:rPr>
      </w:pPr>
    </w:p>
    <w:p w14:paraId="7E1C7CEE">
      <w:pPr>
        <w:pStyle w:val="14"/>
        <w:rPr>
          <w:rFonts w:hint="eastAsia" w:ascii="仿宋" w:hAnsi="仿宋" w:eastAsia="仿宋" w:cs="仿宋"/>
        </w:rPr>
      </w:pPr>
    </w:p>
    <w:p w14:paraId="7FEC46A0">
      <w:pPr>
        <w:pStyle w:val="14"/>
        <w:rPr>
          <w:rFonts w:hint="eastAsia" w:ascii="仿宋" w:hAnsi="仿宋" w:eastAsia="仿宋" w:cs="仿宋"/>
        </w:rPr>
      </w:pPr>
    </w:p>
    <w:p w14:paraId="516BAC1B">
      <w:pPr>
        <w:rPr>
          <w:rFonts w:hint="eastAsia" w:ascii="仿宋" w:hAnsi="仿宋" w:eastAsia="仿宋" w:cs="仿宋"/>
        </w:rPr>
      </w:pPr>
    </w:p>
    <w:p w14:paraId="3C4BE080">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45D623F1">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73581CF9">
      <w:pPr>
        <w:pStyle w:val="10"/>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7EB209D9">
      <w:pPr>
        <w:rPr>
          <w:rFonts w:hint="eastAsia" w:ascii="仿宋" w:hAnsi="仿宋" w:eastAsia="仿宋" w:cs="仿宋"/>
        </w:rPr>
      </w:pPr>
    </w:p>
    <w:p w14:paraId="29356F14">
      <w:pPr>
        <w:pStyle w:val="3"/>
        <w:rPr>
          <w:rFonts w:hint="eastAsia" w:ascii="仿宋" w:hAnsi="仿宋" w:eastAsia="仿宋" w:cs="仿宋"/>
        </w:rPr>
      </w:pPr>
    </w:p>
    <w:p w14:paraId="067B7550">
      <w:pPr>
        <w:rPr>
          <w:rFonts w:hint="eastAsia" w:ascii="仿宋" w:hAnsi="仿宋" w:eastAsia="仿宋" w:cs="仿宋"/>
        </w:rPr>
      </w:pPr>
    </w:p>
    <w:p w14:paraId="14483B52">
      <w:pPr>
        <w:pStyle w:val="3"/>
        <w:rPr>
          <w:rFonts w:hint="eastAsia" w:ascii="仿宋" w:hAnsi="仿宋" w:eastAsia="仿宋" w:cs="仿宋"/>
        </w:rPr>
      </w:pPr>
    </w:p>
    <w:p w14:paraId="4D147459">
      <w:pPr>
        <w:rPr>
          <w:rFonts w:hint="eastAsia" w:ascii="仿宋" w:hAnsi="仿宋" w:eastAsia="仿宋" w:cs="仿宋"/>
        </w:rPr>
      </w:pPr>
    </w:p>
    <w:p w14:paraId="043DE79F">
      <w:pPr>
        <w:rPr>
          <w:rFonts w:hint="eastAsia" w:ascii="仿宋" w:hAnsi="仿宋" w:eastAsia="仿宋" w:cs="仿宋"/>
        </w:rPr>
      </w:pPr>
    </w:p>
    <w:p w14:paraId="2C1D3167">
      <w:pPr>
        <w:rPr>
          <w:rFonts w:hint="eastAsia" w:ascii="仿宋" w:hAnsi="仿宋" w:eastAsia="仿宋" w:cs="仿宋"/>
        </w:rPr>
      </w:pPr>
    </w:p>
    <w:sectPr>
      <w:headerReference r:id="rId16" w:type="first"/>
      <w:footerReference r:id="rId18" w:type="first"/>
      <w:headerReference r:id="rId15" w:type="default"/>
      <w:footerReference r:id="rId17" w:type="default"/>
      <w:pgSz w:w="11907" w:h="16840"/>
      <w:pgMar w:top="1440" w:right="1080" w:bottom="1440" w:left="1080" w:header="624" w:footer="10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3A42">
    <w:pPr>
      <w:pStyle w:val="1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0A54">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0FE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4A30FE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8872">
    <w:pPr>
      <w:pStyle w:val="1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E5E4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CBE5E4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DB80">
    <w:pPr>
      <w:pStyle w:val="15"/>
      <w:rPr>
        <w:rStyle w:val="23"/>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0DCAE">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880DCAE">
                    <w:pPr>
                      <w:pStyle w:val="15"/>
                    </w:pPr>
                    <w:r>
                      <w:fldChar w:fldCharType="begin"/>
                    </w:r>
                    <w:r>
                      <w:instrText xml:space="preserve"> PAGE  \* MERGEFORMAT </w:instrText>
                    </w:r>
                    <w:r>
                      <w:fldChar w:fldCharType="separate"/>
                    </w:r>
                    <w:r>
                      <w:t>44</w:t>
                    </w:r>
                    <w:r>
                      <w:fldChar w:fldCharType="end"/>
                    </w:r>
                  </w:p>
                </w:txbxContent>
              </v:textbox>
            </v:shape>
          </w:pict>
        </mc:Fallback>
      </mc:AlternateContent>
    </w:r>
  </w:p>
  <w:p w14:paraId="22ACDFB4">
    <w:pPr>
      <w:pStyle w:val="15"/>
      <w:jc w:val="both"/>
    </w:pPr>
  </w:p>
  <w:p w14:paraId="20B6A941">
    <w:pPr>
      <w:spacing w:line="280" w:lineRule="exact"/>
      <w:jc w:val="center"/>
      <w:rPr>
        <w:rFonts w:hint="eastAsia" w:ascii="宋体" w:hAnsi="宋体" w:cs="宋体"/>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F471">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A0C78">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CDA0C78">
                    <w:pPr>
                      <w:pStyle w:val="15"/>
                    </w:pPr>
                    <w:r>
                      <w:fldChar w:fldCharType="begin"/>
                    </w:r>
                    <w:r>
                      <w:instrText xml:space="preserve"> PAGE  \* MERGEFORMAT </w:instrText>
                    </w:r>
                    <w:r>
                      <w:fldChar w:fldCharType="separate"/>
                    </w:r>
                    <w:r>
                      <w:t>43</w:t>
                    </w:r>
                    <w:r>
                      <w:fldChar w:fldCharType="end"/>
                    </w:r>
                  </w:p>
                </w:txbxContent>
              </v:textbox>
            </v:shape>
          </w:pict>
        </mc:Fallback>
      </mc:AlternateContent>
    </w:r>
  </w:p>
  <w:p w14:paraId="779ECF14">
    <w:pPr>
      <w:spacing w:line="280" w:lineRule="exact"/>
      <w:jc w:val="center"/>
      <w:rPr>
        <w:rFonts w:hint="eastAsia"/>
        <w:highlight w:val="no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85CA">
    <w:pPr>
      <w:pStyle w:val="1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436A8">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EC436A8">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4852E061">
    <w:pPr>
      <w:spacing w:line="280" w:lineRule="exact"/>
      <w:jc w:val="center"/>
      <w:rPr>
        <w:rFonts w:hint="eastAsia" w:ascii="宋体" w:hAnsi="宋体" w:cs="宋体"/>
        <w:b/>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4D79">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6B195">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6B195">
                    <w:pPr>
                      <w:pStyle w:val="15"/>
                    </w:pPr>
                    <w:r>
                      <w:fldChar w:fldCharType="begin"/>
                    </w:r>
                    <w:r>
                      <w:instrText xml:space="preserve"> PAGE  \* MERGEFORMAT </w:instrText>
                    </w:r>
                    <w:r>
                      <w:fldChar w:fldCharType="separate"/>
                    </w:r>
                    <w:r>
                      <w:t>45</w:t>
                    </w:r>
                    <w:r>
                      <w:fldChar w:fldCharType="end"/>
                    </w:r>
                  </w:p>
                </w:txbxContent>
              </v:textbox>
            </v:shape>
          </w:pict>
        </mc:Fallback>
      </mc:AlternateContent>
    </w:r>
  </w:p>
  <w:p w14:paraId="658ED168">
    <w:pPr>
      <w:spacing w:line="280" w:lineRule="exact"/>
      <w:jc w:val="center"/>
      <w:rPr>
        <w:rFonts w:hint="eastAsia" w:ascii="宋体" w:hAnsi="宋体" w:cs="宋体"/>
        <w:b/>
        <w:sz w:val="21"/>
        <w:szCs w:val="21"/>
      </w:rPr>
    </w:pPr>
    <w:r>
      <w:rPr>
        <w:rFonts w:hint="eastAsia" w:ascii="宋体" w:hAnsi="宋体" w:cs="宋体"/>
        <w:b/>
        <w:sz w:val="21"/>
        <w:szCs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EA0A">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B9BDA">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4AB9BDA">
                    <w:pPr>
                      <w:pStyle w:val="15"/>
                    </w:pPr>
                    <w:r>
                      <w:fldChar w:fldCharType="begin"/>
                    </w:r>
                    <w:r>
                      <w:instrText xml:space="preserve"> PAGE  \* MERGEFORMAT </w:instrText>
                    </w:r>
                    <w:r>
                      <w:fldChar w:fldCharType="separate"/>
                    </w:r>
                    <w:r>
                      <w:t>55</w:t>
                    </w:r>
                    <w:r>
                      <w:fldChar w:fldCharType="end"/>
                    </w:r>
                  </w:p>
                </w:txbxContent>
              </v:textbox>
            </v:shape>
          </w:pict>
        </mc:Fallback>
      </mc:AlternateContent>
    </w:r>
  </w:p>
  <w:p w14:paraId="0F7E9120">
    <w:pPr>
      <w:spacing w:line="280" w:lineRule="exact"/>
      <w:jc w:val="center"/>
      <w:rPr>
        <w:rFonts w:hint="eastAsia" w:ascii="宋体" w:hAnsi="宋体" w:cs="宋体"/>
        <w:b/>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A8EE">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94113">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F294113">
                    <w:pPr>
                      <w:pStyle w:val="15"/>
                    </w:pPr>
                    <w:r>
                      <w:fldChar w:fldCharType="begin"/>
                    </w:r>
                    <w:r>
                      <w:instrText xml:space="preserve"> PAGE  \* MERGEFORMAT </w:instrText>
                    </w:r>
                    <w:r>
                      <w:fldChar w:fldCharType="separate"/>
                    </w:r>
                    <w:r>
                      <w:t>45</w:t>
                    </w:r>
                    <w:r>
                      <w:fldChar w:fldCharType="end"/>
                    </w:r>
                  </w:p>
                </w:txbxContent>
              </v:textbox>
            </v:shape>
          </w:pict>
        </mc:Fallback>
      </mc:AlternateContent>
    </w:r>
  </w:p>
  <w:p w14:paraId="2EDA9697">
    <w:pPr>
      <w:spacing w:line="280" w:lineRule="exact"/>
      <w:jc w:val="center"/>
      <w:rPr>
        <w:rFonts w:hint="eastAsia" w:ascii="宋体" w:hAnsi="宋体" w:cs="宋体"/>
        <w:b/>
        <w:sz w:val="21"/>
        <w:szCs w:val="21"/>
      </w:rPr>
    </w:pPr>
    <w:r>
      <w:rPr>
        <w:rFonts w:hint="eastAsia" w:ascii="宋体" w:hAnsi="宋体" w:cs="宋体"/>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3711">
    <w:pPr>
      <w:tabs>
        <w:tab w:val="left" w:pos="7080"/>
      </w:tabs>
      <w:spacing w:before="120" w:beforeLines="50" w:line="800" w:lineRule="exact"/>
      <w:jc w:val="both"/>
      <w:rPr>
        <w:rFonts w:hint="default" w:ascii="宋体" w:hAnsi="宋体" w:eastAsia="宋体"/>
        <w:b/>
        <w:spacing w:val="-20"/>
        <w:sz w:val="21"/>
        <w:szCs w:val="21"/>
        <w:u w:val="single"/>
        <w:shd w:val="pct10" w:color="auto" w:fill="FFFFFF"/>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84B">
    <w:pPr>
      <w:tabs>
        <w:tab w:val="left" w:pos="7080"/>
      </w:tabs>
      <w:spacing w:before="120" w:beforeLines="50" w:line="800" w:lineRule="exact"/>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F92D">
    <w:pPr>
      <w:tabs>
        <w:tab w:val="left" w:pos="7080"/>
      </w:tabs>
      <w:spacing w:before="120" w:beforeLines="50" w:line="800" w:lineRule="exact"/>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1D3C">
    <w:pPr>
      <w:tabs>
        <w:tab w:val="left" w:pos="7080"/>
      </w:tabs>
      <w:spacing w:before="120" w:beforeLines="50" w:line="800" w:lineRule="exact"/>
      <w:jc w:val="both"/>
      <w:rPr>
        <w:rFonts w:hint="default" w:ascii="宋体" w:hAnsi="宋体" w:eastAsia="宋体"/>
        <w:b/>
        <w:sz w:val="21"/>
        <w:szCs w:val="21"/>
        <w:u w:val="single"/>
        <w:shd w:val="pct10" w:color="auto" w:fill="FFFFFF"/>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D5E0">
    <w:pPr>
      <w:tabs>
        <w:tab w:val="left" w:pos="7080"/>
      </w:tabs>
      <w:spacing w:before="120" w:beforeLines="50" w:line="800" w:lineRule="exact"/>
      <w:jc w:val="both"/>
      <w:rPr>
        <w:rFonts w:hint="default" w:ascii="宋体" w:hAnsi="宋体"/>
        <w:b/>
        <w:sz w:val="21"/>
        <w:szCs w:val="21"/>
        <w:shd w:val="pct10" w:color="auto" w:fill="FFFFFF"/>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F2A5">
    <w:pPr>
      <w:tabs>
        <w:tab w:val="left" w:pos="7080"/>
      </w:tabs>
      <w:spacing w:before="120" w:beforeLines="50" w:line="800" w:lineRule="exact"/>
      <w:jc w:val="both"/>
      <w:rPr>
        <w:rFonts w:hint="default"/>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8DB6">
    <w:pPr>
      <w:tabs>
        <w:tab w:val="left" w:pos="7080"/>
      </w:tabs>
      <w:spacing w:before="120" w:beforeLines="50" w:line="800" w:lineRule="exact"/>
      <w:jc w:val="both"/>
      <w:rPr>
        <w:rFonts w:hint="default" w:ascii="宋体" w:hAnsi="宋体"/>
        <w:b/>
        <w:sz w:val="21"/>
        <w:szCs w:val="21"/>
        <w:shd w:val="pct10" w:color="auto" w:fill="FFFFF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CC0E9"/>
    <w:multiLevelType w:val="singleLevel"/>
    <w:tmpl w:val="9F5CC0E9"/>
    <w:lvl w:ilvl="0" w:tentative="0">
      <w:start w:val="1"/>
      <w:numFmt w:val="decimal"/>
      <w:lvlText w:val="%1."/>
      <w:lvlJc w:val="left"/>
      <w:pPr>
        <w:tabs>
          <w:tab w:val="left" w:pos="312"/>
        </w:tabs>
      </w:pPr>
    </w:lvl>
  </w:abstractNum>
  <w:abstractNum w:abstractNumId="1">
    <w:nsid w:val="AE83AB26"/>
    <w:multiLevelType w:val="singleLevel"/>
    <w:tmpl w:val="AE83AB26"/>
    <w:lvl w:ilvl="0" w:tentative="0">
      <w:start w:val="8"/>
      <w:numFmt w:val="decimal"/>
      <w:lvlText w:val="%1."/>
      <w:lvlJc w:val="left"/>
      <w:pPr>
        <w:tabs>
          <w:tab w:val="left" w:pos="312"/>
        </w:tabs>
      </w:pPr>
    </w:lvl>
  </w:abstractNum>
  <w:abstractNum w:abstractNumId="2">
    <w:nsid w:val="C90116DA"/>
    <w:multiLevelType w:val="singleLevel"/>
    <w:tmpl w:val="C90116DA"/>
    <w:lvl w:ilvl="0" w:tentative="0">
      <w:start w:val="1"/>
      <w:numFmt w:val="decimal"/>
      <w:suff w:val="space"/>
      <w:lvlText w:val="%1．"/>
      <w:lvlJc w:val="left"/>
    </w:lvl>
  </w:abstractNum>
  <w:abstractNum w:abstractNumId="3">
    <w:nsid w:val="19220C9E"/>
    <w:multiLevelType w:val="singleLevel"/>
    <w:tmpl w:val="19220C9E"/>
    <w:lvl w:ilvl="0" w:tentative="0">
      <w:start w:val="1"/>
      <w:numFmt w:val="chineseCounting"/>
      <w:suff w:val="nothing"/>
      <w:lvlText w:val="%1、"/>
      <w:lvlJc w:val="left"/>
      <w:pPr>
        <w:ind w:left="68"/>
      </w:pPr>
      <w:rPr>
        <w:rFonts w:hint="eastAsia"/>
      </w:rPr>
    </w:lvl>
  </w:abstractNum>
  <w:abstractNum w:abstractNumId="4">
    <w:nsid w:val="2CE31C5F"/>
    <w:multiLevelType w:val="singleLevel"/>
    <w:tmpl w:val="2CE31C5F"/>
    <w:lvl w:ilvl="0" w:tentative="0">
      <w:start w:val="1"/>
      <w:numFmt w:val="decimal"/>
      <w:suff w:val="nothing"/>
      <w:lvlText w:val="%1．"/>
      <w:lvlJc w:val="left"/>
      <w:rPr>
        <w:rFonts w:cs="Times New Roman"/>
      </w:rPr>
    </w:lvl>
  </w:abstractNum>
  <w:abstractNum w:abstractNumId="5">
    <w:nsid w:val="375CDA83"/>
    <w:multiLevelType w:val="singleLevel"/>
    <w:tmpl w:val="375CDA83"/>
    <w:lvl w:ilvl="0" w:tentative="0">
      <w:start w:val="4"/>
      <w:numFmt w:val="chineseCounting"/>
      <w:suff w:val="space"/>
      <w:lvlText w:val="第%1部分"/>
      <w:lvlJc w:val="left"/>
      <w:rPr>
        <w:rFonts w:hint="eastAsia"/>
      </w:rPr>
    </w:lvl>
  </w:abstractNum>
  <w:abstractNum w:abstractNumId="6">
    <w:nsid w:val="59B646AF"/>
    <w:multiLevelType w:val="singleLevel"/>
    <w:tmpl w:val="59B646AF"/>
    <w:lvl w:ilvl="0" w:tentative="0">
      <w:start w:val="1"/>
      <w:numFmt w:val="decimal"/>
      <w:suff w:val="nothing"/>
      <w:lvlText w:val="%1、"/>
      <w:lvlJc w:val="left"/>
    </w:lvl>
  </w:abstractNum>
  <w:abstractNum w:abstractNumId="7">
    <w:nsid w:val="686214A0"/>
    <w:multiLevelType w:val="singleLevel"/>
    <w:tmpl w:val="686214A0"/>
    <w:lvl w:ilvl="0" w:tentative="0">
      <w:start w:val="1"/>
      <w:numFmt w:val="chineseCounting"/>
      <w:suff w:val="space"/>
      <w:lvlText w:val="第%1部分"/>
      <w:lvlJc w:val="left"/>
      <w:rPr>
        <w:rFonts w:hint="eastAsia"/>
      </w:rPr>
    </w:lvl>
  </w:abstractNum>
  <w:num w:numId="1">
    <w:abstractNumId w:val="7"/>
  </w:num>
  <w:num w:numId="2">
    <w:abstractNumId w:val="6"/>
  </w:num>
  <w:num w:numId="3">
    <w:abstractNumId w:val="5"/>
  </w:num>
  <w:num w:numId="4">
    <w:abstractNumId w:val="3"/>
  </w:num>
  <w:num w:numId="5">
    <w:abstractNumId w:val="2"/>
  </w:num>
  <w:num w:numId="6">
    <w:abstractNumId w:val="4"/>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甯">
    <w15:presenceInfo w15:providerId="WPS Office" w15:userId="1083047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dit="trackedChanges" w:enforcement="1" w:cryptProviderType="rsaFull" w:cryptAlgorithmClass="hash" w:cryptAlgorithmType="typeAny" w:cryptAlgorithmSid="4" w:cryptSpinCount="0" w:hash="Ogg1r85WkKhpVDFtBmEhg/skMAg=" w:salt="L3CQGuIvYvSLPq20H37qg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0C220B1"/>
    <w:rsid w:val="00F93F96"/>
    <w:rsid w:val="00FC02BF"/>
    <w:rsid w:val="0187402D"/>
    <w:rsid w:val="03433F84"/>
    <w:rsid w:val="03DE197F"/>
    <w:rsid w:val="04243DB5"/>
    <w:rsid w:val="049C738A"/>
    <w:rsid w:val="04EC5FA1"/>
    <w:rsid w:val="056C5A14"/>
    <w:rsid w:val="06671D58"/>
    <w:rsid w:val="073A744C"/>
    <w:rsid w:val="095C7B4D"/>
    <w:rsid w:val="09964D6E"/>
    <w:rsid w:val="0ABD461B"/>
    <w:rsid w:val="0B491B94"/>
    <w:rsid w:val="0B73117E"/>
    <w:rsid w:val="0BF00A21"/>
    <w:rsid w:val="0DB77A48"/>
    <w:rsid w:val="0EA83079"/>
    <w:rsid w:val="10484987"/>
    <w:rsid w:val="107717E2"/>
    <w:rsid w:val="11DD37F5"/>
    <w:rsid w:val="12F9465F"/>
    <w:rsid w:val="1364183B"/>
    <w:rsid w:val="13C203A0"/>
    <w:rsid w:val="146B333A"/>
    <w:rsid w:val="146D0E60"/>
    <w:rsid w:val="16EA0559"/>
    <w:rsid w:val="175E7186"/>
    <w:rsid w:val="190478B9"/>
    <w:rsid w:val="19801636"/>
    <w:rsid w:val="19A277FE"/>
    <w:rsid w:val="19D96F98"/>
    <w:rsid w:val="1A420B5C"/>
    <w:rsid w:val="1B161A93"/>
    <w:rsid w:val="1B83540D"/>
    <w:rsid w:val="1C7A43B4"/>
    <w:rsid w:val="1D69418F"/>
    <w:rsid w:val="1F4849A4"/>
    <w:rsid w:val="1F4F6FE5"/>
    <w:rsid w:val="1FFC646D"/>
    <w:rsid w:val="20202D6A"/>
    <w:rsid w:val="20EA6BAE"/>
    <w:rsid w:val="220F185E"/>
    <w:rsid w:val="238B1303"/>
    <w:rsid w:val="23F5739B"/>
    <w:rsid w:val="23FF27D3"/>
    <w:rsid w:val="261A071C"/>
    <w:rsid w:val="26B96AF1"/>
    <w:rsid w:val="27407175"/>
    <w:rsid w:val="27FC0F65"/>
    <w:rsid w:val="2BEF4826"/>
    <w:rsid w:val="2E2760CC"/>
    <w:rsid w:val="30C96FC7"/>
    <w:rsid w:val="31234BFA"/>
    <w:rsid w:val="3404214E"/>
    <w:rsid w:val="34B41D3C"/>
    <w:rsid w:val="357C0AAC"/>
    <w:rsid w:val="35A40204"/>
    <w:rsid w:val="36147E72"/>
    <w:rsid w:val="3A647D60"/>
    <w:rsid w:val="3AAC3D94"/>
    <w:rsid w:val="3C564D43"/>
    <w:rsid w:val="3CB46D7D"/>
    <w:rsid w:val="3EBF1A09"/>
    <w:rsid w:val="3F32667F"/>
    <w:rsid w:val="40370D8D"/>
    <w:rsid w:val="41016309"/>
    <w:rsid w:val="412A0921"/>
    <w:rsid w:val="428A31E3"/>
    <w:rsid w:val="42C45840"/>
    <w:rsid w:val="43B85E8D"/>
    <w:rsid w:val="443D58AA"/>
    <w:rsid w:val="44BD4C3D"/>
    <w:rsid w:val="45F73E72"/>
    <w:rsid w:val="45F91CA4"/>
    <w:rsid w:val="462D6C4A"/>
    <w:rsid w:val="4B606802"/>
    <w:rsid w:val="4BE213AD"/>
    <w:rsid w:val="4BE3142D"/>
    <w:rsid w:val="4C9B1D07"/>
    <w:rsid w:val="4CEB08DA"/>
    <w:rsid w:val="4D646B3C"/>
    <w:rsid w:val="4DB31614"/>
    <w:rsid w:val="4E7E368F"/>
    <w:rsid w:val="4ECA0294"/>
    <w:rsid w:val="4F3841AD"/>
    <w:rsid w:val="50245B70"/>
    <w:rsid w:val="50DF59DF"/>
    <w:rsid w:val="53875686"/>
    <w:rsid w:val="53A81EAA"/>
    <w:rsid w:val="54EB1352"/>
    <w:rsid w:val="55DD513F"/>
    <w:rsid w:val="56A227AC"/>
    <w:rsid w:val="56DE4CCA"/>
    <w:rsid w:val="576158FB"/>
    <w:rsid w:val="596516D3"/>
    <w:rsid w:val="59722042"/>
    <w:rsid w:val="59ED232E"/>
    <w:rsid w:val="5B060C94"/>
    <w:rsid w:val="5C4C26D6"/>
    <w:rsid w:val="5C902F0B"/>
    <w:rsid w:val="5DCF35BF"/>
    <w:rsid w:val="5E756369"/>
    <w:rsid w:val="5E93283E"/>
    <w:rsid w:val="5F285697"/>
    <w:rsid w:val="64202DC6"/>
    <w:rsid w:val="644A1BF1"/>
    <w:rsid w:val="64961E48"/>
    <w:rsid w:val="65834B8F"/>
    <w:rsid w:val="664408C2"/>
    <w:rsid w:val="66F422E8"/>
    <w:rsid w:val="67B20BAC"/>
    <w:rsid w:val="68496101"/>
    <w:rsid w:val="69305811"/>
    <w:rsid w:val="6B9611A6"/>
    <w:rsid w:val="6C3F0C8C"/>
    <w:rsid w:val="6C9C4FB4"/>
    <w:rsid w:val="6D0D4104"/>
    <w:rsid w:val="6DA85BDA"/>
    <w:rsid w:val="6E450D53"/>
    <w:rsid w:val="6EBD7464"/>
    <w:rsid w:val="700A66D9"/>
    <w:rsid w:val="70BD7BEF"/>
    <w:rsid w:val="70F27898"/>
    <w:rsid w:val="71AD28A8"/>
    <w:rsid w:val="72A26EFE"/>
    <w:rsid w:val="7306039D"/>
    <w:rsid w:val="733C129F"/>
    <w:rsid w:val="73603AD8"/>
    <w:rsid w:val="73CF3EC1"/>
    <w:rsid w:val="74AA4E17"/>
    <w:rsid w:val="758F1B5A"/>
    <w:rsid w:val="75B94E29"/>
    <w:rsid w:val="76DF266D"/>
    <w:rsid w:val="78F40776"/>
    <w:rsid w:val="79B17BC5"/>
    <w:rsid w:val="7BD77DB7"/>
    <w:rsid w:val="7C961639"/>
    <w:rsid w:val="7CE522A7"/>
    <w:rsid w:val="7D0A48F6"/>
    <w:rsid w:val="7E585D0D"/>
    <w:rsid w:val="7EC02D84"/>
    <w:rsid w:val="7F9E2999"/>
    <w:rsid w:val="7FEC6AD2"/>
    <w:rsid w:val="7FEE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after="330" w:line="576" w:lineRule="auto"/>
      <w:outlineLvl w:val="0"/>
    </w:pPr>
    <w:rPr>
      <w:b/>
      <w:bCs/>
      <w:kern w:val="44"/>
      <w:sz w:val="44"/>
      <w:szCs w:val="44"/>
    </w:rPr>
  </w:style>
  <w:style w:type="paragraph" w:styleId="7">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8">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kern w:val="0"/>
      <w:sz w:val="28"/>
    </w:rPr>
  </w:style>
  <w:style w:type="paragraph" w:styleId="9">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4"/>
    <w:next w:val="5"/>
    <w:qFormat/>
    <w:uiPriority w:val="0"/>
    <w:pPr>
      <w:spacing w:after="120"/>
    </w:pPr>
    <w:rPr>
      <w:kern w:val="0"/>
      <w:sz w:val="20"/>
      <w:szCs w:val="24"/>
    </w:rPr>
  </w:style>
  <w:style w:type="paragraph" w:customStyle="1" w:styleId="4">
    <w:name w:val="正文_0"/>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_0_0"/>
    <w:next w:val="3"/>
    <w:qFormat/>
    <w:uiPriority w:val="0"/>
    <w:pPr>
      <w:widowControl w:val="0"/>
      <w:jc w:val="both"/>
    </w:pPr>
    <w:rPr>
      <w:rFonts w:ascii="Calibri" w:hAnsi="Calibri" w:eastAsia="宋体" w:cs="Times New Roman"/>
      <w:kern w:val="2"/>
      <w:sz w:val="21"/>
      <w:szCs w:val="22"/>
      <w:lang w:val="en-US" w:eastAsia="zh-CN" w:bidi="ar-SA"/>
    </w:rPr>
  </w:style>
  <w:style w:type="paragraph" w:styleId="10">
    <w:name w:val="Normal Indent"/>
    <w:basedOn w:val="1"/>
    <w:qFormat/>
    <w:uiPriority w:val="0"/>
    <w:pPr>
      <w:ind w:firstLine="420"/>
    </w:pPr>
    <w:rPr>
      <w:sz w:val="21"/>
    </w:rPr>
  </w:style>
  <w:style w:type="paragraph" w:styleId="11">
    <w:name w:val="toa heading"/>
    <w:basedOn w:val="1"/>
    <w:next w:val="1"/>
    <w:qFormat/>
    <w:uiPriority w:val="0"/>
    <w:pPr>
      <w:spacing w:before="120"/>
    </w:pPr>
    <w:rPr>
      <w:rFonts w:ascii="Arial" w:hAnsi="Arial"/>
      <w:sz w:val="24"/>
    </w:rPr>
  </w:style>
  <w:style w:type="paragraph" w:styleId="12">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3">
    <w:name w:val="Plain Text"/>
    <w:basedOn w:val="1"/>
    <w:qFormat/>
    <w:uiPriority w:val="0"/>
    <w:rPr>
      <w:rFonts w:ascii="宋体" w:hAnsi="Courier New"/>
      <w:kern w:val="0"/>
      <w:sz w:val="20"/>
      <w:szCs w:val="21"/>
    </w:rPr>
  </w:style>
  <w:style w:type="paragraph" w:styleId="14">
    <w:name w:val="Body Text Indent 2"/>
    <w:basedOn w:val="1"/>
    <w:next w:val="1"/>
    <w:qFormat/>
    <w:uiPriority w:val="0"/>
    <w:pPr>
      <w:spacing w:line="640" w:lineRule="exact"/>
      <w:ind w:firstLine="645"/>
    </w:pPr>
    <w:rPr>
      <w:rFonts w:ascii="楷体_GB2312" w:eastAsia="楷体_GB2312"/>
      <w:sz w:val="32"/>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rPr>
      <w:sz w:val="21"/>
      <w:szCs w:val="24"/>
    </w:rPr>
  </w:style>
  <w:style w:type="paragraph" w:styleId="18">
    <w:name w:val="Normal (Web)"/>
    <w:basedOn w:val="1"/>
    <w:qFormat/>
    <w:uiPriority w:val="0"/>
    <w:rPr>
      <w:szCs w:val="24"/>
    </w:rPr>
  </w:style>
  <w:style w:type="table" w:styleId="20">
    <w:name w:val="Table Grid"/>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列出段落1"/>
    <w:basedOn w:val="1"/>
    <w:autoRedefine/>
    <w:qFormat/>
    <w:uiPriority w:val="34"/>
    <w:pPr>
      <w:ind w:firstLine="420" w:firstLineChars="200"/>
    </w:pPr>
    <w:rPr>
      <w:rFonts w:ascii="Calibri" w:hAnsi="Calibri" w:cs="黑体"/>
      <w:szCs w:val="22"/>
    </w:rPr>
  </w:style>
  <w:style w:type="paragraph" w:customStyle="1" w:styleId="25">
    <w:name w:val="Table Text"/>
    <w:basedOn w:val="1"/>
    <w:autoRedefine/>
    <w:semiHidden/>
    <w:qFormat/>
    <w:uiPriority w:val="0"/>
    <w:rPr>
      <w:rFonts w:ascii="仿宋" w:hAnsi="仿宋" w:eastAsia="仿宋" w:cs="仿宋"/>
      <w:sz w:val="24"/>
      <w:szCs w:val="24"/>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character" w:customStyle="1" w:styleId="27">
    <w:name w:val="font61"/>
    <w:basedOn w:val="21"/>
    <w:qFormat/>
    <w:uiPriority w:val="0"/>
    <w:rPr>
      <w:rFonts w:hint="eastAsia" w:ascii="宋体" w:hAnsi="宋体" w:eastAsia="宋体" w:cs="宋体"/>
      <w:color w:val="FF0000"/>
      <w:sz w:val="20"/>
      <w:szCs w:val="20"/>
      <w:u w:val="none"/>
    </w:rPr>
  </w:style>
  <w:style w:type="character" w:customStyle="1" w:styleId="28">
    <w:name w:val="font31"/>
    <w:basedOn w:val="21"/>
    <w:qFormat/>
    <w:uiPriority w:val="0"/>
    <w:rPr>
      <w:rFonts w:hint="eastAsia" w:ascii="宋体" w:hAnsi="宋体" w:eastAsia="宋体" w:cs="宋体"/>
      <w:color w:val="000000"/>
      <w:sz w:val="20"/>
      <w:szCs w:val="20"/>
      <w:u w:val="none"/>
    </w:rPr>
  </w:style>
  <w:style w:type="paragraph" w:customStyle="1" w:styleId="29">
    <w:name w:val="List Paragraph"/>
    <w:basedOn w:val="1"/>
    <w:autoRedefine/>
    <w:qFormat/>
    <w:uiPriority w:val="34"/>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20028</Words>
  <Characters>21029</Characters>
  <Lines>0</Lines>
  <Paragraphs>0</Paragraphs>
  <TotalTime>0</TotalTime>
  <ScaleCrop>false</ScaleCrop>
  <LinksUpToDate>false</LinksUpToDate>
  <CharactersWithSpaces>21371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2024-02-19T00:40:00Z</dcterms:created>
  <dc:creator>Lenovo</dc:creator>
  <cp:lastModifiedBy>甯</cp:lastModifiedBy>
  <dcterms:modified xsi:type="dcterms:W3CDTF">2025-11-05T08:40:13Z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9BC5F3618D5C4BDEA0F48CF53F906B5B_13</vt:lpwstr>
  </property>
  <property fmtid="{D5CDD505-2E9C-101B-9397-08002B2CF9AE}" pid="4" name="KSOTemplateDocerSaveRecord">
    <vt:lpwstr>eyJoZGlkIjoiZDQxZGU1OGU5ODNhYmJjNGVhYjYwMGJhZDg5ZWU0YWUiLCJ1c2VySWQiOiI3MTQ5NzU1OTUifQ==</vt:lpwstr>
  </property>
</Properties>
</file>